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37"/>
        <w:jc w:val="center"/>
        <w:rPr>
          <w:rFonts w:ascii="宋体" w:hAnsi="宋体" w:cs="宋体"/>
          <w:b/>
          <w:color w:val="auto"/>
          <w:kern w:val="0"/>
          <w:sz w:val="28"/>
          <w:szCs w:val="28"/>
          <w:highlight w:val="none"/>
          <w:u w:val="single"/>
        </w:rPr>
      </w:pPr>
    </w:p>
    <w:p>
      <w:pPr>
        <w:ind w:firstLine="437"/>
        <w:jc w:val="center"/>
        <w:rPr>
          <w:rFonts w:ascii="宋体" w:hAnsi="宋体" w:cs="宋体"/>
          <w:b/>
          <w:color w:val="auto"/>
          <w:kern w:val="0"/>
          <w:sz w:val="28"/>
          <w:szCs w:val="28"/>
          <w:highlight w:val="none"/>
          <w:u w:val="single"/>
        </w:rPr>
      </w:pPr>
    </w:p>
    <w:p>
      <w:pPr>
        <w:jc w:val="center"/>
        <w:rPr>
          <w:rFonts w:ascii="宋体" w:hAnsi="宋体" w:cs="宋体"/>
          <w:b/>
          <w:color w:val="auto"/>
          <w:kern w:val="0"/>
          <w:sz w:val="84"/>
          <w:szCs w:val="84"/>
          <w:highlight w:val="none"/>
        </w:rPr>
      </w:pPr>
    </w:p>
    <w:p>
      <w:pPr>
        <w:jc w:val="center"/>
        <w:rPr>
          <w:rFonts w:ascii="宋体" w:hAnsi="宋体" w:cs="宋体"/>
          <w:b/>
          <w:color w:val="auto"/>
          <w:kern w:val="0"/>
          <w:sz w:val="84"/>
          <w:szCs w:val="84"/>
          <w:highlight w:val="none"/>
        </w:rPr>
      </w:pPr>
      <w:r>
        <w:rPr>
          <w:rFonts w:hint="eastAsia" w:ascii="宋体" w:hAnsi="宋体" w:cs="宋体"/>
          <w:b/>
          <w:color w:val="auto"/>
          <w:kern w:val="0"/>
          <w:sz w:val="84"/>
          <w:szCs w:val="84"/>
          <w:highlight w:val="none"/>
        </w:rPr>
        <w:t>竞争性磋商文件</w:t>
      </w:r>
    </w:p>
    <w:p>
      <w:pPr>
        <w:jc w:val="center"/>
        <w:rPr>
          <w:rFonts w:ascii="宋体" w:hAnsi="宋体" w:cs="宋体"/>
          <w:b/>
          <w:color w:val="auto"/>
          <w:kern w:val="0"/>
          <w:sz w:val="36"/>
          <w:szCs w:val="36"/>
          <w:highlight w:val="none"/>
        </w:rPr>
      </w:pPr>
    </w:p>
    <w:p>
      <w:pPr>
        <w:jc w:val="center"/>
        <w:rPr>
          <w:rFonts w:ascii="宋体" w:hAnsi="宋体" w:cs="宋体"/>
          <w:b/>
          <w:color w:val="auto"/>
          <w:kern w:val="0"/>
          <w:sz w:val="36"/>
          <w:szCs w:val="36"/>
          <w:highlight w:val="none"/>
        </w:rPr>
      </w:pPr>
    </w:p>
    <w:p>
      <w:pPr>
        <w:jc w:val="center"/>
        <w:rPr>
          <w:rFonts w:ascii="宋体" w:hAnsi="宋体" w:cs="宋体"/>
          <w:b/>
          <w:color w:val="auto"/>
          <w:kern w:val="0"/>
          <w:sz w:val="36"/>
          <w:szCs w:val="36"/>
          <w:highlight w:val="none"/>
        </w:rPr>
      </w:pPr>
    </w:p>
    <w:p>
      <w:pPr>
        <w:jc w:val="center"/>
        <w:rPr>
          <w:rFonts w:ascii="宋体" w:hAnsi="宋体" w:cs="宋体"/>
          <w:b/>
          <w:color w:val="auto"/>
          <w:kern w:val="0"/>
          <w:sz w:val="36"/>
          <w:szCs w:val="36"/>
          <w:highlight w:val="none"/>
        </w:rPr>
      </w:pPr>
    </w:p>
    <w:p>
      <w:pPr>
        <w:jc w:val="center"/>
        <w:rPr>
          <w:rFonts w:ascii="宋体" w:hAnsi="宋体" w:cs="宋体"/>
          <w:b/>
          <w:color w:val="auto"/>
          <w:kern w:val="0"/>
          <w:sz w:val="36"/>
          <w:szCs w:val="36"/>
          <w:highlight w:val="none"/>
        </w:rPr>
      </w:pPr>
    </w:p>
    <w:p>
      <w:pPr>
        <w:jc w:val="center"/>
        <w:rPr>
          <w:rFonts w:ascii="宋体" w:hAnsi="宋体" w:cs="宋体"/>
          <w:b/>
          <w:color w:val="auto"/>
          <w:kern w:val="0"/>
          <w:sz w:val="36"/>
          <w:szCs w:val="36"/>
          <w:highlight w:val="none"/>
        </w:rPr>
      </w:pPr>
    </w:p>
    <w:p>
      <w:pPr>
        <w:jc w:val="center"/>
        <w:rPr>
          <w:rFonts w:ascii="宋体" w:hAnsi="宋体" w:cs="宋体"/>
          <w:b/>
          <w:color w:val="auto"/>
          <w:kern w:val="0"/>
          <w:sz w:val="36"/>
          <w:szCs w:val="36"/>
          <w:highlight w:val="none"/>
        </w:rPr>
      </w:pPr>
    </w:p>
    <w:tbl>
      <w:tblPr>
        <w:tblStyle w:val="43"/>
        <w:tblW w:w="8568" w:type="dxa"/>
        <w:jc w:val="center"/>
        <w:tblLayout w:type="fixed"/>
        <w:tblCellMar>
          <w:top w:w="0" w:type="dxa"/>
          <w:left w:w="108" w:type="dxa"/>
          <w:bottom w:w="0" w:type="dxa"/>
          <w:right w:w="108" w:type="dxa"/>
        </w:tblCellMar>
      </w:tblPr>
      <w:tblGrid>
        <w:gridCol w:w="1780"/>
        <w:gridCol w:w="6788"/>
      </w:tblGrid>
      <w:tr>
        <w:trPr>
          <w:trHeight w:val="712" w:hRule="atLeast"/>
          <w:jc w:val="center"/>
        </w:trPr>
        <w:tc>
          <w:tcPr>
            <w:tcW w:w="1780" w:type="dxa"/>
            <w:tcBorders>
              <w:top w:val="nil"/>
              <w:left w:val="nil"/>
              <w:bottom w:val="nil"/>
              <w:right w:val="nil"/>
            </w:tcBorders>
            <w:vAlign w:val="center"/>
          </w:tcPr>
          <w:p>
            <w:pPr>
              <w:widowControl/>
              <w:jc w:val="left"/>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项目名称：</w:t>
            </w:r>
          </w:p>
        </w:tc>
        <w:tc>
          <w:tcPr>
            <w:tcW w:w="6788" w:type="dxa"/>
            <w:tcBorders>
              <w:top w:val="nil"/>
              <w:left w:val="nil"/>
              <w:bottom w:val="nil"/>
              <w:right w:val="nil"/>
            </w:tcBorders>
            <w:vAlign w:val="center"/>
          </w:tcPr>
          <w:p>
            <w:pPr>
              <w:widowControl/>
              <w:jc w:val="left"/>
              <w:rPr>
                <w:rFonts w:hint="eastAsia" w:ascii="宋体" w:hAnsi="宋体" w:eastAsia="宋体" w:cs="宋体"/>
                <w:b/>
                <w:color w:val="auto"/>
                <w:kern w:val="0"/>
                <w:sz w:val="28"/>
                <w:szCs w:val="28"/>
                <w:highlight w:val="none"/>
                <w:lang w:eastAsia="zh-CN"/>
              </w:rPr>
            </w:pPr>
            <w:r>
              <w:rPr>
                <w:rFonts w:hint="eastAsia" w:ascii="宋体" w:hAnsi="宋体" w:cs="宋体"/>
                <w:b/>
                <w:color w:val="auto"/>
                <w:kern w:val="0"/>
                <w:sz w:val="28"/>
                <w:szCs w:val="28"/>
                <w:highlight w:val="none"/>
                <w:lang w:eastAsia="zh-CN"/>
              </w:rPr>
              <w:t>上王村农家乐产业发展提升项目</w:t>
            </w:r>
          </w:p>
        </w:tc>
      </w:tr>
      <w:tr>
        <w:tblPrEx>
          <w:tblCellMar>
            <w:top w:w="0" w:type="dxa"/>
            <w:left w:w="108" w:type="dxa"/>
            <w:bottom w:w="0" w:type="dxa"/>
            <w:right w:w="108" w:type="dxa"/>
          </w:tblCellMar>
        </w:tblPrEx>
        <w:trPr>
          <w:trHeight w:val="562" w:hRule="atLeast"/>
          <w:jc w:val="center"/>
        </w:trPr>
        <w:tc>
          <w:tcPr>
            <w:tcW w:w="1780" w:type="dxa"/>
            <w:tcBorders>
              <w:top w:val="nil"/>
              <w:left w:val="nil"/>
              <w:bottom w:val="nil"/>
              <w:right w:val="nil"/>
            </w:tcBorders>
            <w:vAlign w:val="center"/>
          </w:tcPr>
          <w:p>
            <w:pPr>
              <w:widowControl/>
              <w:jc w:val="left"/>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项目编号：</w:t>
            </w:r>
          </w:p>
        </w:tc>
        <w:tc>
          <w:tcPr>
            <w:tcW w:w="6788" w:type="dxa"/>
            <w:tcBorders>
              <w:top w:val="nil"/>
              <w:left w:val="nil"/>
              <w:bottom w:val="nil"/>
              <w:right w:val="nil"/>
            </w:tcBorders>
            <w:vAlign w:val="center"/>
          </w:tcPr>
          <w:p>
            <w:pPr>
              <w:jc w:val="left"/>
              <w:rPr>
                <w:rFonts w:hint="default" w:ascii="宋体" w:hAnsi="宋体" w:eastAsia="宋体" w:cs="宋体"/>
                <w:b/>
                <w:color w:val="auto"/>
                <w:kern w:val="0"/>
                <w:sz w:val="28"/>
                <w:szCs w:val="28"/>
                <w:highlight w:val="none"/>
                <w:lang w:val="en-US" w:eastAsia="zh-CN"/>
              </w:rPr>
            </w:pPr>
            <w:r>
              <w:rPr>
                <w:rFonts w:hint="eastAsia" w:ascii="宋体" w:hAnsi="宋体" w:cs="宋体"/>
                <w:b/>
                <w:color w:val="auto"/>
                <w:kern w:val="0"/>
                <w:sz w:val="28"/>
                <w:szCs w:val="28"/>
                <w:highlight w:val="none"/>
              </w:rPr>
              <w:t>0617-2311GZ0750</w:t>
            </w:r>
          </w:p>
        </w:tc>
      </w:tr>
      <w:tr>
        <w:tblPrEx>
          <w:tblCellMar>
            <w:top w:w="0" w:type="dxa"/>
            <w:left w:w="108" w:type="dxa"/>
            <w:bottom w:w="0" w:type="dxa"/>
            <w:right w:w="108" w:type="dxa"/>
          </w:tblCellMar>
        </w:tblPrEx>
        <w:trPr>
          <w:trHeight w:val="711" w:hRule="atLeast"/>
          <w:jc w:val="center"/>
        </w:trPr>
        <w:tc>
          <w:tcPr>
            <w:tcW w:w="1780" w:type="dxa"/>
            <w:tcBorders>
              <w:top w:val="nil"/>
              <w:left w:val="nil"/>
              <w:bottom w:val="nil"/>
              <w:right w:val="nil"/>
            </w:tcBorders>
            <w:vAlign w:val="center"/>
          </w:tcPr>
          <w:p>
            <w:pPr>
              <w:widowControl/>
              <w:jc w:val="left"/>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采 购 人：</w:t>
            </w:r>
          </w:p>
        </w:tc>
        <w:tc>
          <w:tcPr>
            <w:tcW w:w="6788" w:type="dxa"/>
            <w:tcBorders>
              <w:top w:val="nil"/>
              <w:left w:val="nil"/>
              <w:bottom w:val="nil"/>
              <w:right w:val="nil"/>
            </w:tcBorders>
            <w:vAlign w:val="center"/>
          </w:tcPr>
          <w:p>
            <w:pPr>
              <w:widowControl/>
              <w:jc w:val="left"/>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西安市长安区农村合作经济经营管理站</w:t>
            </w:r>
          </w:p>
        </w:tc>
      </w:tr>
    </w:tbl>
    <w:p>
      <w:pPr>
        <w:jc w:val="center"/>
        <w:rPr>
          <w:rFonts w:ascii="宋体" w:hAnsi="宋体" w:cs="宋体"/>
          <w:b/>
          <w:bCs/>
          <w:color w:val="auto"/>
          <w:kern w:val="0"/>
          <w:sz w:val="36"/>
          <w:highlight w:val="none"/>
        </w:rPr>
      </w:pPr>
    </w:p>
    <w:p>
      <w:pPr>
        <w:rPr>
          <w:rFonts w:ascii="宋体" w:hAnsi="宋体" w:cs="宋体"/>
          <w:b/>
          <w:bCs/>
          <w:color w:val="auto"/>
          <w:kern w:val="0"/>
          <w:sz w:val="36"/>
          <w:highlight w:val="none"/>
        </w:rPr>
      </w:pPr>
    </w:p>
    <w:p>
      <w:pPr>
        <w:rPr>
          <w:rFonts w:ascii="宋体" w:hAnsi="宋体" w:cs="宋体"/>
          <w:b/>
          <w:bCs/>
          <w:color w:val="auto"/>
          <w:kern w:val="0"/>
          <w:sz w:val="36"/>
          <w:highlight w:val="none"/>
        </w:rPr>
      </w:pPr>
    </w:p>
    <w:p>
      <w:pPr>
        <w:jc w:val="center"/>
        <w:rPr>
          <w:rFonts w:ascii="宋体" w:hAnsi="宋体" w:cs="宋体"/>
          <w:b/>
          <w:bCs/>
          <w:color w:val="auto"/>
          <w:kern w:val="0"/>
          <w:sz w:val="28"/>
          <w:szCs w:val="28"/>
          <w:highlight w:val="none"/>
        </w:rPr>
      </w:pPr>
    </w:p>
    <w:p>
      <w:pPr>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西北（陕西）国际招标有限公司</w:t>
      </w:r>
    </w:p>
    <w:p>
      <w:pPr>
        <w:jc w:val="center"/>
        <w:rPr>
          <w:rFonts w:ascii="宋体" w:hAnsi="宋体" w:cs="宋体"/>
          <w:b/>
          <w:bCs/>
          <w:color w:val="auto"/>
          <w:kern w:val="0"/>
          <w:sz w:val="28"/>
          <w:szCs w:val="28"/>
          <w:highlight w:val="none"/>
        </w:rPr>
      </w:pPr>
    </w:p>
    <w:p>
      <w:pPr>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二〇二三年</w:t>
      </w:r>
      <w:r>
        <w:rPr>
          <w:rFonts w:hint="eastAsia" w:ascii="宋体" w:hAnsi="宋体" w:cs="宋体"/>
          <w:b/>
          <w:bCs/>
          <w:color w:val="auto"/>
          <w:kern w:val="0"/>
          <w:sz w:val="28"/>
          <w:szCs w:val="28"/>
          <w:highlight w:val="none"/>
          <w:lang w:eastAsia="zh-CN"/>
        </w:rPr>
        <w:t>六</w:t>
      </w:r>
      <w:r>
        <w:rPr>
          <w:rFonts w:hint="eastAsia" w:ascii="宋体" w:hAnsi="宋体" w:cs="宋体"/>
          <w:b/>
          <w:bCs/>
          <w:color w:val="auto"/>
          <w:kern w:val="0"/>
          <w:sz w:val="28"/>
          <w:szCs w:val="28"/>
          <w:highlight w:val="none"/>
        </w:rPr>
        <w:t>月</w:t>
      </w:r>
    </w:p>
    <w:p>
      <w:pPr>
        <w:jc w:val="center"/>
        <w:rPr>
          <w:rFonts w:ascii="宋体" w:hAnsi="宋体" w:cs="宋体"/>
          <w:color w:val="auto"/>
          <w:kern w:val="0"/>
          <w:sz w:val="44"/>
          <w:szCs w:val="44"/>
          <w:highlight w:val="none"/>
          <w:shd w:val="pct10" w:color="auto" w:fill="FFFFFF"/>
        </w:rPr>
      </w:pPr>
    </w:p>
    <w:p>
      <w:pPr>
        <w:widowControl/>
        <w:jc w:val="left"/>
        <w:rPr>
          <w:rFonts w:ascii="宋体" w:hAnsi="宋体" w:cs="宋体"/>
          <w:color w:val="auto"/>
          <w:kern w:val="0"/>
          <w:highlight w:val="none"/>
        </w:rPr>
      </w:pPr>
    </w:p>
    <w:p>
      <w:pPr>
        <w:rPr>
          <w:rFonts w:ascii="宋体" w:hAnsi="宋体" w:cs="宋体"/>
          <w:color w:val="auto"/>
          <w:kern w:val="0"/>
          <w:highlight w:val="none"/>
        </w:rPr>
        <w:sectPr>
          <w:pgSz w:w="12240" w:h="15840"/>
          <w:pgMar w:top="1440" w:right="1576" w:bottom="1440" w:left="1576" w:header="851" w:footer="992" w:gutter="0"/>
          <w:cols w:space="720" w:num="1"/>
          <w:docGrid w:linePitch="312" w:charSpace="0"/>
        </w:sectPr>
      </w:pPr>
    </w:p>
    <w:p>
      <w:pPr>
        <w:rPr>
          <w:rFonts w:ascii="宋体" w:hAnsi="宋体" w:cs="宋体"/>
          <w:color w:val="auto"/>
          <w:kern w:val="0"/>
          <w:highlight w:val="none"/>
        </w:rPr>
      </w:pPr>
    </w:p>
    <w:sdt>
      <w:sdtPr>
        <w:rPr>
          <w:rFonts w:ascii="宋体" w:hAnsi="宋体"/>
          <w:b/>
          <w:bCs/>
          <w:color w:val="auto"/>
          <w:sz w:val="32"/>
          <w:szCs w:val="40"/>
          <w:highlight w:val="none"/>
        </w:rPr>
        <w:id w:val="147475719"/>
        <w:docPartObj>
          <w:docPartGallery w:val="Table of Contents"/>
          <w:docPartUnique/>
        </w:docPartObj>
      </w:sdtPr>
      <w:sdtEndPr>
        <w:rPr>
          <w:rFonts w:ascii="宋体" w:hAnsi="宋体"/>
          <w:b/>
          <w:bCs/>
          <w:color w:val="auto"/>
          <w:sz w:val="21"/>
          <w:szCs w:val="24"/>
          <w:highlight w:val="none"/>
        </w:rPr>
      </w:sdtEndPr>
      <w:sdtContent>
        <w:p>
          <w:pPr>
            <w:spacing w:after="120" w:afterLines="50"/>
            <w:jc w:val="center"/>
            <w:rPr>
              <w:b/>
              <w:bCs/>
              <w:color w:val="auto"/>
              <w:sz w:val="32"/>
              <w:szCs w:val="40"/>
              <w:highlight w:val="none"/>
            </w:rPr>
          </w:pPr>
          <w:bookmarkStart w:id="0" w:name="_Toc27714"/>
          <w:r>
            <w:rPr>
              <w:rFonts w:ascii="宋体" w:hAnsi="宋体"/>
              <w:b/>
              <w:bCs/>
              <w:color w:val="auto"/>
              <w:sz w:val="32"/>
              <w:szCs w:val="40"/>
              <w:highlight w:val="none"/>
            </w:rPr>
            <w:t>目录</w:t>
          </w:r>
        </w:p>
        <w:p>
          <w:pPr>
            <w:pStyle w:val="31"/>
            <w:tabs>
              <w:tab w:val="right" w:leader="dot" w:pos="9088"/>
              <w:tab w:val="clear" w:pos="9060"/>
            </w:tabs>
            <w:rPr>
              <w:color w:val="auto"/>
              <w:highlight w:val="none"/>
            </w:rPr>
          </w:pPr>
          <w:r>
            <w:rPr>
              <w:color w:val="auto"/>
              <w:highlight w:val="none"/>
            </w:rPr>
            <w:fldChar w:fldCharType="begin"/>
          </w:r>
          <w:r>
            <w:rPr>
              <w:color w:val="auto"/>
              <w:highlight w:val="none"/>
            </w:rPr>
            <w:instrText xml:space="preserve">TOC \o "1-1" \h \u </w:instrText>
          </w:r>
          <w:r>
            <w:rPr>
              <w:color w:val="auto"/>
              <w:highlight w:val="none"/>
            </w:rPr>
            <w:fldChar w:fldCharType="separate"/>
          </w:r>
          <w:r>
            <w:rPr>
              <w:color w:val="auto"/>
              <w:highlight w:val="none"/>
            </w:rPr>
            <w:fldChar w:fldCharType="begin"/>
          </w:r>
          <w:r>
            <w:rPr>
              <w:color w:val="auto"/>
              <w:highlight w:val="none"/>
            </w:rPr>
            <w:instrText xml:space="preserve"> HYPERLINK \l "_Toc3959" </w:instrText>
          </w:r>
          <w:r>
            <w:rPr>
              <w:color w:val="auto"/>
              <w:highlight w:val="none"/>
            </w:rPr>
            <w:fldChar w:fldCharType="separate"/>
          </w:r>
          <w:r>
            <w:rPr>
              <w:rFonts w:hint="eastAsia" w:cs="宋体"/>
              <w:color w:val="auto"/>
              <w:highlight w:val="none"/>
            </w:rPr>
            <w:t>第一章  竞争性磋商公告</w:t>
          </w:r>
          <w:r>
            <w:rPr>
              <w:color w:val="auto"/>
              <w:highlight w:val="none"/>
            </w:rPr>
            <w:tab/>
          </w:r>
          <w:r>
            <w:rPr>
              <w:color w:val="auto"/>
              <w:highlight w:val="none"/>
            </w:rPr>
            <w:fldChar w:fldCharType="begin"/>
          </w:r>
          <w:r>
            <w:rPr>
              <w:color w:val="auto"/>
              <w:highlight w:val="none"/>
            </w:rPr>
            <w:instrText xml:space="preserve"> PAGEREF _Toc3959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pPr>
            <w:pStyle w:val="31"/>
            <w:tabs>
              <w:tab w:val="right" w:leader="dot" w:pos="9088"/>
              <w:tab w:val="clear" w:pos="9060"/>
            </w:tabs>
            <w:rPr>
              <w:color w:val="auto"/>
              <w:highlight w:val="none"/>
            </w:rPr>
          </w:pPr>
          <w:r>
            <w:rPr>
              <w:color w:val="auto"/>
              <w:highlight w:val="none"/>
            </w:rPr>
            <w:fldChar w:fldCharType="begin"/>
          </w:r>
          <w:r>
            <w:rPr>
              <w:color w:val="auto"/>
              <w:highlight w:val="none"/>
            </w:rPr>
            <w:instrText xml:space="preserve"> HYPERLINK \l "_Toc31934" </w:instrText>
          </w:r>
          <w:r>
            <w:rPr>
              <w:color w:val="auto"/>
              <w:highlight w:val="none"/>
            </w:rPr>
            <w:fldChar w:fldCharType="separate"/>
          </w:r>
          <w:r>
            <w:rPr>
              <w:rFonts w:hint="eastAsia" w:cs="宋体"/>
              <w:color w:val="auto"/>
              <w:highlight w:val="none"/>
            </w:rPr>
            <w:t>第二章  磋商须知及前附表</w:t>
          </w:r>
          <w:r>
            <w:rPr>
              <w:color w:val="auto"/>
              <w:highlight w:val="none"/>
            </w:rPr>
            <w:tab/>
          </w:r>
          <w:r>
            <w:rPr>
              <w:color w:val="auto"/>
              <w:highlight w:val="none"/>
            </w:rPr>
            <w:fldChar w:fldCharType="begin"/>
          </w:r>
          <w:r>
            <w:rPr>
              <w:color w:val="auto"/>
              <w:highlight w:val="none"/>
            </w:rPr>
            <w:instrText xml:space="preserve"> PAGEREF _Toc31934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31"/>
            <w:tabs>
              <w:tab w:val="right" w:leader="dot" w:pos="9088"/>
              <w:tab w:val="clear" w:pos="9060"/>
            </w:tabs>
            <w:rPr>
              <w:color w:val="auto"/>
              <w:highlight w:val="none"/>
            </w:rPr>
          </w:pPr>
          <w:r>
            <w:rPr>
              <w:color w:val="auto"/>
              <w:highlight w:val="none"/>
            </w:rPr>
            <w:fldChar w:fldCharType="begin"/>
          </w:r>
          <w:r>
            <w:rPr>
              <w:color w:val="auto"/>
              <w:highlight w:val="none"/>
            </w:rPr>
            <w:instrText xml:space="preserve"> HYPERLINK \l "_Toc14040" </w:instrText>
          </w:r>
          <w:r>
            <w:rPr>
              <w:color w:val="auto"/>
              <w:highlight w:val="none"/>
            </w:rPr>
            <w:fldChar w:fldCharType="separate"/>
          </w:r>
          <w:r>
            <w:rPr>
              <w:rFonts w:hint="eastAsia" w:cs="宋体"/>
              <w:color w:val="auto"/>
              <w:highlight w:val="none"/>
            </w:rPr>
            <w:t>第三章  合同条款及格式</w:t>
          </w:r>
          <w:r>
            <w:rPr>
              <w:color w:val="auto"/>
              <w:highlight w:val="none"/>
            </w:rPr>
            <w:tab/>
          </w:r>
          <w:r>
            <w:rPr>
              <w:color w:val="auto"/>
              <w:highlight w:val="none"/>
            </w:rPr>
            <w:fldChar w:fldCharType="begin"/>
          </w:r>
          <w:r>
            <w:rPr>
              <w:color w:val="auto"/>
              <w:highlight w:val="none"/>
            </w:rPr>
            <w:instrText xml:space="preserve"> PAGEREF _Toc14040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pPr>
            <w:pStyle w:val="31"/>
            <w:tabs>
              <w:tab w:val="right" w:leader="dot" w:pos="9088"/>
              <w:tab w:val="clear" w:pos="9060"/>
            </w:tabs>
            <w:rPr>
              <w:color w:val="auto"/>
              <w:highlight w:val="none"/>
            </w:rPr>
          </w:pPr>
          <w:r>
            <w:rPr>
              <w:color w:val="auto"/>
              <w:highlight w:val="none"/>
            </w:rPr>
            <w:fldChar w:fldCharType="begin"/>
          </w:r>
          <w:r>
            <w:rPr>
              <w:color w:val="auto"/>
              <w:highlight w:val="none"/>
            </w:rPr>
            <w:instrText xml:space="preserve"> HYPERLINK \l "_Toc28458" </w:instrText>
          </w:r>
          <w:r>
            <w:rPr>
              <w:color w:val="auto"/>
              <w:highlight w:val="none"/>
            </w:rPr>
            <w:fldChar w:fldCharType="separate"/>
          </w:r>
          <w:r>
            <w:rPr>
              <w:rFonts w:hint="eastAsia" w:cs="宋体"/>
              <w:color w:val="auto"/>
              <w:highlight w:val="none"/>
            </w:rPr>
            <w:t>第四章  磋商响应文件格式</w:t>
          </w:r>
          <w:r>
            <w:rPr>
              <w:color w:val="auto"/>
              <w:highlight w:val="none"/>
            </w:rPr>
            <w:tab/>
          </w:r>
          <w:r>
            <w:rPr>
              <w:color w:val="auto"/>
              <w:highlight w:val="none"/>
            </w:rPr>
            <w:fldChar w:fldCharType="begin"/>
          </w:r>
          <w:r>
            <w:rPr>
              <w:color w:val="auto"/>
              <w:highlight w:val="none"/>
            </w:rPr>
            <w:instrText xml:space="preserve"> PAGEREF _Toc28458 \h </w:instrText>
          </w:r>
          <w:r>
            <w:rPr>
              <w:color w:val="auto"/>
              <w:highlight w:val="none"/>
            </w:rPr>
            <w:fldChar w:fldCharType="separate"/>
          </w:r>
          <w:r>
            <w:rPr>
              <w:color w:val="auto"/>
              <w:highlight w:val="none"/>
            </w:rPr>
            <w:t>76</w:t>
          </w:r>
          <w:r>
            <w:rPr>
              <w:color w:val="auto"/>
              <w:highlight w:val="none"/>
            </w:rPr>
            <w:fldChar w:fldCharType="end"/>
          </w:r>
          <w:r>
            <w:rPr>
              <w:color w:val="auto"/>
              <w:highlight w:val="none"/>
            </w:rPr>
            <w:fldChar w:fldCharType="end"/>
          </w:r>
        </w:p>
        <w:p>
          <w:pPr>
            <w:pStyle w:val="31"/>
            <w:tabs>
              <w:tab w:val="right" w:leader="dot" w:pos="9088"/>
              <w:tab w:val="clear" w:pos="9060"/>
            </w:tabs>
            <w:rPr>
              <w:color w:val="auto"/>
              <w:highlight w:val="none"/>
            </w:rPr>
          </w:pPr>
          <w:r>
            <w:rPr>
              <w:color w:val="auto"/>
              <w:highlight w:val="none"/>
            </w:rPr>
            <w:fldChar w:fldCharType="begin"/>
          </w:r>
          <w:r>
            <w:rPr>
              <w:color w:val="auto"/>
              <w:highlight w:val="none"/>
            </w:rPr>
            <w:instrText xml:space="preserve"> HYPERLINK \l "_Toc3333" </w:instrText>
          </w:r>
          <w:r>
            <w:rPr>
              <w:color w:val="auto"/>
              <w:highlight w:val="none"/>
            </w:rPr>
            <w:fldChar w:fldCharType="separate"/>
          </w:r>
          <w:r>
            <w:rPr>
              <w:rFonts w:hint="eastAsia" w:cs="宋体"/>
              <w:color w:val="auto"/>
              <w:highlight w:val="none"/>
            </w:rPr>
            <w:t>第五章  采购内容及技术规范</w:t>
          </w:r>
          <w:r>
            <w:rPr>
              <w:color w:val="auto"/>
              <w:highlight w:val="none"/>
            </w:rPr>
            <w:tab/>
          </w:r>
          <w:r>
            <w:rPr>
              <w:color w:val="auto"/>
              <w:highlight w:val="none"/>
            </w:rPr>
            <w:fldChar w:fldCharType="begin"/>
          </w:r>
          <w:r>
            <w:rPr>
              <w:color w:val="auto"/>
              <w:highlight w:val="none"/>
            </w:rPr>
            <w:instrText xml:space="preserve"> PAGEREF _Toc3333 \h </w:instrText>
          </w:r>
          <w:r>
            <w:rPr>
              <w:color w:val="auto"/>
              <w:highlight w:val="none"/>
            </w:rPr>
            <w:fldChar w:fldCharType="separate"/>
          </w:r>
          <w:r>
            <w:rPr>
              <w:color w:val="auto"/>
              <w:highlight w:val="none"/>
            </w:rPr>
            <w:t>97</w:t>
          </w:r>
          <w:r>
            <w:rPr>
              <w:color w:val="auto"/>
              <w:highlight w:val="none"/>
            </w:rPr>
            <w:fldChar w:fldCharType="end"/>
          </w:r>
          <w:r>
            <w:rPr>
              <w:color w:val="auto"/>
              <w:highlight w:val="none"/>
            </w:rPr>
            <w:fldChar w:fldCharType="end"/>
          </w:r>
        </w:p>
        <w:p>
          <w:pPr>
            <w:pStyle w:val="31"/>
            <w:tabs>
              <w:tab w:val="right" w:leader="dot" w:pos="9088"/>
              <w:tab w:val="clear" w:pos="9060"/>
            </w:tabs>
            <w:rPr>
              <w:color w:val="auto"/>
              <w:highlight w:val="none"/>
            </w:rPr>
          </w:pPr>
          <w:r>
            <w:rPr>
              <w:color w:val="auto"/>
              <w:highlight w:val="none"/>
            </w:rPr>
            <w:fldChar w:fldCharType="begin"/>
          </w:r>
          <w:r>
            <w:rPr>
              <w:color w:val="auto"/>
              <w:highlight w:val="none"/>
            </w:rPr>
            <w:instrText xml:space="preserve"> HYPERLINK \l "_Toc12011" </w:instrText>
          </w:r>
          <w:r>
            <w:rPr>
              <w:color w:val="auto"/>
              <w:highlight w:val="none"/>
            </w:rPr>
            <w:fldChar w:fldCharType="separate"/>
          </w:r>
          <w:r>
            <w:rPr>
              <w:rFonts w:hint="eastAsia" w:cs="宋体"/>
              <w:color w:val="auto"/>
              <w:highlight w:val="none"/>
            </w:rPr>
            <w:t>第六章  评审方法</w:t>
          </w:r>
          <w:r>
            <w:rPr>
              <w:color w:val="auto"/>
              <w:highlight w:val="none"/>
            </w:rPr>
            <w:tab/>
          </w:r>
          <w:r>
            <w:rPr>
              <w:color w:val="auto"/>
              <w:highlight w:val="none"/>
            </w:rPr>
            <w:fldChar w:fldCharType="begin"/>
          </w:r>
          <w:r>
            <w:rPr>
              <w:color w:val="auto"/>
              <w:highlight w:val="none"/>
            </w:rPr>
            <w:instrText xml:space="preserve"> PAGEREF _Toc12011 \h </w:instrText>
          </w:r>
          <w:r>
            <w:rPr>
              <w:color w:val="auto"/>
              <w:highlight w:val="none"/>
            </w:rPr>
            <w:fldChar w:fldCharType="separate"/>
          </w:r>
          <w:r>
            <w:rPr>
              <w:color w:val="auto"/>
              <w:highlight w:val="none"/>
            </w:rPr>
            <w:t>98</w:t>
          </w:r>
          <w:r>
            <w:rPr>
              <w:color w:val="auto"/>
              <w:highlight w:val="none"/>
            </w:rPr>
            <w:fldChar w:fldCharType="end"/>
          </w:r>
          <w:r>
            <w:rPr>
              <w:color w:val="auto"/>
              <w:highlight w:val="none"/>
            </w:rPr>
            <w:fldChar w:fldCharType="end"/>
          </w:r>
        </w:p>
        <w:p>
          <w:pPr>
            <w:rPr>
              <w:color w:val="auto"/>
              <w:highlight w:val="none"/>
            </w:rPr>
          </w:pPr>
          <w:r>
            <w:rPr>
              <w:color w:val="auto"/>
              <w:highlight w:val="none"/>
            </w:rPr>
            <w:fldChar w:fldCharType="end"/>
          </w:r>
        </w:p>
      </w:sdtContent>
    </w:sdt>
    <w:p>
      <w:pPr>
        <w:rPr>
          <w:rFonts w:ascii="宋体" w:hAnsi="宋体" w:cs="宋体"/>
          <w:color w:val="auto"/>
          <w:highlight w:val="none"/>
        </w:rPr>
      </w:pPr>
      <w:r>
        <w:rPr>
          <w:rFonts w:hint="eastAsia" w:ascii="宋体" w:hAnsi="宋体" w:cs="宋体"/>
          <w:color w:val="auto"/>
          <w:highlight w:val="none"/>
        </w:rPr>
        <w:br w:type="page"/>
      </w:r>
    </w:p>
    <w:p>
      <w:pPr>
        <w:pStyle w:val="3"/>
        <w:spacing w:before="0" w:after="0"/>
        <w:rPr>
          <w:rFonts w:ascii="宋体" w:hAnsi="宋体" w:cs="宋体"/>
          <w:color w:val="auto"/>
          <w:highlight w:val="none"/>
        </w:rPr>
      </w:pPr>
      <w:bookmarkStart w:id="1" w:name="_Toc3959"/>
      <w:r>
        <w:rPr>
          <w:rFonts w:hint="eastAsia" w:ascii="宋体" w:hAnsi="宋体" w:cs="宋体"/>
          <w:color w:val="auto"/>
          <w:highlight w:val="none"/>
        </w:rPr>
        <w:t xml:space="preserve">第一章  </w:t>
      </w:r>
      <w:bookmarkEnd w:id="0"/>
      <w:r>
        <w:rPr>
          <w:rFonts w:hint="eastAsia" w:ascii="宋体" w:hAnsi="宋体" w:cs="宋体"/>
          <w:color w:val="auto"/>
          <w:highlight w:val="none"/>
        </w:rPr>
        <w:t>竞争性磋商公告</w:t>
      </w:r>
      <w:bookmarkEnd w:id="1"/>
    </w:p>
    <w:p>
      <w:pPr>
        <w:pBdr>
          <w:top w:val="single" w:color="auto" w:sz="4" w:space="1"/>
          <w:left w:val="single" w:color="auto" w:sz="4" w:space="4"/>
          <w:bottom w:val="single" w:color="auto" w:sz="4" w:space="1"/>
          <w:right w:val="single" w:color="auto" w:sz="4" w:space="4"/>
        </w:pBdr>
        <w:tabs>
          <w:tab w:val="left" w:pos="8190"/>
        </w:tabs>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项目概况</w:t>
      </w:r>
    </w:p>
    <w:p>
      <w:pPr>
        <w:pBdr>
          <w:top w:val="single" w:color="auto" w:sz="4" w:space="1"/>
          <w:left w:val="single" w:color="auto" w:sz="4" w:space="4"/>
          <w:bottom w:val="single" w:color="auto" w:sz="4" w:space="1"/>
          <w:right w:val="single" w:color="auto" w:sz="4" w:space="4"/>
        </w:pBdr>
        <w:spacing w:line="380" w:lineRule="exact"/>
        <w:ind w:firstLine="420" w:firstLineChars="200"/>
        <w:rPr>
          <w:rFonts w:ascii="宋体" w:hAnsi="宋体" w:cs="宋体"/>
          <w:color w:val="auto"/>
          <w:highlight w:val="none"/>
        </w:rPr>
      </w:pPr>
      <w:r>
        <w:rPr>
          <w:rFonts w:hint="eastAsia" w:ascii="宋体" w:hAnsi="宋体" w:cs="宋体"/>
          <w:color w:val="auto"/>
          <w:szCs w:val="21"/>
          <w:highlight w:val="none"/>
          <w:u w:val="single"/>
          <w:lang w:eastAsia="zh-CN"/>
        </w:rPr>
        <w:t>上王村农家乐产业发展提升项目</w:t>
      </w:r>
      <w:r>
        <w:rPr>
          <w:rFonts w:hint="eastAsia" w:ascii="宋体" w:hAnsi="宋体" w:cs="宋体"/>
          <w:color w:val="auto"/>
          <w:szCs w:val="21"/>
          <w:highlight w:val="none"/>
        </w:rPr>
        <w:t>采购项目的潜在供应商应在</w:t>
      </w:r>
      <w:r>
        <w:rPr>
          <w:rFonts w:hint="eastAsia" w:ascii="宋体" w:hAnsi="宋体" w:cs="宋体"/>
          <w:color w:val="auto"/>
          <w:szCs w:val="21"/>
          <w:highlight w:val="none"/>
          <w:u w:val="single"/>
        </w:rPr>
        <w:t>西安市南二环西段58号成长大厦11层1103室</w:t>
      </w:r>
      <w:r>
        <w:rPr>
          <w:rFonts w:hint="eastAsia" w:ascii="宋体" w:hAnsi="宋体" w:cs="宋体"/>
          <w:color w:val="auto"/>
          <w:szCs w:val="21"/>
          <w:highlight w:val="none"/>
        </w:rPr>
        <w:t>获取采购文件，并于</w:t>
      </w:r>
      <w:r>
        <w:rPr>
          <w:rFonts w:hint="eastAsia" w:ascii="宋体" w:hAnsi="宋体" w:cs="宋体"/>
          <w:color w:val="auto"/>
          <w:kern w:val="0"/>
          <w:szCs w:val="21"/>
          <w:highlight w:val="none"/>
        </w:rPr>
        <w:t>2023年</w:t>
      </w:r>
      <w:r>
        <w:rPr>
          <w:rFonts w:hint="eastAsia" w:ascii="宋体" w:hAnsi="宋体" w:cs="宋体"/>
          <w:color w:val="auto"/>
          <w:kern w:val="0"/>
          <w:szCs w:val="21"/>
          <w:highlight w:val="none"/>
          <w:u w:val="single"/>
          <w:lang w:val="en-US" w:eastAsia="zh-CN"/>
        </w:rPr>
        <w:t>06</w:t>
      </w:r>
      <w:r>
        <w:rPr>
          <w:rFonts w:hint="eastAsia" w:ascii="宋体" w:hAnsi="宋体" w:cs="宋体"/>
          <w:color w:val="auto"/>
          <w:kern w:val="0"/>
          <w:szCs w:val="21"/>
          <w:highlight w:val="none"/>
        </w:rPr>
        <w:t>月</w:t>
      </w:r>
      <w:r>
        <w:rPr>
          <w:rFonts w:hint="eastAsia" w:ascii="宋体" w:hAnsi="宋体" w:cs="宋体"/>
          <w:color w:val="auto"/>
          <w:kern w:val="0"/>
          <w:szCs w:val="21"/>
          <w:highlight w:val="none"/>
          <w:u w:val="single"/>
          <w:lang w:val="en-US" w:eastAsia="zh-CN"/>
        </w:rPr>
        <w:t>25</w:t>
      </w:r>
      <w:r>
        <w:rPr>
          <w:rFonts w:hint="eastAsia" w:ascii="宋体" w:hAnsi="宋体" w:cs="宋体"/>
          <w:color w:val="auto"/>
          <w:kern w:val="0"/>
          <w:szCs w:val="21"/>
          <w:highlight w:val="none"/>
        </w:rPr>
        <w:t>日</w:t>
      </w:r>
      <w:r>
        <w:rPr>
          <w:rFonts w:hint="eastAsia" w:ascii="宋体" w:hAnsi="宋体" w:cs="宋体"/>
          <w:color w:val="auto"/>
          <w:kern w:val="0"/>
          <w:szCs w:val="21"/>
          <w:highlight w:val="none"/>
          <w:u w:val="single"/>
          <w:lang w:val="en-US" w:eastAsia="zh-CN"/>
        </w:rPr>
        <w:t>14</w:t>
      </w:r>
      <w:r>
        <w:rPr>
          <w:rFonts w:hint="eastAsia" w:ascii="宋体" w:hAnsi="宋体" w:cs="宋体"/>
          <w:color w:val="auto"/>
          <w:kern w:val="0"/>
          <w:szCs w:val="21"/>
          <w:highlight w:val="none"/>
        </w:rPr>
        <w:t>时</w:t>
      </w:r>
      <w:r>
        <w:rPr>
          <w:rFonts w:hint="eastAsia" w:ascii="宋体" w:hAnsi="宋体" w:cs="宋体"/>
          <w:color w:val="auto"/>
          <w:kern w:val="0"/>
          <w:szCs w:val="21"/>
          <w:highlight w:val="none"/>
          <w:u w:val="single"/>
          <w:lang w:val="en-US" w:eastAsia="zh-CN"/>
        </w:rPr>
        <w:t>30</w:t>
      </w:r>
      <w:r>
        <w:rPr>
          <w:rFonts w:hint="eastAsia" w:ascii="宋体" w:hAnsi="宋体" w:cs="宋体"/>
          <w:color w:val="auto"/>
          <w:kern w:val="0"/>
          <w:szCs w:val="21"/>
          <w:highlight w:val="none"/>
        </w:rPr>
        <w:t>分</w:t>
      </w:r>
      <w:r>
        <w:rPr>
          <w:rFonts w:hint="eastAsia" w:ascii="宋体" w:hAnsi="宋体" w:cs="宋体"/>
          <w:bCs/>
          <w:color w:val="auto"/>
          <w:szCs w:val="21"/>
          <w:highlight w:val="none"/>
        </w:rPr>
        <w:t>（北京时间）前提交响应文件</w:t>
      </w:r>
      <w:r>
        <w:rPr>
          <w:rFonts w:hint="eastAsia" w:ascii="宋体" w:hAnsi="宋体" w:cs="宋体"/>
          <w:color w:val="auto"/>
          <w:szCs w:val="21"/>
          <w:highlight w:val="none"/>
        </w:rPr>
        <w:t>。</w:t>
      </w:r>
    </w:p>
    <w:p>
      <w:pPr>
        <w:keepNext w:val="0"/>
        <w:keepLines w:val="0"/>
        <w:pageBreakBefore w:val="0"/>
        <w:kinsoku/>
        <w:wordWrap/>
        <w:overflowPunct/>
        <w:topLinePunct w:val="0"/>
        <w:autoSpaceDE/>
        <w:autoSpaceDN/>
        <w:bidi w:val="0"/>
        <w:adjustRightInd/>
        <w:snapToGrid/>
        <w:spacing w:line="350" w:lineRule="exact"/>
        <w:ind w:firstLine="422" w:firstLineChars="200"/>
        <w:textAlignment w:val="auto"/>
        <w:rPr>
          <w:rFonts w:ascii="宋体" w:hAnsi="宋体" w:cs="宋体"/>
          <w:b/>
          <w:bCs/>
          <w:color w:val="auto"/>
          <w:kern w:val="0"/>
          <w:szCs w:val="21"/>
          <w:highlight w:val="none"/>
        </w:rPr>
      </w:pPr>
      <w:bookmarkStart w:id="2" w:name="_Toc35393798"/>
      <w:bookmarkStart w:id="3" w:name="_Toc28359089"/>
      <w:bookmarkStart w:id="4" w:name="_Toc35393629"/>
      <w:bookmarkStart w:id="5" w:name="_Toc28359012"/>
      <w:r>
        <w:rPr>
          <w:rFonts w:hint="eastAsia" w:ascii="宋体" w:hAnsi="宋体" w:cs="宋体"/>
          <w:b/>
          <w:bCs/>
          <w:color w:val="auto"/>
          <w:kern w:val="0"/>
          <w:szCs w:val="21"/>
          <w:highlight w:val="none"/>
        </w:rPr>
        <w:t>一、项目基本情况</w:t>
      </w:r>
      <w:bookmarkEnd w:id="2"/>
      <w:bookmarkEnd w:id="3"/>
      <w:bookmarkEnd w:id="4"/>
      <w:bookmarkEnd w:id="5"/>
    </w:p>
    <w:p>
      <w:pPr>
        <w:keepNext w:val="0"/>
        <w:keepLines w:val="0"/>
        <w:pageBreakBefore w:val="0"/>
        <w:kinsoku/>
        <w:wordWrap/>
        <w:overflowPunct/>
        <w:topLinePunct w:val="0"/>
        <w:autoSpaceDE/>
        <w:autoSpaceDN/>
        <w:bidi w:val="0"/>
        <w:adjustRightInd/>
        <w:snapToGrid/>
        <w:spacing w:line="35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1.</w:t>
      </w:r>
      <w:r>
        <w:rPr>
          <w:rFonts w:hint="eastAsia" w:ascii="宋体" w:hAnsi="宋体" w:cs="宋体"/>
          <w:color w:val="auto"/>
          <w:kern w:val="0"/>
          <w:szCs w:val="21"/>
          <w:highlight w:val="none"/>
        </w:rPr>
        <w:t>项目编号：0617-2311GZ0750</w:t>
      </w:r>
    </w:p>
    <w:p>
      <w:pPr>
        <w:keepNext w:val="0"/>
        <w:keepLines w:val="0"/>
        <w:pageBreakBefore w:val="0"/>
        <w:kinsoku/>
        <w:wordWrap/>
        <w:overflowPunct/>
        <w:topLinePunct w:val="0"/>
        <w:autoSpaceDE/>
        <w:autoSpaceDN/>
        <w:bidi w:val="0"/>
        <w:adjustRightInd/>
        <w:snapToGrid/>
        <w:spacing w:line="350" w:lineRule="exact"/>
        <w:ind w:firstLine="420" w:firstLineChars="200"/>
        <w:textAlignment w:val="auto"/>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val="en-US" w:eastAsia="zh-CN"/>
        </w:rPr>
        <w:t>2.</w:t>
      </w:r>
      <w:r>
        <w:rPr>
          <w:rFonts w:hint="eastAsia" w:ascii="宋体" w:hAnsi="宋体" w:cs="宋体"/>
          <w:color w:val="auto"/>
          <w:kern w:val="0"/>
          <w:szCs w:val="21"/>
          <w:highlight w:val="none"/>
        </w:rPr>
        <w:t>项目名称：</w:t>
      </w:r>
      <w:r>
        <w:rPr>
          <w:rFonts w:hint="eastAsia" w:ascii="宋体" w:hAnsi="宋体" w:cs="宋体"/>
          <w:color w:val="auto"/>
          <w:kern w:val="0"/>
          <w:szCs w:val="21"/>
          <w:highlight w:val="none"/>
          <w:lang w:eastAsia="zh-CN"/>
        </w:rPr>
        <w:t>上王村农家乐产业发展提升项目</w:t>
      </w:r>
    </w:p>
    <w:p>
      <w:pPr>
        <w:keepNext w:val="0"/>
        <w:keepLines w:val="0"/>
        <w:pageBreakBefore w:val="0"/>
        <w:kinsoku/>
        <w:wordWrap/>
        <w:overflowPunct/>
        <w:topLinePunct w:val="0"/>
        <w:autoSpaceDE/>
        <w:autoSpaceDN/>
        <w:bidi w:val="0"/>
        <w:adjustRightInd/>
        <w:snapToGrid/>
        <w:spacing w:line="35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采购方式：竞争性磋商</w:t>
      </w:r>
    </w:p>
    <w:p>
      <w:pPr>
        <w:keepNext w:val="0"/>
        <w:keepLines w:val="0"/>
        <w:pageBreakBefore w:val="0"/>
        <w:kinsoku/>
        <w:wordWrap/>
        <w:overflowPunct/>
        <w:topLinePunct w:val="0"/>
        <w:autoSpaceDE/>
        <w:autoSpaceDN/>
        <w:bidi w:val="0"/>
        <w:adjustRightInd/>
        <w:snapToGrid/>
        <w:spacing w:line="350" w:lineRule="exact"/>
        <w:ind w:firstLine="420" w:firstLineChars="200"/>
        <w:textAlignment w:val="auto"/>
        <w:rPr>
          <w:rFonts w:ascii="宋体" w:hAnsi="宋体" w:cs="宋体"/>
          <w:color w:val="auto"/>
          <w:kern w:val="0"/>
          <w:sz w:val="18"/>
          <w:szCs w:val="18"/>
          <w:highlight w:val="none"/>
        </w:rPr>
      </w:pPr>
      <w:r>
        <w:rPr>
          <w:rFonts w:hint="eastAsia" w:ascii="宋体" w:hAnsi="宋体" w:cs="宋体"/>
          <w:color w:val="auto"/>
          <w:kern w:val="0"/>
          <w:szCs w:val="21"/>
          <w:highlight w:val="none"/>
          <w:lang w:val="en-US" w:eastAsia="zh-CN"/>
        </w:rPr>
        <w:t>4.</w:t>
      </w:r>
      <w:r>
        <w:rPr>
          <w:rFonts w:hint="eastAsia" w:ascii="宋体" w:hAnsi="宋体" w:cs="宋体"/>
          <w:color w:val="auto"/>
          <w:kern w:val="0"/>
          <w:szCs w:val="21"/>
          <w:highlight w:val="none"/>
        </w:rPr>
        <w:t>预算金额：</w:t>
      </w:r>
      <w:r>
        <w:rPr>
          <w:rFonts w:hint="eastAsia" w:ascii="宋体" w:hAnsi="宋体" w:cs="宋体"/>
          <w:bCs/>
          <w:color w:val="auto"/>
          <w:kern w:val="0"/>
          <w:szCs w:val="21"/>
          <w:highlight w:val="none"/>
          <w:lang w:val="en-US" w:eastAsia="zh-CN"/>
        </w:rPr>
        <w:t>906700.00</w:t>
      </w:r>
      <w:r>
        <w:rPr>
          <w:rFonts w:hint="eastAsia" w:ascii="宋体" w:hAnsi="宋体" w:cs="宋体"/>
          <w:color w:val="auto"/>
          <w:kern w:val="0"/>
          <w:szCs w:val="21"/>
          <w:highlight w:val="none"/>
        </w:rPr>
        <w:t>元</w:t>
      </w:r>
    </w:p>
    <w:p>
      <w:pPr>
        <w:keepNext w:val="0"/>
        <w:keepLines w:val="0"/>
        <w:pageBreakBefore w:val="0"/>
        <w:kinsoku/>
        <w:wordWrap/>
        <w:overflowPunct/>
        <w:topLinePunct w:val="0"/>
        <w:autoSpaceDE/>
        <w:autoSpaceDN/>
        <w:bidi w:val="0"/>
        <w:adjustRightInd/>
        <w:snapToGrid/>
        <w:spacing w:line="350" w:lineRule="exact"/>
        <w:ind w:firstLine="420" w:firstLineChars="200"/>
        <w:textAlignment w:val="auto"/>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最高限价：</w:t>
      </w:r>
      <w:r>
        <w:rPr>
          <w:rFonts w:hint="eastAsia" w:ascii="宋体" w:hAnsi="宋体" w:cs="宋体"/>
          <w:bCs/>
          <w:color w:val="auto"/>
          <w:kern w:val="0"/>
          <w:szCs w:val="21"/>
          <w:highlight w:val="none"/>
          <w:lang w:eastAsia="zh-CN"/>
        </w:rPr>
        <w:t>863303.39</w:t>
      </w:r>
      <w:r>
        <w:rPr>
          <w:rFonts w:hint="eastAsia" w:ascii="宋体" w:hAnsi="宋体" w:cs="宋体"/>
          <w:bCs/>
          <w:color w:val="auto"/>
          <w:kern w:val="0"/>
          <w:szCs w:val="21"/>
          <w:highlight w:val="none"/>
        </w:rPr>
        <w:t>元</w:t>
      </w:r>
    </w:p>
    <w:p>
      <w:pPr>
        <w:keepNext w:val="0"/>
        <w:keepLines w:val="0"/>
        <w:pageBreakBefore w:val="0"/>
        <w:kinsoku/>
        <w:wordWrap/>
        <w:overflowPunct/>
        <w:topLinePunct w:val="0"/>
        <w:autoSpaceDE/>
        <w:autoSpaceDN/>
        <w:bidi w:val="0"/>
        <w:adjustRightInd/>
        <w:snapToGrid/>
        <w:spacing w:line="35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rPr>
        <w:t>采购需求：</w:t>
      </w:r>
    </w:p>
    <w:p>
      <w:pPr>
        <w:keepNext w:val="0"/>
        <w:keepLines w:val="0"/>
        <w:pageBreakBefore w:val="0"/>
        <w:widowControl/>
        <w:kinsoku/>
        <w:wordWrap/>
        <w:overflowPunct/>
        <w:topLinePunct w:val="0"/>
        <w:autoSpaceDE/>
        <w:autoSpaceDN/>
        <w:bidi w:val="0"/>
        <w:adjustRightInd/>
        <w:snapToGrid/>
        <w:spacing w:line="350" w:lineRule="exact"/>
        <w:ind w:firstLine="420" w:firstLineChars="200"/>
        <w:jc w:val="left"/>
        <w:textAlignment w:val="auto"/>
        <w:rPr>
          <w:rFonts w:hint="eastAsia" w:ascii="宋体" w:hAnsi="宋体" w:eastAsia="宋体" w:cs="宋体"/>
          <w:color w:val="auto"/>
          <w:kern w:val="0"/>
          <w:szCs w:val="21"/>
          <w:highlight w:val="none"/>
          <w:lang w:eastAsia="zh-CN"/>
        </w:rPr>
      </w:pPr>
      <w:r>
        <w:rPr>
          <w:rFonts w:hint="eastAsia" w:ascii="宋体" w:hAnsi="宋体" w:cs="宋体"/>
          <w:bCs/>
          <w:color w:val="auto"/>
          <w:kern w:val="0"/>
          <w:szCs w:val="21"/>
          <w:highlight w:val="none"/>
        </w:rPr>
        <w:t>上王村农家乐产业发展提升项目，1项，预算金额：</w:t>
      </w:r>
      <w:r>
        <w:rPr>
          <w:rFonts w:hint="eastAsia" w:ascii="宋体" w:hAnsi="宋体" w:cs="宋体"/>
          <w:bCs/>
          <w:color w:val="auto"/>
          <w:kern w:val="0"/>
          <w:szCs w:val="21"/>
          <w:highlight w:val="none"/>
          <w:lang w:val="en-US" w:eastAsia="zh-CN"/>
        </w:rPr>
        <w:t>906700.00</w:t>
      </w:r>
      <w:r>
        <w:rPr>
          <w:rFonts w:hint="eastAsia" w:ascii="宋体" w:hAnsi="宋体" w:cs="宋体"/>
          <w:bCs/>
          <w:color w:val="auto"/>
          <w:kern w:val="0"/>
          <w:szCs w:val="21"/>
          <w:highlight w:val="none"/>
        </w:rPr>
        <w:t>元，简要技术要求、用途：建设农产品展示中心，打造特殊餐饮户、民宿，建设游客展示中心等。</w:t>
      </w:r>
    </w:p>
    <w:p>
      <w:pPr>
        <w:keepNext w:val="0"/>
        <w:keepLines w:val="0"/>
        <w:pageBreakBefore w:val="0"/>
        <w:kinsoku/>
        <w:wordWrap/>
        <w:overflowPunct/>
        <w:topLinePunct w:val="0"/>
        <w:autoSpaceDE/>
        <w:autoSpaceDN/>
        <w:bidi w:val="0"/>
        <w:adjustRightInd/>
        <w:snapToGrid/>
        <w:spacing w:line="350" w:lineRule="exact"/>
        <w:ind w:firstLine="420" w:firstLineChars="200"/>
        <w:textAlignment w:val="auto"/>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7.</w:t>
      </w:r>
      <w:r>
        <w:rPr>
          <w:rFonts w:hint="eastAsia" w:ascii="宋体" w:hAnsi="宋体" w:cs="宋体"/>
          <w:color w:val="auto"/>
          <w:kern w:val="0"/>
          <w:szCs w:val="21"/>
          <w:highlight w:val="none"/>
        </w:rPr>
        <w:t>合同履行期限：</w:t>
      </w:r>
      <w:r>
        <w:rPr>
          <w:rFonts w:hint="eastAsia" w:ascii="宋体" w:hAnsi="宋体" w:cs="宋体"/>
          <w:color w:val="auto"/>
          <w:kern w:val="0"/>
          <w:szCs w:val="21"/>
          <w:highlight w:val="none"/>
          <w:lang w:val="en-US" w:eastAsia="zh-CN"/>
        </w:rPr>
        <w:t>60个日历天</w:t>
      </w:r>
      <w:r>
        <w:rPr>
          <w:rFonts w:hint="eastAsia" w:ascii="宋体" w:hAnsi="宋体" w:cs="宋体"/>
          <w:color w:val="auto"/>
          <w:kern w:val="0"/>
          <w:szCs w:val="21"/>
          <w:highlight w:val="none"/>
        </w:rPr>
        <w:t>（具体开工日期以采购人通知为准）</w:t>
      </w:r>
      <w:r>
        <w:rPr>
          <w:rFonts w:hint="eastAsia" w:ascii="宋体" w:hAnsi="宋体" w:cs="宋体"/>
          <w:color w:val="auto"/>
          <w:kern w:val="0"/>
          <w:szCs w:val="21"/>
          <w:highlight w:val="none"/>
          <w:lang w:val="en-US" w:eastAsia="zh-CN"/>
        </w:rPr>
        <w:t>。</w:t>
      </w:r>
    </w:p>
    <w:p>
      <w:pPr>
        <w:keepNext w:val="0"/>
        <w:keepLines w:val="0"/>
        <w:pageBreakBefore w:val="0"/>
        <w:kinsoku/>
        <w:wordWrap/>
        <w:overflowPunct/>
        <w:topLinePunct w:val="0"/>
        <w:autoSpaceDE/>
        <w:autoSpaceDN/>
        <w:bidi w:val="0"/>
        <w:adjustRightInd/>
        <w:snapToGrid/>
        <w:spacing w:line="35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8.</w:t>
      </w:r>
      <w:r>
        <w:rPr>
          <w:rFonts w:hint="eastAsia" w:ascii="宋体" w:hAnsi="宋体" w:cs="宋体"/>
          <w:color w:val="auto"/>
          <w:kern w:val="0"/>
          <w:szCs w:val="21"/>
          <w:highlight w:val="none"/>
        </w:rPr>
        <w:t>本项目不接受联合体磋商。</w:t>
      </w:r>
    </w:p>
    <w:p>
      <w:pPr>
        <w:keepNext w:val="0"/>
        <w:keepLines w:val="0"/>
        <w:pageBreakBefore w:val="0"/>
        <w:kinsoku/>
        <w:wordWrap/>
        <w:overflowPunct/>
        <w:topLinePunct w:val="0"/>
        <w:autoSpaceDE/>
        <w:autoSpaceDN/>
        <w:bidi w:val="0"/>
        <w:adjustRightInd/>
        <w:snapToGrid/>
        <w:spacing w:line="350" w:lineRule="exact"/>
        <w:ind w:firstLine="422" w:firstLineChars="200"/>
        <w:textAlignment w:val="auto"/>
        <w:rPr>
          <w:rFonts w:ascii="宋体" w:hAnsi="宋体" w:cs="宋体"/>
          <w:b/>
          <w:bCs/>
          <w:color w:val="auto"/>
          <w:kern w:val="0"/>
          <w:szCs w:val="21"/>
          <w:highlight w:val="none"/>
        </w:rPr>
      </w:pPr>
      <w:bookmarkStart w:id="6" w:name="_Toc35393799"/>
      <w:bookmarkStart w:id="7" w:name="_Toc28359013"/>
      <w:bookmarkStart w:id="8" w:name="_Toc28359090"/>
      <w:bookmarkStart w:id="9" w:name="_Toc35393630"/>
      <w:r>
        <w:rPr>
          <w:rFonts w:hint="eastAsia" w:ascii="宋体" w:hAnsi="宋体" w:cs="宋体"/>
          <w:b/>
          <w:bCs/>
          <w:color w:val="auto"/>
          <w:kern w:val="0"/>
          <w:szCs w:val="21"/>
          <w:highlight w:val="none"/>
        </w:rPr>
        <w:t>二、申请人的资格要求：</w:t>
      </w:r>
      <w:bookmarkEnd w:id="6"/>
      <w:bookmarkEnd w:id="7"/>
      <w:bookmarkEnd w:id="8"/>
      <w:bookmarkEnd w:id="9"/>
    </w:p>
    <w:p>
      <w:pPr>
        <w:keepNext w:val="0"/>
        <w:keepLines w:val="0"/>
        <w:pageBreakBefore w:val="0"/>
        <w:kinsoku/>
        <w:wordWrap/>
        <w:overflowPunct/>
        <w:topLinePunct w:val="0"/>
        <w:autoSpaceDE/>
        <w:autoSpaceDN/>
        <w:bidi w:val="0"/>
        <w:adjustRightInd/>
        <w:snapToGrid/>
        <w:spacing w:line="350" w:lineRule="exact"/>
        <w:ind w:firstLine="420" w:firstLineChars="200"/>
        <w:textAlignment w:val="auto"/>
        <w:rPr>
          <w:rFonts w:ascii="宋体" w:hAnsi="宋体" w:cs="宋体"/>
          <w:color w:val="auto"/>
          <w:kern w:val="0"/>
          <w:szCs w:val="21"/>
          <w:highlight w:val="none"/>
        </w:rPr>
      </w:pPr>
      <w:bookmarkStart w:id="10" w:name="_Toc35393631"/>
      <w:bookmarkStart w:id="11" w:name="_Toc28359014"/>
      <w:bookmarkStart w:id="12" w:name="_Toc35393800"/>
      <w:bookmarkStart w:id="13" w:name="_Toc28359091"/>
      <w:r>
        <w:rPr>
          <w:rFonts w:hint="eastAsia" w:ascii="宋体" w:hAnsi="宋体" w:cs="宋体"/>
          <w:color w:val="auto"/>
          <w:kern w:val="0"/>
          <w:szCs w:val="21"/>
          <w:highlight w:val="none"/>
        </w:rPr>
        <w:t>1.满足《中华人民共和国政府采购法》第二十二条规定；</w:t>
      </w:r>
    </w:p>
    <w:p>
      <w:pPr>
        <w:keepNext w:val="0"/>
        <w:keepLines w:val="0"/>
        <w:pageBreakBefore w:val="0"/>
        <w:kinsoku/>
        <w:wordWrap/>
        <w:overflowPunct/>
        <w:topLinePunct w:val="0"/>
        <w:autoSpaceDE/>
        <w:autoSpaceDN/>
        <w:bidi w:val="0"/>
        <w:adjustRightInd/>
        <w:snapToGrid/>
        <w:spacing w:line="350" w:lineRule="exact"/>
        <w:ind w:firstLine="420" w:firstLineChars="200"/>
        <w:textAlignment w:val="auto"/>
        <w:rPr>
          <w:rFonts w:ascii="宋体" w:hAnsi="宋体" w:cs="宋体"/>
          <w:color w:val="auto"/>
          <w:szCs w:val="21"/>
          <w:highlight w:val="none"/>
        </w:rPr>
      </w:pPr>
      <w:r>
        <w:rPr>
          <w:rFonts w:hint="eastAsia" w:ascii="宋体" w:hAnsi="宋体" w:cs="宋体"/>
          <w:color w:val="auto"/>
          <w:kern w:val="0"/>
          <w:szCs w:val="21"/>
          <w:highlight w:val="none"/>
        </w:rPr>
        <w:t>2.落实政府采购政策需满足的资格要求：</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w:t>
      </w:r>
    </w:p>
    <w:p>
      <w:pPr>
        <w:keepNext w:val="0"/>
        <w:keepLines w:val="0"/>
        <w:pageBreakBefore w:val="0"/>
        <w:kinsoku/>
        <w:wordWrap/>
        <w:overflowPunct/>
        <w:topLinePunct w:val="0"/>
        <w:autoSpaceDE/>
        <w:autoSpaceDN/>
        <w:bidi w:val="0"/>
        <w:adjustRightInd/>
        <w:snapToGrid/>
        <w:spacing w:line="35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3.本项目的特定资格要求：供应商须具备建筑装修装饰工程专业承包二级（含二级）及以上资质，同时具有有效的安全生产许可证；拟派项目经理具有本企业注册的建筑工程专业二级及以上（含二级）注册建造师资格证书及安全生产考核合格证（建安B证）,且未担任其他在建工程的项目经理。</w:t>
      </w:r>
    </w:p>
    <w:p>
      <w:pPr>
        <w:keepNext w:val="0"/>
        <w:keepLines w:val="0"/>
        <w:pageBreakBefore w:val="0"/>
        <w:kinsoku/>
        <w:wordWrap/>
        <w:overflowPunct/>
        <w:topLinePunct w:val="0"/>
        <w:autoSpaceDE/>
        <w:autoSpaceDN/>
        <w:bidi w:val="0"/>
        <w:adjustRightInd/>
        <w:snapToGrid/>
        <w:spacing w:line="350" w:lineRule="exact"/>
        <w:ind w:firstLine="422" w:firstLineChars="200"/>
        <w:textAlignment w:val="auto"/>
        <w:rPr>
          <w:rFonts w:ascii="宋体" w:hAnsi="宋体" w:cs="宋体"/>
          <w:b/>
          <w:bCs/>
          <w:color w:val="auto"/>
          <w:kern w:val="0"/>
          <w:szCs w:val="21"/>
          <w:highlight w:val="none"/>
        </w:rPr>
      </w:pPr>
      <w:r>
        <w:rPr>
          <w:rFonts w:hint="eastAsia" w:ascii="宋体" w:hAnsi="宋体" w:cs="宋体"/>
          <w:b/>
          <w:bCs/>
          <w:color w:val="auto"/>
          <w:kern w:val="0"/>
          <w:szCs w:val="21"/>
          <w:highlight w:val="none"/>
        </w:rPr>
        <w:t>三、获取采购文件</w:t>
      </w:r>
      <w:bookmarkEnd w:id="10"/>
      <w:bookmarkEnd w:id="11"/>
      <w:bookmarkEnd w:id="12"/>
      <w:bookmarkEnd w:id="13"/>
    </w:p>
    <w:p>
      <w:pPr>
        <w:keepNext w:val="0"/>
        <w:keepLines w:val="0"/>
        <w:pageBreakBefore w:val="0"/>
        <w:kinsoku/>
        <w:wordWrap/>
        <w:overflowPunct/>
        <w:topLinePunct w:val="0"/>
        <w:autoSpaceDE/>
        <w:autoSpaceDN/>
        <w:bidi w:val="0"/>
        <w:adjustRightInd/>
        <w:snapToGrid/>
        <w:spacing w:line="350" w:lineRule="exact"/>
        <w:ind w:firstLine="420" w:firstLineChars="200"/>
        <w:textAlignment w:val="auto"/>
        <w:rPr>
          <w:rFonts w:ascii="宋体" w:hAnsi="宋体" w:cs="宋体"/>
          <w:color w:val="auto"/>
          <w:kern w:val="0"/>
          <w:szCs w:val="21"/>
          <w:highlight w:val="none"/>
        </w:rPr>
      </w:pPr>
      <w:bookmarkStart w:id="14" w:name="_Toc28359092"/>
      <w:bookmarkStart w:id="15" w:name="_Toc35393632"/>
      <w:bookmarkStart w:id="16" w:name="_Toc35393801"/>
      <w:bookmarkStart w:id="17" w:name="_Toc28359015"/>
      <w:r>
        <w:rPr>
          <w:rFonts w:hint="eastAsia" w:ascii="宋体" w:hAnsi="宋体" w:cs="宋体"/>
          <w:color w:val="auto"/>
          <w:kern w:val="0"/>
          <w:szCs w:val="21"/>
          <w:highlight w:val="none"/>
        </w:rPr>
        <w:t>时间：2023年</w:t>
      </w:r>
      <w:r>
        <w:rPr>
          <w:rFonts w:hint="eastAsia" w:ascii="宋体" w:hAnsi="宋体" w:cs="宋体"/>
          <w:color w:val="auto"/>
          <w:kern w:val="0"/>
          <w:szCs w:val="21"/>
          <w:highlight w:val="none"/>
          <w:u w:val="single"/>
          <w:lang w:val="en-US" w:eastAsia="zh-CN"/>
        </w:rPr>
        <w:t>06</w:t>
      </w:r>
      <w:r>
        <w:rPr>
          <w:rFonts w:hint="eastAsia" w:ascii="宋体" w:hAnsi="宋体" w:cs="宋体"/>
          <w:color w:val="auto"/>
          <w:kern w:val="0"/>
          <w:szCs w:val="21"/>
          <w:highlight w:val="none"/>
        </w:rPr>
        <w:t>月</w:t>
      </w:r>
      <w:r>
        <w:rPr>
          <w:rFonts w:hint="eastAsia" w:ascii="宋体" w:hAnsi="宋体" w:cs="宋体"/>
          <w:color w:val="auto"/>
          <w:kern w:val="0"/>
          <w:szCs w:val="21"/>
          <w:highlight w:val="none"/>
          <w:u w:val="single"/>
          <w:lang w:val="en-US" w:eastAsia="zh-CN"/>
        </w:rPr>
        <w:t>15</w:t>
      </w:r>
      <w:r>
        <w:rPr>
          <w:rFonts w:hint="eastAsia" w:ascii="宋体" w:hAnsi="宋体" w:cs="宋体"/>
          <w:color w:val="auto"/>
          <w:kern w:val="0"/>
          <w:szCs w:val="21"/>
          <w:highlight w:val="none"/>
        </w:rPr>
        <w:t>日至22023年</w:t>
      </w:r>
      <w:r>
        <w:rPr>
          <w:rFonts w:hint="eastAsia" w:ascii="宋体" w:hAnsi="宋体" w:cs="宋体"/>
          <w:color w:val="auto"/>
          <w:kern w:val="0"/>
          <w:szCs w:val="21"/>
          <w:highlight w:val="none"/>
          <w:u w:val="single"/>
          <w:lang w:val="en-US" w:eastAsia="zh-CN"/>
        </w:rPr>
        <w:t>06</w:t>
      </w:r>
      <w:r>
        <w:rPr>
          <w:rFonts w:hint="eastAsia" w:ascii="宋体" w:hAnsi="宋体" w:cs="宋体"/>
          <w:color w:val="auto"/>
          <w:kern w:val="0"/>
          <w:szCs w:val="21"/>
          <w:highlight w:val="none"/>
        </w:rPr>
        <w:t>月</w:t>
      </w:r>
      <w:r>
        <w:rPr>
          <w:rFonts w:hint="eastAsia" w:ascii="宋体" w:hAnsi="宋体" w:cs="宋体"/>
          <w:color w:val="auto"/>
          <w:kern w:val="0"/>
          <w:szCs w:val="21"/>
          <w:highlight w:val="none"/>
          <w:u w:val="single"/>
          <w:lang w:val="en-US" w:eastAsia="zh-CN"/>
        </w:rPr>
        <w:t>21</w:t>
      </w:r>
      <w:r>
        <w:rPr>
          <w:rFonts w:hint="eastAsia" w:ascii="宋体" w:hAnsi="宋体" w:cs="宋体"/>
          <w:color w:val="auto"/>
          <w:kern w:val="0"/>
          <w:szCs w:val="21"/>
          <w:highlight w:val="none"/>
        </w:rPr>
        <w:t>日，每天上午08:30:00至12:00:00，下午13:30:00至17:00:00（北京时间,法定节假日除外）</w:t>
      </w:r>
    </w:p>
    <w:p>
      <w:pPr>
        <w:keepNext w:val="0"/>
        <w:keepLines w:val="0"/>
        <w:pageBreakBefore w:val="0"/>
        <w:kinsoku/>
        <w:wordWrap/>
        <w:overflowPunct/>
        <w:topLinePunct w:val="0"/>
        <w:autoSpaceDE/>
        <w:autoSpaceDN/>
        <w:bidi w:val="0"/>
        <w:adjustRightInd/>
        <w:snapToGrid/>
        <w:spacing w:line="35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地点：西安市南二环西段58号成长大厦11层1103室</w:t>
      </w:r>
    </w:p>
    <w:p>
      <w:pPr>
        <w:keepNext w:val="0"/>
        <w:keepLines w:val="0"/>
        <w:pageBreakBefore w:val="0"/>
        <w:kinsoku/>
        <w:wordWrap/>
        <w:overflowPunct/>
        <w:topLinePunct w:val="0"/>
        <w:autoSpaceDE/>
        <w:autoSpaceDN/>
        <w:bidi w:val="0"/>
        <w:adjustRightInd/>
        <w:snapToGrid/>
        <w:spacing w:line="35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方式：现场获取</w:t>
      </w:r>
    </w:p>
    <w:p>
      <w:pPr>
        <w:keepNext w:val="0"/>
        <w:keepLines w:val="0"/>
        <w:pageBreakBefore w:val="0"/>
        <w:kinsoku/>
        <w:wordWrap/>
        <w:overflowPunct/>
        <w:topLinePunct w:val="0"/>
        <w:autoSpaceDE/>
        <w:autoSpaceDN/>
        <w:bidi w:val="0"/>
        <w:adjustRightInd/>
        <w:snapToGrid/>
        <w:spacing w:line="35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售价：免费获取</w:t>
      </w:r>
    </w:p>
    <w:p>
      <w:pPr>
        <w:keepNext w:val="0"/>
        <w:keepLines w:val="0"/>
        <w:pageBreakBefore w:val="0"/>
        <w:kinsoku/>
        <w:wordWrap/>
        <w:overflowPunct/>
        <w:topLinePunct w:val="0"/>
        <w:autoSpaceDE/>
        <w:autoSpaceDN/>
        <w:bidi w:val="0"/>
        <w:adjustRightInd/>
        <w:snapToGrid/>
        <w:spacing w:line="35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注：</w:t>
      </w:r>
      <w:r>
        <w:rPr>
          <w:rFonts w:hint="eastAsia" w:ascii="宋体" w:hAnsi="宋体"/>
          <w:color w:val="auto"/>
          <w:kern w:val="0"/>
          <w:szCs w:val="21"/>
          <w:highlight w:val="none"/>
        </w:rPr>
        <w:t>获取竞争性磋商文件时请携带单位介绍信和经办人身份证原件及加盖供应商公章的复印件。</w:t>
      </w:r>
    </w:p>
    <w:p>
      <w:pPr>
        <w:keepNext w:val="0"/>
        <w:keepLines w:val="0"/>
        <w:pageBreakBefore w:val="0"/>
        <w:kinsoku/>
        <w:wordWrap/>
        <w:overflowPunct/>
        <w:topLinePunct w:val="0"/>
        <w:autoSpaceDE/>
        <w:autoSpaceDN/>
        <w:bidi w:val="0"/>
        <w:adjustRightInd/>
        <w:snapToGrid/>
        <w:spacing w:line="350" w:lineRule="exact"/>
        <w:ind w:firstLine="422" w:firstLineChars="200"/>
        <w:textAlignment w:val="auto"/>
        <w:rPr>
          <w:rFonts w:ascii="宋体" w:hAnsi="宋体" w:cs="宋体"/>
          <w:b/>
          <w:bCs/>
          <w:color w:val="auto"/>
          <w:kern w:val="0"/>
          <w:szCs w:val="21"/>
          <w:highlight w:val="none"/>
        </w:rPr>
      </w:pPr>
      <w:r>
        <w:rPr>
          <w:rFonts w:hint="eastAsia" w:ascii="宋体" w:hAnsi="宋体" w:cs="宋体"/>
          <w:b/>
          <w:bCs/>
          <w:color w:val="auto"/>
          <w:kern w:val="0"/>
          <w:szCs w:val="21"/>
          <w:highlight w:val="none"/>
        </w:rPr>
        <w:t>四、响应文件提交</w:t>
      </w:r>
      <w:bookmarkEnd w:id="14"/>
      <w:bookmarkEnd w:id="15"/>
      <w:bookmarkEnd w:id="16"/>
      <w:bookmarkEnd w:id="17"/>
    </w:p>
    <w:p>
      <w:pPr>
        <w:keepNext w:val="0"/>
        <w:keepLines w:val="0"/>
        <w:pageBreakBefore w:val="0"/>
        <w:kinsoku/>
        <w:wordWrap/>
        <w:overflowPunct/>
        <w:topLinePunct w:val="0"/>
        <w:autoSpaceDE/>
        <w:autoSpaceDN/>
        <w:bidi w:val="0"/>
        <w:adjustRightInd/>
        <w:snapToGrid/>
        <w:spacing w:line="35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截止时间：2023年</w:t>
      </w:r>
      <w:r>
        <w:rPr>
          <w:rFonts w:hint="eastAsia" w:ascii="宋体" w:hAnsi="宋体" w:cs="宋体"/>
          <w:color w:val="auto"/>
          <w:kern w:val="0"/>
          <w:szCs w:val="21"/>
          <w:highlight w:val="none"/>
          <w:u w:val="single"/>
          <w:lang w:val="en-US" w:eastAsia="zh-CN"/>
        </w:rPr>
        <w:t>06</w:t>
      </w:r>
      <w:r>
        <w:rPr>
          <w:rFonts w:hint="eastAsia" w:ascii="宋体" w:hAnsi="宋体" w:cs="宋体"/>
          <w:color w:val="auto"/>
          <w:kern w:val="0"/>
          <w:szCs w:val="21"/>
          <w:highlight w:val="none"/>
        </w:rPr>
        <w:t>月</w:t>
      </w:r>
      <w:r>
        <w:rPr>
          <w:rFonts w:hint="eastAsia" w:ascii="宋体" w:hAnsi="宋体" w:cs="宋体"/>
          <w:color w:val="auto"/>
          <w:kern w:val="0"/>
          <w:szCs w:val="21"/>
          <w:highlight w:val="none"/>
          <w:u w:val="single"/>
          <w:lang w:val="en-US" w:eastAsia="zh-CN"/>
        </w:rPr>
        <w:t>25</w:t>
      </w:r>
      <w:r>
        <w:rPr>
          <w:rFonts w:hint="eastAsia" w:ascii="宋体" w:hAnsi="宋体" w:cs="宋体"/>
          <w:color w:val="auto"/>
          <w:kern w:val="0"/>
          <w:szCs w:val="21"/>
          <w:highlight w:val="none"/>
        </w:rPr>
        <w:t>日</w:t>
      </w:r>
      <w:r>
        <w:rPr>
          <w:rFonts w:hint="eastAsia" w:ascii="宋体" w:hAnsi="宋体" w:cs="宋体"/>
          <w:color w:val="auto"/>
          <w:kern w:val="0"/>
          <w:szCs w:val="21"/>
          <w:highlight w:val="none"/>
          <w:u w:val="single"/>
          <w:lang w:val="en-US" w:eastAsia="zh-CN"/>
        </w:rPr>
        <w:t>14</w:t>
      </w:r>
      <w:r>
        <w:rPr>
          <w:rFonts w:hint="eastAsia" w:ascii="宋体" w:hAnsi="宋体" w:cs="宋体"/>
          <w:color w:val="auto"/>
          <w:kern w:val="0"/>
          <w:szCs w:val="21"/>
          <w:highlight w:val="none"/>
        </w:rPr>
        <w:t>时</w:t>
      </w:r>
      <w:r>
        <w:rPr>
          <w:rFonts w:hint="eastAsia" w:ascii="宋体" w:hAnsi="宋体" w:cs="宋体"/>
          <w:color w:val="auto"/>
          <w:kern w:val="0"/>
          <w:szCs w:val="21"/>
          <w:highlight w:val="none"/>
          <w:u w:val="single"/>
          <w:lang w:val="en-US" w:eastAsia="zh-CN"/>
        </w:rPr>
        <w:t>30</w:t>
      </w:r>
      <w:r>
        <w:rPr>
          <w:rFonts w:hint="eastAsia" w:ascii="宋体" w:hAnsi="宋体" w:cs="宋体"/>
          <w:color w:val="auto"/>
          <w:kern w:val="0"/>
          <w:szCs w:val="21"/>
          <w:highlight w:val="none"/>
        </w:rPr>
        <w:t>分（北京时间）</w:t>
      </w:r>
    </w:p>
    <w:p>
      <w:pPr>
        <w:keepNext w:val="0"/>
        <w:keepLines w:val="0"/>
        <w:pageBreakBefore w:val="0"/>
        <w:kinsoku/>
        <w:wordWrap/>
        <w:overflowPunct/>
        <w:topLinePunct w:val="0"/>
        <w:autoSpaceDE/>
        <w:autoSpaceDN/>
        <w:bidi w:val="0"/>
        <w:adjustRightInd/>
        <w:snapToGrid/>
        <w:spacing w:line="35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地点：西安市南二环西段58号成长大厦</w:t>
      </w:r>
      <w:r>
        <w:rPr>
          <w:rFonts w:hint="eastAsia" w:ascii="宋体" w:hAnsi="宋体" w:cs="宋体"/>
          <w:color w:val="auto"/>
          <w:kern w:val="0"/>
          <w:szCs w:val="21"/>
          <w:highlight w:val="none"/>
          <w:lang w:val="en-US" w:eastAsia="zh-CN"/>
        </w:rPr>
        <w:t>10层</w:t>
      </w:r>
      <w:r>
        <w:rPr>
          <w:rFonts w:hint="eastAsia" w:ascii="宋体" w:hAnsi="宋体" w:cs="宋体"/>
          <w:color w:val="auto"/>
          <w:kern w:val="0"/>
          <w:szCs w:val="21"/>
          <w:highlight w:val="none"/>
        </w:rPr>
        <w:t>会议室</w:t>
      </w:r>
      <w:r>
        <w:rPr>
          <w:rFonts w:hint="eastAsia" w:ascii="宋体" w:hAnsi="宋体" w:cs="宋体"/>
          <w:color w:val="auto"/>
          <w:kern w:val="0"/>
          <w:highlight w:val="none"/>
        </w:rPr>
        <w:t>。</w:t>
      </w:r>
    </w:p>
    <w:p>
      <w:pPr>
        <w:keepNext w:val="0"/>
        <w:keepLines w:val="0"/>
        <w:pageBreakBefore w:val="0"/>
        <w:kinsoku/>
        <w:wordWrap/>
        <w:overflowPunct/>
        <w:topLinePunct w:val="0"/>
        <w:autoSpaceDE/>
        <w:autoSpaceDN/>
        <w:bidi w:val="0"/>
        <w:adjustRightInd/>
        <w:snapToGrid/>
        <w:spacing w:line="350" w:lineRule="exact"/>
        <w:ind w:firstLine="422" w:firstLineChars="200"/>
        <w:textAlignment w:val="auto"/>
        <w:rPr>
          <w:rFonts w:ascii="宋体" w:hAnsi="宋体" w:cs="宋体"/>
          <w:b/>
          <w:bCs/>
          <w:color w:val="auto"/>
          <w:kern w:val="0"/>
          <w:szCs w:val="21"/>
          <w:highlight w:val="none"/>
        </w:rPr>
      </w:pPr>
      <w:bookmarkStart w:id="18" w:name="_Toc35393802"/>
      <w:bookmarkStart w:id="19" w:name="_Toc28359093"/>
      <w:bookmarkStart w:id="20" w:name="_Toc35393633"/>
      <w:bookmarkStart w:id="21" w:name="_Toc28359016"/>
      <w:r>
        <w:rPr>
          <w:rFonts w:hint="eastAsia" w:ascii="宋体" w:hAnsi="宋体" w:cs="宋体"/>
          <w:b/>
          <w:bCs/>
          <w:color w:val="auto"/>
          <w:kern w:val="0"/>
          <w:szCs w:val="21"/>
          <w:highlight w:val="none"/>
        </w:rPr>
        <w:t>五、开启</w:t>
      </w:r>
      <w:bookmarkEnd w:id="18"/>
      <w:bookmarkEnd w:id="19"/>
      <w:bookmarkEnd w:id="20"/>
      <w:bookmarkEnd w:id="21"/>
    </w:p>
    <w:p>
      <w:pPr>
        <w:keepNext w:val="0"/>
        <w:keepLines w:val="0"/>
        <w:pageBreakBefore w:val="0"/>
        <w:kinsoku/>
        <w:wordWrap/>
        <w:overflowPunct/>
        <w:topLinePunct w:val="0"/>
        <w:autoSpaceDE/>
        <w:autoSpaceDN/>
        <w:bidi w:val="0"/>
        <w:adjustRightInd/>
        <w:snapToGrid/>
        <w:spacing w:line="35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时间：2023年</w:t>
      </w:r>
      <w:r>
        <w:rPr>
          <w:rFonts w:hint="eastAsia" w:ascii="宋体" w:hAnsi="宋体" w:cs="宋体"/>
          <w:color w:val="auto"/>
          <w:kern w:val="0"/>
          <w:szCs w:val="21"/>
          <w:highlight w:val="none"/>
          <w:u w:val="single"/>
          <w:lang w:val="en-US" w:eastAsia="zh-CN"/>
        </w:rPr>
        <w:t>06</w:t>
      </w:r>
      <w:r>
        <w:rPr>
          <w:rFonts w:hint="eastAsia" w:ascii="宋体" w:hAnsi="宋体" w:cs="宋体"/>
          <w:color w:val="auto"/>
          <w:kern w:val="0"/>
          <w:szCs w:val="21"/>
          <w:highlight w:val="none"/>
        </w:rPr>
        <w:t>月</w:t>
      </w:r>
      <w:r>
        <w:rPr>
          <w:rFonts w:hint="eastAsia" w:ascii="宋体" w:hAnsi="宋体" w:cs="宋体"/>
          <w:color w:val="auto"/>
          <w:kern w:val="0"/>
          <w:szCs w:val="21"/>
          <w:highlight w:val="none"/>
          <w:u w:val="single"/>
          <w:lang w:val="en-US" w:eastAsia="zh-CN"/>
        </w:rPr>
        <w:t>25</w:t>
      </w:r>
      <w:r>
        <w:rPr>
          <w:rFonts w:hint="eastAsia" w:ascii="宋体" w:hAnsi="宋体" w:cs="宋体"/>
          <w:color w:val="auto"/>
          <w:kern w:val="0"/>
          <w:szCs w:val="21"/>
          <w:highlight w:val="none"/>
        </w:rPr>
        <w:t>日</w:t>
      </w:r>
      <w:r>
        <w:rPr>
          <w:rFonts w:hint="eastAsia" w:ascii="宋体" w:hAnsi="宋体" w:cs="宋体"/>
          <w:color w:val="auto"/>
          <w:kern w:val="0"/>
          <w:szCs w:val="21"/>
          <w:highlight w:val="none"/>
          <w:u w:val="single"/>
          <w:lang w:val="en-US" w:eastAsia="zh-CN"/>
        </w:rPr>
        <w:t>14</w:t>
      </w:r>
      <w:r>
        <w:rPr>
          <w:rFonts w:hint="eastAsia" w:ascii="宋体" w:hAnsi="宋体" w:cs="宋体"/>
          <w:color w:val="auto"/>
          <w:kern w:val="0"/>
          <w:szCs w:val="21"/>
          <w:highlight w:val="none"/>
        </w:rPr>
        <w:t>时</w:t>
      </w:r>
      <w:r>
        <w:rPr>
          <w:rFonts w:hint="eastAsia" w:ascii="宋体" w:hAnsi="宋体" w:cs="宋体"/>
          <w:color w:val="auto"/>
          <w:kern w:val="0"/>
          <w:szCs w:val="21"/>
          <w:highlight w:val="none"/>
          <w:u w:val="single"/>
          <w:lang w:val="en-US" w:eastAsia="zh-CN"/>
        </w:rPr>
        <w:t>30</w:t>
      </w:r>
      <w:r>
        <w:rPr>
          <w:rFonts w:hint="eastAsia" w:ascii="宋体" w:hAnsi="宋体" w:cs="宋体"/>
          <w:color w:val="auto"/>
          <w:kern w:val="0"/>
          <w:szCs w:val="21"/>
          <w:highlight w:val="none"/>
        </w:rPr>
        <w:t>分（北京时间）</w:t>
      </w:r>
    </w:p>
    <w:p>
      <w:pPr>
        <w:keepNext w:val="0"/>
        <w:keepLines w:val="0"/>
        <w:pageBreakBefore w:val="0"/>
        <w:kinsoku/>
        <w:wordWrap/>
        <w:overflowPunct/>
        <w:topLinePunct w:val="0"/>
        <w:autoSpaceDE/>
        <w:autoSpaceDN/>
        <w:bidi w:val="0"/>
        <w:adjustRightInd/>
        <w:snapToGrid/>
        <w:spacing w:line="35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地点：西安市南二环西段58号成长大厦</w:t>
      </w:r>
      <w:r>
        <w:rPr>
          <w:rFonts w:hint="eastAsia" w:ascii="宋体" w:hAnsi="宋体" w:cs="宋体"/>
          <w:color w:val="auto"/>
          <w:kern w:val="0"/>
          <w:szCs w:val="21"/>
          <w:highlight w:val="none"/>
          <w:lang w:val="en-US" w:eastAsia="zh-CN"/>
        </w:rPr>
        <w:t>10层</w:t>
      </w:r>
      <w:r>
        <w:rPr>
          <w:rFonts w:hint="eastAsia" w:ascii="宋体" w:hAnsi="宋体" w:cs="宋体"/>
          <w:color w:val="auto"/>
          <w:kern w:val="0"/>
          <w:szCs w:val="21"/>
          <w:highlight w:val="none"/>
        </w:rPr>
        <w:t>会议室</w:t>
      </w:r>
      <w:r>
        <w:rPr>
          <w:rFonts w:hint="eastAsia" w:ascii="宋体" w:hAnsi="宋体" w:cs="宋体"/>
          <w:color w:val="auto"/>
          <w:kern w:val="0"/>
          <w:highlight w:val="none"/>
        </w:rPr>
        <w:t>。</w:t>
      </w:r>
    </w:p>
    <w:p>
      <w:pPr>
        <w:keepNext w:val="0"/>
        <w:keepLines w:val="0"/>
        <w:pageBreakBefore w:val="0"/>
        <w:kinsoku/>
        <w:wordWrap/>
        <w:overflowPunct/>
        <w:topLinePunct w:val="0"/>
        <w:autoSpaceDE/>
        <w:autoSpaceDN/>
        <w:bidi w:val="0"/>
        <w:adjustRightInd/>
        <w:snapToGrid/>
        <w:spacing w:line="350" w:lineRule="exact"/>
        <w:ind w:firstLine="422" w:firstLineChars="200"/>
        <w:textAlignment w:val="auto"/>
        <w:rPr>
          <w:rFonts w:ascii="宋体" w:hAnsi="宋体" w:cs="宋体"/>
          <w:b/>
          <w:bCs/>
          <w:color w:val="auto"/>
          <w:kern w:val="0"/>
          <w:szCs w:val="21"/>
          <w:highlight w:val="none"/>
        </w:rPr>
      </w:pPr>
      <w:bookmarkStart w:id="22" w:name="_Toc35393803"/>
      <w:bookmarkStart w:id="23" w:name="_Toc28359094"/>
      <w:bookmarkStart w:id="24" w:name="_Toc28359017"/>
      <w:bookmarkStart w:id="25" w:name="_Toc35393634"/>
      <w:r>
        <w:rPr>
          <w:rFonts w:hint="eastAsia" w:ascii="宋体" w:hAnsi="宋体" w:cs="宋体"/>
          <w:b/>
          <w:bCs/>
          <w:color w:val="auto"/>
          <w:kern w:val="0"/>
          <w:szCs w:val="21"/>
          <w:highlight w:val="none"/>
        </w:rPr>
        <w:t>六、公告期限</w:t>
      </w:r>
      <w:bookmarkEnd w:id="22"/>
      <w:bookmarkEnd w:id="23"/>
      <w:bookmarkEnd w:id="24"/>
      <w:bookmarkEnd w:id="25"/>
    </w:p>
    <w:p>
      <w:pPr>
        <w:keepNext w:val="0"/>
        <w:keepLines w:val="0"/>
        <w:pageBreakBefore w:val="0"/>
        <w:kinsoku/>
        <w:wordWrap/>
        <w:overflowPunct/>
        <w:topLinePunct w:val="0"/>
        <w:autoSpaceDE/>
        <w:autoSpaceDN/>
        <w:bidi w:val="0"/>
        <w:adjustRightInd/>
        <w:snapToGrid/>
        <w:spacing w:line="35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自本公告发布之日起3个工作日。</w:t>
      </w:r>
    </w:p>
    <w:p>
      <w:pPr>
        <w:keepNext w:val="0"/>
        <w:keepLines w:val="0"/>
        <w:pageBreakBefore w:val="0"/>
        <w:numPr>
          <w:ilvl w:val="0"/>
          <w:numId w:val="1"/>
        </w:numPr>
        <w:kinsoku/>
        <w:wordWrap/>
        <w:overflowPunct/>
        <w:topLinePunct w:val="0"/>
        <w:autoSpaceDE/>
        <w:autoSpaceDN/>
        <w:bidi w:val="0"/>
        <w:adjustRightInd/>
        <w:snapToGrid/>
        <w:spacing w:line="350" w:lineRule="exact"/>
        <w:ind w:firstLine="422" w:firstLineChars="200"/>
        <w:textAlignment w:val="auto"/>
        <w:rPr>
          <w:rFonts w:ascii="宋体" w:hAnsi="宋体" w:cs="宋体"/>
          <w:b/>
          <w:bCs/>
          <w:color w:val="auto"/>
          <w:kern w:val="0"/>
          <w:szCs w:val="21"/>
          <w:highlight w:val="none"/>
        </w:rPr>
      </w:pPr>
      <w:bookmarkStart w:id="26" w:name="_Toc35393635"/>
      <w:bookmarkStart w:id="27" w:name="_Toc35393804"/>
      <w:r>
        <w:rPr>
          <w:rFonts w:hint="eastAsia" w:ascii="宋体" w:hAnsi="宋体" w:cs="宋体"/>
          <w:b/>
          <w:bCs/>
          <w:color w:val="auto"/>
          <w:kern w:val="0"/>
          <w:szCs w:val="21"/>
          <w:highlight w:val="none"/>
        </w:rPr>
        <w:t>其他补充事宜</w:t>
      </w:r>
      <w:bookmarkEnd w:id="26"/>
      <w:bookmarkEnd w:id="27"/>
    </w:p>
    <w:p>
      <w:pPr>
        <w:keepNext w:val="0"/>
        <w:keepLines w:val="0"/>
        <w:pageBreakBefore w:val="0"/>
        <w:widowControl/>
        <w:kinsoku/>
        <w:wordWrap/>
        <w:overflowPunct/>
        <w:topLinePunct w:val="0"/>
        <w:autoSpaceDE/>
        <w:autoSpaceDN/>
        <w:bidi w:val="0"/>
        <w:adjustRightInd/>
        <w:snapToGrid/>
        <w:spacing w:line="35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本项目采购活动执行下列政府采购政策（具体办法详见采购文件）：</w:t>
      </w:r>
    </w:p>
    <w:p>
      <w:pPr>
        <w:keepNext w:val="0"/>
        <w:keepLines w:val="0"/>
        <w:pageBreakBefore w:val="0"/>
        <w:widowControl/>
        <w:kinsoku/>
        <w:wordWrap/>
        <w:overflowPunct/>
        <w:topLinePunct w:val="0"/>
        <w:autoSpaceDE/>
        <w:autoSpaceDN/>
        <w:bidi w:val="0"/>
        <w:adjustRightInd/>
        <w:snapToGrid/>
        <w:spacing w:line="350" w:lineRule="exact"/>
        <w:ind w:firstLine="420" w:firstLineChars="200"/>
        <w:jc w:val="left"/>
        <w:textAlignment w:val="auto"/>
        <w:rPr>
          <w:rFonts w:ascii="宋体" w:hAnsi="宋体" w:cs="宋体"/>
          <w:color w:val="auto"/>
          <w:kern w:val="0"/>
          <w:szCs w:val="21"/>
          <w:highlight w:val="none"/>
        </w:rPr>
      </w:pPr>
      <w:r>
        <w:rPr>
          <w:rFonts w:ascii="宋体" w:hAnsi="宋体" w:cs="宋体"/>
          <w:color w:val="auto"/>
          <w:kern w:val="0"/>
          <w:szCs w:val="21"/>
          <w:highlight w:val="none"/>
        </w:rPr>
        <w:t>1、《财政部 国家发展改革委关于印发〈节能产品政府采购实施意见〉的通知》（财库〔2004〕185号）；</w:t>
      </w:r>
    </w:p>
    <w:p>
      <w:pPr>
        <w:keepNext w:val="0"/>
        <w:keepLines w:val="0"/>
        <w:pageBreakBefore w:val="0"/>
        <w:widowControl/>
        <w:kinsoku/>
        <w:wordWrap/>
        <w:overflowPunct/>
        <w:topLinePunct w:val="0"/>
        <w:autoSpaceDE/>
        <w:autoSpaceDN/>
        <w:bidi w:val="0"/>
        <w:adjustRightInd/>
        <w:snapToGrid/>
        <w:spacing w:line="350" w:lineRule="exact"/>
        <w:ind w:firstLine="420" w:firstLineChars="200"/>
        <w:jc w:val="left"/>
        <w:textAlignment w:val="auto"/>
        <w:rPr>
          <w:rFonts w:ascii="宋体" w:hAnsi="宋体" w:cs="宋体"/>
          <w:color w:val="auto"/>
          <w:kern w:val="0"/>
          <w:szCs w:val="21"/>
          <w:highlight w:val="none"/>
        </w:rPr>
      </w:pPr>
      <w:r>
        <w:rPr>
          <w:rFonts w:ascii="宋体" w:hAnsi="宋体" w:cs="宋体"/>
          <w:color w:val="auto"/>
          <w:kern w:val="0"/>
          <w:szCs w:val="21"/>
          <w:highlight w:val="none"/>
        </w:rPr>
        <w:t>2、《国务院办公厅关于建立政府强制采购节能产品制度的通知》（国办发〔2007〕51号）；</w:t>
      </w:r>
    </w:p>
    <w:p>
      <w:pPr>
        <w:keepNext w:val="0"/>
        <w:keepLines w:val="0"/>
        <w:pageBreakBefore w:val="0"/>
        <w:widowControl/>
        <w:kinsoku/>
        <w:wordWrap/>
        <w:overflowPunct/>
        <w:topLinePunct w:val="0"/>
        <w:autoSpaceDE/>
        <w:autoSpaceDN/>
        <w:bidi w:val="0"/>
        <w:adjustRightInd/>
        <w:snapToGrid/>
        <w:spacing w:line="350" w:lineRule="exact"/>
        <w:ind w:firstLine="420" w:firstLineChars="200"/>
        <w:jc w:val="left"/>
        <w:textAlignment w:val="auto"/>
        <w:rPr>
          <w:rFonts w:ascii="宋体" w:hAnsi="宋体" w:cs="宋体"/>
          <w:color w:val="auto"/>
          <w:kern w:val="0"/>
          <w:szCs w:val="21"/>
          <w:highlight w:val="none"/>
        </w:rPr>
      </w:pPr>
      <w:r>
        <w:rPr>
          <w:rFonts w:ascii="宋体" w:hAnsi="宋体" w:cs="宋体"/>
          <w:color w:val="auto"/>
          <w:kern w:val="0"/>
          <w:szCs w:val="21"/>
          <w:highlight w:val="none"/>
        </w:rPr>
        <w:t>3、《财政部环保总局关于环境标志产品政府采购实施的意见》（财库〔2006〕90号）；</w:t>
      </w:r>
    </w:p>
    <w:p>
      <w:pPr>
        <w:keepNext w:val="0"/>
        <w:keepLines w:val="0"/>
        <w:pageBreakBefore w:val="0"/>
        <w:widowControl/>
        <w:kinsoku/>
        <w:wordWrap/>
        <w:overflowPunct/>
        <w:topLinePunct w:val="0"/>
        <w:autoSpaceDE/>
        <w:autoSpaceDN/>
        <w:bidi w:val="0"/>
        <w:adjustRightInd/>
        <w:snapToGrid/>
        <w:spacing w:line="350" w:lineRule="exact"/>
        <w:ind w:firstLine="420" w:firstLineChars="200"/>
        <w:jc w:val="left"/>
        <w:textAlignment w:val="auto"/>
        <w:rPr>
          <w:rFonts w:ascii="宋体" w:hAnsi="宋体" w:cs="宋体"/>
          <w:color w:val="auto"/>
          <w:kern w:val="0"/>
          <w:szCs w:val="21"/>
          <w:highlight w:val="none"/>
        </w:rPr>
      </w:pPr>
      <w:r>
        <w:rPr>
          <w:rFonts w:ascii="宋体" w:hAnsi="宋体" w:cs="宋体"/>
          <w:color w:val="auto"/>
          <w:kern w:val="0"/>
          <w:szCs w:val="21"/>
          <w:highlight w:val="none"/>
        </w:rPr>
        <w:t>4、《财政部 司法部关于政府采购支持监狱企业发展有关问题的通知》（财库〔2014〕68号）；</w:t>
      </w:r>
    </w:p>
    <w:p>
      <w:pPr>
        <w:keepNext w:val="0"/>
        <w:keepLines w:val="0"/>
        <w:pageBreakBefore w:val="0"/>
        <w:widowControl/>
        <w:kinsoku/>
        <w:wordWrap/>
        <w:overflowPunct/>
        <w:topLinePunct w:val="0"/>
        <w:autoSpaceDE/>
        <w:autoSpaceDN/>
        <w:bidi w:val="0"/>
        <w:adjustRightInd/>
        <w:snapToGrid/>
        <w:spacing w:line="350" w:lineRule="exact"/>
        <w:ind w:firstLine="420" w:firstLineChars="200"/>
        <w:jc w:val="left"/>
        <w:textAlignment w:val="auto"/>
        <w:rPr>
          <w:rFonts w:ascii="宋体" w:hAnsi="宋体" w:cs="宋体"/>
          <w:color w:val="auto"/>
          <w:kern w:val="0"/>
          <w:szCs w:val="21"/>
          <w:highlight w:val="none"/>
        </w:rPr>
      </w:pPr>
      <w:r>
        <w:rPr>
          <w:rFonts w:ascii="宋体" w:hAnsi="宋体" w:cs="宋体"/>
          <w:color w:val="auto"/>
          <w:kern w:val="0"/>
          <w:szCs w:val="21"/>
          <w:highlight w:val="none"/>
        </w:rPr>
        <w:t>5、《财政部、民政部、中国残疾人联合会关于促进残疾人就业政府采购政策的通知》（财库〔2017〕141号）；</w:t>
      </w:r>
    </w:p>
    <w:p>
      <w:pPr>
        <w:keepNext w:val="0"/>
        <w:keepLines w:val="0"/>
        <w:pageBreakBefore w:val="0"/>
        <w:widowControl/>
        <w:kinsoku/>
        <w:wordWrap/>
        <w:overflowPunct/>
        <w:topLinePunct w:val="0"/>
        <w:autoSpaceDE/>
        <w:autoSpaceDN/>
        <w:bidi w:val="0"/>
        <w:adjustRightInd/>
        <w:snapToGrid/>
        <w:spacing w:line="350" w:lineRule="exact"/>
        <w:ind w:firstLine="420" w:firstLineChars="200"/>
        <w:jc w:val="left"/>
        <w:textAlignment w:val="auto"/>
        <w:rPr>
          <w:rFonts w:ascii="宋体" w:hAnsi="宋体" w:cs="宋体"/>
          <w:color w:val="auto"/>
          <w:kern w:val="0"/>
          <w:szCs w:val="21"/>
          <w:highlight w:val="none"/>
        </w:rPr>
      </w:pPr>
      <w:r>
        <w:rPr>
          <w:rFonts w:ascii="宋体" w:hAnsi="宋体" w:cs="宋体"/>
          <w:color w:val="auto"/>
          <w:kern w:val="0"/>
          <w:szCs w:val="21"/>
          <w:highlight w:val="none"/>
        </w:rPr>
        <w:t>6、《陕西省中小企业政府采购信用融资办法》（陕财办采〔2018〕23号）；</w:t>
      </w:r>
    </w:p>
    <w:p>
      <w:pPr>
        <w:keepNext w:val="0"/>
        <w:keepLines w:val="0"/>
        <w:pageBreakBefore w:val="0"/>
        <w:widowControl/>
        <w:kinsoku/>
        <w:wordWrap/>
        <w:overflowPunct/>
        <w:topLinePunct w:val="0"/>
        <w:autoSpaceDE/>
        <w:autoSpaceDN/>
        <w:bidi w:val="0"/>
        <w:adjustRightInd/>
        <w:snapToGrid/>
        <w:spacing w:line="350" w:lineRule="exact"/>
        <w:ind w:firstLine="420" w:firstLineChars="200"/>
        <w:jc w:val="left"/>
        <w:textAlignment w:val="auto"/>
        <w:rPr>
          <w:rFonts w:ascii="宋体" w:hAnsi="宋体" w:cs="宋体"/>
          <w:color w:val="auto"/>
          <w:kern w:val="0"/>
          <w:szCs w:val="21"/>
          <w:highlight w:val="none"/>
        </w:rPr>
      </w:pPr>
      <w:r>
        <w:rPr>
          <w:rFonts w:ascii="宋体" w:hAnsi="宋体" w:cs="宋体"/>
          <w:color w:val="auto"/>
          <w:kern w:val="0"/>
          <w:szCs w:val="21"/>
          <w:highlight w:val="none"/>
        </w:rPr>
        <w:t>7、《财政部 发展改革委 生态环境部 市场监管总局关于调整优化节能产品、环境标志产品政府采购执行机制的通知》（财库〔2019〕9号）；</w:t>
      </w:r>
    </w:p>
    <w:p>
      <w:pPr>
        <w:keepNext w:val="0"/>
        <w:keepLines w:val="0"/>
        <w:pageBreakBefore w:val="0"/>
        <w:widowControl/>
        <w:kinsoku/>
        <w:wordWrap/>
        <w:overflowPunct/>
        <w:topLinePunct w:val="0"/>
        <w:autoSpaceDE/>
        <w:autoSpaceDN/>
        <w:bidi w:val="0"/>
        <w:adjustRightInd/>
        <w:snapToGrid/>
        <w:spacing w:line="350" w:lineRule="exact"/>
        <w:ind w:firstLine="420" w:firstLineChars="200"/>
        <w:jc w:val="left"/>
        <w:textAlignment w:val="auto"/>
        <w:rPr>
          <w:rFonts w:ascii="宋体" w:hAnsi="宋体" w:cs="宋体"/>
          <w:color w:val="auto"/>
          <w:kern w:val="0"/>
          <w:szCs w:val="21"/>
          <w:highlight w:val="none"/>
        </w:rPr>
      </w:pPr>
      <w:r>
        <w:rPr>
          <w:rFonts w:ascii="宋体" w:hAnsi="宋体" w:cs="宋体"/>
          <w:color w:val="auto"/>
          <w:kern w:val="0"/>
          <w:szCs w:val="21"/>
          <w:highlight w:val="none"/>
        </w:rPr>
        <w:t>8、《政府采购促进中小企业发展管理办法》（财库〔2020〕46号）；</w:t>
      </w:r>
    </w:p>
    <w:p>
      <w:pPr>
        <w:keepNext w:val="0"/>
        <w:keepLines w:val="0"/>
        <w:pageBreakBefore w:val="0"/>
        <w:widowControl/>
        <w:kinsoku/>
        <w:wordWrap/>
        <w:overflowPunct/>
        <w:topLinePunct w:val="0"/>
        <w:autoSpaceDE/>
        <w:autoSpaceDN/>
        <w:bidi w:val="0"/>
        <w:adjustRightInd/>
        <w:snapToGrid/>
        <w:spacing w:line="350" w:lineRule="exact"/>
        <w:ind w:firstLine="420" w:firstLineChars="200"/>
        <w:jc w:val="left"/>
        <w:textAlignment w:val="auto"/>
        <w:rPr>
          <w:rFonts w:ascii="宋体" w:hAnsi="宋体" w:cs="宋体"/>
          <w:color w:val="auto"/>
          <w:kern w:val="0"/>
          <w:szCs w:val="21"/>
          <w:highlight w:val="none"/>
        </w:rPr>
      </w:pPr>
      <w:r>
        <w:rPr>
          <w:rFonts w:ascii="宋体" w:hAnsi="宋体" w:cs="宋体"/>
          <w:color w:val="auto"/>
          <w:kern w:val="0"/>
          <w:szCs w:val="21"/>
          <w:highlight w:val="none"/>
        </w:rPr>
        <w:t>9、《关于运用政府采购政策支持乡村产业振兴的通知》（财库〔2021〕19号）；</w:t>
      </w:r>
    </w:p>
    <w:p>
      <w:pPr>
        <w:keepNext w:val="0"/>
        <w:keepLines w:val="0"/>
        <w:pageBreakBefore w:val="0"/>
        <w:widowControl/>
        <w:kinsoku/>
        <w:wordWrap/>
        <w:overflowPunct/>
        <w:topLinePunct w:val="0"/>
        <w:autoSpaceDE/>
        <w:autoSpaceDN/>
        <w:bidi w:val="0"/>
        <w:adjustRightInd/>
        <w:snapToGrid/>
        <w:spacing w:line="350" w:lineRule="exact"/>
        <w:ind w:firstLine="420" w:firstLineChars="200"/>
        <w:jc w:val="left"/>
        <w:textAlignment w:val="auto"/>
        <w:rPr>
          <w:rFonts w:ascii="宋体" w:hAnsi="宋体" w:cs="宋体"/>
          <w:color w:val="auto"/>
          <w:kern w:val="0"/>
          <w:szCs w:val="21"/>
          <w:highlight w:val="none"/>
        </w:rPr>
      </w:pPr>
      <w:r>
        <w:rPr>
          <w:rFonts w:ascii="宋体" w:hAnsi="宋体" w:cs="宋体"/>
          <w:color w:val="auto"/>
          <w:kern w:val="0"/>
          <w:szCs w:val="21"/>
          <w:highlight w:val="none"/>
        </w:rPr>
        <w:t>10、陕西省财政厅《关于进一步加强政府绿色采购有关问题的通知》（陕财办采〔2021〕29号）。</w:t>
      </w:r>
    </w:p>
    <w:p>
      <w:pPr>
        <w:keepNext w:val="0"/>
        <w:keepLines w:val="0"/>
        <w:pageBreakBefore w:val="0"/>
        <w:widowControl/>
        <w:kinsoku/>
        <w:wordWrap/>
        <w:overflowPunct/>
        <w:topLinePunct w:val="0"/>
        <w:autoSpaceDE/>
        <w:autoSpaceDN/>
        <w:bidi w:val="0"/>
        <w:adjustRightInd/>
        <w:snapToGrid/>
        <w:spacing w:line="350" w:lineRule="exact"/>
        <w:ind w:firstLine="420" w:firstLineChars="200"/>
        <w:jc w:val="left"/>
        <w:textAlignment w:val="auto"/>
        <w:rPr>
          <w:rFonts w:ascii="宋体" w:hAnsi="宋体" w:cs="宋体"/>
          <w:color w:val="auto"/>
          <w:kern w:val="0"/>
          <w:szCs w:val="21"/>
          <w:highlight w:val="none"/>
        </w:rPr>
      </w:pPr>
      <w:r>
        <w:rPr>
          <w:rFonts w:ascii="宋体" w:hAnsi="宋体" w:cs="宋体"/>
          <w:color w:val="auto"/>
          <w:kern w:val="0"/>
          <w:szCs w:val="21"/>
          <w:highlight w:val="none"/>
        </w:rPr>
        <w:t>11、《关于进一步加大政府采购支持中小企业力度的通知》（财库〔2022〕19号。</w:t>
      </w:r>
    </w:p>
    <w:p>
      <w:pPr>
        <w:spacing w:line="360" w:lineRule="auto"/>
        <w:ind w:firstLine="420" w:firstLineChars="200"/>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12、关于扩大政府采购支持绿色建材促进建筑品质提升政策实施范围的通知（财库〔2022〕35号）</w:t>
      </w:r>
      <w:r>
        <w:rPr>
          <w:rFonts w:hint="eastAsia" w:ascii="宋体" w:hAnsi="宋体" w:cs="宋体"/>
          <w:color w:val="auto"/>
          <w:kern w:val="0"/>
          <w:szCs w:val="21"/>
          <w:highlight w:val="none"/>
          <w:lang w:eastAsia="zh-CN"/>
        </w:rPr>
        <w:t>；</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13</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rPr>
        <w:t>其他需执行的政府采购政策。</w:t>
      </w:r>
    </w:p>
    <w:p>
      <w:pPr>
        <w:keepNext w:val="0"/>
        <w:keepLines w:val="0"/>
        <w:pageBreakBefore w:val="0"/>
        <w:kinsoku/>
        <w:wordWrap/>
        <w:overflowPunct/>
        <w:topLinePunct w:val="0"/>
        <w:autoSpaceDE/>
        <w:autoSpaceDN/>
        <w:bidi w:val="0"/>
        <w:adjustRightInd/>
        <w:snapToGrid/>
        <w:spacing w:line="350" w:lineRule="exact"/>
        <w:ind w:firstLine="422" w:firstLineChars="200"/>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本项目专门面向中小企业采购(残疾人福利性单位、监狱企业视同小、微企业)。</w:t>
      </w:r>
    </w:p>
    <w:p>
      <w:pPr>
        <w:keepNext w:val="0"/>
        <w:keepLines w:val="0"/>
        <w:pageBreakBefore w:val="0"/>
        <w:kinsoku/>
        <w:wordWrap/>
        <w:overflowPunct/>
        <w:topLinePunct w:val="0"/>
        <w:autoSpaceDE/>
        <w:autoSpaceDN/>
        <w:bidi w:val="0"/>
        <w:adjustRightInd/>
        <w:snapToGrid/>
        <w:spacing w:line="350" w:lineRule="exact"/>
        <w:ind w:firstLine="422" w:firstLineChars="200"/>
        <w:textAlignment w:val="auto"/>
        <w:rPr>
          <w:rFonts w:ascii="宋体" w:hAnsi="宋体" w:cs="宋体"/>
          <w:color w:val="auto"/>
          <w:kern w:val="0"/>
          <w:szCs w:val="21"/>
          <w:highlight w:val="none"/>
        </w:rPr>
      </w:pPr>
      <w:r>
        <w:rPr>
          <w:rFonts w:hint="eastAsia" w:ascii="宋体" w:hAnsi="宋体" w:cs="宋体"/>
          <w:b/>
          <w:bCs/>
          <w:color w:val="auto"/>
          <w:szCs w:val="21"/>
          <w:highlight w:val="none"/>
        </w:rPr>
        <w:t>本项目采购标的对应的中小企业划分标准所属行业：建筑业。</w:t>
      </w:r>
    </w:p>
    <w:p>
      <w:pPr>
        <w:keepNext w:val="0"/>
        <w:keepLines w:val="0"/>
        <w:pageBreakBefore w:val="0"/>
        <w:kinsoku/>
        <w:wordWrap/>
        <w:overflowPunct/>
        <w:topLinePunct w:val="0"/>
        <w:autoSpaceDE/>
        <w:autoSpaceDN/>
        <w:bidi w:val="0"/>
        <w:adjustRightInd/>
        <w:snapToGrid/>
        <w:spacing w:line="350" w:lineRule="exact"/>
        <w:ind w:firstLine="422" w:firstLineChars="200"/>
        <w:textAlignment w:val="auto"/>
        <w:rPr>
          <w:rFonts w:ascii="宋体" w:hAnsi="宋体" w:cs="宋体"/>
          <w:color w:val="auto"/>
          <w:kern w:val="0"/>
          <w:szCs w:val="21"/>
          <w:highlight w:val="none"/>
        </w:rPr>
      </w:pPr>
      <w:bookmarkStart w:id="28" w:name="_Toc35393636"/>
      <w:bookmarkStart w:id="29" w:name="_Toc28359095"/>
      <w:bookmarkStart w:id="30" w:name="_Toc28359018"/>
      <w:bookmarkStart w:id="31" w:name="_Toc35393805"/>
      <w:r>
        <w:rPr>
          <w:rFonts w:hint="eastAsia" w:ascii="宋体" w:hAnsi="宋体" w:cs="宋体"/>
          <w:b/>
          <w:bCs/>
          <w:color w:val="auto"/>
          <w:kern w:val="0"/>
          <w:szCs w:val="21"/>
          <w:highlight w:val="none"/>
        </w:rPr>
        <w:t>八、如对本次采购提出询问，请按以下方式联系</w:t>
      </w:r>
      <w:r>
        <w:rPr>
          <w:rFonts w:hint="eastAsia" w:ascii="宋体" w:hAnsi="宋体" w:cs="宋体"/>
          <w:color w:val="auto"/>
          <w:kern w:val="0"/>
          <w:szCs w:val="21"/>
          <w:highlight w:val="none"/>
        </w:rPr>
        <w:t>。</w:t>
      </w:r>
      <w:bookmarkEnd w:id="28"/>
      <w:bookmarkEnd w:id="29"/>
      <w:bookmarkEnd w:id="30"/>
      <w:bookmarkEnd w:id="31"/>
    </w:p>
    <w:p>
      <w:pPr>
        <w:keepNext w:val="0"/>
        <w:keepLines w:val="0"/>
        <w:pageBreakBefore w:val="0"/>
        <w:kinsoku/>
        <w:wordWrap/>
        <w:overflowPunct/>
        <w:topLinePunct w:val="0"/>
        <w:autoSpaceDE/>
        <w:autoSpaceDN/>
        <w:bidi w:val="0"/>
        <w:adjustRightInd/>
        <w:snapToGrid/>
        <w:spacing w:line="350" w:lineRule="exact"/>
        <w:ind w:firstLine="420" w:firstLineChars="200"/>
        <w:textAlignment w:val="auto"/>
        <w:rPr>
          <w:rFonts w:ascii="宋体" w:hAnsi="宋体" w:cs="宋体"/>
          <w:color w:val="auto"/>
          <w:kern w:val="0"/>
          <w:szCs w:val="21"/>
          <w:highlight w:val="none"/>
        </w:rPr>
      </w:pPr>
      <w:bookmarkStart w:id="32" w:name="_Toc35393637"/>
      <w:bookmarkStart w:id="33" w:name="_Toc35393806"/>
      <w:bookmarkStart w:id="34" w:name="_Toc28359096"/>
      <w:bookmarkStart w:id="35" w:name="_Toc28359019"/>
      <w:r>
        <w:rPr>
          <w:rFonts w:hint="eastAsia" w:ascii="宋体" w:hAnsi="宋体" w:cs="宋体"/>
          <w:color w:val="auto"/>
          <w:kern w:val="0"/>
          <w:szCs w:val="21"/>
          <w:highlight w:val="none"/>
        </w:rPr>
        <w:t>1.采购人信息</w:t>
      </w:r>
      <w:bookmarkEnd w:id="32"/>
      <w:bookmarkEnd w:id="33"/>
      <w:bookmarkEnd w:id="34"/>
      <w:bookmarkEnd w:id="35"/>
    </w:p>
    <w:p>
      <w:pPr>
        <w:keepNext w:val="0"/>
        <w:keepLines w:val="0"/>
        <w:pageBreakBefore w:val="0"/>
        <w:kinsoku/>
        <w:wordWrap/>
        <w:overflowPunct/>
        <w:topLinePunct w:val="0"/>
        <w:autoSpaceDE/>
        <w:autoSpaceDN/>
        <w:bidi w:val="0"/>
        <w:adjustRightInd/>
        <w:snapToGrid/>
        <w:spacing w:line="35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名    称：</w:t>
      </w:r>
      <w:r>
        <w:rPr>
          <w:rFonts w:hint="eastAsia" w:ascii="宋体" w:hAnsi="宋体" w:cs="宋体"/>
          <w:color w:val="auto"/>
          <w:szCs w:val="21"/>
          <w:highlight w:val="none"/>
        </w:rPr>
        <w:t>西安市长安区农村合作经济经营管理站</w:t>
      </w:r>
    </w:p>
    <w:p>
      <w:pPr>
        <w:keepNext w:val="0"/>
        <w:keepLines w:val="0"/>
        <w:pageBreakBefore w:val="0"/>
        <w:kinsoku/>
        <w:wordWrap/>
        <w:overflowPunct/>
        <w:topLinePunct w:val="0"/>
        <w:autoSpaceDE/>
        <w:autoSpaceDN/>
        <w:bidi w:val="0"/>
        <w:adjustRightInd/>
        <w:snapToGrid/>
        <w:spacing w:line="350" w:lineRule="exact"/>
        <w:ind w:firstLine="420" w:firstLineChars="200"/>
        <w:textAlignment w:val="auto"/>
        <w:rPr>
          <w:rFonts w:ascii="宋体" w:hAnsi="宋体" w:cs="宋体"/>
          <w:color w:val="auto"/>
          <w:szCs w:val="21"/>
          <w:highlight w:val="none"/>
        </w:rPr>
      </w:pPr>
      <w:r>
        <w:rPr>
          <w:rFonts w:hint="eastAsia" w:ascii="宋体" w:hAnsi="宋体" w:cs="宋体"/>
          <w:color w:val="auto"/>
          <w:kern w:val="0"/>
          <w:szCs w:val="21"/>
          <w:highlight w:val="none"/>
        </w:rPr>
        <w:t>地    址：西安市长安区东长安街17号</w:t>
      </w:r>
    </w:p>
    <w:p>
      <w:pPr>
        <w:keepNext w:val="0"/>
        <w:keepLines w:val="0"/>
        <w:pageBreakBefore w:val="0"/>
        <w:kinsoku/>
        <w:wordWrap/>
        <w:overflowPunct/>
        <w:topLinePunct w:val="0"/>
        <w:autoSpaceDE/>
        <w:autoSpaceDN/>
        <w:bidi w:val="0"/>
        <w:adjustRightInd/>
        <w:snapToGrid/>
        <w:spacing w:line="35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联系方式：</w:t>
      </w:r>
      <w:bookmarkStart w:id="36" w:name="_Toc35393807"/>
      <w:bookmarkStart w:id="37" w:name="_Toc28359097"/>
      <w:bookmarkStart w:id="38" w:name="_Toc35393638"/>
      <w:bookmarkStart w:id="39" w:name="_Toc28359020"/>
      <w:r>
        <w:rPr>
          <w:rFonts w:hint="eastAsia" w:ascii="宋体" w:hAnsi="宋体" w:cs="宋体"/>
          <w:color w:val="auto"/>
          <w:kern w:val="0"/>
          <w:szCs w:val="21"/>
          <w:highlight w:val="none"/>
        </w:rPr>
        <w:t>刘工 13468889585</w:t>
      </w:r>
    </w:p>
    <w:p>
      <w:pPr>
        <w:keepNext w:val="0"/>
        <w:keepLines w:val="0"/>
        <w:pageBreakBefore w:val="0"/>
        <w:kinsoku/>
        <w:wordWrap/>
        <w:overflowPunct/>
        <w:topLinePunct w:val="0"/>
        <w:autoSpaceDE/>
        <w:autoSpaceDN/>
        <w:bidi w:val="0"/>
        <w:adjustRightInd/>
        <w:snapToGrid/>
        <w:spacing w:line="35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2.采购代理机构信息（如有）</w:t>
      </w:r>
      <w:bookmarkEnd w:id="36"/>
      <w:bookmarkEnd w:id="37"/>
      <w:bookmarkEnd w:id="38"/>
      <w:bookmarkEnd w:id="39"/>
    </w:p>
    <w:p>
      <w:pPr>
        <w:keepNext w:val="0"/>
        <w:keepLines w:val="0"/>
        <w:pageBreakBefore w:val="0"/>
        <w:kinsoku/>
        <w:wordWrap/>
        <w:overflowPunct/>
        <w:topLinePunct w:val="0"/>
        <w:autoSpaceDE/>
        <w:autoSpaceDN/>
        <w:bidi w:val="0"/>
        <w:adjustRightInd/>
        <w:snapToGrid/>
        <w:spacing w:line="350" w:lineRule="exact"/>
        <w:ind w:firstLine="420" w:firstLineChars="200"/>
        <w:textAlignment w:val="auto"/>
        <w:rPr>
          <w:rFonts w:ascii="宋体" w:hAnsi="宋体" w:cs="宋体"/>
          <w:color w:val="auto"/>
          <w:szCs w:val="21"/>
          <w:highlight w:val="none"/>
        </w:rPr>
      </w:pPr>
      <w:r>
        <w:rPr>
          <w:rFonts w:hint="eastAsia" w:ascii="宋体" w:hAnsi="宋体" w:cs="宋体"/>
          <w:color w:val="auto"/>
          <w:kern w:val="0"/>
          <w:szCs w:val="21"/>
          <w:highlight w:val="none"/>
        </w:rPr>
        <w:t>名    称：</w:t>
      </w:r>
      <w:r>
        <w:rPr>
          <w:rFonts w:hint="eastAsia" w:ascii="宋体" w:hAnsi="宋体" w:cs="宋体"/>
          <w:color w:val="auto"/>
          <w:szCs w:val="21"/>
          <w:highlight w:val="none"/>
        </w:rPr>
        <w:t>西北(陕西)国际招标有限公司</w:t>
      </w:r>
    </w:p>
    <w:p>
      <w:pPr>
        <w:keepNext w:val="0"/>
        <w:keepLines w:val="0"/>
        <w:pageBreakBefore w:val="0"/>
        <w:kinsoku/>
        <w:wordWrap/>
        <w:overflowPunct/>
        <w:topLinePunct w:val="0"/>
        <w:autoSpaceDE/>
        <w:autoSpaceDN/>
        <w:bidi w:val="0"/>
        <w:adjustRightInd/>
        <w:snapToGrid/>
        <w:spacing w:line="350" w:lineRule="exact"/>
        <w:ind w:firstLine="420" w:firstLineChars="200"/>
        <w:textAlignment w:val="auto"/>
        <w:rPr>
          <w:rFonts w:ascii="宋体" w:hAnsi="宋体" w:cs="宋体"/>
          <w:color w:val="auto"/>
          <w:szCs w:val="21"/>
          <w:highlight w:val="none"/>
        </w:rPr>
      </w:pPr>
      <w:r>
        <w:rPr>
          <w:rFonts w:hint="eastAsia" w:ascii="宋体" w:hAnsi="宋体" w:cs="宋体"/>
          <w:color w:val="auto"/>
          <w:kern w:val="0"/>
          <w:szCs w:val="21"/>
          <w:highlight w:val="none"/>
        </w:rPr>
        <w:t>地址：</w:t>
      </w:r>
      <w:r>
        <w:rPr>
          <w:rFonts w:hint="eastAsia" w:ascii="宋体" w:hAnsi="宋体" w:cs="宋体"/>
          <w:color w:val="auto"/>
          <w:szCs w:val="21"/>
          <w:highlight w:val="none"/>
        </w:rPr>
        <w:t>西安市南二环西段58号成长大厦10-14层</w:t>
      </w:r>
    </w:p>
    <w:p>
      <w:pPr>
        <w:keepNext w:val="0"/>
        <w:keepLines w:val="0"/>
        <w:pageBreakBefore w:val="0"/>
        <w:kinsoku/>
        <w:wordWrap/>
        <w:overflowPunct/>
        <w:topLinePunct w:val="0"/>
        <w:autoSpaceDE/>
        <w:autoSpaceDN/>
        <w:bidi w:val="0"/>
        <w:adjustRightInd/>
        <w:snapToGrid/>
        <w:spacing w:line="35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联系方式：</w:t>
      </w:r>
      <w:bookmarkStart w:id="40" w:name="_Toc28359098"/>
      <w:bookmarkStart w:id="41" w:name="_Toc28359021"/>
      <w:bookmarkStart w:id="42" w:name="_Toc35393639"/>
      <w:bookmarkStart w:id="43" w:name="_Toc35393808"/>
      <w:r>
        <w:rPr>
          <w:rFonts w:hint="eastAsia" w:ascii="宋体" w:hAnsi="宋体" w:cs="宋体"/>
          <w:color w:val="auto"/>
          <w:kern w:val="0"/>
          <w:szCs w:val="21"/>
          <w:highlight w:val="none"/>
        </w:rPr>
        <w:t>029-85398605、85398604</w:t>
      </w:r>
    </w:p>
    <w:p>
      <w:pPr>
        <w:keepNext w:val="0"/>
        <w:keepLines w:val="0"/>
        <w:pageBreakBefore w:val="0"/>
        <w:kinsoku/>
        <w:wordWrap/>
        <w:overflowPunct/>
        <w:topLinePunct w:val="0"/>
        <w:autoSpaceDE/>
        <w:autoSpaceDN/>
        <w:bidi w:val="0"/>
        <w:adjustRightInd/>
        <w:snapToGrid/>
        <w:spacing w:line="35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3.项目联系方式</w:t>
      </w:r>
      <w:bookmarkEnd w:id="40"/>
      <w:bookmarkEnd w:id="41"/>
      <w:bookmarkEnd w:id="42"/>
      <w:bookmarkEnd w:id="43"/>
    </w:p>
    <w:p>
      <w:pPr>
        <w:keepNext w:val="0"/>
        <w:keepLines w:val="0"/>
        <w:pageBreakBefore w:val="0"/>
        <w:kinsoku/>
        <w:wordWrap/>
        <w:overflowPunct/>
        <w:topLinePunct w:val="0"/>
        <w:autoSpaceDE/>
        <w:autoSpaceDN/>
        <w:bidi w:val="0"/>
        <w:adjustRightInd/>
        <w:snapToGrid/>
        <w:spacing w:line="35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项目联系人：任晓洁、蔺荻</w:t>
      </w:r>
    </w:p>
    <w:p>
      <w:pPr>
        <w:keepNext w:val="0"/>
        <w:keepLines w:val="0"/>
        <w:pageBreakBefore w:val="0"/>
        <w:kinsoku/>
        <w:wordWrap/>
        <w:overflowPunct/>
        <w:topLinePunct w:val="0"/>
        <w:autoSpaceDE/>
        <w:autoSpaceDN/>
        <w:bidi w:val="0"/>
        <w:adjustRightInd/>
        <w:snapToGrid/>
        <w:spacing w:line="350" w:lineRule="exact"/>
        <w:ind w:left="525" w:leftChars="200" w:hanging="105" w:hangingChars="50"/>
        <w:textAlignment w:val="auto"/>
        <w:rPr>
          <w:rFonts w:ascii="宋体" w:hAnsi="宋体" w:cs="宋体"/>
          <w:color w:val="auto"/>
          <w:szCs w:val="21"/>
          <w:highlight w:val="none"/>
        </w:rPr>
      </w:pPr>
      <w:r>
        <w:rPr>
          <w:rFonts w:hint="eastAsia" w:ascii="宋体" w:hAnsi="宋体" w:cs="宋体"/>
          <w:color w:val="auto"/>
          <w:kern w:val="0"/>
          <w:szCs w:val="21"/>
          <w:highlight w:val="none"/>
        </w:rPr>
        <w:t>电 话：029-85398605、85398604</w:t>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3"/>
        <w:rPr>
          <w:rFonts w:ascii="宋体" w:hAnsi="宋体" w:cs="宋体"/>
          <w:color w:val="auto"/>
          <w:kern w:val="0"/>
          <w:szCs w:val="32"/>
          <w:highlight w:val="none"/>
        </w:rPr>
      </w:pPr>
      <w:bookmarkStart w:id="44" w:name="_Toc405295831"/>
      <w:bookmarkStart w:id="45" w:name="_Toc290389695"/>
      <w:bookmarkStart w:id="46" w:name="_Toc283035491"/>
      <w:bookmarkStart w:id="47" w:name="_Toc321812008"/>
      <w:bookmarkStart w:id="48" w:name="_Toc283035008"/>
      <w:bookmarkStart w:id="49" w:name="_Toc283304085"/>
      <w:bookmarkStart w:id="50" w:name="_Toc283035148"/>
      <w:bookmarkStart w:id="51" w:name="_Toc324521805"/>
      <w:bookmarkStart w:id="52" w:name="_Toc903"/>
      <w:bookmarkStart w:id="53" w:name="_Toc31934"/>
      <w:r>
        <w:rPr>
          <w:rFonts w:hint="eastAsia" w:ascii="宋体" w:hAnsi="宋体" w:cs="宋体"/>
          <w:color w:val="auto"/>
          <w:highlight w:val="none"/>
        </w:rPr>
        <w:t>第二章  磋商须知</w:t>
      </w:r>
      <w:bookmarkEnd w:id="44"/>
      <w:bookmarkEnd w:id="45"/>
      <w:bookmarkEnd w:id="46"/>
      <w:bookmarkEnd w:id="47"/>
      <w:bookmarkEnd w:id="48"/>
      <w:bookmarkEnd w:id="49"/>
      <w:bookmarkEnd w:id="50"/>
      <w:bookmarkEnd w:id="51"/>
      <w:r>
        <w:rPr>
          <w:rFonts w:hint="eastAsia" w:ascii="宋体" w:hAnsi="宋体" w:cs="宋体"/>
          <w:color w:val="auto"/>
          <w:highlight w:val="none"/>
        </w:rPr>
        <w:t>及前附表</w:t>
      </w:r>
      <w:bookmarkEnd w:id="52"/>
      <w:bookmarkEnd w:id="53"/>
    </w:p>
    <w:p>
      <w:pPr>
        <w:spacing w:before="240" w:beforeLines="100"/>
        <w:jc w:val="left"/>
        <w:rPr>
          <w:rFonts w:ascii="宋体" w:hAnsi="宋体" w:cs="宋体"/>
          <w:b/>
          <w:color w:val="auto"/>
          <w:kern w:val="0"/>
          <w:sz w:val="24"/>
          <w:highlight w:val="none"/>
        </w:rPr>
      </w:pPr>
      <w:bookmarkStart w:id="54" w:name="_Toc324521806"/>
      <w:bookmarkStart w:id="55" w:name="_Toc321812009"/>
      <w:bookmarkStart w:id="56" w:name="_Toc283035149"/>
      <w:bookmarkStart w:id="57" w:name="_Toc290389696"/>
      <w:bookmarkStart w:id="58" w:name="_Toc283035492"/>
      <w:bookmarkStart w:id="59" w:name="_Toc283304086"/>
      <w:bookmarkStart w:id="60" w:name="_Toc283035009"/>
      <w:r>
        <w:rPr>
          <w:rFonts w:hint="eastAsia" w:ascii="宋体" w:hAnsi="宋体" w:cs="宋体"/>
          <w:b/>
          <w:color w:val="auto"/>
          <w:kern w:val="0"/>
          <w:sz w:val="24"/>
          <w:highlight w:val="none"/>
        </w:rPr>
        <w:t>磋商须知前附表</w:t>
      </w:r>
      <w:bookmarkEnd w:id="54"/>
      <w:bookmarkEnd w:id="55"/>
      <w:bookmarkEnd w:id="56"/>
      <w:bookmarkEnd w:id="57"/>
      <w:bookmarkEnd w:id="58"/>
      <w:bookmarkEnd w:id="59"/>
      <w:bookmarkEnd w:id="60"/>
    </w:p>
    <w:p>
      <w:pPr>
        <w:rPr>
          <w:rFonts w:ascii="宋体" w:hAnsi="宋体" w:cs="宋体"/>
          <w:b/>
          <w:color w:val="auto"/>
          <w:kern w:val="0"/>
          <w:szCs w:val="21"/>
          <w:highlight w:val="none"/>
        </w:rPr>
      </w:pPr>
      <w:r>
        <w:rPr>
          <w:rFonts w:hint="eastAsia" w:ascii="宋体" w:hAnsi="宋体" w:cs="宋体"/>
          <w:b/>
          <w:color w:val="auto"/>
          <w:kern w:val="0"/>
          <w:szCs w:val="21"/>
          <w:highlight w:val="none"/>
        </w:rPr>
        <w:t>（本表是对磋商须知的提示、补充和修改，如有矛盾，应以本表为准。）</w:t>
      </w:r>
    </w:p>
    <w:tbl>
      <w:tblPr>
        <w:tblStyle w:val="43"/>
        <w:tblW w:w="9000" w:type="dxa"/>
        <w:jc w:val="center"/>
        <w:tblBorders>
          <w:top w:val="single" w:color="auto" w:sz="12" w:space="0"/>
          <w:left w:val="single" w:color="auto" w:sz="12" w:space="0"/>
          <w:bottom w:val="single" w:color="auto" w:sz="4"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2067"/>
        <w:gridCol w:w="5940"/>
      </w:tblGrid>
      <w:tr>
        <w:tblPrEx>
          <w:tblBorders>
            <w:top w:val="single" w:color="auto" w:sz="12" w:space="0"/>
            <w:left w:val="single" w:color="auto" w:sz="12" w:space="0"/>
            <w:bottom w:val="single" w:color="auto" w:sz="4"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66" w:hRule="atLeast"/>
          <w:tblHeader/>
          <w:jc w:val="center"/>
        </w:trPr>
        <w:tc>
          <w:tcPr>
            <w:tcW w:w="993" w:type="dxa"/>
            <w:tcBorders>
              <w:top w:val="single" w:color="auto" w:sz="12" w:space="0"/>
            </w:tcBorders>
          </w:tcPr>
          <w:p>
            <w:pPr>
              <w:spacing w:before="120" w:beforeLines="50" w:after="120" w:afterLines="50" w:line="36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条款号</w:t>
            </w:r>
          </w:p>
        </w:tc>
        <w:tc>
          <w:tcPr>
            <w:tcW w:w="2067" w:type="dxa"/>
            <w:tcBorders>
              <w:top w:val="single" w:color="auto" w:sz="12" w:space="0"/>
            </w:tcBorders>
          </w:tcPr>
          <w:p>
            <w:pPr>
              <w:spacing w:before="120" w:beforeLines="50" w:after="120" w:afterLines="50" w:line="36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条款内容提示</w:t>
            </w:r>
          </w:p>
        </w:tc>
        <w:tc>
          <w:tcPr>
            <w:tcW w:w="5940" w:type="dxa"/>
            <w:tcBorders>
              <w:top w:val="single" w:color="auto" w:sz="12" w:space="0"/>
            </w:tcBorders>
          </w:tcPr>
          <w:p>
            <w:pPr>
              <w:spacing w:before="120" w:beforeLines="50" w:after="120" w:afterLines="50" w:line="36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编列内容</w:t>
            </w:r>
          </w:p>
        </w:tc>
      </w:tr>
      <w:tr>
        <w:tblPrEx>
          <w:tblBorders>
            <w:top w:val="single" w:color="auto" w:sz="12" w:space="0"/>
            <w:left w:val="single" w:color="auto" w:sz="12" w:space="0"/>
            <w:bottom w:val="single" w:color="auto" w:sz="4"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23" w:hRule="atLeast"/>
          <w:jc w:val="center"/>
        </w:trPr>
        <w:tc>
          <w:tcPr>
            <w:tcW w:w="993" w:type="dxa"/>
            <w:vAlign w:val="center"/>
          </w:tcPr>
          <w:p>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1.1</w:t>
            </w:r>
          </w:p>
        </w:tc>
        <w:tc>
          <w:tcPr>
            <w:tcW w:w="2067" w:type="dxa"/>
            <w:vAlign w:val="center"/>
          </w:tcPr>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采购人</w:t>
            </w:r>
          </w:p>
        </w:tc>
        <w:tc>
          <w:tcPr>
            <w:tcW w:w="5940" w:type="dxa"/>
            <w:vAlign w:val="center"/>
          </w:tcPr>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名称：</w:t>
            </w:r>
            <w:r>
              <w:rPr>
                <w:rFonts w:hint="eastAsia" w:ascii="宋体" w:hAnsi="宋体" w:cs="宋体"/>
                <w:bCs/>
                <w:color w:val="auto"/>
                <w:kern w:val="0"/>
                <w:szCs w:val="21"/>
                <w:highlight w:val="none"/>
              </w:rPr>
              <w:t>西安市长安区农村合作经济经营管理站</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地址：西安市长安区东长安街17号</w:t>
            </w:r>
          </w:p>
        </w:tc>
      </w:tr>
      <w:tr>
        <w:tblPrEx>
          <w:tblBorders>
            <w:top w:val="single" w:color="auto" w:sz="12" w:space="0"/>
            <w:left w:val="single" w:color="auto" w:sz="12" w:space="0"/>
            <w:bottom w:val="single" w:color="auto" w:sz="4"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0" w:hRule="atLeast"/>
          <w:jc w:val="center"/>
        </w:trPr>
        <w:tc>
          <w:tcPr>
            <w:tcW w:w="993" w:type="dxa"/>
            <w:vAlign w:val="center"/>
          </w:tcPr>
          <w:p>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2.1</w:t>
            </w:r>
          </w:p>
        </w:tc>
        <w:tc>
          <w:tcPr>
            <w:tcW w:w="2067" w:type="dxa"/>
            <w:vAlign w:val="center"/>
          </w:tcPr>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采购代理机构</w:t>
            </w:r>
          </w:p>
        </w:tc>
        <w:tc>
          <w:tcPr>
            <w:tcW w:w="5940" w:type="dxa"/>
            <w:vAlign w:val="center"/>
          </w:tcPr>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名称：西北（陕西）国际招标有限公司</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地址：西安市二环南路西段58号成长大厦10-14层</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邮编：710075</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电话：029-85398605、85398604</w:t>
            </w:r>
          </w:p>
        </w:tc>
      </w:tr>
      <w:tr>
        <w:tblPrEx>
          <w:tblBorders>
            <w:top w:val="single" w:color="auto" w:sz="12" w:space="0"/>
            <w:left w:val="single" w:color="auto" w:sz="12" w:space="0"/>
            <w:bottom w:val="single" w:color="auto" w:sz="4"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072" w:hRule="atLeast"/>
          <w:jc w:val="center"/>
        </w:trPr>
        <w:tc>
          <w:tcPr>
            <w:tcW w:w="993" w:type="dxa"/>
            <w:vMerge w:val="restart"/>
            <w:vAlign w:val="center"/>
          </w:tcPr>
          <w:p>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2.2.1</w:t>
            </w:r>
          </w:p>
        </w:tc>
        <w:tc>
          <w:tcPr>
            <w:tcW w:w="2067" w:type="dxa"/>
            <w:vAlign w:val="center"/>
          </w:tcPr>
          <w:p>
            <w:pPr>
              <w:spacing w:line="36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中华人民共和国法律、行政法规规定的其他条件</w:t>
            </w:r>
          </w:p>
        </w:tc>
        <w:tc>
          <w:tcPr>
            <w:tcW w:w="5940" w:type="dxa"/>
            <w:vAlign w:val="center"/>
          </w:tcPr>
          <w:p>
            <w:pPr>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符合《中华人民共和国政府采购法》第二十二条规定</w:t>
            </w:r>
          </w:p>
        </w:tc>
      </w:tr>
      <w:tr>
        <w:tblPrEx>
          <w:tblBorders>
            <w:top w:val="single" w:color="auto" w:sz="12" w:space="0"/>
            <w:left w:val="single" w:color="auto" w:sz="12" w:space="0"/>
            <w:bottom w:val="single" w:color="auto" w:sz="4"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75" w:hRule="atLeast"/>
          <w:jc w:val="center"/>
        </w:trPr>
        <w:tc>
          <w:tcPr>
            <w:tcW w:w="993" w:type="dxa"/>
            <w:vMerge w:val="continue"/>
            <w:vAlign w:val="center"/>
          </w:tcPr>
          <w:p>
            <w:pPr>
              <w:spacing w:line="360" w:lineRule="exact"/>
              <w:jc w:val="center"/>
              <w:rPr>
                <w:rFonts w:ascii="宋体" w:hAnsi="宋体" w:cs="宋体"/>
                <w:color w:val="auto"/>
                <w:kern w:val="0"/>
                <w:szCs w:val="21"/>
                <w:highlight w:val="none"/>
              </w:rPr>
            </w:pPr>
          </w:p>
        </w:tc>
        <w:tc>
          <w:tcPr>
            <w:tcW w:w="2067" w:type="dxa"/>
            <w:vAlign w:val="center"/>
          </w:tcPr>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本项目特定条件</w:t>
            </w:r>
          </w:p>
        </w:tc>
        <w:tc>
          <w:tcPr>
            <w:tcW w:w="5940" w:type="dxa"/>
            <w:vAlign w:val="center"/>
          </w:tcPr>
          <w:p>
            <w:pPr>
              <w:spacing w:line="360" w:lineRule="auto"/>
              <w:rPr>
                <w:color w:val="auto"/>
                <w:highlight w:val="none"/>
              </w:rPr>
            </w:pPr>
            <w:r>
              <w:rPr>
                <w:rFonts w:hint="eastAsia"/>
                <w:color w:val="auto"/>
                <w:highlight w:val="none"/>
              </w:rPr>
              <w:t>供应商须具备建筑装修装饰工程专业承包二级（含二级）及以上资质，同时具有有效的安全生产许可证；拟派项目经理具有本企业注册的建筑工程专业二级及以上（含二级）注册建造师资格证书及安全生产考核合格证（建安B证）,且未担任其他在建工程的项目经理。</w:t>
            </w:r>
          </w:p>
        </w:tc>
      </w:tr>
      <w:tr>
        <w:tblPrEx>
          <w:tblBorders>
            <w:top w:val="single" w:color="auto" w:sz="12" w:space="0"/>
            <w:left w:val="single" w:color="auto" w:sz="12" w:space="0"/>
            <w:bottom w:val="single" w:color="auto" w:sz="4"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565" w:hRule="atLeast"/>
          <w:jc w:val="center"/>
        </w:trPr>
        <w:tc>
          <w:tcPr>
            <w:tcW w:w="993" w:type="dxa"/>
            <w:vAlign w:val="center"/>
          </w:tcPr>
          <w:p>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2067" w:type="dxa"/>
            <w:vAlign w:val="center"/>
          </w:tcPr>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供应商信用信息</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查询</w:t>
            </w:r>
          </w:p>
        </w:tc>
        <w:tc>
          <w:tcPr>
            <w:tcW w:w="5940" w:type="dxa"/>
            <w:vAlign w:val="center"/>
          </w:tcPr>
          <w:p>
            <w:pPr>
              <w:pStyle w:val="13"/>
              <w:ind w:firstLine="0"/>
              <w:rPr>
                <w:color w:val="auto"/>
                <w:highlight w:val="none"/>
              </w:rPr>
            </w:pPr>
            <w:r>
              <w:rPr>
                <w:rFonts w:hint="eastAsia" w:ascii="宋体" w:hAnsi="宋体" w:cs="宋体"/>
                <w:color w:val="auto"/>
                <w:sz w:val="21"/>
                <w:szCs w:val="21"/>
                <w:highlight w:val="none"/>
              </w:rPr>
              <w:t>“信用中国”网站（www.creditchina.gov.cn）和“中国政府采购网”（www.ccgp.gov.cn）对供应商信用信息进行查询，如果供应商被查实在磋商截止时间前已列入失信被执行人（页面跳转至“中国执行信息网”http://zxgk.court.gov.cn/shixin/）、重大税收违法案件当事人名单（重大税收违法失信主体）、政府采购严重违法失信行为记录名单，其磋商响应为无效。</w:t>
            </w:r>
          </w:p>
        </w:tc>
      </w:tr>
      <w:tr>
        <w:tblPrEx>
          <w:tblBorders>
            <w:top w:val="single" w:color="auto" w:sz="12" w:space="0"/>
            <w:left w:val="single" w:color="auto" w:sz="12" w:space="0"/>
            <w:bottom w:val="single" w:color="auto" w:sz="4"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1" w:hRule="atLeast"/>
          <w:jc w:val="center"/>
        </w:trPr>
        <w:tc>
          <w:tcPr>
            <w:tcW w:w="993" w:type="dxa"/>
            <w:vAlign w:val="center"/>
          </w:tcPr>
          <w:p>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7.2</w:t>
            </w:r>
          </w:p>
        </w:tc>
        <w:tc>
          <w:tcPr>
            <w:tcW w:w="2067" w:type="dxa"/>
            <w:vAlign w:val="center"/>
          </w:tcPr>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供应商提出质疑的时间</w:t>
            </w:r>
          </w:p>
        </w:tc>
        <w:tc>
          <w:tcPr>
            <w:tcW w:w="5940" w:type="dxa"/>
            <w:vAlign w:val="center"/>
          </w:tcPr>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1、已经合法获取磋商文件的供应商对磋商文件有质疑的，可以在本项目磋商文件公告期限届满之日起七个工作日内，对同一采购程序环节以书面形式向采购代理机构一次性提出，在此之后提出的质疑均为无效，采购代理机构不予受理。</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2、接收质疑函的方式：书面形式</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格式：见“中国政府采购网（www.ccgp.gov.cn）下载专区”</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3、联系部门：西北（陕西）国际招标有限公司综合监督处；</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4、联系电话：029-85362812</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5、通讯地址：西安市南二环西段58号成长大厦12楼1203室</w:t>
            </w:r>
          </w:p>
        </w:tc>
      </w:tr>
      <w:tr>
        <w:tblPrEx>
          <w:tblBorders>
            <w:top w:val="single" w:color="auto" w:sz="12" w:space="0"/>
            <w:left w:val="single" w:color="auto" w:sz="12" w:space="0"/>
            <w:bottom w:val="single" w:color="auto" w:sz="4"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44" w:hRule="atLeast"/>
          <w:jc w:val="center"/>
        </w:trPr>
        <w:tc>
          <w:tcPr>
            <w:tcW w:w="993" w:type="dxa"/>
            <w:vAlign w:val="center"/>
          </w:tcPr>
          <w:p>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7.3</w:t>
            </w:r>
          </w:p>
        </w:tc>
        <w:tc>
          <w:tcPr>
            <w:tcW w:w="2067" w:type="dxa"/>
            <w:vAlign w:val="center"/>
          </w:tcPr>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采购代理机构质疑的时间</w:t>
            </w:r>
          </w:p>
        </w:tc>
        <w:tc>
          <w:tcPr>
            <w:tcW w:w="5940" w:type="dxa"/>
            <w:vAlign w:val="center"/>
          </w:tcPr>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1.对于供应商依法提出的询问，采购代理机构将在三个工作日内答复。</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2.对于供应商在规定时间内依法提出的质疑，采购代理机构将在七个工作日内答复。</w:t>
            </w:r>
          </w:p>
        </w:tc>
      </w:tr>
      <w:tr>
        <w:tblPrEx>
          <w:tblBorders>
            <w:top w:val="single" w:color="auto" w:sz="12" w:space="0"/>
            <w:left w:val="single" w:color="auto" w:sz="12" w:space="0"/>
            <w:bottom w:val="single" w:color="auto" w:sz="4"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3" w:hRule="atLeast"/>
          <w:jc w:val="center"/>
        </w:trPr>
        <w:tc>
          <w:tcPr>
            <w:tcW w:w="993" w:type="dxa"/>
            <w:vAlign w:val="center"/>
          </w:tcPr>
          <w:p>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7.4</w:t>
            </w:r>
          </w:p>
        </w:tc>
        <w:tc>
          <w:tcPr>
            <w:tcW w:w="2067" w:type="dxa"/>
            <w:vAlign w:val="center"/>
          </w:tcPr>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质疑内容要求</w:t>
            </w:r>
          </w:p>
        </w:tc>
        <w:tc>
          <w:tcPr>
            <w:tcW w:w="5940" w:type="dxa"/>
            <w:vAlign w:val="center"/>
          </w:tcPr>
          <w:p>
            <w:pPr>
              <w:spacing w:line="360" w:lineRule="exact"/>
              <w:rPr>
                <w:color w:val="auto"/>
                <w:highlight w:val="none"/>
              </w:rPr>
            </w:pPr>
            <w:r>
              <w:rPr>
                <w:rFonts w:hint="eastAsia"/>
                <w:color w:val="auto"/>
                <w:highlight w:val="none"/>
              </w:rPr>
              <w:t>供应商提出质疑应当提交质疑函和必要的证明材料原件。</w:t>
            </w:r>
          </w:p>
          <w:p>
            <w:pPr>
              <w:spacing w:line="360" w:lineRule="exact"/>
              <w:ind w:left="315" w:hanging="315" w:hangingChars="150"/>
              <w:rPr>
                <w:color w:val="auto"/>
                <w:highlight w:val="none"/>
              </w:rPr>
            </w:pPr>
            <w:r>
              <w:rPr>
                <w:rFonts w:hint="eastAsia"/>
                <w:color w:val="auto"/>
                <w:highlight w:val="none"/>
              </w:rPr>
              <w:t>质疑函应当包括下列内容：</w:t>
            </w:r>
          </w:p>
          <w:p>
            <w:pPr>
              <w:spacing w:line="360" w:lineRule="exact"/>
              <w:ind w:left="315" w:hanging="315" w:hangingChars="150"/>
              <w:rPr>
                <w:color w:val="auto"/>
                <w:highlight w:val="none"/>
              </w:rPr>
            </w:pPr>
            <w:r>
              <w:rPr>
                <w:rFonts w:hint="eastAsia"/>
                <w:color w:val="auto"/>
                <w:highlight w:val="none"/>
              </w:rPr>
              <w:t>（一）供应商的姓名或者名称、地址、邮编、联系人及联系电话；</w:t>
            </w:r>
          </w:p>
          <w:p>
            <w:pPr>
              <w:spacing w:line="360" w:lineRule="exact"/>
              <w:ind w:left="315" w:hanging="315" w:hangingChars="150"/>
              <w:rPr>
                <w:color w:val="auto"/>
                <w:highlight w:val="none"/>
              </w:rPr>
            </w:pPr>
            <w:r>
              <w:rPr>
                <w:rFonts w:hint="eastAsia"/>
                <w:color w:val="auto"/>
                <w:highlight w:val="none"/>
              </w:rPr>
              <w:t>（二）质疑项目的名称、编号；</w:t>
            </w:r>
          </w:p>
          <w:p>
            <w:pPr>
              <w:spacing w:line="360" w:lineRule="exact"/>
              <w:ind w:left="315" w:hanging="315" w:hangingChars="150"/>
              <w:rPr>
                <w:color w:val="auto"/>
                <w:highlight w:val="none"/>
              </w:rPr>
            </w:pPr>
            <w:r>
              <w:rPr>
                <w:rFonts w:hint="eastAsia"/>
                <w:color w:val="auto"/>
                <w:highlight w:val="none"/>
              </w:rPr>
              <w:t>（三）具体、明确的质疑事项和与质疑事项相关的请求；</w:t>
            </w:r>
          </w:p>
          <w:p>
            <w:pPr>
              <w:spacing w:line="360" w:lineRule="exact"/>
              <w:ind w:left="315" w:hanging="315" w:hangingChars="150"/>
              <w:rPr>
                <w:color w:val="auto"/>
                <w:highlight w:val="none"/>
              </w:rPr>
            </w:pPr>
            <w:r>
              <w:rPr>
                <w:rFonts w:hint="eastAsia"/>
                <w:color w:val="auto"/>
                <w:highlight w:val="none"/>
              </w:rPr>
              <w:t>（四）事实依据；</w:t>
            </w:r>
          </w:p>
          <w:p>
            <w:pPr>
              <w:spacing w:line="360" w:lineRule="exact"/>
              <w:ind w:left="315" w:hanging="315" w:hangingChars="150"/>
              <w:rPr>
                <w:color w:val="auto"/>
                <w:highlight w:val="none"/>
              </w:rPr>
            </w:pPr>
            <w:r>
              <w:rPr>
                <w:rFonts w:hint="eastAsia"/>
                <w:color w:val="auto"/>
                <w:highlight w:val="none"/>
              </w:rPr>
              <w:t>（五）必要的法律依据；</w:t>
            </w:r>
          </w:p>
          <w:p>
            <w:pPr>
              <w:spacing w:line="360" w:lineRule="exact"/>
              <w:ind w:left="315" w:hanging="315" w:hangingChars="150"/>
              <w:rPr>
                <w:color w:val="auto"/>
                <w:highlight w:val="none"/>
              </w:rPr>
            </w:pPr>
            <w:r>
              <w:rPr>
                <w:rFonts w:hint="eastAsia"/>
                <w:color w:val="auto"/>
                <w:highlight w:val="none"/>
              </w:rPr>
              <w:t>（六）提出质疑的日期。</w:t>
            </w:r>
          </w:p>
          <w:p>
            <w:pPr>
              <w:spacing w:line="360" w:lineRule="exact"/>
              <w:ind w:firstLine="420" w:firstLineChars="200"/>
              <w:jc w:val="left"/>
              <w:rPr>
                <w:color w:val="auto"/>
                <w:highlight w:val="none"/>
              </w:rPr>
            </w:pPr>
            <w:r>
              <w:rPr>
                <w:rFonts w:hint="eastAsia"/>
                <w:color w:val="auto"/>
                <w:highlight w:val="none"/>
              </w:rPr>
              <w:t>供应商为自然人的，应当由本人签字；供应商为法人或者其他组织的，应当由法定代表人、主要负责人，或者其授权代表（附法人代表授权书）签字或者盖章（鲜章），并加盖公章（鲜章）。</w:t>
            </w:r>
          </w:p>
          <w:p>
            <w:pPr>
              <w:spacing w:line="360" w:lineRule="exact"/>
              <w:jc w:val="left"/>
              <w:rPr>
                <w:color w:val="auto"/>
                <w:highlight w:val="none"/>
              </w:rPr>
            </w:pPr>
            <w:r>
              <w:rPr>
                <w:rFonts w:hint="eastAsia"/>
                <w:color w:val="auto"/>
                <w:highlight w:val="none"/>
              </w:rPr>
              <w:t>质疑函格式应符合“政府采购供应商质疑函范本”要求，详见“中国政府采购网（www.ccgp.gov.cn）”下载专区。</w:t>
            </w:r>
          </w:p>
        </w:tc>
      </w:tr>
      <w:tr>
        <w:tblPrEx>
          <w:tblBorders>
            <w:top w:val="single" w:color="auto" w:sz="12" w:space="0"/>
            <w:left w:val="single" w:color="auto" w:sz="12" w:space="0"/>
            <w:bottom w:val="single" w:color="auto" w:sz="4"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093" w:hRule="atLeast"/>
          <w:jc w:val="center"/>
        </w:trPr>
        <w:tc>
          <w:tcPr>
            <w:tcW w:w="993" w:type="dxa"/>
            <w:vAlign w:val="center"/>
          </w:tcPr>
          <w:p>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12.1</w:t>
            </w:r>
          </w:p>
        </w:tc>
        <w:tc>
          <w:tcPr>
            <w:tcW w:w="2067" w:type="dxa"/>
            <w:vAlign w:val="center"/>
          </w:tcPr>
          <w:p>
            <w:pPr>
              <w:spacing w:line="360" w:lineRule="exact"/>
              <w:rPr>
                <w:rFonts w:ascii="宋体" w:hAnsi="宋体" w:cs="宋体"/>
                <w:color w:val="auto"/>
                <w:szCs w:val="21"/>
                <w:highlight w:val="none"/>
              </w:rPr>
            </w:pPr>
            <w:r>
              <w:rPr>
                <w:rFonts w:hint="eastAsia" w:ascii="宋体" w:hAnsi="宋体" w:cs="宋体"/>
                <w:color w:val="auto"/>
                <w:szCs w:val="21"/>
                <w:highlight w:val="none"/>
              </w:rPr>
              <w:t>报价要求</w:t>
            </w:r>
          </w:p>
        </w:tc>
        <w:tc>
          <w:tcPr>
            <w:tcW w:w="5940" w:type="dxa"/>
            <w:vAlign w:val="center"/>
          </w:tcPr>
          <w:p>
            <w:pPr>
              <w:spacing w:line="360" w:lineRule="exact"/>
              <w:rPr>
                <w:rFonts w:ascii="宋体" w:hAnsi="宋体" w:cs="宋体"/>
                <w:color w:val="auto"/>
                <w:szCs w:val="21"/>
                <w:highlight w:val="none"/>
              </w:rPr>
            </w:pPr>
            <w:r>
              <w:rPr>
                <w:rFonts w:hint="eastAsia" w:ascii="宋体" w:hAnsi="宋体" w:cs="宋体"/>
                <w:color w:val="auto"/>
                <w:szCs w:val="21"/>
                <w:highlight w:val="none"/>
              </w:rPr>
              <w:t>本项目最高投标限价为</w:t>
            </w:r>
            <w:r>
              <w:rPr>
                <w:rFonts w:hint="eastAsia" w:ascii="宋体" w:hAnsi="宋体" w:cs="宋体"/>
                <w:color w:val="auto"/>
                <w:szCs w:val="21"/>
                <w:highlight w:val="none"/>
                <w:lang w:eastAsia="zh-CN"/>
              </w:rPr>
              <w:t>863303.39</w:t>
            </w:r>
            <w:r>
              <w:rPr>
                <w:rFonts w:hint="eastAsia" w:ascii="宋体" w:hAnsi="宋体" w:cs="宋体"/>
                <w:color w:val="auto"/>
                <w:kern w:val="0"/>
                <w:szCs w:val="21"/>
                <w:highlight w:val="none"/>
              </w:rPr>
              <w:t>元</w:t>
            </w:r>
            <w:r>
              <w:rPr>
                <w:rFonts w:hint="eastAsia" w:ascii="宋体" w:hAnsi="宋体" w:cs="宋体"/>
                <w:color w:val="auto"/>
                <w:szCs w:val="21"/>
                <w:highlight w:val="none"/>
              </w:rPr>
              <w:t>，</w:t>
            </w:r>
            <w:r>
              <w:rPr>
                <w:rFonts w:hint="eastAsia" w:ascii="宋体" w:hAnsi="宋体" w:cs="宋体"/>
                <w:color w:val="auto"/>
                <w:szCs w:val="21"/>
                <w:highlight w:val="none"/>
                <w:lang w:eastAsia="zh-CN"/>
              </w:rPr>
              <w:t>总</w:t>
            </w:r>
            <w:r>
              <w:rPr>
                <w:rFonts w:hint="eastAsia" w:ascii="宋体" w:hAnsi="宋体" w:cs="宋体"/>
                <w:color w:val="auto"/>
                <w:szCs w:val="21"/>
                <w:highlight w:val="none"/>
              </w:rPr>
              <w:t>报价不得高于最高投标限价。</w:t>
            </w:r>
            <w:r>
              <w:rPr>
                <w:rFonts w:hint="eastAsia" w:ascii="宋体" w:hAnsi="宋体" w:cs="宋体"/>
                <w:b/>
                <w:bCs/>
                <w:color w:val="auto"/>
                <w:szCs w:val="21"/>
                <w:highlight w:val="none"/>
              </w:rPr>
              <w:t>工程量清单计价软件使用“广联达云计价平台6.4100.23.118”</w:t>
            </w:r>
          </w:p>
        </w:tc>
      </w:tr>
      <w:tr>
        <w:tblPrEx>
          <w:tblBorders>
            <w:top w:val="single" w:color="auto" w:sz="12" w:space="0"/>
            <w:left w:val="single" w:color="auto" w:sz="12" w:space="0"/>
            <w:bottom w:val="single" w:color="auto" w:sz="4"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57" w:hRule="atLeast"/>
          <w:jc w:val="center"/>
        </w:trPr>
        <w:tc>
          <w:tcPr>
            <w:tcW w:w="993" w:type="dxa"/>
            <w:vAlign w:val="center"/>
          </w:tcPr>
          <w:p>
            <w:pPr>
              <w:spacing w:line="360" w:lineRule="exact"/>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12.2</w:t>
            </w:r>
          </w:p>
        </w:tc>
        <w:tc>
          <w:tcPr>
            <w:tcW w:w="2067" w:type="dxa"/>
            <w:vAlign w:val="center"/>
          </w:tcPr>
          <w:p>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计价方式</w:t>
            </w:r>
          </w:p>
        </w:tc>
        <w:tc>
          <w:tcPr>
            <w:tcW w:w="5940" w:type="dxa"/>
            <w:vAlign w:val="center"/>
          </w:tcPr>
          <w:p>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工程量清单计价（固定</w:t>
            </w:r>
            <w:r>
              <w:rPr>
                <w:rFonts w:hint="eastAsia" w:ascii="宋体" w:hAnsi="宋体" w:cs="宋体"/>
                <w:color w:val="auto"/>
                <w:szCs w:val="21"/>
                <w:highlight w:val="none"/>
                <w:lang w:eastAsia="zh-CN"/>
              </w:rPr>
              <w:t>总价</w:t>
            </w:r>
            <w:r>
              <w:rPr>
                <w:rFonts w:hint="eastAsia" w:ascii="宋体" w:hAnsi="宋体" w:cs="宋体"/>
                <w:color w:val="auto"/>
                <w:szCs w:val="21"/>
                <w:highlight w:val="none"/>
              </w:rPr>
              <w:t>）。</w:t>
            </w:r>
          </w:p>
        </w:tc>
      </w:tr>
      <w:tr>
        <w:tblPrEx>
          <w:tblBorders>
            <w:top w:val="single" w:color="auto" w:sz="12" w:space="0"/>
            <w:left w:val="single" w:color="auto" w:sz="12" w:space="0"/>
            <w:bottom w:val="single" w:color="auto" w:sz="4"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001" w:hRule="atLeast"/>
          <w:jc w:val="center"/>
        </w:trPr>
        <w:tc>
          <w:tcPr>
            <w:tcW w:w="993" w:type="dxa"/>
            <w:vAlign w:val="center"/>
          </w:tcPr>
          <w:p>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13.1</w:t>
            </w:r>
          </w:p>
        </w:tc>
        <w:tc>
          <w:tcPr>
            <w:tcW w:w="2067" w:type="dxa"/>
            <w:vAlign w:val="center"/>
          </w:tcPr>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资格证明文件</w:t>
            </w:r>
          </w:p>
        </w:tc>
        <w:tc>
          <w:tcPr>
            <w:tcW w:w="5940" w:type="dxa"/>
            <w:vAlign w:val="center"/>
          </w:tcPr>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（一）具有独立承担民事责任的能力。</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提供注册登记凭证（营业执照、其他组织经营的合法凭证，自然人的提供身份证明文件）。</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（二）具有良好的商业信誉和健全的财务会计制度。</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提供经审计的财务报告（包括四表一注，即资产负债表、利润表、现金流量表、所有者权益变动表及其附注），事业法人提供部门决算报告；/或在开标日期前六个月内其开户银行出具的资信证明；</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/或财政部门认可的政府采购专业担保机构出具的投标担保函；</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/或表明具有良好的商业信誉和健全的财务会计制度的诚信声明；</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以上四种形式的资料提供任何一种即可。</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（三）具有履行合同所必需的设备和专业技术能力。</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提供声明文件。</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（四）具有依法缴纳税收的良好记录。</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提供缴费所属日期为投标截止时间前12个月内任一月份（投标截止时间当月不计入）的增值税（或所得税）缴费凭据或税务机关出具的完税证明/在法规范围内不需提供的应出具书面说明和证明文件；</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/或具有依法缴纳税收的诚信声明；</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以上二种形式的资料提供任何一种即可。</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（五）具有依法缴纳社会保障资金的良好记录。</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提供缴费所属日期为投标截止时间前12个月内任一月份（投标截止时间当月不计入）的缴费凭据或社保机关出具的缴费证明/在法规范围内不需提供的应出具书面说明和证明文件；</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/或具有依法缴纳社会保障资金的缴纳记录的诚信声明；</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以上二种形式的资料提供任何一种即可。</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（六）参加政府采购活动前3年内在经营活动中没有重大违法记录的书面声明。</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七）供应商须具备建筑装修装饰工程专业承包二级（含二级）及以上资质，同时具有有效的安全生产许可证；拟派项目经理具有本企业注册的建筑工程专业二级及以上（含二级）注册建造师资格证书及安全生产考核合格证（建安B证）,且未担任其他在建工程的项目经理。</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eastAsia="zh-CN"/>
              </w:rPr>
              <w:t>八</w:t>
            </w:r>
            <w:r>
              <w:rPr>
                <w:rFonts w:hint="eastAsia" w:ascii="宋体" w:hAnsi="宋体" w:cs="宋体"/>
                <w:color w:val="auto"/>
                <w:kern w:val="0"/>
                <w:szCs w:val="21"/>
                <w:highlight w:val="none"/>
              </w:rPr>
              <w:t>）法定代表人身份证明或法人代表授权书。</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注:1、以上资格证明文件供应商必须完全提供，一项不合格即按照无效投标处理。</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2、除注明原件外，均为复印件并须加盖供应商公章。</w:t>
            </w:r>
          </w:p>
        </w:tc>
      </w:tr>
      <w:tr>
        <w:tblPrEx>
          <w:tblBorders>
            <w:top w:val="single" w:color="auto" w:sz="12" w:space="0"/>
            <w:left w:val="single" w:color="auto" w:sz="12" w:space="0"/>
            <w:bottom w:val="single" w:color="auto" w:sz="4"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7" w:hRule="atLeast"/>
          <w:jc w:val="center"/>
        </w:trPr>
        <w:tc>
          <w:tcPr>
            <w:tcW w:w="993" w:type="dxa"/>
            <w:vAlign w:val="center"/>
          </w:tcPr>
          <w:p>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13.2</w:t>
            </w:r>
          </w:p>
        </w:tc>
        <w:tc>
          <w:tcPr>
            <w:tcW w:w="2067" w:type="dxa"/>
            <w:vAlign w:val="center"/>
          </w:tcPr>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要求单独提交的证明文件原件</w:t>
            </w:r>
          </w:p>
        </w:tc>
        <w:tc>
          <w:tcPr>
            <w:tcW w:w="5940" w:type="dxa"/>
            <w:vAlign w:val="center"/>
          </w:tcPr>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无</w:t>
            </w:r>
          </w:p>
        </w:tc>
      </w:tr>
      <w:tr>
        <w:tblPrEx>
          <w:tblBorders>
            <w:top w:val="single" w:color="auto" w:sz="12" w:space="0"/>
            <w:left w:val="single" w:color="auto" w:sz="12" w:space="0"/>
            <w:bottom w:val="single" w:color="auto" w:sz="4"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7" w:hRule="atLeast"/>
          <w:jc w:val="center"/>
        </w:trPr>
        <w:tc>
          <w:tcPr>
            <w:tcW w:w="993" w:type="dxa"/>
            <w:vAlign w:val="center"/>
          </w:tcPr>
          <w:p>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14.2</w:t>
            </w:r>
          </w:p>
        </w:tc>
        <w:tc>
          <w:tcPr>
            <w:tcW w:w="2067" w:type="dxa"/>
            <w:vAlign w:val="center"/>
          </w:tcPr>
          <w:p>
            <w:pPr>
              <w:spacing w:line="360" w:lineRule="exact"/>
              <w:ind w:left="210" w:hanging="210" w:hangingChars="100"/>
              <w:rPr>
                <w:rFonts w:ascii="宋体" w:hAnsi="宋体" w:cs="宋体"/>
                <w:color w:val="auto"/>
                <w:kern w:val="0"/>
                <w:szCs w:val="21"/>
                <w:highlight w:val="none"/>
              </w:rPr>
            </w:pPr>
            <w:r>
              <w:rPr>
                <w:rFonts w:hint="eastAsia" w:ascii="宋体" w:hAnsi="宋体" w:cs="宋体"/>
                <w:color w:val="auto"/>
                <w:kern w:val="0"/>
                <w:szCs w:val="21"/>
                <w:highlight w:val="none"/>
              </w:rPr>
              <w:t>1）本次采购特别要求的合格性证明文件</w:t>
            </w:r>
          </w:p>
        </w:tc>
        <w:tc>
          <w:tcPr>
            <w:tcW w:w="5940" w:type="dxa"/>
            <w:vAlign w:val="center"/>
          </w:tcPr>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无</w:t>
            </w:r>
          </w:p>
        </w:tc>
      </w:tr>
      <w:tr>
        <w:tblPrEx>
          <w:tblBorders>
            <w:top w:val="single" w:color="auto" w:sz="12" w:space="0"/>
            <w:left w:val="single" w:color="auto" w:sz="12" w:space="0"/>
            <w:bottom w:val="single" w:color="auto" w:sz="4"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65" w:hRule="atLeast"/>
          <w:jc w:val="center"/>
        </w:trPr>
        <w:tc>
          <w:tcPr>
            <w:tcW w:w="993" w:type="dxa"/>
            <w:vAlign w:val="center"/>
          </w:tcPr>
          <w:p>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15.1</w:t>
            </w:r>
          </w:p>
        </w:tc>
        <w:tc>
          <w:tcPr>
            <w:tcW w:w="2067" w:type="dxa"/>
            <w:vAlign w:val="center"/>
          </w:tcPr>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是否要求磋商保证金</w:t>
            </w:r>
          </w:p>
        </w:tc>
        <w:tc>
          <w:tcPr>
            <w:tcW w:w="5940" w:type="dxa"/>
            <w:vAlign w:val="center"/>
          </w:tcPr>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否</w:t>
            </w:r>
          </w:p>
        </w:tc>
      </w:tr>
      <w:tr>
        <w:tblPrEx>
          <w:tblBorders>
            <w:top w:val="single" w:color="auto" w:sz="12" w:space="0"/>
            <w:left w:val="single" w:color="auto" w:sz="12" w:space="0"/>
            <w:bottom w:val="single" w:color="auto" w:sz="4"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0" w:hRule="atLeast"/>
          <w:jc w:val="center"/>
        </w:trPr>
        <w:tc>
          <w:tcPr>
            <w:tcW w:w="993" w:type="dxa"/>
            <w:vAlign w:val="center"/>
          </w:tcPr>
          <w:p>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15.2</w:t>
            </w:r>
          </w:p>
        </w:tc>
        <w:tc>
          <w:tcPr>
            <w:tcW w:w="2067" w:type="dxa"/>
            <w:vAlign w:val="center"/>
          </w:tcPr>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关于磋商保证金的相关要求</w:t>
            </w:r>
          </w:p>
        </w:tc>
        <w:tc>
          <w:tcPr>
            <w:tcW w:w="5940" w:type="dxa"/>
            <w:vAlign w:val="center"/>
          </w:tcPr>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不要求</w:t>
            </w:r>
          </w:p>
        </w:tc>
      </w:tr>
      <w:tr>
        <w:tblPrEx>
          <w:tblBorders>
            <w:top w:val="single" w:color="auto" w:sz="12" w:space="0"/>
            <w:left w:val="single" w:color="auto" w:sz="12" w:space="0"/>
            <w:bottom w:val="single" w:color="auto" w:sz="4"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0" w:hRule="atLeast"/>
          <w:jc w:val="center"/>
        </w:trPr>
        <w:tc>
          <w:tcPr>
            <w:tcW w:w="993" w:type="dxa"/>
            <w:vAlign w:val="center"/>
          </w:tcPr>
          <w:p>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w:t>
            </w:r>
          </w:p>
        </w:tc>
        <w:tc>
          <w:tcPr>
            <w:tcW w:w="2067" w:type="dxa"/>
            <w:vAlign w:val="center"/>
          </w:tcPr>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政府采购政策功能</w:t>
            </w:r>
          </w:p>
        </w:tc>
        <w:tc>
          <w:tcPr>
            <w:tcW w:w="5940" w:type="dxa"/>
            <w:vAlign w:val="center"/>
          </w:tcPr>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1、根据《陕西省财政厅关于印发&lt;陕西省中小企业政府采购信用融资办法&gt;的通知》（陕财办采〔2018〕23 号，详见本章附件一）相关规定，有融资需求的供应商可根据自身情况，在陕西省政府采购信用融资平台http://www.ccgp-shaanxi.gov.cn/zcdservice/zcd/shanxi/）自主选择金融机构及其融资产品，凭政府采购中标（成交）通知书或政府采购合同提出融资申请。</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2、</w:t>
            </w:r>
            <w:r>
              <w:rPr>
                <w:rFonts w:hint="eastAsia" w:ascii="宋体" w:hAnsi="宋体" w:cs="宋体"/>
                <w:color w:val="auto"/>
                <w:szCs w:val="21"/>
                <w:highlight w:val="none"/>
              </w:rPr>
              <w:t>对于供应商符合政府采购政策关于小微企业、残疾人福利性单位及监狱企业等规定的，在评标时给予相应的价格折扣，具体办法详见第八章“评标办法”。</w:t>
            </w:r>
            <w:r>
              <w:rPr>
                <w:rFonts w:hint="eastAsia" w:ascii="宋体" w:hAnsi="宋体" w:cs="宋体"/>
                <w:b/>
                <w:bCs/>
                <w:color w:val="auto"/>
                <w:szCs w:val="21"/>
                <w:highlight w:val="none"/>
              </w:rPr>
              <w:t>若为专门面向中小企业采购的项目,不再执行上述价格折扣的办法。</w:t>
            </w:r>
          </w:p>
        </w:tc>
      </w:tr>
      <w:tr>
        <w:tblPrEx>
          <w:tblBorders>
            <w:top w:val="single" w:color="auto" w:sz="12" w:space="0"/>
            <w:left w:val="single" w:color="auto" w:sz="12" w:space="0"/>
            <w:bottom w:val="single" w:color="auto" w:sz="4"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0" w:hRule="atLeast"/>
          <w:jc w:val="center"/>
        </w:trPr>
        <w:tc>
          <w:tcPr>
            <w:tcW w:w="993" w:type="dxa"/>
            <w:vAlign w:val="center"/>
          </w:tcPr>
          <w:p>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16.1</w:t>
            </w:r>
          </w:p>
        </w:tc>
        <w:tc>
          <w:tcPr>
            <w:tcW w:w="2067" w:type="dxa"/>
            <w:vAlign w:val="center"/>
          </w:tcPr>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磋商报价有效期</w:t>
            </w:r>
          </w:p>
        </w:tc>
        <w:tc>
          <w:tcPr>
            <w:tcW w:w="5940" w:type="dxa"/>
            <w:vAlign w:val="center"/>
          </w:tcPr>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自磋商响应文件递交截止日期后90天。</w:t>
            </w:r>
          </w:p>
        </w:tc>
      </w:tr>
      <w:tr>
        <w:tblPrEx>
          <w:tblBorders>
            <w:top w:val="single" w:color="auto" w:sz="12" w:space="0"/>
            <w:left w:val="single" w:color="auto" w:sz="12" w:space="0"/>
            <w:bottom w:val="single" w:color="auto" w:sz="4"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0" w:hRule="atLeast"/>
          <w:jc w:val="center"/>
        </w:trPr>
        <w:tc>
          <w:tcPr>
            <w:tcW w:w="993" w:type="dxa"/>
            <w:vAlign w:val="center"/>
          </w:tcPr>
          <w:p>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17.1</w:t>
            </w:r>
          </w:p>
        </w:tc>
        <w:tc>
          <w:tcPr>
            <w:tcW w:w="2067" w:type="dxa"/>
            <w:vAlign w:val="center"/>
          </w:tcPr>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磋商响应文件份数</w:t>
            </w:r>
          </w:p>
        </w:tc>
        <w:tc>
          <w:tcPr>
            <w:tcW w:w="5940" w:type="dxa"/>
            <w:vAlign w:val="center"/>
          </w:tcPr>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正本一份，副本二份。</w:t>
            </w:r>
          </w:p>
        </w:tc>
      </w:tr>
      <w:tr>
        <w:tblPrEx>
          <w:tblBorders>
            <w:top w:val="single" w:color="auto" w:sz="12" w:space="0"/>
            <w:left w:val="single" w:color="auto" w:sz="12" w:space="0"/>
            <w:bottom w:val="single" w:color="auto" w:sz="4"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3" w:hRule="atLeast"/>
          <w:jc w:val="center"/>
        </w:trPr>
        <w:tc>
          <w:tcPr>
            <w:tcW w:w="993" w:type="dxa"/>
            <w:vAlign w:val="center"/>
          </w:tcPr>
          <w:p>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17.2</w:t>
            </w:r>
          </w:p>
        </w:tc>
        <w:tc>
          <w:tcPr>
            <w:tcW w:w="2067" w:type="dxa"/>
            <w:vAlign w:val="center"/>
          </w:tcPr>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电子版文件要求</w:t>
            </w:r>
          </w:p>
        </w:tc>
        <w:tc>
          <w:tcPr>
            <w:tcW w:w="5940" w:type="dxa"/>
            <w:vAlign w:val="center"/>
          </w:tcPr>
          <w:p>
            <w:pPr>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有。</w:t>
            </w:r>
          </w:p>
          <w:p>
            <w:pPr>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格式和载体要求：提供2份电子文件（</w:t>
            </w:r>
            <w:r>
              <w:rPr>
                <w:rFonts w:hint="eastAsia" w:ascii="宋体" w:hAnsi="宋体" w:cs="宋体"/>
                <w:color w:val="auto"/>
                <w:szCs w:val="21"/>
                <w:highlight w:val="none"/>
                <w:lang w:eastAsia="zh-CN"/>
              </w:rPr>
              <w:t>光</w:t>
            </w:r>
            <w:r>
              <w:rPr>
                <w:rFonts w:hint="eastAsia" w:ascii="宋体" w:hAnsi="宋体" w:eastAsia="宋体" w:cs="宋体"/>
                <w:color w:val="auto"/>
                <w:szCs w:val="21"/>
                <w:highlight w:val="none"/>
              </w:rPr>
              <w:t>盘存储）。</w:t>
            </w:r>
          </w:p>
          <w:p>
            <w:pPr>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电子文件要求：与纸质磋商响应文件正本一致的Word及扫描件PDF格式，且盖章、签字处必须扫描并清晰可辨。</w:t>
            </w:r>
            <w:r>
              <w:rPr>
                <w:rFonts w:hint="eastAsia" w:ascii="宋体" w:hAnsi="宋体" w:cs="宋体"/>
                <w:color w:val="auto"/>
                <w:szCs w:val="21"/>
                <w:highlight w:val="none"/>
                <w:lang w:eastAsia="zh-CN"/>
              </w:rPr>
              <w:t>光</w:t>
            </w:r>
            <w:r>
              <w:rPr>
                <w:rFonts w:hint="eastAsia" w:ascii="宋体" w:hAnsi="宋体" w:eastAsia="宋体" w:cs="宋体"/>
                <w:color w:val="auto"/>
                <w:szCs w:val="21"/>
                <w:highlight w:val="none"/>
              </w:rPr>
              <w:t>盘内已标价工程量清单格式要求：使用广联达计价软件发布成后缀名为</w:t>
            </w:r>
            <w:r>
              <w:rPr>
                <w:rFonts w:hint="eastAsia" w:ascii="宋体" w:hAnsi="宋体" w:eastAsia="宋体" w:cs="宋体"/>
                <w:b/>
                <w:bCs/>
                <w:color w:val="auto"/>
                <w:szCs w:val="21"/>
                <w:highlight w:val="none"/>
              </w:rPr>
              <w:t>TBS格式</w:t>
            </w:r>
            <w:r>
              <w:rPr>
                <w:rFonts w:hint="eastAsia" w:ascii="宋体" w:hAnsi="宋体" w:eastAsia="宋体" w:cs="宋体"/>
                <w:color w:val="auto"/>
                <w:szCs w:val="21"/>
                <w:highlight w:val="none"/>
              </w:rPr>
              <w:t>的投标报价文件</w:t>
            </w:r>
            <w:r>
              <w:rPr>
                <w:rFonts w:hint="eastAsia" w:ascii="宋体" w:hAnsi="宋体" w:eastAsia="宋体" w:cs="宋体"/>
                <w:color w:val="auto"/>
                <w:szCs w:val="21"/>
                <w:highlight w:val="none"/>
                <w:lang w:eastAsia="zh-CN"/>
              </w:rPr>
              <w:t>，工程量清单计价软件使用“广联达云计价平台</w:t>
            </w:r>
            <w:r>
              <w:rPr>
                <w:rFonts w:hint="eastAsia" w:ascii="宋体" w:hAnsi="宋体" w:eastAsia="宋体" w:cs="宋体"/>
                <w:b/>
                <w:bCs/>
                <w:color w:val="auto"/>
                <w:szCs w:val="21"/>
                <w:highlight w:val="none"/>
                <w:lang w:eastAsia="zh-CN"/>
              </w:rPr>
              <w:t>6.4100.23.118</w:t>
            </w:r>
            <w:r>
              <w:rPr>
                <w:rFonts w:hint="eastAsia" w:ascii="宋体" w:hAnsi="宋体" w:eastAsia="宋体" w:cs="宋体"/>
                <w:color w:val="auto"/>
                <w:szCs w:val="21"/>
                <w:highlight w:val="none"/>
                <w:lang w:eastAsia="zh-CN"/>
              </w:rPr>
              <w:t>”。</w:t>
            </w:r>
          </w:p>
          <w:p>
            <w:pPr>
              <w:spacing w:line="360" w:lineRule="exact"/>
              <w:rPr>
                <w:color w:val="auto"/>
                <w:highlight w:val="none"/>
              </w:rPr>
            </w:pPr>
            <w:r>
              <w:rPr>
                <w:rFonts w:hint="eastAsia" w:ascii="宋体" w:hAnsi="宋体" w:eastAsia="宋体" w:cs="宋体"/>
                <w:color w:val="auto"/>
                <w:szCs w:val="21"/>
                <w:highlight w:val="none"/>
              </w:rPr>
              <w:t>注：供应商须保证磋商响应文件的纸质文件与电子文档保持一致。</w:t>
            </w:r>
            <w:r>
              <w:rPr>
                <w:rFonts w:hint="eastAsia" w:ascii="宋体" w:hAnsi="宋体" w:cs="宋体"/>
                <w:color w:val="auto"/>
                <w:szCs w:val="21"/>
                <w:highlight w:val="none"/>
                <w:lang w:eastAsia="zh-CN"/>
              </w:rPr>
              <w:t>光</w:t>
            </w:r>
            <w:r>
              <w:rPr>
                <w:rFonts w:hint="eastAsia" w:ascii="宋体" w:hAnsi="宋体" w:eastAsia="宋体" w:cs="宋体"/>
                <w:color w:val="auto"/>
                <w:szCs w:val="21"/>
                <w:highlight w:val="none"/>
              </w:rPr>
              <w:t>盘表面需标明项目编号、供应商名称等信息，并单独密封。</w:t>
            </w:r>
          </w:p>
        </w:tc>
      </w:tr>
      <w:tr>
        <w:tblPrEx>
          <w:tblBorders>
            <w:top w:val="single" w:color="auto" w:sz="12" w:space="0"/>
            <w:left w:val="single" w:color="auto" w:sz="12" w:space="0"/>
            <w:bottom w:val="single" w:color="auto" w:sz="4"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6" w:hRule="atLeast"/>
          <w:jc w:val="center"/>
        </w:trPr>
        <w:tc>
          <w:tcPr>
            <w:tcW w:w="993" w:type="dxa"/>
            <w:vAlign w:val="center"/>
          </w:tcPr>
          <w:p>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17.3</w:t>
            </w:r>
          </w:p>
        </w:tc>
        <w:tc>
          <w:tcPr>
            <w:tcW w:w="2067" w:type="dxa"/>
            <w:vAlign w:val="center"/>
          </w:tcPr>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法人代表签字要求</w:t>
            </w:r>
          </w:p>
        </w:tc>
        <w:tc>
          <w:tcPr>
            <w:tcW w:w="5940" w:type="dxa"/>
            <w:vAlign w:val="center"/>
          </w:tcPr>
          <w:p>
            <w:pPr>
              <w:spacing w:line="360" w:lineRule="exact"/>
              <w:ind w:left="1"/>
              <w:jc w:val="left"/>
              <w:rPr>
                <w:rFonts w:ascii="宋体" w:hAnsi="宋体" w:cs="宋体"/>
                <w:color w:val="auto"/>
                <w:kern w:val="0"/>
                <w:szCs w:val="21"/>
                <w:highlight w:val="none"/>
              </w:rPr>
            </w:pPr>
            <w:r>
              <w:rPr>
                <w:rFonts w:hint="eastAsia" w:ascii="宋体" w:hAnsi="宋体" w:cs="宋体"/>
                <w:color w:val="auto"/>
                <w:kern w:val="0"/>
                <w:szCs w:val="21"/>
                <w:highlight w:val="none"/>
              </w:rPr>
              <w:t>所有要求法人代表签字（名）处，均须由签字（名）者本人用不褪色的蓝(黑)色墨水(汁)书写，也可以加盖法人代表名章代替。</w:t>
            </w:r>
          </w:p>
        </w:tc>
      </w:tr>
      <w:tr>
        <w:tblPrEx>
          <w:tblBorders>
            <w:top w:val="single" w:color="auto" w:sz="12" w:space="0"/>
            <w:left w:val="single" w:color="auto" w:sz="12" w:space="0"/>
            <w:bottom w:val="single" w:color="auto" w:sz="4"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40" w:hRule="atLeast"/>
          <w:jc w:val="center"/>
        </w:trPr>
        <w:tc>
          <w:tcPr>
            <w:tcW w:w="993" w:type="dxa"/>
            <w:vAlign w:val="center"/>
          </w:tcPr>
          <w:p>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18.1</w:t>
            </w:r>
          </w:p>
        </w:tc>
        <w:tc>
          <w:tcPr>
            <w:tcW w:w="2067" w:type="dxa"/>
            <w:vAlign w:val="center"/>
          </w:tcPr>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磋商响应文件装订及包装密封要求</w:t>
            </w:r>
          </w:p>
        </w:tc>
        <w:tc>
          <w:tcPr>
            <w:tcW w:w="5940" w:type="dxa"/>
            <w:vAlign w:val="center"/>
          </w:tcPr>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1、磋商响应文件正、副本应分别装订成册，装订应牢固、不易拆散和换页，不得采用活页装订。</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2、密封包装方式：磋商响应文件正、副本一包密封。</w:t>
            </w:r>
          </w:p>
        </w:tc>
      </w:tr>
      <w:tr>
        <w:tblPrEx>
          <w:tblBorders>
            <w:top w:val="single" w:color="auto" w:sz="12" w:space="0"/>
            <w:left w:val="single" w:color="auto" w:sz="12" w:space="0"/>
            <w:bottom w:val="single" w:color="auto" w:sz="4"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25" w:hRule="atLeast"/>
          <w:jc w:val="center"/>
        </w:trPr>
        <w:tc>
          <w:tcPr>
            <w:tcW w:w="993" w:type="dxa"/>
            <w:vAlign w:val="center"/>
          </w:tcPr>
          <w:p>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18.3</w:t>
            </w:r>
          </w:p>
        </w:tc>
        <w:tc>
          <w:tcPr>
            <w:tcW w:w="2067" w:type="dxa"/>
            <w:vAlign w:val="center"/>
          </w:tcPr>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是否需要单独密封递交《磋商报价表》</w:t>
            </w:r>
          </w:p>
        </w:tc>
        <w:tc>
          <w:tcPr>
            <w:tcW w:w="5940" w:type="dxa"/>
            <w:vAlign w:val="center"/>
          </w:tcPr>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不需要。</w:t>
            </w:r>
          </w:p>
        </w:tc>
      </w:tr>
      <w:tr>
        <w:tblPrEx>
          <w:tblBorders>
            <w:top w:val="single" w:color="auto" w:sz="12" w:space="0"/>
            <w:left w:val="single" w:color="auto" w:sz="12" w:space="0"/>
            <w:bottom w:val="single" w:color="auto" w:sz="4"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33" w:hRule="atLeast"/>
          <w:jc w:val="center"/>
        </w:trPr>
        <w:tc>
          <w:tcPr>
            <w:tcW w:w="993" w:type="dxa"/>
            <w:vAlign w:val="center"/>
          </w:tcPr>
          <w:p>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19.1</w:t>
            </w:r>
          </w:p>
        </w:tc>
        <w:tc>
          <w:tcPr>
            <w:tcW w:w="2067" w:type="dxa"/>
            <w:vAlign w:val="center"/>
          </w:tcPr>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磋商响应文件递交的截止时间和磋商地点</w:t>
            </w:r>
          </w:p>
        </w:tc>
        <w:tc>
          <w:tcPr>
            <w:tcW w:w="5940" w:type="dxa"/>
            <w:vAlign w:val="center"/>
          </w:tcPr>
          <w:p>
            <w:pPr>
              <w:spacing w:line="360" w:lineRule="exact"/>
              <w:ind w:left="1"/>
              <w:jc w:val="left"/>
              <w:rPr>
                <w:rFonts w:ascii="宋体" w:hAnsi="宋体" w:cs="宋体"/>
                <w:color w:val="auto"/>
                <w:kern w:val="0"/>
                <w:szCs w:val="21"/>
                <w:highlight w:val="none"/>
              </w:rPr>
            </w:pPr>
            <w:r>
              <w:rPr>
                <w:rFonts w:hint="eastAsia" w:ascii="宋体" w:hAnsi="宋体" w:cs="宋体"/>
                <w:color w:val="auto"/>
                <w:kern w:val="0"/>
                <w:szCs w:val="21"/>
                <w:highlight w:val="none"/>
              </w:rPr>
              <w:t>响应文件递交地点:西安市南二环西段58号成长大厦</w:t>
            </w:r>
            <w:r>
              <w:rPr>
                <w:rFonts w:hint="eastAsia" w:ascii="宋体" w:hAnsi="宋体" w:cs="宋体"/>
                <w:color w:val="auto"/>
                <w:kern w:val="0"/>
                <w:szCs w:val="21"/>
                <w:highlight w:val="none"/>
                <w:lang w:val="en-US" w:eastAsia="zh-CN"/>
              </w:rPr>
              <w:t>10层</w:t>
            </w:r>
            <w:r>
              <w:rPr>
                <w:rFonts w:hint="eastAsia" w:ascii="宋体" w:hAnsi="宋体" w:cs="宋体"/>
                <w:color w:val="auto"/>
                <w:kern w:val="0"/>
                <w:szCs w:val="21"/>
                <w:highlight w:val="none"/>
              </w:rPr>
              <w:t>会议室</w:t>
            </w:r>
          </w:p>
          <w:p>
            <w:pPr>
              <w:spacing w:line="360" w:lineRule="exact"/>
              <w:ind w:left="1"/>
              <w:jc w:val="left"/>
              <w:rPr>
                <w:rFonts w:ascii="宋体" w:hAnsi="宋体" w:cs="宋体"/>
                <w:color w:val="auto"/>
                <w:kern w:val="0"/>
                <w:szCs w:val="21"/>
                <w:highlight w:val="none"/>
              </w:rPr>
            </w:pPr>
            <w:r>
              <w:rPr>
                <w:rFonts w:hint="eastAsia" w:ascii="宋体" w:hAnsi="宋体" w:cs="宋体"/>
                <w:color w:val="auto"/>
                <w:kern w:val="0"/>
                <w:szCs w:val="21"/>
                <w:highlight w:val="none"/>
              </w:rPr>
              <w:t>响应文件递交截止时间:2023年</w:t>
            </w:r>
            <w:r>
              <w:rPr>
                <w:rFonts w:hint="eastAsia" w:ascii="宋体" w:hAnsi="宋体" w:cs="宋体"/>
                <w:color w:val="auto"/>
                <w:kern w:val="0"/>
                <w:szCs w:val="21"/>
                <w:highlight w:val="none"/>
                <w:u w:val="single"/>
                <w:lang w:val="en-US" w:eastAsia="zh-CN"/>
              </w:rPr>
              <w:t>06</w:t>
            </w:r>
            <w:r>
              <w:rPr>
                <w:rFonts w:hint="eastAsia" w:ascii="宋体" w:hAnsi="宋体" w:cs="宋体"/>
                <w:color w:val="auto"/>
                <w:kern w:val="0"/>
                <w:szCs w:val="21"/>
                <w:highlight w:val="none"/>
              </w:rPr>
              <w:t>月</w:t>
            </w:r>
            <w:r>
              <w:rPr>
                <w:rFonts w:hint="eastAsia" w:ascii="宋体" w:hAnsi="宋体" w:cs="宋体"/>
                <w:color w:val="auto"/>
                <w:kern w:val="0"/>
                <w:szCs w:val="21"/>
                <w:highlight w:val="none"/>
                <w:u w:val="single"/>
                <w:lang w:val="en-US" w:eastAsia="zh-CN"/>
              </w:rPr>
              <w:t>25</w:t>
            </w:r>
            <w:r>
              <w:rPr>
                <w:rFonts w:hint="eastAsia" w:ascii="宋体" w:hAnsi="宋体" w:cs="宋体"/>
                <w:color w:val="auto"/>
                <w:kern w:val="0"/>
                <w:szCs w:val="21"/>
                <w:highlight w:val="none"/>
              </w:rPr>
              <w:t>日</w:t>
            </w:r>
            <w:r>
              <w:rPr>
                <w:rFonts w:hint="eastAsia" w:ascii="宋体" w:hAnsi="宋体" w:cs="宋体"/>
                <w:color w:val="auto"/>
                <w:kern w:val="0"/>
                <w:szCs w:val="21"/>
                <w:highlight w:val="none"/>
                <w:u w:val="single"/>
                <w:lang w:val="en-US" w:eastAsia="zh-CN"/>
              </w:rPr>
              <w:t>14</w:t>
            </w:r>
            <w:r>
              <w:rPr>
                <w:rFonts w:hint="eastAsia" w:ascii="宋体" w:hAnsi="宋体" w:cs="宋体"/>
                <w:color w:val="auto"/>
                <w:kern w:val="0"/>
                <w:szCs w:val="21"/>
                <w:highlight w:val="none"/>
              </w:rPr>
              <w:t>时</w:t>
            </w:r>
            <w:r>
              <w:rPr>
                <w:rFonts w:hint="eastAsia" w:ascii="宋体" w:hAnsi="宋体" w:cs="宋体"/>
                <w:color w:val="auto"/>
                <w:kern w:val="0"/>
                <w:szCs w:val="21"/>
                <w:highlight w:val="none"/>
                <w:u w:val="single"/>
                <w:lang w:val="en-US" w:eastAsia="zh-CN"/>
              </w:rPr>
              <w:t>30</w:t>
            </w:r>
            <w:r>
              <w:rPr>
                <w:rFonts w:hint="eastAsia" w:ascii="宋体" w:hAnsi="宋体" w:cs="宋体"/>
                <w:color w:val="auto"/>
                <w:kern w:val="0"/>
                <w:szCs w:val="21"/>
                <w:highlight w:val="none"/>
              </w:rPr>
              <w:t>分</w:t>
            </w:r>
          </w:p>
          <w:p>
            <w:pPr>
              <w:spacing w:line="360" w:lineRule="exact"/>
              <w:ind w:left="1"/>
              <w:jc w:val="left"/>
              <w:rPr>
                <w:rFonts w:ascii="宋体" w:hAnsi="宋体" w:cs="宋体"/>
                <w:color w:val="auto"/>
                <w:kern w:val="0"/>
                <w:szCs w:val="21"/>
                <w:highlight w:val="none"/>
              </w:rPr>
            </w:pPr>
            <w:r>
              <w:rPr>
                <w:rFonts w:hint="eastAsia" w:ascii="宋体" w:hAnsi="宋体" w:cs="宋体"/>
                <w:color w:val="auto"/>
                <w:kern w:val="0"/>
                <w:szCs w:val="21"/>
                <w:highlight w:val="none"/>
              </w:rPr>
              <w:t>响应文件接收人:西北（陕西）国际招标有限公司</w:t>
            </w:r>
          </w:p>
        </w:tc>
      </w:tr>
      <w:tr>
        <w:tblPrEx>
          <w:tblBorders>
            <w:top w:val="single" w:color="auto" w:sz="12" w:space="0"/>
            <w:left w:val="single" w:color="auto" w:sz="12" w:space="0"/>
            <w:bottom w:val="single" w:color="auto" w:sz="4"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93" w:type="dxa"/>
            <w:vAlign w:val="center"/>
          </w:tcPr>
          <w:p>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22.1</w:t>
            </w:r>
          </w:p>
        </w:tc>
        <w:tc>
          <w:tcPr>
            <w:tcW w:w="2067" w:type="dxa"/>
            <w:vAlign w:val="center"/>
          </w:tcPr>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磋商时间和地点</w:t>
            </w:r>
          </w:p>
        </w:tc>
        <w:tc>
          <w:tcPr>
            <w:tcW w:w="5940" w:type="dxa"/>
            <w:vAlign w:val="center"/>
          </w:tcPr>
          <w:p>
            <w:pPr>
              <w:spacing w:line="360" w:lineRule="exact"/>
              <w:ind w:left="1"/>
              <w:jc w:val="left"/>
              <w:rPr>
                <w:rFonts w:ascii="宋体" w:hAnsi="宋体" w:cs="宋体"/>
                <w:color w:val="auto"/>
                <w:kern w:val="0"/>
                <w:szCs w:val="21"/>
                <w:highlight w:val="none"/>
              </w:rPr>
            </w:pPr>
            <w:r>
              <w:rPr>
                <w:rFonts w:hint="eastAsia" w:ascii="宋体" w:hAnsi="宋体" w:cs="宋体"/>
                <w:color w:val="auto"/>
                <w:kern w:val="0"/>
                <w:szCs w:val="21"/>
                <w:highlight w:val="none"/>
              </w:rPr>
              <w:t>磋商开始时间:同响应文件递交截止时间</w:t>
            </w:r>
          </w:p>
          <w:p>
            <w:pPr>
              <w:spacing w:line="360" w:lineRule="exact"/>
              <w:ind w:left="1"/>
              <w:jc w:val="left"/>
              <w:rPr>
                <w:rFonts w:ascii="宋体" w:hAnsi="宋体" w:cs="宋体"/>
                <w:color w:val="auto"/>
                <w:kern w:val="0"/>
                <w:szCs w:val="21"/>
                <w:highlight w:val="none"/>
              </w:rPr>
            </w:pPr>
            <w:r>
              <w:rPr>
                <w:rFonts w:hint="eastAsia" w:ascii="宋体" w:hAnsi="宋体" w:cs="宋体"/>
                <w:color w:val="auto"/>
                <w:kern w:val="0"/>
                <w:szCs w:val="21"/>
                <w:highlight w:val="none"/>
              </w:rPr>
              <w:t>磋商地点:同响应文件递交地点</w:t>
            </w:r>
          </w:p>
        </w:tc>
      </w:tr>
      <w:tr>
        <w:tblPrEx>
          <w:tblBorders>
            <w:top w:val="single" w:color="auto" w:sz="12" w:space="0"/>
            <w:left w:val="single" w:color="auto" w:sz="12" w:space="0"/>
            <w:bottom w:val="single" w:color="auto" w:sz="4"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41" w:hRule="atLeast"/>
          <w:jc w:val="center"/>
        </w:trPr>
        <w:tc>
          <w:tcPr>
            <w:tcW w:w="993" w:type="dxa"/>
            <w:vAlign w:val="center"/>
          </w:tcPr>
          <w:p>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22.2</w:t>
            </w:r>
          </w:p>
        </w:tc>
        <w:tc>
          <w:tcPr>
            <w:tcW w:w="2067" w:type="dxa"/>
            <w:vAlign w:val="center"/>
          </w:tcPr>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磋商报价次数、磋商程序和最终报价的产生原则</w:t>
            </w:r>
          </w:p>
        </w:tc>
        <w:tc>
          <w:tcPr>
            <w:tcW w:w="5940" w:type="dxa"/>
            <w:vAlign w:val="center"/>
          </w:tcPr>
          <w:p>
            <w:pPr>
              <w:spacing w:line="360" w:lineRule="exact"/>
              <w:ind w:left="1"/>
              <w:jc w:val="left"/>
              <w:rPr>
                <w:rFonts w:ascii="宋体" w:hAnsi="宋体" w:cs="宋体"/>
                <w:color w:val="auto"/>
                <w:kern w:val="0"/>
                <w:szCs w:val="21"/>
                <w:highlight w:val="none"/>
              </w:rPr>
            </w:pPr>
            <w:r>
              <w:rPr>
                <w:rFonts w:hint="eastAsia" w:ascii="宋体" w:hAnsi="宋体" w:cs="宋体"/>
                <w:color w:val="auto"/>
                <w:kern w:val="0"/>
                <w:szCs w:val="21"/>
                <w:highlight w:val="none"/>
              </w:rPr>
              <w:t>本次磋商采用二次报价。</w:t>
            </w:r>
          </w:p>
          <w:p>
            <w:pPr>
              <w:spacing w:line="360" w:lineRule="exact"/>
              <w:ind w:left="1"/>
              <w:jc w:val="left"/>
              <w:rPr>
                <w:rFonts w:ascii="宋体" w:hAnsi="宋体" w:cs="宋体"/>
                <w:color w:val="auto"/>
                <w:kern w:val="0"/>
                <w:szCs w:val="21"/>
                <w:highlight w:val="none"/>
              </w:rPr>
            </w:pPr>
            <w:r>
              <w:rPr>
                <w:rFonts w:hint="eastAsia" w:ascii="宋体" w:hAnsi="宋体" w:cs="宋体"/>
                <w:color w:val="auto"/>
                <w:kern w:val="0"/>
                <w:szCs w:val="21"/>
                <w:highlight w:val="none"/>
              </w:rPr>
              <w:t>磋商程序为：</w:t>
            </w:r>
          </w:p>
          <w:p>
            <w:pPr>
              <w:spacing w:line="360" w:lineRule="exact"/>
              <w:ind w:left="1"/>
              <w:jc w:val="left"/>
              <w:rPr>
                <w:rFonts w:ascii="宋体" w:hAnsi="宋体" w:cs="宋体"/>
                <w:color w:val="auto"/>
                <w:kern w:val="0"/>
                <w:szCs w:val="21"/>
                <w:highlight w:val="none"/>
              </w:rPr>
            </w:pPr>
            <w:r>
              <w:rPr>
                <w:rFonts w:hint="eastAsia" w:ascii="宋体" w:hAnsi="宋体" w:cs="宋体"/>
                <w:color w:val="auto"/>
                <w:kern w:val="0"/>
                <w:szCs w:val="21"/>
                <w:highlight w:val="none"/>
              </w:rPr>
              <w:t>1、对所有提交的响应文件进行评审；</w:t>
            </w:r>
          </w:p>
          <w:p>
            <w:pPr>
              <w:spacing w:line="360" w:lineRule="exact"/>
              <w:ind w:left="1"/>
              <w:jc w:val="left"/>
              <w:rPr>
                <w:rFonts w:ascii="宋体" w:hAnsi="宋体" w:cs="宋体"/>
                <w:color w:val="auto"/>
                <w:kern w:val="0"/>
                <w:szCs w:val="21"/>
                <w:highlight w:val="none"/>
              </w:rPr>
            </w:pPr>
            <w:r>
              <w:rPr>
                <w:rFonts w:hint="eastAsia" w:ascii="宋体" w:hAnsi="宋体" w:cs="宋体"/>
                <w:color w:val="auto"/>
                <w:kern w:val="0"/>
                <w:szCs w:val="21"/>
                <w:highlight w:val="none"/>
              </w:rPr>
              <w:t>2、磋商小组所有成员集中与单一供应商分别进行磋商；</w:t>
            </w:r>
          </w:p>
          <w:p>
            <w:pPr>
              <w:spacing w:line="360" w:lineRule="exact"/>
              <w:ind w:left="1"/>
              <w:jc w:val="left"/>
              <w:rPr>
                <w:rFonts w:ascii="宋体" w:hAnsi="宋体" w:cs="宋体"/>
                <w:color w:val="auto"/>
                <w:kern w:val="0"/>
                <w:szCs w:val="21"/>
                <w:highlight w:val="none"/>
              </w:rPr>
            </w:pPr>
            <w:r>
              <w:rPr>
                <w:rFonts w:hint="eastAsia" w:ascii="宋体" w:hAnsi="宋体" w:cs="宋体"/>
                <w:color w:val="auto"/>
                <w:kern w:val="0"/>
                <w:szCs w:val="21"/>
                <w:highlight w:val="none"/>
              </w:rPr>
              <w:t>3、供应商按照要求自行保密提交二次报价；</w:t>
            </w:r>
          </w:p>
          <w:p>
            <w:pPr>
              <w:spacing w:line="360" w:lineRule="exact"/>
              <w:ind w:left="1"/>
              <w:jc w:val="left"/>
              <w:rPr>
                <w:rFonts w:ascii="宋体" w:hAnsi="宋体" w:cs="宋体"/>
                <w:color w:val="auto"/>
                <w:kern w:val="0"/>
                <w:szCs w:val="21"/>
                <w:highlight w:val="none"/>
              </w:rPr>
            </w:pPr>
            <w:r>
              <w:rPr>
                <w:rFonts w:hint="eastAsia" w:ascii="宋体" w:hAnsi="宋体" w:cs="宋体"/>
                <w:color w:val="auto"/>
                <w:kern w:val="0"/>
                <w:szCs w:val="21"/>
                <w:highlight w:val="none"/>
              </w:rPr>
              <w:t>4、磋商小组评审、推荐成交候选人。</w:t>
            </w:r>
          </w:p>
          <w:p>
            <w:pPr>
              <w:spacing w:line="360" w:lineRule="exact"/>
              <w:ind w:left="1"/>
              <w:jc w:val="left"/>
              <w:rPr>
                <w:rFonts w:ascii="宋体" w:hAnsi="宋体" w:cs="宋体"/>
                <w:color w:val="auto"/>
                <w:kern w:val="0"/>
                <w:szCs w:val="21"/>
                <w:highlight w:val="none"/>
              </w:rPr>
            </w:pPr>
            <w:r>
              <w:rPr>
                <w:rFonts w:hint="eastAsia" w:ascii="宋体" w:hAnsi="宋体" w:cs="宋体"/>
                <w:color w:val="auto"/>
                <w:kern w:val="0"/>
                <w:szCs w:val="21"/>
                <w:highlight w:val="none"/>
              </w:rPr>
              <w:t>在磋商过程中，磋商小组可以根据磋商文件和磋商情况实质性变动采购需求中的技术、服务要求以及合同草案条款，二次报价为最终报价。</w:t>
            </w:r>
          </w:p>
        </w:tc>
      </w:tr>
      <w:tr>
        <w:tblPrEx>
          <w:tblBorders>
            <w:top w:val="single" w:color="auto" w:sz="12" w:space="0"/>
            <w:left w:val="single" w:color="auto" w:sz="12" w:space="0"/>
            <w:bottom w:val="single" w:color="auto" w:sz="4"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60" w:hRule="atLeast"/>
          <w:jc w:val="center"/>
        </w:trPr>
        <w:tc>
          <w:tcPr>
            <w:tcW w:w="993" w:type="dxa"/>
            <w:vAlign w:val="center"/>
          </w:tcPr>
          <w:p>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24.1</w:t>
            </w:r>
          </w:p>
        </w:tc>
        <w:tc>
          <w:tcPr>
            <w:tcW w:w="2067" w:type="dxa"/>
            <w:vAlign w:val="center"/>
          </w:tcPr>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推荐成交候选人数量</w:t>
            </w:r>
          </w:p>
        </w:tc>
        <w:tc>
          <w:tcPr>
            <w:tcW w:w="5940" w:type="dxa"/>
            <w:vAlign w:val="center"/>
          </w:tcPr>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3</w:t>
            </w:r>
          </w:p>
        </w:tc>
      </w:tr>
      <w:tr>
        <w:tblPrEx>
          <w:tblBorders>
            <w:top w:val="single" w:color="auto" w:sz="12" w:space="0"/>
            <w:left w:val="single" w:color="auto" w:sz="12" w:space="0"/>
            <w:bottom w:val="single" w:color="auto" w:sz="4"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58" w:hRule="atLeast"/>
          <w:jc w:val="center"/>
        </w:trPr>
        <w:tc>
          <w:tcPr>
            <w:tcW w:w="993" w:type="dxa"/>
            <w:vAlign w:val="center"/>
          </w:tcPr>
          <w:p>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30</w:t>
            </w:r>
          </w:p>
        </w:tc>
        <w:tc>
          <w:tcPr>
            <w:tcW w:w="2067" w:type="dxa"/>
            <w:vAlign w:val="center"/>
          </w:tcPr>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采购代理服务费</w:t>
            </w:r>
          </w:p>
        </w:tc>
        <w:tc>
          <w:tcPr>
            <w:tcW w:w="5940" w:type="dxa"/>
            <w:vAlign w:val="center"/>
          </w:tcPr>
          <w:p>
            <w:pPr>
              <w:spacing w:line="360" w:lineRule="exact"/>
              <w:rPr>
                <w:rFonts w:ascii="宋体" w:hAnsi="宋体" w:cs="宋体"/>
                <w:color w:val="auto"/>
                <w:highlight w:val="none"/>
              </w:rPr>
            </w:pPr>
            <w:r>
              <w:rPr>
                <w:rFonts w:hint="eastAsia" w:ascii="宋体" w:hAnsi="宋体" w:cs="宋体"/>
                <w:color w:val="auto"/>
                <w:highlight w:val="none"/>
              </w:rPr>
              <w:t>成交通知书发出5日内，</w:t>
            </w:r>
            <w:r>
              <w:rPr>
                <w:rFonts w:hint="eastAsia" w:ascii="宋体" w:hAnsi="宋体" w:cs="宋体"/>
                <w:color w:val="auto"/>
                <w:highlight w:val="none"/>
                <w:lang w:val="en-US" w:eastAsia="zh-CN"/>
              </w:rPr>
              <w:t>以本项目采购预算为基数，</w:t>
            </w:r>
            <w:r>
              <w:rPr>
                <w:rFonts w:hint="eastAsia" w:ascii="宋体" w:hAnsi="宋体" w:cs="宋体"/>
                <w:color w:val="auto"/>
                <w:highlight w:val="none"/>
              </w:rPr>
              <w:t>由成交人根据《招标代理服务收费管理暂行办法》（计价格[2002]1980号）、《关于招标代理服务收费有关问题的通知》（[2003]857号）规定标准向采购代理机构一次付清采购代理服务费。</w:t>
            </w:r>
          </w:p>
          <w:p>
            <w:pPr>
              <w:spacing w:line="360" w:lineRule="exact"/>
              <w:rPr>
                <w:rFonts w:ascii="宋体" w:hAnsi="宋体" w:cs="宋体"/>
                <w:color w:val="auto"/>
                <w:highlight w:val="none"/>
              </w:rPr>
            </w:pPr>
            <w:r>
              <w:rPr>
                <w:rFonts w:hint="eastAsia" w:ascii="宋体" w:hAnsi="宋体" w:cs="宋体"/>
                <w:color w:val="auto"/>
                <w:highlight w:val="none"/>
              </w:rPr>
              <w:t>例如：成交金额为500万元，计算采购代理服务收</w:t>
            </w:r>
            <w:bookmarkStart w:id="108" w:name="_GoBack"/>
            <w:bookmarkEnd w:id="108"/>
            <w:r>
              <w:rPr>
                <w:rFonts w:hint="eastAsia" w:ascii="宋体" w:hAnsi="宋体" w:cs="宋体"/>
                <w:color w:val="auto"/>
                <w:highlight w:val="none"/>
              </w:rPr>
              <w:t>费额如下：</w:t>
            </w:r>
          </w:p>
          <w:p>
            <w:pPr>
              <w:spacing w:line="360" w:lineRule="exact"/>
              <w:rPr>
                <w:rFonts w:ascii="宋体" w:hAnsi="宋体" w:cs="宋体"/>
                <w:color w:val="auto"/>
                <w:highlight w:val="none"/>
              </w:rPr>
            </w:pPr>
            <w:r>
              <w:rPr>
                <w:rFonts w:hint="eastAsia" w:ascii="宋体" w:hAnsi="宋体" w:cs="宋体"/>
                <w:color w:val="auto"/>
                <w:highlight w:val="none"/>
              </w:rPr>
              <w:t>100万元×1.00%=1万元</w:t>
            </w:r>
          </w:p>
          <w:p>
            <w:pPr>
              <w:spacing w:line="360" w:lineRule="exact"/>
              <w:rPr>
                <w:rFonts w:ascii="宋体" w:hAnsi="宋体" w:cs="宋体"/>
                <w:color w:val="auto"/>
                <w:highlight w:val="none"/>
              </w:rPr>
            </w:pPr>
            <w:r>
              <w:rPr>
                <w:rFonts w:hint="eastAsia" w:ascii="宋体" w:hAnsi="宋体" w:cs="宋体"/>
                <w:color w:val="auto"/>
                <w:highlight w:val="none"/>
              </w:rPr>
              <w:t>（500-100）万元×0.7%=2.8万元</w:t>
            </w:r>
          </w:p>
          <w:p>
            <w:pPr>
              <w:spacing w:line="360" w:lineRule="exact"/>
              <w:rPr>
                <w:rFonts w:ascii="宋体" w:hAnsi="宋体" w:cs="宋体"/>
                <w:color w:val="auto"/>
                <w:kern w:val="0"/>
                <w:szCs w:val="21"/>
                <w:highlight w:val="none"/>
                <w:shd w:val="clear" w:color="auto" w:fill="000080"/>
              </w:rPr>
            </w:pPr>
            <w:r>
              <w:rPr>
                <w:rFonts w:hint="eastAsia" w:ascii="宋体" w:hAnsi="宋体" w:cs="宋体"/>
                <w:color w:val="auto"/>
                <w:highlight w:val="none"/>
              </w:rPr>
              <w:t>合计收费=1+2.8=3.8（万元）</w:t>
            </w:r>
          </w:p>
        </w:tc>
      </w:tr>
      <w:tr>
        <w:tblPrEx>
          <w:tblBorders>
            <w:top w:val="single" w:color="auto" w:sz="12" w:space="0"/>
            <w:left w:val="single" w:color="auto" w:sz="12" w:space="0"/>
            <w:bottom w:val="single" w:color="auto" w:sz="4"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25" w:hRule="atLeast"/>
          <w:jc w:val="center"/>
        </w:trPr>
        <w:tc>
          <w:tcPr>
            <w:tcW w:w="993" w:type="dxa"/>
            <w:vAlign w:val="center"/>
          </w:tcPr>
          <w:p>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31.1</w:t>
            </w:r>
          </w:p>
        </w:tc>
        <w:tc>
          <w:tcPr>
            <w:tcW w:w="2067" w:type="dxa"/>
            <w:vAlign w:val="center"/>
          </w:tcPr>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计划工期</w:t>
            </w:r>
          </w:p>
        </w:tc>
        <w:tc>
          <w:tcPr>
            <w:tcW w:w="5940" w:type="dxa"/>
            <w:vAlign w:val="center"/>
          </w:tcPr>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60个日历天</w:t>
            </w:r>
            <w:r>
              <w:rPr>
                <w:rFonts w:hint="eastAsia" w:ascii="宋体" w:hAnsi="宋体" w:cs="宋体"/>
                <w:color w:val="auto"/>
                <w:kern w:val="0"/>
                <w:szCs w:val="21"/>
                <w:highlight w:val="none"/>
              </w:rPr>
              <w:t>（具体开工日期以采购人通知为准）</w:t>
            </w:r>
          </w:p>
        </w:tc>
      </w:tr>
      <w:tr>
        <w:tblPrEx>
          <w:tblBorders>
            <w:top w:val="single" w:color="auto" w:sz="12" w:space="0"/>
            <w:left w:val="single" w:color="auto" w:sz="12" w:space="0"/>
            <w:bottom w:val="single" w:color="auto" w:sz="4"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63" w:hRule="atLeast"/>
          <w:jc w:val="center"/>
        </w:trPr>
        <w:tc>
          <w:tcPr>
            <w:tcW w:w="993" w:type="dxa"/>
            <w:vAlign w:val="center"/>
          </w:tcPr>
          <w:p>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31.2</w:t>
            </w:r>
          </w:p>
        </w:tc>
        <w:tc>
          <w:tcPr>
            <w:tcW w:w="2067" w:type="dxa"/>
            <w:vAlign w:val="center"/>
          </w:tcPr>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质量要求</w:t>
            </w:r>
          </w:p>
        </w:tc>
        <w:tc>
          <w:tcPr>
            <w:tcW w:w="5940" w:type="dxa"/>
            <w:vAlign w:val="center"/>
          </w:tcPr>
          <w:p>
            <w:pPr>
              <w:spacing w:line="360" w:lineRule="exact"/>
              <w:rPr>
                <w:rFonts w:ascii="宋体" w:hAnsi="宋体" w:cs="宋体"/>
                <w:color w:val="auto"/>
                <w:kern w:val="0"/>
                <w:szCs w:val="21"/>
                <w:highlight w:val="none"/>
              </w:rPr>
            </w:pPr>
            <w:r>
              <w:rPr>
                <w:rFonts w:hint="eastAsia" w:asciiTheme="minorEastAsia" w:hAnsiTheme="minorEastAsia" w:eastAsiaTheme="minorEastAsia" w:cstheme="minorEastAsia"/>
                <w:color w:val="auto"/>
                <w:kern w:val="0"/>
                <w:highlight w:val="none"/>
              </w:rPr>
              <w:t>达到国家现行行业施工验收规范“合格”标准</w:t>
            </w:r>
          </w:p>
        </w:tc>
      </w:tr>
      <w:tr>
        <w:tblPrEx>
          <w:tblBorders>
            <w:top w:val="single" w:color="auto" w:sz="12" w:space="0"/>
            <w:left w:val="single" w:color="auto" w:sz="12" w:space="0"/>
            <w:bottom w:val="single" w:color="auto" w:sz="4"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63" w:hRule="atLeast"/>
          <w:jc w:val="center"/>
        </w:trPr>
        <w:tc>
          <w:tcPr>
            <w:tcW w:w="993" w:type="dxa"/>
            <w:vAlign w:val="center"/>
          </w:tcPr>
          <w:p>
            <w:pPr>
              <w:spacing w:line="360" w:lineRule="auto"/>
              <w:jc w:val="center"/>
              <w:rPr>
                <w:rFonts w:ascii="宋体" w:hAnsi="宋体" w:cs="宋体"/>
                <w:color w:val="auto"/>
                <w:kern w:val="0"/>
                <w:szCs w:val="21"/>
                <w:highlight w:val="none"/>
              </w:rPr>
            </w:pPr>
            <w:r>
              <w:rPr>
                <w:rFonts w:hint="eastAsia" w:asciiTheme="minorEastAsia" w:hAnsiTheme="minorEastAsia" w:eastAsiaTheme="minorEastAsia" w:cstheme="minorEastAsia"/>
                <w:color w:val="auto"/>
                <w:kern w:val="0"/>
                <w:szCs w:val="21"/>
                <w:highlight w:val="none"/>
              </w:rPr>
              <w:t>31.3</w:t>
            </w:r>
          </w:p>
        </w:tc>
        <w:tc>
          <w:tcPr>
            <w:tcW w:w="2067" w:type="dxa"/>
            <w:vAlign w:val="center"/>
          </w:tcPr>
          <w:p>
            <w:pPr>
              <w:spacing w:line="360" w:lineRule="auto"/>
              <w:rPr>
                <w:rFonts w:ascii="宋体" w:hAnsi="宋体" w:cs="宋体"/>
                <w:color w:val="auto"/>
                <w:kern w:val="0"/>
                <w:szCs w:val="21"/>
                <w:highlight w:val="none"/>
              </w:rPr>
            </w:pPr>
            <w:r>
              <w:rPr>
                <w:rFonts w:hint="eastAsia" w:asciiTheme="minorEastAsia" w:hAnsiTheme="minorEastAsia" w:eastAsiaTheme="minorEastAsia" w:cstheme="minorEastAsia"/>
                <w:color w:val="auto"/>
                <w:kern w:val="0"/>
                <w:szCs w:val="21"/>
                <w:highlight w:val="none"/>
              </w:rPr>
              <w:t>采购人发包内容</w:t>
            </w:r>
          </w:p>
        </w:tc>
        <w:tc>
          <w:tcPr>
            <w:tcW w:w="5940" w:type="dxa"/>
            <w:vAlign w:val="center"/>
          </w:tcPr>
          <w:p>
            <w:pPr>
              <w:spacing w:line="360" w:lineRule="auto"/>
              <w:rPr>
                <w:color w:val="auto"/>
                <w:highlight w:val="none"/>
              </w:rPr>
            </w:pPr>
            <w:r>
              <w:rPr>
                <w:rFonts w:hint="eastAsia" w:asciiTheme="minorEastAsia" w:hAnsiTheme="minorEastAsia" w:eastAsiaTheme="minorEastAsia" w:cstheme="minorEastAsia"/>
                <w:color w:val="auto"/>
                <w:kern w:val="0"/>
                <w:highlight w:val="none"/>
              </w:rPr>
              <w:t>采购人提供的工程量清单及施工图纸中所包含的全部工程内容。</w:t>
            </w:r>
          </w:p>
        </w:tc>
      </w:tr>
      <w:tr>
        <w:tblPrEx>
          <w:tblBorders>
            <w:top w:val="single" w:color="auto" w:sz="12" w:space="0"/>
            <w:left w:val="single" w:color="auto" w:sz="12" w:space="0"/>
            <w:bottom w:val="single" w:color="auto" w:sz="4"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63" w:hRule="atLeast"/>
          <w:jc w:val="center"/>
        </w:trPr>
        <w:tc>
          <w:tcPr>
            <w:tcW w:w="993" w:type="dxa"/>
            <w:vAlign w:val="center"/>
          </w:tcPr>
          <w:p>
            <w:pPr>
              <w:spacing w:line="360" w:lineRule="auto"/>
              <w:jc w:val="center"/>
              <w:rPr>
                <w:rFonts w:asciiTheme="minorEastAsia" w:hAnsiTheme="minorEastAsia" w:eastAsia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31.4</w:t>
            </w:r>
          </w:p>
        </w:tc>
        <w:tc>
          <w:tcPr>
            <w:tcW w:w="2067" w:type="dxa"/>
            <w:vAlign w:val="center"/>
          </w:tcPr>
          <w:p>
            <w:pPr>
              <w:spacing w:line="360" w:lineRule="auto"/>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踏勘现场及答疑会</w:t>
            </w:r>
          </w:p>
        </w:tc>
        <w:tc>
          <w:tcPr>
            <w:tcW w:w="5940" w:type="dxa"/>
            <w:vAlign w:val="center"/>
          </w:tcPr>
          <w:p>
            <w:pPr>
              <w:spacing w:line="360" w:lineRule="auto"/>
              <w:rPr>
                <w:color w:val="auto"/>
                <w:highlight w:val="none"/>
              </w:rPr>
            </w:pPr>
            <w:r>
              <w:rPr>
                <w:rFonts w:hint="eastAsia" w:asciiTheme="minorEastAsia" w:hAnsiTheme="minorEastAsia" w:eastAsiaTheme="minorEastAsia" w:cstheme="minorEastAsia"/>
                <w:color w:val="auto"/>
                <w:kern w:val="0"/>
                <w:szCs w:val="21"/>
                <w:highlight w:val="none"/>
              </w:rPr>
              <w:t>采购人不组织统一踏勘现场，由各供应商自行踏勘；不组织答疑会。</w:t>
            </w:r>
          </w:p>
        </w:tc>
      </w:tr>
      <w:tr>
        <w:tblPrEx>
          <w:tblBorders>
            <w:top w:val="single" w:color="auto" w:sz="12" w:space="0"/>
            <w:left w:val="single" w:color="auto" w:sz="12" w:space="0"/>
            <w:bottom w:val="single" w:color="auto" w:sz="4"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63" w:hRule="atLeast"/>
          <w:jc w:val="center"/>
        </w:trPr>
        <w:tc>
          <w:tcPr>
            <w:tcW w:w="993" w:type="dxa"/>
            <w:vAlign w:val="center"/>
          </w:tcPr>
          <w:p>
            <w:pPr>
              <w:spacing w:line="360" w:lineRule="auto"/>
              <w:jc w:val="center"/>
              <w:rPr>
                <w:rFonts w:asciiTheme="minorEastAsia" w:hAnsiTheme="minorEastAsia" w:eastAsia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31.5</w:t>
            </w:r>
          </w:p>
        </w:tc>
        <w:tc>
          <w:tcPr>
            <w:tcW w:w="2067" w:type="dxa"/>
            <w:vAlign w:val="center"/>
          </w:tcPr>
          <w:p>
            <w:pPr>
              <w:spacing w:line="360" w:lineRule="auto"/>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是否允许备选方案</w:t>
            </w:r>
          </w:p>
        </w:tc>
        <w:tc>
          <w:tcPr>
            <w:tcW w:w="5940" w:type="dxa"/>
            <w:vAlign w:val="center"/>
          </w:tcPr>
          <w:p>
            <w:pPr>
              <w:spacing w:line="360" w:lineRule="auto"/>
              <w:rPr>
                <w:color w:val="auto"/>
                <w:highlight w:val="none"/>
              </w:rPr>
            </w:pPr>
            <w:r>
              <w:rPr>
                <w:rFonts w:hint="eastAsia" w:asciiTheme="minorEastAsia" w:hAnsiTheme="minorEastAsia" w:eastAsiaTheme="minorEastAsia" w:cstheme="minorEastAsia"/>
                <w:color w:val="auto"/>
                <w:kern w:val="0"/>
                <w:szCs w:val="21"/>
                <w:highlight w:val="none"/>
              </w:rPr>
              <w:t>否。</w:t>
            </w:r>
          </w:p>
        </w:tc>
      </w:tr>
    </w:tbl>
    <w:p>
      <w:pPr>
        <w:jc w:val="center"/>
        <w:rPr>
          <w:rFonts w:ascii="宋体" w:hAnsi="宋体" w:cs="宋体"/>
          <w:b/>
          <w:color w:val="auto"/>
          <w:kern w:val="0"/>
          <w:sz w:val="28"/>
          <w:szCs w:val="28"/>
          <w:highlight w:val="none"/>
        </w:rPr>
      </w:pPr>
    </w:p>
    <w:p>
      <w:pPr>
        <w:rPr>
          <w:color w:val="auto"/>
          <w:highlight w:val="none"/>
        </w:rPr>
      </w:pPr>
      <w:r>
        <w:rPr>
          <w:rFonts w:hint="eastAsia" w:ascii="宋体" w:hAnsi="宋体" w:cs="宋体"/>
          <w:b/>
          <w:color w:val="auto"/>
          <w:kern w:val="0"/>
          <w:sz w:val="28"/>
          <w:szCs w:val="28"/>
          <w:highlight w:val="none"/>
        </w:rPr>
        <w:br w:type="page"/>
      </w:r>
    </w:p>
    <w:p>
      <w:pPr>
        <w:spacing w:line="360" w:lineRule="auto"/>
        <w:jc w:val="center"/>
        <w:rPr>
          <w:rFonts w:ascii="宋体" w:hAnsi="宋体" w:cs="宋体"/>
          <w:b/>
          <w:bCs/>
          <w:color w:val="auto"/>
          <w:szCs w:val="21"/>
          <w:highlight w:val="none"/>
          <w:shd w:val="clear" w:color="auto" w:fill="FFFFFF"/>
        </w:rPr>
      </w:pPr>
      <w:r>
        <w:rPr>
          <w:rFonts w:hint="eastAsia" w:ascii="宋体" w:hAnsi="宋体" w:cs="宋体"/>
          <w:b/>
          <w:bCs/>
          <w:color w:val="auto"/>
          <w:szCs w:val="21"/>
          <w:highlight w:val="none"/>
          <w:shd w:val="clear" w:color="auto" w:fill="FFFFFF"/>
        </w:rPr>
        <w:t>陕西省政府采购支持中小企业信用融资合作银行名单说明</w:t>
      </w:r>
    </w:p>
    <w:p>
      <w:pPr>
        <w:spacing w:line="360" w:lineRule="auto"/>
        <w:ind w:firstLine="420" w:firstLineChars="200"/>
        <w:jc w:val="left"/>
        <w:rPr>
          <w:rFonts w:asciiTheme="minorEastAsia" w:hAnsiTheme="minorEastAsia" w:eastAsiaTheme="minorEastAsia" w:cstheme="minorEastAsia"/>
          <w:b/>
          <w:bCs/>
          <w:color w:val="auto"/>
          <w:szCs w:val="21"/>
          <w:highlight w:val="none"/>
          <w:shd w:val="clear" w:color="auto" w:fill="FFFFFF"/>
        </w:rPr>
      </w:pPr>
      <w:r>
        <w:rPr>
          <w:rFonts w:hint="eastAsia" w:asciiTheme="minorEastAsia" w:hAnsiTheme="minorEastAsia" w:eastAsiaTheme="minorEastAsia" w:cstheme="minorEastAsia"/>
          <w:color w:val="auto"/>
          <w:szCs w:val="21"/>
          <w:highlight w:val="none"/>
          <w:shd w:val="clear" w:color="auto" w:fill="FFFFFF"/>
        </w:rPr>
        <w:t>根据中办、国办《关于促进中小企业健康发展的指导意见》、</w:t>
      </w:r>
      <w:r>
        <w:rPr>
          <w:rFonts w:hint="eastAsia" w:asciiTheme="minorEastAsia" w:hAnsiTheme="minorEastAsia" w:eastAsiaTheme="minorEastAsia" w:cstheme="minorEastAsia"/>
          <w:color w:val="auto"/>
          <w:szCs w:val="21"/>
          <w:highlight w:val="none"/>
        </w:rPr>
        <w:t>财政部、工信部《政府采购促进中小企业发展管理办法》（财库〔2020〕46号）、关于进一步加大政府采购支持中小企业力度的通知（财库〔2022〕19号）、</w:t>
      </w:r>
      <w:r>
        <w:rPr>
          <w:rFonts w:hint="eastAsia" w:asciiTheme="minorEastAsia" w:hAnsiTheme="minorEastAsia" w:eastAsiaTheme="minorEastAsia" w:cstheme="minorEastAsia"/>
          <w:color w:val="auto"/>
          <w:szCs w:val="21"/>
          <w:highlight w:val="none"/>
          <w:shd w:val="clear" w:color="auto" w:fill="FFFFFF"/>
        </w:rPr>
        <w:t>陕西省政府《应对新冠肺炎疫情支持中小微企业稳定健康发展若干措施》（陕政办发〔2020〕4号）、陕西省财政厅《陕西省中小企业政府采购信用融资办法》（陕财办采〔2018〕23号）等有关规定，陕西省政府采购支持中小企业信用融资合作银行名单以陕西省政府采购网发布的最新名单为准，供应商具体可登陆陕西省政府采购网(www.ccgp-shaanxi.gov.cn/）重要通知专栏查询。</w:t>
      </w:r>
      <w:r>
        <w:rPr>
          <w:rFonts w:hint="eastAsia" w:asciiTheme="minorEastAsia" w:hAnsiTheme="minorEastAsia" w:eastAsiaTheme="minorEastAsia" w:cstheme="minorEastAsia"/>
          <w:b/>
          <w:bCs/>
          <w:color w:val="auto"/>
          <w:szCs w:val="21"/>
          <w:highlight w:val="none"/>
          <w:shd w:val="clear" w:color="auto" w:fill="FFFFFF"/>
        </w:rPr>
        <w:t xml:space="preserve"> </w:t>
      </w:r>
    </w:p>
    <w:p>
      <w:pPr>
        <w:spacing w:line="360" w:lineRule="auto"/>
        <w:rPr>
          <w:rFonts w:asciiTheme="minorEastAsia" w:hAnsiTheme="minorEastAsia" w:eastAsiaTheme="minorEastAsia" w:cstheme="minorEastAsia"/>
          <w:b/>
          <w:bCs/>
          <w:color w:val="auto"/>
          <w:szCs w:val="21"/>
          <w:highlight w:val="none"/>
          <w:shd w:val="clear" w:color="auto" w:fill="FFFFFF"/>
        </w:rPr>
      </w:pPr>
      <w:r>
        <w:rPr>
          <w:rFonts w:hint="eastAsia" w:asciiTheme="minorEastAsia" w:hAnsiTheme="minorEastAsia" w:eastAsiaTheme="minorEastAsia" w:cstheme="minorEastAsia"/>
          <w:b/>
          <w:bCs/>
          <w:color w:val="auto"/>
          <w:szCs w:val="21"/>
          <w:highlight w:val="none"/>
          <w:shd w:val="clear" w:color="auto" w:fill="FFFFFF"/>
        </w:rPr>
        <w:br w:type="page"/>
      </w:r>
    </w:p>
    <w:p>
      <w:pPr>
        <w:jc w:val="left"/>
        <w:rPr>
          <w:b/>
          <w:bCs/>
          <w:color w:val="auto"/>
          <w:sz w:val="24"/>
          <w:szCs w:val="32"/>
          <w:highlight w:val="none"/>
        </w:rPr>
      </w:pPr>
      <w:r>
        <w:rPr>
          <w:rFonts w:hint="eastAsia"/>
          <w:b/>
          <w:bCs/>
          <w:color w:val="auto"/>
          <w:sz w:val="24"/>
          <w:szCs w:val="32"/>
          <w:highlight w:val="none"/>
        </w:rPr>
        <w:t>附件一：</w:t>
      </w:r>
    </w:p>
    <w:p>
      <w:pPr>
        <w:jc w:val="center"/>
        <w:rPr>
          <w:b/>
          <w:bCs/>
          <w:color w:val="auto"/>
          <w:highlight w:val="none"/>
        </w:rPr>
      </w:pPr>
      <w:r>
        <w:rPr>
          <w:rFonts w:hint="eastAsia"/>
          <w:b/>
          <w:bCs/>
          <w:color w:val="auto"/>
          <w:highlight w:val="none"/>
        </w:rPr>
        <w:t>陕西省财政厅关于印发《陕西省中小企业政府采购信用融资办法》</w:t>
      </w:r>
    </w:p>
    <w:p>
      <w:pPr>
        <w:pStyle w:val="39"/>
        <w:spacing w:before="0" w:beforeAutospacing="0" w:after="0" w:afterAutospacing="0"/>
        <w:jc w:val="center"/>
        <w:rPr>
          <w:rFonts w:asciiTheme="minorEastAsia" w:hAnsiTheme="minorEastAsia" w:eastAsiaTheme="minorEastAsia" w:cstheme="minorEastAsia"/>
          <w:color w:val="auto"/>
          <w:sz w:val="21"/>
          <w:szCs w:val="21"/>
          <w:highlight w:val="none"/>
        </w:rPr>
      </w:pPr>
    </w:p>
    <w:p>
      <w:pPr>
        <w:pStyle w:val="39"/>
        <w:spacing w:before="0" w:beforeAutospacing="0" w:after="0" w:afterAutospacing="0"/>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陕财办采〔2018〕23号</w:t>
      </w:r>
    </w:p>
    <w:p>
      <w:pPr>
        <w:pStyle w:val="39"/>
        <w:spacing w:before="0" w:beforeAutospacing="0" w:after="0" w:afterAutospacing="0"/>
        <w:jc w:val="center"/>
        <w:rPr>
          <w:rFonts w:asciiTheme="minorEastAsia" w:hAnsiTheme="minorEastAsia" w:eastAsiaTheme="minorEastAsia" w:cstheme="minorEastAsia"/>
          <w:color w:val="auto"/>
          <w:sz w:val="21"/>
          <w:szCs w:val="21"/>
          <w:highlight w:val="none"/>
        </w:rPr>
      </w:pPr>
    </w:p>
    <w:p>
      <w:pPr>
        <w:pStyle w:val="39"/>
        <w:spacing w:before="0" w:beforeAutospacing="0" w:after="0" w:afterAutospacing="0"/>
        <w:jc w:val="center"/>
        <w:rPr>
          <w:rFonts w:asciiTheme="minorEastAsia" w:hAnsiTheme="minorEastAsia" w:eastAsiaTheme="minorEastAsia" w:cstheme="minorEastAsia"/>
          <w:color w:val="auto"/>
          <w:sz w:val="21"/>
          <w:szCs w:val="21"/>
          <w:highlight w:val="none"/>
        </w:rPr>
      </w:pPr>
    </w:p>
    <w:p>
      <w:pPr>
        <w:widowControl/>
        <w:spacing w:line="360" w:lineRule="auto"/>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各设区市、西咸新区、韩城市财政局，省级各部门、单位，各有关金融机构、有关企业：</w:t>
      </w:r>
    </w:p>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自2012年起，我省启动了政府采购信用担保融资试点工作，取得了一定成效。为进一步贯彻落实国务院和我省关于支持中小企业发展的政策措施，发挥政府采购政策导向作用，充分利用信息化技术，通过搭建信息对称、相互对接的平台，有效缓解中小企业融资难、融资贵问题。结合我省政府采购信息化建设实际，我们制定了《陕西省中小企业政府采购信用融资办法》，现印发给你们，请遵照执行。</w:t>
      </w:r>
    </w:p>
    <w:p>
      <w:pPr>
        <w:pStyle w:val="39"/>
        <w:spacing w:before="0" w:beforeAutospacing="0" w:after="0" w:afterAutospacing="0" w:line="360" w:lineRule="auto"/>
        <w:jc w:val="righ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陕西省财政厅</w:t>
      </w:r>
    </w:p>
    <w:p>
      <w:pPr>
        <w:pStyle w:val="39"/>
        <w:spacing w:before="0" w:beforeAutospacing="0" w:after="0" w:afterAutospacing="0" w:line="360" w:lineRule="auto"/>
        <w:jc w:val="righ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2018年10月8日</w:t>
      </w:r>
    </w:p>
    <w:p>
      <w:pPr>
        <w:widowControl/>
        <w:spacing w:line="360" w:lineRule="auto"/>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陕西省中小企业政府采购信用融资办法</w:t>
      </w:r>
    </w:p>
    <w:p>
      <w:pPr>
        <w:widowControl/>
        <w:spacing w:line="360" w:lineRule="auto"/>
        <w:jc w:val="left"/>
        <w:rPr>
          <w:rFonts w:asciiTheme="minorEastAsia" w:hAnsiTheme="minorEastAsia" w:eastAsiaTheme="minorEastAsia" w:cstheme="minorEastAsia"/>
          <w:color w:val="auto"/>
          <w:kern w:val="0"/>
          <w:szCs w:val="21"/>
          <w:highlight w:val="none"/>
          <w:lang w:bidi="ar"/>
        </w:rPr>
      </w:pPr>
      <w:r>
        <w:rPr>
          <w:rFonts w:hint="eastAsia" w:asciiTheme="minorEastAsia" w:hAnsiTheme="minorEastAsia" w:eastAsiaTheme="minorEastAsia" w:cstheme="minorEastAsia"/>
          <w:color w:val="auto"/>
          <w:kern w:val="0"/>
          <w:szCs w:val="21"/>
          <w:highlight w:val="none"/>
          <w:lang w:bidi="ar"/>
        </w:rPr>
        <w:t>　　第一条 为进一步贯彻落实国务院和我省关于支持中小企业发展的政策措施，发挥政府采购政策导向作用，充分利用信息化技术，通过搭建信息对称、相互对接的平台，有效缓解中小企业融资难、融资贵问题。 根据《政府采购法》以及《政府采购促进中小企业发展暂行办法》等有关规定，结合本省实际，制定本办法。</w:t>
      </w:r>
    </w:p>
    <w:p>
      <w:pPr>
        <w:widowControl/>
        <w:spacing w:line="360" w:lineRule="auto"/>
        <w:jc w:val="left"/>
        <w:rPr>
          <w:rFonts w:asciiTheme="minorEastAsia" w:hAnsiTheme="minorEastAsia" w:eastAsiaTheme="minorEastAsia" w:cstheme="minorEastAsia"/>
          <w:color w:val="auto"/>
          <w:kern w:val="0"/>
          <w:szCs w:val="21"/>
          <w:highlight w:val="none"/>
          <w:lang w:bidi="ar"/>
        </w:rPr>
      </w:pPr>
      <w:r>
        <w:rPr>
          <w:rFonts w:hint="eastAsia" w:asciiTheme="minorEastAsia" w:hAnsiTheme="minorEastAsia" w:eastAsiaTheme="minorEastAsia" w:cstheme="minorEastAsia"/>
          <w:color w:val="auto"/>
          <w:kern w:val="0"/>
          <w:szCs w:val="21"/>
          <w:highlight w:val="none"/>
          <w:lang w:bidi="ar"/>
        </w:rPr>
        <w:t>　　第二条  本办法所称“中小企业”包括中型、小型及微型企业，其划型标准按照《关于印发中小企业划型标准规定的通知》（工信部联企业〔2011〕300号）规定执行。</w:t>
      </w:r>
    </w:p>
    <w:p>
      <w:pPr>
        <w:widowControl/>
        <w:spacing w:line="360" w:lineRule="auto"/>
        <w:jc w:val="left"/>
        <w:rPr>
          <w:rFonts w:asciiTheme="minorEastAsia" w:hAnsiTheme="minorEastAsia" w:eastAsiaTheme="minorEastAsia" w:cstheme="minorEastAsia"/>
          <w:color w:val="auto"/>
          <w:kern w:val="0"/>
          <w:szCs w:val="21"/>
          <w:highlight w:val="none"/>
          <w:lang w:bidi="ar"/>
        </w:rPr>
      </w:pPr>
      <w:r>
        <w:rPr>
          <w:rFonts w:hint="eastAsia" w:asciiTheme="minorEastAsia" w:hAnsiTheme="minorEastAsia" w:eastAsiaTheme="minorEastAsia" w:cstheme="minorEastAsia"/>
          <w:color w:val="auto"/>
          <w:kern w:val="0"/>
          <w:szCs w:val="21"/>
          <w:highlight w:val="none"/>
          <w:lang w:bidi="ar"/>
        </w:rPr>
        <w:t>　　第三条  本办法所称的政府采购信用融资，是指银行业金融机构（以下简称银行）以政府采购诚信考核和信用审查为基础，凭借政府采购合同，按优于一般中小企业的贷款利率直接向申请贷款的供应商发放贷款的一种融资方式。</w:t>
      </w:r>
    </w:p>
    <w:p>
      <w:pPr>
        <w:widowControl/>
        <w:spacing w:line="360" w:lineRule="auto"/>
        <w:jc w:val="left"/>
        <w:rPr>
          <w:rFonts w:asciiTheme="minorEastAsia" w:hAnsiTheme="minorEastAsia" w:eastAsiaTheme="minorEastAsia" w:cstheme="minorEastAsia"/>
          <w:color w:val="auto"/>
          <w:kern w:val="0"/>
          <w:szCs w:val="21"/>
          <w:highlight w:val="none"/>
          <w:lang w:bidi="ar"/>
        </w:rPr>
      </w:pPr>
      <w:r>
        <w:rPr>
          <w:rFonts w:hint="eastAsia" w:asciiTheme="minorEastAsia" w:hAnsiTheme="minorEastAsia" w:eastAsiaTheme="minorEastAsia" w:cstheme="minorEastAsia"/>
          <w:color w:val="auto"/>
          <w:kern w:val="0"/>
          <w:szCs w:val="21"/>
          <w:highlight w:val="none"/>
          <w:lang w:bidi="ar"/>
        </w:rPr>
        <w:t>　　第四条  开展政府采购信用融资的银行，应当为在陕西省境内注册或设立分支机构，并经财政部门审核且在我省政府采购信息系统搭建服务链接窗口的金融机构。</w:t>
      </w:r>
    </w:p>
    <w:p>
      <w:pPr>
        <w:widowControl/>
        <w:spacing w:line="360" w:lineRule="auto"/>
        <w:jc w:val="left"/>
        <w:rPr>
          <w:rFonts w:asciiTheme="minorEastAsia" w:hAnsiTheme="minorEastAsia" w:eastAsiaTheme="minorEastAsia" w:cstheme="minorEastAsia"/>
          <w:color w:val="auto"/>
          <w:kern w:val="0"/>
          <w:szCs w:val="21"/>
          <w:highlight w:val="none"/>
          <w:lang w:bidi="ar"/>
        </w:rPr>
      </w:pPr>
      <w:r>
        <w:rPr>
          <w:rFonts w:hint="eastAsia" w:asciiTheme="minorEastAsia" w:hAnsiTheme="minorEastAsia" w:eastAsiaTheme="minorEastAsia" w:cstheme="minorEastAsia"/>
          <w:color w:val="auto"/>
          <w:kern w:val="0"/>
          <w:szCs w:val="21"/>
          <w:highlight w:val="none"/>
          <w:lang w:bidi="ar"/>
        </w:rPr>
        <w:t>　　第五条  政府采购信用融资应当坚持“财政引导，市场运行，银企自愿，互惠共赢”的原则。</w:t>
      </w:r>
    </w:p>
    <w:p>
      <w:pPr>
        <w:widowControl/>
        <w:spacing w:line="360" w:lineRule="auto"/>
        <w:jc w:val="left"/>
        <w:rPr>
          <w:rFonts w:asciiTheme="minorEastAsia" w:hAnsiTheme="minorEastAsia" w:eastAsiaTheme="minorEastAsia" w:cstheme="minorEastAsia"/>
          <w:color w:val="auto"/>
          <w:kern w:val="0"/>
          <w:szCs w:val="21"/>
          <w:highlight w:val="none"/>
          <w:lang w:bidi="ar"/>
        </w:rPr>
      </w:pPr>
      <w:r>
        <w:rPr>
          <w:rFonts w:hint="eastAsia" w:asciiTheme="minorEastAsia" w:hAnsiTheme="minorEastAsia" w:eastAsiaTheme="minorEastAsia" w:cstheme="minorEastAsia"/>
          <w:color w:val="auto"/>
          <w:kern w:val="0"/>
          <w:szCs w:val="21"/>
          <w:highlight w:val="none"/>
          <w:lang w:bidi="ar"/>
        </w:rPr>
        <w:t>　　第六条 省财政厅以全省统一的电子化政府采购系统为平台，对接银行信息化系统，推进政府采购中标成交信息、合同信息、融资信息、支付信息和信用信息等信息资源共享。</w:t>
      </w:r>
    </w:p>
    <w:p>
      <w:pPr>
        <w:widowControl/>
        <w:spacing w:line="360" w:lineRule="auto"/>
        <w:jc w:val="left"/>
        <w:rPr>
          <w:rFonts w:asciiTheme="minorEastAsia" w:hAnsiTheme="minorEastAsia" w:eastAsiaTheme="minorEastAsia" w:cstheme="minorEastAsia"/>
          <w:color w:val="auto"/>
          <w:kern w:val="0"/>
          <w:szCs w:val="21"/>
          <w:highlight w:val="none"/>
          <w:lang w:bidi="ar"/>
        </w:rPr>
      </w:pPr>
      <w:r>
        <w:rPr>
          <w:rFonts w:hint="eastAsia" w:asciiTheme="minorEastAsia" w:hAnsiTheme="minorEastAsia" w:eastAsiaTheme="minorEastAsia" w:cstheme="minorEastAsia"/>
          <w:color w:val="auto"/>
          <w:kern w:val="0"/>
          <w:szCs w:val="21"/>
          <w:highlight w:val="none"/>
          <w:lang w:bidi="ar"/>
        </w:rPr>
        <w:t>　　第七条 各级财政部门应当以政府采购诚信考核和信息化建设为基础，积极为中小企业信用融资搭建平台，提供银企对接的机会和相关的服务支持，但不得为相关贷款项目提供任何形式的担保。</w:t>
      </w:r>
    </w:p>
    <w:p>
      <w:pPr>
        <w:widowControl/>
        <w:spacing w:line="360" w:lineRule="auto"/>
        <w:jc w:val="left"/>
        <w:rPr>
          <w:rFonts w:asciiTheme="minorEastAsia" w:hAnsiTheme="minorEastAsia" w:eastAsiaTheme="minorEastAsia" w:cstheme="minorEastAsia"/>
          <w:color w:val="auto"/>
          <w:kern w:val="0"/>
          <w:szCs w:val="21"/>
          <w:highlight w:val="none"/>
          <w:lang w:bidi="ar"/>
        </w:rPr>
      </w:pPr>
      <w:r>
        <w:rPr>
          <w:rFonts w:hint="eastAsia" w:asciiTheme="minorEastAsia" w:hAnsiTheme="minorEastAsia" w:eastAsiaTheme="minorEastAsia" w:cstheme="minorEastAsia"/>
          <w:color w:val="auto"/>
          <w:kern w:val="0"/>
          <w:szCs w:val="21"/>
          <w:highlight w:val="none"/>
          <w:lang w:bidi="ar"/>
        </w:rPr>
        <w:t>　　第八条  各银行可自主决定是否提供政府采购信用融资以及融资额度，并与供应商签订融资协议；各供应商也可自行决定是否参加政府采购信用融资，并自愿选择合适的融资银行及在该银行开设银行账户。任何单位和个人均不得干预银企双方开展政府采购信用融资业务。</w:t>
      </w:r>
    </w:p>
    <w:p>
      <w:pPr>
        <w:widowControl/>
        <w:spacing w:line="360" w:lineRule="auto"/>
        <w:jc w:val="left"/>
        <w:rPr>
          <w:rFonts w:asciiTheme="minorEastAsia" w:hAnsiTheme="minorEastAsia" w:eastAsiaTheme="minorEastAsia" w:cstheme="minorEastAsia"/>
          <w:color w:val="auto"/>
          <w:kern w:val="0"/>
          <w:szCs w:val="21"/>
          <w:highlight w:val="none"/>
          <w:lang w:bidi="ar"/>
        </w:rPr>
      </w:pPr>
      <w:r>
        <w:rPr>
          <w:rFonts w:hint="eastAsia" w:asciiTheme="minorEastAsia" w:hAnsiTheme="minorEastAsia" w:eastAsiaTheme="minorEastAsia" w:cstheme="minorEastAsia"/>
          <w:color w:val="auto"/>
          <w:kern w:val="0"/>
          <w:szCs w:val="21"/>
          <w:highlight w:val="none"/>
          <w:lang w:bidi="ar"/>
        </w:rPr>
        <w:t>　　第九条 政府采购供应商申请信用融资时，如融资金额未超过政府采购合同金额的，银行原则上不得要求供应商提供财产抵押或第三方担保，或附加其他任何形式的担保条件，切实做到以政府采购信用为基础，简化手续，提高效率，降低供应商融资成本。</w:t>
      </w:r>
    </w:p>
    <w:p>
      <w:pPr>
        <w:widowControl/>
        <w:spacing w:line="360" w:lineRule="auto"/>
        <w:jc w:val="left"/>
        <w:rPr>
          <w:rFonts w:asciiTheme="minorEastAsia" w:hAnsiTheme="minorEastAsia" w:eastAsiaTheme="minorEastAsia" w:cstheme="minorEastAsia"/>
          <w:color w:val="auto"/>
          <w:kern w:val="0"/>
          <w:szCs w:val="21"/>
          <w:highlight w:val="none"/>
          <w:lang w:bidi="ar"/>
        </w:rPr>
      </w:pPr>
      <w:r>
        <w:rPr>
          <w:rFonts w:hint="eastAsia" w:asciiTheme="minorEastAsia" w:hAnsiTheme="minorEastAsia" w:eastAsiaTheme="minorEastAsia" w:cstheme="minorEastAsia"/>
          <w:color w:val="auto"/>
          <w:kern w:val="0"/>
          <w:szCs w:val="21"/>
          <w:highlight w:val="none"/>
          <w:lang w:bidi="ar"/>
        </w:rPr>
        <w:t>　　第十条 银行为参与政府采购融资的中小企业提供的产品，应以信用贷款为主，贷款利率应当优于一般中小企业的贷款利率水平，并将产品信息（包括贷款发放条件、利率优惠、贷款金额）等在陕西政府采购网予以展示。</w:t>
      </w:r>
    </w:p>
    <w:p>
      <w:pPr>
        <w:widowControl/>
        <w:spacing w:line="360" w:lineRule="auto"/>
        <w:jc w:val="left"/>
        <w:rPr>
          <w:rFonts w:asciiTheme="minorEastAsia" w:hAnsiTheme="minorEastAsia" w:eastAsiaTheme="minorEastAsia" w:cstheme="minorEastAsia"/>
          <w:color w:val="auto"/>
          <w:kern w:val="0"/>
          <w:szCs w:val="21"/>
          <w:highlight w:val="none"/>
          <w:lang w:bidi="ar"/>
        </w:rPr>
      </w:pPr>
      <w:r>
        <w:rPr>
          <w:rFonts w:hint="eastAsia" w:asciiTheme="minorEastAsia" w:hAnsiTheme="minorEastAsia" w:eastAsiaTheme="minorEastAsia" w:cstheme="minorEastAsia"/>
          <w:color w:val="auto"/>
          <w:kern w:val="0"/>
          <w:szCs w:val="21"/>
          <w:highlight w:val="none"/>
          <w:lang w:bidi="ar"/>
        </w:rPr>
        <w:t>　　第十一条 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p>
    <w:p>
      <w:pPr>
        <w:widowControl/>
        <w:spacing w:line="360" w:lineRule="auto"/>
        <w:jc w:val="left"/>
        <w:rPr>
          <w:rFonts w:asciiTheme="minorEastAsia" w:hAnsiTheme="minorEastAsia" w:eastAsiaTheme="minorEastAsia" w:cstheme="minorEastAsia"/>
          <w:color w:val="auto"/>
          <w:kern w:val="0"/>
          <w:szCs w:val="21"/>
          <w:highlight w:val="none"/>
          <w:lang w:bidi="ar"/>
        </w:rPr>
      </w:pPr>
      <w:r>
        <w:rPr>
          <w:rFonts w:hint="eastAsia" w:asciiTheme="minorEastAsia" w:hAnsiTheme="minorEastAsia" w:eastAsiaTheme="minorEastAsia" w:cstheme="minorEastAsia"/>
          <w:color w:val="auto"/>
          <w:kern w:val="0"/>
          <w:szCs w:val="21"/>
          <w:highlight w:val="none"/>
          <w:lang w:bidi="ar"/>
        </w:rPr>
        <w:t>　　第十二条 银行应按规定对申请信用融资的供应商的政府采购合同信息进行审查，必要时可通过陕西政府采购网对该政府采购合同进行审核，以确保政府采购合同的真实性和有效性。</w:t>
      </w:r>
    </w:p>
    <w:p>
      <w:pPr>
        <w:widowControl/>
        <w:spacing w:line="360" w:lineRule="auto"/>
        <w:jc w:val="left"/>
        <w:rPr>
          <w:rFonts w:asciiTheme="minorEastAsia" w:hAnsiTheme="minorEastAsia" w:eastAsiaTheme="minorEastAsia" w:cstheme="minorEastAsia"/>
          <w:color w:val="auto"/>
          <w:kern w:val="0"/>
          <w:szCs w:val="21"/>
          <w:highlight w:val="none"/>
          <w:lang w:bidi="ar"/>
        </w:rPr>
      </w:pPr>
      <w:r>
        <w:rPr>
          <w:rFonts w:hint="eastAsia" w:asciiTheme="minorEastAsia" w:hAnsiTheme="minorEastAsia" w:eastAsiaTheme="minorEastAsia" w:cstheme="minorEastAsia"/>
          <w:color w:val="auto"/>
          <w:kern w:val="0"/>
          <w:szCs w:val="21"/>
          <w:highlight w:val="none"/>
          <w:lang w:bidi="ar"/>
        </w:rPr>
        <w:t>　　第十三条 对拟用于信用融资的政府采购合同，供应商在签署合同时应当向采购单位或采购代理机构申明或提示该合同将用于申请信用融资，并在合同中注明融资银行名称及在该银行开设的收款账号信息。采购单位或采购代理机构在进行政府采购合同备案时，应当将上述信息在政府采购合同中予以特别标记。</w:t>
      </w:r>
    </w:p>
    <w:p>
      <w:pPr>
        <w:widowControl/>
        <w:spacing w:line="360" w:lineRule="auto"/>
        <w:jc w:val="left"/>
        <w:rPr>
          <w:rFonts w:asciiTheme="minorEastAsia" w:hAnsiTheme="minorEastAsia" w:eastAsiaTheme="minorEastAsia" w:cstheme="minorEastAsia"/>
          <w:color w:val="auto"/>
          <w:kern w:val="0"/>
          <w:szCs w:val="21"/>
          <w:highlight w:val="none"/>
          <w:lang w:bidi="ar"/>
        </w:rPr>
      </w:pPr>
      <w:r>
        <w:rPr>
          <w:rFonts w:hint="eastAsia" w:asciiTheme="minorEastAsia" w:hAnsiTheme="minorEastAsia" w:eastAsiaTheme="minorEastAsia" w:cstheme="minorEastAsia"/>
          <w:color w:val="auto"/>
          <w:kern w:val="0"/>
          <w:szCs w:val="21"/>
          <w:highlight w:val="none"/>
          <w:lang w:bidi="ar"/>
        </w:rPr>
        <w:t>　　第十四条 各银行应当建立政府采购合同融资绿色通道，配备专业人员定向服务，简化贷款审批程序，制定相应业务管理规范，审核无误后，银行应当凭合同和事先约定的优惠利率及时予以放款，提供快捷、方便、专业的融资服务。</w:t>
      </w:r>
    </w:p>
    <w:p>
      <w:pPr>
        <w:widowControl/>
        <w:spacing w:line="360" w:lineRule="auto"/>
        <w:jc w:val="left"/>
        <w:rPr>
          <w:rFonts w:asciiTheme="minorEastAsia" w:hAnsiTheme="minorEastAsia" w:eastAsiaTheme="minorEastAsia" w:cstheme="minorEastAsia"/>
          <w:color w:val="auto"/>
          <w:kern w:val="0"/>
          <w:szCs w:val="21"/>
          <w:highlight w:val="none"/>
          <w:lang w:bidi="ar"/>
        </w:rPr>
      </w:pPr>
      <w:r>
        <w:rPr>
          <w:rFonts w:hint="eastAsia" w:asciiTheme="minorEastAsia" w:hAnsiTheme="minorEastAsia" w:eastAsiaTheme="minorEastAsia" w:cstheme="minorEastAsia"/>
          <w:color w:val="auto"/>
          <w:kern w:val="0"/>
          <w:szCs w:val="21"/>
          <w:highlight w:val="none"/>
          <w:lang w:bidi="ar"/>
        </w:rPr>
        <w:t>　　第十五条 省本级政府采购资金支付时，各采购单位必须将采购资金支付到备案合同中指定的融资银行及收款账号，以保障贷款资金的安全回收。</w:t>
      </w:r>
    </w:p>
    <w:p>
      <w:pPr>
        <w:widowControl/>
        <w:spacing w:line="360" w:lineRule="auto"/>
        <w:jc w:val="left"/>
        <w:rPr>
          <w:rFonts w:asciiTheme="minorEastAsia" w:hAnsiTheme="minorEastAsia" w:eastAsiaTheme="minorEastAsia" w:cstheme="minorEastAsia"/>
          <w:color w:val="auto"/>
          <w:kern w:val="0"/>
          <w:szCs w:val="21"/>
          <w:highlight w:val="none"/>
          <w:lang w:bidi="ar"/>
        </w:rPr>
      </w:pPr>
      <w:r>
        <w:rPr>
          <w:rFonts w:hint="eastAsia" w:asciiTheme="minorEastAsia" w:hAnsiTheme="minorEastAsia" w:eastAsiaTheme="minorEastAsia" w:cstheme="minorEastAsia"/>
          <w:color w:val="auto"/>
          <w:kern w:val="0"/>
          <w:szCs w:val="21"/>
          <w:highlight w:val="none"/>
          <w:lang w:bidi="ar"/>
        </w:rPr>
        <w:t>　　第十六条 各市县操作程序由各地结合本地实际自行拟定，但应当体现“便捷高效、监管有效、风险可控”的原则。</w:t>
      </w:r>
    </w:p>
    <w:p>
      <w:pPr>
        <w:widowControl/>
        <w:spacing w:line="360" w:lineRule="auto"/>
        <w:jc w:val="left"/>
        <w:rPr>
          <w:rFonts w:asciiTheme="minorEastAsia" w:hAnsiTheme="minorEastAsia" w:eastAsiaTheme="minorEastAsia" w:cstheme="minorEastAsia"/>
          <w:color w:val="auto"/>
          <w:kern w:val="0"/>
          <w:szCs w:val="21"/>
          <w:highlight w:val="none"/>
          <w:lang w:bidi="ar"/>
        </w:rPr>
      </w:pPr>
      <w:r>
        <w:rPr>
          <w:rFonts w:hint="eastAsia" w:asciiTheme="minorEastAsia" w:hAnsiTheme="minorEastAsia" w:eastAsiaTheme="minorEastAsia" w:cstheme="minorEastAsia"/>
          <w:color w:val="auto"/>
          <w:kern w:val="0"/>
          <w:szCs w:val="21"/>
          <w:highlight w:val="none"/>
          <w:lang w:bidi="ar"/>
        </w:rPr>
        <w:t>　　第十七条 供应商弄虚作假或以伪造政府采购合同等方式违规获取政府采购信用融资，或无故不及时还款的，或出现其他违反本办法规定情形的，除按融资合同约定承担违约责任外，同级财政部门应当将其行为按“不良行为”记入供应商诚信档案；情节严重的，应记入供应商“黑名单”；涉嫌犯罪的，移送司法机关处理。</w:t>
      </w:r>
    </w:p>
    <w:p>
      <w:pPr>
        <w:widowControl/>
        <w:spacing w:line="360" w:lineRule="auto"/>
        <w:jc w:val="left"/>
        <w:rPr>
          <w:rFonts w:asciiTheme="minorEastAsia" w:hAnsiTheme="minorEastAsia" w:eastAsiaTheme="minorEastAsia" w:cstheme="minorEastAsia"/>
          <w:color w:val="auto"/>
          <w:kern w:val="0"/>
          <w:szCs w:val="21"/>
          <w:highlight w:val="none"/>
          <w:lang w:bidi="ar"/>
        </w:rPr>
      </w:pPr>
      <w:r>
        <w:rPr>
          <w:rFonts w:hint="eastAsia" w:asciiTheme="minorEastAsia" w:hAnsiTheme="minorEastAsia" w:eastAsiaTheme="minorEastAsia" w:cstheme="minorEastAsia"/>
          <w:color w:val="auto"/>
          <w:kern w:val="0"/>
          <w:szCs w:val="21"/>
          <w:highlight w:val="none"/>
          <w:lang w:bidi="ar"/>
        </w:rPr>
        <w:t>　　第十八条 本办法由陕西省财政厅负责解释。</w:t>
      </w:r>
    </w:p>
    <w:p>
      <w:pPr>
        <w:widowControl/>
        <w:spacing w:line="360" w:lineRule="auto"/>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　　第十九条 本办法自2018年11月1日起施行。</w:t>
      </w:r>
    </w:p>
    <w:p>
      <w:pPr>
        <w:rPr>
          <w:rFonts w:ascii="宋体" w:hAnsi="宋体" w:cs="宋体"/>
          <w:b/>
          <w:color w:val="auto"/>
          <w:kern w:val="0"/>
          <w:sz w:val="32"/>
          <w:szCs w:val="32"/>
          <w:highlight w:val="none"/>
        </w:rPr>
      </w:pPr>
    </w:p>
    <w:p>
      <w:pPr>
        <w:pStyle w:val="2"/>
        <w:spacing w:line="500" w:lineRule="exact"/>
        <w:rPr>
          <w:rFonts w:ascii="宋体" w:hAnsi="宋体" w:cs="楷体"/>
          <w:b/>
          <w:bCs/>
          <w:color w:val="auto"/>
          <w:highlight w:val="none"/>
        </w:rPr>
      </w:pPr>
      <w:r>
        <w:rPr>
          <w:rFonts w:hint="eastAsia" w:ascii="宋体" w:hAnsi="宋体" w:cs="楷体"/>
          <w:b/>
          <w:bCs/>
          <w:color w:val="auto"/>
          <w:highlight w:val="none"/>
        </w:rPr>
        <w:t>附件二：</w:t>
      </w:r>
      <w:bookmarkStart w:id="61" w:name="bookmark4"/>
      <w:bookmarkStart w:id="62" w:name="bookmark5"/>
      <w:bookmarkStart w:id="63" w:name="bookmark3"/>
      <w:r>
        <w:rPr>
          <w:rFonts w:hint="eastAsia" w:ascii="宋体" w:hAnsi="宋体" w:cs="楷体"/>
          <w:b/>
          <w:bCs/>
          <w:color w:val="auto"/>
          <w:highlight w:val="none"/>
        </w:rPr>
        <w:t>西安市长安区财政局关于进一步做好政采贷工作的通知</w:t>
      </w:r>
      <w:bookmarkEnd w:id="61"/>
      <w:bookmarkEnd w:id="62"/>
      <w:bookmarkEnd w:id="63"/>
    </w:p>
    <w:p>
      <w:pPr>
        <w:tabs>
          <w:tab w:val="left" w:pos="840"/>
        </w:tabs>
        <w:kinsoku w:val="0"/>
        <w:spacing w:line="360" w:lineRule="auto"/>
        <w:ind w:firstLine="420" w:firstLineChars="200"/>
        <w:rPr>
          <w:rFonts w:ascii="宋体" w:hAnsi="宋体" w:cs="楷体"/>
          <w:color w:val="auto"/>
          <w:szCs w:val="21"/>
          <w:highlight w:val="none"/>
        </w:rPr>
      </w:pPr>
      <w:r>
        <w:rPr>
          <w:rFonts w:hint="eastAsia" w:ascii="宋体" w:hAnsi="宋体" w:cs="楷体"/>
          <w:color w:val="auto"/>
          <w:szCs w:val="21"/>
          <w:highlight w:val="none"/>
        </w:rPr>
        <w:t>为发挥政府采购促进中小企业发展的政策功能，西安市长安区财政局制定了《西安市长安区财政局关于进一步做好政采贷工作的通知》（长财字〔2021〕223号）。</w:t>
      </w:r>
    </w:p>
    <w:p>
      <w:pPr>
        <w:pStyle w:val="460"/>
        <w:keepNext/>
        <w:keepLines/>
        <w:spacing w:line="360" w:lineRule="auto"/>
        <w:ind w:firstLine="420" w:firstLineChars="200"/>
        <w:jc w:val="left"/>
        <w:rPr>
          <w:rFonts w:cs="楷体"/>
          <w:color w:val="auto"/>
          <w:sz w:val="21"/>
          <w:szCs w:val="21"/>
          <w:highlight w:val="none"/>
          <w:lang w:val="en-US" w:eastAsia="zh-CN" w:bidi="ar-SA"/>
        </w:rPr>
      </w:pPr>
      <w:r>
        <w:rPr>
          <w:rFonts w:hint="eastAsia" w:cs="楷体"/>
          <w:color w:val="auto"/>
          <w:sz w:val="21"/>
          <w:szCs w:val="21"/>
          <w:highlight w:val="none"/>
          <w:lang w:val="en-US" w:eastAsia="zh-CN" w:bidi="ar-SA"/>
        </w:rPr>
        <w:t>为进一步贯彻落实中央、省、市关于支持中小企业发展的政策措施，发挥政府采购政策导向作用，助力解决政府采购活动中供应商资金不足、融资难、融资贵等问题，根据《中华人民共和 国政府采购法》《陕西省中小企业政府采购信用融资办法》（陕 财办采〔2018〕23号）等有关规定，现就进一步做好</w:t>
      </w:r>
      <w:r>
        <w:rPr>
          <w:rFonts w:hint="eastAsia" w:cs="楷体"/>
          <w:color w:val="auto"/>
          <w:sz w:val="21"/>
          <w:szCs w:val="21"/>
          <w:highlight w:val="none"/>
          <w:lang w:val="zh-CN" w:eastAsia="zh-CN" w:bidi="ar-SA"/>
        </w:rPr>
        <w:t>“政</w:t>
      </w:r>
      <w:r>
        <w:rPr>
          <w:rFonts w:hint="eastAsia" w:cs="楷体"/>
          <w:color w:val="auto"/>
          <w:sz w:val="21"/>
          <w:szCs w:val="21"/>
          <w:highlight w:val="none"/>
          <w:lang w:val="en-US" w:eastAsia="zh-CN" w:bidi="ar-SA"/>
        </w:rPr>
        <w:t>采贷” 工作有关事项通知如下。</w:t>
      </w:r>
    </w:p>
    <w:p>
      <w:pPr>
        <w:spacing w:line="360" w:lineRule="auto"/>
        <w:rPr>
          <w:rFonts w:ascii="宋体" w:hAnsi="宋体" w:cs="楷体"/>
          <w:color w:val="auto"/>
          <w:szCs w:val="21"/>
          <w:highlight w:val="none"/>
        </w:rPr>
      </w:pPr>
      <w:r>
        <w:rPr>
          <w:rFonts w:hint="eastAsia" w:ascii="宋体" w:hAnsi="宋体" w:cs="楷体"/>
          <w:color w:val="auto"/>
          <w:szCs w:val="21"/>
          <w:highlight w:val="none"/>
        </w:rPr>
        <w:t>一、</w:t>
      </w:r>
      <w:r>
        <w:rPr>
          <w:rFonts w:hint="eastAsia" w:ascii="宋体" w:hAnsi="宋体" w:cs="楷体"/>
          <w:color w:val="auto"/>
          <w:szCs w:val="21"/>
          <w:highlight w:val="none"/>
          <w:lang w:val="zh-CN"/>
        </w:rPr>
        <w:t>“政</w:t>
      </w:r>
      <w:r>
        <w:rPr>
          <w:rFonts w:hint="eastAsia" w:ascii="宋体" w:hAnsi="宋体" w:cs="楷体"/>
          <w:color w:val="auto"/>
          <w:szCs w:val="21"/>
          <w:highlight w:val="none"/>
        </w:rPr>
        <w:t>采贷</w:t>
      </w:r>
      <w:r>
        <w:rPr>
          <w:rFonts w:hint="eastAsia" w:ascii="宋体" w:hAnsi="宋体" w:cs="楷体"/>
          <w:color w:val="auto"/>
          <w:szCs w:val="21"/>
          <w:highlight w:val="none"/>
          <w:lang w:val="zh-CN"/>
        </w:rPr>
        <w:t>”概念</w:t>
      </w:r>
    </w:p>
    <w:p>
      <w:pPr>
        <w:pStyle w:val="461"/>
        <w:spacing w:after="200" w:line="360" w:lineRule="auto"/>
        <w:ind w:firstLine="840"/>
        <w:jc w:val="left"/>
        <w:rPr>
          <w:color w:val="auto"/>
          <w:sz w:val="21"/>
          <w:szCs w:val="21"/>
          <w:highlight w:val="none"/>
        </w:rPr>
      </w:pPr>
      <w:r>
        <w:rPr>
          <w:rFonts w:hint="eastAsia"/>
          <w:color w:val="auto"/>
          <w:sz w:val="21"/>
          <w:szCs w:val="21"/>
          <w:highlight w:val="none"/>
          <w:lang w:val="zh-CN" w:eastAsia="zh-CN" w:bidi="zh-CN"/>
        </w:rPr>
        <w:t>“政采</w:t>
      </w:r>
      <w:r>
        <w:rPr>
          <w:rFonts w:hint="eastAsia"/>
          <w:color w:val="auto"/>
          <w:sz w:val="21"/>
          <w:szCs w:val="21"/>
          <w:highlight w:val="none"/>
        </w:rPr>
        <w:t>贷”即政府采购供应商信用融资，是指银行以政府采 购供应商信用审查和政府采购信誉为基础，依托政府采购合同， 按优于一般企业的贷款程序和利率，直接向申请贷款的供应商发 放无财产抵押贷款的一种融资模式。（陕西政府采购供应商信用 融资信息服务平台网址为:</w:t>
      </w:r>
    </w:p>
    <w:p>
      <w:pPr>
        <w:pStyle w:val="462"/>
        <w:spacing w:line="360" w:lineRule="auto"/>
        <w:rPr>
          <w:rFonts w:ascii="宋体" w:hAnsi="宋体" w:cs="宋体"/>
          <w:color w:val="auto"/>
          <w:sz w:val="21"/>
          <w:szCs w:val="21"/>
          <w:highlight w:val="none"/>
        </w:rPr>
      </w:pPr>
      <w:r>
        <w:rPr>
          <w:rFonts w:hint="eastAsia" w:ascii="宋体" w:hAnsi="宋体" w:cs="宋体"/>
          <w:color w:val="auto"/>
          <w:sz w:val="21"/>
          <w:szCs w:val="21"/>
          <w:highlight w:val="none"/>
          <w:lang w:eastAsia="en-US" w:bidi="en-US"/>
        </w:rPr>
        <w:t>http: //www. ccgp-shaanxi. gov. cn/zcdservice/zed/shanxi/ ）</w:t>
      </w:r>
    </w:p>
    <w:p>
      <w:pPr>
        <w:pStyle w:val="461"/>
        <w:spacing w:line="360" w:lineRule="auto"/>
        <w:ind w:firstLine="420"/>
        <w:rPr>
          <w:color w:val="auto"/>
          <w:sz w:val="21"/>
          <w:szCs w:val="21"/>
          <w:highlight w:val="none"/>
        </w:rPr>
      </w:pPr>
      <w:r>
        <w:rPr>
          <w:rFonts w:hint="eastAsia"/>
          <w:color w:val="auto"/>
          <w:sz w:val="21"/>
          <w:szCs w:val="21"/>
          <w:highlight w:val="none"/>
        </w:rPr>
        <w:t>二、</w:t>
      </w:r>
      <w:r>
        <w:rPr>
          <w:rFonts w:hint="eastAsia"/>
          <w:color w:val="auto"/>
          <w:sz w:val="21"/>
          <w:szCs w:val="21"/>
          <w:highlight w:val="none"/>
          <w:lang w:val="zh-CN" w:eastAsia="zh-CN" w:bidi="zh-CN"/>
        </w:rPr>
        <w:t>“政</w:t>
      </w:r>
      <w:r>
        <w:rPr>
          <w:rFonts w:hint="eastAsia"/>
          <w:color w:val="auto"/>
          <w:sz w:val="21"/>
          <w:szCs w:val="21"/>
          <w:highlight w:val="none"/>
        </w:rPr>
        <w:t>采贷”流程</w:t>
      </w:r>
    </w:p>
    <w:p>
      <w:pPr>
        <w:pStyle w:val="461"/>
        <w:tabs>
          <w:tab w:val="left" w:pos="1395"/>
        </w:tabs>
        <w:spacing w:line="360" w:lineRule="auto"/>
        <w:ind w:firstLine="600"/>
        <w:rPr>
          <w:color w:val="auto"/>
          <w:sz w:val="21"/>
          <w:szCs w:val="21"/>
          <w:highlight w:val="none"/>
        </w:rPr>
      </w:pPr>
      <w:bookmarkStart w:id="64" w:name="bookmark6"/>
      <w:r>
        <w:rPr>
          <w:rFonts w:hint="eastAsia"/>
          <w:color w:val="auto"/>
          <w:sz w:val="21"/>
          <w:szCs w:val="21"/>
          <w:highlight w:val="none"/>
        </w:rPr>
        <w:t>（</w:t>
      </w:r>
      <w:bookmarkEnd w:id="64"/>
      <w:r>
        <w:rPr>
          <w:rFonts w:hint="eastAsia"/>
          <w:color w:val="auto"/>
          <w:sz w:val="21"/>
          <w:szCs w:val="21"/>
          <w:highlight w:val="none"/>
        </w:rPr>
        <w:t>一）</w:t>
      </w:r>
      <w:r>
        <w:rPr>
          <w:rFonts w:hint="eastAsia"/>
          <w:color w:val="auto"/>
          <w:sz w:val="21"/>
          <w:szCs w:val="21"/>
          <w:highlight w:val="none"/>
        </w:rPr>
        <w:tab/>
      </w:r>
      <w:r>
        <w:rPr>
          <w:rFonts w:hint="eastAsia"/>
          <w:color w:val="auto"/>
          <w:sz w:val="21"/>
          <w:szCs w:val="21"/>
          <w:highlight w:val="none"/>
        </w:rPr>
        <w:t>有融资需求的供应商可根据陕西省政府采购网公示的银 行及其</w:t>
      </w:r>
      <w:r>
        <w:rPr>
          <w:rFonts w:hint="eastAsia"/>
          <w:color w:val="auto"/>
          <w:sz w:val="21"/>
          <w:szCs w:val="21"/>
          <w:highlight w:val="none"/>
          <w:lang w:val="zh-CN" w:eastAsia="zh-CN" w:bidi="zh-CN"/>
        </w:rPr>
        <w:t>“政</w:t>
      </w:r>
      <w:r>
        <w:rPr>
          <w:rFonts w:hint="eastAsia"/>
          <w:color w:val="auto"/>
          <w:sz w:val="21"/>
          <w:szCs w:val="21"/>
          <w:highlight w:val="none"/>
        </w:rPr>
        <w:t>釆贷”产品，自行选择符合自身情况的</w:t>
      </w:r>
      <w:r>
        <w:rPr>
          <w:rFonts w:hint="eastAsia"/>
          <w:color w:val="auto"/>
          <w:sz w:val="21"/>
          <w:szCs w:val="21"/>
          <w:highlight w:val="none"/>
          <w:lang w:val="zh-CN" w:eastAsia="zh-CN" w:bidi="zh-CN"/>
        </w:rPr>
        <w:t>“政</w:t>
      </w:r>
      <w:r>
        <w:rPr>
          <w:rFonts w:hint="eastAsia"/>
          <w:color w:val="auto"/>
          <w:sz w:val="21"/>
          <w:szCs w:val="21"/>
          <w:highlight w:val="none"/>
        </w:rPr>
        <w:t>采贷”银行及其产品，凭中标（成交）通知书向银行提出贷款意向申请。</w:t>
      </w:r>
    </w:p>
    <w:p>
      <w:pPr>
        <w:pStyle w:val="461"/>
        <w:tabs>
          <w:tab w:val="left" w:pos="1390"/>
        </w:tabs>
        <w:spacing w:line="360" w:lineRule="auto"/>
        <w:ind w:firstLine="600"/>
        <w:rPr>
          <w:color w:val="auto"/>
          <w:sz w:val="21"/>
          <w:szCs w:val="21"/>
          <w:highlight w:val="none"/>
        </w:rPr>
      </w:pPr>
      <w:bookmarkStart w:id="65" w:name="bookmark7"/>
      <w:r>
        <w:rPr>
          <w:rFonts w:hint="eastAsia"/>
          <w:color w:val="auto"/>
          <w:sz w:val="21"/>
          <w:szCs w:val="21"/>
          <w:highlight w:val="none"/>
        </w:rPr>
        <w:t>（</w:t>
      </w:r>
      <w:bookmarkEnd w:id="65"/>
      <w:r>
        <w:rPr>
          <w:rFonts w:hint="eastAsia"/>
          <w:color w:val="auto"/>
          <w:sz w:val="21"/>
          <w:szCs w:val="21"/>
          <w:highlight w:val="none"/>
        </w:rPr>
        <w:t>二）</w:t>
      </w:r>
      <w:r>
        <w:rPr>
          <w:rFonts w:hint="eastAsia"/>
          <w:color w:val="auto"/>
          <w:sz w:val="21"/>
          <w:szCs w:val="21"/>
          <w:highlight w:val="none"/>
        </w:rPr>
        <w:tab/>
      </w:r>
      <w:r>
        <w:rPr>
          <w:rFonts w:hint="eastAsia"/>
          <w:color w:val="auto"/>
          <w:sz w:val="21"/>
          <w:szCs w:val="21"/>
          <w:highlight w:val="none"/>
        </w:rPr>
        <w:t>银行根据供应商的贷款意向申请，及时对供应商开展信 用审查以及开设账户等相关工作。</w:t>
      </w:r>
    </w:p>
    <w:p>
      <w:pPr>
        <w:pStyle w:val="461"/>
        <w:tabs>
          <w:tab w:val="left" w:pos="1386"/>
        </w:tabs>
        <w:spacing w:line="360" w:lineRule="auto"/>
        <w:ind w:firstLine="600"/>
        <w:rPr>
          <w:color w:val="auto"/>
          <w:sz w:val="21"/>
          <w:szCs w:val="21"/>
          <w:highlight w:val="none"/>
        </w:rPr>
      </w:pPr>
      <w:bookmarkStart w:id="66" w:name="bookmark8"/>
      <w:r>
        <w:rPr>
          <w:rFonts w:hint="eastAsia"/>
          <w:color w:val="auto"/>
          <w:sz w:val="21"/>
          <w:szCs w:val="21"/>
          <w:highlight w:val="none"/>
        </w:rPr>
        <w:t>（</w:t>
      </w:r>
      <w:bookmarkEnd w:id="66"/>
      <w:r>
        <w:rPr>
          <w:rFonts w:hint="eastAsia"/>
          <w:color w:val="auto"/>
          <w:sz w:val="21"/>
          <w:szCs w:val="21"/>
          <w:highlight w:val="none"/>
        </w:rPr>
        <w:t>三）</w:t>
      </w:r>
      <w:r>
        <w:rPr>
          <w:rFonts w:hint="eastAsia"/>
          <w:color w:val="auto"/>
          <w:sz w:val="21"/>
          <w:szCs w:val="21"/>
          <w:highlight w:val="none"/>
        </w:rPr>
        <w:tab/>
      </w:r>
      <w:r>
        <w:rPr>
          <w:rFonts w:hint="eastAsia"/>
          <w:color w:val="auto"/>
          <w:sz w:val="21"/>
          <w:szCs w:val="21"/>
          <w:highlight w:val="none"/>
        </w:rPr>
        <w:t>供应商与采购人签订政府采购合同后，向银行提出正式 申请。拟用于</w:t>
      </w:r>
      <w:r>
        <w:rPr>
          <w:rFonts w:hint="eastAsia"/>
          <w:color w:val="auto"/>
          <w:sz w:val="21"/>
          <w:szCs w:val="21"/>
          <w:highlight w:val="none"/>
          <w:lang w:val="zh-CN" w:eastAsia="zh-CN" w:bidi="zh-CN"/>
        </w:rPr>
        <w:t>“政</w:t>
      </w:r>
      <w:r>
        <w:rPr>
          <w:rFonts w:hint="eastAsia"/>
          <w:color w:val="auto"/>
          <w:sz w:val="21"/>
          <w:szCs w:val="21"/>
          <w:highlight w:val="none"/>
        </w:rPr>
        <w:t>采贷”的政府釆购合同，应当在合同中注明贷 款银行的名称和账号，并作为本次采购的唯一收款账号。</w:t>
      </w:r>
    </w:p>
    <w:p>
      <w:pPr>
        <w:pStyle w:val="461"/>
        <w:tabs>
          <w:tab w:val="left" w:pos="1366"/>
        </w:tabs>
        <w:spacing w:line="360" w:lineRule="auto"/>
        <w:ind w:firstLine="600"/>
        <w:rPr>
          <w:color w:val="auto"/>
          <w:sz w:val="21"/>
          <w:szCs w:val="21"/>
          <w:highlight w:val="none"/>
        </w:rPr>
      </w:pPr>
      <w:bookmarkStart w:id="67" w:name="bookmark9"/>
      <w:r>
        <w:rPr>
          <w:rFonts w:hint="eastAsia"/>
          <w:color w:val="auto"/>
          <w:sz w:val="21"/>
          <w:szCs w:val="21"/>
          <w:highlight w:val="none"/>
        </w:rPr>
        <w:t>（</w:t>
      </w:r>
      <w:bookmarkEnd w:id="67"/>
      <w:r>
        <w:rPr>
          <w:rFonts w:hint="eastAsia"/>
          <w:color w:val="auto"/>
          <w:sz w:val="21"/>
          <w:szCs w:val="21"/>
          <w:highlight w:val="none"/>
        </w:rPr>
        <w:t>四）</w:t>
      </w:r>
      <w:r>
        <w:rPr>
          <w:rFonts w:hint="eastAsia"/>
          <w:color w:val="auto"/>
          <w:sz w:val="21"/>
          <w:szCs w:val="21"/>
          <w:highlight w:val="none"/>
        </w:rPr>
        <w:tab/>
      </w:r>
      <w:r>
        <w:rPr>
          <w:rFonts w:hint="eastAsia"/>
          <w:color w:val="auto"/>
          <w:sz w:val="21"/>
          <w:szCs w:val="21"/>
          <w:highlight w:val="none"/>
        </w:rPr>
        <w:t>银行按规定对供应商资格及其提供的政府采购合同等信 息进行审查，审查通过后按照公示的服务承诺事项及时放款。</w:t>
      </w:r>
    </w:p>
    <w:p>
      <w:pPr>
        <w:pStyle w:val="461"/>
        <w:tabs>
          <w:tab w:val="left" w:pos="1381"/>
        </w:tabs>
        <w:spacing w:line="360" w:lineRule="auto"/>
        <w:ind w:firstLine="600"/>
        <w:rPr>
          <w:color w:val="auto"/>
          <w:sz w:val="21"/>
          <w:szCs w:val="21"/>
          <w:highlight w:val="none"/>
        </w:rPr>
      </w:pPr>
      <w:bookmarkStart w:id="68" w:name="bookmark10"/>
      <w:r>
        <w:rPr>
          <w:rFonts w:hint="eastAsia"/>
          <w:color w:val="auto"/>
          <w:sz w:val="21"/>
          <w:szCs w:val="21"/>
          <w:highlight w:val="none"/>
        </w:rPr>
        <w:t>（</w:t>
      </w:r>
      <w:bookmarkEnd w:id="68"/>
      <w:r>
        <w:rPr>
          <w:rFonts w:hint="eastAsia"/>
          <w:color w:val="auto"/>
          <w:sz w:val="21"/>
          <w:szCs w:val="21"/>
          <w:highlight w:val="none"/>
        </w:rPr>
        <w:t>五）</w:t>
      </w:r>
      <w:r>
        <w:rPr>
          <w:rFonts w:hint="eastAsia"/>
          <w:color w:val="auto"/>
          <w:sz w:val="21"/>
          <w:szCs w:val="21"/>
          <w:highlight w:val="none"/>
        </w:rPr>
        <w:tab/>
      </w:r>
      <w:r>
        <w:rPr>
          <w:rFonts w:hint="eastAsia"/>
          <w:color w:val="auto"/>
          <w:sz w:val="21"/>
          <w:szCs w:val="21"/>
          <w:highlight w:val="none"/>
        </w:rPr>
        <w:t>在资金支付时，采购人应当将采购资金支付到政府采购 合同注明的贷款银行和账号中，不得支付到政府釆购合同约定以 外的账号，以保障贷款资金安全回收。</w:t>
      </w:r>
    </w:p>
    <w:p>
      <w:pPr>
        <w:pStyle w:val="461"/>
        <w:spacing w:line="360" w:lineRule="auto"/>
        <w:ind w:firstLine="580"/>
        <w:rPr>
          <w:color w:val="auto"/>
          <w:sz w:val="21"/>
          <w:szCs w:val="21"/>
          <w:highlight w:val="none"/>
        </w:rPr>
      </w:pPr>
      <w:r>
        <w:rPr>
          <w:rFonts w:hint="eastAsia"/>
          <w:color w:val="auto"/>
          <w:sz w:val="21"/>
          <w:szCs w:val="21"/>
          <w:highlight w:val="none"/>
          <w:lang w:val="zh-CN" w:eastAsia="zh-CN" w:bidi="zh-CN"/>
        </w:rPr>
        <w:t xml:space="preserve">三、 </w:t>
      </w:r>
      <w:r>
        <w:rPr>
          <w:rFonts w:hint="eastAsia"/>
          <w:color w:val="auto"/>
          <w:sz w:val="21"/>
          <w:szCs w:val="21"/>
          <w:highlight w:val="none"/>
        </w:rPr>
        <w:t>职责要求</w:t>
      </w:r>
    </w:p>
    <w:p>
      <w:pPr>
        <w:pStyle w:val="461"/>
        <w:spacing w:line="360" w:lineRule="auto"/>
        <w:ind w:firstLine="820"/>
        <w:rPr>
          <w:color w:val="auto"/>
          <w:sz w:val="21"/>
          <w:szCs w:val="21"/>
          <w:highlight w:val="none"/>
        </w:rPr>
      </w:pPr>
      <w:bookmarkStart w:id="69" w:name="bookmark11"/>
      <w:r>
        <w:rPr>
          <w:rFonts w:hint="eastAsia"/>
          <w:color w:val="auto"/>
          <w:sz w:val="21"/>
          <w:szCs w:val="21"/>
          <w:highlight w:val="none"/>
        </w:rPr>
        <w:t>（</w:t>
      </w:r>
      <w:bookmarkEnd w:id="69"/>
      <w:r>
        <w:rPr>
          <w:rFonts w:hint="eastAsia"/>
          <w:color w:val="auto"/>
          <w:sz w:val="21"/>
          <w:szCs w:val="21"/>
          <w:highlight w:val="none"/>
        </w:rPr>
        <w:t>一）各单位要积极推动</w:t>
      </w:r>
      <w:r>
        <w:rPr>
          <w:rFonts w:hint="eastAsia"/>
          <w:color w:val="auto"/>
          <w:sz w:val="21"/>
          <w:szCs w:val="21"/>
          <w:highlight w:val="none"/>
          <w:lang w:val="zh-CN" w:eastAsia="zh-CN" w:bidi="zh-CN"/>
        </w:rPr>
        <w:t>“政</w:t>
      </w:r>
      <w:r>
        <w:rPr>
          <w:rFonts w:hint="eastAsia"/>
          <w:color w:val="auto"/>
          <w:sz w:val="21"/>
          <w:szCs w:val="21"/>
          <w:highlight w:val="none"/>
        </w:rPr>
        <w:t>采贷”工作开展，应当在合同签订后2个工作日内将政府采购合同在陕西省政府采购网进行公示，为金融机构核实合同提供信息。对于已融资采购项目，供应商履约完成后，要及时开展履约验收工作，并按照合同约定支付 采购资金，不得无故拖延和拒付。</w:t>
      </w:r>
    </w:p>
    <w:p>
      <w:pPr>
        <w:pStyle w:val="461"/>
        <w:tabs>
          <w:tab w:val="left" w:pos="1606"/>
        </w:tabs>
        <w:spacing w:line="360" w:lineRule="auto"/>
        <w:ind w:firstLine="780"/>
        <w:rPr>
          <w:color w:val="auto"/>
          <w:sz w:val="21"/>
          <w:szCs w:val="21"/>
          <w:highlight w:val="none"/>
        </w:rPr>
      </w:pPr>
      <w:bookmarkStart w:id="70" w:name="bookmark12"/>
      <w:r>
        <w:rPr>
          <w:rFonts w:hint="eastAsia"/>
          <w:color w:val="auto"/>
          <w:sz w:val="21"/>
          <w:szCs w:val="21"/>
          <w:highlight w:val="none"/>
        </w:rPr>
        <w:t>（</w:t>
      </w:r>
      <w:bookmarkEnd w:id="70"/>
      <w:r>
        <w:rPr>
          <w:rFonts w:hint="eastAsia"/>
          <w:color w:val="auto"/>
          <w:sz w:val="21"/>
          <w:szCs w:val="21"/>
          <w:highlight w:val="none"/>
        </w:rPr>
        <w:t>二）</w:t>
      </w:r>
      <w:r>
        <w:rPr>
          <w:rFonts w:hint="eastAsia"/>
          <w:color w:val="auto"/>
          <w:sz w:val="21"/>
          <w:szCs w:val="21"/>
          <w:highlight w:val="none"/>
        </w:rPr>
        <w:tab/>
      </w:r>
      <w:r>
        <w:rPr>
          <w:rFonts w:hint="eastAsia"/>
          <w:color w:val="auto"/>
          <w:sz w:val="21"/>
          <w:szCs w:val="21"/>
          <w:highlight w:val="none"/>
        </w:rPr>
        <w:t>各单位和采购代理机构在组织实施政府采购活动中， 应当将</w:t>
      </w:r>
      <w:r>
        <w:rPr>
          <w:rFonts w:hint="eastAsia"/>
          <w:color w:val="auto"/>
          <w:sz w:val="21"/>
          <w:szCs w:val="21"/>
          <w:highlight w:val="none"/>
          <w:lang w:val="zh-CN" w:eastAsia="zh-CN" w:bidi="zh-CN"/>
        </w:rPr>
        <w:t>“政</w:t>
      </w:r>
      <w:r>
        <w:rPr>
          <w:rFonts w:hint="eastAsia"/>
          <w:color w:val="auto"/>
          <w:sz w:val="21"/>
          <w:szCs w:val="21"/>
          <w:highlight w:val="none"/>
        </w:rPr>
        <w:t>采贷”业务介绍、陕西政府采购供应商信用融资信息服务平台操作手册和银行联系方式（见附件）在采购文件中载明， 并随中标（成交）通知书一并发放。</w:t>
      </w:r>
    </w:p>
    <w:p>
      <w:pPr>
        <w:pStyle w:val="461"/>
        <w:tabs>
          <w:tab w:val="left" w:pos="1587"/>
        </w:tabs>
        <w:spacing w:after="740" w:line="360" w:lineRule="auto"/>
        <w:ind w:firstLine="780"/>
        <w:rPr>
          <w:color w:val="auto"/>
          <w:sz w:val="21"/>
          <w:szCs w:val="21"/>
          <w:highlight w:val="none"/>
        </w:rPr>
      </w:pPr>
      <w:bookmarkStart w:id="71" w:name="bookmark13"/>
      <w:r>
        <w:rPr>
          <w:rFonts w:hint="eastAsia"/>
          <w:color w:val="auto"/>
          <w:sz w:val="21"/>
          <w:szCs w:val="21"/>
          <w:highlight w:val="none"/>
        </w:rPr>
        <w:t>（</w:t>
      </w:r>
      <w:bookmarkEnd w:id="71"/>
      <w:r>
        <w:rPr>
          <w:rFonts w:hint="eastAsia"/>
          <w:color w:val="auto"/>
          <w:sz w:val="21"/>
          <w:szCs w:val="21"/>
          <w:highlight w:val="none"/>
        </w:rPr>
        <w:t>三）</w:t>
      </w:r>
      <w:r>
        <w:rPr>
          <w:rFonts w:hint="eastAsia"/>
          <w:color w:val="auto"/>
          <w:sz w:val="21"/>
          <w:szCs w:val="21"/>
          <w:highlight w:val="none"/>
        </w:rPr>
        <w:tab/>
      </w:r>
      <w:r>
        <w:rPr>
          <w:rFonts w:hint="eastAsia"/>
          <w:color w:val="auto"/>
          <w:sz w:val="21"/>
          <w:szCs w:val="21"/>
          <w:highlight w:val="none"/>
        </w:rPr>
        <w:t>供应商应当依法参加政府釆购活动，公平竞争，诚实守信,严格按照政府采购合同履约，严格按照借款合同偿还债务。</w:t>
      </w:r>
    </w:p>
    <w:p>
      <w:pPr>
        <w:pStyle w:val="461"/>
        <w:spacing w:after="180" w:line="360" w:lineRule="auto"/>
        <w:ind w:firstLine="660"/>
        <w:rPr>
          <w:color w:val="auto"/>
          <w:sz w:val="21"/>
          <w:szCs w:val="21"/>
          <w:highlight w:val="none"/>
        </w:rPr>
      </w:pPr>
      <w:r>
        <w:rPr>
          <w:rFonts w:hint="eastAsia"/>
          <w:color w:val="auto"/>
          <w:sz w:val="21"/>
          <w:szCs w:val="21"/>
          <w:highlight w:val="none"/>
        </w:rPr>
        <w:t>附件：</w:t>
      </w:r>
      <w:r>
        <w:rPr>
          <w:rFonts w:hint="eastAsia"/>
          <w:color w:val="auto"/>
          <w:sz w:val="21"/>
          <w:szCs w:val="21"/>
          <w:highlight w:val="none"/>
          <w:lang w:val="en-US" w:eastAsia="zh-CN" w:bidi="en-US"/>
        </w:rPr>
        <w:t xml:space="preserve">1. </w:t>
      </w:r>
      <w:r>
        <w:rPr>
          <w:rFonts w:hint="eastAsia"/>
          <w:color w:val="auto"/>
          <w:sz w:val="21"/>
          <w:szCs w:val="21"/>
          <w:highlight w:val="none"/>
          <w:lang w:val="zh-CN" w:eastAsia="zh-CN" w:bidi="zh-CN"/>
        </w:rPr>
        <w:t>“政</w:t>
      </w:r>
      <w:r>
        <w:rPr>
          <w:rFonts w:hint="eastAsia"/>
          <w:color w:val="auto"/>
          <w:sz w:val="21"/>
          <w:szCs w:val="21"/>
          <w:highlight w:val="none"/>
        </w:rPr>
        <w:t>采贷”业务介绍</w:t>
      </w:r>
    </w:p>
    <w:p>
      <w:pPr>
        <w:pStyle w:val="461"/>
        <w:numPr>
          <w:ilvl w:val="0"/>
          <w:numId w:val="2"/>
        </w:numPr>
        <w:spacing w:after="180" w:line="360" w:lineRule="auto"/>
        <w:ind w:firstLine="660"/>
        <w:rPr>
          <w:color w:val="auto"/>
          <w:sz w:val="21"/>
          <w:szCs w:val="21"/>
          <w:highlight w:val="none"/>
        </w:rPr>
      </w:pPr>
      <w:r>
        <w:rPr>
          <w:rFonts w:hint="eastAsia"/>
          <w:color w:val="auto"/>
          <w:sz w:val="21"/>
          <w:szCs w:val="21"/>
          <w:highlight w:val="none"/>
        </w:rPr>
        <w:t>陕西政府采购供应商信用融资信息服务平台操作手册</w:t>
      </w:r>
    </w:p>
    <w:p>
      <w:pPr>
        <w:pStyle w:val="461"/>
        <w:numPr>
          <w:ilvl w:val="0"/>
          <w:numId w:val="2"/>
        </w:numPr>
        <w:spacing w:after="180" w:line="360" w:lineRule="auto"/>
        <w:ind w:firstLine="660"/>
        <w:rPr>
          <w:color w:val="auto"/>
          <w:sz w:val="21"/>
          <w:szCs w:val="21"/>
          <w:highlight w:val="none"/>
          <w:lang w:val="en-US" w:eastAsia="zh-CN"/>
        </w:rPr>
      </w:pPr>
      <w:r>
        <w:rPr>
          <w:rFonts w:hint="eastAsia"/>
          <w:color w:val="auto"/>
          <w:sz w:val="21"/>
          <w:szCs w:val="21"/>
          <w:highlight w:val="none"/>
        </w:rPr>
        <w:t>长安区开展政采贷业务银行联系方式</w:t>
      </w:r>
    </w:p>
    <w:p>
      <w:pPr>
        <w:spacing w:line="360" w:lineRule="auto"/>
        <w:ind w:firstLine="480" w:firstLineChars="200"/>
        <w:rPr>
          <w:rFonts w:ascii="宋体" w:hAnsi="宋体"/>
          <w:color w:val="auto"/>
          <w:sz w:val="24"/>
          <w:highlight w:val="none"/>
        </w:rPr>
      </w:pPr>
      <w:bookmarkStart w:id="72" w:name="bookmark14"/>
      <w:bookmarkEnd w:id="72"/>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p>
    <w:p>
      <w:pPr>
        <w:rPr>
          <w:rFonts w:ascii="宋体" w:hAnsi="宋体"/>
          <w:color w:val="auto"/>
          <w:sz w:val="24"/>
          <w:highlight w:val="none"/>
        </w:rPr>
      </w:pPr>
      <w:r>
        <w:rPr>
          <w:rFonts w:hint="eastAsia" w:ascii="宋体" w:hAnsi="宋体"/>
          <w:color w:val="auto"/>
          <w:sz w:val="24"/>
          <w:highlight w:val="none"/>
        </w:rPr>
        <w:br w:type="page"/>
      </w:r>
    </w:p>
    <w:p>
      <w:pPr>
        <w:spacing w:line="360" w:lineRule="auto"/>
        <w:rPr>
          <w:rFonts w:ascii="宋体" w:hAnsi="宋体"/>
          <w:color w:val="auto"/>
          <w:szCs w:val="21"/>
          <w:highlight w:val="none"/>
        </w:rPr>
      </w:pPr>
      <w:r>
        <w:rPr>
          <w:rFonts w:hint="eastAsia" w:ascii="宋体" w:hAnsi="宋体"/>
          <w:color w:val="auto"/>
          <w:szCs w:val="21"/>
          <w:highlight w:val="none"/>
        </w:rPr>
        <w:t>1、“政采贷"业务介绍</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政采贷，即政府采购合同融资，是银行机构以政府采购诚信 考核和信用审查为基础，凭借中小企业取得并提供的政府采购合 同，按优于一般中小企业贷款的利率直接向申请贷款的中小企业 发放贷款的一种新融资方式。政府采购贷特点政采贷以中小企业 的政府采购信用和国库集中支付作为履约保障的政府采购合同为 基础，借力政府采购诚信保障，提供了银企对接的机会和相关的 服务支持。</w:t>
      </w:r>
    </w:p>
    <w:p>
      <w:pPr>
        <w:numPr>
          <w:ilvl w:val="0"/>
          <w:numId w:val="3"/>
        </w:numPr>
        <w:spacing w:line="360" w:lineRule="auto"/>
        <w:rPr>
          <w:rFonts w:ascii="宋体" w:hAnsi="宋体"/>
          <w:color w:val="auto"/>
          <w:szCs w:val="21"/>
          <w:highlight w:val="none"/>
        </w:rPr>
      </w:pPr>
      <w:r>
        <w:rPr>
          <w:rFonts w:hint="eastAsia" w:ascii="宋体" w:hAnsi="宋体"/>
          <w:color w:val="auto"/>
          <w:szCs w:val="21"/>
          <w:highlight w:val="none"/>
        </w:rPr>
        <w:t>陕西政府采购供应商信用融资信息服务平台操作手册</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陕西政府采购供应商信用融资信息服务平台主要功能为：供应商凭中标项目或成交合同提交融资意向，查看融资申请进度等功能，本操作手册将详细说明这些功能。</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1.首页</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平台首页主要呈现陕西政府采购信用融资相关政策法规、基本操作流程及供应商帮助内容，供应商企业可由登录注册模块登录平台。</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2.登录</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陕西政府采购网的中标企业可用手机号注册用户，注册时需要填写企业名称及社会统一信用代码等信息，如下图：</w:t>
      </w:r>
    </w:p>
    <w:p>
      <w:pPr>
        <w:spacing w:line="360" w:lineRule="auto"/>
        <w:rPr>
          <w:rFonts w:ascii="宋体" w:hAnsi="宋体"/>
          <w:color w:val="auto"/>
          <w:sz w:val="24"/>
          <w:highlight w:val="none"/>
        </w:rPr>
      </w:pPr>
      <w:r>
        <w:rPr>
          <w:color w:val="auto"/>
          <w:highlight w:val="none"/>
        </w:rPr>
        <w:drawing>
          <wp:inline distT="0" distB="0" distL="114300" distR="114300">
            <wp:extent cx="5514975" cy="3076575"/>
            <wp:effectExtent l="0" t="0" r="9525" b="952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6"/>
                    <a:stretch>
                      <a:fillRect/>
                    </a:stretch>
                  </pic:blipFill>
                  <pic:spPr>
                    <a:xfrm>
                      <a:off x="0" y="0"/>
                      <a:ext cx="5514975" cy="3076575"/>
                    </a:xfrm>
                    <a:prstGeom prst="rect">
                      <a:avLst/>
                    </a:prstGeom>
                    <a:noFill/>
                    <a:ln>
                      <a:noFill/>
                    </a:ln>
                  </pic:spPr>
                </pic:pic>
              </a:graphicData>
            </a:graphic>
          </wp:inline>
        </w:drawing>
      </w:r>
    </w:p>
    <w:p>
      <w:pPr>
        <w:spacing w:line="360" w:lineRule="auto"/>
        <w:rPr>
          <w:rFonts w:ascii="宋体" w:hAnsi="宋体"/>
          <w:color w:val="auto"/>
          <w:sz w:val="24"/>
          <w:highlight w:val="none"/>
        </w:rPr>
      </w:pPr>
      <w:r>
        <w:rPr>
          <w:rFonts w:hint="eastAsia" w:ascii="宋体" w:hAnsi="宋体"/>
          <w:color w:val="auto"/>
          <w:sz w:val="24"/>
          <w:highlight w:val="none"/>
        </w:rPr>
        <w:t>注册成功后，凭手机登录平台，如下图，点击首页：</w:t>
      </w:r>
    </w:p>
    <w:p>
      <w:pPr>
        <w:spacing w:line="360" w:lineRule="auto"/>
        <w:rPr>
          <w:color w:val="auto"/>
          <w:highlight w:val="none"/>
        </w:rPr>
      </w:pPr>
      <w:r>
        <w:rPr>
          <w:color w:val="auto"/>
          <w:highlight w:val="none"/>
        </w:rPr>
        <w:drawing>
          <wp:inline distT="0" distB="0" distL="114300" distR="114300">
            <wp:extent cx="5556250" cy="3108325"/>
            <wp:effectExtent l="0" t="0" r="6350" b="1587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7"/>
                    <a:stretch>
                      <a:fillRect/>
                    </a:stretch>
                  </pic:blipFill>
                  <pic:spPr>
                    <a:xfrm>
                      <a:off x="0" y="0"/>
                      <a:ext cx="5556250" cy="3108325"/>
                    </a:xfrm>
                    <a:prstGeom prst="rect">
                      <a:avLst/>
                    </a:prstGeom>
                    <a:noFill/>
                    <a:ln>
                      <a:noFill/>
                    </a:ln>
                  </pic:spPr>
                </pic:pic>
              </a:graphicData>
            </a:graphic>
          </wp:inline>
        </w:drawing>
      </w:r>
    </w:p>
    <w:p>
      <w:pPr>
        <w:pStyle w:val="2"/>
        <w:rPr>
          <w:rFonts w:ascii="宋体" w:hAnsi="宋体" w:cs="宋体"/>
          <w:color w:val="auto"/>
          <w:highlight w:val="none"/>
        </w:rPr>
      </w:pPr>
    </w:p>
    <w:p>
      <w:pPr>
        <w:pStyle w:val="2"/>
        <w:rPr>
          <w:rFonts w:ascii="宋体" w:hAnsi="宋体" w:cs="宋体"/>
          <w:color w:val="auto"/>
          <w:highlight w:val="none"/>
        </w:rPr>
      </w:pPr>
      <w:r>
        <w:rPr>
          <w:rFonts w:hint="eastAsia" w:ascii="宋体" w:hAnsi="宋体" w:cs="宋体"/>
          <w:color w:val="auto"/>
          <w:highlight w:val="none"/>
        </w:rPr>
        <w:t>3.点击“可融资项目/合同”，再点击申请贷款:</w:t>
      </w:r>
    </w:p>
    <w:p>
      <w:pPr>
        <w:spacing w:line="360" w:lineRule="auto"/>
        <w:rPr>
          <w:rFonts w:ascii="宋体" w:hAnsi="宋体"/>
          <w:color w:val="auto"/>
          <w:sz w:val="24"/>
          <w:highlight w:val="none"/>
        </w:rPr>
      </w:pPr>
      <w:bookmarkStart w:id="73" w:name="bookmark19"/>
      <w:bookmarkEnd w:id="73"/>
      <w:r>
        <w:rPr>
          <w:color w:val="auto"/>
          <w:highlight w:val="none"/>
        </w:rPr>
        <w:drawing>
          <wp:inline distT="0" distB="0" distL="114300" distR="114300">
            <wp:extent cx="5758815" cy="3271520"/>
            <wp:effectExtent l="0" t="0" r="13335" b="508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758815" cy="3271520"/>
                    </a:xfrm>
                    <a:prstGeom prst="rect">
                      <a:avLst/>
                    </a:prstGeom>
                    <a:noFill/>
                    <a:ln>
                      <a:noFill/>
                    </a:ln>
                  </pic:spPr>
                </pic:pic>
              </a:graphicData>
            </a:graphic>
          </wp:inline>
        </w:drawing>
      </w:r>
    </w:p>
    <w:p>
      <w:pPr>
        <w:spacing w:line="360" w:lineRule="auto"/>
        <w:rPr>
          <w:rFonts w:ascii="宋体" w:hAnsi="宋体"/>
          <w:color w:val="auto"/>
          <w:sz w:val="24"/>
          <w:highlight w:val="none"/>
        </w:rPr>
      </w:pPr>
      <w:bookmarkStart w:id="74" w:name="bookmark20"/>
      <w:bookmarkEnd w:id="74"/>
    </w:p>
    <w:p>
      <w:pPr>
        <w:spacing w:line="360" w:lineRule="auto"/>
        <w:rPr>
          <w:rFonts w:ascii="宋体" w:hAnsi="宋体"/>
          <w:color w:val="auto"/>
          <w:sz w:val="24"/>
          <w:highlight w:val="none"/>
        </w:rPr>
      </w:pPr>
      <w:r>
        <w:rPr>
          <w:rFonts w:hint="eastAsia" w:ascii="宋体" w:hAnsi="宋体"/>
          <w:color w:val="auto"/>
          <w:sz w:val="24"/>
          <w:highlight w:val="none"/>
        </w:rPr>
        <w:t>4.勾选融资意向书：</w:t>
      </w:r>
    </w:p>
    <w:p>
      <w:pPr>
        <w:spacing w:line="360" w:lineRule="auto"/>
        <w:ind w:firstLine="420" w:firstLineChars="200"/>
        <w:rPr>
          <w:rFonts w:ascii="宋体" w:hAnsi="宋体"/>
          <w:color w:val="auto"/>
          <w:sz w:val="24"/>
          <w:highlight w:val="none"/>
        </w:rPr>
      </w:pPr>
      <w:r>
        <w:rPr>
          <w:color w:val="auto"/>
          <w:highlight w:val="none"/>
        </w:rPr>
        <w:drawing>
          <wp:anchor distT="0" distB="0" distL="114300" distR="114300" simplePos="0" relativeHeight="251661312" behindDoc="0" locked="0" layoutInCell="1" allowOverlap="1">
            <wp:simplePos x="0" y="0"/>
            <wp:positionH relativeFrom="column">
              <wp:posOffset>64135</wp:posOffset>
            </wp:positionH>
            <wp:positionV relativeFrom="paragraph">
              <wp:posOffset>73660</wp:posOffset>
            </wp:positionV>
            <wp:extent cx="5755005" cy="3291840"/>
            <wp:effectExtent l="0" t="0" r="17145" b="3810"/>
            <wp:wrapTopAndBottom/>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9"/>
                    <a:stretch>
                      <a:fillRect/>
                    </a:stretch>
                  </pic:blipFill>
                  <pic:spPr>
                    <a:xfrm>
                      <a:off x="0" y="0"/>
                      <a:ext cx="5755005" cy="3291840"/>
                    </a:xfrm>
                    <a:prstGeom prst="rect">
                      <a:avLst/>
                    </a:prstGeom>
                    <a:noFill/>
                    <a:ln>
                      <a:noFill/>
                    </a:ln>
                  </pic:spPr>
                </pic:pic>
              </a:graphicData>
            </a:graphic>
          </wp:anchor>
        </w:drawing>
      </w:r>
    </w:p>
    <w:p>
      <w:pPr>
        <w:spacing w:line="360" w:lineRule="auto"/>
        <w:rPr>
          <w:rFonts w:ascii="宋体" w:hAnsi="宋体"/>
          <w:color w:val="auto"/>
          <w:sz w:val="24"/>
          <w:highlight w:val="none"/>
        </w:rPr>
      </w:pPr>
      <w:r>
        <w:rPr>
          <w:rFonts w:hint="eastAsia" w:ascii="宋体" w:hAnsi="宋体"/>
          <w:color w:val="auto"/>
          <w:sz w:val="24"/>
          <w:highlight w:val="none"/>
        </w:rPr>
        <w:t>5.页面下拉，输入贷款金额、预计用款周期、可接受利率、贷款资金</w:t>
      </w:r>
    </w:p>
    <w:p>
      <w:pPr>
        <w:spacing w:line="360" w:lineRule="auto"/>
        <w:rPr>
          <w:rFonts w:ascii="宋体" w:hAnsi="宋体"/>
          <w:color w:val="auto"/>
          <w:sz w:val="24"/>
          <w:highlight w:val="none"/>
        </w:rPr>
      </w:pPr>
      <w:r>
        <w:rPr>
          <w:color w:val="auto"/>
          <w:highlight w:val="none"/>
        </w:rPr>
        <w:drawing>
          <wp:inline distT="0" distB="0" distL="114300" distR="114300">
            <wp:extent cx="5758180" cy="3240405"/>
            <wp:effectExtent l="0" t="0" r="13970" b="1714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0"/>
                    <a:stretch>
                      <a:fillRect/>
                    </a:stretch>
                  </pic:blipFill>
                  <pic:spPr>
                    <a:xfrm>
                      <a:off x="0" y="0"/>
                      <a:ext cx="5758180" cy="3240405"/>
                    </a:xfrm>
                    <a:prstGeom prst="rect">
                      <a:avLst/>
                    </a:prstGeom>
                    <a:noFill/>
                    <a:ln>
                      <a:noFill/>
                    </a:ln>
                  </pic:spPr>
                </pic:pic>
              </a:graphicData>
            </a:graphic>
          </wp:inline>
        </w:drawing>
      </w: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r>
        <w:rPr>
          <w:rFonts w:hint="eastAsia" w:ascii="宋体" w:hAnsi="宋体"/>
          <w:color w:val="auto"/>
          <w:sz w:val="24"/>
          <w:highlight w:val="none"/>
        </w:rPr>
        <w:t>6.在意向银行列点击提交贷款意向并确定：</w:t>
      </w:r>
    </w:p>
    <w:p>
      <w:pPr>
        <w:spacing w:line="360" w:lineRule="auto"/>
        <w:ind w:firstLine="420" w:firstLineChars="200"/>
        <w:rPr>
          <w:rFonts w:ascii="宋体" w:hAnsi="宋体"/>
          <w:color w:val="auto"/>
          <w:sz w:val="24"/>
          <w:highlight w:val="none"/>
        </w:rPr>
      </w:pPr>
      <w:r>
        <w:rPr>
          <w:color w:val="auto"/>
          <w:highlight w:val="none"/>
        </w:rPr>
        <w:drawing>
          <wp:anchor distT="0" distB="0" distL="114300" distR="114300" simplePos="0" relativeHeight="251662336" behindDoc="0" locked="0" layoutInCell="1" allowOverlap="1">
            <wp:simplePos x="0" y="0"/>
            <wp:positionH relativeFrom="column">
              <wp:posOffset>40640</wp:posOffset>
            </wp:positionH>
            <wp:positionV relativeFrom="paragraph">
              <wp:posOffset>156845</wp:posOffset>
            </wp:positionV>
            <wp:extent cx="5753735" cy="3220720"/>
            <wp:effectExtent l="0" t="0" r="18415" b="17780"/>
            <wp:wrapTopAndBottom/>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1"/>
                    <a:stretch>
                      <a:fillRect/>
                    </a:stretch>
                  </pic:blipFill>
                  <pic:spPr>
                    <a:xfrm>
                      <a:off x="0" y="0"/>
                      <a:ext cx="5753735" cy="3220720"/>
                    </a:xfrm>
                    <a:prstGeom prst="rect">
                      <a:avLst/>
                    </a:prstGeom>
                    <a:noFill/>
                    <a:ln>
                      <a:noFill/>
                    </a:ln>
                  </pic:spPr>
                </pic:pic>
              </a:graphicData>
            </a:graphic>
          </wp:anchor>
        </w:drawing>
      </w:r>
    </w:p>
    <w:p>
      <w:pPr>
        <w:spacing w:line="360" w:lineRule="auto"/>
        <w:rPr>
          <w:rFonts w:ascii="宋体" w:hAnsi="宋体"/>
          <w:color w:val="auto"/>
          <w:sz w:val="24"/>
          <w:highlight w:val="none"/>
        </w:rPr>
      </w:pPr>
      <w:r>
        <w:rPr>
          <w:rFonts w:hint="eastAsia" w:ascii="宋体" w:hAnsi="宋体"/>
          <w:color w:val="auto"/>
          <w:sz w:val="24"/>
          <w:highlight w:val="none"/>
        </w:rPr>
        <w:t>7.在申请进度栏即可查看本笔融资进度：</w:t>
      </w:r>
    </w:p>
    <w:p>
      <w:pPr>
        <w:spacing w:line="360" w:lineRule="auto"/>
        <w:rPr>
          <w:rFonts w:ascii="宋体" w:hAnsi="宋体"/>
          <w:color w:val="auto"/>
          <w:sz w:val="24"/>
          <w:highlight w:val="none"/>
        </w:rPr>
      </w:pPr>
      <w:r>
        <w:rPr>
          <w:color w:val="auto"/>
          <w:highlight w:val="none"/>
        </w:rPr>
        <w:drawing>
          <wp:inline distT="0" distB="0" distL="114300" distR="114300">
            <wp:extent cx="5752465" cy="3240405"/>
            <wp:effectExtent l="0" t="0" r="635" b="1714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2"/>
                    <a:stretch>
                      <a:fillRect/>
                    </a:stretch>
                  </pic:blipFill>
                  <pic:spPr>
                    <a:xfrm>
                      <a:off x="0" y="0"/>
                      <a:ext cx="5752465" cy="3240405"/>
                    </a:xfrm>
                    <a:prstGeom prst="rect">
                      <a:avLst/>
                    </a:prstGeom>
                    <a:noFill/>
                    <a:ln>
                      <a:noFill/>
                    </a:ln>
                  </pic:spPr>
                </pic:pic>
              </a:graphicData>
            </a:graphic>
          </wp:inline>
        </w:drawing>
      </w:r>
    </w:p>
    <w:p>
      <w:pPr>
        <w:rPr>
          <w:rFonts w:ascii="宋体" w:hAnsi="宋体"/>
          <w:color w:val="auto"/>
          <w:sz w:val="24"/>
          <w:highlight w:val="none"/>
        </w:rPr>
      </w:pPr>
      <w:r>
        <w:rPr>
          <w:rFonts w:hint="eastAsia" w:ascii="宋体" w:hAnsi="宋体"/>
          <w:color w:val="auto"/>
          <w:sz w:val="24"/>
          <w:highlight w:val="none"/>
        </w:rPr>
        <w:br w:type="page"/>
      </w:r>
    </w:p>
    <w:p>
      <w:pPr>
        <w:spacing w:line="360" w:lineRule="auto"/>
        <w:rPr>
          <w:rFonts w:ascii="宋体" w:hAnsi="宋体"/>
          <w:b/>
          <w:bCs/>
          <w:color w:val="auto"/>
          <w:sz w:val="24"/>
          <w:highlight w:val="none"/>
        </w:rPr>
      </w:pPr>
      <w:r>
        <w:rPr>
          <w:rFonts w:hint="eastAsia" w:ascii="宋体" w:hAnsi="宋体"/>
          <w:b/>
          <w:bCs/>
          <w:color w:val="auto"/>
          <w:sz w:val="24"/>
          <w:highlight w:val="none"/>
        </w:rPr>
        <w:t>附件三：</w:t>
      </w:r>
    </w:p>
    <w:p>
      <w:pPr>
        <w:spacing w:line="360" w:lineRule="auto"/>
        <w:jc w:val="center"/>
        <w:rPr>
          <w:rFonts w:ascii="宋体" w:hAnsi="宋体"/>
          <w:color w:val="auto"/>
          <w:szCs w:val="21"/>
          <w:highlight w:val="none"/>
        </w:rPr>
      </w:pPr>
      <w:r>
        <w:rPr>
          <w:rFonts w:hint="eastAsia" w:ascii="宋体" w:hAnsi="宋体" w:cs="楷体"/>
          <w:color w:val="auto"/>
          <w:szCs w:val="21"/>
          <w:highlight w:val="none"/>
        </w:rPr>
        <w:t>长安区开展政采贷业务银行联系方式</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1"/>
        <w:gridCol w:w="3471"/>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71"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序号</w:t>
            </w:r>
          </w:p>
        </w:tc>
        <w:tc>
          <w:tcPr>
            <w:tcW w:w="3471"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银行名称</w:t>
            </w:r>
          </w:p>
        </w:tc>
        <w:tc>
          <w:tcPr>
            <w:tcW w:w="2322"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联系人</w:t>
            </w:r>
          </w:p>
        </w:tc>
        <w:tc>
          <w:tcPr>
            <w:tcW w:w="2322"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71"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1</w:t>
            </w:r>
          </w:p>
        </w:tc>
        <w:tc>
          <w:tcPr>
            <w:tcW w:w="3471"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中信银行</w:t>
            </w:r>
          </w:p>
        </w:tc>
        <w:tc>
          <w:tcPr>
            <w:tcW w:w="2322"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张天宇</w:t>
            </w:r>
          </w:p>
        </w:tc>
        <w:tc>
          <w:tcPr>
            <w:tcW w:w="2322"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15102968497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71"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2</w:t>
            </w:r>
          </w:p>
        </w:tc>
        <w:tc>
          <w:tcPr>
            <w:tcW w:w="3471"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中国银行</w:t>
            </w:r>
          </w:p>
        </w:tc>
        <w:tc>
          <w:tcPr>
            <w:tcW w:w="2322"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王羡</w:t>
            </w:r>
          </w:p>
        </w:tc>
        <w:tc>
          <w:tcPr>
            <w:tcW w:w="2322"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029-81563158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71"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3</w:t>
            </w:r>
          </w:p>
        </w:tc>
        <w:tc>
          <w:tcPr>
            <w:tcW w:w="3471"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西安市长安区农村信用合作联社</w:t>
            </w:r>
          </w:p>
        </w:tc>
        <w:tc>
          <w:tcPr>
            <w:tcW w:w="2322"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高锋</w:t>
            </w:r>
          </w:p>
        </w:tc>
        <w:tc>
          <w:tcPr>
            <w:tcW w:w="2322"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029-89230551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71" w:type="dxa"/>
            <w:vMerge w:val="restart"/>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4</w:t>
            </w:r>
          </w:p>
        </w:tc>
        <w:tc>
          <w:tcPr>
            <w:tcW w:w="3471" w:type="dxa"/>
            <w:vMerge w:val="restart"/>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浦发银行</w:t>
            </w:r>
          </w:p>
        </w:tc>
        <w:tc>
          <w:tcPr>
            <w:tcW w:w="2322"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雷超</w:t>
            </w:r>
          </w:p>
        </w:tc>
        <w:tc>
          <w:tcPr>
            <w:tcW w:w="2322"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13992895375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71" w:type="dxa"/>
            <w:vMerge w:val="continue"/>
            <w:vAlign w:val="center"/>
          </w:tcPr>
          <w:p>
            <w:pPr>
              <w:spacing w:line="360" w:lineRule="auto"/>
              <w:jc w:val="center"/>
              <w:rPr>
                <w:rFonts w:ascii="宋体" w:hAnsi="宋体"/>
                <w:color w:val="auto"/>
                <w:szCs w:val="21"/>
                <w:highlight w:val="none"/>
              </w:rPr>
            </w:pPr>
          </w:p>
        </w:tc>
        <w:tc>
          <w:tcPr>
            <w:tcW w:w="3471" w:type="dxa"/>
            <w:vMerge w:val="continue"/>
            <w:vAlign w:val="center"/>
          </w:tcPr>
          <w:p>
            <w:pPr>
              <w:spacing w:line="360" w:lineRule="auto"/>
              <w:jc w:val="center"/>
              <w:rPr>
                <w:rFonts w:ascii="宋体" w:hAnsi="宋体"/>
                <w:color w:val="auto"/>
                <w:szCs w:val="21"/>
                <w:highlight w:val="none"/>
              </w:rPr>
            </w:pPr>
          </w:p>
        </w:tc>
        <w:tc>
          <w:tcPr>
            <w:tcW w:w="2322"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李昊</w:t>
            </w:r>
          </w:p>
        </w:tc>
        <w:tc>
          <w:tcPr>
            <w:tcW w:w="2322"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15209277417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71" w:type="dxa"/>
            <w:vAlign w:val="center"/>
          </w:tcPr>
          <w:p>
            <w:pPr>
              <w:spacing w:line="360" w:lineRule="auto"/>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5</w:t>
            </w:r>
          </w:p>
        </w:tc>
        <w:tc>
          <w:tcPr>
            <w:tcW w:w="3471"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北京银行</w:t>
            </w:r>
          </w:p>
        </w:tc>
        <w:tc>
          <w:tcPr>
            <w:tcW w:w="2322"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陈明</w:t>
            </w:r>
          </w:p>
        </w:tc>
        <w:tc>
          <w:tcPr>
            <w:tcW w:w="2322"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18149209660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71" w:type="dxa"/>
            <w:vAlign w:val="center"/>
          </w:tcPr>
          <w:p>
            <w:pPr>
              <w:spacing w:line="360" w:lineRule="auto"/>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6</w:t>
            </w:r>
          </w:p>
        </w:tc>
        <w:tc>
          <w:tcPr>
            <w:tcW w:w="3471"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兴业银行</w:t>
            </w:r>
          </w:p>
        </w:tc>
        <w:tc>
          <w:tcPr>
            <w:tcW w:w="2322"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孙健</w:t>
            </w:r>
          </w:p>
        </w:tc>
        <w:tc>
          <w:tcPr>
            <w:tcW w:w="2322"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18591051627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71" w:type="dxa"/>
            <w:vAlign w:val="center"/>
          </w:tcPr>
          <w:p>
            <w:pPr>
              <w:spacing w:line="360" w:lineRule="auto"/>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7</w:t>
            </w:r>
          </w:p>
        </w:tc>
        <w:tc>
          <w:tcPr>
            <w:tcW w:w="3471"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中国建设银行</w:t>
            </w:r>
          </w:p>
        </w:tc>
        <w:tc>
          <w:tcPr>
            <w:tcW w:w="2322"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孙振荣</w:t>
            </w:r>
          </w:p>
        </w:tc>
        <w:tc>
          <w:tcPr>
            <w:tcW w:w="2322"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18792546729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71" w:type="dxa"/>
            <w:vAlign w:val="center"/>
          </w:tcPr>
          <w:p>
            <w:pPr>
              <w:spacing w:line="360" w:lineRule="auto"/>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8</w:t>
            </w:r>
          </w:p>
        </w:tc>
        <w:tc>
          <w:tcPr>
            <w:tcW w:w="3471"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中国工商银行</w:t>
            </w:r>
          </w:p>
        </w:tc>
        <w:tc>
          <w:tcPr>
            <w:tcW w:w="2322"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李碧莹</w:t>
            </w:r>
          </w:p>
        </w:tc>
        <w:tc>
          <w:tcPr>
            <w:tcW w:w="2322"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13809159860</w:t>
            </w:r>
          </w:p>
        </w:tc>
      </w:tr>
    </w:tbl>
    <w:p>
      <w:pPr>
        <w:spacing w:line="360" w:lineRule="auto"/>
        <w:rPr>
          <w:rFonts w:asciiTheme="minorEastAsia" w:hAnsiTheme="minorEastAsia" w:eastAsiaTheme="minorEastAsia" w:cstheme="minorEastAsia"/>
          <w:bCs/>
          <w:color w:val="auto"/>
          <w:kern w:val="0"/>
          <w:szCs w:val="21"/>
          <w:highlight w:val="none"/>
        </w:rPr>
      </w:pPr>
      <w:r>
        <w:rPr>
          <w:rFonts w:hint="eastAsia" w:asciiTheme="minorEastAsia" w:hAnsiTheme="minorEastAsia" w:eastAsiaTheme="minorEastAsia" w:cstheme="minorEastAsia"/>
          <w:bCs/>
          <w:color w:val="auto"/>
          <w:kern w:val="0"/>
          <w:szCs w:val="21"/>
          <w:highlight w:val="none"/>
        </w:rPr>
        <w:br w:type="page"/>
      </w:r>
    </w:p>
    <w:p>
      <w:pPr>
        <w:spacing w:after="120" w:afterLines="50"/>
        <w:jc w:val="center"/>
        <w:rPr>
          <w:rFonts w:ascii="宋体" w:hAnsi="宋体" w:cs="宋体"/>
          <w:b/>
          <w:color w:val="auto"/>
          <w:kern w:val="0"/>
          <w:szCs w:val="21"/>
          <w:highlight w:val="none"/>
        </w:rPr>
      </w:pPr>
      <w:r>
        <w:rPr>
          <w:rFonts w:hint="eastAsia" w:ascii="宋体" w:hAnsi="宋体" w:cs="宋体"/>
          <w:b/>
          <w:color w:val="auto"/>
          <w:kern w:val="0"/>
          <w:sz w:val="32"/>
          <w:szCs w:val="32"/>
          <w:highlight w:val="none"/>
        </w:rPr>
        <w:t>磋商须知</w:t>
      </w:r>
    </w:p>
    <w:p>
      <w:pPr>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一.总  则</w:t>
      </w:r>
    </w:p>
    <w:p>
      <w:pPr>
        <w:spacing w:line="500" w:lineRule="exact"/>
        <w:rPr>
          <w:rFonts w:ascii="宋体" w:hAnsi="宋体" w:cs="宋体"/>
          <w:b/>
          <w:color w:val="auto"/>
          <w:kern w:val="0"/>
          <w:szCs w:val="21"/>
          <w:highlight w:val="none"/>
        </w:rPr>
      </w:pPr>
      <w:r>
        <w:rPr>
          <w:rFonts w:hint="eastAsia" w:ascii="宋体" w:hAnsi="宋体" w:cs="宋体"/>
          <w:b/>
          <w:color w:val="auto"/>
          <w:kern w:val="0"/>
          <w:szCs w:val="21"/>
          <w:highlight w:val="none"/>
        </w:rPr>
        <w:t>1.采购人和资金来源</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1.1采购人名称、地址见前附表。</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1.2本次磋商采购所签订合同将使用财政性资金支付，资金已落实到位。</w:t>
      </w:r>
    </w:p>
    <w:p>
      <w:pPr>
        <w:spacing w:line="500" w:lineRule="exact"/>
        <w:rPr>
          <w:rFonts w:ascii="宋体" w:hAnsi="宋体" w:cs="宋体"/>
          <w:b/>
          <w:color w:val="auto"/>
          <w:kern w:val="0"/>
          <w:szCs w:val="21"/>
          <w:highlight w:val="none"/>
        </w:rPr>
      </w:pPr>
      <w:r>
        <w:rPr>
          <w:rFonts w:hint="eastAsia" w:ascii="宋体" w:hAnsi="宋体" w:cs="宋体"/>
          <w:b/>
          <w:color w:val="auto"/>
          <w:kern w:val="0"/>
          <w:szCs w:val="21"/>
          <w:highlight w:val="none"/>
        </w:rPr>
        <w:t>2.采购代理机构及合格的供应商</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2.1 采购代理机构</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组织本次磋商的采购代理机构为西北（陕西）国际招标有限公司。</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2.2合格的供应商：</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2.2.1具备下列条件，方为合格的供应商</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 1）具有独立承担民事责任的能力；</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 2）具有良好的商业信誉和健全的财务会计制度；</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 3）具有履行合同所必需的设备和专业技术能力；</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 4）有依法缴纳税收和社会保障资金的良好记录；</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 5）参加政府采购活动前三年内，在经营活动中没有重大违法记录；</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 6）中华人民共和国法律、行政法规规定的其他条件（见磋商须知前附表）；</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 7）根据本次采购项目的特殊要求，规定的供应商特殊条件（见磋商须知前附表）。</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2.2.2参加本次磋商的供应商不得直接或间接地与采购单位（包括西北（陕西）国际招标有限公司、采购人及用户）有任何关联，亦不得是采购单位的附属机构。如果供应商在磋商中隐瞒了上述关系，其磋商响应文件按无效处理。</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2.2.3单位负责人为同一人或者存在直接控股、管理关系的不同供应商，不得参加本项目同一合同项下的磋商。如果供应商在磋商中隐瞒了上述关系，其磋商响应文件按无效处理。</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2.2.4为本采购项目提供整体设计、规范编制或者项目管理、监理、检测等服务的供应商，不得再参加本采购项目的磋商报价。如果供应商在磋商中隐瞒了上述事实，其磋商响应文件按无效处理。</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2.2.5如果在磋商文件中接受联合体报价（见磋商须知前附表），则两个以上供应商可以组成一个磋商联合体，以一个供应商的身份磋商报价。以联合体形式参加磋商报价的，联合体各方均应当符合政府采购法第二十二条第一款规定的条件。采购人根据采购项目的特殊要求规定供应商特定条件的，联合体各方中至少应当有一方符合采购人规定的特定条件。</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联合体各方之间应当签订共同磋商报价协议，明确约定联合体各方承担的工作和相应的责任，并将共同磋商报价协议附在磋商响应文件中一并提交。联合体各方签订共同磋商报价协议后，不得再以自己名义单独在同一项目中进行磋商报价，也不得组成新的联合体参加同一项目磋商报价。</w:t>
      </w:r>
    </w:p>
    <w:p>
      <w:pPr>
        <w:wordWrap w:val="0"/>
        <w:topLinePunct/>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2.2.6供应商必须在采购代理机构获取磋商文件，方可参加磋商报价。</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2.2.7磋商报价费用自理。不论磋商报价的结果如何，供应商均应自行承担所有与参加磋商报价有关的费用。</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2.2.8供应商信用记录查询及使用</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信用中国”网站（www.creditchina.gov.cn）和“中国政府采购网”（ccgp.gov.cn）为供应商信用信息查询渠道如果供应商被查实在磋商截止时间存在列入企业经营异常名录、失信被执行人、重大税收违法案件当事人名单（重大税收违法失信主体）、政府采购严重违法失信行为记录名单的情形，其响应为无效。采购代理机构将打印查询记录作为证据留存。</w:t>
      </w:r>
    </w:p>
    <w:p>
      <w:pPr>
        <w:spacing w:line="500" w:lineRule="exact"/>
        <w:rPr>
          <w:rFonts w:ascii="宋体" w:hAnsi="宋体" w:cs="宋体"/>
          <w:b/>
          <w:color w:val="auto"/>
          <w:kern w:val="0"/>
          <w:szCs w:val="21"/>
          <w:highlight w:val="none"/>
        </w:rPr>
      </w:pPr>
      <w:r>
        <w:rPr>
          <w:rFonts w:hint="eastAsia" w:ascii="宋体" w:hAnsi="宋体" w:cs="宋体"/>
          <w:b/>
          <w:color w:val="auto"/>
          <w:kern w:val="0"/>
          <w:szCs w:val="21"/>
          <w:highlight w:val="none"/>
        </w:rPr>
        <w:t>3.提供服务的合格性和合法性</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3.1供应商提供的服务应满足磋商文件的要求，并应符合国家法律法规、行业管理部门所要求的其他强制性标准。</w:t>
      </w:r>
    </w:p>
    <w:p>
      <w:pPr>
        <w:spacing w:line="500" w:lineRule="exact"/>
        <w:rPr>
          <w:rFonts w:ascii="宋体" w:hAnsi="宋体" w:cs="宋体"/>
          <w:b/>
          <w:color w:val="auto"/>
          <w:kern w:val="0"/>
          <w:szCs w:val="21"/>
          <w:highlight w:val="none"/>
        </w:rPr>
      </w:pPr>
      <w:r>
        <w:rPr>
          <w:rFonts w:hint="eastAsia" w:ascii="宋体" w:hAnsi="宋体" w:cs="宋体"/>
          <w:b/>
          <w:color w:val="auto"/>
          <w:kern w:val="0"/>
          <w:szCs w:val="21"/>
          <w:highlight w:val="none"/>
        </w:rPr>
        <w:t>4.磋商响应文件内容的真实性</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4.1供应商应保证其磋商响应文件中所提供的所有有关磋商报价的资料、信息是真实的，并且来源于合法的渠道。因磋商响应文件中所提供的有关磋商报价的资料、信息不真实，或者其来源不合法而导致的所有法律责任，由供应商自行承担。</w:t>
      </w:r>
    </w:p>
    <w:p>
      <w:pPr>
        <w:spacing w:line="500" w:lineRule="exact"/>
        <w:rPr>
          <w:rFonts w:ascii="宋体" w:hAnsi="宋体" w:cs="宋体"/>
          <w:b/>
          <w:color w:val="auto"/>
          <w:kern w:val="0"/>
          <w:szCs w:val="21"/>
          <w:highlight w:val="none"/>
        </w:rPr>
      </w:pPr>
      <w:r>
        <w:rPr>
          <w:rFonts w:hint="eastAsia" w:ascii="宋体" w:hAnsi="宋体" w:cs="宋体"/>
          <w:b/>
          <w:color w:val="auto"/>
          <w:kern w:val="0"/>
          <w:szCs w:val="21"/>
          <w:highlight w:val="none"/>
        </w:rPr>
        <w:t>5.磋商过程的监督和管理</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5.1同级人民政府财政部门及有关部门依法履行对磋商过程的监督管理职责。</w:t>
      </w:r>
    </w:p>
    <w:p>
      <w:pPr>
        <w:spacing w:line="500" w:lineRule="exact"/>
        <w:rPr>
          <w:rFonts w:ascii="宋体" w:hAnsi="宋体" w:cs="宋体"/>
          <w:color w:val="auto"/>
          <w:kern w:val="0"/>
          <w:szCs w:val="21"/>
          <w:highlight w:val="none"/>
        </w:rPr>
      </w:pPr>
    </w:p>
    <w:p>
      <w:pPr>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二.磋商文件</w:t>
      </w:r>
    </w:p>
    <w:p>
      <w:pPr>
        <w:spacing w:line="500" w:lineRule="exact"/>
        <w:rPr>
          <w:rFonts w:ascii="宋体" w:hAnsi="宋体" w:cs="宋体"/>
          <w:b/>
          <w:color w:val="auto"/>
          <w:kern w:val="0"/>
          <w:szCs w:val="21"/>
          <w:highlight w:val="none"/>
        </w:rPr>
      </w:pPr>
      <w:r>
        <w:rPr>
          <w:rFonts w:hint="eastAsia" w:ascii="宋体" w:hAnsi="宋体" w:cs="宋体"/>
          <w:b/>
          <w:color w:val="auto"/>
          <w:kern w:val="0"/>
          <w:szCs w:val="21"/>
          <w:highlight w:val="none"/>
        </w:rPr>
        <w:t>6.磋商文件构成</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6.1 磋商文件规定了要求提供的磋商响应内容。磋商程序和合同条件在磋商文件中均有说明。磋商文件共六章，内容如下：</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第一章 磋商邀请书</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第二章 磋商须知及前附表</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第三章 合同条款及格式</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第四章 磋商响应文件格式</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第五章 采购内容及技术规范</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第六章 评审方法</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6.2供应商应认真阅读磋商文件中所有的事项、格式、条款和规范等要求。如果供应商没有按照磋商文件要求提交全部资料，或者磋商响应文件没有对磋商文件在各方面都做出实质性响应，由此带来的不利于供应商的评审结果，其风险由供应商自行承担。</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6.3本磋商文件的解释权归西北（陕西）国际招标有限公司。</w:t>
      </w:r>
    </w:p>
    <w:p>
      <w:pPr>
        <w:spacing w:line="500" w:lineRule="exact"/>
        <w:rPr>
          <w:rFonts w:ascii="宋体" w:hAnsi="宋体" w:cs="宋体"/>
          <w:b/>
          <w:color w:val="auto"/>
          <w:kern w:val="0"/>
          <w:szCs w:val="21"/>
          <w:highlight w:val="none"/>
        </w:rPr>
      </w:pPr>
      <w:r>
        <w:rPr>
          <w:rFonts w:hint="eastAsia" w:ascii="宋体" w:hAnsi="宋体" w:cs="宋体"/>
          <w:b/>
          <w:color w:val="auto"/>
          <w:kern w:val="0"/>
          <w:szCs w:val="21"/>
          <w:highlight w:val="none"/>
        </w:rPr>
        <w:t>7.磋商文件的澄清修改和质疑答复</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7.1磋商采购单位如果对已发出的磋商文件进行必要的澄清或者修改，将在磋商文件要求提交首次磋商响应文件截止时间5日前</w:t>
      </w:r>
      <w:r>
        <w:rPr>
          <w:rFonts w:hint="eastAsia" w:ascii="宋体" w:hAnsi="宋体" w:cs="宋体"/>
          <w:color w:val="auto"/>
          <w:szCs w:val="21"/>
          <w:highlight w:val="none"/>
        </w:rPr>
        <w:t>进行澄清或修改</w:t>
      </w:r>
      <w:r>
        <w:rPr>
          <w:rFonts w:hint="eastAsia" w:ascii="宋体" w:hAnsi="宋体" w:cs="宋体"/>
          <w:color w:val="auto"/>
          <w:kern w:val="0"/>
          <w:szCs w:val="21"/>
          <w:highlight w:val="none"/>
        </w:rPr>
        <w:t>，不足5日的，将顺延提交首次磋商响应文件截止时间。该澄清或者修改的内容作为磋商文件的组成部分。</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7.2已经依法获取磋商文件的供应商对磋商文件有质疑的，应当依法以书面形式向采购代理机构提出，在此之后提出的质疑为无效质疑，采购代理机构不予受理。</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7.3对于在规定时间内收到的供应商依法提出的质疑，采购代理机构将按质疑程序及时作出答复，若对磋商文件做出实质性变动，则按照相关规定延长磋商报价截止时间。</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7.4供应商提出质疑应当有明确的请求和必要的证明材料。</w:t>
      </w:r>
    </w:p>
    <w:p>
      <w:pPr>
        <w:spacing w:line="500" w:lineRule="exact"/>
        <w:rPr>
          <w:rFonts w:ascii="宋体" w:hAnsi="宋体" w:cs="宋体"/>
          <w:b/>
          <w:color w:val="auto"/>
          <w:kern w:val="0"/>
          <w:szCs w:val="21"/>
          <w:highlight w:val="none"/>
        </w:rPr>
      </w:pPr>
      <w:r>
        <w:rPr>
          <w:rFonts w:hint="eastAsia" w:ascii="宋体" w:hAnsi="宋体" w:cs="宋体"/>
          <w:b/>
          <w:color w:val="auto"/>
          <w:kern w:val="0"/>
          <w:szCs w:val="21"/>
          <w:highlight w:val="none"/>
        </w:rPr>
        <w:t>8.磋商响应截止时间和磋商时间的延长</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8.1采购代理机构可以视采购具体情况延长磋商截止时间和磋商时间，以书面形式通知所有合法获取磋商文件的供应商。</w:t>
      </w:r>
    </w:p>
    <w:p>
      <w:pPr>
        <w:spacing w:line="500" w:lineRule="exact"/>
        <w:jc w:val="center"/>
        <w:rPr>
          <w:rFonts w:ascii="宋体" w:hAnsi="宋体" w:cs="宋体"/>
          <w:b/>
          <w:color w:val="auto"/>
          <w:kern w:val="0"/>
          <w:szCs w:val="21"/>
          <w:highlight w:val="none"/>
        </w:rPr>
      </w:pPr>
    </w:p>
    <w:p>
      <w:pPr>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三.磋商响应文件的编制</w:t>
      </w:r>
    </w:p>
    <w:p>
      <w:pPr>
        <w:spacing w:line="500" w:lineRule="exact"/>
        <w:rPr>
          <w:rFonts w:ascii="宋体" w:hAnsi="宋体" w:cs="宋体"/>
          <w:b/>
          <w:color w:val="auto"/>
          <w:kern w:val="0"/>
          <w:szCs w:val="21"/>
          <w:highlight w:val="none"/>
        </w:rPr>
      </w:pPr>
      <w:r>
        <w:rPr>
          <w:rFonts w:hint="eastAsia" w:ascii="宋体" w:hAnsi="宋体" w:cs="宋体"/>
          <w:b/>
          <w:color w:val="auto"/>
          <w:kern w:val="0"/>
          <w:szCs w:val="21"/>
          <w:highlight w:val="none"/>
        </w:rPr>
        <w:t>9.磋商报价语言和磋商报价货币</w:t>
      </w:r>
    </w:p>
    <w:p>
      <w:pPr>
        <w:spacing w:line="500" w:lineRule="exact"/>
        <w:ind w:firstLine="420" w:firstLineChars="200"/>
        <w:rPr>
          <w:rFonts w:ascii="宋体" w:hAnsi="宋体" w:cs="宋体"/>
          <w:b/>
          <w:color w:val="auto"/>
          <w:kern w:val="0"/>
          <w:szCs w:val="21"/>
          <w:highlight w:val="none"/>
        </w:rPr>
      </w:pPr>
      <w:r>
        <w:rPr>
          <w:rFonts w:hint="eastAsia" w:ascii="宋体" w:hAnsi="宋体" w:cs="宋体"/>
          <w:color w:val="auto"/>
          <w:kern w:val="0"/>
          <w:szCs w:val="21"/>
          <w:highlight w:val="none"/>
        </w:rPr>
        <w:t>9.1供应商提交的磋商响应文件以及供应商与采购代理机构就有关磋商的所有来往函电均应使用中文。对不同文字文本磋商响应文件的解释发生异议的，以中文文本为准。</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9.2磋商报价应以人民币报价。任何包含非人民币报价的磋商响应文件均按无效处理。</w:t>
      </w:r>
    </w:p>
    <w:p>
      <w:pPr>
        <w:spacing w:line="500" w:lineRule="exact"/>
        <w:rPr>
          <w:rFonts w:ascii="宋体" w:hAnsi="宋体" w:cs="宋体"/>
          <w:b/>
          <w:color w:val="auto"/>
          <w:kern w:val="0"/>
          <w:szCs w:val="21"/>
          <w:highlight w:val="none"/>
        </w:rPr>
      </w:pPr>
      <w:r>
        <w:rPr>
          <w:rFonts w:hint="eastAsia" w:ascii="宋体" w:hAnsi="宋体" w:cs="宋体"/>
          <w:b/>
          <w:color w:val="auto"/>
          <w:kern w:val="0"/>
          <w:szCs w:val="21"/>
          <w:highlight w:val="none"/>
        </w:rPr>
        <w:t>10.磋商响应文件的构成</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10.1 供应商提交的磋商响应文件应包括下列部分的内容：</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10.1.1按照磋商须知的要求和磋商响应文件规定格式填写的磋商报价书，磋商报价表，按要求格式出具的法人代表授权书。</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10.1.2按照磋商文件的要求编制磋商响应文件，内容应包括磋商响应文件格式中的要求。</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10.1.3 按照磋商文件的要求提交的资质证明文件和其他证明文件。</w:t>
      </w:r>
    </w:p>
    <w:p>
      <w:pPr>
        <w:spacing w:line="500" w:lineRule="exact"/>
        <w:rPr>
          <w:rFonts w:ascii="宋体" w:hAnsi="宋体" w:cs="宋体"/>
          <w:b/>
          <w:color w:val="auto"/>
          <w:kern w:val="0"/>
          <w:szCs w:val="21"/>
          <w:highlight w:val="none"/>
        </w:rPr>
      </w:pPr>
      <w:r>
        <w:rPr>
          <w:rFonts w:hint="eastAsia" w:ascii="宋体" w:hAnsi="宋体" w:cs="宋体"/>
          <w:b/>
          <w:color w:val="auto"/>
          <w:kern w:val="0"/>
          <w:szCs w:val="21"/>
          <w:highlight w:val="none"/>
        </w:rPr>
        <w:t>11.磋商响应文件格式</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11.1 供应商应按照磋商文件中“磋商响应文件格式”所提供的格式和要求制作磋商响应文件，明确表达磋商响应意愿，详细说明磋商响应方案和报价。</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11.2 供应商应完整地提供磋商文件要求的所有数据和资料。</w:t>
      </w:r>
    </w:p>
    <w:p>
      <w:pPr>
        <w:spacing w:line="500" w:lineRule="exact"/>
        <w:rPr>
          <w:rFonts w:ascii="宋体" w:hAnsi="宋体" w:cs="宋体"/>
          <w:b/>
          <w:color w:val="auto"/>
          <w:kern w:val="0"/>
          <w:szCs w:val="21"/>
          <w:highlight w:val="none"/>
        </w:rPr>
      </w:pPr>
      <w:r>
        <w:rPr>
          <w:rFonts w:hint="eastAsia" w:ascii="宋体" w:hAnsi="宋体" w:cs="宋体"/>
          <w:b/>
          <w:color w:val="auto"/>
          <w:kern w:val="0"/>
          <w:szCs w:val="21"/>
          <w:highlight w:val="none"/>
        </w:rPr>
        <w:t>12.磋商报价</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12.1供应商应按照“磋商须知前附表”中规定的要求报价。</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12.2</w:t>
      </w:r>
      <w:r>
        <w:rPr>
          <w:rFonts w:hint="eastAsia" w:cs="宋体" w:asciiTheme="minorEastAsia" w:hAnsiTheme="minorEastAsia" w:eastAsiaTheme="minorEastAsia"/>
          <w:color w:val="auto"/>
          <w:szCs w:val="21"/>
          <w:highlight w:val="none"/>
        </w:rPr>
        <w:t xml:space="preserve"> </w:t>
      </w:r>
      <w:r>
        <w:rPr>
          <w:rFonts w:hint="eastAsia" w:cs="宋体" w:asciiTheme="minorEastAsia" w:hAnsiTheme="minorEastAsia" w:eastAsiaTheme="minorEastAsia"/>
          <w:color w:val="auto"/>
          <w:szCs w:val="21"/>
          <w:highlight w:val="none"/>
          <w:lang w:eastAsia="zh-CN"/>
        </w:rPr>
        <w:t>供应商</w:t>
      </w:r>
      <w:r>
        <w:rPr>
          <w:rFonts w:hint="eastAsia" w:cs="宋体" w:asciiTheme="minorEastAsia" w:hAnsiTheme="minorEastAsia" w:eastAsiaTheme="minorEastAsia"/>
          <w:color w:val="auto"/>
          <w:szCs w:val="21"/>
          <w:highlight w:val="none"/>
        </w:rPr>
        <w:t>应按</w:t>
      </w:r>
      <w:r>
        <w:rPr>
          <w:rFonts w:hint="eastAsia" w:cs="宋体" w:asciiTheme="minorEastAsia" w:hAnsiTheme="minorEastAsia" w:eastAsiaTheme="minorEastAsia"/>
          <w:color w:val="auto"/>
          <w:szCs w:val="21"/>
          <w:highlight w:val="none"/>
          <w:lang w:eastAsia="zh-CN"/>
        </w:rPr>
        <w:t>供应商</w:t>
      </w:r>
      <w:r>
        <w:rPr>
          <w:rFonts w:hint="eastAsia" w:cs="宋体" w:asciiTheme="minorEastAsia" w:hAnsiTheme="minorEastAsia" w:eastAsiaTheme="minorEastAsia"/>
          <w:color w:val="auto"/>
          <w:szCs w:val="21"/>
          <w:highlight w:val="none"/>
        </w:rPr>
        <w:t>须知前附表规定的计价方式和“工程量清单”的要求填写相应表格并填报价格及费用</w:t>
      </w:r>
      <w:r>
        <w:rPr>
          <w:rFonts w:hint="eastAsia" w:cs="宋体" w:asciiTheme="minorEastAsia" w:hAnsiTheme="minorEastAsia" w:eastAsiaTheme="minorEastAsia"/>
          <w:color w:val="auto"/>
          <w:szCs w:val="21"/>
          <w:highlight w:val="none"/>
          <w:lang w:eastAsia="zh-CN"/>
        </w:rPr>
        <w:t>。</w:t>
      </w:r>
      <w:r>
        <w:rPr>
          <w:rFonts w:hint="eastAsia" w:ascii="宋体" w:hAnsi="宋体" w:cs="宋体"/>
          <w:color w:val="auto"/>
          <w:kern w:val="0"/>
          <w:szCs w:val="21"/>
          <w:highlight w:val="none"/>
        </w:rPr>
        <w:t>供应商应充分考虑国家现行技术标准、规范和设计图纸要求，以及供应商企业自身情况，自主报价。报价应是采购范围内全部工作内容的价格体现。报价一经提交，则将被视为采购内容的全部费用已经包含在报价内，供应商没有填报的费用，采购人将不予支付，并认为此项费用已包括在报价的其他综合单价或合价中。供应商亦不得以任何理由在报价中重复计价。除合同另有约定外，对成交人提出的任何追加报价，采购人将不予考虑。</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12.3凡因供应商对竞争性磋商文件阅读疏忽或误解，或因对施工现场、施工环境、市场行情等了解不清而造成的后果和风险，由供应商负责；如供应商因此而提出索赔或工期延长，采购人将不予批准。供应商应结合现场实际情况，根据企业自身的管理水平和实力在保证不低于成本的基础上自主确定切合自身实力的竞争性报价。</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12.4当供应商承诺的工期少于要求的工期，或承诺的工程质量等级高于要求时，允许供应商将因此所增加的所有费用列入报价中，工程结算时，视同报价中已包含此项费用。竣工验收时必须达到所承诺的工期和质量标准，否则视同供应商违约。</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12.5供应商磋商报价两次均不得高于最高响应限价，最高响应限价详见磋商须知前附表。最高限价编制依据如下：</w:t>
      </w:r>
    </w:p>
    <w:p>
      <w:pPr>
        <w:spacing w:line="500" w:lineRule="exact"/>
        <w:ind w:firstLine="420" w:firstLineChars="200"/>
        <w:rPr>
          <w:rFonts w:hint="eastAsia" w:ascii="宋体" w:hAnsi="宋体" w:cs="宋体"/>
          <w:kern w:val="0"/>
          <w:szCs w:val="21"/>
          <w:highlight w:val="none"/>
        </w:rPr>
      </w:pPr>
      <w:r>
        <w:rPr>
          <w:rFonts w:hint="eastAsia" w:ascii="宋体" w:hAnsi="宋体" w:cs="宋体"/>
          <w:kern w:val="0"/>
          <w:szCs w:val="21"/>
          <w:highlight w:val="none"/>
        </w:rPr>
        <w:t>1</w:t>
      </w:r>
      <w:r>
        <w:rPr>
          <w:rFonts w:hint="eastAsia" w:ascii="宋体" w:hAnsi="宋体" w:cs="宋体"/>
          <w:kern w:val="0"/>
          <w:szCs w:val="21"/>
          <w:highlight w:val="none"/>
          <w:lang w:eastAsia="zh-CN"/>
        </w:rPr>
        <w:t>）</w:t>
      </w:r>
      <w:r>
        <w:rPr>
          <w:rFonts w:hint="eastAsia" w:ascii="宋体" w:hAnsi="宋体" w:cs="宋体"/>
          <w:kern w:val="0"/>
          <w:szCs w:val="21"/>
          <w:highlight w:val="none"/>
        </w:rPr>
        <w:t>《陕西省建设工程工程量清单计价规则》（2009）；</w:t>
      </w:r>
    </w:p>
    <w:p>
      <w:pPr>
        <w:spacing w:line="500" w:lineRule="exact"/>
        <w:ind w:firstLine="420" w:firstLineChars="200"/>
        <w:rPr>
          <w:rFonts w:hint="eastAsia" w:ascii="宋体" w:hAnsi="宋体" w:cs="宋体"/>
          <w:kern w:val="0"/>
          <w:szCs w:val="21"/>
          <w:highlight w:val="none"/>
        </w:rPr>
      </w:pPr>
      <w:r>
        <w:rPr>
          <w:rFonts w:hint="eastAsia" w:ascii="宋体" w:hAnsi="宋体" w:cs="宋体"/>
          <w:kern w:val="0"/>
          <w:szCs w:val="21"/>
          <w:highlight w:val="none"/>
        </w:rPr>
        <w:t>2</w:t>
      </w:r>
      <w:r>
        <w:rPr>
          <w:rFonts w:hint="eastAsia" w:ascii="宋体" w:hAnsi="宋体" w:cs="宋体"/>
          <w:kern w:val="0"/>
          <w:szCs w:val="21"/>
          <w:highlight w:val="none"/>
          <w:lang w:eastAsia="zh-CN"/>
        </w:rPr>
        <w:t>）</w:t>
      </w:r>
      <w:r>
        <w:rPr>
          <w:rFonts w:hint="eastAsia" w:ascii="宋体" w:hAnsi="宋体" w:cs="宋体"/>
          <w:kern w:val="0"/>
          <w:szCs w:val="21"/>
          <w:highlight w:val="none"/>
        </w:rPr>
        <w:t>《陕西省建筑工程、安装工程、装饰工程、市政工程、园林绿化工程消耗量定额》（2004）、（陕西省价目表2009）、《陕西省室内装修工程定额（2002）》、《陕西省建设工程工程量清单计价费率》及其配套计价文件；</w:t>
      </w:r>
    </w:p>
    <w:p>
      <w:pPr>
        <w:spacing w:line="500" w:lineRule="exact"/>
        <w:ind w:firstLine="420" w:firstLineChars="200"/>
        <w:rPr>
          <w:rFonts w:hint="eastAsia" w:ascii="宋体" w:hAnsi="宋体" w:cs="宋体"/>
          <w:kern w:val="0"/>
          <w:szCs w:val="21"/>
          <w:highlight w:val="none"/>
        </w:rPr>
      </w:pPr>
      <w:r>
        <w:rPr>
          <w:rFonts w:hint="eastAsia" w:ascii="宋体" w:hAnsi="宋体" w:cs="宋体"/>
          <w:kern w:val="0"/>
          <w:szCs w:val="21"/>
          <w:highlight w:val="none"/>
        </w:rPr>
        <w:t>3</w:t>
      </w:r>
      <w:r>
        <w:rPr>
          <w:rFonts w:hint="eastAsia" w:ascii="宋体" w:hAnsi="宋体" w:cs="宋体"/>
          <w:kern w:val="0"/>
          <w:szCs w:val="21"/>
          <w:highlight w:val="none"/>
          <w:lang w:eastAsia="zh-CN"/>
        </w:rPr>
        <w:t>）</w:t>
      </w:r>
      <w:r>
        <w:rPr>
          <w:rFonts w:hint="eastAsia" w:ascii="宋体" w:hAnsi="宋体" w:cs="宋体"/>
          <w:kern w:val="0"/>
          <w:szCs w:val="21"/>
          <w:highlight w:val="none"/>
        </w:rPr>
        <w:t>施工设计图、招标文件、工程量清单及答疑纪要；</w:t>
      </w:r>
    </w:p>
    <w:p>
      <w:pPr>
        <w:spacing w:line="500" w:lineRule="exact"/>
        <w:ind w:firstLine="420" w:firstLineChars="200"/>
        <w:rPr>
          <w:rFonts w:hint="eastAsia" w:ascii="宋体" w:hAnsi="宋体" w:cs="宋体"/>
          <w:kern w:val="0"/>
          <w:szCs w:val="21"/>
          <w:highlight w:val="none"/>
        </w:rPr>
      </w:pPr>
      <w:r>
        <w:rPr>
          <w:rFonts w:hint="eastAsia" w:ascii="宋体" w:hAnsi="宋体" w:cs="宋体"/>
          <w:kern w:val="0"/>
          <w:szCs w:val="21"/>
          <w:highlight w:val="none"/>
        </w:rPr>
        <w:t>4</w:t>
      </w:r>
      <w:r>
        <w:rPr>
          <w:rFonts w:hint="eastAsia" w:ascii="宋体" w:hAnsi="宋体" w:cs="宋体"/>
          <w:kern w:val="0"/>
          <w:szCs w:val="21"/>
          <w:highlight w:val="none"/>
          <w:lang w:eastAsia="zh-CN"/>
        </w:rPr>
        <w:t>）</w:t>
      </w:r>
      <w:r>
        <w:rPr>
          <w:rFonts w:hint="eastAsia" w:ascii="宋体" w:hAnsi="宋体" w:cs="宋体"/>
          <w:kern w:val="0"/>
          <w:szCs w:val="21"/>
          <w:highlight w:val="none"/>
        </w:rPr>
        <w:t>与建设工程项目有关的标准、规范、技术资料；</w:t>
      </w:r>
    </w:p>
    <w:p>
      <w:pPr>
        <w:spacing w:line="500" w:lineRule="exact"/>
        <w:ind w:firstLine="420" w:firstLineChars="200"/>
        <w:rPr>
          <w:rFonts w:hint="eastAsia" w:ascii="宋体" w:hAnsi="宋体" w:cs="宋体"/>
          <w:kern w:val="0"/>
          <w:szCs w:val="21"/>
          <w:highlight w:val="none"/>
        </w:rPr>
      </w:pPr>
      <w:r>
        <w:rPr>
          <w:rFonts w:hint="eastAsia" w:ascii="宋体" w:hAnsi="宋体" w:cs="宋体"/>
          <w:kern w:val="0"/>
          <w:szCs w:val="21"/>
          <w:highlight w:val="none"/>
        </w:rPr>
        <w:t>5</w:t>
      </w:r>
      <w:r>
        <w:rPr>
          <w:rFonts w:hint="eastAsia" w:ascii="宋体" w:hAnsi="宋体" w:cs="宋体"/>
          <w:kern w:val="0"/>
          <w:szCs w:val="21"/>
          <w:highlight w:val="none"/>
          <w:lang w:eastAsia="zh-CN"/>
        </w:rPr>
        <w:t>）</w:t>
      </w:r>
      <w:r>
        <w:rPr>
          <w:rFonts w:hint="eastAsia" w:ascii="宋体" w:hAnsi="宋体" w:cs="宋体"/>
          <w:kern w:val="0"/>
          <w:szCs w:val="21"/>
          <w:highlight w:val="none"/>
        </w:rPr>
        <w:t>现场情况及常规的施工组织及方案；</w:t>
      </w:r>
    </w:p>
    <w:p>
      <w:pPr>
        <w:spacing w:line="500" w:lineRule="exact"/>
        <w:ind w:firstLine="420" w:firstLineChars="200"/>
        <w:rPr>
          <w:rFonts w:hint="eastAsia" w:ascii="宋体" w:hAnsi="宋体" w:cs="宋体"/>
          <w:kern w:val="0"/>
          <w:szCs w:val="21"/>
          <w:highlight w:val="none"/>
        </w:rPr>
      </w:pPr>
      <w:r>
        <w:rPr>
          <w:rFonts w:hint="eastAsia" w:ascii="宋体" w:hAnsi="宋体" w:cs="宋体"/>
          <w:kern w:val="0"/>
          <w:szCs w:val="21"/>
          <w:highlight w:val="none"/>
        </w:rPr>
        <w:t>6</w:t>
      </w:r>
      <w:r>
        <w:rPr>
          <w:rFonts w:hint="eastAsia" w:ascii="宋体" w:hAnsi="宋体" w:cs="宋体"/>
          <w:kern w:val="0"/>
          <w:szCs w:val="21"/>
          <w:highlight w:val="none"/>
          <w:lang w:eastAsia="zh-CN"/>
        </w:rPr>
        <w:t>）</w:t>
      </w:r>
      <w:r>
        <w:rPr>
          <w:rFonts w:hint="eastAsia" w:ascii="宋体" w:hAnsi="宋体" w:cs="宋体"/>
          <w:kern w:val="0"/>
          <w:szCs w:val="21"/>
          <w:highlight w:val="none"/>
        </w:rPr>
        <w:t>本工程计价程序中扬尘治理专项措施费执行陕建发</w:t>
      </w:r>
      <w:r>
        <w:rPr>
          <w:rFonts w:hint="eastAsia" w:ascii="宋体" w:hAnsi="宋体" w:eastAsia="宋体" w:cs="宋体"/>
          <w:kern w:val="0"/>
          <w:szCs w:val="21"/>
          <w:highlight w:val="none"/>
        </w:rPr>
        <w:t>〔</w:t>
      </w:r>
      <w:r>
        <w:rPr>
          <w:rFonts w:hint="eastAsia" w:ascii="宋体" w:hAnsi="宋体" w:cs="宋体"/>
          <w:kern w:val="0"/>
          <w:szCs w:val="21"/>
          <w:highlight w:val="none"/>
        </w:rPr>
        <w:t>2017</w:t>
      </w:r>
      <w:r>
        <w:rPr>
          <w:rFonts w:hint="eastAsia" w:ascii="宋体" w:hAnsi="宋体" w:eastAsia="宋体" w:cs="宋体"/>
          <w:kern w:val="0"/>
          <w:szCs w:val="21"/>
          <w:highlight w:val="none"/>
        </w:rPr>
        <w:t>〕</w:t>
      </w:r>
      <w:r>
        <w:rPr>
          <w:rFonts w:hint="eastAsia" w:ascii="宋体" w:hAnsi="宋体" w:cs="宋体"/>
          <w:kern w:val="0"/>
          <w:szCs w:val="21"/>
          <w:highlight w:val="none"/>
        </w:rPr>
        <w:t>270号文件、建筑工人实名制管理费执行陕建发</w:t>
      </w:r>
      <w:r>
        <w:rPr>
          <w:rFonts w:hint="eastAsia" w:ascii="宋体" w:hAnsi="宋体" w:eastAsia="宋体" w:cs="宋体"/>
          <w:kern w:val="0"/>
          <w:szCs w:val="21"/>
          <w:highlight w:val="none"/>
        </w:rPr>
        <w:t>〔</w:t>
      </w:r>
      <w:r>
        <w:rPr>
          <w:rFonts w:hint="eastAsia" w:ascii="宋体" w:hAnsi="宋体" w:cs="宋体"/>
          <w:kern w:val="0"/>
          <w:szCs w:val="21"/>
          <w:highlight w:val="none"/>
        </w:rPr>
        <w:t>2019</w:t>
      </w:r>
      <w:r>
        <w:rPr>
          <w:rFonts w:hint="eastAsia" w:ascii="宋体" w:hAnsi="宋体" w:eastAsia="宋体" w:cs="宋体"/>
          <w:kern w:val="0"/>
          <w:szCs w:val="21"/>
          <w:highlight w:val="none"/>
        </w:rPr>
        <w:t>〕</w:t>
      </w:r>
      <w:r>
        <w:rPr>
          <w:rFonts w:hint="eastAsia" w:ascii="宋体" w:hAnsi="宋体" w:cs="宋体"/>
          <w:kern w:val="0"/>
          <w:szCs w:val="21"/>
          <w:highlight w:val="none"/>
        </w:rPr>
        <w:t>1246号文件、建筑施工安全生产责任保险费用执行陕建发</w:t>
      </w:r>
      <w:r>
        <w:rPr>
          <w:rFonts w:hint="eastAsia" w:ascii="宋体" w:hAnsi="宋体" w:eastAsia="宋体" w:cs="宋体"/>
          <w:kern w:val="0"/>
          <w:szCs w:val="21"/>
          <w:highlight w:val="none"/>
        </w:rPr>
        <w:t>〔</w:t>
      </w:r>
      <w:r>
        <w:rPr>
          <w:rFonts w:hint="eastAsia" w:ascii="宋体" w:hAnsi="宋体" w:cs="宋体"/>
          <w:kern w:val="0"/>
          <w:szCs w:val="21"/>
          <w:highlight w:val="none"/>
        </w:rPr>
        <w:t>2020</w:t>
      </w:r>
      <w:r>
        <w:rPr>
          <w:rFonts w:hint="eastAsia" w:ascii="宋体" w:hAnsi="宋体" w:eastAsia="宋体" w:cs="宋体"/>
          <w:kern w:val="0"/>
          <w:szCs w:val="21"/>
          <w:highlight w:val="none"/>
        </w:rPr>
        <w:t>〕</w:t>
      </w:r>
      <w:r>
        <w:rPr>
          <w:rFonts w:hint="eastAsia" w:ascii="宋体" w:hAnsi="宋体" w:cs="宋体"/>
          <w:kern w:val="0"/>
          <w:szCs w:val="21"/>
          <w:highlight w:val="none"/>
        </w:rPr>
        <w:t>1097号文件、养老保险执行陕建发</w:t>
      </w:r>
      <w:r>
        <w:rPr>
          <w:rFonts w:hint="eastAsia" w:ascii="宋体" w:hAnsi="宋体" w:eastAsia="宋体" w:cs="宋体"/>
          <w:kern w:val="0"/>
          <w:szCs w:val="21"/>
          <w:highlight w:val="none"/>
        </w:rPr>
        <w:t>〔</w:t>
      </w:r>
      <w:r>
        <w:rPr>
          <w:rFonts w:hint="eastAsia" w:ascii="宋体" w:hAnsi="宋体" w:cs="宋体"/>
          <w:kern w:val="0"/>
          <w:szCs w:val="21"/>
          <w:highlight w:val="none"/>
        </w:rPr>
        <w:t>2021</w:t>
      </w:r>
      <w:r>
        <w:rPr>
          <w:rFonts w:hint="eastAsia" w:ascii="宋体" w:hAnsi="宋体" w:eastAsia="宋体" w:cs="宋体"/>
          <w:kern w:val="0"/>
          <w:szCs w:val="21"/>
          <w:highlight w:val="none"/>
        </w:rPr>
        <w:t>〕</w:t>
      </w:r>
      <w:r>
        <w:rPr>
          <w:rFonts w:hint="eastAsia" w:ascii="宋体" w:hAnsi="宋体" w:cs="宋体"/>
          <w:kern w:val="0"/>
          <w:szCs w:val="21"/>
          <w:highlight w:val="none"/>
        </w:rPr>
        <w:t>1021号文件、人工费执行陕建发</w:t>
      </w:r>
      <w:r>
        <w:rPr>
          <w:rFonts w:hint="eastAsia" w:ascii="宋体" w:hAnsi="宋体" w:eastAsia="宋体" w:cs="宋体"/>
          <w:kern w:val="0"/>
          <w:szCs w:val="21"/>
          <w:highlight w:val="none"/>
        </w:rPr>
        <w:t>〔</w:t>
      </w:r>
      <w:r>
        <w:rPr>
          <w:rFonts w:hint="eastAsia" w:ascii="宋体" w:hAnsi="宋体" w:cs="宋体"/>
          <w:kern w:val="0"/>
          <w:szCs w:val="21"/>
          <w:highlight w:val="none"/>
        </w:rPr>
        <w:t>2021</w:t>
      </w:r>
      <w:r>
        <w:rPr>
          <w:rFonts w:hint="eastAsia" w:ascii="宋体" w:hAnsi="宋体" w:eastAsia="宋体" w:cs="宋体"/>
          <w:kern w:val="0"/>
          <w:szCs w:val="21"/>
          <w:highlight w:val="none"/>
        </w:rPr>
        <w:t>〕</w:t>
      </w:r>
      <w:r>
        <w:rPr>
          <w:rFonts w:hint="eastAsia" w:ascii="宋体" w:hAnsi="宋体" w:cs="宋体"/>
          <w:kern w:val="0"/>
          <w:szCs w:val="21"/>
          <w:highlight w:val="none"/>
        </w:rPr>
        <w:t>1097号文件，其他规费按现行《计价规则》及配套计价文件计取；</w:t>
      </w:r>
    </w:p>
    <w:p>
      <w:pPr>
        <w:spacing w:line="500" w:lineRule="exact"/>
        <w:ind w:firstLine="420" w:firstLineChars="200"/>
        <w:rPr>
          <w:rFonts w:hint="eastAsia" w:ascii="宋体" w:hAnsi="宋体" w:cs="宋体"/>
          <w:kern w:val="0"/>
          <w:szCs w:val="21"/>
          <w:highlight w:val="none"/>
        </w:rPr>
      </w:pPr>
      <w:r>
        <w:rPr>
          <w:rFonts w:hint="eastAsia" w:ascii="宋体" w:hAnsi="宋体" w:cs="宋体"/>
          <w:kern w:val="0"/>
          <w:szCs w:val="21"/>
          <w:highlight w:val="none"/>
        </w:rPr>
        <w:t>7</w:t>
      </w:r>
      <w:r>
        <w:rPr>
          <w:rFonts w:hint="eastAsia" w:ascii="宋体" w:hAnsi="宋体" w:cs="宋体"/>
          <w:kern w:val="0"/>
          <w:szCs w:val="21"/>
          <w:highlight w:val="none"/>
          <w:lang w:eastAsia="zh-CN"/>
        </w:rPr>
        <w:t>）</w:t>
      </w:r>
      <w:r>
        <w:rPr>
          <w:rFonts w:hint="eastAsia" w:ascii="宋体" w:hAnsi="宋体" w:cs="宋体"/>
          <w:kern w:val="0"/>
          <w:szCs w:val="21"/>
          <w:highlight w:val="none"/>
        </w:rPr>
        <w:t>主要材料价格依据《陕西省工程造价信息》2023第</w:t>
      </w:r>
      <w:r>
        <w:rPr>
          <w:rFonts w:hint="eastAsia" w:ascii="宋体" w:hAnsi="宋体" w:cs="宋体"/>
          <w:kern w:val="0"/>
          <w:szCs w:val="21"/>
          <w:highlight w:val="none"/>
          <w:lang w:val="en-US" w:eastAsia="zh-CN"/>
        </w:rPr>
        <w:t>4</w:t>
      </w:r>
      <w:r>
        <w:rPr>
          <w:rFonts w:hint="eastAsia" w:ascii="宋体" w:hAnsi="宋体" w:cs="宋体"/>
          <w:kern w:val="0"/>
          <w:szCs w:val="21"/>
          <w:highlight w:val="none"/>
        </w:rPr>
        <w:t>期材料价、市场价；</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8</w:t>
      </w:r>
      <w:r>
        <w:rPr>
          <w:rFonts w:hint="eastAsia" w:ascii="宋体" w:hAnsi="宋体" w:cs="宋体"/>
          <w:color w:val="auto"/>
          <w:kern w:val="0"/>
          <w:szCs w:val="21"/>
          <w:highlight w:val="none"/>
          <w:lang w:eastAsia="zh-CN"/>
        </w:rPr>
        <w:t>）工程量清单计价软件使用“广联达云计价平台6.4100.23.118”。</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12.6暂列金额是指用于施工合同签订时尚未确定或者不可预见的所需材料、设备、服务的采购，施工中可能发生的工程变更、合同约定调整因素出现时的工程价款调整以及发生的索赔、现场签证确认等的费用。供应商应当计入磋商报价中，结算时根据采购人的变更、签证及认质认价按实结算。本项目无暂列金额。</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12.7供应商提供的二次磋商报价是供应商响应文件的有效组成部分，二次磋商报价的下浮部分在本工程款支付过程中同比下调。</w:t>
      </w:r>
    </w:p>
    <w:p>
      <w:pPr>
        <w:spacing w:line="500" w:lineRule="exact"/>
        <w:rPr>
          <w:rFonts w:ascii="宋体" w:hAnsi="宋体" w:cs="宋体"/>
          <w:b/>
          <w:color w:val="auto"/>
          <w:kern w:val="0"/>
          <w:szCs w:val="21"/>
          <w:highlight w:val="none"/>
        </w:rPr>
      </w:pPr>
      <w:r>
        <w:rPr>
          <w:rFonts w:hint="eastAsia" w:ascii="宋体" w:hAnsi="宋体" w:cs="宋体"/>
          <w:b/>
          <w:color w:val="auto"/>
          <w:kern w:val="0"/>
          <w:szCs w:val="21"/>
          <w:highlight w:val="none"/>
        </w:rPr>
        <w:t>13.证明供应商合格和资格的文件</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13.1供应商应按照磋商文件“磋商须知前附表”的要求，在磋商响应文件中提交证明其资格合格的文件。如果资格证明文件不全或不合格的，其磋商响应文件按无效处理。</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13.2如果“磋商须知前附表”有要求，供应商还应按照要求提交证明文件的原件。如果未能提供原件或者提供原件不全的，其磋商响应文件按无效处理。</w:t>
      </w:r>
    </w:p>
    <w:p>
      <w:pPr>
        <w:spacing w:line="500" w:lineRule="exact"/>
        <w:rPr>
          <w:rFonts w:ascii="宋体" w:hAnsi="宋体" w:cs="宋体"/>
          <w:b/>
          <w:color w:val="auto"/>
          <w:kern w:val="0"/>
          <w:szCs w:val="21"/>
          <w:highlight w:val="none"/>
        </w:rPr>
      </w:pPr>
      <w:r>
        <w:rPr>
          <w:rFonts w:hint="eastAsia" w:ascii="宋体" w:hAnsi="宋体" w:cs="宋体"/>
          <w:b/>
          <w:color w:val="auto"/>
          <w:kern w:val="0"/>
          <w:szCs w:val="21"/>
          <w:highlight w:val="none"/>
        </w:rPr>
        <w:t>14.证明供应商的合格性和符合磋商文件要求的文件</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14.1供应商应在响应文件中提交所提供满足磋商文件要求并符合国家法律法规、行业管理部门要求的其他强制性标准的证明文件。缺少证明文件或证明文件不合格的响应文件，与磋商文件要求有重大偏离的响应文件，不符合国家法律法规、行业管理部门要求的其他强制性标准的响应文件将按照无效处理。</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14.2上述证明文件可以是文字资料、图纸、图片和数据，它包括：</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  1）本次采购特别要求的合格性证明文件（见“磋商须知前附表 ”）；</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  2）逐条对磋商文件提出的技术要求和商务要求进行应答，说明所提供的工程对磋商要求的技术和商务要求是否做出了实质性响应并提供支持文件。</w:t>
      </w:r>
    </w:p>
    <w:p>
      <w:pPr>
        <w:spacing w:line="500" w:lineRule="exact"/>
        <w:rPr>
          <w:rFonts w:ascii="宋体" w:hAnsi="宋体" w:cs="宋体"/>
          <w:b/>
          <w:color w:val="auto"/>
          <w:kern w:val="0"/>
          <w:szCs w:val="21"/>
          <w:highlight w:val="none"/>
        </w:rPr>
      </w:pPr>
      <w:r>
        <w:rPr>
          <w:rFonts w:hint="eastAsia" w:ascii="宋体" w:hAnsi="宋体" w:cs="宋体"/>
          <w:b/>
          <w:color w:val="auto"/>
          <w:kern w:val="0"/>
          <w:szCs w:val="21"/>
          <w:highlight w:val="none"/>
        </w:rPr>
        <w:t>15.磋商保证金</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15.1如果磋商文件有要求，供应商应按照“磋商须知前附表”的要求，在参加磋商时向陕西省</w:t>
      </w:r>
      <w:r>
        <w:rPr>
          <w:rFonts w:hint="eastAsia" w:ascii="宋体" w:hAnsi="宋体"/>
          <w:color w:val="auto"/>
          <w:kern w:val="0"/>
          <w:szCs w:val="21"/>
          <w:highlight w:val="none"/>
        </w:rPr>
        <w:t>西北（陕西）国际招标有限公司</w:t>
      </w:r>
      <w:r>
        <w:rPr>
          <w:rFonts w:hint="eastAsia" w:ascii="宋体" w:hAnsi="宋体" w:cs="宋体"/>
          <w:color w:val="auto"/>
          <w:kern w:val="0"/>
          <w:szCs w:val="21"/>
          <w:highlight w:val="none"/>
        </w:rPr>
        <w:t>交纳磋商保证金,其有效期与磋商报价有效期一致，并作为其磋商响应的一部分。</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15.2磋商保证金的数额、形式、交纳办法和交纳时间见“磋商须知前附表”。</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15.3磋商后经审查，未按照“磋商须知前附表”的要求交纳磋商保证金的、已交纳的磋商保证金金额不足的或有效期不足的，其磋商响应文件将按照无效处理。</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15.4未成交人的磋商保证金，在成交通知书发出后五个工作日内退还；成交人的磋商保证金，在采购合同签订并按规定交纳代理服务费后五个工作日内退还。</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15.5有下列情形之一的，保证金不予退还： </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15.5.1供应商在提交响应文件截止时间后撤回响应文件的；</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15.5.2供应商在响应文件中提供虚假材料的；</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15.5.3除因不可抗力或磋商文件认可的情形以外，成交供应商不与采购人签订合同的；</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15.5.4供应商与采购人、其他供应商或者采购代理机构恶意串通的；</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15.5.5供应商未能按规定交纳代理服务费的。</w:t>
      </w:r>
    </w:p>
    <w:p>
      <w:pPr>
        <w:spacing w:line="500" w:lineRule="exact"/>
        <w:rPr>
          <w:rFonts w:ascii="宋体" w:hAnsi="宋体" w:cs="宋体"/>
          <w:b/>
          <w:color w:val="auto"/>
          <w:kern w:val="0"/>
          <w:szCs w:val="21"/>
          <w:highlight w:val="none"/>
        </w:rPr>
      </w:pPr>
      <w:r>
        <w:rPr>
          <w:rFonts w:hint="eastAsia" w:ascii="宋体" w:hAnsi="宋体" w:cs="宋体"/>
          <w:b/>
          <w:color w:val="auto"/>
          <w:kern w:val="0"/>
          <w:szCs w:val="21"/>
          <w:highlight w:val="none"/>
        </w:rPr>
        <w:t>16.磋商报价有效期</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16.1磋商报价应在 “磋商须知前附表”中规定的磋商报价有效期内保持有效。磋商报价不满足规定有效期的，其磋商响应文件将按照无效处理。</w:t>
      </w:r>
    </w:p>
    <w:p>
      <w:pPr>
        <w:spacing w:line="500" w:lineRule="exact"/>
        <w:rPr>
          <w:rFonts w:ascii="宋体" w:hAnsi="宋体" w:cs="宋体"/>
          <w:b/>
          <w:color w:val="auto"/>
          <w:kern w:val="0"/>
          <w:szCs w:val="21"/>
          <w:highlight w:val="none"/>
        </w:rPr>
      </w:pPr>
      <w:r>
        <w:rPr>
          <w:rFonts w:hint="eastAsia" w:ascii="宋体" w:hAnsi="宋体" w:cs="宋体"/>
          <w:b/>
          <w:color w:val="auto"/>
          <w:kern w:val="0"/>
          <w:szCs w:val="21"/>
          <w:highlight w:val="none"/>
        </w:rPr>
        <w:t>17.磋商响应文件的式样和签署</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17.1供应商应按照磋商须知的要求, 准备一份磋商响应文件正本和“磋商须知前附表”中规定数量的副本，副本可以是正本的复印件。每套磋商响应文件须清楚地标明“正本”或“副本”。如果发生正本与副本不一致的情况，以正本为准。</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17.2如果磋商文件有要求，还应按照“磋商须知前附表”的要求准备相应格式和载体的电子版文件。</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17.3磋商响应文件正本需打印或用不褪色的蓝(黑)色墨水(汁)书写,并由供应商法人代表或经法人代表正式授权的代表签字。授权代表须将按磋商文件规定的格式出具的“法人代表授权书”附在磋商响应文件中。</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17.4任何行间插字、涂改和增删，必须由磋商响应文件的签字人在旁边签字才有效。</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17.5因字迹潦草、表述不清或不按磋商文件格式编制的磋商响应文件，所引起的对供应商不利的后果，由供应商自行负责。</w:t>
      </w:r>
    </w:p>
    <w:p>
      <w:pPr>
        <w:spacing w:line="500" w:lineRule="exact"/>
        <w:ind w:firstLine="420" w:firstLineChars="200"/>
        <w:rPr>
          <w:rFonts w:ascii="宋体" w:hAnsi="宋体" w:cs="宋体"/>
          <w:color w:val="auto"/>
          <w:kern w:val="0"/>
          <w:szCs w:val="21"/>
          <w:highlight w:val="none"/>
        </w:rPr>
      </w:pPr>
    </w:p>
    <w:p>
      <w:pPr>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四.磋商响应文件的递交</w:t>
      </w:r>
    </w:p>
    <w:p>
      <w:pPr>
        <w:spacing w:line="500" w:lineRule="exact"/>
        <w:rPr>
          <w:rFonts w:ascii="宋体" w:hAnsi="宋体" w:cs="宋体"/>
          <w:b/>
          <w:color w:val="auto"/>
          <w:kern w:val="0"/>
          <w:szCs w:val="21"/>
          <w:highlight w:val="none"/>
        </w:rPr>
      </w:pPr>
      <w:r>
        <w:rPr>
          <w:rFonts w:hint="eastAsia" w:ascii="宋体" w:hAnsi="宋体" w:cs="宋体"/>
          <w:b/>
          <w:color w:val="auto"/>
          <w:kern w:val="0"/>
          <w:szCs w:val="21"/>
          <w:highlight w:val="none"/>
        </w:rPr>
        <w:t>18.磋商响应文件的装订、密封和标记</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18.1磋商响应文件的正本与副本应分别装订成册，并编制目录，具体装订和包装密封要求见本须知“磋商须知前附表”规定。</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18.2响应文件的封套请按以下要求标记：</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    1) 供应商的全称</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    2) 磋商项目名称、项目编号、包号</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    3）正本或副本及“请勿在＿＿＿＿＿(开标时间)之前启封”</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18.3如果“磋商须知前附表”中有要求，为方便开标唱标，供应商应将《磋商一览表》单独密封，并在信袋上标明“磋商一览表”字样。与磋商响应文件一起递交。</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18.4如果在“磋商须知前附表”中要求提供证明文件的原件，则证明文件的原件必须单独封装并在磋商响应截止时间之前随磋商响应文件一起递交和登记，以便评标时核验。</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18.5如果供应商未对磋商响应文件按上述要求进行完好密封，所引起的对供应商不利的后果，由供应商自行承担。</w:t>
      </w:r>
    </w:p>
    <w:p>
      <w:pPr>
        <w:spacing w:line="500" w:lineRule="exact"/>
        <w:rPr>
          <w:rFonts w:ascii="宋体" w:hAnsi="宋体" w:cs="宋体"/>
          <w:b/>
          <w:color w:val="auto"/>
          <w:kern w:val="0"/>
          <w:szCs w:val="21"/>
          <w:highlight w:val="none"/>
        </w:rPr>
      </w:pPr>
      <w:r>
        <w:rPr>
          <w:rFonts w:hint="eastAsia" w:ascii="宋体" w:hAnsi="宋体" w:cs="宋体"/>
          <w:b/>
          <w:color w:val="auto"/>
          <w:kern w:val="0"/>
          <w:szCs w:val="21"/>
          <w:highlight w:val="none"/>
        </w:rPr>
        <w:t>19．磋商响应文件递交方式和磋商截止时间</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19.1供应商必须派出代表（法定代表人或授权代表）按时参加磋商会，在“磋商须知前附表”规定的磋商响应文件递交截止时间前，将全部磋商响应文件和磋商报价资料递交至磋商地点并签字确认。磋商地点见“磋商须知前附表”指明的地址或采购代理机构另行通知的地址。</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19.2以邮寄方式递交磋商响应文件的，其磋商响应文件将按照无效处理。</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19.3采购代理机构拒绝接收在规定的磋商响应文件递交截止时间后递交的磋商响应文件和磋商报价资料。</w:t>
      </w:r>
    </w:p>
    <w:p>
      <w:pPr>
        <w:spacing w:line="500" w:lineRule="exact"/>
        <w:rPr>
          <w:rFonts w:ascii="宋体" w:hAnsi="宋体" w:cs="宋体"/>
          <w:b/>
          <w:color w:val="auto"/>
          <w:kern w:val="0"/>
          <w:szCs w:val="21"/>
          <w:highlight w:val="none"/>
        </w:rPr>
      </w:pPr>
      <w:r>
        <w:rPr>
          <w:rFonts w:hint="eastAsia" w:ascii="宋体" w:hAnsi="宋体" w:cs="宋体"/>
          <w:b/>
          <w:color w:val="auto"/>
          <w:kern w:val="0"/>
          <w:szCs w:val="21"/>
          <w:highlight w:val="none"/>
        </w:rPr>
        <w:t>20．磋商报价的修改与撤回</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20.1供应商在递交磋商响应文件后，可以修改或撤回其磋商响应文件，也可以提出价格变动声明，但供应商必须在规定的磋商响应文件递交截止时间之前将修改或撤回或变动价格的书面通知文件递交到采购代理机构。</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20.2 供应商的修改或撤回或变动价格的通知应按本须知第17条和18条的规定编制、密封、标记和递交。</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20.3 在磋商响应文件递交截止时间之后，供应商不得对其磋商报价做任何修改或撤回。</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20.4在磋商结束之后，对于供应商正常经营活动必须的资质和证明文件原件（包括但不限于：营业执照、资质等级证书、成交通知书、经济合同等），经审查后予以退还。其他磋商响应文件和资料一律不予退还。</w:t>
      </w:r>
    </w:p>
    <w:p>
      <w:pPr>
        <w:spacing w:line="500" w:lineRule="exact"/>
        <w:ind w:firstLine="420" w:firstLineChars="200"/>
        <w:rPr>
          <w:rFonts w:ascii="宋体" w:hAnsi="宋体" w:cs="宋体"/>
          <w:color w:val="auto"/>
          <w:kern w:val="0"/>
          <w:szCs w:val="21"/>
          <w:highlight w:val="none"/>
        </w:rPr>
      </w:pPr>
    </w:p>
    <w:p>
      <w:pPr>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五.磋商与评审</w:t>
      </w:r>
    </w:p>
    <w:p>
      <w:pPr>
        <w:spacing w:line="500" w:lineRule="exact"/>
        <w:rPr>
          <w:rFonts w:ascii="宋体" w:hAnsi="宋体" w:cs="宋体"/>
          <w:b/>
          <w:color w:val="auto"/>
          <w:kern w:val="0"/>
          <w:szCs w:val="21"/>
          <w:highlight w:val="none"/>
        </w:rPr>
      </w:pPr>
      <w:r>
        <w:rPr>
          <w:rFonts w:hint="eastAsia" w:ascii="宋体" w:hAnsi="宋体" w:cs="宋体"/>
          <w:b/>
          <w:color w:val="auto"/>
          <w:kern w:val="0"/>
          <w:szCs w:val="21"/>
          <w:highlight w:val="none"/>
        </w:rPr>
        <w:t>21.磋商小组和磋商评审原则</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21.1按照《中华人民共和国政府采购法》、《中华人民共和国政府采购法实施条例》和《政府采购竞争性磋商采购方式管理暂行办法》财库〔2014〕214号的规定，采购机构将依法组建竞争性磋商小组，依法进行磋商和评审工作。</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21.2磋商文件和供应商的响应文件是评审的依据。</w:t>
      </w:r>
    </w:p>
    <w:p>
      <w:pPr>
        <w:spacing w:line="500" w:lineRule="exact"/>
        <w:rPr>
          <w:rFonts w:ascii="宋体" w:hAnsi="宋体" w:cs="宋体"/>
          <w:b/>
          <w:color w:val="auto"/>
          <w:kern w:val="0"/>
          <w:szCs w:val="21"/>
          <w:highlight w:val="none"/>
        </w:rPr>
      </w:pPr>
      <w:r>
        <w:rPr>
          <w:rFonts w:hint="eastAsia" w:ascii="宋体" w:hAnsi="宋体" w:cs="宋体"/>
          <w:b/>
          <w:color w:val="auto"/>
          <w:kern w:val="0"/>
          <w:szCs w:val="21"/>
          <w:highlight w:val="none"/>
        </w:rPr>
        <w:t>22.磋商及评审程序</w:t>
      </w:r>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22.1采购代理机构在规定的时间和地点组织磋商。</w:t>
      </w:r>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22.2本次磋商的报价次数、磋商程序和最终报价的产生原则见“磋商须知前附表”的规定。</w:t>
      </w:r>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22.3磋商开始后，磋商小组首先对响应文件进行评审，并根据磋商文件规定的程序、评定成交的标准等事项与实质性响应磋商文件要求的供应商进行磋商。未实质性响应磋商文件的响应文件按无效处理，磋商小组将告知有关供应商。</w:t>
      </w:r>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22.4磋商小组所有成员集中与单一供应商分别进行磋商，并给予所有参加磋商的供应商平等的磋商机会。</w:t>
      </w:r>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22.5在磋商过程中，磋商小组可以根据磋商文件和磋商情况实质性变动采购需求中的技术、服务要求以及合同草案条款。所有变动内容均是磋商文件的有效组成部分，磋商小组将以书面形式同时通知所有参加磋商的供应商。</w:t>
      </w:r>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22.6参加磋商的供应商应当按照磋商文件的变动情况和磋商小组的要求重新提交响应文件，并由其法定代表人或授权代表签字或者加盖公章。由授权代表签字的，应当附法定代表人授权书。供应商为自然人的，应当由本人签字并附身份证明。</w:t>
      </w:r>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22.7磋商结束后，磋商小组要求所有继续参加磋商的供应商在规定时间内提交最后报价，最后报价是供应商响应文件的有效组成部分。</w:t>
      </w:r>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22.8已提交响应文件的供应商，在提交最后报价之前，可以根据磋商情况退出磋商。采购机构将退还退出磋商的供应商的保证金。</w:t>
      </w:r>
    </w:p>
    <w:p>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23．评审过程的保密</w:t>
      </w:r>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23.1竞争性磋商小组成员和与评审活动有关的工作人员不得泄露有关磋商响应文件的评审和比较、成交候选人的推荐以及与评审有关的其他情况。</w:t>
      </w:r>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23.2在评审过程中，如果供应商试图在磋商响应文件的评审和比较、成交候选人的推荐以及与评审有关的其他方面，向磋商小组、采购人和采购代理机构施加任何影响，其磋商响应文件将按照无效处理。</w:t>
      </w:r>
    </w:p>
    <w:p>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24．评审方法</w:t>
      </w:r>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24.1按照《中华人民共和国政府采购法》、《中华人民共和国政府采购法实施条例》和《政府采购竞争性磋商采购方式管理暂行办法》财库〔2014〕214号的规定，磋商小组根据综合评分情况，按照评审得分由高到低顺序推荐3名成交候选供应商。</w:t>
      </w:r>
    </w:p>
    <w:p>
      <w:pPr>
        <w:spacing w:line="360" w:lineRule="auto"/>
        <w:ind w:firstLine="420" w:firstLineChars="200"/>
        <w:rPr>
          <w:rFonts w:ascii="宋体" w:hAnsi="宋体" w:cs="宋体"/>
          <w:color w:val="auto"/>
          <w:kern w:val="0"/>
          <w:szCs w:val="21"/>
          <w:highlight w:val="none"/>
        </w:rPr>
      </w:pPr>
    </w:p>
    <w:p>
      <w:pPr>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六.确定成交人、成交通知与签约</w:t>
      </w:r>
    </w:p>
    <w:p>
      <w:pPr>
        <w:spacing w:line="500" w:lineRule="exact"/>
        <w:rPr>
          <w:rFonts w:ascii="宋体" w:hAnsi="宋体" w:cs="宋体"/>
          <w:b/>
          <w:color w:val="auto"/>
          <w:kern w:val="0"/>
          <w:szCs w:val="21"/>
          <w:highlight w:val="none"/>
        </w:rPr>
      </w:pPr>
      <w:r>
        <w:rPr>
          <w:rFonts w:hint="eastAsia" w:ascii="宋体" w:hAnsi="宋体" w:cs="宋体"/>
          <w:b/>
          <w:color w:val="auto"/>
          <w:kern w:val="0"/>
          <w:szCs w:val="21"/>
          <w:highlight w:val="none"/>
        </w:rPr>
        <w:t>25．确定成交人</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25.1磋商小组根据评审方法的规定对供应商进行评审排序，推荐成交候选人，形成评审报告。评审报告由磋商小组成员签字确认。</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25.2采购人从评审报告提出的成交候选人中，根据质量和服务均能满足采购文件实质性响应要求且评分最高的原则确定成交供应商。</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25.3采购人也可以书面授权磋商小组直接确定成交供应商。</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25.4成交供应商确定之后，成交结果将在财政部门指定的政府采购信息发布媒体上公告。如果成交供应商为小微企业或残疾人福利性单位的，将同时公告其《中小企业声明函》或《残疾人福利性单位声明函》。</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25.5供应商对成交公告有异议的，按照《中华人民共和国政府采购法》第五十二条之有关规定执行。提出质疑的供应商应当有明确的请求和必要的证明材料，应保证提出的质疑内容及相应证明材料的真实性及来源的合法性，并承担相应的法律责任。</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25.6成交供应商拒绝与采购人签订合同的，采购人可以按照评审报告推荐的成交候选人名单排序，确定下一候选人为成交供应商，也可以重新开展政府采购活动。</w:t>
      </w:r>
    </w:p>
    <w:p>
      <w:pPr>
        <w:spacing w:line="500" w:lineRule="exact"/>
        <w:rPr>
          <w:rFonts w:ascii="宋体" w:hAnsi="宋体" w:cs="宋体"/>
          <w:b/>
          <w:color w:val="auto"/>
          <w:kern w:val="0"/>
          <w:szCs w:val="21"/>
          <w:highlight w:val="none"/>
        </w:rPr>
      </w:pPr>
      <w:r>
        <w:rPr>
          <w:rFonts w:hint="eastAsia" w:ascii="宋体" w:hAnsi="宋体" w:cs="宋体"/>
          <w:b/>
          <w:color w:val="auto"/>
          <w:kern w:val="0"/>
          <w:szCs w:val="21"/>
          <w:highlight w:val="none"/>
        </w:rPr>
        <w:t>26．成交通知</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26.1成交供应商确定之后，西北（陕西）国际招标有限公司将发出《成交通知书》。 </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26.2成交通知书对采购人和成交供应商具有同等法律效力。成交通知书发出之后，采购人改变成交结果，或者成交供应商放弃成交，应当承担相应的法律责任。</w:t>
      </w:r>
    </w:p>
    <w:p>
      <w:pPr>
        <w:spacing w:line="500" w:lineRule="exact"/>
        <w:rPr>
          <w:rFonts w:ascii="宋体" w:hAnsi="宋体" w:cs="宋体"/>
          <w:b/>
          <w:color w:val="auto"/>
          <w:kern w:val="0"/>
          <w:szCs w:val="21"/>
          <w:highlight w:val="none"/>
        </w:rPr>
      </w:pPr>
      <w:r>
        <w:rPr>
          <w:rFonts w:hint="eastAsia" w:ascii="宋体" w:hAnsi="宋体" w:cs="宋体"/>
          <w:b/>
          <w:color w:val="auto"/>
          <w:kern w:val="0"/>
          <w:szCs w:val="21"/>
          <w:highlight w:val="none"/>
        </w:rPr>
        <w:t>27. 成交合同的签订</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27.1采购人应当自成交通知书发出之日起三十日内，按照磋商文件和成交供应商的响应文件（包括磋商评审中形成的最后报价等补充文件），与成交供应商签订书面合同。</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27.2采购人自政府采购合同签订之日起2个工作日内，将政府采购合同在省级以上人民政府财政部门指定的媒体上公告，但政府采购合同中涉及国家秘密、商业秘密的内容除外。</w:t>
      </w:r>
    </w:p>
    <w:p>
      <w:pPr>
        <w:spacing w:line="500" w:lineRule="exact"/>
        <w:rPr>
          <w:rFonts w:ascii="宋体" w:hAnsi="宋体" w:cs="宋体"/>
          <w:b/>
          <w:color w:val="auto"/>
          <w:kern w:val="0"/>
          <w:szCs w:val="21"/>
          <w:highlight w:val="none"/>
        </w:rPr>
      </w:pPr>
      <w:r>
        <w:rPr>
          <w:rFonts w:hint="eastAsia" w:ascii="宋体" w:hAnsi="宋体" w:cs="宋体"/>
          <w:b/>
          <w:color w:val="auto"/>
          <w:kern w:val="0"/>
          <w:szCs w:val="21"/>
          <w:highlight w:val="none"/>
        </w:rPr>
        <w:t>28．成交合同的履约验收</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28.1采购人按照政府采购合同规定的技术、服务、安全标准组织对供应商履约情况进行验收，并出具验收书。验收书应当包括每一项技术、服务、安全标准的履约情况。</w:t>
      </w:r>
    </w:p>
    <w:p>
      <w:pPr>
        <w:spacing w:line="500" w:lineRule="exact"/>
        <w:rPr>
          <w:rFonts w:ascii="宋体" w:hAnsi="宋体" w:cs="宋体"/>
          <w:b/>
          <w:color w:val="auto"/>
          <w:kern w:val="0"/>
          <w:szCs w:val="21"/>
          <w:highlight w:val="none"/>
        </w:rPr>
      </w:pPr>
      <w:r>
        <w:rPr>
          <w:rFonts w:hint="eastAsia" w:ascii="宋体" w:hAnsi="宋体" w:cs="宋体"/>
          <w:b/>
          <w:color w:val="auto"/>
          <w:kern w:val="0"/>
          <w:szCs w:val="21"/>
          <w:highlight w:val="none"/>
        </w:rPr>
        <w:t>29.采购代理服务费</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29.1成交单位应在收到成交通知书5日内，向西北（陕西）国际招标有限公司一次性支付采购代理服务费。</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29.2采购代理服务费的金额见前附表。</w:t>
      </w:r>
    </w:p>
    <w:p>
      <w:pPr>
        <w:spacing w:line="500" w:lineRule="exact"/>
        <w:rPr>
          <w:rFonts w:ascii="宋体" w:hAnsi="宋体" w:cs="宋体"/>
          <w:b/>
          <w:color w:val="auto"/>
          <w:kern w:val="0"/>
          <w:szCs w:val="21"/>
          <w:highlight w:val="none"/>
        </w:rPr>
      </w:pPr>
      <w:r>
        <w:rPr>
          <w:rFonts w:hint="eastAsia" w:ascii="宋体" w:hAnsi="宋体" w:cs="宋体"/>
          <w:b/>
          <w:color w:val="auto"/>
          <w:kern w:val="0"/>
          <w:szCs w:val="21"/>
          <w:highlight w:val="none"/>
        </w:rPr>
        <w:t>30.其他</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30.1磋商开始后，出现下列情形之一的，采购代理机构将终止竞争性磋商采购活动，发布项目终止公告并说明原因，重新开展采购活动：</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（一）因情况变化，不再符合规定的竞争性磋商采购方式适用情形的；</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（二）出现影响采购公正的违法、违规行为的；</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（三）在采购过程中符合要求的供应商不足3家的 ；</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（四）报价未超过采购预算的供应商不足3家的；</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（五）法律规定其它情形除外。</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30.2提交最后报价的供应商为2家时，可以继续进行磋商的情形：</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（一）市场竞争不充分的科研项目，以及需要扶持的科技成果转化项目；</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（二）根据《关于政府采购竞争性磋商采购方式管理暂行办法有关问题的补充通知》（财库〔2015〕124号）文件的相关规定，在采购过程中符合要求的供应商（社会资本）只有2家的。</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30.3按照政府采购政策，采购产品符合财库〔2004〕185号文件、国办发〔2007〕51号文件，财库〔2006〕90号文件和财库〔2019〕9号文件精神，进入“节能产品政府采购品目清单”的；进入“环境标志产品政府采购品目清单”的，提供证明文件，在评审方法中享受优先采购或者强制采购节能产品、环境标志产品（详见评审方法）。</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采购产品或供应商属于《关于运用政府采购政策支持乡村产业振兴的通知》（财库〔2021〕19号）。磋商报价人属于（财库〔2020〕46号及（财库〔2022〕19号）文件规定的小微企业的，提供中小企业声明函，在评审方法中享受报价优惠折扣（详见评审方法）（同时请关注《陕西省中小企业政府采购信用融资办法》（陕财办采〔2018〕23号））。磋商报价人属于（财库〔2014〕68号）文件规定的监狱企业的，提供由省级以上监狱管理局、戒毒管理局（含新疆生产建设兵团）出具的属于监狱企业的证明文件，视同小微企业，在评审方法中享受报价优惠折扣 （详见评审方法）。磋商报价人属于（财库〔2017〕141号）文件规定的残疾人福利性单位的，提供《残疾人福利性单位声明函》，视同小微企业，在评审方法中享受报价优惠折扣（详见评审方法）。磋商报价人提供的《残疾人福利性单位声明函》与事实不符的，依照《政府采购法》第七十七条第一款的规定追究法律责任。</w:t>
      </w:r>
    </w:p>
    <w:p>
      <w:pPr>
        <w:spacing w:line="500" w:lineRule="exact"/>
        <w:rPr>
          <w:rFonts w:ascii="宋体" w:hAnsi="宋体" w:cs="宋体"/>
          <w:b/>
          <w:color w:val="auto"/>
          <w:kern w:val="0"/>
          <w:szCs w:val="21"/>
          <w:highlight w:val="none"/>
        </w:rPr>
      </w:pPr>
      <w:bookmarkStart w:id="75" w:name="_Toc324521816"/>
      <w:bookmarkStart w:id="76" w:name="_Toc321812019"/>
      <w:bookmarkStart w:id="77" w:name="_Toc290389707"/>
      <w:bookmarkStart w:id="78" w:name="_Toc184635080"/>
      <w:r>
        <w:rPr>
          <w:rFonts w:hint="eastAsia" w:ascii="宋体" w:hAnsi="宋体" w:cs="宋体"/>
          <w:b/>
          <w:color w:val="auto"/>
          <w:kern w:val="0"/>
          <w:szCs w:val="21"/>
          <w:highlight w:val="none"/>
        </w:rPr>
        <w:t>31.需要补充的其他内容</w:t>
      </w:r>
      <w:bookmarkEnd w:id="75"/>
      <w:bookmarkEnd w:id="76"/>
      <w:bookmarkEnd w:id="77"/>
      <w:bookmarkEnd w:id="78"/>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需要补充的其他内容：见磋商须知前附表。</w:t>
      </w:r>
    </w:p>
    <w:p>
      <w:pPr>
        <w:rPr>
          <w:rFonts w:hint="eastAsia" w:ascii="宋体" w:hAnsi="宋体" w:cs="宋体"/>
          <w:b/>
          <w:bCs/>
          <w:color w:val="auto"/>
          <w:sz w:val="24"/>
          <w:highlight w:val="none"/>
        </w:rPr>
      </w:pPr>
      <w:r>
        <w:rPr>
          <w:rFonts w:hint="eastAsia" w:ascii="宋体" w:hAnsi="宋体" w:cs="宋体"/>
          <w:b/>
          <w:bCs/>
          <w:color w:val="auto"/>
          <w:sz w:val="24"/>
          <w:highlight w:val="none"/>
        </w:rPr>
        <w:br w:type="page"/>
      </w:r>
    </w:p>
    <w:p>
      <w:pPr>
        <w:pStyle w:val="3"/>
        <w:rPr>
          <w:rFonts w:ascii="宋体" w:hAnsi="宋体" w:cs="宋体"/>
          <w:color w:val="auto"/>
          <w:highlight w:val="none"/>
        </w:rPr>
      </w:pPr>
      <w:bookmarkStart w:id="79" w:name="_Toc14040"/>
      <w:bookmarkStart w:id="80" w:name="_Toc2017"/>
      <w:r>
        <w:rPr>
          <w:rFonts w:hint="eastAsia" w:ascii="宋体" w:hAnsi="宋体" w:cs="宋体"/>
          <w:color w:val="auto"/>
          <w:highlight w:val="none"/>
        </w:rPr>
        <w:t>第三章  合同条款及格式</w:t>
      </w:r>
      <w:bookmarkEnd w:id="79"/>
      <w:bookmarkEnd w:id="80"/>
      <w:bookmarkStart w:id="81" w:name="_Toc405295832"/>
    </w:p>
    <w:p>
      <w:pPr>
        <w:spacing w:line="500" w:lineRule="exact"/>
        <w:jc w:val="center"/>
        <w:rPr>
          <w:rFonts w:asciiTheme="minorEastAsia" w:hAnsiTheme="minorEastAsia" w:eastAsiaTheme="minorEastAsia" w:cstheme="minorEastAsia"/>
          <w:b/>
          <w:bCs/>
          <w:color w:val="auto"/>
          <w:kern w:val="0"/>
          <w:sz w:val="48"/>
          <w:szCs w:val="48"/>
          <w:highlight w:val="none"/>
        </w:rPr>
      </w:pPr>
      <w:bookmarkStart w:id="82" w:name="_Toc829"/>
    </w:p>
    <w:p>
      <w:pPr>
        <w:spacing w:line="500" w:lineRule="exact"/>
        <w:jc w:val="center"/>
        <w:rPr>
          <w:rFonts w:asciiTheme="minorEastAsia" w:hAnsiTheme="minorEastAsia" w:eastAsiaTheme="minorEastAsia" w:cstheme="minorEastAsia"/>
          <w:b/>
          <w:bCs/>
          <w:color w:val="auto"/>
          <w:kern w:val="0"/>
          <w:sz w:val="48"/>
          <w:szCs w:val="48"/>
          <w:highlight w:val="none"/>
        </w:rPr>
      </w:pPr>
    </w:p>
    <w:p>
      <w:pPr>
        <w:spacing w:line="500" w:lineRule="exact"/>
        <w:jc w:val="center"/>
        <w:rPr>
          <w:rFonts w:asciiTheme="minorEastAsia" w:hAnsiTheme="minorEastAsia" w:eastAsiaTheme="minorEastAsia" w:cstheme="minorEastAsia"/>
          <w:b/>
          <w:bCs/>
          <w:color w:val="auto"/>
          <w:kern w:val="0"/>
          <w:sz w:val="48"/>
          <w:szCs w:val="48"/>
          <w:highlight w:val="none"/>
        </w:rPr>
      </w:pPr>
    </w:p>
    <w:p>
      <w:pPr>
        <w:spacing w:line="500" w:lineRule="exact"/>
        <w:jc w:val="center"/>
        <w:rPr>
          <w:rFonts w:asciiTheme="minorEastAsia" w:hAnsiTheme="minorEastAsia" w:eastAsiaTheme="minorEastAsia" w:cstheme="minorEastAsia"/>
          <w:b/>
          <w:bCs/>
          <w:color w:val="auto"/>
          <w:kern w:val="0"/>
          <w:sz w:val="48"/>
          <w:szCs w:val="48"/>
          <w:highlight w:val="none"/>
        </w:rPr>
      </w:pPr>
      <w:r>
        <w:rPr>
          <w:rFonts w:hint="eastAsia" w:asciiTheme="minorEastAsia" w:hAnsiTheme="minorEastAsia" w:eastAsiaTheme="minorEastAsia" w:cstheme="minorEastAsia"/>
          <w:b/>
          <w:bCs/>
          <w:color w:val="auto"/>
          <w:kern w:val="0"/>
          <w:sz w:val="48"/>
          <w:szCs w:val="48"/>
          <w:highlight w:val="none"/>
        </w:rPr>
        <w:t>陕西省建设工程施工合同</w:t>
      </w:r>
    </w:p>
    <w:p>
      <w:pPr>
        <w:spacing w:line="500" w:lineRule="exact"/>
        <w:rPr>
          <w:rFonts w:asciiTheme="minorEastAsia" w:hAnsiTheme="minorEastAsia" w:eastAsiaTheme="minorEastAsia" w:cstheme="minorEastAsia"/>
          <w:bCs/>
          <w:color w:val="auto"/>
          <w:kern w:val="0"/>
          <w:sz w:val="44"/>
          <w:szCs w:val="44"/>
          <w:highlight w:val="none"/>
        </w:rPr>
      </w:pPr>
    </w:p>
    <w:p>
      <w:pPr>
        <w:spacing w:line="500" w:lineRule="exact"/>
        <w:rPr>
          <w:rFonts w:asciiTheme="minorEastAsia" w:hAnsiTheme="minorEastAsia" w:eastAsiaTheme="minorEastAsia" w:cstheme="minorEastAsia"/>
          <w:bCs/>
          <w:color w:val="auto"/>
          <w:kern w:val="0"/>
          <w:sz w:val="44"/>
          <w:szCs w:val="44"/>
          <w:highlight w:val="none"/>
        </w:rPr>
      </w:pPr>
    </w:p>
    <w:p>
      <w:pPr>
        <w:spacing w:line="500" w:lineRule="exact"/>
        <w:rPr>
          <w:rFonts w:asciiTheme="minorEastAsia" w:hAnsiTheme="minorEastAsia" w:eastAsiaTheme="minorEastAsia" w:cstheme="minorEastAsia"/>
          <w:b/>
          <w:bCs/>
          <w:color w:val="auto"/>
          <w:kern w:val="0"/>
          <w:sz w:val="36"/>
          <w:szCs w:val="36"/>
          <w:highlight w:val="none"/>
        </w:rPr>
      </w:pPr>
    </w:p>
    <w:p>
      <w:pPr>
        <w:spacing w:line="500" w:lineRule="exact"/>
        <w:rPr>
          <w:rFonts w:asciiTheme="minorEastAsia" w:hAnsiTheme="minorEastAsia" w:eastAsiaTheme="minorEastAsia" w:cstheme="minorEastAsia"/>
          <w:b/>
          <w:bCs/>
          <w:color w:val="auto"/>
          <w:kern w:val="0"/>
          <w:sz w:val="32"/>
          <w:szCs w:val="32"/>
          <w:highlight w:val="none"/>
        </w:rPr>
      </w:pPr>
    </w:p>
    <w:p>
      <w:pPr>
        <w:spacing w:line="500" w:lineRule="exact"/>
        <w:rPr>
          <w:rFonts w:asciiTheme="minorEastAsia" w:hAnsiTheme="minorEastAsia" w:eastAsiaTheme="minorEastAsia" w:cstheme="minorEastAsia"/>
          <w:bCs/>
          <w:color w:val="auto"/>
          <w:kern w:val="0"/>
          <w:sz w:val="44"/>
          <w:szCs w:val="44"/>
          <w:highlight w:val="none"/>
        </w:rPr>
      </w:pPr>
    </w:p>
    <w:p>
      <w:pPr>
        <w:spacing w:line="500" w:lineRule="exact"/>
        <w:rPr>
          <w:rFonts w:asciiTheme="minorEastAsia" w:hAnsiTheme="minorEastAsia" w:eastAsiaTheme="minorEastAsia" w:cstheme="minorEastAsia"/>
          <w:bCs/>
          <w:color w:val="auto"/>
          <w:kern w:val="0"/>
          <w:sz w:val="44"/>
          <w:szCs w:val="44"/>
          <w:highlight w:val="none"/>
        </w:rPr>
      </w:pPr>
    </w:p>
    <w:p>
      <w:pPr>
        <w:spacing w:line="500" w:lineRule="exact"/>
        <w:rPr>
          <w:rFonts w:asciiTheme="minorEastAsia" w:hAnsiTheme="minorEastAsia" w:eastAsiaTheme="minorEastAsia" w:cstheme="minorEastAsia"/>
          <w:b/>
          <w:bCs/>
          <w:color w:val="auto"/>
          <w:kern w:val="0"/>
          <w:sz w:val="36"/>
          <w:szCs w:val="36"/>
          <w:highlight w:val="none"/>
        </w:rPr>
      </w:pPr>
    </w:p>
    <w:p>
      <w:pPr>
        <w:spacing w:line="500" w:lineRule="exact"/>
        <w:rPr>
          <w:rFonts w:asciiTheme="minorEastAsia" w:hAnsiTheme="minorEastAsia" w:eastAsiaTheme="minorEastAsia" w:cstheme="minorEastAsia"/>
          <w:b/>
          <w:bCs/>
          <w:color w:val="auto"/>
          <w:kern w:val="0"/>
          <w:sz w:val="32"/>
          <w:szCs w:val="32"/>
          <w:highlight w:val="none"/>
        </w:rPr>
      </w:pPr>
    </w:p>
    <w:p>
      <w:pPr>
        <w:spacing w:line="500" w:lineRule="exact"/>
        <w:rPr>
          <w:rFonts w:asciiTheme="minorEastAsia" w:hAnsiTheme="minorEastAsia" w:eastAsiaTheme="minorEastAsia" w:cstheme="minorEastAsia"/>
          <w:bCs/>
          <w:color w:val="auto"/>
          <w:kern w:val="0"/>
          <w:sz w:val="44"/>
          <w:szCs w:val="44"/>
          <w:highlight w:val="none"/>
        </w:rPr>
      </w:pPr>
    </w:p>
    <w:p>
      <w:pPr>
        <w:spacing w:line="500" w:lineRule="exact"/>
        <w:rPr>
          <w:rFonts w:asciiTheme="minorEastAsia" w:hAnsiTheme="minorEastAsia" w:eastAsiaTheme="minorEastAsia" w:cstheme="minorEastAsia"/>
          <w:bCs/>
          <w:color w:val="auto"/>
          <w:kern w:val="0"/>
          <w:sz w:val="44"/>
          <w:szCs w:val="44"/>
          <w:highlight w:val="none"/>
        </w:rPr>
      </w:pPr>
    </w:p>
    <w:p>
      <w:pPr>
        <w:spacing w:line="500" w:lineRule="exact"/>
        <w:rPr>
          <w:rFonts w:asciiTheme="minorEastAsia" w:hAnsiTheme="minorEastAsia" w:eastAsiaTheme="minorEastAsia" w:cstheme="minorEastAsia"/>
          <w:b/>
          <w:bCs/>
          <w:color w:val="auto"/>
          <w:kern w:val="0"/>
          <w:sz w:val="36"/>
          <w:szCs w:val="36"/>
          <w:highlight w:val="none"/>
        </w:rPr>
      </w:pPr>
    </w:p>
    <w:p>
      <w:pPr>
        <w:spacing w:line="500" w:lineRule="exact"/>
        <w:rPr>
          <w:rFonts w:asciiTheme="minorEastAsia" w:hAnsiTheme="minorEastAsia" w:eastAsiaTheme="minorEastAsia" w:cstheme="minorEastAsia"/>
          <w:b/>
          <w:bCs/>
          <w:color w:val="auto"/>
          <w:kern w:val="0"/>
          <w:sz w:val="32"/>
          <w:szCs w:val="32"/>
          <w:highlight w:val="none"/>
        </w:rPr>
      </w:pPr>
    </w:p>
    <w:p>
      <w:pPr>
        <w:spacing w:line="500" w:lineRule="exact"/>
        <w:rPr>
          <w:rFonts w:asciiTheme="minorEastAsia" w:hAnsiTheme="minorEastAsia" w:eastAsiaTheme="minorEastAsia" w:cstheme="minorEastAsia"/>
          <w:bCs/>
          <w:color w:val="auto"/>
          <w:kern w:val="0"/>
          <w:sz w:val="44"/>
          <w:szCs w:val="44"/>
          <w:highlight w:val="none"/>
        </w:rPr>
      </w:pPr>
    </w:p>
    <w:p>
      <w:pPr>
        <w:spacing w:line="500" w:lineRule="exact"/>
        <w:rPr>
          <w:rFonts w:asciiTheme="minorEastAsia" w:hAnsiTheme="minorEastAsia" w:eastAsiaTheme="minorEastAsia" w:cstheme="minorEastAsia"/>
          <w:bCs/>
          <w:color w:val="auto"/>
          <w:kern w:val="0"/>
          <w:sz w:val="44"/>
          <w:szCs w:val="44"/>
          <w:highlight w:val="none"/>
        </w:rPr>
      </w:pPr>
    </w:p>
    <w:p>
      <w:pPr>
        <w:spacing w:line="500" w:lineRule="exact"/>
        <w:rPr>
          <w:rFonts w:asciiTheme="minorEastAsia" w:hAnsiTheme="minorEastAsia" w:eastAsiaTheme="minorEastAsia" w:cstheme="minorEastAsia"/>
          <w:b/>
          <w:bCs/>
          <w:color w:val="auto"/>
          <w:kern w:val="0"/>
          <w:sz w:val="36"/>
          <w:szCs w:val="36"/>
          <w:highlight w:val="none"/>
        </w:rPr>
      </w:pPr>
    </w:p>
    <w:p>
      <w:pPr>
        <w:spacing w:line="500" w:lineRule="exact"/>
        <w:ind w:firstLine="2394" w:firstLineChars="1140"/>
        <w:rPr>
          <w:rFonts w:asciiTheme="minorEastAsia" w:hAnsiTheme="minorEastAsia" w:eastAsiaTheme="minorEastAsia" w:cstheme="minorEastAsia"/>
          <w:b/>
          <w:bCs/>
          <w:color w:val="auto"/>
          <w:kern w:val="0"/>
          <w:sz w:val="32"/>
          <w:szCs w:val="32"/>
          <w:highlight w:val="none"/>
        </w:rPr>
      </w:pPr>
      <w:r>
        <w:rPr>
          <w:rFonts w:asciiTheme="minorEastAsia" w:hAnsiTheme="minorEastAsia" w:eastAsiaTheme="minorEastAsia" w:cstheme="minorEastAsia"/>
          <w:color w:val="auto"/>
          <w:highlight w:val="none"/>
        </w:rPr>
        <w:pict>
          <v:rect id="矩形 1" o:spid="_x0000_s1026" o:spt="1" style="position:absolute;left:0pt;margin-left:315pt;margin-top:7.9pt;height:46.8pt;width:54pt;z-index:251660288;mso-width-relative:page;mso-height-relative:page;" stroked="t" coordsize="21600,21600" o:gfxdata="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D982/tcAAAAKAQAADwAAAAAAAAABACAAAAAiAAAAZHJzL2Rv&#10;d25yZXYueG1sUEsBAhQAFAAAAAgAh07iQOMRYUA7AgAAhwQAAA4AAAAAAAAAAQAgAAAAJgEAAGRy&#10;cy9lMm9Eb2MueG1sUEsFBgAAAAAGAAYAWQEAANMFAAAAAA==&#10;">
            <v:path/>
            <v:fill focussize="0,0"/>
            <v:stroke color="#FFFFFF"/>
            <v:imagedata o:title=""/>
            <o:lock v:ext="edit"/>
            <v:textbox>
              <w:txbxContent>
                <w:p>
                  <w:pPr>
                    <w:ind w:firstLine="161" w:firstLineChars="50"/>
                    <w:rPr>
                      <w:rFonts w:ascii="宋体" w:hAnsi="宋体"/>
                      <w:b/>
                      <w:sz w:val="32"/>
                      <w:szCs w:val="32"/>
                    </w:rPr>
                  </w:pPr>
                  <w:r>
                    <w:rPr>
                      <w:rFonts w:hint="eastAsia" w:ascii="宋体" w:hAnsi="宋体"/>
                      <w:b/>
                      <w:sz w:val="32"/>
                      <w:szCs w:val="32"/>
                    </w:rPr>
                    <w:t>制</w:t>
                  </w:r>
                </w:p>
              </w:txbxContent>
            </v:textbox>
          </v:rect>
        </w:pict>
      </w:r>
      <w:r>
        <w:rPr>
          <w:rFonts w:hint="eastAsia" w:asciiTheme="minorEastAsia" w:hAnsiTheme="minorEastAsia" w:eastAsiaTheme="minorEastAsia" w:cstheme="minorEastAsia"/>
          <w:b/>
          <w:bCs/>
          <w:color w:val="auto"/>
          <w:spacing w:val="167"/>
          <w:kern w:val="0"/>
          <w:sz w:val="32"/>
          <w:szCs w:val="32"/>
          <w:highlight w:val="none"/>
        </w:rPr>
        <w:t>陕西省建设</w:t>
      </w:r>
      <w:r>
        <w:rPr>
          <w:rFonts w:hint="eastAsia" w:asciiTheme="minorEastAsia" w:hAnsiTheme="minorEastAsia" w:eastAsiaTheme="minorEastAsia" w:cstheme="minorEastAsia"/>
          <w:b/>
          <w:bCs/>
          <w:color w:val="auto"/>
          <w:spacing w:val="1"/>
          <w:kern w:val="0"/>
          <w:sz w:val="32"/>
          <w:szCs w:val="32"/>
          <w:highlight w:val="none"/>
        </w:rPr>
        <w:t>厅</w:t>
      </w:r>
    </w:p>
    <w:p>
      <w:pPr>
        <w:spacing w:line="500" w:lineRule="exact"/>
        <w:ind w:firstLine="2333" w:firstLineChars="637"/>
        <w:rPr>
          <w:rFonts w:asciiTheme="minorEastAsia" w:hAnsiTheme="minorEastAsia" w:eastAsiaTheme="minorEastAsia" w:cstheme="minorEastAsia"/>
          <w:b/>
          <w:bCs/>
          <w:color w:val="auto"/>
          <w:kern w:val="0"/>
          <w:sz w:val="32"/>
          <w:szCs w:val="32"/>
          <w:highlight w:val="none"/>
        </w:rPr>
      </w:pPr>
      <w:r>
        <w:rPr>
          <w:rFonts w:hint="eastAsia" w:asciiTheme="minorEastAsia" w:hAnsiTheme="minorEastAsia" w:eastAsiaTheme="minorEastAsia" w:cstheme="minorEastAsia"/>
          <w:b/>
          <w:bCs/>
          <w:color w:val="auto"/>
          <w:spacing w:val="29"/>
          <w:w w:val="96"/>
          <w:kern w:val="0"/>
          <w:sz w:val="32"/>
          <w:szCs w:val="32"/>
          <w:highlight w:val="none"/>
        </w:rPr>
        <w:t>陕西省工商行政管理</w:t>
      </w:r>
      <w:r>
        <w:rPr>
          <w:rFonts w:hint="eastAsia" w:asciiTheme="minorEastAsia" w:hAnsiTheme="minorEastAsia" w:eastAsiaTheme="minorEastAsia" w:cstheme="minorEastAsia"/>
          <w:b/>
          <w:bCs/>
          <w:color w:val="auto"/>
          <w:spacing w:val="-4"/>
          <w:w w:val="96"/>
          <w:kern w:val="0"/>
          <w:sz w:val="32"/>
          <w:szCs w:val="32"/>
          <w:highlight w:val="none"/>
        </w:rPr>
        <w:t>局</w:t>
      </w:r>
    </w:p>
    <w:p>
      <w:pPr>
        <w:rPr>
          <w:rFonts w:asciiTheme="minorEastAsia" w:hAnsiTheme="minorEastAsia" w:eastAsiaTheme="minorEastAsia" w:cstheme="minorEastAsia"/>
          <w:color w:val="auto"/>
          <w:highlight w:val="none"/>
        </w:rPr>
      </w:pPr>
    </w:p>
    <w:p>
      <w:pPr>
        <w:widowControl/>
        <w:rPr>
          <w:rFonts w:asciiTheme="minorEastAsia" w:hAnsiTheme="minorEastAsia" w:eastAsiaTheme="minorEastAsia" w:cstheme="minorEastAsia"/>
          <w:bCs/>
          <w:color w:val="auto"/>
          <w:sz w:val="32"/>
          <w:szCs w:val="32"/>
          <w:highlight w:val="none"/>
        </w:rPr>
      </w:pPr>
    </w:p>
    <w:p>
      <w:pPr>
        <w:rPr>
          <w:rFonts w:asciiTheme="minorEastAsia" w:hAnsiTheme="minorEastAsia" w:eastAsiaTheme="minorEastAsia" w:cstheme="minorEastAsia"/>
          <w:b/>
          <w:color w:val="auto"/>
          <w:kern w:val="0"/>
          <w:sz w:val="32"/>
          <w:szCs w:val="32"/>
          <w:highlight w:val="none"/>
        </w:rPr>
      </w:pPr>
      <w:bookmarkStart w:id="83" w:name="_Toc505869057"/>
      <w:r>
        <w:rPr>
          <w:rFonts w:hint="eastAsia" w:asciiTheme="minorEastAsia" w:hAnsiTheme="minorEastAsia" w:eastAsiaTheme="minorEastAsia" w:cstheme="minorEastAsia"/>
          <w:b/>
          <w:color w:val="auto"/>
          <w:kern w:val="0"/>
          <w:sz w:val="32"/>
          <w:szCs w:val="32"/>
          <w:highlight w:val="none"/>
        </w:rPr>
        <w:br w:type="page"/>
      </w:r>
    </w:p>
    <w:p>
      <w:pPr>
        <w:widowControl/>
        <w:jc w:val="center"/>
        <w:outlineLvl w:val="1"/>
        <w:rPr>
          <w:rFonts w:asciiTheme="minorEastAsia" w:hAnsiTheme="minorEastAsia" w:eastAsiaTheme="minorEastAsia" w:cstheme="minorEastAsia"/>
          <w:bCs/>
          <w:color w:val="auto"/>
          <w:sz w:val="32"/>
          <w:szCs w:val="32"/>
          <w:highlight w:val="none"/>
        </w:rPr>
      </w:pPr>
      <w:r>
        <w:rPr>
          <w:rFonts w:hint="eastAsia" w:asciiTheme="minorEastAsia" w:hAnsiTheme="minorEastAsia" w:eastAsiaTheme="minorEastAsia" w:cstheme="minorEastAsia"/>
          <w:b/>
          <w:color w:val="auto"/>
          <w:kern w:val="0"/>
          <w:sz w:val="32"/>
          <w:szCs w:val="32"/>
          <w:highlight w:val="none"/>
        </w:rPr>
        <w:t>第一部分  协议书</w:t>
      </w:r>
      <w:bookmarkEnd w:id="83"/>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p>
    <w:p>
      <w:pPr>
        <w:widowControl/>
        <w:spacing w:line="360" w:lineRule="auto"/>
        <w:ind w:left="1984" w:leftChars="200" w:hanging="1564" w:hangingChars="745"/>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发包人（全称）：</w:t>
      </w:r>
      <w:r>
        <w:rPr>
          <w:rFonts w:hint="eastAsia" w:asciiTheme="minorEastAsia" w:hAnsiTheme="minorEastAsia" w:eastAsiaTheme="minorEastAsia" w:cstheme="minorEastAsia"/>
          <w:color w:val="auto"/>
          <w:kern w:val="0"/>
          <w:szCs w:val="21"/>
          <w:highlight w:val="none"/>
          <w:u w:val="single"/>
        </w:rPr>
        <w:t>西安市长安区农村合作经济经营管理站</w:t>
      </w:r>
    </w:p>
    <w:p>
      <w:pPr>
        <w:widowControl/>
        <w:spacing w:line="360" w:lineRule="auto"/>
        <w:ind w:left="1984" w:leftChars="200" w:hanging="1564" w:hangingChars="745"/>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承包人（全称）：</w:t>
      </w:r>
      <w:r>
        <w:rPr>
          <w:rFonts w:hint="eastAsia" w:asciiTheme="minorEastAsia" w:hAnsiTheme="minorEastAsia" w:eastAsiaTheme="minorEastAsia" w:cstheme="minorEastAsia"/>
          <w:color w:val="auto"/>
          <w:kern w:val="0"/>
          <w:szCs w:val="21"/>
          <w:highlight w:val="none"/>
          <w:u w:val="single"/>
        </w:rPr>
        <w:t xml:space="preserve">                            </w:t>
      </w:r>
    </w:p>
    <w:p>
      <w:pPr>
        <w:widowControl/>
        <w:spacing w:line="360" w:lineRule="auto"/>
        <w:ind w:left="420" w:leftChars="200"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依据《中华人民共和国民法典》及其他有关法律、行政法规，遵循平等、自愿、公平和诚实信用的原则，双方就本建设工程施工协商一致，订立本合同。</w:t>
      </w:r>
    </w:p>
    <w:p>
      <w:pPr>
        <w:widowControl/>
        <w:spacing w:line="360" w:lineRule="auto"/>
        <w:ind w:firstLine="422" w:firstLineChars="200"/>
        <w:jc w:val="left"/>
        <w:rPr>
          <w:rFonts w:asciiTheme="minorEastAsia" w:hAnsiTheme="minorEastAsia" w:eastAsiaTheme="minorEastAsia" w:cstheme="minorEastAsia"/>
          <w:b/>
          <w:bCs/>
          <w:color w:val="auto"/>
          <w:kern w:val="0"/>
          <w:szCs w:val="21"/>
          <w:highlight w:val="none"/>
        </w:rPr>
      </w:pPr>
      <w:r>
        <w:rPr>
          <w:rFonts w:hint="eastAsia" w:asciiTheme="minorEastAsia" w:hAnsiTheme="minorEastAsia" w:eastAsiaTheme="minorEastAsia" w:cstheme="minorEastAsia"/>
          <w:b/>
          <w:bCs/>
          <w:color w:val="auto"/>
          <w:kern w:val="0"/>
          <w:szCs w:val="21"/>
          <w:highlight w:val="none"/>
        </w:rPr>
        <w:t>一、工程概况</w:t>
      </w:r>
    </w:p>
    <w:p>
      <w:pPr>
        <w:spacing w:line="360" w:lineRule="auto"/>
        <w:ind w:firstLine="840" w:firstLineChars="400"/>
        <w:rPr>
          <w:rFonts w:hint="eastAsia" w:asciiTheme="minorEastAsia" w:hAnsiTheme="minorEastAsia" w:eastAsiaTheme="minorEastAsia" w:cstheme="minorEastAsia"/>
          <w:color w:val="auto"/>
          <w:kern w:val="0"/>
          <w:szCs w:val="21"/>
          <w:highlight w:val="none"/>
          <w:lang w:eastAsia="zh-CN"/>
        </w:rPr>
      </w:pPr>
      <w:r>
        <w:rPr>
          <w:rFonts w:hint="eastAsia" w:asciiTheme="minorEastAsia" w:hAnsiTheme="minorEastAsia" w:eastAsiaTheme="minorEastAsia" w:cstheme="minorEastAsia"/>
          <w:color w:val="auto"/>
          <w:kern w:val="0"/>
          <w:szCs w:val="21"/>
          <w:highlight w:val="none"/>
        </w:rPr>
        <w:t>工程名称：</w:t>
      </w:r>
      <w:r>
        <w:rPr>
          <w:rFonts w:hint="eastAsia" w:asciiTheme="minorEastAsia" w:hAnsiTheme="minorEastAsia" w:eastAsiaTheme="minorEastAsia" w:cstheme="minorEastAsia"/>
          <w:color w:val="auto"/>
          <w:kern w:val="0"/>
          <w:szCs w:val="21"/>
          <w:highlight w:val="none"/>
          <w:u w:val="single"/>
          <w:lang w:eastAsia="zh-CN"/>
        </w:rPr>
        <w:t>上王村农家乐产业发展提升项目</w:t>
      </w:r>
    </w:p>
    <w:p>
      <w:pPr>
        <w:spacing w:line="360" w:lineRule="auto"/>
        <w:ind w:firstLine="840" w:firstLineChars="400"/>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工程地点：</w:t>
      </w:r>
      <w:r>
        <w:rPr>
          <w:rFonts w:hint="eastAsia" w:asciiTheme="minorEastAsia" w:hAnsiTheme="minorEastAsia" w:eastAsiaTheme="minorEastAsia" w:cstheme="minorEastAsia"/>
          <w:color w:val="auto"/>
          <w:kern w:val="0"/>
          <w:szCs w:val="21"/>
          <w:highlight w:val="none"/>
          <w:u w:val="single"/>
        </w:rPr>
        <w:t xml:space="preserve">西安市长安区滦镇街道上王村 </w:t>
      </w:r>
    </w:p>
    <w:p>
      <w:pPr>
        <w:widowControl/>
        <w:spacing w:line="360" w:lineRule="auto"/>
        <w:ind w:firstLine="840" w:firstLineChars="4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szCs w:val="21"/>
          <w:highlight w:val="none"/>
        </w:rPr>
        <w:t>群体工程应附承包人承揽工程项目一览表（附件1）</w:t>
      </w:r>
    </w:p>
    <w:p>
      <w:pPr>
        <w:widowControl/>
        <w:spacing w:line="360" w:lineRule="auto"/>
        <w:ind w:firstLine="840" w:firstLineChars="400"/>
        <w:jc w:val="left"/>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工程立项文号：</w:t>
      </w:r>
      <w:r>
        <w:rPr>
          <w:rFonts w:hint="eastAsia" w:asciiTheme="minorEastAsia" w:hAnsiTheme="minorEastAsia" w:eastAsiaTheme="minorEastAsia" w:cstheme="minorEastAsia"/>
          <w:color w:val="auto"/>
          <w:kern w:val="0"/>
          <w:szCs w:val="21"/>
          <w:highlight w:val="none"/>
          <w:u w:val="single"/>
        </w:rPr>
        <w:t xml:space="preserve">    </w:t>
      </w:r>
    </w:p>
    <w:p>
      <w:pPr>
        <w:widowControl/>
        <w:spacing w:line="360" w:lineRule="auto"/>
        <w:ind w:firstLine="840" w:firstLineChars="4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资金来源：</w:t>
      </w:r>
      <w:r>
        <w:rPr>
          <w:rFonts w:hint="eastAsia" w:asciiTheme="minorEastAsia" w:hAnsiTheme="minorEastAsia" w:eastAsiaTheme="minorEastAsia" w:cstheme="minorEastAsia"/>
          <w:color w:val="auto"/>
          <w:kern w:val="0"/>
          <w:szCs w:val="21"/>
          <w:highlight w:val="none"/>
          <w:u w:val="single"/>
        </w:rPr>
        <w:t xml:space="preserve">    </w:t>
      </w:r>
    </w:p>
    <w:p>
      <w:pPr>
        <w:widowControl/>
        <w:spacing w:line="360" w:lineRule="auto"/>
        <w:ind w:firstLine="422" w:firstLineChars="200"/>
        <w:jc w:val="left"/>
        <w:rPr>
          <w:rFonts w:asciiTheme="minorEastAsia" w:hAnsiTheme="minorEastAsia" w:eastAsiaTheme="minorEastAsia" w:cstheme="minorEastAsia"/>
          <w:b/>
          <w:bCs/>
          <w:color w:val="auto"/>
          <w:kern w:val="0"/>
          <w:szCs w:val="21"/>
          <w:highlight w:val="none"/>
        </w:rPr>
      </w:pPr>
      <w:r>
        <w:rPr>
          <w:rFonts w:hint="eastAsia" w:asciiTheme="minorEastAsia" w:hAnsiTheme="minorEastAsia" w:eastAsiaTheme="minorEastAsia" w:cstheme="minorEastAsia"/>
          <w:b/>
          <w:bCs/>
          <w:color w:val="auto"/>
          <w:kern w:val="0"/>
          <w:szCs w:val="21"/>
          <w:highlight w:val="none"/>
        </w:rPr>
        <w:t>二、工程承包范围</w:t>
      </w:r>
    </w:p>
    <w:p>
      <w:pPr>
        <w:widowControl/>
        <w:spacing w:line="360" w:lineRule="auto"/>
        <w:ind w:firstLine="840" w:firstLineChars="400"/>
        <w:jc w:val="left"/>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承包范围：</w:t>
      </w:r>
      <w:r>
        <w:rPr>
          <w:rFonts w:hint="eastAsia" w:asciiTheme="minorEastAsia" w:hAnsiTheme="minorEastAsia" w:eastAsiaTheme="minorEastAsia" w:cstheme="minorEastAsia"/>
          <w:color w:val="auto"/>
          <w:kern w:val="0"/>
          <w:szCs w:val="21"/>
          <w:highlight w:val="none"/>
          <w:u w:val="single"/>
        </w:rPr>
        <w:t xml:space="preserve">                </w:t>
      </w:r>
    </w:p>
    <w:p>
      <w:pPr>
        <w:widowControl/>
        <w:spacing w:line="360" w:lineRule="auto"/>
        <w:ind w:firstLine="840" w:firstLineChars="4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不包括的工程范围：</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kern w:val="0"/>
          <w:szCs w:val="21"/>
          <w:highlight w:val="none"/>
          <w:u w:val="single"/>
        </w:rPr>
        <w:t xml:space="preserve">   /   </w:t>
      </w:r>
    </w:p>
    <w:p>
      <w:pPr>
        <w:widowControl/>
        <w:spacing w:line="360" w:lineRule="auto"/>
        <w:ind w:firstLine="422" w:firstLineChars="200"/>
        <w:jc w:val="left"/>
        <w:rPr>
          <w:rFonts w:asciiTheme="minorEastAsia" w:hAnsiTheme="minorEastAsia" w:eastAsiaTheme="minorEastAsia" w:cstheme="minorEastAsia"/>
          <w:b/>
          <w:bCs/>
          <w:color w:val="auto"/>
          <w:kern w:val="0"/>
          <w:szCs w:val="21"/>
          <w:highlight w:val="none"/>
        </w:rPr>
      </w:pPr>
      <w:r>
        <w:rPr>
          <w:rFonts w:hint="eastAsia" w:asciiTheme="minorEastAsia" w:hAnsiTheme="minorEastAsia" w:eastAsiaTheme="minorEastAsia" w:cstheme="minorEastAsia"/>
          <w:b/>
          <w:bCs/>
          <w:color w:val="auto"/>
          <w:kern w:val="0"/>
          <w:szCs w:val="21"/>
          <w:highlight w:val="none"/>
        </w:rPr>
        <w:t>三、合同工期：</w:t>
      </w:r>
    </w:p>
    <w:p>
      <w:pPr>
        <w:widowControl/>
        <w:spacing w:line="360" w:lineRule="auto"/>
        <w:ind w:firstLine="840" w:firstLineChars="4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总日历天数</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rPr>
        <w:t>天</w:t>
      </w:r>
    </w:p>
    <w:p>
      <w:pPr>
        <w:widowControl/>
        <w:spacing w:line="360" w:lineRule="auto"/>
        <w:ind w:firstLine="840" w:firstLineChars="400"/>
        <w:jc w:val="left"/>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开工日期：</w:t>
      </w:r>
      <w:r>
        <w:rPr>
          <w:rFonts w:hint="eastAsia" w:asciiTheme="minorEastAsia" w:hAnsiTheme="minorEastAsia" w:eastAsiaTheme="minorEastAsia" w:cstheme="minorEastAsia"/>
          <w:color w:val="auto"/>
          <w:kern w:val="0"/>
          <w:szCs w:val="21"/>
          <w:highlight w:val="none"/>
          <w:u w:val="single"/>
        </w:rPr>
        <w:t xml:space="preserve">              </w:t>
      </w:r>
    </w:p>
    <w:p>
      <w:pPr>
        <w:widowControl/>
        <w:spacing w:line="360" w:lineRule="auto"/>
        <w:ind w:firstLine="840" w:firstLineChars="4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竣工日期：</w:t>
      </w:r>
      <w:r>
        <w:rPr>
          <w:rFonts w:hint="eastAsia" w:asciiTheme="minorEastAsia" w:hAnsiTheme="minorEastAsia" w:eastAsiaTheme="minorEastAsia" w:cstheme="minorEastAsia"/>
          <w:color w:val="auto"/>
          <w:kern w:val="0"/>
          <w:szCs w:val="21"/>
          <w:highlight w:val="none"/>
          <w:u w:val="single"/>
        </w:rPr>
        <w:t xml:space="preserve">              </w:t>
      </w:r>
    </w:p>
    <w:p>
      <w:pPr>
        <w:widowControl/>
        <w:spacing w:line="360" w:lineRule="auto"/>
        <w:ind w:firstLine="422" w:firstLineChars="200"/>
        <w:jc w:val="left"/>
        <w:rPr>
          <w:rFonts w:asciiTheme="minorEastAsia" w:hAnsiTheme="minorEastAsia" w:eastAsiaTheme="minorEastAsia" w:cstheme="minorEastAsia"/>
          <w:b/>
          <w:bCs/>
          <w:color w:val="auto"/>
          <w:kern w:val="0"/>
          <w:szCs w:val="21"/>
          <w:highlight w:val="none"/>
        </w:rPr>
      </w:pPr>
      <w:r>
        <w:rPr>
          <w:rFonts w:hint="eastAsia" w:asciiTheme="minorEastAsia" w:hAnsiTheme="minorEastAsia" w:eastAsiaTheme="minorEastAsia" w:cstheme="minorEastAsia"/>
          <w:b/>
          <w:bCs/>
          <w:color w:val="auto"/>
          <w:kern w:val="0"/>
          <w:szCs w:val="21"/>
          <w:highlight w:val="none"/>
        </w:rPr>
        <w:t>四、质量标准</w:t>
      </w:r>
    </w:p>
    <w:p>
      <w:pPr>
        <w:widowControl/>
        <w:spacing w:line="360" w:lineRule="auto"/>
        <w:ind w:firstLine="840" w:firstLineChars="4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工程质量标准：</w:t>
      </w:r>
      <w:r>
        <w:rPr>
          <w:rFonts w:hint="eastAsia" w:asciiTheme="minorEastAsia" w:hAnsiTheme="minorEastAsia" w:eastAsiaTheme="minorEastAsia" w:cstheme="minorEastAsia"/>
          <w:color w:val="auto"/>
          <w:kern w:val="0"/>
          <w:szCs w:val="21"/>
          <w:highlight w:val="none"/>
          <w:u w:val="single"/>
        </w:rPr>
        <w:t xml:space="preserve"> 达到国家现行行业施工验收规范“合格”标准。</w:t>
      </w:r>
    </w:p>
    <w:p>
      <w:pPr>
        <w:widowControl/>
        <w:spacing w:line="360" w:lineRule="auto"/>
        <w:ind w:firstLine="422" w:firstLineChars="200"/>
        <w:jc w:val="left"/>
        <w:rPr>
          <w:rFonts w:asciiTheme="minorEastAsia" w:hAnsiTheme="minorEastAsia" w:eastAsiaTheme="minorEastAsia" w:cstheme="minorEastAsia"/>
          <w:b/>
          <w:bCs/>
          <w:color w:val="auto"/>
          <w:kern w:val="0"/>
          <w:szCs w:val="21"/>
          <w:highlight w:val="none"/>
        </w:rPr>
      </w:pPr>
      <w:r>
        <w:rPr>
          <w:rFonts w:hint="eastAsia" w:asciiTheme="minorEastAsia" w:hAnsiTheme="minorEastAsia" w:eastAsiaTheme="minorEastAsia" w:cstheme="minorEastAsia"/>
          <w:b/>
          <w:bCs/>
          <w:color w:val="auto"/>
          <w:kern w:val="0"/>
          <w:szCs w:val="21"/>
          <w:highlight w:val="none"/>
        </w:rPr>
        <w:t>五、合同价款</w:t>
      </w:r>
    </w:p>
    <w:p>
      <w:pPr>
        <w:widowControl/>
        <w:spacing w:line="360" w:lineRule="auto"/>
        <w:ind w:firstLine="840" w:firstLineChars="4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合同成交总价（大写）：</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rPr>
        <w:t>最终结算造价以发包人审核结算为准。</w:t>
      </w:r>
    </w:p>
    <w:p>
      <w:pPr>
        <w:widowControl/>
        <w:spacing w:line="360" w:lineRule="auto"/>
        <w:ind w:firstLine="840" w:firstLineChars="4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其中：</w:t>
      </w:r>
      <w:r>
        <w:rPr>
          <w:rFonts w:hint="eastAsia" w:asciiTheme="minorEastAsia" w:hAnsiTheme="minorEastAsia" w:eastAsiaTheme="minorEastAsia" w:cstheme="minorEastAsia"/>
          <w:color w:val="auto"/>
          <w:kern w:val="0"/>
          <w:szCs w:val="21"/>
          <w:highlight w:val="none"/>
          <w:u w:val="single"/>
        </w:rPr>
        <w:t xml:space="preserve">               </w:t>
      </w:r>
    </w:p>
    <w:p>
      <w:pPr>
        <w:widowControl/>
        <w:spacing w:line="360" w:lineRule="auto"/>
        <w:ind w:firstLine="422" w:firstLineChars="200"/>
        <w:jc w:val="left"/>
        <w:rPr>
          <w:rFonts w:asciiTheme="minorEastAsia" w:hAnsiTheme="minorEastAsia" w:eastAsiaTheme="minorEastAsia" w:cstheme="minorEastAsia"/>
          <w:b/>
          <w:bCs/>
          <w:color w:val="auto"/>
          <w:kern w:val="0"/>
          <w:szCs w:val="21"/>
          <w:highlight w:val="none"/>
        </w:rPr>
      </w:pPr>
      <w:r>
        <w:rPr>
          <w:rFonts w:hint="eastAsia" w:asciiTheme="minorEastAsia" w:hAnsiTheme="minorEastAsia" w:eastAsiaTheme="minorEastAsia" w:cstheme="minorEastAsia"/>
          <w:b/>
          <w:bCs/>
          <w:color w:val="auto"/>
          <w:kern w:val="0"/>
          <w:szCs w:val="21"/>
          <w:highlight w:val="none"/>
        </w:rPr>
        <w:t>六、组成合同的文件</w:t>
      </w:r>
    </w:p>
    <w:p>
      <w:pPr>
        <w:widowControl/>
        <w:spacing w:line="360" w:lineRule="auto"/>
        <w:ind w:firstLine="840" w:firstLineChars="4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组成本合同的文件包括：</w:t>
      </w:r>
    </w:p>
    <w:p>
      <w:pPr>
        <w:widowControl/>
        <w:spacing w:line="360" w:lineRule="auto"/>
        <w:ind w:firstLine="840" w:firstLineChars="4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1、本合同协议书</w:t>
      </w:r>
    </w:p>
    <w:p>
      <w:pPr>
        <w:widowControl/>
        <w:spacing w:line="360" w:lineRule="auto"/>
        <w:ind w:firstLine="840" w:firstLineChars="4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2、本合同专用条款</w:t>
      </w:r>
    </w:p>
    <w:p>
      <w:pPr>
        <w:widowControl/>
        <w:spacing w:line="360" w:lineRule="auto"/>
        <w:ind w:firstLine="840" w:firstLineChars="4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3、本合同通用条款</w:t>
      </w:r>
    </w:p>
    <w:p>
      <w:pPr>
        <w:widowControl/>
        <w:spacing w:line="360" w:lineRule="auto"/>
        <w:ind w:firstLine="840" w:firstLineChars="4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4、成交通知书</w:t>
      </w:r>
    </w:p>
    <w:p>
      <w:pPr>
        <w:widowControl/>
        <w:spacing w:line="360" w:lineRule="auto"/>
        <w:ind w:firstLine="840" w:firstLineChars="4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5、响应文件、工程报价单或预算书及其附件</w:t>
      </w:r>
    </w:p>
    <w:p>
      <w:pPr>
        <w:widowControl/>
        <w:spacing w:line="360" w:lineRule="auto"/>
        <w:ind w:firstLine="840" w:firstLineChars="4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6、磋商文件、答疑纪要及工程量清单</w:t>
      </w:r>
    </w:p>
    <w:p>
      <w:pPr>
        <w:widowControl/>
        <w:spacing w:line="360" w:lineRule="auto"/>
        <w:ind w:firstLine="840" w:firstLineChars="4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7、图纸</w:t>
      </w:r>
    </w:p>
    <w:p>
      <w:pPr>
        <w:widowControl/>
        <w:spacing w:line="360" w:lineRule="auto"/>
        <w:ind w:firstLine="840" w:firstLineChars="4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8、标准、规范及有关技术文件</w:t>
      </w:r>
    </w:p>
    <w:p>
      <w:pPr>
        <w:widowControl/>
        <w:spacing w:line="360" w:lineRule="auto"/>
        <w:ind w:firstLine="840" w:firstLineChars="4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双方为履行本合同的有关洽商、变更等书面协议、文件，视为本合同的组成部分。</w:t>
      </w:r>
    </w:p>
    <w:p>
      <w:pPr>
        <w:widowControl/>
        <w:spacing w:line="360" w:lineRule="auto"/>
        <w:ind w:firstLine="422"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b/>
          <w:bCs/>
          <w:color w:val="auto"/>
          <w:kern w:val="0"/>
          <w:szCs w:val="21"/>
          <w:highlight w:val="none"/>
        </w:rPr>
        <w:t>七、</w:t>
      </w:r>
      <w:r>
        <w:rPr>
          <w:rFonts w:hint="eastAsia" w:asciiTheme="minorEastAsia" w:hAnsiTheme="minorEastAsia" w:eastAsiaTheme="minorEastAsia" w:cstheme="minorEastAsia"/>
          <w:color w:val="auto"/>
          <w:kern w:val="0"/>
          <w:szCs w:val="21"/>
          <w:highlight w:val="none"/>
        </w:rPr>
        <w:t>本协议书中有关词语含义与本合同第二部分《通用条款》中赋予的定义相同。</w:t>
      </w:r>
    </w:p>
    <w:p>
      <w:pPr>
        <w:widowControl/>
        <w:spacing w:line="360" w:lineRule="auto"/>
        <w:ind w:firstLine="422"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b/>
          <w:bCs/>
          <w:color w:val="auto"/>
          <w:kern w:val="0"/>
          <w:szCs w:val="21"/>
          <w:highlight w:val="none"/>
        </w:rPr>
        <w:t>八、</w:t>
      </w:r>
      <w:r>
        <w:rPr>
          <w:rFonts w:hint="eastAsia" w:asciiTheme="minorEastAsia" w:hAnsiTheme="minorEastAsia" w:eastAsiaTheme="minorEastAsia" w:cstheme="minorEastAsia"/>
          <w:color w:val="auto"/>
          <w:kern w:val="0"/>
          <w:szCs w:val="21"/>
          <w:highlight w:val="none"/>
        </w:rPr>
        <w:t>承包人按照合同约定进行施工、竣工并在质量保修期内承担工程质量保修责任。</w:t>
      </w:r>
    </w:p>
    <w:p>
      <w:pPr>
        <w:widowControl/>
        <w:spacing w:line="360" w:lineRule="auto"/>
        <w:ind w:firstLine="422"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b/>
          <w:bCs/>
          <w:color w:val="auto"/>
          <w:kern w:val="0"/>
          <w:szCs w:val="21"/>
          <w:highlight w:val="none"/>
        </w:rPr>
        <w:t>九、</w:t>
      </w:r>
      <w:r>
        <w:rPr>
          <w:rFonts w:hint="eastAsia" w:asciiTheme="minorEastAsia" w:hAnsiTheme="minorEastAsia" w:eastAsiaTheme="minorEastAsia" w:cstheme="minorEastAsia"/>
          <w:color w:val="auto"/>
          <w:kern w:val="0"/>
          <w:szCs w:val="21"/>
          <w:highlight w:val="none"/>
        </w:rPr>
        <w:t>发包人按照合同约定的期限和方式支付合同价款及其他应当支付的款项。</w:t>
      </w:r>
    </w:p>
    <w:p>
      <w:pPr>
        <w:widowControl/>
        <w:spacing w:line="360" w:lineRule="auto"/>
        <w:ind w:firstLine="422"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b/>
          <w:bCs/>
          <w:color w:val="auto"/>
          <w:kern w:val="0"/>
          <w:szCs w:val="21"/>
          <w:highlight w:val="none"/>
        </w:rPr>
        <w:t>十、</w:t>
      </w:r>
      <w:r>
        <w:rPr>
          <w:rFonts w:hint="eastAsia" w:asciiTheme="minorEastAsia" w:hAnsiTheme="minorEastAsia" w:eastAsiaTheme="minorEastAsia" w:cstheme="minorEastAsia"/>
          <w:color w:val="auto"/>
          <w:kern w:val="0"/>
          <w:szCs w:val="21"/>
          <w:highlight w:val="none"/>
        </w:rPr>
        <w:t>合同生效</w:t>
      </w:r>
    </w:p>
    <w:p>
      <w:pPr>
        <w:widowControl/>
        <w:spacing w:line="360" w:lineRule="auto"/>
        <w:ind w:firstLine="840" w:firstLineChars="4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合同订立时间：</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rPr>
        <w:t xml:space="preserve"> </w:t>
      </w:r>
    </w:p>
    <w:p>
      <w:pPr>
        <w:widowControl/>
        <w:spacing w:line="360" w:lineRule="auto"/>
        <w:ind w:firstLine="840" w:firstLineChars="400"/>
        <w:jc w:val="left"/>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合同订立地点：</w:t>
      </w:r>
      <w:r>
        <w:rPr>
          <w:rFonts w:hint="eastAsia" w:asciiTheme="minorEastAsia" w:hAnsiTheme="minorEastAsia" w:eastAsiaTheme="minorEastAsia" w:cstheme="minorEastAsia"/>
          <w:color w:val="auto"/>
          <w:kern w:val="0"/>
          <w:szCs w:val="21"/>
          <w:highlight w:val="none"/>
          <w:u w:val="single"/>
        </w:rPr>
        <w:t xml:space="preserve">          </w:t>
      </w:r>
    </w:p>
    <w:p>
      <w:pPr>
        <w:widowControl/>
        <w:spacing w:line="360" w:lineRule="auto"/>
        <w:ind w:firstLine="840" w:firstLineChars="4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本合同经双方约定</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rPr>
        <w:t>后生效。</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发包人：（盖单位章）</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rPr>
        <w:t xml:space="preserve">                   承包人：（盖单位章）</w:t>
      </w:r>
      <w:r>
        <w:rPr>
          <w:rFonts w:hint="eastAsia" w:asciiTheme="minorEastAsia" w:hAnsiTheme="minorEastAsia" w:eastAsiaTheme="minorEastAsia" w:cstheme="minorEastAsia"/>
          <w:color w:val="auto"/>
          <w:kern w:val="0"/>
          <w:szCs w:val="21"/>
          <w:highlight w:val="none"/>
          <w:u w:val="single"/>
        </w:rPr>
        <w:t xml:space="preserve">           </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地址:</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rPr>
        <w:t xml:space="preserve">                      地址： </w:t>
      </w:r>
      <w:r>
        <w:rPr>
          <w:rFonts w:hint="eastAsia" w:asciiTheme="minorEastAsia" w:hAnsiTheme="minorEastAsia" w:eastAsiaTheme="minorEastAsia" w:cstheme="minorEastAsia"/>
          <w:color w:val="auto"/>
          <w:kern w:val="0"/>
          <w:szCs w:val="21"/>
          <w:highlight w:val="none"/>
          <w:u w:val="single"/>
        </w:rPr>
        <w:t xml:space="preserve">                   </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邮政编码：</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rPr>
        <w:t xml:space="preserve">                                  邮政编码：</w:t>
      </w:r>
      <w:r>
        <w:rPr>
          <w:rFonts w:hint="eastAsia" w:asciiTheme="minorEastAsia" w:hAnsiTheme="minorEastAsia" w:eastAsiaTheme="minorEastAsia" w:cstheme="minorEastAsia"/>
          <w:color w:val="auto"/>
          <w:kern w:val="0"/>
          <w:szCs w:val="21"/>
          <w:highlight w:val="none"/>
          <w:u w:val="single"/>
        </w:rPr>
        <w:t xml:space="preserve">                </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法定代表人：</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rPr>
        <w:t xml:space="preserve">                        法定代表人：</w:t>
      </w:r>
      <w:r>
        <w:rPr>
          <w:rFonts w:hint="eastAsia" w:asciiTheme="minorEastAsia" w:hAnsiTheme="minorEastAsia" w:eastAsiaTheme="minorEastAsia" w:cstheme="minorEastAsia"/>
          <w:color w:val="auto"/>
          <w:kern w:val="0"/>
          <w:szCs w:val="21"/>
          <w:highlight w:val="none"/>
          <w:u w:val="single"/>
        </w:rPr>
        <w:t xml:space="preserve">              </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 xml:space="preserve">委托代理人： </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rPr>
        <w:t xml:space="preserve">                       委托代理人：</w:t>
      </w:r>
      <w:r>
        <w:rPr>
          <w:rFonts w:hint="eastAsia" w:asciiTheme="minorEastAsia" w:hAnsiTheme="minorEastAsia" w:eastAsiaTheme="minorEastAsia" w:cstheme="minorEastAsia"/>
          <w:color w:val="auto"/>
          <w:kern w:val="0"/>
          <w:szCs w:val="21"/>
          <w:highlight w:val="none"/>
          <w:u w:val="single"/>
        </w:rPr>
        <w:t xml:space="preserve">              </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电话：</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rPr>
        <w:t xml:space="preserve">                               电话：</w:t>
      </w:r>
      <w:r>
        <w:rPr>
          <w:rFonts w:hint="eastAsia" w:asciiTheme="minorEastAsia" w:hAnsiTheme="minorEastAsia" w:eastAsiaTheme="minorEastAsia" w:cstheme="minorEastAsia"/>
          <w:color w:val="auto"/>
          <w:kern w:val="0"/>
          <w:szCs w:val="21"/>
          <w:highlight w:val="none"/>
          <w:u w:val="single"/>
        </w:rPr>
        <w:t xml:space="preserve">             </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传真：</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rPr>
        <w:t xml:space="preserve">                               传真：</w:t>
      </w:r>
      <w:r>
        <w:rPr>
          <w:rFonts w:hint="eastAsia" w:asciiTheme="minorEastAsia" w:hAnsiTheme="minorEastAsia" w:eastAsiaTheme="minorEastAsia" w:cstheme="minorEastAsia"/>
          <w:color w:val="auto"/>
          <w:kern w:val="0"/>
          <w:szCs w:val="21"/>
          <w:highlight w:val="none"/>
          <w:u w:val="single"/>
        </w:rPr>
        <w:t xml:space="preserve">             </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u w:val="dash"/>
        </w:rPr>
      </w:pPr>
      <w:r>
        <w:rPr>
          <w:rFonts w:hint="eastAsia" w:asciiTheme="minorEastAsia" w:hAnsiTheme="minorEastAsia" w:eastAsiaTheme="minorEastAsia" w:cstheme="minorEastAsia"/>
          <w:color w:val="auto"/>
          <w:kern w:val="0"/>
          <w:szCs w:val="21"/>
          <w:highlight w:val="none"/>
        </w:rPr>
        <w:t>开户银行：</w:t>
      </w:r>
      <w:r>
        <w:rPr>
          <w:rFonts w:hint="eastAsia" w:asciiTheme="minorEastAsia" w:hAnsiTheme="minorEastAsia" w:eastAsiaTheme="minorEastAsia" w:cstheme="minorEastAsia"/>
          <w:color w:val="auto"/>
          <w:kern w:val="0"/>
          <w:szCs w:val="21"/>
          <w:highlight w:val="none"/>
          <w:u w:val="single"/>
        </w:rPr>
        <w:t xml:space="preserve">          /    </w:t>
      </w:r>
      <w:r>
        <w:rPr>
          <w:rFonts w:hint="eastAsia" w:asciiTheme="minorEastAsia" w:hAnsiTheme="minorEastAsia" w:eastAsiaTheme="minorEastAsia" w:cstheme="minorEastAsia"/>
          <w:color w:val="auto"/>
          <w:kern w:val="0"/>
          <w:szCs w:val="21"/>
          <w:highlight w:val="none"/>
        </w:rPr>
        <w:t xml:space="preserve">                          开户银行： </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帐号：</w:t>
      </w:r>
      <w:r>
        <w:rPr>
          <w:rFonts w:hint="eastAsia" w:asciiTheme="minorEastAsia" w:hAnsiTheme="minorEastAsia" w:eastAsiaTheme="minorEastAsia" w:cstheme="minorEastAsia"/>
          <w:color w:val="auto"/>
          <w:kern w:val="0"/>
          <w:szCs w:val="21"/>
          <w:highlight w:val="none"/>
          <w:u w:val="single"/>
        </w:rPr>
        <w:t xml:space="preserve">       /         </w:t>
      </w:r>
      <w:r>
        <w:rPr>
          <w:rFonts w:hint="eastAsia" w:asciiTheme="minorEastAsia" w:hAnsiTheme="minorEastAsia" w:eastAsiaTheme="minorEastAsia" w:cstheme="minorEastAsia"/>
          <w:color w:val="auto"/>
          <w:kern w:val="0"/>
          <w:szCs w:val="21"/>
          <w:highlight w:val="none"/>
        </w:rPr>
        <w:t xml:space="preserve">                             帐号：</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p>
    <w:p>
      <w:pPr>
        <w:widowControl/>
        <w:spacing w:line="360" w:lineRule="auto"/>
        <w:ind w:firstLine="420" w:firstLineChars="200"/>
        <w:jc w:val="left"/>
        <w:rPr>
          <w:rFonts w:asciiTheme="minorEastAsia" w:hAnsiTheme="minorEastAsia" w:eastAsiaTheme="minorEastAsia" w:cstheme="minorEastAsia"/>
          <w:color w:val="auto"/>
          <w:kern w:val="0"/>
          <w:sz w:val="84"/>
          <w:szCs w:val="84"/>
          <w:highlight w:val="none"/>
          <w:u w:val="single"/>
        </w:rPr>
      </w:pPr>
      <w:r>
        <w:rPr>
          <w:rFonts w:hint="eastAsia" w:asciiTheme="minorEastAsia" w:hAnsiTheme="minorEastAsia" w:eastAsiaTheme="minorEastAsia" w:cstheme="minorEastAsia"/>
          <w:color w:val="auto"/>
          <w:szCs w:val="21"/>
          <w:highlight w:val="none"/>
        </w:rPr>
        <w:t>建设行政管理部门备案意见</w:t>
      </w:r>
      <w:r>
        <w:rPr>
          <w:rFonts w:hint="eastAsia" w:asciiTheme="minorEastAsia" w:hAnsiTheme="minorEastAsia" w:eastAsiaTheme="minorEastAsia" w:cstheme="minorEastAsia"/>
          <w:color w:val="auto"/>
          <w:kern w:val="0"/>
          <w:szCs w:val="21"/>
          <w:highlight w:val="none"/>
        </w:rPr>
        <w:t>：</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sz w:val="24"/>
          <w:highlight w:val="none"/>
          <w:u w:val="single"/>
        </w:rPr>
        <w:t xml:space="preserve">  </w:t>
      </w:r>
    </w:p>
    <w:p>
      <w:pPr>
        <w:pStyle w:val="4"/>
        <w:tabs>
          <w:tab w:val="left" w:pos="3780"/>
        </w:tabs>
        <w:spacing w:after="120"/>
        <w:jc w:val="center"/>
        <w:rPr>
          <w:rFonts w:asciiTheme="minorEastAsia" w:hAnsiTheme="minorEastAsia" w:eastAsiaTheme="minorEastAsia" w:cstheme="minorEastAsia"/>
          <w:bCs w:val="0"/>
          <w:color w:val="auto"/>
          <w:highlight w:val="none"/>
        </w:rPr>
      </w:pPr>
      <w:bookmarkStart w:id="84" w:name="_Toc19816"/>
      <w:bookmarkStart w:id="85" w:name="_Toc475028058"/>
      <w:r>
        <w:rPr>
          <w:rFonts w:hint="eastAsia" w:asciiTheme="minorEastAsia" w:hAnsiTheme="minorEastAsia" w:eastAsiaTheme="minorEastAsia" w:cstheme="minorEastAsia"/>
          <w:bCs w:val="0"/>
          <w:color w:val="auto"/>
          <w:highlight w:val="none"/>
        </w:rPr>
        <w:br w:type="page"/>
      </w:r>
      <w:bookmarkStart w:id="86" w:name="_Toc505869058"/>
      <w:r>
        <w:rPr>
          <w:rFonts w:hint="eastAsia" w:asciiTheme="minorEastAsia" w:hAnsiTheme="minorEastAsia" w:eastAsiaTheme="minorEastAsia" w:cstheme="minorEastAsia"/>
          <w:bCs w:val="0"/>
          <w:color w:val="auto"/>
          <w:sz w:val="32"/>
          <w:highlight w:val="none"/>
        </w:rPr>
        <w:t>第二部分  通用条款</w:t>
      </w:r>
      <w:bookmarkEnd w:id="84"/>
      <w:bookmarkEnd w:id="85"/>
      <w:bookmarkEnd w:id="86"/>
    </w:p>
    <w:p>
      <w:pPr>
        <w:widowControl/>
        <w:spacing w:line="360" w:lineRule="auto"/>
        <w:jc w:val="left"/>
        <w:rPr>
          <w:rFonts w:asciiTheme="minorEastAsia" w:hAnsiTheme="minorEastAsia" w:eastAsiaTheme="minorEastAsia" w:cstheme="minorEastAsia"/>
          <w:color w:val="auto"/>
          <w:kern w:val="0"/>
          <w:szCs w:val="21"/>
          <w:highlight w:val="none"/>
        </w:rPr>
      </w:pPr>
    </w:p>
    <w:p>
      <w:pPr>
        <w:widowControl/>
        <w:spacing w:line="360" w:lineRule="auto"/>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一、词语定义及合同文件</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1、词语定义</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下列词语除专用条款另有约定外，应具有本条所赋予的定义：</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1.1通用条款：是根据法律、行政法规规定及建设工程施工的需要订立，通用于建设工程施工的条款。</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1.2专用条款：是发包人与承包人根据法律、行政法规规定，结合具体工程实际，经协商达成一致意见的条款，是对通用条款的具体化、补充或修改。</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1.3发包人：指在协议书中约定，具有工程发包主体资格和支付工程价款能力的当事人以及取得该当事人资格的合法继承人。</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1.4承包人：指在协议书中约定，被发包人接受的具有工程施工承包主体资格的当事人以及取得该当事人资格的合法继承人。</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1.5项目经理：指承包人在专用条款中指定的具有执业资格的负责施工管理和合同履行的代表。</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1.6设计单位：指发包人委托的负责本工程设计并取得相应工程设计资质等级证书的单位。</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1.7监理单位：指发包人委托的负责本工程监理并取得相应工程监理资质等级证书的单位。</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1.8工程师：指本工程监理单位委派的总监理工程师或发包人指定的履行本合同的代表，其具体身份和职权由发包人承包人在专用条款中约定。</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1.9工程造价管理部门：指国务院有关部门、县级以上人民政府建设行政主管部门或其委托的工程造价管理机构。</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1.10工程：指发包人承包人在协议书中约定的承包范围内的工程。</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1.11工程量清单：表现拟建工程的分部分项工程项目、措施项目、其他项目名称和相应数量的明细清单。</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1.12综合单价：完成工程量清单中一个规定计量单位项目所需的人工费、材料费、机械使用费、管理费和利润，并考虑风险因素。</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1.13合同价款：指发包人承包人在协议书中约定，发包人用以支付承包人按照合同约定完成承包范围内全部工程并承担质量保修责任的款项。</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1.14预留金：指发包人为可能发生的工程量变更而预留的款额。</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1.15工程分包和材料购置费：指发包人将按有关规定准予分包的工作、指定分包人或指定材料供应商供应材料而预留的款额。</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1.16总承包服务费：为配合协调发包人进行的工程分包和材料采购所需的费用。</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1.17零星工作项目费：完成发包人提出的工程量暂估的零星工作所需的费用。</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1.18追加合同价款：指在合同履行中发生需要增加合同价款的情况，经发包人确认后按计算合同价款的方法增加的合同价款。</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1.19费用：指不包含在合同价款之内的应当由发包人或承包人承担的经济支出。</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1.20工期：指发包人承包人在协议书中约定，按总日历天数（包括法定节假日）计算的承包天数。</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1.21开工日期：指发包人承包人在协议书中约定，承包人开始施工的绝对或相对的日期。</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1.22竣工日期：指发包人承包人在协议书中约定，承包人完成承包范围内工程的绝对或相对的日期。</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1.23图纸：指由发包人提供或由承包人提供并经发包人批准，满足承包人施工需要的所有图纸（包括配套说明和有关资料）。</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1.24施工场地：指由发包人提供的用于工程施工的场所以及发包人在图纸中具体指定的供施工使用的任何其他场所。</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1.25书面形式：指合同书、信件和数据电文（包括电报、电传、传真、电子数据交换和电子邮件）等可以有形地表现所载内容的形式。</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1.26违约责任：指合同一方不履行合同义务或履行合同义务不符合约定所应承担的责任。</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1.27索赔：指在合同履行过程中，对于并非自己的过错，而是应由对方承担责任的情况造成的实际损失，向对方提出经济补偿和（或）工期顺延的要求。</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1.28不可抗力：指不能预见、不能避免并不能克服的客观情况。</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1.29小时或天：本合同中规定按小时计算时间的，从事件有效开始时计算（不扣除休息时间）；规定按天计算时间的，开始当天不计入，从次日开始计算。时限的最后一天是休息日或者其他法定节假日的，以节假日次日为时限的最后一天，但竣工日期除外。时限的最后一天的截止时间为当日24时。</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2、合同文件及解释顺序</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2.1合同文件应能相互解释，互为说明。除专用条款另有约定外，组成本合同的文件及优先解释顺序如下：</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lang w:val="en-US" w:eastAsia="zh-CN"/>
        </w:rPr>
        <w:t>2.1.</w:t>
      </w:r>
      <w:r>
        <w:rPr>
          <w:rFonts w:hint="eastAsia" w:asciiTheme="minorEastAsia" w:hAnsiTheme="minorEastAsia" w:eastAsiaTheme="minorEastAsia" w:cstheme="minorEastAsia"/>
          <w:color w:val="auto"/>
          <w:kern w:val="0"/>
          <w:szCs w:val="21"/>
          <w:highlight w:val="none"/>
        </w:rPr>
        <w:t>1、本合同协议书</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lang w:val="en-US" w:eastAsia="zh-CN"/>
        </w:rPr>
        <w:t>2.1.2</w:t>
      </w:r>
      <w:r>
        <w:rPr>
          <w:rFonts w:hint="eastAsia" w:asciiTheme="minorEastAsia" w:hAnsiTheme="minorEastAsia" w:eastAsiaTheme="minorEastAsia" w:cstheme="minorEastAsia"/>
          <w:color w:val="auto"/>
          <w:kern w:val="0"/>
          <w:szCs w:val="21"/>
          <w:highlight w:val="none"/>
        </w:rPr>
        <w:t>、本合同专用条款</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lang w:val="en-US" w:eastAsia="zh-CN"/>
        </w:rPr>
        <w:t>2.1.</w:t>
      </w:r>
      <w:r>
        <w:rPr>
          <w:rFonts w:hint="eastAsia" w:asciiTheme="minorEastAsia" w:hAnsiTheme="minorEastAsia" w:eastAsiaTheme="minorEastAsia" w:cstheme="minorEastAsia"/>
          <w:color w:val="auto"/>
          <w:kern w:val="0"/>
          <w:szCs w:val="21"/>
          <w:highlight w:val="none"/>
        </w:rPr>
        <w:t>3、本合同通用条款</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lang w:val="en-US" w:eastAsia="zh-CN"/>
        </w:rPr>
        <w:t>2.1.</w:t>
      </w:r>
      <w:r>
        <w:rPr>
          <w:rFonts w:hint="eastAsia" w:asciiTheme="minorEastAsia" w:hAnsiTheme="minorEastAsia" w:eastAsiaTheme="minorEastAsia" w:cstheme="minorEastAsia"/>
          <w:color w:val="auto"/>
          <w:kern w:val="0"/>
          <w:szCs w:val="21"/>
          <w:highlight w:val="none"/>
        </w:rPr>
        <w:t>4、成交通知书</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lang w:val="en-US" w:eastAsia="zh-CN"/>
        </w:rPr>
        <w:t>2.1.</w:t>
      </w:r>
      <w:r>
        <w:rPr>
          <w:rFonts w:hint="eastAsia" w:asciiTheme="minorEastAsia" w:hAnsiTheme="minorEastAsia" w:eastAsiaTheme="minorEastAsia" w:cstheme="minorEastAsia"/>
          <w:color w:val="auto"/>
          <w:kern w:val="0"/>
          <w:szCs w:val="21"/>
          <w:highlight w:val="none"/>
        </w:rPr>
        <w:t>5、报价函、工程报价单或预算书及其附件</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lang w:val="en-US" w:eastAsia="zh-CN"/>
        </w:rPr>
        <w:t>2.1.</w:t>
      </w:r>
      <w:r>
        <w:rPr>
          <w:rFonts w:hint="eastAsia" w:asciiTheme="minorEastAsia" w:hAnsiTheme="minorEastAsia" w:eastAsiaTheme="minorEastAsia" w:cstheme="minorEastAsia"/>
          <w:color w:val="auto"/>
          <w:kern w:val="0"/>
          <w:szCs w:val="21"/>
          <w:highlight w:val="none"/>
        </w:rPr>
        <w:t>6、招标文件、答疑纪要及工程量清单　</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lang w:val="en-US" w:eastAsia="zh-CN"/>
        </w:rPr>
        <w:t>2.1.</w:t>
      </w:r>
      <w:r>
        <w:rPr>
          <w:rFonts w:hint="eastAsia" w:asciiTheme="minorEastAsia" w:hAnsiTheme="minorEastAsia" w:eastAsiaTheme="minorEastAsia" w:cstheme="minorEastAsia"/>
          <w:color w:val="auto"/>
          <w:kern w:val="0"/>
          <w:szCs w:val="21"/>
          <w:highlight w:val="none"/>
        </w:rPr>
        <w:t>7、图纸</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lang w:val="en-US" w:eastAsia="zh-CN"/>
        </w:rPr>
        <w:t>2.1.</w:t>
      </w:r>
      <w:r>
        <w:rPr>
          <w:rFonts w:hint="eastAsia" w:asciiTheme="minorEastAsia" w:hAnsiTheme="minorEastAsia" w:eastAsiaTheme="minorEastAsia" w:cstheme="minorEastAsia"/>
          <w:color w:val="auto"/>
          <w:kern w:val="0"/>
          <w:szCs w:val="21"/>
          <w:highlight w:val="none"/>
        </w:rPr>
        <w:t>8、标准、规范及有关技术文件</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双方为履行本合同的有关洽商、变更等书面协议、文件，视为本合同的组成部分。</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2.2当合同文件内容含糊不清或不相一致时，在不影响工程正常进行的情况下，由发包人承包人协商解决。双方也可以提请负责监理的工程师做出解释。双方协商不成或不同意负责监理的工程师的解释时，按本通用条款第41条关于争议的约定处理。</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3、语言文字和适用法律、标准及规范</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3.1语言文字</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本合同文件使用汉语语言文字书写、解释和说明。如专用条款约定使用两种以上（含两种）语言文字时，汉语应为解释和说明本合同的标准语言文字。</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3.2适用法律和法规</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本合同文件适用国家的法律和行政法规。需要明示的法律、行政法规，由双方在专用条款中约定。</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3.3适用标准、规范</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双方在专用条款内约定适用国家标准、规范的名称；没有国家标准、规范但有行业标准、规范的，约定适用行业标准、规范的名称；没有国家和行业标准、规范的，约定适用工程所在地地方标准、规范的名称。发包人应按专用条款约定的时间向承包人提供一式两份约定的标准、规范。</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国内没有相应标准、规范的，由发包人按专用条款约定的时间向承包人提出施工技术要求，承包人按约定的时间和要求提出施工工艺，经发包人认可后执行。发包人要求使用国外标准、规范的，应负责提供中文译本。</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本条所发生的购买、翻译标准、规范或制定施工工艺的费用，由发包人承担。</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4、图纸</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4.1发包人应按专用条款约定的日期和套数，向承包人提供图纸。承包人需要增加图纸套数的，发包人应代为复制，复制费用由承包人承担。发包人对工程有保密要求的，应在专用条款中提出保密要求，保密措施费用由发包人承担，承包人在约定保密期限内履行保密义务。</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4.2承包人未经发包人同意，不得将本工程图纸转给第三人。工程质量保修期满后，除承包人存档需要的图纸外，应将全部图纸退还给发包人。</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4.3承包人应在施工现场保留一套完整图纸，供工程师及有关人员进行工程检查时使用。</w:t>
      </w:r>
    </w:p>
    <w:p>
      <w:pPr>
        <w:widowControl/>
        <w:spacing w:line="360" w:lineRule="auto"/>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二、双方一般权利和义务</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5、工程师</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5.1实行工程监理的，发包人应在实施监理前将委托的监理单位名称、监理内容及监理权限以书面形式通知承包人。</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5.2监理单位委派的总监理工程师在本合同中称工程师，其姓名、职务、职权由发包人承包人在专用条款内写明。工程师按合同约定行使职权，发包人在专用条款内要求工程师在行使某些职权前需要征得发包人批准的，工程师应征得发包人批准。</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5.3发包人派驻施工场地履行合同的代表在本合同中也称工程师，其姓名、职务、职权由发包人在专用条款内写明，但职权不得与监理单位委派的总监理工程师职权相互交叉。双方职权发生交叉或不明确时，由发包人予以明确，并以书面形式通知承包人。</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5.4合同履行中，发生影响发包人承包人双方权利或义务的事件时，负责监理的工程师应依据合同在其职权范围内客观公正地进行处理。一方对工程师的处理有异议时，按本通用条款第41条关于争议的约定处理。</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5.5除合同内有明确约定或经发包人同意外，负责监理的工程师无权解除本合同约定的承包人的任何权利与义务。</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5.6不实行工程监理的，本合同中工程师专指发包人派驻施工场地履行合同的代表，其具体职权由发包人在专用条款内写明。</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6、工程师的委派和指令</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6.1工程师可委派工程师代表，行使合同约定的自己的职权，并可在认为必要时撤回委派。委派和撤回均应提前7天以书面形式通知承包人，负责监理的工程师还应将委派和撤回通知发包人。委派书和撤回通知作为本合同附件。</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工程师代表在工程师授权范围内向承包人发出的任何书面形式的函件，与工程师发出的函件具有同等效力。承包人对工程师代表向其发出的任何书面形式的函件有疑问时，可将此函件提交工程师，工程师应进行确认。工程师代表发出指令有失误时，工程师应进行纠正。</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除工程师或工程师代表外，发包人派驻工地的其他人员均无权向承包人发出任何指令。</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6.2工程师的指令、通知由其本人签字后，以书面形式交给项目经理，项目经理在回执上签署姓名和收到时间后生效。确有必要时，工程师可发出口头指令，并在48小时内给予书面确认，承包人对工程师的指令应予执行。工程师不能及时给予书面确认的，承包人应于工程师发出口头指令后7天内提出书面确认要求。工程师在承包人提出确认要求后48小时内不予答复的，视为口头指令已被确认。</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承包人认为工程师指令不合理，应在收到指令后24小时内向工程师提出修改指令的书面报告，工程师在收到承包人报告后24小时内作出修改指令或继续执行原指令的决定，并以书面形式通知承包人。紧急情况下，工程师要求承包人立即执行的指令或承包人虽有异议，但工程师决定仍继续执行的指令，承包人应予执行。因指令错误发生的追加合同价款和给承包人造成的损失由发包人承担，延误的工期相应顺延。</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本款规定同样适用于由工程师代表发出的指令、通知。</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6.3工程师应按合同约定，及时向承包人提供所需指令、批准并履行约定的其他义务。由于工程师未能按合同约定履行义务造成工期延误，发包人应承担延误造成的追加合同价款，并赔偿承包人有关损失，顺延延误的工期。</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6.4如需更换工程师，发包人应至少提前7天以书面形式通知承包人，后任继续行使合同文件约定的前任的职权，履行前任的义务。</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7、项目经理</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7.1项目经理的姓名、职务在专用条款内写明。</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7.2承包人依据合同发出的通知，以书面形式由项目经理签字后送交工程师，工程师在回执上签署姓名和收到时间后生效。</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7.3项目经理按发包人认可的施工组织设计（施工方案）和工程师依据合同发出的指令组织施工。在情况紧急且无法与工程师联系时，项目经理应当采取保证人员生命和工程、财产安全的紧急措施，并在采取措施后48小时内向工程师送交报告。责任在发包人或第三人，由发包人承担由此发生的追加合同价款，相应顺延工期；责任在承包人，由承包人承担费用，不顺延工期。</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7.4承包人如需要更换项目经理，应至少提前7天以书面形式通知发包人，并征得发包人同意。后任继续行使合同文件约定的前任的职权，履行前任的义务。</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7.5发包人可以与承包人协商，建议更换其认为不称职的项目经理。</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8、发包人工作</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8.1发包人按专用条款约定的内容和时间完成以下工作：</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（1）办理土地征用、拆迁补偿、平整施工场地等工作，使施工场地具备施工条件，在开工后继续负责解决以上事项遗留问题；</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（2）将施工所需水、电、电讯线路从施工场地外部接至专用条款约定地点，保证施工期间的需要；</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（3）开通施工场地与城乡公共道路的通道，以及专用条款约定的施工场地内的主要道路，满足施工运输的需要，保证施工期间的畅通；</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（4）向承包人提供施工场地的工程地质和地下管线资料，对资料的真实准确性负责；</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（5）办理施工许可证及其它施工所需批件和临时用地、停水、停电、中断道路交通、爆破作业等的证件申请批准手续（证明承包人自身资质的证件除外）；</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（6）确定水准点与坐标控制点，以书面形式交给承包人，进行现场交验；</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（7）组织承包人和设计单位进行图纸会审和设计交底；</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（8）协调处理施工场地周围地下管线和邻近建筑物、构筑物（包括文物保护建筑）、古树名木的保护工作、承担有关费用；</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（9）发包人应做的其他工作，双方在专用条款内约定。</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8.2发包人可以将8.1款部分工作委托承包人办理，双方在专用条款内约定，其费用由发包人承担。</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8.3发包人未能履行8.1款各项义务，导致工期延误或给承包人造成损失的，发包人赔偿承包人有关损失，顺延延误的工期。</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9、承包人工作</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9.1承包人按专用条款约定的内容和时间完成以下工作：</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（1）根据发包人委托，在其设计资质等级和业务允许的范围内，完成施工图设计或与工程配套的设计，经工程师确认后使用，发包人承担由此发生的费用；</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（2）向工程师提供年、季、月度工程进度计划及相应进度统计报表；</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（3）根据工程需要，提供和维修非夜间施工使用的照明、围栏设施；负责施工现场安全保卫；</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（4）按专用条款约定的数量和要求，向发包人提供施工场地办公和生活的房屋及设施，发包人承担由此发生的费用；</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（5）遵守政府有关主管部门对施工场地安全防护、文明施工、环境保护以及场地交通等的管理规定，按规定办理有关手续，并以书面形式通知发包人。</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6）已竣工工程未交付发包人之前，承包人按专用条款约定负责已完工程的保护工作，保护期间发生损坏，承包人自费予以修复；发包人要求承包人采取特殊措施保护的工程部位和相应的追加合同价款，双方在专用条款内约定；</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（7）按专用条款约定做好施工场地地下管线和邻近建筑物、构筑物（包括文物保护建筑）、古树名木的保护工作；</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（8）保证施工场地清洁符合环境卫生管理的有关规定，交工前清理现场达到专用条款约定的要求，承担因自身原因违反有关规定造成的损失和罚款；</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（9）承包人应做的其他工作，双方在专用条款内约定。</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9.2承包人未能履行9.1款各项义务，造成发包人损失的，承包人赔偿发包人有关损失。</w:t>
      </w:r>
    </w:p>
    <w:p>
      <w:pPr>
        <w:widowControl/>
        <w:spacing w:line="360" w:lineRule="auto"/>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三、施工组织设计和工期</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10、进度计划</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10.1承包人应按专用条款约定的日期，将施工组织设计和工程进度计划提交工程师，工程师按专用条款约定的时间予以确认或提出修改意见，逾期不确认也不提出书面意见的，视为同意。</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10.2群体工程中单位工程分期进行施工的，承包人应按照发包人提供图纸及有关资料的时间，按单位工程编制进度计划，其具体内容双方在专用条款中约定。</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10.3承包人必须按工程师确认的进度计划组织施工，接受工程师对进度的检查、监督。工程实际进度与经确认的进度计划不符时，承包人应按工程师的要求提出改进措施，经工程师确认后执行。因承包人的原因导致实际进度与进度计划不符，承包人无权就改进措施提出追加合同价款。</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11、开工及延期开工</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11.1承包人应当按照协议书约定的开工日期开工。承包人不能按时开工，应当不迟于协议书约定的开工日期前7天，以书面形式向工程师提出延期开工的理由和要求。工程师应当在接到延期开工申请后的48小时内以书面形式答复承包人。工程师在接到延期开工申请后48小时内不答复，视为同意承包人要求，工期相应顺延。工程师不同意延期要求或承包人未在规定时间内提出延期开工要求，工期不予顺延。</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11.2因发包人原因不能按照协议书约定的开工日期开工，工程师应以书面形式通知承包人，推迟开工日期。发包人赔偿承包人因延期开工造成的损失，并相应顺延工期。</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12、暂停施工</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工程师认为确有必要暂停施工时，应当以书面形式要求承包人暂停施工，并在提出要求后48小时内提出书面处理意见。承包人应当按工程师要求停止施工，并妥善保护已完工程。承包人实施工程师作出的处理意见后，可以书面形式提出复工要求，工程师应当在48小时内给予答复。工程师未能在规定时间内提出处理意见，或收到承包人复工要求后48小时内未予答复，承包人可自行复工。因发包人原因造成停工的，由发包人承担所发生的追加合同价款，赔偿承包人由此造成的损失，相应顺延工期；因承包人原因造成停工的，由承包人承担发生的费用，工期不予顺延。</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13、工期延误</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13.1因以下原因造成工期延误，经工程师确认，工期相应顺延：</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（1）发包人未能按专用条款的约定提供图纸及开工条件；</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（2）发包人未能按约定日期支付工程预付款、进度款，致使施工不能正常进行；</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（3）工程师未按合同约定提供所需指令、批准等，致使施工不能正常进行；</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（4）设计变更和工程量增加；</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（5）一周内非承包人原因停水、停电、停气造成停工累计超过8小时；</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（6）不可抗力；</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（7）专用条款中约定或工程师同意工期顺延的其他情况。</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13.2承包人在13.1款情况发生后14天内，就延误的工期以书面形式向工程师提出报告。工程师在收到报告后14天内予以确认，逾期不予确认也不提出修改意见，视为同意顺延工期。</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14、工程竣工</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14.1承包人必须按照协议书约定的竣工日期或工程师同意顺延的工期竣工。</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14.2因承包人原因不能按照协议书约定的竣工日期或工程师同意顺延的工期竣工的，承包人承担违约责任。</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14.3施工中发包人如需提前竣工，双方协商一致后应签订提前竣工协议，作为合同文件组成部分。提前竣工协议应包括承包人为保证工程质量和安全采取的措施、发包人为提前竣工提供的条件以及提前竣工所需的追加合同价款等内容。</w:t>
      </w:r>
    </w:p>
    <w:p>
      <w:pPr>
        <w:widowControl/>
        <w:spacing w:line="360" w:lineRule="auto"/>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四、质量与检验</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15、工程质量</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15.1工程质量应当达到协议书约定的质量标准，质量标准的评定以国家或行业的质量检验评定标准为依据。因承包人原因工程质量达不到约定的质量标准，承包人承担违约责任。</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15.2双方对工程质量有争议，由双方同意的工程质量检测机构鉴定，所需费用及因此造成的损失，由责任方承担。双方均有责任，由双方根据其责任分别承担。</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16、检查和返工</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16.1承包人应认真按照标准、规范和设计图纸要求以及工程师依据合同发出的指令施工，随时接受工程师的检查检验，为检查检验提供便利条件。</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16.2工程质量达不到约定标准的部分，工程师一经发现，应要求承包人拆除和重新施工，承包人应按工程师的要求拆除和重新施工，直到符合约定标准。因承包人原因达不到约定标准，由承包人承担拆除和重新施工的费用，工期不予顺延。</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16.3工程师的检查检验不应影响施工正常进行。如影响施工正常进行，检查检验不合格时，影响正常施工的费用由承包人承担。除此之外影响正常施工的追加合同价款由发包人承担，相应顺延工期。</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16.4因工程师指令失误或其他非承包人原因发生的追加合同价款，由发包人承担。</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17、隐蔽工程和中间验收</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17.1工程具备隐蔽条件或达到专用条款约定的中间验收部位，承包人进行自检，并在隐蔽或中间验收前48小时以书面形式通知工程师验收。通知包括隐蔽和中间验收的内容、验收时间和地点。承包人准备验收记录，验收合格，工程师在验收记录上签字后，承包人可进行隐蔽和继续施工。验收不合格，承包人在工程师限定的时间内修改后重新验收。</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17.2工程师不能按时进行验收，应在验收前24小时以书面形式向承包人提出延期要求，延期不能超过48小时。工程师未能按以上时间提出延期要求，不进行验收，承包人可自行组织验收，工程师应承认验收记录。</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17.3经工程师验收，工程质量符合标准、规范和设计图纸等要求，验收24小时后，工程师不在验收记录上签字，视为工程师已经认可验收记录，承包人可进行隐蔽或继续施工。</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18、重新检验</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无论工程师是否进行验收，当其要求对已经隐蔽的工程重新检验时，承包人应按要求进行剥离或开孔，并在检验后重新覆盖或修复。检验合格，发包人承担由此发生的全部追加合同价款，赔偿承包人损失，并相应顺延工期。检验不合格，承包人承担发生的全部费用，工期不予顺延。</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u w:val="single"/>
        </w:rPr>
        <w:t>19、工程试车</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u w:val="single"/>
        </w:rPr>
        <w:t>19.1双方约定需要试车的，试车内容应与承包人承包的安装范围相一致。</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u w:val="single"/>
        </w:rPr>
        <w:t>19.2设备安装工程具备单机无负荷试车条件，承包人组织试车，并在试车前48小时以书面形式通知工程师。通知包括试车内容、时间、地点。承包人准备试车记录，发包人根据承包人要求为试车提供必要条件。试车合格，工程师在试车记录上签字。</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u w:val="single"/>
        </w:rPr>
        <w:t>19.3工程师不能按时参加试车，须在开始试车前24小时以书面形式向承包人提出延期要求，延期不能超过48小时。工程师未能按以上时间提出延期要求，不参加试车，应承认试车记录。</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u w:val="single"/>
        </w:rPr>
        <w:t>19.4设备安装工程具备无负荷联动试车条件，发包人组织试车，并在试车前48小时以书面形式通知承包人。通知包括试车内容、时间、地点和对承包人的要求，承包人按要求做好准备工作。试车合格，双方在试车记录上签字。</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19.5双方责任</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（1）由于设计原</w:t>
      </w:r>
      <w:r>
        <w:rPr>
          <w:rFonts w:hint="eastAsia" w:asciiTheme="minorEastAsia" w:hAnsiTheme="minorEastAsia" w:eastAsiaTheme="minorEastAsia" w:cstheme="minorEastAsia"/>
          <w:color w:val="auto"/>
          <w:kern w:val="0"/>
          <w:szCs w:val="21"/>
          <w:highlight w:val="none"/>
          <w:u w:val="single"/>
        </w:rPr>
        <w:t>因试车</w:t>
      </w:r>
      <w:r>
        <w:rPr>
          <w:rFonts w:hint="eastAsia" w:asciiTheme="minorEastAsia" w:hAnsiTheme="minorEastAsia" w:eastAsiaTheme="minorEastAsia" w:cstheme="minorEastAsia"/>
          <w:color w:val="auto"/>
          <w:kern w:val="0"/>
          <w:szCs w:val="21"/>
          <w:highlight w:val="none"/>
        </w:rPr>
        <w:t>达不到验收要求，发包人应要求设计单位修改设计，承包人按修改后的设计重新安装。发包人承担修改设计、拆除及重新安装的全部费用和追加合同价款，工期相应顺延。</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（2）由于设备制造原</w:t>
      </w:r>
      <w:r>
        <w:rPr>
          <w:rFonts w:hint="eastAsia" w:asciiTheme="minorEastAsia" w:hAnsiTheme="minorEastAsia" w:eastAsiaTheme="minorEastAsia" w:cstheme="minorEastAsia"/>
          <w:color w:val="auto"/>
          <w:kern w:val="0"/>
          <w:szCs w:val="21"/>
          <w:highlight w:val="none"/>
          <w:u w:val="single"/>
        </w:rPr>
        <w:t>因试车</w:t>
      </w:r>
      <w:r>
        <w:rPr>
          <w:rFonts w:hint="eastAsia" w:asciiTheme="minorEastAsia" w:hAnsiTheme="minorEastAsia" w:eastAsiaTheme="minorEastAsia" w:cstheme="minorEastAsia"/>
          <w:color w:val="auto"/>
          <w:kern w:val="0"/>
          <w:szCs w:val="21"/>
          <w:highlight w:val="none"/>
        </w:rPr>
        <w:t>达不到验收要求，由该设备采购一方负责重新购置或修理，承包人负责拆除和重新安装。设备由承包人采购的，由承包人承担修理或重新购置、拆除及重新安装的费用，工期不予顺延；设备由发包人采购的或由发包人认质认价，承包人采购的，发包人承担上述各项追加合同价款，工期相应顺延。</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（3）由于承包人施工原因</w:t>
      </w:r>
      <w:r>
        <w:rPr>
          <w:rFonts w:hint="eastAsia" w:asciiTheme="minorEastAsia" w:hAnsiTheme="minorEastAsia" w:eastAsiaTheme="minorEastAsia" w:cstheme="minorEastAsia"/>
          <w:color w:val="auto"/>
          <w:kern w:val="0"/>
          <w:szCs w:val="21"/>
          <w:highlight w:val="none"/>
          <w:u w:val="single"/>
        </w:rPr>
        <w:t>试车</w:t>
      </w:r>
      <w:r>
        <w:rPr>
          <w:rFonts w:hint="eastAsia" w:asciiTheme="minorEastAsia" w:hAnsiTheme="minorEastAsia" w:eastAsiaTheme="minorEastAsia" w:cstheme="minorEastAsia"/>
          <w:color w:val="auto"/>
          <w:kern w:val="0"/>
          <w:szCs w:val="21"/>
          <w:highlight w:val="none"/>
        </w:rPr>
        <w:t>达不到验收要求，承包人按工程师要求重新安装和试车，并承担重新安装和试车的费用，工期不予顺延。</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w:t>
      </w:r>
      <w:r>
        <w:rPr>
          <w:rFonts w:hint="eastAsia" w:asciiTheme="minorEastAsia" w:hAnsiTheme="minorEastAsia" w:eastAsiaTheme="minorEastAsia" w:cstheme="minorEastAsia"/>
          <w:color w:val="auto"/>
          <w:kern w:val="0"/>
          <w:szCs w:val="21"/>
          <w:highlight w:val="none"/>
          <w:u w:val="single"/>
        </w:rPr>
        <w:t>试车费用</w:t>
      </w:r>
      <w:r>
        <w:rPr>
          <w:rFonts w:hint="eastAsia" w:asciiTheme="minorEastAsia" w:hAnsiTheme="minorEastAsia" w:eastAsiaTheme="minorEastAsia" w:cstheme="minorEastAsia"/>
          <w:color w:val="auto"/>
          <w:kern w:val="0"/>
          <w:szCs w:val="21"/>
          <w:highlight w:val="none"/>
        </w:rPr>
        <w:t>除已包括在合同价款之内或专用条款另有约定外，均由发包人承担。</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（5）工程师在试车合格后</w:t>
      </w:r>
      <w:r>
        <w:rPr>
          <w:rFonts w:hint="eastAsia" w:asciiTheme="minorEastAsia" w:hAnsiTheme="minorEastAsia" w:eastAsiaTheme="minorEastAsia" w:cstheme="minorEastAsia"/>
          <w:color w:val="auto"/>
          <w:kern w:val="0"/>
          <w:szCs w:val="21"/>
          <w:highlight w:val="none"/>
          <w:u w:val="single"/>
        </w:rPr>
        <w:t>不在试车记录上签字</w:t>
      </w:r>
      <w:r>
        <w:rPr>
          <w:rFonts w:hint="eastAsia" w:asciiTheme="minorEastAsia" w:hAnsiTheme="minorEastAsia" w:eastAsiaTheme="minorEastAsia" w:cstheme="minorEastAsia"/>
          <w:color w:val="auto"/>
          <w:kern w:val="0"/>
          <w:szCs w:val="21"/>
          <w:highlight w:val="none"/>
        </w:rPr>
        <w:t>，试车结束24小时后，视为工程师已经认可试车记录，承包人可继续施工或办理竣工手续。</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19.6</w:t>
      </w:r>
      <w:r>
        <w:rPr>
          <w:rFonts w:hint="eastAsia" w:asciiTheme="minorEastAsia" w:hAnsiTheme="minorEastAsia" w:eastAsiaTheme="minorEastAsia" w:cstheme="minorEastAsia"/>
          <w:color w:val="auto"/>
          <w:kern w:val="0"/>
          <w:szCs w:val="21"/>
          <w:highlight w:val="none"/>
          <w:u w:val="single"/>
        </w:rPr>
        <w:t>投料试车</w:t>
      </w:r>
      <w:r>
        <w:rPr>
          <w:rFonts w:hint="eastAsia" w:asciiTheme="minorEastAsia" w:hAnsiTheme="minorEastAsia" w:eastAsiaTheme="minorEastAsia" w:cstheme="minorEastAsia"/>
          <w:color w:val="auto"/>
          <w:kern w:val="0"/>
          <w:szCs w:val="21"/>
          <w:highlight w:val="none"/>
        </w:rPr>
        <w:t>应在工程竣工验收后由发包人负责，如发包人要求在工程竣工验收前进行或需要承包人配合时，应征得承包人同意，另行签订补充协议。</w:t>
      </w:r>
    </w:p>
    <w:p>
      <w:pPr>
        <w:widowControl/>
        <w:spacing w:line="360" w:lineRule="auto"/>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五、安全防护、文明施工</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20、发包人责任</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20．1发包人应遵守安全防护和文明施工的规定，督促承包人落实安全防护、文明施工措施，并按规定支付安全防护、文明施工措施费。</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20．2发包人应对其在施工现场人员进行安全防护、文明施工教育，并对他们的安全负责。</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20．3在合同工程实施、完成及保修期间，发包人不得要求承包人违反安全生产、文明施工规定和强制性标准规范进行施工；不得明示或暗示承包人购买、租赁、使用不符合安全施工要求的安全防护用具、机械设备、施工机具及配件、消防设施和器材。</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20．4发包人违反上述规定或由于发包人原因导致安全事故的，由发包人承担相应责任和费用，顺延延误的工期。</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21、承包人责任</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21.1承包人应遵守安全防护和文明施工的规定，建立健全安全防护和文明施工的制度，对其在施工现场人员进行安全防护、文明施工教育，并对他们的安全负责。</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21.2完善安全防护和文明施工条件，严格按照安全防护和文明施工的规定组织施工，采取必要的安全防护措施，消除事故隐患，自觉接受和配合依法实施的监督检查。</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21.3在合同工程实施、完成及保修期间，承包人应做好施工现场的安全警示标志、道路及场地的硬化与必要的绿化、安全通道的合理布置、材料与设备的存放与保管、消防设施的齐全有效、现场垃圾的存放与清运、施工现场的照明与防护以及政府有关部门关于安全防护、文明施工规定的其它工作等。</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21.4应按规定的范围使用安全文明措施费，保证专款专用，不得挪作它用。</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21.5承包人对合同工程的安全施工负责，并应及时、如实报告生产安全事故。承包人违反上述规定或由于承包人原因造成的安全事故，由承包人承担相应责任和费用，工期不予顺延。</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22、合同工程临近动力设备、输电线路、地下管道、密封防震车间、易燃易爆地段、建（构）筑物以及临街交通要道施工时，按有关规定应当采取防护措施的，施工开始前承包人应向工程师提出安全防护措施，经工程师认可后实施。防护措施费由发包人承担。</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23、实施爆破作业，在放射、毒害性环境中施工（含储存、运输、使用）及使用毒害性、腐蚀性物品施工时，承包人应在施工前14天以书面通知工程师，并提出相应的安全防护措施，经工程师认可后实施，由发包人承担安全防护措施费用。</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24、事故处理</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24.1发生伤亡及其他安全事故，承包人应按有关规定立即上报有关部门并通知工程师，同时按政府有关部门要求处理，由事故责任方承担发生的费用。</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24.2发包人承包人对事故责任有争议时，应按政府有关部门的认定处理。</w:t>
      </w:r>
    </w:p>
    <w:p>
      <w:pPr>
        <w:widowControl/>
        <w:spacing w:line="360" w:lineRule="auto"/>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六、合同价款</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25、工程的计量规则和计价办法以《陕西省建设工程工程量清单计价规则》及相关规定为准，工程师应按照合同约定，依据上述规定进行工程计量和计价。</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26、合同价款约定</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26.1招标工程的合同价款由发包人承包人依据成交通知书中的成交价格在协议书内约定。非招标工程的合同价款由发包人承包人依据双方确认的工程预算书在协议书内约定。</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26.2合同价款在协议书内约定后，任何一方不得擅自改变。下列三种确定合同价款的方式，双方可在专用条款内约定采用其中一种：</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（1）固定总价合同。合同工期较短且工程合同总价较低的工程，可以采用固定总价合同方式。</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（2）固定综合单价合同。一般适用于工程量清单计价项目。双方在专用条款内约定综合单价包含的风险范围，在约定的风险范围内综合单价不再调整。风险范围以外的综合单价调整方法应当在专用条款内约定。</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（3）可调价格合同。可调价格包括可调综合单价和措施项目费用等，双方应在专用条款内约定综合单价和措施项目费的调整方法。</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27、合同价款调整</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27.1价格中工程量、综合单价、措施项目费用的调整因素包括：</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（1）法律、行政法规和国家有关政策变化影响合同价款；</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（2）工程造价管理机构的价格调整；</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（3）经批准的设计变更；</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（4）发包人更改经审定批准的施工组织设计（修正错误除外）造成费用变化；</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（5）工程量清单的工程数量与实际工程量不符，按实际工程量进行调整计算；</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（6）费用索赔事件或发包人负责的其他情况；</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（7）双方在专用条款中约定的其他因素。</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27.2承包人应当在27.1款情况发生后14天内，将调整原因、金额以书面形式通知工程师，工程师确认调整金额后作为追加合同价款，与工程款同期支付。工程师收到承包人通知后14天内不予确认也不提出修改意见，视为已经同意该项调整。承包人未在规定时间内通知发包人、或者未在规定时间内提出调整报告，发包人可以根据有关资料，决定是否调整和调整的金额并书面通知承包人，承包人如有异议，且协商达不成一致时，按第41条关于争议的约定处理。</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28、工程预付款</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28.1双方应当在专用条款内约定发包人向承包人预付工程款的比例、时间和抵扣方式，开工后按约定的时间和比例逐次扣回。预付款的预付比例不得低于合同总价的10%，也不得高于合同总价的30%。预付时间应在双方签订合同后的一个月内或不迟于约定的开工日期前7天。发包人不按约定预付，承包人在约定预付时间7天后10天内向发包人发出要求预付的通知，发包人收到通知后仍不能按要求预付，承包人可在发出通知后14天后停止施工，发包人应从约定应付之日起向承包人支付应付款的贷款利息（利率按同期银行贷款利率计），并承担违约责任。</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28.2建设单位应当将建设工程安全文明施工措施费计入工程造价，并在开工前一次性足额给付施工单位。</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29、已完工程量确认</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29.1承包人应按专用条款约定的方法和时间，向工程师提交已完工程量的报告。工程师接到报告后14天内按设计图纸核实已完工程量（以下称计量），并在计量前24小时通知承包人，承包人为计量提供便利条件并派人参加。承包人收到通知后不参加计量，计量结果有效，作为工程价款支付的依据。</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29.2工程师收到承包人报告后14天内未进行计量，从第15天起，承包人报告中开列的工程量即视为被确认，作为工程价款支付的依据。工程师不按约定时间通知承包人，致使承包人未能参加计量，计量结果无效。</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29.3对承包人超出设计图纸（含设计变更）范围和因承包人原因造成返工的工程量，工程师不予计量。</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30、工程进度款结算与支付</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30.1双方应在专用条款内约定工程进度款结算支付方式。结算支付方式分为按月结算支付与分阶段结算支付。</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30.2在确认计量结果后14天内，发包人应向承包人支付不低于应付款额75%、不高于应付款额90%的工程进度款。按约定时间发包人应扣回的预付款，与工程进度款同期结算抵扣。</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30.3本通用条款第27条确定调整的合同价款，第35条工程变更调整的合同价款及其他条款中约定的追加合同价款，应与工程进度款同期调整支付。</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30.4发包人超过约定的支付时间不支付工程进度款，承包人应及时向发包人发出要求付款的通知，发包人收到承包人通知后仍不能按要求付款，可与承包人协商签订延期付款协议，经承包人同意后可延期支付。协议应明确延期支付的时间和从计量结果确认后第15天起计算应付款的贷款利息（利率按同期银行贷款利率计）。</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30.5发包人不按合同约定支付工程进度款，双方又未达成延期付款协议，导致施工无法进行，承包人可停止施工，由发包人承担违约责任。</w:t>
      </w:r>
    </w:p>
    <w:p>
      <w:pPr>
        <w:widowControl/>
        <w:spacing w:line="360" w:lineRule="auto"/>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七、材料设备供应</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31、发包人供应材料设备</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31.1实行发包人供应材料设备的，双方应当约定发包人供应材料设备的一览表，作为本合同附件（附件2）。一览表包括发包人供应材料设备的品种、规格、型号、数量、单价、质量等级、提供时间和地点。</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31.2发包人按一览表约定的内容提供材料设备，并向承包人提供产品合格证明，对其质量负责。发包人在所供材料设备到货前24小时，以书面形式通知承包人，由承包人派人与发包人共同清点。</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31.3发包人供应的材料设备，承包人派人参加清点后由承包人妥善保管，发包人支付相应保管费用。因承包人原因发生丢失损坏，由承包人负责赔偿。发包人未通知承包人清点，承包人不负责材料设备的保管，丢失损坏由发包人负责。</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31.4发包人供应的材料设备与一览表不符时，发包人承担有关责任。发包人应承担责任的具体内容，双方根据下列情况在专用条款内约定：</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（1）材料设备单价与一览表不符，由发包人承担所有价差；</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（2）材料设备的品种、规格、型号、质量等级与一览表不符，承包人可拒绝接收保管，由发包人运出施工场地并重新采购；</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（3）发包人供应的材料规格、型号与一览表不符，经发包人同意，承包人可代为调剂串换，由发包人承担相应费用；</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（4）到货地点与一览表不符，由发包人负责运至一览表指定地点；</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（5）供应数量少于一览表约定的数量时，由发包人补齐，多于一览表约定数量时，发包人负责将多出部分运出施工场地；</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（6）到货时间早于一览表约定时间，由发包人承担因此发生的保管费用；到货时间迟于一览表约定的供应时间，发包人赔偿由此造成的承包人损失，造成工期延误的，相应顺延工期；</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31.5发包人供应的材料设备使用前，由承包人负责检验或试验，不合格的不得使用，检验或试验费用由发包人承担。</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31.6发包人供应材料设备的结算方法，双方在专用条款内约定。</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32、承包人采购材料设备</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32.1承包人负责采购材料设备的，应按照专用条款约定及设计和有关标准要求采购，并提供产品合格证明，对材料设备质量负责。承包人在材料设备到货前24小时通知工程师清点。</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32.2承包人采购的材料设备与设计标准要求不符时，承包人应按工程师要求的时间运出施工场地，重新采购符合要求的产品，承担由此发生的费用，由此延误的工期不予顺延。</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32.3承包人采购的材料设备在使用前，承包人应按工程师的要求进行检验或试验，不合格的不得使用，检验或试验费用由承包人承担。</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32.4工程师发现承包人采购并使用不符合设计和标准要求的材料设备时，应要求承包人负责修复、拆除或重新采购，由承包人承担发生的费用，由此延误的工期不予顺延。</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32.5承包人需要使用代用材料时，应经工程师认可后才能使用，由此增减的合同价款双方以书面形式议定。</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32.6由承包人采购的材料设备，发包人不得指定生产厂或供应商。</w:t>
      </w:r>
    </w:p>
    <w:p>
      <w:pPr>
        <w:widowControl/>
        <w:spacing w:line="360" w:lineRule="auto"/>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八、工程变更</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33、工程设计变更</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33.1施工中发包人需对原工程设计变更，应提前14天以书面形式向承包人发出变更通知。变更超过原设计标准或批准的建设规模时，发包人应报规划管理部门和其他有关部门重新审查批准，并由原设计单位提供变更的相应图纸和说明。承包人按照工程师发出的变更通知及有关要求，进行下列需要的变更：</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（1）更改工程有关部分的标高、基线、位置和尺寸；</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（2）增减合同中约定的工程量；</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（3）改变有关工程的施工时间和顺序；</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（4）其他有关工程变更需要的附加工作。</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因变更导致合同价款的增减及造成的承包人损失，由发包人承担，延误的工期相应顺延。</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33.2施工中承包人不得对原工程设计进行变更。因承包人擅自变更设计发生的费用和由此导致发包人的直接损失，由承包人承担，延误的工期不予顺延。</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33.3承包人在施工中提出的合理化建议涉及到对设计图纸或施工组织设计的更改及对材料、设备的换用，须经工程师同意。未经同意擅自更改或换用时，承包人承担由此发生的费用，并赔偿发包人的有关损失，延误的工期不予顺延。工程师同意采用承包人合理化建议，所发生的费用和获得的收益，发包人承包人另行约定分担或分享。</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34、其他变更</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合同履行中发包人要求变更工程质量标准及发生其他实质性变更，由双方协商解决。</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35、确定变更价款</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35.1承包人在工程变更确定后14天内，提出变更工程价款的报告，经工程师确认后调整合同价款。变更合同价款按下列方法进行：</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（1）合同中已有适用于变更工程的综合单价或价格，按合同已有的综合单价或价格变更合同价款；</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（2）合同中只有类似于变更工程的综合单价或价格，可以参照类似综合单价或价格变更合同价款；</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（3）合同中没有适用或类似于变更工程的综合单价或价格，由承包人或发包人提出综合单价或价格，经双方确认后执行。</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35.2承包人在双方确定变更后14天内应向工程师提出变更工程价款报告，否则发包人可根据所掌握的资料决定是否调整合同价款和调整的具体金额，并书面通知承包人。</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35.3工程师应在收到变更工程价款报告之日起14天内予以确认，工程师无正当理由不确认也未提出协商意见时，自变更工程价款报告送达之日起14天后视为变更工程价款报告已被确认。</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35.4发承包双方对变更价款不能达成一致时，按本通用条款第41条关于争议的约定处理。</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35.5因承包人自身原因导致的工程变更，承包人无权要求追加合同价款。</w:t>
      </w:r>
    </w:p>
    <w:p>
      <w:pPr>
        <w:widowControl/>
        <w:spacing w:line="360" w:lineRule="auto"/>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b/>
          <w:bCs/>
          <w:color w:val="auto"/>
          <w:kern w:val="0"/>
          <w:szCs w:val="21"/>
          <w:highlight w:val="none"/>
        </w:rPr>
        <w:t>九、竣工验收与结算</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36、竣工验收</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36.1工程具备竣工验收条件，承包人按国家工程竣工验收有关规定，向发包人提供完整竣工资料及竣工验收报告。双方约定由承包人提供竣工图的，应当在专用条款内约定提供的日期和份数。</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36.2发包人收到竣工验收报告后28天内组织有关单位验收，并在验收后14天内给予认可或提出修改意见。承包人按要求修改，并承担由自身原因造成修改的费用。</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36.3发包人收到承包人送交的竣工验收报告后28天内不组织验收，或验收后14天内不提出修改意见，视为竣工验收报告已被认可。</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36.4工程竣工验收通过，承包人送交竣工验收报告的日期为实际竣工日期。工程按发包人要求修改后通过竣工验收的，实际竣工日期为承包人修改后提请发包人验收的日期。</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36.5发包人收到承包人竣工验收报告后28天内不组织验收，从第29天起承担工程保管及一切意外责任。</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36.6中间交工工程的范围和竣工时间，双方在专用条款内约定，其验收程序按本通用条款36.1款至36.4款办理。</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36.7因特殊原因，发包人要求部分单位工程或工程部位甩项竣工的，双方另行签订甩项竣工协议，明确双方责任和工程价款的支付方法。</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36.8工程未经竣工验收或竣工验收未通过的，发包人不得使用。发包人强行使用时，由此发生的质量及其他问题，由发包人承担责任。</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37、竣工结算</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37.1工程竣工结算分为单位工程竣工结算、单项工程竣工结算和建设项目竣工总结算。</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37.2承包人应在工程通过竣工验收后，工程竣工结算报告金额在500万元以下的工程一般在20天以内、工程竣工结算报告金额在500万元以上的工程一般在60天以内向发包人递交竣工结算报告及完整的结算资料，双方按照协议书约定的合同价款及专用条款约定的合同价款调整内容，进行工程竣工结算。</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建设项目总结算在最后一个单项工程竣工结算审查确认后，一般在15天以内向发包人提交竣工结算汇总资料。</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37.3发包人收到承包人递交的单位单项工程竣工结算报告及结算资料后，工程竣工结算报告金额在500万元以下的工程一般在20天以内、工程竣工结算报告金额在500万元以上的工程一般在60天以内（合同约定有期限的，从其约定）进行审查，给予确认或者提出修改意见。发包人确认竣工结算报告后向承包人支付工程竣工结算价款。</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37.4承包人收到竣工结算价款后14天内将竣工工程交付发包人。</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37.5发包人收到承包人建设项目竣工总结算汇总资料后30天内，审查完成。</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37.6发包人收到竣工结算报告及结算资料后，在本条规定期限内对结算报告及资料没有提出意见则视同认可。</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37.7承包人如未在规定时间内提供完整的工程竣工结算资料，经发包人催促后14天内仍未提供或没有明确答复，发包人有权根据已有资料进行审查，责任由承包人自负。发包人要求交付工程的，承包人应当交付；发包人不要求交付工程的，承包人承担保管责任。</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37.8根据确认的竣工结算报告，承包人向发包人申请支付工程竣工结算款。发包人应在收到申请后15天内支付结算款，到期没有支付的应承担违约责任。承包人可以催告发包人支付结算价款，如达成延期支付协议的，发包人应按同期银行贷款利率支付拖欠工程价款的利息。如未达成延期支付协议，承包人可以与发包人协商将该工程折价或申请人民法院将该工程依法拍卖，承包人就该工程折价或者拍卖的价款优先受偿。</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37.9发包人承包人对工程竣工结算价款发生争议时，按本通用条款第41条关于争议的约定处理。</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38、质量保证</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38.1承包人应按法律、行政法规或国家关于工程质量保修的有关规定，对交付发包人使用的工程在质量保修期内承担质量保修责任。</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38.2质量保修工作的实施。承包人与发包人签订质量保修书，作为本合同附件（附件３）。发包人应明确保证金预留、返还等内容，并与承包人在合同条款中对涉及保证金的下列事项进行约定：</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（1）保证金预留、返还方式；</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（2）保证金预留比例、期限；</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（3）保证金是否计付利息，如计利息，利息的计算方式；</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（4）缺陷责任期的期限及计算方式；</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（5）保证金预留、返还及工程维修质量、费用等争议的处理程序；</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（6）缺陷责任期内出现缺陷的索赔方式。</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38.3质量保修书的主要内容包括：</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（1）质量保修项目内容及范围；</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（2）质量保修期；</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（3）质量保修责任；</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（4）质量保修金的支付方法。</w:t>
      </w:r>
    </w:p>
    <w:p>
      <w:pPr>
        <w:widowControl/>
        <w:spacing w:line="360" w:lineRule="auto"/>
        <w:jc w:val="left"/>
        <w:rPr>
          <w:rFonts w:asciiTheme="minorEastAsia" w:hAnsiTheme="minorEastAsia" w:eastAsiaTheme="minorEastAsia" w:cstheme="minorEastAsia"/>
          <w:b/>
          <w:color w:val="auto"/>
          <w:kern w:val="0"/>
          <w:szCs w:val="21"/>
          <w:highlight w:val="none"/>
        </w:rPr>
      </w:pPr>
      <w:r>
        <w:rPr>
          <w:rFonts w:hint="eastAsia" w:asciiTheme="minorEastAsia" w:hAnsiTheme="minorEastAsia" w:eastAsiaTheme="minorEastAsia" w:cstheme="minorEastAsia"/>
          <w:b/>
          <w:color w:val="auto"/>
          <w:kern w:val="0"/>
          <w:szCs w:val="21"/>
          <w:highlight w:val="none"/>
        </w:rPr>
        <w:t>十、违约、索赔和争议</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39、违约</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39.1发包人违约。当发生下列情况时：</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（1）本通用条款第28.1款提到的发包人不按时支付工程预付款；</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（2）本通用条款第30.5款提到的发包人不按合同约定支付工程款，导致施工无法进行；</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（3）本通用条款第37.6款提到的发包人无正当理由不支付工程竣工结算价款；</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（4）发包人不履行合同义务或不按合同约定履行义务的其他情况。</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发包人承担违约责任，赔偿因其违约给承包人造成的经济损失，顺延延误的工期。双方在专用条款内约定发包人赔偿承包人损失的计算方法或者发包人应当支付违约金的数额和计算方法。</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39.2承包人违约。当发生下列情况时：</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（1）本通用条款第14.2款提到的因承包人原因不能按照协议书约定的竣工日期或工程师同意顺延的工期竣工；</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（2）本通用条款第15.1款提到的因承包人原因工程质量达不到协议书约定的质量标准；</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（3）承包人不履行合同义务或不按合同约定履行义务的其他情况。</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承包人承担违约责任，赔偿因其违约给发包人造成的损失。双方在专用条款内约定承包人赔偿发包人损失的计算方法或者承包人应当支付违约金的数额和计算方法。</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39.3一方违约后，另一方要求违约方继续履行合同时，违约方承担上述违约责任后仍应继续履行合同。</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40、索赔</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40.1当一方向另一方提出索赔时，要有正当索赔理由，且有索赔事件发生时的有效证据。</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40.2发包人未能按合同约定履行自己的各项义务或发生错误以及应由发包人承担责任的其他情况，造成工期延误和（或）承包人不能及时得到合同价款及承包人的其他经济损失，承包人可按下列程序以书面形式向发包人索赔：</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（1）索赔事件发生后28天内，向工程师发出索赔意向通知；</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（2）发出索赔意向通知后28天内，向工程师提出延长工期和（或）补偿经济损失的索赔报告及有关资料；</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（3）工程师在收到承包人送交的索赔报告和有关资料后，于28天内给予答复，或要求承包人进一步补充索赔理由和证据；</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（4）工程师在收到承包人送交的索赔报告和有关资料后28天内未予答复或未对承包人作进一步要求，视为该项索赔已经认可；</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（5）当该索赔事件持续进行时，承包人应当阶段性向工程师发出索赔意向，在索赔事件终了后28天内，向工程师送交索赔的有关资料和最终索赔报告。索赔答复程序与（3）、（4）规定相同。</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40.3承包人未能按合同约定履行自己的各项义务或发生错误，给发包人造成经济损失，发包人可按40.2款确定的时限向承包人提出索赔。</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41、争议</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41.1发包人承包人在履行合同时发生争议，可以协商和解或者要求有关主管部门调解。当事人不愿和解、调解或者和解、调解不成的，双方可以在专用条款内约定以下一种方式解决争议：第一种解决方式：双方达成仲裁协议，向约定的仲裁委员会申请仲裁；第二种解决方式：向有管辖权的人民法院起诉。</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41.2发生争议后，除非出现下列情况的，双方都应继续履行合同，保持施工连续，保护好已完工程：</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（1）单方违约导致合同确已无法履行，双方协议停止施工；</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（2）调解要求停止施工，且为双方接受；</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（3）仲裁机构要求停止施工；</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（4）法院要求停止施工。</w:t>
      </w:r>
    </w:p>
    <w:p>
      <w:pPr>
        <w:widowControl/>
        <w:spacing w:line="360" w:lineRule="auto"/>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b/>
          <w:bCs/>
          <w:color w:val="auto"/>
          <w:kern w:val="0"/>
          <w:szCs w:val="21"/>
          <w:highlight w:val="none"/>
        </w:rPr>
        <w:t>十一、其他</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42、工程分包</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42.1承包人需要将专业工程或劳务进行分包的，应分包给具有相应资质的专业或劳务企业，并与分包企业签订分包合同。</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42.2承包人不得将其承包的工程转包给他人，也不得将其承包的工程以分包的名义转包给他人。</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42.3工程分包不能解除承包人任何责任与义务。承包人应在分包场地派驻相应管理人员，保证本合同的履行。分包单位的任何违约行为或疏忽导致工程损害或给发包人造成其他损失，承包人承担连带责任。</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42.4分包工程价款由承包人与分包单位结算。发包人未经承包人同意不得以任何形式向分包单位支付各种工程款项。</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42.5承包人应按时支付分包工程款及劳务费。若承包人不能按时支付时，发包人可将此部分款项从向承包人支付的工程款中扣出并直接支付给分包人和劳务人员。</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43、不可抗力</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43.1不可抗力包括因战争、动乱、空中飞行物体坠落或其他非发包人承包人责任造成的爆炸、火灾，以及专用条款约定的风、雨、雪、洪、震等自然灾害。</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43.2不可抗力事件发生后，承包人应立即通知工程师，双方应在力所能及的条件下迅速采取措施，尽力减少损失，发包人应协助承包人采取措施。工程师认为应当暂停施工的，承包人应暂停施工。不可抗力事件结束后48小时内承包人向工程师通报受害情况和损失情况，及预计清理和修复的费用。不可抗事件持续发生，承包人应每隔7天向工程师报告一次受害情况。不可抗力事件结束后14天内，承包人向工程师提交清理和修复费用的正式报告及有关资料。</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43.3因不可抗力事件导致的费用及延误的工期由双方按以下方法分别承担：</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（1）工程本身的损害、因工程损害导致第三人人员伤亡和财产损失以及运至施工场地用于施工的材料和待安装的设备的损害，由发包人承担；</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（2）发包人承包人人员伤亡由其所在单位负责，并承担相应费用；</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（3）承包人机械设备损坏及停工损失，由承包人承担；</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（4）停工期间，承包人应工程师要求留在施工场地的必要的管理人员及保卫人员的费用由发包人承担；</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（5）工程所需清理、修复费用，由发包人承担；</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（6）延误的工期相应顺延。</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43.4因合同一方迟延履行合同后发生不可抗力的，不能免除迟延履行方的相应责任。</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44、保险</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44.1工程开工前，发包人为建设工程和施工现场内的自有人员及第三人人员生命财产办理保险，支付保险费用。</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44.2发包人供应的运至施工场地内用于工程的材料设备，由发包人办理保险，并支付保险费用。</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44.3发包人可以将有关保险事项委托承包人办理，费用由发包人承担。</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44.4承包人必须为施工场地内施工人员办理意外伤害保险和工伤保险，并为施工场地内的施工机械设备办理财产保险，支付保险费用。</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44.5保险事故发生时，发包人承包人有责任尽力采取必要的措施，防止或者减少损失。</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44.6具体投保内容和相关责任，发包人承包人在专用条款中约定。</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45、担保</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45.1发包人承包人为了全面履行合同，应互相提供以下担保：</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（1）发包人向承包人提供支付担保，按合同约定支付工程价款及履行合同约定的其他义务。</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（2）承包人向发包人提供履约担保，按合同约定履行自己的各项义务。</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45.2一方违约后，另一方可要求提供担保的第三人承担相应责任。</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45.3提供担保的内容、方式和相关责任，发包人承包人除在专用条款中约定外，被担保方与担保方还应签订担保合同，作为本合同附件。</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46、专利技术及特殊工艺</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46.1发包人要求使用专利技术或特殊工艺，应负责办理相应的申报手续，承担申报、试验、使用等费用；承包人提出使用专利技术或特殊工艺，应取得工程师认可，承包人负责办理申报手续并承担有关费用。</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46.2擅自使用专利技术侵犯他人专利权的，责任者依法承担相应责任。</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47、文物和地下障碍物</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47.1在施工中发现古墓、古建筑遗址等文物及化石或其他有考古、地质研究等价值的物品时，承包人应立即保护好现场并于4小时内以书面形式通知工程师，工程师应于收到书面通知后24小时内报告当地文物管理部门，发包人承包人按文物管理部门的要求采取妥善保护措施。发包人承担由此发生的费用，顺延延误的工期。</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如发现后隐瞒不报，致使文物遭受破坏，责任者依法承担相应责任。</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47.2施工中发现影响施工的地下障碍物时，承包人应于8小时内以书面形式通知工程师，同时提出处置方案，工程师收到处置方案后24小时内予以认可或提出修正方案。发包人承担由此发生的费用，顺延延误的工期。</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所发现的地下障碍物有归属单位时，发包人应报请有关部门协同处置。</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48、合同解除</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48.1发包人承包人协商一致，可以解除合同。</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48.2发生本通用条款第30.5款情况，停止施工超过56天，发包人仍不支付工程款（进度款），承包人有权解除合同。</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48.3发生本通用条款第42.2款禁止的情况，发包人有权解除合同。</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48.4有下列情形之一的，发包人承包人可以解除合同：</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（1）因不可抗力致使合同无法履行；</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（2）因一方违约（包括因发包人原因造成工程停建或缓建）致使合同无法履行。</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48.5一方依据48.2、48.3、48.4款约定要求解除合同的，应以书面形式向对方发出解除合同的通知，并在发出通知前7天告知对方，通知到达对方时合同解除。对解除合同有争议的，按本通用条款第41条关于争议的约定处理。</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48.6合同解除后，承包人应妥善做好已完工程和已购材料、设备的保护和移交工作，按发包人要求将自有机械设备和人员撤出施工场地。发包人应为承包人撤出提供必要条件，支付以上所发生的费用，并按合同约定支付已完工程价款。已经订货的材料、设备由订货方负责退货或解除订货合同，不能退还的货款和因退货、解除订货合同发生的费用，由发包人承担，因未及时退货造成的损失由责任方承担。除此之外，有过错的一方应当赔偿因合同解除给对方造成的损失。</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48.7合同解除后，不影响双方在合同中约定的结算和清理条款的效力。</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49、合同生效与终止</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49.1双方在协议书中约定合同生效方式。</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49.2除本通用条款第38条外，发包人承包人履行合同全部义务，竣工结算价款支付完毕，承包人向发包人交付竣工工程后，本合同即告终止。</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49.3合同的权利义务终止后，发包人承包人应当遵循诚实信用原则，履行通知、协助、保密等义务。</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50、合同份数</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50.1本合同正本两份，具有同等效力，由发包人承包人分别保存一份。</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50.2本合同副本份数，由双方根据需要在专用条款内约定。</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51、补充条款</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双方根据有关法律、行政法规规定，结合工程实际经协商一致后，可对本通用条款内容具体化、补充或修改，在专用条款内约定。</w:t>
      </w:r>
    </w:p>
    <w:p>
      <w:pPr>
        <w:widowControl/>
        <w:spacing w:line="360" w:lineRule="auto"/>
        <w:ind w:firstLine="480" w:firstLineChars="200"/>
        <w:jc w:val="left"/>
        <w:rPr>
          <w:rFonts w:asciiTheme="minorEastAsia" w:hAnsiTheme="minorEastAsia" w:eastAsiaTheme="minorEastAsia" w:cstheme="minorEastAsia"/>
          <w:color w:val="auto"/>
          <w:kern w:val="0"/>
          <w:sz w:val="24"/>
          <w:highlight w:val="none"/>
        </w:rPr>
      </w:pPr>
    </w:p>
    <w:p>
      <w:pPr>
        <w:pStyle w:val="4"/>
        <w:tabs>
          <w:tab w:val="left" w:pos="3780"/>
        </w:tabs>
        <w:jc w:val="center"/>
        <w:rPr>
          <w:rFonts w:asciiTheme="minorEastAsia" w:hAnsiTheme="minorEastAsia" w:eastAsiaTheme="minorEastAsia" w:cstheme="minorEastAsia"/>
          <w:bCs w:val="0"/>
          <w:color w:val="auto"/>
          <w:sz w:val="32"/>
          <w:szCs w:val="22"/>
          <w:highlight w:val="none"/>
        </w:rPr>
      </w:pPr>
      <w:bookmarkStart w:id="87" w:name="_Toc29686"/>
      <w:bookmarkStart w:id="88" w:name="_Toc475028059"/>
      <w:bookmarkStart w:id="89" w:name="_Toc346887831"/>
      <w:r>
        <w:rPr>
          <w:rFonts w:hint="eastAsia" w:asciiTheme="minorEastAsia" w:hAnsiTheme="minorEastAsia" w:eastAsiaTheme="minorEastAsia" w:cstheme="minorEastAsia"/>
          <w:bCs w:val="0"/>
          <w:color w:val="auto"/>
          <w:highlight w:val="none"/>
        </w:rPr>
        <w:br w:type="page"/>
      </w:r>
      <w:bookmarkStart w:id="90" w:name="_Toc505869059"/>
      <w:r>
        <w:rPr>
          <w:rFonts w:hint="eastAsia" w:asciiTheme="minorEastAsia" w:hAnsiTheme="minorEastAsia" w:eastAsiaTheme="minorEastAsia" w:cstheme="minorEastAsia"/>
          <w:bCs w:val="0"/>
          <w:color w:val="auto"/>
          <w:sz w:val="32"/>
          <w:highlight w:val="none"/>
        </w:rPr>
        <w:t>第三部分  专用条款</w:t>
      </w:r>
      <w:bookmarkEnd w:id="87"/>
      <w:bookmarkEnd w:id="88"/>
      <w:bookmarkEnd w:id="89"/>
      <w:bookmarkEnd w:id="90"/>
    </w:p>
    <w:p>
      <w:pPr>
        <w:widowControl/>
        <w:spacing w:line="360" w:lineRule="auto"/>
        <w:ind w:firstLine="422" w:firstLineChars="200"/>
        <w:jc w:val="left"/>
        <w:rPr>
          <w:rFonts w:asciiTheme="minorEastAsia" w:hAnsiTheme="minorEastAsia" w:eastAsiaTheme="minorEastAsia" w:cstheme="minorEastAsia"/>
          <w:b/>
          <w:color w:val="auto"/>
          <w:kern w:val="0"/>
          <w:szCs w:val="21"/>
          <w:highlight w:val="none"/>
        </w:rPr>
      </w:pPr>
    </w:p>
    <w:p>
      <w:pPr>
        <w:widowControl/>
        <w:spacing w:line="360" w:lineRule="auto"/>
        <w:ind w:firstLine="422" w:firstLineChars="200"/>
        <w:jc w:val="left"/>
        <w:rPr>
          <w:rFonts w:asciiTheme="minorEastAsia" w:hAnsiTheme="minorEastAsia" w:eastAsiaTheme="minorEastAsia" w:cstheme="minorEastAsia"/>
          <w:b/>
          <w:color w:val="auto"/>
          <w:kern w:val="0"/>
          <w:szCs w:val="21"/>
          <w:highlight w:val="none"/>
        </w:rPr>
      </w:pPr>
      <w:r>
        <w:rPr>
          <w:rFonts w:hint="eastAsia" w:asciiTheme="minorEastAsia" w:hAnsiTheme="minorEastAsia" w:eastAsiaTheme="minorEastAsia" w:cstheme="minorEastAsia"/>
          <w:b/>
          <w:color w:val="auto"/>
          <w:kern w:val="0"/>
          <w:szCs w:val="21"/>
          <w:highlight w:val="none"/>
        </w:rPr>
        <w:t>一、词语定义及合同文件</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2、合同文件及解释顺序</w:t>
      </w:r>
    </w:p>
    <w:p>
      <w:pPr>
        <w:widowControl/>
        <w:spacing w:line="360" w:lineRule="auto"/>
        <w:ind w:firstLine="420" w:firstLineChars="200"/>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合同文件组成及解释顺序：</w:t>
      </w:r>
      <w:r>
        <w:rPr>
          <w:rFonts w:hint="eastAsia" w:asciiTheme="minorEastAsia" w:hAnsiTheme="minorEastAsia" w:eastAsiaTheme="minorEastAsia" w:cstheme="minorEastAsia"/>
          <w:color w:val="auto"/>
          <w:kern w:val="0"/>
          <w:szCs w:val="21"/>
          <w:highlight w:val="none"/>
          <w:u w:val="single"/>
        </w:rPr>
        <w:t xml:space="preserve">采用《通用条款》第2.1条。 </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3、语言文字和适用法律、标准及规范</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3.1本合同除使用汉语外，还使用</w:t>
      </w:r>
      <w:r>
        <w:rPr>
          <w:rFonts w:hint="eastAsia" w:asciiTheme="minorEastAsia" w:hAnsiTheme="minorEastAsia" w:eastAsiaTheme="minorEastAsia" w:cstheme="minorEastAsia"/>
          <w:color w:val="auto"/>
          <w:kern w:val="0"/>
          <w:szCs w:val="21"/>
          <w:highlight w:val="none"/>
          <w:u w:val="single"/>
        </w:rPr>
        <w:t xml:space="preserve">  /   </w:t>
      </w:r>
      <w:r>
        <w:rPr>
          <w:rFonts w:hint="eastAsia" w:asciiTheme="minorEastAsia" w:hAnsiTheme="minorEastAsia" w:eastAsiaTheme="minorEastAsia" w:cstheme="minorEastAsia"/>
          <w:color w:val="auto"/>
          <w:kern w:val="0"/>
          <w:szCs w:val="21"/>
          <w:highlight w:val="none"/>
        </w:rPr>
        <w:t>语言文字。</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3.2适用法律和法规</w:t>
      </w:r>
    </w:p>
    <w:p>
      <w:pPr>
        <w:widowControl/>
        <w:spacing w:line="360" w:lineRule="auto"/>
        <w:ind w:firstLine="420" w:firstLineChars="200"/>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需要明示的法律、行政法规：</w:t>
      </w:r>
      <w:r>
        <w:rPr>
          <w:rFonts w:hint="eastAsia" w:asciiTheme="minorEastAsia" w:hAnsiTheme="minorEastAsia" w:eastAsiaTheme="minorEastAsia" w:cstheme="minorEastAsia"/>
          <w:color w:val="auto"/>
          <w:kern w:val="0"/>
          <w:szCs w:val="21"/>
          <w:highlight w:val="none"/>
          <w:u w:val="single"/>
        </w:rPr>
        <w:t>《中华人民共和国民法典》、《中华人民共和国安全生产法》、《建筑工程质量管理条例》、《建筑工程强制性标准条文》、《建筑工程质量保修办法》、《中华人民共和国招标投标法》、《中华人民共和国招标投标实施条例》、《工程建设项目施工招标投标办法》、陕西省实施《中华人民共和国招标投标法》办法、陕西省关于安全生产文明施工的法规、条例和行政规范性文件等。</w:t>
      </w:r>
    </w:p>
    <w:p>
      <w:pPr>
        <w:widowControl/>
        <w:spacing w:line="360" w:lineRule="auto"/>
        <w:ind w:firstLine="420" w:firstLineChars="200"/>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u w:val="single"/>
        </w:rPr>
        <w:t>本合同同时适用国家与工程所在地的有关建筑质量安全、环境保护等方面的法律、法规、规章。</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3.3适用标准、规范</w:t>
      </w:r>
    </w:p>
    <w:p>
      <w:pPr>
        <w:widowControl/>
        <w:spacing w:line="360" w:lineRule="auto"/>
        <w:ind w:firstLine="420" w:firstLineChars="200"/>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szCs w:val="21"/>
          <w:highlight w:val="none"/>
        </w:rPr>
        <w:t>适用标准、规范的名称：</w:t>
      </w:r>
      <w:r>
        <w:rPr>
          <w:rFonts w:hint="eastAsia" w:asciiTheme="minorEastAsia" w:hAnsiTheme="minorEastAsia" w:eastAsiaTheme="minorEastAsia" w:cstheme="minorEastAsia"/>
          <w:color w:val="auto"/>
          <w:kern w:val="0"/>
          <w:szCs w:val="21"/>
          <w:highlight w:val="none"/>
          <w:u w:val="single"/>
        </w:rPr>
        <w:t>按照国家及西安市现行施工规程、规范和标准，符合</w:t>
      </w:r>
      <w:r>
        <w:rPr>
          <w:rFonts w:hint="eastAsia" w:asciiTheme="minorEastAsia" w:hAnsiTheme="minorEastAsia" w:eastAsiaTheme="minorEastAsia" w:cstheme="minorEastAsia"/>
          <w:b/>
          <w:color w:val="auto"/>
          <w:kern w:val="0"/>
          <w:szCs w:val="21"/>
          <w:highlight w:val="none"/>
          <w:u w:val="single"/>
        </w:rPr>
        <w:t>:</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szCs w:val="21"/>
          <w:highlight w:val="none"/>
          <w:u w:val="single"/>
        </w:rPr>
        <w:t>《中华人民共和国工程建设标准强制性条文》</w:t>
      </w:r>
      <w:r>
        <w:rPr>
          <w:rFonts w:hint="eastAsia" w:asciiTheme="minorEastAsia" w:hAnsiTheme="minorEastAsia" w:eastAsiaTheme="minorEastAsia" w:cstheme="minorEastAsia"/>
          <w:color w:val="auto"/>
          <w:kern w:val="0"/>
          <w:szCs w:val="21"/>
          <w:highlight w:val="none"/>
          <w:u w:val="single"/>
        </w:rPr>
        <w:t>工程所在地建设主管部门的标准、规范、工程所在地行业的标准、规范、发包人的具体要求。</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发包人提供标准、规范的时间：</w:t>
      </w:r>
      <w:r>
        <w:rPr>
          <w:rFonts w:hint="eastAsia" w:asciiTheme="minorEastAsia" w:hAnsiTheme="minorEastAsia" w:eastAsiaTheme="minorEastAsia" w:cstheme="minorEastAsia"/>
          <w:color w:val="auto"/>
          <w:kern w:val="0"/>
          <w:szCs w:val="21"/>
          <w:highlight w:val="none"/>
          <w:u w:val="single"/>
        </w:rPr>
        <w:t xml:space="preserve">          </w:t>
      </w:r>
    </w:p>
    <w:p>
      <w:pPr>
        <w:widowControl/>
        <w:spacing w:line="360" w:lineRule="auto"/>
        <w:ind w:firstLine="420" w:firstLineChars="200"/>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国内没有相应标准、规范时的约定：</w:t>
      </w:r>
      <w:r>
        <w:rPr>
          <w:rFonts w:hint="eastAsia" w:asciiTheme="minorEastAsia" w:hAnsiTheme="minorEastAsia" w:eastAsiaTheme="minorEastAsia" w:cstheme="minorEastAsia"/>
          <w:color w:val="auto"/>
          <w:kern w:val="0"/>
          <w:szCs w:val="21"/>
          <w:highlight w:val="none"/>
          <w:u w:val="single"/>
        </w:rPr>
        <w:t xml:space="preserve">  按生产企业在技术监督局备案并发包人同意的标准。</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4、图纸</w:t>
      </w:r>
    </w:p>
    <w:p>
      <w:pPr>
        <w:widowControl/>
        <w:spacing w:line="360" w:lineRule="auto"/>
        <w:ind w:firstLine="420" w:firstLineChars="200"/>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4.1发包人向承包人提供图纸日期和套数：</w:t>
      </w:r>
      <w:r>
        <w:rPr>
          <w:rFonts w:hint="eastAsia" w:asciiTheme="minorEastAsia" w:hAnsiTheme="minorEastAsia" w:eastAsiaTheme="minorEastAsia" w:cstheme="minorEastAsia"/>
          <w:color w:val="auto"/>
          <w:kern w:val="0"/>
          <w:szCs w:val="21"/>
          <w:highlight w:val="none"/>
          <w:u w:val="single"/>
        </w:rPr>
        <w:t>发包人共向承包人提供图纸6套（含承包人编制竣工资料所需图纸）。承包人另外要求增加提供的图纸和资料，其费用由承包人承担。</w:t>
      </w:r>
    </w:p>
    <w:p>
      <w:pPr>
        <w:widowControl/>
        <w:spacing w:line="360" w:lineRule="auto"/>
        <w:ind w:firstLine="420" w:firstLineChars="200"/>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发包人对图纸的保密要求：</w:t>
      </w:r>
      <w:r>
        <w:rPr>
          <w:rFonts w:hint="eastAsia" w:asciiTheme="minorEastAsia" w:hAnsiTheme="minorEastAsia" w:eastAsiaTheme="minorEastAsia" w:cstheme="minorEastAsia"/>
          <w:color w:val="auto"/>
          <w:szCs w:val="21"/>
          <w:highlight w:val="none"/>
          <w:u w:val="single"/>
        </w:rPr>
        <w:t>承包人对所有图纸和工程文件负有保密义务，不得任意扩大接触和使用范围，不得泄露给与本工程无关的其他人员。发包人无需支付保密措施费用。因承包人原因造成泄密的，应承担赔偿损失等法律责任。</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使用国外图纸的要求及费用承担：</w:t>
      </w:r>
      <w:r>
        <w:rPr>
          <w:rFonts w:hint="eastAsia" w:asciiTheme="minorEastAsia" w:hAnsiTheme="minorEastAsia" w:eastAsiaTheme="minorEastAsia" w:cstheme="minorEastAsia"/>
          <w:color w:val="auto"/>
          <w:kern w:val="0"/>
          <w:szCs w:val="21"/>
          <w:highlight w:val="none"/>
          <w:u w:val="single"/>
        </w:rPr>
        <w:t xml:space="preserve"> 无 </w:t>
      </w:r>
    </w:p>
    <w:p>
      <w:pPr>
        <w:widowControl/>
        <w:spacing w:line="360" w:lineRule="auto"/>
        <w:ind w:firstLine="422" w:firstLineChars="200"/>
        <w:jc w:val="left"/>
        <w:rPr>
          <w:rFonts w:asciiTheme="minorEastAsia" w:hAnsiTheme="minorEastAsia" w:eastAsiaTheme="minorEastAsia" w:cstheme="minorEastAsia"/>
          <w:b/>
          <w:color w:val="auto"/>
          <w:kern w:val="0"/>
          <w:szCs w:val="21"/>
          <w:highlight w:val="none"/>
        </w:rPr>
      </w:pPr>
      <w:r>
        <w:rPr>
          <w:rFonts w:hint="eastAsia" w:asciiTheme="minorEastAsia" w:hAnsiTheme="minorEastAsia" w:eastAsiaTheme="minorEastAsia" w:cstheme="minorEastAsia"/>
          <w:b/>
          <w:color w:val="auto"/>
          <w:kern w:val="0"/>
          <w:szCs w:val="21"/>
          <w:highlight w:val="none"/>
        </w:rPr>
        <w:t>二、双方一般权利和义务</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5、发包人委派项目负责人及驻地代表</w:t>
      </w:r>
    </w:p>
    <w:p>
      <w:pPr>
        <w:widowControl/>
        <w:spacing w:line="360" w:lineRule="auto"/>
        <w:ind w:firstLine="420" w:firstLineChars="200"/>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姓名：</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rPr>
        <w:t>职务：</w:t>
      </w:r>
      <w:r>
        <w:rPr>
          <w:rFonts w:hint="eastAsia" w:asciiTheme="minorEastAsia" w:hAnsiTheme="minorEastAsia" w:eastAsiaTheme="minorEastAsia" w:cstheme="minorEastAsia"/>
          <w:color w:val="auto"/>
          <w:kern w:val="0"/>
          <w:szCs w:val="21"/>
          <w:highlight w:val="none"/>
          <w:u w:val="single"/>
        </w:rPr>
        <w:t xml:space="preserve"> 项目负责人 </w:t>
      </w:r>
    </w:p>
    <w:p>
      <w:pPr>
        <w:widowControl/>
        <w:spacing w:line="360" w:lineRule="auto"/>
        <w:ind w:firstLine="420" w:firstLineChars="200"/>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姓名：</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rPr>
        <w:t>，职务：</w:t>
      </w:r>
      <w:r>
        <w:rPr>
          <w:rFonts w:hint="eastAsia" w:asciiTheme="minorEastAsia" w:hAnsiTheme="minorEastAsia" w:eastAsiaTheme="minorEastAsia" w:cstheme="minorEastAsia"/>
          <w:color w:val="auto"/>
          <w:kern w:val="0"/>
          <w:szCs w:val="21"/>
          <w:highlight w:val="none"/>
          <w:u w:val="single"/>
        </w:rPr>
        <w:t xml:space="preserve"> 发包人代表 </w:t>
      </w:r>
    </w:p>
    <w:p>
      <w:pPr>
        <w:widowControl/>
        <w:spacing w:line="360" w:lineRule="auto"/>
        <w:ind w:firstLine="420" w:firstLineChars="200"/>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kern w:val="0"/>
          <w:szCs w:val="21"/>
          <w:highlight w:val="none"/>
        </w:rPr>
        <w:t>发包人代表职权：</w:t>
      </w:r>
      <w:r>
        <w:rPr>
          <w:rFonts w:hint="eastAsia" w:asciiTheme="minorEastAsia" w:hAnsiTheme="minorEastAsia" w:eastAsiaTheme="minorEastAsia" w:cstheme="minorEastAsia"/>
          <w:color w:val="auto"/>
          <w:szCs w:val="21"/>
          <w:highlight w:val="none"/>
          <w:u w:val="single"/>
        </w:rPr>
        <w:t>施工全过程中内外部关系协调、处理往来文件，控制施工进度、质量、安全、造价等相关事宜 。</w:t>
      </w:r>
    </w:p>
    <w:p>
      <w:pPr>
        <w:widowControl/>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6、监理</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szCs w:val="21"/>
          <w:highlight w:val="none"/>
        </w:rPr>
        <w:t>本项目实行监理。</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7、施工单位委派项目经理</w:t>
      </w:r>
    </w:p>
    <w:p>
      <w:pPr>
        <w:widowControl/>
        <w:spacing w:line="360" w:lineRule="auto"/>
        <w:ind w:firstLine="420" w:firstLineChars="200"/>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姓名：</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rPr>
        <w:t>，职务：</w:t>
      </w:r>
      <w:r>
        <w:rPr>
          <w:rFonts w:hint="eastAsia" w:asciiTheme="minorEastAsia" w:hAnsiTheme="minorEastAsia" w:eastAsiaTheme="minorEastAsia" w:cstheme="minorEastAsia"/>
          <w:color w:val="auto"/>
          <w:kern w:val="0"/>
          <w:szCs w:val="21"/>
          <w:highlight w:val="none"/>
          <w:u w:val="single"/>
        </w:rPr>
        <w:t xml:space="preserve">项目经理  </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8、发包人工作</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8.1发包人应按约定的时间和要求完成以下工作：</w:t>
      </w:r>
    </w:p>
    <w:p>
      <w:pPr>
        <w:widowControl/>
        <w:spacing w:line="360" w:lineRule="auto"/>
        <w:ind w:firstLine="420" w:firstLineChars="200"/>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（1）施工场地具备施工条件的要求及完成的时间：</w:t>
      </w:r>
      <w:r>
        <w:rPr>
          <w:rFonts w:hint="eastAsia" w:asciiTheme="minorEastAsia" w:hAnsiTheme="minorEastAsia" w:eastAsiaTheme="minorEastAsia" w:cstheme="minorEastAsia"/>
          <w:color w:val="auto"/>
          <w:kern w:val="0"/>
          <w:szCs w:val="21"/>
          <w:highlight w:val="none"/>
          <w:u w:val="single"/>
        </w:rPr>
        <w:t>本专用条款签订时已具备开工条件。</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（2）将施工所需的水、电接至施工场地的时间、地点和供应要求：</w:t>
      </w:r>
      <w:r>
        <w:rPr>
          <w:rFonts w:hint="eastAsia" w:asciiTheme="minorEastAsia" w:hAnsiTheme="minorEastAsia" w:eastAsiaTheme="minorEastAsia" w:cstheme="minorEastAsia"/>
          <w:color w:val="auto"/>
          <w:kern w:val="0"/>
          <w:szCs w:val="21"/>
          <w:highlight w:val="none"/>
          <w:u w:val="single"/>
        </w:rPr>
        <w:t>水电电讯线路以至施工现场，承包人安装水电表，表后供水供电线路由施工单位安装并按时向收费单位缴纳水电费</w:t>
      </w:r>
      <w:r>
        <w:rPr>
          <w:rFonts w:hint="eastAsia" w:asciiTheme="minorEastAsia" w:hAnsiTheme="minorEastAsia" w:eastAsiaTheme="minorEastAsia" w:cstheme="minorEastAsia"/>
          <w:color w:val="auto"/>
          <w:kern w:val="0"/>
          <w:szCs w:val="21"/>
          <w:highlight w:val="none"/>
        </w:rPr>
        <w:t>。</w:t>
      </w:r>
    </w:p>
    <w:p>
      <w:pPr>
        <w:widowControl/>
        <w:spacing w:line="360" w:lineRule="auto"/>
        <w:ind w:firstLine="420" w:firstLineChars="200"/>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（3）施工场地与公共道路的通道开通时间：</w:t>
      </w:r>
      <w:r>
        <w:rPr>
          <w:rFonts w:hint="eastAsia" w:asciiTheme="minorEastAsia" w:hAnsiTheme="minorEastAsia" w:eastAsiaTheme="minorEastAsia" w:cstheme="minorEastAsia"/>
          <w:color w:val="auto"/>
          <w:kern w:val="0"/>
          <w:szCs w:val="21"/>
          <w:highlight w:val="none"/>
          <w:u w:val="single"/>
        </w:rPr>
        <w:t>开工前10日内。</w:t>
      </w:r>
    </w:p>
    <w:p>
      <w:pPr>
        <w:widowControl/>
        <w:spacing w:line="360" w:lineRule="auto"/>
        <w:ind w:firstLine="420" w:firstLineChars="200"/>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（4）工程地质和地下管线资料的提供时间：</w:t>
      </w:r>
      <w:r>
        <w:rPr>
          <w:rFonts w:hint="eastAsia" w:asciiTheme="minorEastAsia" w:hAnsiTheme="minorEastAsia" w:eastAsiaTheme="minorEastAsia" w:cstheme="minorEastAsia"/>
          <w:color w:val="auto"/>
          <w:kern w:val="0"/>
          <w:szCs w:val="21"/>
          <w:highlight w:val="none"/>
          <w:u w:val="single"/>
        </w:rPr>
        <w:t>/。</w:t>
      </w:r>
    </w:p>
    <w:p>
      <w:pPr>
        <w:widowControl/>
        <w:spacing w:line="360" w:lineRule="auto"/>
        <w:ind w:firstLine="420" w:firstLineChars="200"/>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（5）由发包人办理的施工所需证件、批件的名称和完成时间：</w:t>
      </w:r>
      <w:r>
        <w:rPr>
          <w:rFonts w:hint="eastAsia" w:asciiTheme="minorEastAsia" w:hAnsiTheme="minorEastAsia" w:eastAsiaTheme="minorEastAsia" w:cstheme="minorEastAsia"/>
          <w:color w:val="auto"/>
          <w:szCs w:val="21"/>
          <w:highlight w:val="none"/>
          <w:u w:val="single"/>
        </w:rPr>
        <w:t>合同签订后3个工作日。</w:t>
      </w:r>
    </w:p>
    <w:p>
      <w:pPr>
        <w:widowControl/>
        <w:spacing w:line="360" w:lineRule="auto"/>
        <w:ind w:firstLine="420" w:firstLineChars="200"/>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（6）水准点与坐标控制点交验要求：</w:t>
      </w:r>
      <w:r>
        <w:rPr>
          <w:rFonts w:hint="eastAsia" w:asciiTheme="minorEastAsia" w:hAnsiTheme="minorEastAsia" w:eastAsiaTheme="minorEastAsia" w:cstheme="minorEastAsia"/>
          <w:color w:val="auto"/>
          <w:kern w:val="0"/>
          <w:szCs w:val="21"/>
          <w:highlight w:val="none"/>
          <w:u w:val="single"/>
        </w:rPr>
        <w:t>/。</w:t>
      </w:r>
    </w:p>
    <w:p>
      <w:pPr>
        <w:widowControl/>
        <w:spacing w:line="360" w:lineRule="auto"/>
        <w:ind w:firstLine="420" w:firstLineChars="200"/>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（7）图纸会审和设计交底时间：</w:t>
      </w:r>
      <w:r>
        <w:rPr>
          <w:rFonts w:hint="eastAsia" w:asciiTheme="minorEastAsia" w:hAnsiTheme="minorEastAsia" w:eastAsiaTheme="minorEastAsia" w:cstheme="minorEastAsia"/>
          <w:color w:val="auto"/>
          <w:kern w:val="0"/>
          <w:szCs w:val="21"/>
          <w:highlight w:val="none"/>
          <w:u w:val="single"/>
        </w:rPr>
        <w:t>承包人进场后5天内完成图纸审查，向发包人申请交底。</w:t>
      </w:r>
    </w:p>
    <w:p>
      <w:pPr>
        <w:widowControl/>
        <w:spacing w:line="360" w:lineRule="auto"/>
        <w:ind w:firstLine="420" w:firstLineChars="200"/>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（8）双方约定发包人应做的其他工作：</w:t>
      </w:r>
      <w:r>
        <w:rPr>
          <w:rFonts w:hint="eastAsia" w:asciiTheme="minorEastAsia" w:hAnsiTheme="minorEastAsia" w:eastAsiaTheme="minorEastAsia" w:cstheme="minorEastAsia"/>
          <w:color w:val="auto"/>
          <w:kern w:val="0"/>
          <w:szCs w:val="21"/>
          <w:highlight w:val="none"/>
          <w:u w:val="single"/>
        </w:rPr>
        <w:t>本合同其它条款约定的承包人应做的工作。</w:t>
      </w:r>
    </w:p>
    <w:p>
      <w:pPr>
        <w:widowControl/>
        <w:spacing w:line="360" w:lineRule="auto"/>
        <w:ind w:firstLine="420" w:firstLineChars="200"/>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8.2发包人委托承包人办理的工作：</w:t>
      </w:r>
      <w:r>
        <w:rPr>
          <w:rFonts w:hint="eastAsia" w:asciiTheme="minorEastAsia" w:hAnsiTheme="minorEastAsia" w:eastAsiaTheme="minorEastAsia" w:cstheme="minorEastAsia"/>
          <w:color w:val="auto"/>
          <w:kern w:val="0"/>
          <w:szCs w:val="21"/>
          <w:highlight w:val="none"/>
          <w:u w:val="single"/>
        </w:rPr>
        <w:t>办理相关建设、协调属地关系。</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9、承包人工作</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9.1承包人应按约定时间和要求，完成以下工作：</w:t>
      </w:r>
    </w:p>
    <w:p>
      <w:pPr>
        <w:widowControl/>
        <w:spacing w:line="360" w:lineRule="auto"/>
        <w:ind w:firstLine="420" w:firstLineChars="200"/>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（1）</w:t>
      </w:r>
      <w:r>
        <w:rPr>
          <w:rFonts w:hint="eastAsia" w:asciiTheme="minorEastAsia" w:hAnsiTheme="minorEastAsia" w:eastAsiaTheme="minorEastAsia" w:cstheme="minorEastAsia"/>
          <w:color w:val="auto"/>
          <w:szCs w:val="21"/>
          <w:highlight w:val="none"/>
        </w:rPr>
        <w:t>需由设计资质等级和业务范围允许的承包人完成的设计文件提交时间：</w:t>
      </w:r>
      <w:r>
        <w:rPr>
          <w:rFonts w:hint="eastAsia" w:asciiTheme="minorEastAsia" w:hAnsiTheme="minorEastAsia" w:eastAsiaTheme="minorEastAsia" w:cstheme="minorEastAsia"/>
          <w:color w:val="auto"/>
          <w:szCs w:val="21"/>
          <w:highlight w:val="none"/>
          <w:u w:val="single"/>
        </w:rPr>
        <w:t>无</w:t>
      </w:r>
    </w:p>
    <w:p>
      <w:pPr>
        <w:widowControl/>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rPr>
        <w:t>（2）</w:t>
      </w:r>
      <w:r>
        <w:rPr>
          <w:rFonts w:hint="eastAsia" w:asciiTheme="minorEastAsia" w:hAnsiTheme="minorEastAsia" w:eastAsiaTheme="minorEastAsia" w:cstheme="minorEastAsia"/>
          <w:color w:val="auto"/>
          <w:szCs w:val="21"/>
          <w:highlight w:val="none"/>
        </w:rPr>
        <w:t>应提供计划、报表的名称及完成时间：</w:t>
      </w:r>
      <w:r>
        <w:rPr>
          <w:rFonts w:hint="eastAsia" w:asciiTheme="minorEastAsia" w:hAnsiTheme="minorEastAsia" w:eastAsiaTheme="minorEastAsia" w:cstheme="minorEastAsia"/>
          <w:color w:val="auto"/>
          <w:szCs w:val="21"/>
          <w:highlight w:val="none"/>
          <w:u w:val="single"/>
        </w:rPr>
        <w:t xml:space="preserve">           </w:t>
      </w:r>
    </w:p>
    <w:p>
      <w:pPr>
        <w:widowControl/>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（3）承担施工安全保卫工作及非夜间施工照明的责任和要求：</w:t>
      </w:r>
      <w:r>
        <w:rPr>
          <w:rFonts w:hint="eastAsia" w:asciiTheme="minorEastAsia" w:hAnsiTheme="minorEastAsia" w:eastAsiaTheme="minorEastAsia" w:cstheme="minorEastAsia"/>
          <w:color w:val="auto"/>
          <w:szCs w:val="21"/>
          <w:highlight w:val="none"/>
          <w:u w:val="single"/>
        </w:rPr>
        <w:t>执行《通用条款》9.1（5）款</w:t>
      </w:r>
      <w:r>
        <w:rPr>
          <w:rFonts w:hint="eastAsia" w:asciiTheme="minorEastAsia" w:hAnsiTheme="minorEastAsia" w:eastAsiaTheme="minorEastAsia" w:cstheme="minorEastAsia"/>
          <w:color w:val="auto"/>
          <w:kern w:val="0"/>
          <w:szCs w:val="21"/>
          <w:highlight w:val="none"/>
          <w:u w:val="single"/>
        </w:rPr>
        <w:t>。</w:t>
      </w:r>
    </w:p>
    <w:p>
      <w:pPr>
        <w:widowControl/>
        <w:spacing w:line="360" w:lineRule="auto"/>
        <w:ind w:firstLine="420" w:firstLineChars="200"/>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（4）向发包人提供的办公和生活房屋及设施的要求</w:t>
      </w:r>
      <w:r>
        <w:rPr>
          <w:rFonts w:hint="eastAsia" w:asciiTheme="minorEastAsia" w:hAnsiTheme="minorEastAsia" w:eastAsiaTheme="minorEastAsia" w:cstheme="minorEastAsia"/>
          <w:color w:val="auto"/>
          <w:kern w:val="0"/>
          <w:szCs w:val="21"/>
          <w:highlight w:val="none"/>
        </w:rPr>
        <w:t>：</w:t>
      </w:r>
      <w:r>
        <w:rPr>
          <w:rFonts w:hint="eastAsia" w:asciiTheme="minorEastAsia" w:hAnsiTheme="minorEastAsia" w:eastAsiaTheme="minorEastAsia" w:cstheme="minorEastAsia"/>
          <w:color w:val="auto"/>
          <w:kern w:val="0"/>
          <w:szCs w:val="21"/>
          <w:highlight w:val="none"/>
          <w:u w:val="single"/>
        </w:rPr>
        <w:t>执行《通用条款》9.1（5）款。</w:t>
      </w:r>
    </w:p>
    <w:p>
      <w:pPr>
        <w:widowControl/>
        <w:spacing w:line="360" w:lineRule="auto"/>
        <w:ind w:firstLine="420" w:firstLineChars="200"/>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rPr>
        <w:t>（5）已完工程成品保护的特殊要求及费用承担：执行《通用条款》9.1（6）款，其费用双方在签订合同时约定。</w:t>
      </w:r>
    </w:p>
    <w:p>
      <w:pPr>
        <w:widowControl/>
        <w:spacing w:line="360" w:lineRule="auto"/>
        <w:ind w:firstLine="420" w:firstLineChars="200"/>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szCs w:val="21"/>
          <w:highlight w:val="none"/>
          <w:u w:val="single"/>
        </w:rPr>
        <w:t>（6）施工场地清洁卫生的要求：执行《通用条款》9.1（8）款。达到文明工地的要求，做到工完场清。</w:t>
      </w:r>
    </w:p>
    <w:p>
      <w:pPr>
        <w:widowControl/>
        <w:spacing w:line="360" w:lineRule="auto"/>
        <w:ind w:firstLine="420" w:firstLineChars="200"/>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szCs w:val="21"/>
          <w:highlight w:val="none"/>
          <w:u w:val="single"/>
        </w:rPr>
        <w:t>（9）双方约定承包人应做的其他工作：</w:t>
      </w:r>
      <w:r>
        <w:rPr>
          <w:rFonts w:hint="eastAsia" w:asciiTheme="minorEastAsia" w:hAnsiTheme="minorEastAsia" w:eastAsiaTheme="minorEastAsia" w:cstheme="minorEastAsia"/>
          <w:color w:val="auto"/>
          <w:kern w:val="0"/>
          <w:szCs w:val="21"/>
          <w:highlight w:val="none"/>
          <w:u w:val="single"/>
        </w:rPr>
        <w:t>本合同其它条款约定的承包人应做的工作。</w:t>
      </w:r>
    </w:p>
    <w:p>
      <w:pPr>
        <w:widowControl/>
        <w:spacing w:line="360" w:lineRule="auto"/>
        <w:ind w:firstLine="422" w:firstLineChars="200"/>
        <w:jc w:val="left"/>
        <w:rPr>
          <w:rFonts w:asciiTheme="minorEastAsia" w:hAnsiTheme="minorEastAsia" w:eastAsiaTheme="minorEastAsia" w:cstheme="minorEastAsia"/>
          <w:b/>
          <w:color w:val="auto"/>
          <w:kern w:val="0"/>
          <w:szCs w:val="21"/>
          <w:highlight w:val="none"/>
          <w:u w:val="single"/>
        </w:rPr>
      </w:pPr>
      <w:r>
        <w:rPr>
          <w:rFonts w:hint="eastAsia" w:asciiTheme="minorEastAsia" w:hAnsiTheme="minorEastAsia" w:eastAsiaTheme="minorEastAsia" w:cstheme="minorEastAsia"/>
          <w:b/>
          <w:color w:val="auto"/>
          <w:kern w:val="0"/>
          <w:szCs w:val="21"/>
          <w:highlight w:val="none"/>
          <w:u w:val="single"/>
        </w:rPr>
        <w:t>三、施工组织设计和工期</w:t>
      </w:r>
    </w:p>
    <w:p>
      <w:pPr>
        <w:widowControl/>
        <w:spacing w:line="360" w:lineRule="auto"/>
        <w:ind w:firstLine="420" w:firstLineChars="200"/>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u w:val="single"/>
        </w:rPr>
        <w:t>10、进度计划</w:t>
      </w:r>
    </w:p>
    <w:p>
      <w:pPr>
        <w:widowControl/>
        <w:spacing w:line="360" w:lineRule="auto"/>
        <w:ind w:firstLine="420" w:firstLineChars="200"/>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u w:val="single"/>
        </w:rPr>
        <w:t>10.1承包人提供施工组织设计（施工方案）和进度计划的时间：开工前，承包人根据现场实际情况和发包人的要求，对施工组织设计进行补充、完善并在合同签订后五日内向发包人提供施工组织设计和进度计划6份。</w:t>
      </w:r>
    </w:p>
    <w:p>
      <w:pPr>
        <w:widowControl/>
        <w:spacing w:line="360" w:lineRule="auto"/>
        <w:ind w:firstLine="465"/>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u w:val="single"/>
        </w:rPr>
        <w:t xml:space="preserve">10.2群体工程中有关进度计划的要求：针对本工程承包人除须编报总体施工组织设计和进度计划外，还应编报单项工程进度计划，单项工程进度计划要服从总体工程进度计划的要求。在任何时候，如果工程师提出工程的实际进度与施工进度计划不符时，承包人应根据发包人的要求，另行编制施工进度计划，并做出说明，且不得以此为由延长工期。  </w:t>
      </w:r>
    </w:p>
    <w:p>
      <w:pPr>
        <w:widowControl/>
        <w:shd w:val="clear" w:color="auto" w:fill="FFFFFF"/>
        <w:spacing w:line="360" w:lineRule="auto"/>
        <w:ind w:firstLine="480"/>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u w:val="single"/>
        </w:rPr>
        <w:t>11、工期延误</w:t>
      </w:r>
    </w:p>
    <w:p>
      <w:pPr>
        <w:widowControl/>
        <w:shd w:val="clear" w:color="auto" w:fill="FFFFFF"/>
        <w:spacing w:line="360" w:lineRule="auto"/>
        <w:ind w:firstLine="480"/>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u w:val="single"/>
        </w:rPr>
        <w:t>11.1双方约定工期不予以顺延的情况：</w:t>
      </w:r>
    </w:p>
    <w:p>
      <w:pPr>
        <w:widowControl/>
        <w:shd w:val="clear" w:color="auto" w:fill="FFFFFF"/>
        <w:spacing w:line="360" w:lineRule="auto"/>
        <w:ind w:firstLine="48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（1）发包人未能按约定日期支付工程预付款、进度款，且不超过2个月；</w:t>
      </w:r>
    </w:p>
    <w:p>
      <w:pPr>
        <w:widowControl/>
        <w:shd w:val="clear" w:color="auto" w:fill="FFFFFF"/>
        <w:spacing w:line="360" w:lineRule="auto"/>
        <w:ind w:firstLine="48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（2）设计变更和工程量增加；</w:t>
      </w:r>
    </w:p>
    <w:p>
      <w:pPr>
        <w:widowControl/>
        <w:shd w:val="clear" w:color="auto" w:fill="FFFFFF"/>
        <w:spacing w:line="360" w:lineRule="auto"/>
        <w:ind w:firstLine="48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（3）若出现停水、停电等承包人应采取相应应急措施，保障现场施工正常进行。</w:t>
      </w:r>
    </w:p>
    <w:p>
      <w:pPr>
        <w:widowControl/>
        <w:shd w:val="clear" w:color="auto" w:fill="FFFFFF"/>
        <w:spacing w:line="360" w:lineRule="auto"/>
        <w:ind w:firstLine="48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（4）不能因创卫、政策性检查、中高考、周边环境、治污减霾、雨期干扰等。</w:t>
      </w:r>
    </w:p>
    <w:p>
      <w:pPr>
        <w:widowControl/>
        <w:spacing w:line="360" w:lineRule="auto"/>
        <w:ind w:firstLine="422" w:firstLineChars="200"/>
        <w:jc w:val="left"/>
        <w:rPr>
          <w:rFonts w:asciiTheme="minorEastAsia" w:hAnsiTheme="minorEastAsia" w:eastAsiaTheme="minorEastAsia" w:cstheme="minorEastAsia"/>
          <w:b/>
          <w:color w:val="auto"/>
          <w:kern w:val="0"/>
          <w:szCs w:val="21"/>
          <w:highlight w:val="none"/>
        </w:rPr>
      </w:pPr>
      <w:r>
        <w:rPr>
          <w:rFonts w:hint="eastAsia" w:asciiTheme="minorEastAsia" w:hAnsiTheme="minorEastAsia" w:eastAsiaTheme="minorEastAsia" w:cstheme="minorEastAsia"/>
          <w:b/>
          <w:color w:val="auto"/>
          <w:kern w:val="0"/>
          <w:szCs w:val="21"/>
          <w:highlight w:val="none"/>
        </w:rPr>
        <w:t>四、质量与检验</w:t>
      </w:r>
    </w:p>
    <w:p>
      <w:pPr>
        <w:widowControl/>
        <w:shd w:val="clear" w:color="auto" w:fill="FFFFFF"/>
        <w:spacing w:line="360" w:lineRule="auto"/>
        <w:ind w:firstLine="48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17、隐蔽工程和中间验收</w:t>
      </w:r>
    </w:p>
    <w:p>
      <w:pPr>
        <w:widowControl/>
        <w:shd w:val="clear" w:color="auto" w:fill="FFFFFF"/>
        <w:spacing w:line="360" w:lineRule="auto"/>
        <w:ind w:firstLine="48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17.1双方约定中间验收部位：</w:t>
      </w:r>
      <w:r>
        <w:rPr>
          <w:rFonts w:hint="eastAsia" w:asciiTheme="minorEastAsia" w:hAnsiTheme="minorEastAsia" w:eastAsiaTheme="minorEastAsia" w:cstheme="minorEastAsia"/>
          <w:color w:val="auto"/>
          <w:kern w:val="0"/>
          <w:szCs w:val="21"/>
          <w:highlight w:val="none"/>
          <w:u w:val="single"/>
        </w:rPr>
        <w:t>根据相关规范及发包人要求进行中间验收。</w:t>
      </w:r>
    </w:p>
    <w:p>
      <w:pPr>
        <w:widowControl/>
        <w:shd w:val="clear" w:color="auto" w:fill="FFFFFF"/>
        <w:spacing w:line="360" w:lineRule="auto"/>
        <w:ind w:firstLine="48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19、工程试车</w:t>
      </w:r>
    </w:p>
    <w:p>
      <w:pPr>
        <w:widowControl/>
        <w:shd w:val="clear" w:color="auto" w:fill="FFFFFF"/>
        <w:spacing w:line="360" w:lineRule="auto"/>
        <w:ind w:firstLine="48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19.5试车费用的承担：</w:t>
      </w:r>
      <w:r>
        <w:rPr>
          <w:rFonts w:hint="eastAsia" w:asciiTheme="minorEastAsia" w:hAnsiTheme="minorEastAsia" w:eastAsiaTheme="minorEastAsia" w:cstheme="minorEastAsia"/>
          <w:color w:val="auto"/>
          <w:kern w:val="0"/>
          <w:szCs w:val="21"/>
          <w:highlight w:val="none"/>
          <w:u w:val="single"/>
        </w:rPr>
        <w:t>承包人承担通用条款19条约定的全部内容及费用。</w:t>
      </w:r>
    </w:p>
    <w:p>
      <w:pPr>
        <w:widowControl/>
        <w:spacing w:line="360" w:lineRule="auto"/>
        <w:ind w:firstLine="422" w:firstLineChars="200"/>
        <w:jc w:val="left"/>
        <w:rPr>
          <w:rFonts w:asciiTheme="minorEastAsia" w:hAnsiTheme="minorEastAsia" w:eastAsiaTheme="minorEastAsia" w:cstheme="minorEastAsia"/>
          <w:b/>
          <w:color w:val="auto"/>
          <w:kern w:val="0"/>
          <w:szCs w:val="21"/>
          <w:highlight w:val="none"/>
        </w:rPr>
      </w:pPr>
      <w:r>
        <w:rPr>
          <w:rFonts w:hint="eastAsia" w:asciiTheme="minorEastAsia" w:hAnsiTheme="minorEastAsia" w:eastAsiaTheme="minorEastAsia" w:cstheme="minorEastAsia"/>
          <w:b/>
          <w:color w:val="auto"/>
          <w:kern w:val="0"/>
          <w:szCs w:val="21"/>
          <w:highlight w:val="none"/>
        </w:rPr>
        <w:t>五、安全防护、文明施工</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u w:val="single"/>
        </w:rPr>
        <w:t>执行《通用条款》第五条全部条款和国家、省、市关于安全文明施工的要求规定和创卫标准，因承包方原因达不到安全文明施工的要求规定和创卫标准时，承包人应切实整改达到此要求，所需费用均由承包人承担。若承包人拒不改正，发包人有权准许其他单位进行整改，其费用由发包人直接从承包人进度款中扣除。</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u w:val="single"/>
        </w:rPr>
        <w:t>承包人严格按陕西省文明工地检查（验收）标准实施，安全施工。承包人按照国家和当地政府有关规定应采取的任何必要安全防护措施所需价款已包含在发包人支付的合同价款当中，发包人无需另行支付。承包人承担由于自身措施不力造成事故的全部责任和因此发生的全部费用。</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u w:val="single"/>
        </w:rPr>
        <w:t>安全目标为无死亡事故，工伤频率控制在西安市建筑施工安全管理法规规定的指标要求范围内。若发生伤亡事故，有关费用全部由承包人承担，因此给发包人造成损失的，还应按照发包人的实际损失承担赔偿责任，发包人有权直接在进度款中扣除。</w:t>
      </w:r>
    </w:p>
    <w:p>
      <w:pPr>
        <w:widowControl/>
        <w:spacing w:line="360" w:lineRule="auto"/>
        <w:ind w:firstLine="422" w:firstLineChars="200"/>
        <w:jc w:val="left"/>
        <w:rPr>
          <w:rFonts w:asciiTheme="minorEastAsia" w:hAnsiTheme="minorEastAsia" w:eastAsiaTheme="minorEastAsia" w:cstheme="minorEastAsia"/>
          <w:b/>
          <w:color w:val="auto"/>
          <w:kern w:val="0"/>
          <w:szCs w:val="21"/>
          <w:highlight w:val="none"/>
        </w:rPr>
      </w:pPr>
      <w:r>
        <w:rPr>
          <w:rFonts w:hint="eastAsia" w:asciiTheme="minorEastAsia" w:hAnsiTheme="minorEastAsia" w:eastAsiaTheme="minorEastAsia" w:cstheme="minorEastAsia"/>
          <w:b/>
          <w:color w:val="auto"/>
          <w:kern w:val="0"/>
          <w:szCs w:val="21"/>
          <w:highlight w:val="none"/>
        </w:rPr>
        <w:t>六、合同价款</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26、合同价款约定</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26.2本合同价款采用</w:t>
      </w:r>
      <w:r>
        <w:rPr>
          <w:rFonts w:hint="eastAsia" w:asciiTheme="minorEastAsia" w:hAnsiTheme="minorEastAsia" w:eastAsiaTheme="minorEastAsia" w:cstheme="minorEastAsia"/>
          <w:color w:val="auto"/>
          <w:kern w:val="0"/>
          <w:szCs w:val="21"/>
          <w:highlight w:val="none"/>
          <w:u w:val="single"/>
        </w:rPr>
        <w:t xml:space="preserve">  （1）  </w:t>
      </w:r>
      <w:r>
        <w:rPr>
          <w:rFonts w:hint="eastAsia" w:asciiTheme="minorEastAsia" w:hAnsiTheme="minorEastAsia" w:eastAsiaTheme="minorEastAsia" w:cstheme="minorEastAsia"/>
          <w:color w:val="auto"/>
          <w:kern w:val="0"/>
          <w:szCs w:val="21"/>
          <w:highlight w:val="none"/>
        </w:rPr>
        <w:t>方式确定。</w:t>
      </w:r>
    </w:p>
    <w:p>
      <w:pPr>
        <w:widowControl/>
        <w:spacing w:line="360" w:lineRule="auto"/>
        <w:ind w:firstLine="420" w:firstLineChars="200"/>
        <w:rPr>
          <w:rFonts w:asciiTheme="minorEastAsia" w:hAnsiTheme="minorEastAsia" w:eastAsiaTheme="minorEastAsia" w:cstheme="minorEastAsia"/>
          <w:color w:val="auto"/>
          <w:kern w:val="0"/>
          <w:szCs w:val="21"/>
          <w:highlight w:val="none"/>
          <w:bdr w:val="single" w:color="auto" w:sz="4" w:space="0"/>
        </w:rPr>
      </w:pPr>
      <w:r>
        <w:rPr>
          <w:rFonts w:hint="eastAsia" w:asciiTheme="minorEastAsia" w:hAnsiTheme="minorEastAsia" w:eastAsiaTheme="minorEastAsia" w:cstheme="minorEastAsia"/>
          <w:color w:val="auto"/>
          <w:kern w:val="0"/>
          <w:szCs w:val="21"/>
          <w:highlight w:val="none"/>
        </w:rPr>
        <w:t xml:space="preserve">（1）采用固定总价合同。 </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（2）采用固定综合单价合同。</w:t>
      </w:r>
    </w:p>
    <w:p>
      <w:pPr>
        <w:widowControl/>
        <w:spacing w:line="360" w:lineRule="auto"/>
        <w:ind w:firstLine="420" w:firstLineChars="200"/>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（3）采用可调价格合同，合同价款调整方法：</w:t>
      </w:r>
      <w:r>
        <w:rPr>
          <w:rFonts w:hint="eastAsia" w:asciiTheme="minorEastAsia" w:hAnsiTheme="minorEastAsia" w:eastAsiaTheme="minorEastAsia" w:cstheme="minorEastAsia"/>
          <w:color w:val="auto"/>
          <w:kern w:val="0"/>
          <w:szCs w:val="21"/>
          <w:highlight w:val="none"/>
          <w:u w:val="single"/>
        </w:rPr>
        <w:t xml:space="preserve">  /  </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27、合同价款调整</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27.1双方约定合同价款的其他调整因素：</w:t>
      </w:r>
      <w:r>
        <w:rPr>
          <w:rFonts w:hint="eastAsia" w:asciiTheme="minorEastAsia" w:hAnsiTheme="minorEastAsia" w:eastAsiaTheme="minorEastAsia" w:cstheme="minorEastAsia"/>
          <w:color w:val="auto"/>
          <w:kern w:val="0"/>
          <w:szCs w:val="21"/>
          <w:highlight w:val="none"/>
          <w:u w:val="single"/>
        </w:rPr>
        <w:t xml:space="preserve"> 非承包人原因造成的签证或变更按实结算。 </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28、工程预付款</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发包人向承包人预付工程款的时间和金额或占合同价款总额的比例：</w:t>
      </w:r>
    </w:p>
    <w:p>
      <w:pPr>
        <w:widowControl/>
        <w:spacing w:line="360" w:lineRule="auto"/>
        <w:ind w:firstLine="420" w:firstLineChars="200"/>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u w:val="single"/>
        </w:rPr>
        <w:t>本合同签订后15个工作日，发包人向承包人支付合同总价款</w:t>
      </w:r>
      <w:r>
        <w:rPr>
          <w:rFonts w:hint="eastAsia" w:asciiTheme="minorEastAsia" w:hAnsiTheme="minorEastAsia" w:eastAsiaTheme="minorEastAsia" w:cstheme="minorEastAsia"/>
          <w:color w:val="auto"/>
          <w:kern w:val="0"/>
          <w:szCs w:val="21"/>
          <w:highlight w:val="none"/>
          <w:u w:val="single"/>
          <w:lang w:val="en-US" w:eastAsia="zh-CN"/>
        </w:rPr>
        <w:t>3</w:t>
      </w:r>
      <w:r>
        <w:rPr>
          <w:rFonts w:hint="eastAsia" w:asciiTheme="minorEastAsia" w:hAnsiTheme="minorEastAsia" w:eastAsiaTheme="minorEastAsia" w:cstheme="minorEastAsia"/>
          <w:color w:val="auto"/>
          <w:kern w:val="0"/>
          <w:szCs w:val="21"/>
          <w:highlight w:val="none"/>
          <w:u w:val="single"/>
        </w:rPr>
        <w:t>0%作为预付款</w:t>
      </w:r>
      <w:r>
        <w:rPr>
          <w:rFonts w:hint="eastAsia" w:asciiTheme="minorEastAsia" w:hAnsiTheme="minorEastAsia" w:eastAsiaTheme="minorEastAsia" w:cstheme="minorEastAsia"/>
          <w:color w:val="auto"/>
          <w:kern w:val="0"/>
          <w:szCs w:val="21"/>
          <w:highlight w:val="none"/>
          <w:u w:val="single"/>
          <w:lang w:eastAsia="zh-CN"/>
        </w:rPr>
        <w:t>，包含</w:t>
      </w:r>
      <w:r>
        <w:rPr>
          <w:rFonts w:hint="eastAsia" w:asciiTheme="minorEastAsia" w:hAnsiTheme="minorEastAsia" w:eastAsiaTheme="minorEastAsia" w:cstheme="minorEastAsia"/>
          <w:color w:val="auto"/>
          <w:kern w:val="0"/>
          <w:szCs w:val="21"/>
          <w:highlight w:val="none"/>
          <w:u w:val="single"/>
          <w:lang w:val="en-US" w:eastAsia="zh-CN"/>
        </w:rPr>
        <w:t>100%的</w:t>
      </w:r>
      <w:r>
        <w:rPr>
          <w:rFonts w:hint="eastAsia" w:asciiTheme="minorEastAsia" w:hAnsiTheme="minorEastAsia" w:eastAsiaTheme="minorEastAsia" w:cstheme="minorEastAsia"/>
          <w:color w:val="auto"/>
          <w:kern w:val="0"/>
          <w:szCs w:val="21"/>
          <w:highlight w:val="none"/>
          <w:u w:val="single"/>
        </w:rPr>
        <w:t>安全文明施工措施费。</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扣回预付款的时间、比例：</w:t>
      </w:r>
      <w:r>
        <w:rPr>
          <w:rFonts w:hint="eastAsia" w:asciiTheme="minorEastAsia" w:hAnsiTheme="minorEastAsia" w:eastAsiaTheme="minorEastAsia" w:cstheme="minorEastAsia"/>
          <w:color w:val="auto"/>
          <w:kern w:val="0"/>
          <w:szCs w:val="21"/>
          <w:highlight w:val="none"/>
          <w:u w:val="single"/>
        </w:rPr>
        <w:t xml:space="preserve">  /   </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29、工程量确认</w:t>
      </w:r>
    </w:p>
    <w:p>
      <w:pPr>
        <w:widowControl/>
        <w:spacing w:line="360" w:lineRule="auto"/>
        <w:ind w:firstLine="420" w:firstLineChars="200"/>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29.1承包人向工程师提交已完工程量报告的时间：</w:t>
      </w:r>
      <w:r>
        <w:rPr>
          <w:rFonts w:hint="eastAsia" w:asciiTheme="minorEastAsia" w:hAnsiTheme="minorEastAsia" w:eastAsiaTheme="minorEastAsia" w:cstheme="minorEastAsia"/>
          <w:color w:val="auto"/>
          <w:szCs w:val="21"/>
          <w:highlight w:val="none"/>
          <w:u w:val="single"/>
        </w:rPr>
        <w:t xml:space="preserve">  /   </w:t>
      </w:r>
    </w:p>
    <w:p>
      <w:pPr>
        <w:widowControl/>
        <w:tabs>
          <w:tab w:val="right" w:pos="9639"/>
        </w:tabs>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30、工程进度款结算与支付</w:t>
      </w:r>
      <w:r>
        <w:rPr>
          <w:rFonts w:hint="eastAsia" w:asciiTheme="minorEastAsia" w:hAnsiTheme="minorEastAsia" w:eastAsiaTheme="minorEastAsia" w:cstheme="minorEastAsia"/>
          <w:color w:val="auto"/>
          <w:kern w:val="0"/>
          <w:szCs w:val="21"/>
          <w:highlight w:val="none"/>
        </w:rPr>
        <w:tab/>
      </w:r>
    </w:p>
    <w:p>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30.1进度款结算支付方式、时间和比例：</w:t>
      </w:r>
    </w:p>
    <w:p>
      <w:pPr>
        <w:widowControl/>
        <w:spacing w:line="360" w:lineRule="auto"/>
        <w:ind w:firstLine="420" w:firstLineChars="20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lang w:eastAsia="zh-CN"/>
        </w:rPr>
        <w:t>（</w:t>
      </w:r>
      <w:r>
        <w:rPr>
          <w:rFonts w:hint="eastAsia" w:asciiTheme="minorEastAsia" w:hAnsiTheme="minorEastAsia" w:eastAsiaTheme="minorEastAsia" w:cstheme="minorEastAsia"/>
          <w:color w:val="auto"/>
          <w:szCs w:val="21"/>
          <w:highlight w:val="none"/>
          <w:u w:val="single"/>
          <w:lang w:val="en-US" w:eastAsia="zh-CN"/>
        </w:rPr>
        <w:t>1</w:t>
      </w:r>
      <w:r>
        <w:rPr>
          <w:rFonts w:hint="eastAsia" w:asciiTheme="minorEastAsia" w:hAnsiTheme="minorEastAsia" w:eastAsiaTheme="minorEastAsia" w:cstheme="minorEastAsia"/>
          <w:color w:val="auto"/>
          <w:szCs w:val="21"/>
          <w:highlight w:val="none"/>
          <w:u w:val="single"/>
          <w:lang w:eastAsia="zh-CN"/>
        </w:rPr>
        <w:t>）</w:t>
      </w:r>
      <w:r>
        <w:rPr>
          <w:rFonts w:hint="eastAsia" w:asciiTheme="minorEastAsia" w:hAnsiTheme="minorEastAsia" w:eastAsiaTheme="minorEastAsia" w:cstheme="minorEastAsia"/>
          <w:color w:val="auto"/>
          <w:szCs w:val="21"/>
          <w:highlight w:val="none"/>
          <w:u w:val="single"/>
          <w:lang w:val="en-US" w:eastAsia="zh-CN"/>
        </w:rPr>
        <w:t>项目实施进度达到50%后</w:t>
      </w:r>
      <w:r>
        <w:rPr>
          <w:rFonts w:hint="eastAsia" w:asciiTheme="minorEastAsia" w:hAnsiTheme="minorEastAsia" w:eastAsiaTheme="minorEastAsia" w:cstheme="minorEastAsia"/>
          <w:color w:val="auto"/>
          <w:szCs w:val="21"/>
          <w:highlight w:val="none"/>
          <w:u w:val="single"/>
          <w:lang w:eastAsia="zh-CN"/>
        </w:rPr>
        <w:t>支付至合同总价款的70%；</w:t>
      </w:r>
    </w:p>
    <w:p>
      <w:pPr>
        <w:widowControl/>
        <w:spacing w:line="360" w:lineRule="auto"/>
        <w:ind w:firstLine="420" w:firstLineChars="20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u w:val="single"/>
          <w:lang w:val="en-US" w:eastAsia="zh-CN"/>
        </w:rPr>
        <w:t>2</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u w:val="single"/>
          <w:lang w:eastAsia="zh-CN"/>
        </w:rPr>
        <w:t>项目完工后支付至合同总价款的</w:t>
      </w:r>
      <w:r>
        <w:rPr>
          <w:rFonts w:hint="eastAsia" w:asciiTheme="minorEastAsia" w:hAnsiTheme="minorEastAsia" w:eastAsiaTheme="minorEastAsia" w:cstheme="minorEastAsia"/>
          <w:color w:val="auto"/>
          <w:szCs w:val="21"/>
          <w:highlight w:val="none"/>
          <w:u w:val="single"/>
          <w:lang w:val="en-US" w:eastAsia="zh-CN"/>
        </w:rPr>
        <w:t>9</w:t>
      </w:r>
      <w:r>
        <w:rPr>
          <w:rFonts w:hint="eastAsia" w:asciiTheme="minorEastAsia" w:hAnsiTheme="minorEastAsia" w:eastAsiaTheme="minorEastAsia" w:cstheme="minorEastAsia"/>
          <w:color w:val="auto"/>
          <w:szCs w:val="21"/>
          <w:highlight w:val="none"/>
          <w:u w:val="single"/>
          <w:lang w:eastAsia="zh-CN"/>
        </w:rPr>
        <w:t>0%</w:t>
      </w:r>
      <w:r>
        <w:rPr>
          <w:rFonts w:hint="eastAsia" w:asciiTheme="minorEastAsia" w:hAnsiTheme="minorEastAsia" w:eastAsiaTheme="minorEastAsia" w:cstheme="minorEastAsia"/>
          <w:color w:val="auto"/>
          <w:szCs w:val="21"/>
          <w:highlight w:val="none"/>
          <w:u w:val="single"/>
        </w:rPr>
        <w:t>；</w:t>
      </w:r>
    </w:p>
    <w:p>
      <w:pPr>
        <w:widowControl/>
        <w:spacing w:line="360" w:lineRule="auto"/>
        <w:ind w:firstLine="420" w:firstLineChars="200"/>
        <w:jc w:val="left"/>
        <w:rPr>
          <w:rFonts w:hint="eastAsia" w:asciiTheme="minorEastAsia" w:hAnsiTheme="minorEastAsia" w:eastAsiaTheme="minorEastAsia" w:cstheme="minorEastAsia"/>
          <w:color w:val="auto"/>
          <w:szCs w:val="21"/>
          <w:highlight w:val="none"/>
          <w:u w:val="single"/>
          <w:lang w:eastAsia="zh-CN"/>
        </w:rPr>
      </w:pP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u w:val="single"/>
          <w:lang w:val="en-US" w:eastAsia="zh-CN"/>
        </w:rPr>
        <w:t>3</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u w:val="single"/>
          <w:lang w:eastAsia="zh-CN"/>
        </w:rPr>
        <w:t>项目验收通过后</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u w:val="single"/>
          <w:lang w:eastAsia="zh-CN"/>
        </w:rPr>
        <w:t>支付全部剩余资金。</w:t>
      </w:r>
    </w:p>
    <w:p>
      <w:pPr>
        <w:widowControl/>
        <w:spacing w:line="360" w:lineRule="auto"/>
        <w:ind w:firstLine="422" w:firstLineChars="200"/>
        <w:jc w:val="left"/>
        <w:rPr>
          <w:rFonts w:asciiTheme="minorEastAsia" w:hAnsiTheme="minorEastAsia" w:eastAsiaTheme="minorEastAsia" w:cstheme="minorEastAsia"/>
          <w:b/>
          <w:color w:val="auto"/>
          <w:kern w:val="0"/>
          <w:szCs w:val="21"/>
          <w:highlight w:val="none"/>
        </w:rPr>
      </w:pPr>
      <w:r>
        <w:rPr>
          <w:rFonts w:hint="eastAsia" w:asciiTheme="minorEastAsia" w:hAnsiTheme="minorEastAsia" w:eastAsiaTheme="minorEastAsia" w:cstheme="minorEastAsia"/>
          <w:b/>
          <w:color w:val="auto"/>
          <w:kern w:val="0"/>
          <w:szCs w:val="21"/>
          <w:highlight w:val="none"/>
        </w:rPr>
        <w:t>七、材料设备供应</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31、发包人供应材料设备</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31.4发包人供应的材料设备与一览表不符时，双方约定发包人承担责任如下：</w:t>
      </w:r>
    </w:p>
    <w:p>
      <w:pPr>
        <w:widowControl/>
        <w:spacing w:line="360" w:lineRule="auto"/>
        <w:ind w:firstLine="420" w:firstLineChars="200"/>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（1）材料设备单价与一览表不符：</w:t>
      </w:r>
      <w:r>
        <w:rPr>
          <w:rFonts w:hint="eastAsia" w:asciiTheme="minorEastAsia" w:hAnsiTheme="minorEastAsia" w:eastAsiaTheme="minorEastAsia" w:cstheme="minorEastAsia"/>
          <w:color w:val="auto"/>
          <w:kern w:val="0"/>
          <w:szCs w:val="21"/>
          <w:highlight w:val="none"/>
          <w:u w:val="single"/>
        </w:rPr>
        <w:t xml:space="preserve">                  /        </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（2）材料设备的品种、规格、型号、质量等级与一览表不符：</w:t>
      </w:r>
      <w:r>
        <w:rPr>
          <w:rFonts w:hint="eastAsia" w:asciiTheme="minorEastAsia" w:hAnsiTheme="minorEastAsia" w:eastAsiaTheme="minorEastAsia" w:cstheme="minorEastAsia"/>
          <w:color w:val="auto"/>
          <w:kern w:val="0"/>
          <w:szCs w:val="21"/>
          <w:highlight w:val="none"/>
          <w:u w:val="single"/>
        </w:rPr>
        <w:t xml:space="preserve">若没有能说明原因的报告、工程变更，施工单位可拒接。   </w:t>
      </w:r>
    </w:p>
    <w:p>
      <w:pPr>
        <w:widowControl/>
        <w:spacing w:line="360" w:lineRule="auto"/>
        <w:ind w:firstLine="420" w:firstLineChars="200"/>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（3）承包人可代为调剂串换的材料：</w:t>
      </w:r>
      <w:r>
        <w:rPr>
          <w:rFonts w:hint="eastAsia" w:asciiTheme="minorEastAsia" w:hAnsiTheme="minorEastAsia" w:eastAsiaTheme="minorEastAsia" w:cstheme="minorEastAsia"/>
          <w:color w:val="auto"/>
          <w:kern w:val="0"/>
          <w:szCs w:val="21"/>
          <w:highlight w:val="none"/>
          <w:u w:val="single"/>
        </w:rPr>
        <w:t xml:space="preserve">需征得发包人同意。             </w:t>
      </w:r>
    </w:p>
    <w:p>
      <w:pPr>
        <w:widowControl/>
        <w:spacing w:line="360" w:lineRule="auto"/>
        <w:ind w:firstLine="420" w:firstLineChars="200"/>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（4）到货地点与一览表不符：</w:t>
      </w:r>
      <w:r>
        <w:rPr>
          <w:rFonts w:hint="eastAsia" w:asciiTheme="minorEastAsia" w:hAnsiTheme="minorEastAsia" w:eastAsiaTheme="minorEastAsia" w:cstheme="minorEastAsia"/>
          <w:color w:val="auto"/>
          <w:kern w:val="0"/>
          <w:szCs w:val="21"/>
          <w:highlight w:val="none"/>
          <w:u w:val="single"/>
        </w:rPr>
        <w:t xml:space="preserve">施工单位可拒接。               </w:t>
      </w:r>
    </w:p>
    <w:p>
      <w:pPr>
        <w:widowControl/>
        <w:spacing w:line="360" w:lineRule="auto"/>
        <w:ind w:firstLine="420" w:firstLineChars="200"/>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（5）供应数量与一览表不符：</w:t>
      </w:r>
      <w:r>
        <w:rPr>
          <w:rFonts w:hint="eastAsia" w:asciiTheme="minorEastAsia" w:hAnsiTheme="minorEastAsia" w:eastAsiaTheme="minorEastAsia" w:cstheme="minorEastAsia"/>
          <w:color w:val="auto"/>
          <w:kern w:val="0"/>
          <w:szCs w:val="21"/>
          <w:highlight w:val="none"/>
          <w:u w:val="single"/>
        </w:rPr>
        <w:t xml:space="preserve">以承包单位的材料需求计划为准。                 </w:t>
      </w:r>
    </w:p>
    <w:p>
      <w:pPr>
        <w:widowControl/>
        <w:spacing w:line="360" w:lineRule="auto"/>
        <w:ind w:firstLine="420" w:firstLineChars="200"/>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（6）到货时间与一览表不符：</w:t>
      </w:r>
      <w:r>
        <w:rPr>
          <w:rFonts w:hint="eastAsia" w:asciiTheme="minorEastAsia" w:hAnsiTheme="minorEastAsia" w:eastAsiaTheme="minorEastAsia" w:cstheme="minorEastAsia"/>
          <w:color w:val="auto"/>
          <w:kern w:val="0"/>
          <w:szCs w:val="21"/>
          <w:highlight w:val="none"/>
          <w:u w:val="single"/>
        </w:rPr>
        <w:t>以承包单位的材料需求计划为准，若到货时间影响了工期，由发包人工程师核实后，准予顺延工期但总工期不变。</w:t>
      </w:r>
    </w:p>
    <w:p>
      <w:pPr>
        <w:widowControl/>
        <w:spacing w:line="360" w:lineRule="auto"/>
        <w:ind w:firstLine="420" w:firstLineChars="200"/>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31.6发包人供应材料设备的结算方法：</w:t>
      </w:r>
      <w:r>
        <w:rPr>
          <w:rFonts w:hint="eastAsia" w:asciiTheme="minorEastAsia" w:hAnsiTheme="minorEastAsia" w:eastAsiaTheme="minorEastAsia" w:cstheme="minorEastAsia"/>
          <w:color w:val="auto"/>
          <w:kern w:val="0"/>
          <w:szCs w:val="21"/>
          <w:highlight w:val="none"/>
          <w:u w:val="single"/>
        </w:rPr>
        <w:t xml:space="preserve">/       </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32、承包人采购材料设备</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32.1承包人采购材料设备的约定：</w:t>
      </w:r>
    </w:p>
    <w:p>
      <w:pPr>
        <w:widowControl/>
        <w:spacing w:line="440" w:lineRule="exact"/>
        <w:ind w:firstLine="420" w:firstLineChars="200"/>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kern w:val="0"/>
          <w:szCs w:val="21"/>
          <w:highlight w:val="none"/>
          <w:u w:val="single"/>
        </w:rPr>
        <w:t>（1）</w:t>
      </w:r>
      <w:r>
        <w:rPr>
          <w:rFonts w:hint="eastAsia" w:asciiTheme="minorEastAsia" w:hAnsiTheme="minorEastAsia" w:eastAsiaTheme="minorEastAsia" w:cstheme="minorEastAsia"/>
          <w:color w:val="auto"/>
          <w:szCs w:val="21"/>
          <w:highlight w:val="none"/>
          <w:u w:val="single"/>
        </w:rPr>
        <w:t>承包人必须严格按施工图约定及合同要求选择材料。采购前报发包人的相关部门批准后，方可进行采购。所选材料必须是符合国家行业部门检测的合格产品，符合国家环境污染控制有关规范，具备出厂证明、质量检验证、产品合格证及相关检验证明。在使用前报发包人确认后方可用于工程，否则按照不合格产品对待，由此造成的经济损失由承包人承担。</w:t>
      </w:r>
    </w:p>
    <w:p>
      <w:pPr>
        <w:widowControl/>
        <w:spacing w:line="440" w:lineRule="exact"/>
        <w:ind w:firstLine="420" w:firstLineChars="200"/>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kern w:val="0"/>
          <w:szCs w:val="21"/>
          <w:highlight w:val="none"/>
          <w:u w:val="single"/>
        </w:rPr>
        <w:t>（2）</w:t>
      </w:r>
      <w:r>
        <w:rPr>
          <w:rFonts w:hint="eastAsia" w:asciiTheme="minorEastAsia" w:hAnsiTheme="minorEastAsia" w:eastAsiaTheme="minorEastAsia" w:cstheme="minorEastAsia"/>
          <w:color w:val="auto"/>
          <w:szCs w:val="21"/>
          <w:highlight w:val="none"/>
          <w:u w:val="single"/>
        </w:rPr>
        <w:t>暂定价材料，在采购前均需报发包人认质认价，结算时在综合单价的基础上按发包人的认质认价单进行调整，调整时仅计算材料价差和税金。</w:t>
      </w:r>
    </w:p>
    <w:p>
      <w:pPr>
        <w:widowControl/>
        <w:spacing w:line="440" w:lineRule="exact"/>
        <w:ind w:firstLine="420" w:firstLineChars="200"/>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kern w:val="0"/>
          <w:szCs w:val="21"/>
          <w:highlight w:val="none"/>
          <w:u w:val="single"/>
        </w:rPr>
        <w:t>（3）</w:t>
      </w:r>
      <w:r>
        <w:rPr>
          <w:rFonts w:hint="eastAsia" w:asciiTheme="minorEastAsia" w:hAnsiTheme="minorEastAsia" w:eastAsiaTheme="minorEastAsia" w:cstheme="minorEastAsia"/>
          <w:color w:val="auto"/>
          <w:szCs w:val="21"/>
          <w:highlight w:val="none"/>
          <w:u w:val="single"/>
        </w:rPr>
        <w:t>对承包人采购的材料不符合质量要求的，发包人有权自行采购和指定采购，但需在采购前提前书面通知承包人，承包人不再就该部分材料进行采购。</w:t>
      </w:r>
    </w:p>
    <w:p>
      <w:pPr>
        <w:widowControl/>
        <w:spacing w:line="440" w:lineRule="exact"/>
        <w:ind w:firstLine="420" w:firstLineChars="200"/>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rPr>
        <w:t>（4）招标清单中没有的材料，在采购前需报发包人认质认价，结算时按发包人的认质认价进行调整，调整时仅计取材料价差及税金。</w:t>
      </w:r>
    </w:p>
    <w:p>
      <w:pPr>
        <w:widowControl/>
        <w:spacing w:line="360" w:lineRule="auto"/>
        <w:ind w:firstLine="422" w:firstLineChars="200"/>
        <w:jc w:val="left"/>
        <w:rPr>
          <w:rFonts w:asciiTheme="minorEastAsia" w:hAnsiTheme="minorEastAsia" w:eastAsiaTheme="minorEastAsia" w:cstheme="minorEastAsia"/>
          <w:b/>
          <w:color w:val="auto"/>
          <w:kern w:val="0"/>
          <w:szCs w:val="21"/>
          <w:highlight w:val="none"/>
        </w:rPr>
      </w:pPr>
      <w:r>
        <w:rPr>
          <w:rFonts w:hint="eastAsia" w:asciiTheme="minorEastAsia" w:hAnsiTheme="minorEastAsia" w:eastAsiaTheme="minorEastAsia" w:cstheme="minorEastAsia"/>
          <w:b/>
          <w:color w:val="auto"/>
          <w:kern w:val="0"/>
          <w:szCs w:val="21"/>
          <w:highlight w:val="none"/>
        </w:rPr>
        <w:t>八、工程变更</w:t>
      </w:r>
    </w:p>
    <w:p>
      <w:pPr>
        <w:widowControl/>
        <w:spacing w:line="360" w:lineRule="auto"/>
        <w:ind w:firstLine="420" w:firstLineChars="200"/>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u w:val="single"/>
        </w:rPr>
        <w:t>35、确定变更价款：</w:t>
      </w:r>
    </w:p>
    <w:p>
      <w:pPr>
        <w:overflowPunct w:val="0"/>
        <w:spacing w:line="360" w:lineRule="auto"/>
        <w:ind w:firstLine="403" w:firstLineChars="192"/>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rPr>
        <w:t>承包人在工程变更、签证确定后14天内，提出变更、签证工程价款的报告，经发包人确认后调整合同暂定价款。变更、签证合同价款按下列方法确定：</w:t>
      </w:r>
    </w:p>
    <w:p>
      <w:pPr>
        <w:overflowPunct w:val="0"/>
        <w:spacing w:line="360" w:lineRule="auto"/>
        <w:ind w:firstLine="436" w:firstLineChars="208"/>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rPr>
        <w:t>（1）合同中已有适用于变更工程的价格，按相应项目合同已确认的综合单价办理结算；</w:t>
      </w:r>
    </w:p>
    <w:p>
      <w:pPr>
        <w:spacing w:line="360" w:lineRule="auto"/>
        <w:ind w:firstLine="420" w:firstLineChars="200"/>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rPr>
        <w:t>（2）合同中只有类似于变更工程的价格，只调整相应的主材费，主材单价按响应文件主材价格计算，若响应文件中无主材单价时，由发包人认质认价后进行调整，调整时仅计算主要材料差价和税金；</w:t>
      </w:r>
    </w:p>
    <w:p>
      <w:pPr>
        <w:overflowPunct w:val="0"/>
        <w:spacing w:line="360" w:lineRule="auto"/>
        <w:ind w:firstLine="403" w:firstLineChars="192"/>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rPr>
        <w:t>（3）合同中没有适用或类似于工程变更的价格，按招标文件编制上限控制价综合单价的原则组价，并按原成交价同上限控制价相比下浮相同比例，确定综合单价办理结算（发包人认质认价的材料设备价不优惠）。</w:t>
      </w:r>
    </w:p>
    <w:p>
      <w:pPr>
        <w:overflowPunct w:val="0"/>
        <w:spacing w:line="360" w:lineRule="auto"/>
        <w:ind w:firstLine="403" w:firstLineChars="192"/>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rPr>
        <w:t>（4）变更、签证工程的措施项目费调整原则按</w:t>
      </w:r>
      <w:r>
        <w:rPr>
          <w:rFonts w:hint="eastAsia" w:asciiTheme="minorEastAsia" w:hAnsiTheme="minorEastAsia" w:eastAsiaTheme="minorEastAsia" w:cstheme="minorEastAsia"/>
          <w:color w:val="auto"/>
          <w:kern w:val="0"/>
          <w:szCs w:val="21"/>
          <w:highlight w:val="none"/>
          <w:u w:val="single"/>
        </w:rPr>
        <w:t>《通用条款》第</w:t>
      </w:r>
      <w:r>
        <w:rPr>
          <w:rFonts w:hint="eastAsia" w:asciiTheme="minorEastAsia" w:hAnsiTheme="minorEastAsia" w:eastAsiaTheme="minorEastAsia" w:cstheme="minorEastAsia"/>
          <w:color w:val="auto"/>
          <w:szCs w:val="21"/>
          <w:highlight w:val="none"/>
          <w:u w:val="single"/>
        </w:rPr>
        <w:t>27.1条规定。</w:t>
      </w:r>
    </w:p>
    <w:p>
      <w:pPr>
        <w:widowControl/>
        <w:spacing w:line="360" w:lineRule="auto"/>
        <w:ind w:firstLine="422" w:firstLineChars="200"/>
        <w:jc w:val="left"/>
        <w:rPr>
          <w:rFonts w:asciiTheme="minorEastAsia" w:hAnsiTheme="minorEastAsia" w:eastAsiaTheme="minorEastAsia" w:cstheme="minorEastAsia"/>
          <w:b/>
          <w:color w:val="auto"/>
          <w:kern w:val="0"/>
          <w:szCs w:val="21"/>
          <w:highlight w:val="none"/>
        </w:rPr>
      </w:pPr>
      <w:r>
        <w:rPr>
          <w:rFonts w:hint="eastAsia" w:asciiTheme="minorEastAsia" w:hAnsiTheme="minorEastAsia" w:eastAsiaTheme="minorEastAsia" w:cstheme="minorEastAsia"/>
          <w:b/>
          <w:color w:val="auto"/>
          <w:kern w:val="0"/>
          <w:szCs w:val="21"/>
          <w:highlight w:val="none"/>
        </w:rPr>
        <w:t>九、竣工验收与结算</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36、竣工验收</w:t>
      </w:r>
    </w:p>
    <w:p>
      <w:pPr>
        <w:widowControl/>
        <w:spacing w:line="400" w:lineRule="exact"/>
        <w:ind w:firstLine="420" w:firstLineChars="200"/>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kern w:val="0"/>
          <w:szCs w:val="21"/>
          <w:highlight w:val="none"/>
        </w:rPr>
        <w:t>36.1承包人提供竣工图的约定：</w:t>
      </w:r>
      <w:r>
        <w:rPr>
          <w:rFonts w:hint="eastAsia" w:asciiTheme="minorEastAsia" w:hAnsiTheme="minorEastAsia" w:eastAsiaTheme="minorEastAsia" w:cstheme="minorEastAsia"/>
          <w:color w:val="auto"/>
          <w:szCs w:val="21"/>
          <w:highlight w:val="none"/>
          <w:u w:val="single"/>
        </w:rPr>
        <w:t>在工程竣工后14日内向发包人提供完整的2套竣工图纸和2套竣工结算及其他资料，不另计取费用。</w:t>
      </w:r>
    </w:p>
    <w:p>
      <w:pPr>
        <w:widowControl/>
        <w:spacing w:line="400" w:lineRule="exact"/>
        <w:ind w:firstLine="420" w:firstLineChars="200"/>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szCs w:val="21"/>
          <w:highlight w:val="none"/>
        </w:rPr>
        <w:t>36.2中间交工工程的范围和竣工时间：</w:t>
      </w:r>
      <w:r>
        <w:rPr>
          <w:rFonts w:hint="eastAsia" w:asciiTheme="minorEastAsia" w:hAnsiTheme="minorEastAsia" w:eastAsiaTheme="minorEastAsia" w:cstheme="minorEastAsia"/>
          <w:color w:val="auto"/>
          <w:szCs w:val="21"/>
          <w:highlight w:val="none"/>
          <w:u w:val="single"/>
        </w:rPr>
        <w:t>竣工时间以发包人组织的竣工验收合格日期为准。</w:t>
      </w:r>
    </w:p>
    <w:p>
      <w:pPr>
        <w:widowControl/>
        <w:spacing w:line="400" w:lineRule="exact"/>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37、竣工结算</w:t>
      </w:r>
    </w:p>
    <w:p>
      <w:pPr>
        <w:widowControl/>
        <w:spacing w:line="400" w:lineRule="exact"/>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结算审查期限：</w:t>
      </w:r>
    </w:p>
    <w:p>
      <w:pPr>
        <w:widowControl/>
        <w:spacing w:line="400" w:lineRule="exact"/>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37.1已完工程经验收合格后，承包人应在30天内将完整的工程结算资料（含</w:t>
      </w:r>
      <w:r>
        <w:rPr>
          <w:rFonts w:hint="eastAsia" w:asciiTheme="minorEastAsia" w:hAnsiTheme="minorEastAsia" w:eastAsiaTheme="minorEastAsia" w:cstheme="minorEastAsia"/>
          <w:color w:val="auto"/>
          <w:szCs w:val="21"/>
          <w:highlight w:val="none"/>
          <w:u w:val="single"/>
        </w:rPr>
        <w:t>捌</w:t>
      </w:r>
      <w:r>
        <w:rPr>
          <w:rFonts w:hint="eastAsia" w:asciiTheme="minorEastAsia" w:hAnsiTheme="minorEastAsia" w:eastAsiaTheme="minorEastAsia" w:cstheme="minorEastAsia"/>
          <w:color w:val="auto"/>
          <w:kern w:val="0"/>
          <w:szCs w:val="21"/>
          <w:highlight w:val="none"/>
        </w:rPr>
        <w:t>套竣工图）报送发包人，发包人应在20日内对所送结算资料的完整性、正确性审核无误并对价款进行初审后报送发包人，发包人在收到完整无缺的结算资料后30个工作日内审核完毕，或提出审核意见。发包人提出审核意见的，承包人应在10天内将反馈意见后的工程结算资料报送发包人，发包人在3日内初审后报送发包人审核。</w:t>
      </w:r>
    </w:p>
    <w:p>
      <w:pPr>
        <w:widowControl/>
        <w:spacing w:line="400" w:lineRule="exact"/>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37.2承包人不按时报送结算资料，须承担500元/天的违约金，违约金在结算价款中扣除。</w:t>
      </w:r>
      <w:r>
        <w:rPr>
          <w:rFonts w:hint="eastAsia" w:asciiTheme="minorEastAsia" w:hAnsiTheme="minorEastAsia" w:eastAsiaTheme="minorEastAsia" w:cstheme="minorEastAsia"/>
          <w:bCs/>
          <w:color w:val="auto"/>
          <w:kern w:val="0"/>
          <w:szCs w:val="21"/>
          <w:highlight w:val="none"/>
        </w:rPr>
        <w:t>由此引起的付款延误等相关责任由承包人自行承担</w:t>
      </w:r>
      <w:r>
        <w:rPr>
          <w:rFonts w:hint="eastAsia" w:asciiTheme="minorEastAsia" w:hAnsiTheme="minorEastAsia" w:eastAsiaTheme="minorEastAsia" w:cstheme="minorEastAsia"/>
          <w:color w:val="auto"/>
          <w:kern w:val="0"/>
          <w:szCs w:val="21"/>
          <w:highlight w:val="none"/>
        </w:rPr>
        <w:t>。</w:t>
      </w:r>
    </w:p>
    <w:p>
      <w:pPr>
        <w:widowControl/>
        <w:spacing w:line="400" w:lineRule="exact"/>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37.3承包人应按照发包人要求认真编制竣工结算书，不得弄虚作假。</w:t>
      </w:r>
    </w:p>
    <w:p>
      <w:pPr>
        <w:widowControl/>
        <w:spacing w:line="400" w:lineRule="exact"/>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38、质量保证</w:t>
      </w:r>
    </w:p>
    <w:p>
      <w:pPr>
        <w:widowControl/>
        <w:spacing w:line="400" w:lineRule="exact"/>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38.1 保修金：保修期一年，承包人在保修期内承担免费保修责任。</w:t>
      </w:r>
    </w:p>
    <w:p>
      <w:pPr>
        <w:widowControl/>
        <w:spacing w:line="400" w:lineRule="exact"/>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38.2承包人在工程竣工且验收合格后五天内，应向发包人提交工程质量保修书，质量保修书中应明确工程的保修范围、保修期限和保修责任等，并经发包人同意后与发包人签订保修协议。</w:t>
      </w:r>
    </w:p>
    <w:p>
      <w:pPr>
        <w:widowControl/>
        <w:spacing w:line="400" w:lineRule="exact"/>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38.3保修期：保修期同设计文件规定的该工程合理使用年限。保修期自竣工验收合格、发包人代表在最终验收记录上签字之日算起。</w:t>
      </w:r>
    </w:p>
    <w:p>
      <w:pPr>
        <w:widowControl/>
        <w:spacing w:line="400" w:lineRule="exact"/>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38.4属于保修范围、内容的项目：承包人应当在接到保修通知之日起24小时内派人修理，并保证修理完毕的工程，经验收确认达到合格标准。承包人不在约定期限内派人保修或修理后仍不合格的，发包人可以委托他人修理，由此产生的费用从保修金中扣除，不足部分，承包人还应补足。</w:t>
      </w:r>
    </w:p>
    <w:p>
      <w:pPr>
        <w:widowControl/>
        <w:spacing w:line="400" w:lineRule="exact"/>
        <w:ind w:firstLine="422" w:firstLineChars="200"/>
        <w:jc w:val="left"/>
        <w:rPr>
          <w:rFonts w:asciiTheme="minorEastAsia" w:hAnsiTheme="minorEastAsia" w:eastAsiaTheme="minorEastAsia" w:cstheme="minorEastAsia"/>
          <w:b/>
          <w:color w:val="auto"/>
          <w:kern w:val="0"/>
          <w:szCs w:val="21"/>
          <w:highlight w:val="none"/>
        </w:rPr>
      </w:pPr>
      <w:r>
        <w:rPr>
          <w:rFonts w:hint="eastAsia" w:asciiTheme="minorEastAsia" w:hAnsiTheme="minorEastAsia" w:eastAsiaTheme="minorEastAsia" w:cstheme="minorEastAsia"/>
          <w:b/>
          <w:color w:val="auto"/>
          <w:kern w:val="0"/>
          <w:szCs w:val="21"/>
          <w:highlight w:val="none"/>
        </w:rPr>
        <w:t>十、违约、索赔和争议</w:t>
      </w:r>
    </w:p>
    <w:p>
      <w:pPr>
        <w:widowControl/>
        <w:spacing w:line="400" w:lineRule="exact"/>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39、违约</w:t>
      </w:r>
    </w:p>
    <w:p>
      <w:pPr>
        <w:widowControl/>
        <w:spacing w:line="400" w:lineRule="exact"/>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39.1本合同中关于发包人违约的具体责任如下：</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本合同通用条款第28.1条约定发包人违约应承担的违约责任：</w:t>
      </w:r>
      <w:r>
        <w:rPr>
          <w:rFonts w:hint="eastAsia" w:asciiTheme="minorEastAsia" w:hAnsiTheme="minorEastAsia" w:eastAsiaTheme="minorEastAsia" w:cstheme="minorEastAsia"/>
          <w:color w:val="auto"/>
          <w:kern w:val="0"/>
          <w:szCs w:val="21"/>
          <w:highlight w:val="none"/>
          <w:u w:val="single"/>
        </w:rPr>
        <w:t xml:space="preserve">  无    </w:t>
      </w:r>
    </w:p>
    <w:p>
      <w:pPr>
        <w:widowControl/>
        <w:spacing w:line="360" w:lineRule="auto"/>
        <w:ind w:firstLine="420" w:firstLineChars="200"/>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本合同通用条款第30.5款约定发包人违约应承担的违约责任：</w:t>
      </w:r>
      <w:r>
        <w:rPr>
          <w:rFonts w:hint="eastAsia" w:asciiTheme="minorEastAsia" w:hAnsiTheme="minorEastAsia" w:eastAsiaTheme="minorEastAsia" w:cstheme="minorEastAsia"/>
          <w:color w:val="auto"/>
          <w:kern w:val="0"/>
          <w:szCs w:val="21"/>
          <w:highlight w:val="none"/>
          <w:u w:val="single"/>
        </w:rPr>
        <w:t>承包人承诺不因资金暂不到位影响工期。</w:t>
      </w:r>
    </w:p>
    <w:p>
      <w:pPr>
        <w:widowControl/>
        <w:spacing w:line="360" w:lineRule="auto"/>
        <w:ind w:firstLine="420" w:firstLineChars="200"/>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szCs w:val="21"/>
          <w:highlight w:val="none"/>
        </w:rPr>
        <w:t>本合同通用条款第37.6款约定发包人违约应承担的违约责任：</w:t>
      </w:r>
      <w:r>
        <w:rPr>
          <w:rFonts w:hint="eastAsia" w:asciiTheme="minorEastAsia" w:hAnsiTheme="minorEastAsia" w:eastAsiaTheme="minorEastAsia" w:cstheme="minorEastAsia"/>
          <w:color w:val="auto"/>
          <w:kern w:val="0"/>
          <w:szCs w:val="21"/>
          <w:highlight w:val="none"/>
          <w:u w:val="single"/>
        </w:rPr>
        <w:t>无</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双方约定的发包人其他违约责任：</w:t>
      </w:r>
      <w:r>
        <w:rPr>
          <w:rFonts w:hint="eastAsia" w:asciiTheme="minorEastAsia" w:hAnsiTheme="minorEastAsia" w:eastAsiaTheme="minorEastAsia" w:cstheme="minorEastAsia"/>
          <w:color w:val="auto"/>
          <w:kern w:val="0"/>
          <w:szCs w:val="21"/>
          <w:highlight w:val="none"/>
          <w:u w:val="single"/>
        </w:rPr>
        <w:t xml:space="preserve">  无  </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39.2本合同中关于承包人违约的具体责任如下：</w:t>
      </w:r>
    </w:p>
    <w:p>
      <w:pPr>
        <w:widowControl/>
        <w:spacing w:line="360" w:lineRule="auto"/>
        <w:ind w:firstLine="420" w:firstLineChars="200"/>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本合同通用条款第14.2款约定承包人违约承担的违约责任：</w:t>
      </w:r>
      <w:r>
        <w:rPr>
          <w:rFonts w:hint="eastAsia" w:asciiTheme="minorEastAsia" w:hAnsiTheme="minorEastAsia" w:eastAsiaTheme="minorEastAsia" w:cstheme="minorEastAsia"/>
          <w:color w:val="auto"/>
          <w:kern w:val="0"/>
          <w:szCs w:val="21"/>
          <w:highlight w:val="none"/>
          <w:u w:val="single"/>
        </w:rPr>
        <w:t>乙方工期每推迟一天除按每日1000元处罚外，若影响甲方按期使用时应另赔偿由此给甲方造成的损失。</w:t>
      </w:r>
    </w:p>
    <w:p>
      <w:pPr>
        <w:widowControl/>
        <w:spacing w:line="360" w:lineRule="auto"/>
        <w:ind w:firstLine="420" w:firstLineChars="200"/>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本合同通用条款第15.1款约定承包人违约应承担的违约责任：</w:t>
      </w:r>
      <w:r>
        <w:rPr>
          <w:rFonts w:hint="eastAsia" w:asciiTheme="minorEastAsia" w:hAnsiTheme="minorEastAsia" w:eastAsiaTheme="minorEastAsia" w:cstheme="minorEastAsia"/>
          <w:color w:val="auto"/>
          <w:kern w:val="0"/>
          <w:szCs w:val="21"/>
          <w:highlight w:val="none"/>
          <w:u w:val="single"/>
        </w:rPr>
        <w:t>承包方按合同价的2%承担违约金外，另按国务院279号令有关规定处理。</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双方约定的承包人其他违约责任：</w:t>
      </w:r>
      <w:r>
        <w:rPr>
          <w:rFonts w:hint="eastAsia" w:asciiTheme="minorEastAsia" w:hAnsiTheme="minorEastAsia" w:eastAsiaTheme="minorEastAsia" w:cstheme="minorEastAsia"/>
          <w:color w:val="auto"/>
          <w:kern w:val="0"/>
          <w:szCs w:val="21"/>
          <w:highlight w:val="none"/>
          <w:u w:val="single"/>
        </w:rPr>
        <w:t>承包人违法或违反本合同将工程转包的，发包人有权解除本合同，承包人应赔偿因此给发包人造成的一切损失。</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40、争议</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40.1双方当事人约定，在履行合同过程中产生争议时：</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（1）请</w:t>
      </w:r>
      <w:r>
        <w:rPr>
          <w:rFonts w:hint="eastAsia" w:asciiTheme="minorEastAsia" w:hAnsiTheme="minorEastAsia" w:eastAsiaTheme="minorEastAsia" w:cstheme="minorEastAsia"/>
          <w:color w:val="auto"/>
          <w:kern w:val="0"/>
          <w:szCs w:val="21"/>
          <w:highlight w:val="none"/>
          <w:u w:val="single"/>
        </w:rPr>
        <w:t xml:space="preserve">   当地相关部门   </w:t>
      </w:r>
      <w:r>
        <w:rPr>
          <w:rFonts w:hint="eastAsia" w:asciiTheme="minorEastAsia" w:hAnsiTheme="minorEastAsia" w:eastAsiaTheme="minorEastAsia" w:cstheme="minorEastAsia"/>
          <w:color w:val="auto"/>
          <w:kern w:val="0"/>
          <w:szCs w:val="21"/>
          <w:highlight w:val="none"/>
        </w:rPr>
        <w:t>调解；</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（2）合同争议协商不成的，按下列第</w:t>
      </w:r>
      <w:r>
        <w:rPr>
          <w:rFonts w:hint="eastAsia" w:asciiTheme="minorEastAsia" w:hAnsiTheme="minorEastAsia" w:eastAsiaTheme="minorEastAsia" w:cstheme="minorEastAsia"/>
          <w:color w:val="auto"/>
          <w:kern w:val="0"/>
          <w:szCs w:val="21"/>
          <w:highlight w:val="none"/>
          <w:u w:val="single"/>
        </w:rPr>
        <w:t xml:space="preserve">   ②  </w:t>
      </w:r>
      <w:r>
        <w:rPr>
          <w:rFonts w:hint="eastAsia" w:asciiTheme="minorEastAsia" w:hAnsiTheme="minorEastAsia" w:eastAsiaTheme="minorEastAsia" w:cstheme="minorEastAsia"/>
          <w:color w:val="auto"/>
          <w:kern w:val="0"/>
          <w:szCs w:val="21"/>
          <w:highlight w:val="none"/>
        </w:rPr>
        <w:t>种方式解决：</w:t>
      </w:r>
    </w:p>
    <w:p>
      <w:pPr>
        <w:widowControl/>
        <w:spacing w:line="360" w:lineRule="auto"/>
        <w:ind w:firstLine="630" w:firstLineChars="3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① 提交</w:t>
      </w:r>
      <w:r>
        <w:rPr>
          <w:rFonts w:hint="eastAsia" w:asciiTheme="minorEastAsia" w:hAnsiTheme="minorEastAsia" w:eastAsiaTheme="minorEastAsia" w:cstheme="minorEastAsia"/>
          <w:color w:val="auto"/>
          <w:kern w:val="0"/>
          <w:szCs w:val="21"/>
          <w:highlight w:val="none"/>
          <w:u w:val="single"/>
        </w:rPr>
        <w:t xml:space="preserve">         /      </w:t>
      </w:r>
      <w:r>
        <w:rPr>
          <w:rFonts w:hint="eastAsia" w:asciiTheme="minorEastAsia" w:hAnsiTheme="minorEastAsia" w:eastAsiaTheme="minorEastAsia" w:cstheme="minorEastAsia"/>
          <w:color w:val="auto"/>
          <w:kern w:val="0"/>
          <w:szCs w:val="21"/>
          <w:highlight w:val="none"/>
        </w:rPr>
        <w:t>仲裁委员会申请仲裁；</w:t>
      </w:r>
    </w:p>
    <w:p>
      <w:pPr>
        <w:widowControl/>
        <w:spacing w:line="360" w:lineRule="auto"/>
        <w:ind w:firstLine="630" w:firstLineChars="3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② 依法向</w:t>
      </w:r>
      <w:r>
        <w:rPr>
          <w:rFonts w:hint="eastAsia" w:asciiTheme="minorEastAsia" w:hAnsiTheme="minorEastAsia" w:eastAsiaTheme="minorEastAsia" w:cstheme="minorEastAsia"/>
          <w:color w:val="auto"/>
          <w:kern w:val="0"/>
          <w:szCs w:val="21"/>
          <w:highlight w:val="none"/>
          <w:u w:val="single"/>
        </w:rPr>
        <w:t xml:space="preserve">     工程所在地  </w:t>
      </w:r>
      <w:r>
        <w:rPr>
          <w:rFonts w:hint="eastAsia" w:asciiTheme="minorEastAsia" w:hAnsiTheme="minorEastAsia" w:eastAsiaTheme="minorEastAsia" w:cstheme="minorEastAsia"/>
          <w:color w:val="auto"/>
          <w:kern w:val="0"/>
          <w:szCs w:val="21"/>
          <w:highlight w:val="none"/>
        </w:rPr>
        <w:t>人民法院提起诉讼。</w:t>
      </w:r>
    </w:p>
    <w:p>
      <w:pPr>
        <w:widowControl/>
        <w:spacing w:line="360" w:lineRule="auto"/>
        <w:ind w:firstLine="422" w:firstLineChars="200"/>
        <w:jc w:val="left"/>
        <w:rPr>
          <w:rFonts w:asciiTheme="minorEastAsia" w:hAnsiTheme="minorEastAsia" w:eastAsiaTheme="minorEastAsia" w:cstheme="minorEastAsia"/>
          <w:b/>
          <w:color w:val="auto"/>
          <w:kern w:val="0"/>
          <w:szCs w:val="21"/>
          <w:highlight w:val="none"/>
        </w:rPr>
      </w:pPr>
      <w:r>
        <w:rPr>
          <w:rFonts w:hint="eastAsia" w:asciiTheme="minorEastAsia" w:hAnsiTheme="minorEastAsia" w:eastAsiaTheme="minorEastAsia" w:cstheme="minorEastAsia"/>
          <w:b/>
          <w:color w:val="auto"/>
          <w:kern w:val="0"/>
          <w:szCs w:val="21"/>
          <w:highlight w:val="none"/>
        </w:rPr>
        <w:t>十一、其他</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41、工程分包</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41.1本工程发包人同意承包人分包的专业工程：</w:t>
      </w:r>
      <w:r>
        <w:rPr>
          <w:rFonts w:hint="eastAsia" w:asciiTheme="minorEastAsia" w:hAnsiTheme="minorEastAsia" w:eastAsiaTheme="minorEastAsia" w:cstheme="minorEastAsia"/>
          <w:color w:val="auto"/>
          <w:kern w:val="0"/>
          <w:szCs w:val="21"/>
          <w:highlight w:val="none"/>
          <w:u w:val="single"/>
        </w:rPr>
        <w:t xml:space="preserve">  无  。</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42、不可抗力</w:t>
      </w:r>
    </w:p>
    <w:p>
      <w:pPr>
        <w:widowControl/>
        <w:spacing w:line="360" w:lineRule="auto"/>
        <w:ind w:firstLine="420" w:firstLineChars="200"/>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42.1双方关于不可抗力的约定：</w:t>
      </w:r>
      <w:r>
        <w:rPr>
          <w:rFonts w:hint="eastAsia" w:asciiTheme="minorEastAsia" w:hAnsiTheme="minorEastAsia" w:eastAsiaTheme="minorEastAsia" w:cstheme="minorEastAsia"/>
          <w:color w:val="auto"/>
          <w:szCs w:val="21"/>
          <w:highlight w:val="none"/>
          <w:u w:val="single"/>
        </w:rPr>
        <w:t>指战争、动乱、空中飞行物体坠落、造成灾难性影响的地震（六级以上）或其它非发包人或承包人双方责任造成的爆炸、火灾，以及对工程造成损害的风、雨、雪、洪水等自然灾害（八级以上持续大风、24小时降雨量在150mm以上的持续大雨。</w:t>
      </w:r>
    </w:p>
    <w:p>
      <w:pPr>
        <w:widowControl/>
        <w:spacing w:line="360" w:lineRule="auto"/>
        <w:ind w:left="479" w:leftChars="228"/>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43、保险</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43.1本工程双方约定投保内容如下：</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（1）发包人投保内容：</w:t>
      </w:r>
      <w:r>
        <w:rPr>
          <w:rFonts w:hint="eastAsia" w:asciiTheme="minorEastAsia" w:hAnsiTheme="minorEastAsia" w:eastAsiaTheme="minorEastAsia" w:cstheme="minorEastAsia"/>
          <w:color w:val="auto"/>
          <w:kern w:val="0"/>
          <w:szCs w:val="21"/>
          <w:highlight w:val="none"/>
          <w:u w:val="single"/>
        </w:rPr>
        <w:t xml:space="preserve"> 执行通用条款44.1、44.2条。</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发包人委托承包人办理的保险事项：</w:t>
      </w:r>
      <w:r>
        <w:rPr>
          <w:rFonts w:hint="eastAsia" w:asciiTheme="minorEastAsia" w:hAnsiTheme="minorEastAsia" w:eastAsiaTheme="minorEastAsia" w:cstheme="minorEastAsia"/>
          <w:color w:val="auto"/>
          <w:kern w:val="0"/>
          <w:szCs w:val="21"/>
          <w:highlight w:val="none"/>
          <w:u w:val="single"/>
        </w:rPr>
        <w:t xml:space="preserve">  无  </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（2）承包人投保内容：</w:t>
      </w:r>
      <w:r>
        <w:rPr>
          <w:rFonts w:hint="eastAsia" w:asciiTheme="minorEastAsia" w:hAnsiTheme="minorEastAsia" w:eastAsiaTheme="minorEastAsia" w:cstheme="minorEastAsia"/>
          <w:color w:val="auto"/>
          <w:kern w:val="0"/>
          <w:szCs w:val="21"/>
          <w:highlight w:val="none"/>
          <w:u w:val="single"/>
        </w:rPr>
        <w:t xml:space="preserve"> 执行通用条款第44.4条。</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44、担保</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44.1本工程双方约定担保事项如下：</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（1）发包人向承包人提供支付担保，</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担保方式为：</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rPr>
        <w:t>，</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担保金额：</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rPr>
        <w:t>，</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担保有效期</w:t>
      </w:r>
      <w:r>
        <w:rPr>
          <w:rFonts w:hint="eastAsia" w:asciiTheme="minorEastAsia" w:hAnsiTheme="minorEastAsia" w:eastAsiaTheme="minorEastAsia" w:cstheme="minorEastAsia"/>
          <w:color w:val="auto"/>
          <w:kern w:val="0"/>
          <w:szCs w:val="21"/>
          <w:highlight w:val="none"/>
          <w:u w:val="single"/>
        </w:rPr>
        <w:t>：/。</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（2）承包人向发包人提供履约担保，</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 xml:space="preserve">担保方式为： </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rPr>
        <w:t>，</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担保金额：</w:t>
      </w:r>
      <w:r>
        <w:rPr>
          <w:rFonts w:hint="eastAsia" w:asciiTheme="minorEastAsia" w:hAnsiTheme="minorEastAsia" w:eastAsiaTheme="minorEastAsia" w:cstheme="minorEastAsia"/>
          <w:color w:val="auto"/>
          <w:kern w:val="0"/>
          <w:szCs w:val="21"/>
          <w:highlight w:val="none"/>
          <w:u w:val="single"/>
        </w:rPr>
        <w:t xml:space="preserve"> / </w:t>
      </w:r>
      <w:r>
        <w:rPr>
          <w:rFonts w:hint="eastAsia" w:asciiTheme="minorEastAsia" w:hAnsiTheme="minorEastAsia" w:eastAsiaTheme="minorEastAsia" w:cstheme="minorEastAsia"/>
          <w:color w:val="auto"/>
          <w:kern w:val="0"/>
          <w:szCs w:val="21"/>
          <w:highlight w:val="none"/>
        </w:rPr>
        <w:t>，</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担保有效期</w:t>
      </w:r>
      <w:r>
        <w:rPr>
          <w:rFonts w:hint="eastAsia" w:asciiTheme="minorEastAsia" w:hAnsiTheme="minorEastAsia" w:eastAsiaTheme="minorEastAsia" w:cstheme="minorEastAsia"/>
          <w:color w:val="auto"/>
          <w:kern w:val="0"/>
          <w:szCs w:val="21"/>
          <w:highlight w:val="none"/>
          <w:u w:val="single"/>
        </w:rPr>
        <w:t>：/。</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（3）双方约定的其他担保事项：</w:t>
      </w:r>
      <w:r>
        <w:rPr>
          <w:rFonts w:hint="eastAsia" w:asciiTheme="minorEastAsia" w:hAnsiTheme="minorEastAsia" w:eastAsiaTheme="minorEastAsia" w:cstheme="minorEastAsia"/>
          <w:color w:val="auto"/>
          <w:kern w:val="0"/>
          <w:szCs w:val="21"/>
          <w:highlight w:val="none"/>
          <w:u w:val="single"/>
        </w:rPr>
        <w:t xml:space="preserve">  无  </w:t>
      </w:r>
      <w:r>
        <w:rPr>
          <w:rFonts w:hint="eastAsia" w:asciiTheme="minorEastAsia" w:hAnsiTheme="minorEastAsia" w:eastAsiaTheme="minorEastAsia" w:cstheme="minorEastAsia"/>
          <w:color w:val="auto"/>
          <w:kern w:val="0"/>
          <w:szCs w:val="21"/>
          <w:highlight w:val="none"/>
        </w:rPr>
        <w:t>。</w:t>
      </w:r>
    </w:p>
    <w:p>
      <w:pPr>
        <w:widowControl/>
        <w:spacing w:line="360" w:lineRule="auto"/>
        <w:ind w:firstLine="420" w:firstLineChars="200"/>
        <w:rPr>
          <w:rFonts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45、合同份数</w:t>
      </w:r>
    </w:p>
    <w:p>
      <w:pPr>
        <w:widowControl/>
        <w:spacing w:line="360" w:lineRule="auto"/>
        <w:ind w:firstLine="420" w:firstLineChars="200"/>
        <w:rPr>
          <w:rFonts w:asciiTheme="minorEastAsia" w:hAnsiTheme="minorEastAsia" w:eastAsiaTheme="minorEastAsia" w:cstheme="minorEastAsia"/>
          <w:color w:val="auto"/>
          <w:kern w:val="0"/>
          <w:szCs w:val="21"/>
          <w:highlight w:val="none"/>
          <w:u w:val="single"/>
        </w:rPr>
      </w:pPr>
      <w:r>
        <w:rPr>
          <w:rStyle w:val="459"/>
          <w:rFonts w:hint="eastAsia" w:asciiTheme="minorEastAsia" w:hAnsiTheme="minorEastAsia" w:eastAsiaTheme="minorEastAsia" w:cstheme="minorEastAsia"/>
          <w:color w:val="auto"/>
          <w:szCs w:val="21"/>
          <w:highlight w:val="none"/>
        </w:rPr>
        <w:t>45.1双方约定合同副本份数：</w:t>
      </w:r>
      <w:r>
        <w:rPr>
          <w:rFonts w:hint="eastAsia" w:asciiTheme="minorEastAsia" w:hAnsiTheme="minorEastAsia" w:eastAsiaTheme="minorEastAsia" w:cstheme="minorEastAsia"/>
          <w:color w:val="auto"/>
          <w:kern w:val="0"/>
          <w:szCs w:val="21"/>
          <w:highlight w:val="none"/>
        </w:rPr>
        <w:t xml:space="preserve"> </w:t>
      </w:r>
      <w:r>
        <w:rPr>
          <w:rFonts w:hint="eastAsia" w:asciiTheme="minorEastAsia" w:hAnsiTheme="minorEastAsia" w:eastAsiaTheme="minorEastAsia" w:cstheme="minorEastAsia"/>
          <w:color w:val="auto"/>
          <w:kern w:val="0"/>
          <w:szCs w:val="21"/>
          <w:highlight w:val="none"/>
          <w:u w:val="single"/>
        </w:rPr>
        <w:t>本合同正本贰份，发包人执壹份，承包人执壹份；副本贰拾贰份，发包人执柒份，承包人执壹拾伍份。正副本不一致的以正本为准。</w:t>
      </w:r>
    </w:p>
    <w:p>
      <w:pPr>
        <w:widowControl/>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color w:val="auto"/>
          <w:kern w:val="0"/>
          <w:szCs w:val="21"/>
          <w:highlight w:val="none"/>
        </w:rPr>
        <w:t>46、补充条款</w:t>
      </w:r>
    </w:p>
    <w:p>
      <w:pPr>
        <w:overflowPunct w:val="0"/>
        <w:spacing w:line="360" w:lineRule="auto"/>
        <w:ind w:firstLine="420" w:firstLineChars="200"/>
        <w:rPr>
          <w:rFonts w:asciiTheme="minorEastAsia" w:hAnsiTheme="minorEastAsia" w:eastAsiaTheme="minorEastAsia" w:cstheme="minorEastAsia"/>
          <w:color w:val="auto"/>
          <w:szCs w:val="21"/>
          <w:highlight w:val="none"/>
          <w:u w:val="single"/>
        </w:rPr>
      </w:pPr>
      <w:bookmarkStart w:id="91" w:name="_Toc2093"/>
      <w:bookmarkStart w:id="92" w:name="_Toc475028060"/>
      <w:r>
        <w:rPr>
          <w:rFonts w:hint="eastAsia" w:asciiTheme="minorEastAsia" w:hAnsiTheme="minorEastAsia" w:eastAsiaTheme="minorEastAsia" w:cstheme="minorEastAsia"/>
          <w:color w:val="auto"/>
          <w:szCs w:val="21"/>
          <w:highlight w:val="none"/>
          <w:u w:val="single"/>
        </w:rPr>
        <w:t>发包人要求承包人完成合同以外另行项目，承包人应在接受发包人要求的七个日历内就用工数量和单价、机械台班数量和单价、使用材料和金额等向发包人提出施工签证，经发包人签证后方可施工，未经发包人签证，若作为承包人施工发生争议的，责任自负。</w:t>
      </w:r>
    </w:p>
    <w:p>
      <w:pPr>
        <w:overflowPunct w:val="0"/>
        <w:spacing w:line="360" w:lineRule="auto"/>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rPr>
        <w:t>措施项目费用为包干费用，不因分部分项及其他费用发生变化而调整。（变更签证按实增减，只调整规费和税金）</w:t>
      </w:r>
    </w:p>
    <w:p>
      <w:pPr>
        <w:overflowPunct w:val="0"/>
        <w:spacing w:line="360" w:lineRule="auto"/>
        <w:ind w:firstLine="420" w:firstLineChars="200"/>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rPr>
        <w:t>暂估价材料设备价格按甲方认质认价进行调整，其差价按价差处理。</w:t>
      </w:r>
    </w:p>
    <w:p>
      <w:pPr>
        <w:overflowPunct w:val="0"/>
        <w:spacing w:line="360" w:lineRule="auto"/>
        <w:ind w:firstLine="420" w:firstLineChars="200"/>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rPr>
        <w:t>材料设备进场时，必须附有厂家的试验报告和材质单，合格证等相关资料，报发包人备案。</w:t>
      </w:r>
    </w:p>
    <w:p>
      <w:pPr>
        <w:overflowPunct w:val="0"/>
        <w:spacing w:line="360" w:lineRule="auto"/>
        <w:ind w:firstLine="420" w:firstLineChars="200"/>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rPr>
        <w:t>工程竣工后，应及时向发标提供竣工资料和结算情况，同时书面向发包人提出项目竣工验收申请。</w:t>
      </w:r>
    </w:p>
    <w:p>
      <w:pPr>
        <w:overflowPunct w:val="0"/>
        <w:spacing w:line="360" w:lineRule="auto"/>
        <w:ind w:firstLine="420" w:firstLineChars="200"/>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rPr>
        <w:t>磋商文件、响应文件及其相关文件为合同的附件，具有同等效力。</w:t>
      </w:r>
    </w:p>
    <w:p>
      <w:pPr>
        <w:overflowPunct w:val="0"/>
        <w:spacing w:line="360" w:lineRule="auto"/>
        <w:ind w:firstLine="420" w:firstLineChars="200"/>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rPr>
        <w:t>成交供应商与发包人签订施工合同时必须采用陕西省建设厅与陕西省工商行政管理局制定的示范文本。</w:t>
      </w:r>
    </w:p>
    <w:p>
      <w:pPr>
        <w:overflowPunct w:val="0"/>
        <w:spacing w:line="360" w:lineRule="auto"/>
        <w:rPr>
          <w:rFonts w:asciiTheme="minorEastAsia" w:hAnsiTheme="minorEastAsia" w:eastAsiaTheme="minorEastAsia" w:cstheme="minorEastAsia"/>
          <w:color w:val="auto"/>
          <w:szCs w:val="21"/>
          <w:highlight w:val="none"/>
          <w:u w:val="single"/>
        </w:rPr>
      </w:pPr>
    </w:p>
    <w:p>
      <w:pPr>
        <w:pStyle w:val="29"/>
        <w:rPr>
          <w:rFonts w:asciiTheme="minorEastAsia" w:hAnsiTheme="minorEastAsia" w:eastAsiaTheme="minorEastAsia" w:cstheme="minorEastAsia"/>
          <w:color w:val="auto"/>
          <w:highlight w:val="none"/>
        </w:rPr>
      </w:pP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附件1：承包人承揽工程项目一览表</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附件2：发包人供应材料设备一览表</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附件3：工程质量保修书</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附件4：工程项目廉政承诺书</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附件5：安全生产协议</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附件6：材料、设备暂估单价明细表</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附件7：材料、设备参考品牌明细表</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p>
    <w:p>
      <w:pPr>
        <w:pStyle w:val="4"/>
        <w:spacing w:line="360" w:lineRule="auto"/>
        <w:jc w:val="center"/>
        <w:rPr>
          <w:rFonts w:asciiTheme="minorEastAsia" w:hAnsiTheme="minorEastAsia" w:eastAsiaTheme="minorEastAsia" w:cstheme="minorEastAsia"/>
          <w:b w:val="0"/>
          <w:color w:val="auto"/>
          <w:highlight w:val="none"/>
        </w:rPr>
      </w:pPr>
      <w:r>
        <w:rPr>
          <w:rFonts w:hint="eastAsia" w:asciiTheme="minorEastAsia" w:hAnsiTheme="minorEastAsia" w:eastAsiaTheme="minorEastAsia" w:cstheme="minorEastAsia"/>
          <w:b w:val="0"/>
          <w:bCs w:val="0"/>
          <w:color w:val="auto"/>
          <w:highlight w:val="none"/>
        </w:rPr>
        <w:br w:type="page"/>
      </w:r>
      <w:bookmarkStart w:id="93" w:name="_Toc505869060"/>
      <w:r>
        <w:rPr>
          <w:rFonts w:hint="eastAsia" w:asciiTheme="minorEastAsia" w:hAnsiTheme="minorEastAsia" w:eastAsiaTheme="minorEastAsia" w:cstheme="minorEastAsia"/>
          <w:color w:val="auto"/>
          <w:sz w:val="28"/>
          <w:szCs w:val="21"/>
          <w:highlight w:val="none"/>
        </w:rPr>
        <w:t>附件1：承包人承揽工程项目一览表</w:t>
      </w:r>
      <w:bookmarkEnd w:id="93"/>
    </w:p>
    <w:p>
      <w:pPr>
        <w:pStyle w:val="39"/>
        <w:spacing w:before="0" w:beforeAutospacing="0" w:after="0" w:afterAutospacing="0" w:line="360" w:lineRule="auto"/>
        <w:jc w:val="center"/>
        <w:rPr>
          <w:rFonts w:asciiTheme="minorEastAsia" w:hAnsiTheme="minorEastAsia" w:eastAsiaTheme="minorEastAsia" w:cstheme="minorEastAsia"/>
          <w:b/>
          <w:bCs/>
          <w:color w:val="auto"/>
          <w:sz w:val="28"/>
          <w:szCs w:val="28"/>
          <w:highlight w:val="none"/>
        </w:rPr>
      </w:pPr>
    </w:p>
    <w:tbl>
      <w:tblPr>
        <w:tblStyle w:val="43"/>
        <w:tblW w:w="89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640"/>
        <w:gridCol w:w="744"/>
        <w:gridCol w:w="1105"/>
        <w:gridCol w:w="1105"/>
        <w:gridCol w:w="979"/>
        <w:gridCol w:w="1470"/>
        <w:gridCol w:w="677"/>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512"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单位工程名称</w:t>
            </w:r>
          </w:p>
        </w:tc>
        <w:tc>
          <w:tcPr>
            <w:tcW w:w="640"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建设</w:t>
            </w:r>
          </w:p>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规模</w:t>
            </w:r>
          </w:p>
        </w:tc>
        <w:tc>
          <w:tcPr>
            <w:tcW w:w="744"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结构</w:t>
            </w:r>
          </w:p>
        </w:tc>
        <w:tc>
          <w:tcPr>
            <w:tcW w:w="1105"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层数</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跨度</w:t>
            </w:r>
          </w:p>
          <w:p>
            <w:pPr>
              <w:widowControl/>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rPr>
              <w:t>（米）</w:t>
            </w:r>
          </w:p>
        </w:tc>
        <w:tc>
          <w:tcPr>
            <w:tcW w:w="979"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设备安装内容</w:t>
            </w:r>
          </w:p>
        </w:tc>
        <w:tc>
          <w:tcPr>
            <w:tcW w:w="1470"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工程造价（元）</w:t>
            </w:r>
          </w:p>
        </w:tc>
        <w:tc>
          <w:tcPr>
            <w:tcW w:w="677"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开工</w:t>
            </w:r>
          </w:p>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日期</w:t>
            </w:r>
          </w:p>
        </w:tc>
        <w:tc>
          <w:tcPr>
            <w:tcW w:w="709"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竣工</w:t>
            </w:r>
          </w:p>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512"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640"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744"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1105"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1105" w:type="dxa"/>
            <w:tcBorders>
              <w:top w:val="single" w:color="auto" w:sz="4" w:space="0"/>
              <w:left w:val="single" w:color="auto" w:sz="4" w:space="0"/>
              <w:bottom w:val="single" w:color="auto" w:sz="4" w:space="0"/>
              <w:right w:val="single" w:color="auto" w:sz="4" w:space="0"/>
            </w:tcBorders>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1470"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677"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512"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640"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744"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1105"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1105" w:type="dxa"/>
            <w:tcBorders>
              <w:top w:val="single" w:color="auto" w:sz="4" w:space="0"/>
              <w:left w:val="single" w:color="auto" w:sz="4" w:space="0"/>
              <w:bottom w:val="single" w:color="auto" w:sz="4" w:space="0"/>
              <w:right w:val="single" w:color="auto" w:sz="4" w:space="0"/>
            </w:tcBorders>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1470"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677"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512"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640"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744"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1105"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1105" w:type="dxa"/>
            <w:tcBorders>
              <w:top w:val="single" w:color="auto" w:sz="4" w:space="0"/>
              <w:left w:val="single" w:color="auto" w:sz="4" w:space="0"/>
              <w:bottom w:val="single" w:color="auto" w:sz="4" w:space="0"/>
              <w:right w:val="single" w:color="auto" w:sz="4" w:space="0"/>
            </w:tcBorders>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1470"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677"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1512"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640"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744"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1105"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1105" w:type="dxa"/>
            <w:tcBorders>
              <w:top w:val="single" w:color="auto" w:sz="4" w:space="0"/>
              <w:left w:val="single" w:color="auto" w:sz="4" w:space="0"/>
              <w:bottom w:val="single" w:color="auto" w:sz="4" w:space="0"/>
              <w:right w:val="single" w:color="auto" w:sz="4" w:space="0"/>
            </w:tcBorders>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1470"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677"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512"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640"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744"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1105" w:type="dxa"/>
            <w:tcBorders>
              <w:top w:val="single" w:color="auto" w:sz="4" w:space="0"/>
              <w:left w:val="single" w:color="auto" w:sz="4" w:space="0"/>
              <w:bottom w:val="single" w:color="auto" w:sz="4" w:space="0"/>
              <w:right w:val="single" w:color="auto" w:sz="4" w:space="0"/>
            </w:tcBorders>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1105" w:type="dxa"/>
            <w:tcBorders>
              <w:top w:val="single" w:color="auto" w:sz="4" w:space="0"/>
              <w:left w:val="single" w:color="auto" w:sz="4" w:space="0"/>
              <w:bottom w:val="single" w:color="auto" w:sz="4" w:space="0"/>
              <w:right w:val="single" w:color="auto" w:sz="4" w:space="0"/>
            </w:tcBorders>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1470"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677"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512"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640"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744"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1105" w:type="dxa"/>
            <w:tcBorders>
              <w:top w:val="single" w:color="auto" w:sz="4" w:space="0"/>
              <w:left w:val="single" w:color="auto" w:sz="4" w:space="0"/>
              <w:bottom w:val="single" w:color="auto" w:sz="4" w:space="0"/>
              <w:right w:val="single" w:color="auto" w:sz="4" w:space="0"/>
            </w:tcBorders>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1105" w:type="dxa"/>
            <w:tcBorders>
              <w:top w:val="single" w:color="auto" w:sz="4" w:space="0"/>
              <w:left w:val="single" w:color="auto" w:sz="4" w:space="0"/>
              <w:bottom w:val="single" w:color="auto" w:sz="4" w:space="0"/>
              <w:right w:val="single" w:color="auto" w:sz="4" w:space="0"/>
            </w:tcBorders>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1470"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677"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512"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640"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744"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1105" w:type="dxa"/>
            <w:tcBorders>
              <w:top w:val="single" w:color="auto" w:sz="4" w:space="0"/>
              <w:left w:val="single" w:color="auto" w:sz="4" w:space="0"/>
              <w:bottom w:val="single" w:color="auto" w:sz="4" w:space="0"/>
              <w:right w:val="single" w:color="auto" w:sz="4" w:space="0"/>
            </w:tcBorders>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1105" w:type="dxa"/>
            <w:tcBorders>
              <w:top w:val="single" w:color="auto" w:sz="4" w:space="0"/>
              <w:left w:val="single" w:color="auto" w:sz="4" w:space="0"/>
              <w:bottom w:val="single" w:color="auto" w:sz="4" w:space="0"/>
              <w:right w:val="single" w:color="auto" w:sz="4" w:space="0"/>
            </w:tcBorders>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1470"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677"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512"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640"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744"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1105" w:type="dxa"/>
            <w:tcBorders>
              <w:top w:val="single" w:color="auto" w:sz="4" w:space="0"/>
              <w:left w:val="single" w:color="auto" w:sz="4" w:space="0"/>
              <w:bottom w:val="single" w:color="auto" w:sz="4" w:space="0"/>
              <w:right w:val="single" w:color="auto" w:sz="4" w:space="0"/>
            </w:tcBorders>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1105" w:type="dxa"/>
            <w:tcBorders>
              <w:top w:val="single" w:color="auto" w:sz="4" w:space="0"/>
              <w:left w:val="single" w:color="auto" w:sz="4" w:space="0"/>
              <w:bottom w:val="single" w:color="auto" w:sz="4" w:space="0"/>
              <w:right w:val="single" w:color="auto" w:sz="4" w:space="0"/>
            </w:tcBorders>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1470"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677"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512"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640"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744"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1105" w:type="dxa"/>
            <w:tcBorders>
              <w:top w:val="single" w:color="auto" w:sz="4" w:space="0"/>
              <w:left w:val="single" w:color="auto" w:sz="4" w:space="0"/>
              <w:bottom w:val="single" w:color="auto" w:sz="4" w:space="0"/>
              <w:right w:val="single" w:color="auto" w:sz="4" w:space="0"/>
            </w:tcBorders>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1105" w:type="dxa"/>
            <w:tcBorders>
              <w:top w:val="single" w:color="auto" w:sz="4" w:space="0"/>
              <w:left w:val="single" w:color="auto" w:sz="4" w:space="0"/>
              <w:bottom w:val="single" w:color="auto" w:sz="4" w:space="0"/>
              <w:right w:val="single" w:color="auto" w:sz="4" w:space="0"/>
            </w:tcBorders>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1470"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677"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512"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640"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744"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1105" w:type="dxa"/>
            <w:tcBorders>
              <w:top w:val="single" w:color="auto" w:sz="4" w:space="0"/>
              <w:left w:val="single" w:color="auto" w:sz="4" w:space="0"/>
              <w:bottom w:val="single" w:color="auto" w:sz="4" w:space="0"/>
              <w:right w:val="single" w:color="auto" w:sz="4" w:space="0"/>
            </w:tcBorders>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1105" w:type="dxa"/>
            <w:tcBorders>
              <w:top w:val="single" w:color="auto" w:sz="4" w:space="0"/>
              <w:left w:val="single" w:color="auto" w:sz="4" w:space="0"/>
              <w:bottom w:val="single" w:color="auto" w:sz="4" w:space="0"/>
              <w:right w:val="single" w:color="auto" w:sz="4" w:space="0"/>
            </w:tcBorders>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1470"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677"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512"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640"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744"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1105" w:type="dxa"/>
            <w:tcBorders>
              <w:top w:val="single" w:color="auto" w:sz="4" w:space="0"/>
              <w:left w:val="single" w:color="auto" w:sz="4" w:space="0"/>
              <w:bottom w:val="single" w:color="auto" w:sz="4" w:space="0"/>
              <w:right w:val="single" w:color="auto" w:sz="4" w:space="0"/>
            </w:tcBorders>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1105" w:type="dxa"/>
            <w:tcBorders>
              <w:top w:val="single" w:color="auto" w:sz="4" w:space="0"/>
              <w:left w:val="single" w:color="auto" w:sz="4" w:space="0"/>
              <w:bottom w:val="single" w:color="auto" w:sz="4" w:space="0"/>
              <w:right w:val="single" w:color="auto" w:sz="4" w:space="0"/>
            </w:tcBorders>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1470"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677"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512"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640"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744"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1105" w:type="dxa"/>
            <w:tcBorders>
              <w:top w:val="single" w:color="auto" w:sz="4" w:space="0"/>
              <w:left w:val="single" w:color="auto" w:sz="4" w:space="0"/>
              <w:bottom w:val="single" w:color="auto" w:sz="4" w:space="0"/>
              <w:right w:val="single" w:color="auto" w:sz="4" w:space="0"/>
            </w:tcBorders>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1105" w:type="dxa"/>
            <w:tcBorders>
              <w:top w:val="single" w:color="auto" w:sz="4" w:space="0"/>
              <w:left w:val="single" w:color="auto" w:sz="4" w:space="0"/>
              <w:bottom w:val="single" w:color="auto" w:sz="4" w:space="0"/>
              <w:right w:val="single" w:color="auto" w:sz="4" w:space="0"/>
            </w:tcBorders>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1470"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677"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60" w:lineRule="auto"/>
              <w:jc w:val="center"/>
              <w:rPr>
                <w:rFonts w:asciiTheme="minorEastAsia" w:hAnsiTheme="minorEastAsia" w:eastAsiaTheme="minorEastAsia" w:cstheme="minorEastAsia"/>
                <w:color w:val="auto"/>
                <w:sz w:val="21"/>
                <w:szCs w:val="21"/>
                <w:highlight w:val="none"/>
              </w:rPr>
            </w:pPr>
          </w:p>
        </w:tc>
      </w:tr>
    </w:tbl>
    <w:p>
      <w:pPr>
        <w:pStyle w:val="39"/>
        <w:spacing w:before="0" w:beforeAutospacing="0" w:after="0" w:afterAutospacing="0" w:line="360" w:lineRule="auto"/>
        <w:jc w:val="both"/>
        <w:rPr>
          <w:rFonts w:asciiTheme="minorEastAsia" w:hAnsiTheme="minorEastAsia" w:eastAsiaTheme="minorEastAsia" w:cstheme="minorEastAsia"/>
          <w:b/>
          <w:color w:val="auto"/>
          <w:highlight w:val="none"/>
        </w:rPr>
      </w:pPr>
    </w:p>
    <w:p>
      <w:pPr>
        <w:pStyle w:val="39"/>
        <w:spacing w:before="0" w:beforeAutospacing="0" w:after="0" w:afterAutospacing="0" w:line="360" w:lineRule="auto"/>
        <w:jc w:val="both"/>
        <w:rPr>
          <w:rFonts w:asciiTheme="minorEastAsia" w:hAnsiTheme="minorEastAsia" w:eastAsiaTheme="minorEastAsia" w:cstheme="minorEastAsia"/>
          <w:b/>
          <w:color w:val="auto"/>
          <w:highlight w:val="none"/>
        </w:rPr>
      </w:pPr>
    </w:p>
    <w:p>
      <w:pPr>
        <w:pStyle w:val="39"/>
        <w:spacing w:before="0" w:beforeAutospacing="0" w:after="0" w:afterAutospacing="0" w:line="360" w:lineRule="auto"/>
        <w:jc w:val="both"/>
        <w:rPr>
          <w:rFonts w:asciiTheme="minorEastAsia" w:hAnsiTheme="minorEastAsia" w:eastAsiaTheme="minorEastAsia" w:cstheme="minorEastAsia"/>
          <w:b/>
          <w:color w:val="auto"/>
          <w:highlight w:val="none"/>
        </w:rPr>
      </w:pPr>
    </w:p>
    <w:p>
      <w:pPr>
        <w:pStyle w:val="39"/>
        <w:spacing w:before="0" w:beforeAutospacing="0" w:after="0" w:afterAutospacing="0" w:line="360" w:lineRule="auto"/>
        <w:jc w:val="both"/>
        <w:rPr>
          <w:rFonts w:asciiTheme="minorEastAsia" w:hAnsiTheme="minorEastAsia" w:eastAsiaTheme="minorEastAsia" w:cstheme="minorEastAsia"/>
          <w:b/>
          <w:color w:val="auto"/>
          <w:highlight w:val="none"/>
        </w:rPr>
      </w:pPr>
    </w:p>
    <w:p>
      <w:pPr>
        <w:pStyle w:val="4"/>
        <w:spacing w:line="360" w:lineRule="auto"/>
        <w:jc w:val="center"/>
        <w:rPr>
          <w:rFonts w:asciiTheme="minorEastAsia" w:hAnsiTheme="minorEastAsia" w:eastAsiaTheme="minorEastAsia" w:cstheme="minorEastAsia"/>
          <w:color w:val="auto"/>
          <w:sz w:val="28"/>
          <w:szCs w:val="21"/>
          <w:highlight w:val="none"/>
        </w:rPr>
      </w:pPr>
      <w:bookmarkStart w:id="94" w:name="_Toc505869061"/>
      <w:r>
        <w:rPr>
          <w:rFonts w:hint="eastAsia" w:asciiTheme="minorEastAsia" w:hAnsiTheme="minorEastAsia" w:eastAsiaTheme="minorEastAsia" w:cstheme="minorEastAsia"/>
          <w:color w:val="auto"/>
          <w:sz w:val="28"/>
          <w:szCs w:val="21"/>
          <w:highlight w:val="none"/>
        </w:rPr>
        <w:br w:type="page"/>
      </w:r>
      <w:r>
        <w:rPr>
          <w:rFonts w:hint="eastAsia" w:asciiTheme="minorEastAsia" w:hAnsiTheme="minorEastAsia" w:eastAsiaTheme="minorEastAsia" w:cstheme="minorEastAsia"/>
          <w:color w:val="auto"/>
          <w:sz w:val="28"/>
          <w:szCs w:val="21"/>
          <w:highlight w:val="none"/>
        </w:rPr>
        <w:t>附件2：发包供应材料设备一览表</w:t>
      </w:r>
      <w:bookmarkEnd w:id="94"/>
    </w:p>
    <w:p>
      <w:pPr>
        <w:pStyle w:val="39"/>
        <w:spacing w:before="0" w:beforeAutospacing="0" w:after="0" w:afterAutospacing="0" w:line="380" w:lineRule="exact"/>
        <w:jc w:val="center"/>
        <w:rPr>
          <w:rFonts w:asciiTheme="minorEastAsia" w:hAnsiTheme="minorEastAsia" w:eastAsiaTheme="minorEastAsia" w:cstheme="minorEastAsia"/>
          <w:b/>
          <w:bCs/>
          <w:color w:val="auto"/>
          <w:sz w:val="28"/>
          <w:szCs w:val="28"/>
          <w:highlight w:val="none"/>
        </w:rPr>
      </w:pPr>
    </w:p>
    <w:tbl>
      <w:tblPr>
        <w:tblStyle w:val="43"/>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701"/>
        <w:gridCol w:w="709"/>
        <w:gridCol w:w="567"/>
        <w:gridCol w:w="709"/>
        <w:gridCol w:w="709"/>
        <w:gridCol w:w="850"/>
        <w:gridCol w:w="851"/>
        <w:gridCol w:w="992"/>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8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序号</w:t>
            </w:r>
          </w:p>
        </w:tc>
        <w:tc>
          <w:tcPr>
            <w:tcW w:w="1701"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8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材料设备品种</w:t>
            </w:r>
          </w:p>
        </w:tc>
        <w:tc>
          <w:tcPr>
            <w:tcW w:w="709"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8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规格型号</w:t>
            </w:r>
          </w:p>
        </w:tc>
        <w:tc>
          <w:tcPr>
            <w:tcW w:w="567"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8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单位</w:t>
            </w:r>
          </w:p>
        </w:tc>
        <w:tc>
          <w:tcPr>
            <w:tcW w:w="709"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8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数量</w:t>
            </w:r>
          </w:p>
        </w:tc>
        <w:tc>
          <w:tcPr>
            <w:tcW w:w="709"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8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单价</w:t>
            </w:r>
          </w:p>
        </w:tc>
        <w:tc>
          <w:tcPr>
            <w:tcW w:w="850" w:type="dxa"/>
            <w:tcBorders>
              <w:top w:val="single" w:color="auto" w:sz="4" w:space="0"/>
              <w:left w:val="single" w:color="auto" w:sz="4" w:space="0"/>
              <w:bottom w:val="single" w:color="auto" w:sz="4" w:space="0"/>
              <w:right w:val="single" w:color="auto" w:sz="4" w:space="0"/>
            </w:tcBorders>
          </w:tcPr>
          <w:p>
            <w:pPr>
              <w:pStyle w:val="39"/>
              <w:spacing w:before="0" w:beforeAutospacing="0" w:after="0" w:afterAutospacing="0" w:line="38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质量等级</w:t>
            </w:r>
          </w:p>
        </w:tc>
        <w:tc>
          <w:tcPr>
            <w:tcW w:w="851"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8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供应时间</w:t>
            </w:r>
          </w:p>
        </w:tc>
        <w:tc>
          <w:tcPr>
            <w:tcW w:w="992" w:type="dxa"/>
            <w:tcBorders>
              <w:top w:val="single" w:color="auto" w:sz="4" w:space="0"/>
              <w:left w:val="single" w:color="auto" w:sz="4" w:space="0"/>
              <w:bottom w:val="single" w:color="auto" w:sz="4" w:space="0"/>
              <w:right w:val="single" w:color="auto" w:sz="4" w:space="0"/>
            </w:tcBorders>
          </w:tcPr>
          <w:p>
            <w:pPr>
              <w:pStyle w:val="39"/>
              <w:spacing w:before="0" w:beforeAutospacing="0" w:after="0" w:afterAutospacing="0" w:line="38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送达地点</w:t>
            </w:r>
          </w:p>
        </w:tc>
        <w:tc>
          <w:tcPr>
            <w:tcW w:w="1276"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8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stheme="minorEastAsia"/>
                <w:color w:val="auto"/>
                <w:szCs w:val="21"/>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992" w:type="dxa"/>
            <w:tcBorders>
              <w:top w:val="single" w:color="auto" w:sz="4" w:space="0"/>
              <w:left w:val="single" w:color="auto" w:sz="4" w:space="0"/>
              <w:bottom w:val="single" w:color="auto" w:sz="4" w:space="0"/>
              <w:right w:val="single" w:color="auto" w:sz="4" w:space="0"/>
            </w:tcBorders>
          </w:tcPr>
          <w:p>
            <w:pPr>
              <w:pStyle w:val="28"/>
              <w:spacing w:line="380" w:lineRule="exact"/>
              <w:jc w:val="center"/>
              <w:rPr>
                <w:rFonts w:asciiTheme="minorEastAsia" w:hAnsiTheme="minorEastAsia" w:eastAsiaTheme="minorEastAsia" w:cstheme="minorEastAsia"/>
                <w:color w:val="auto"/>
                <w:sz w:val="21"/>
                <w:szCs w:val="21"/>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28"/>
              <w:spacing w:line="380" w:lineRule="exact"/>
              <w:jc w:val="center"/>
              <w:rPr>
                <w:rFonts w:asciiTheme="minorEastAsia" w:hAnsiTheme="minorEastAsia" w:eastAsiaTheme="minorEastAsia"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tcPr>
          <w:p>
            <w:pPr>
              <w:pStyle w:val="28"/>
              <w:spacing w:line="380" w:lineRule="exact"/>
              <w:jc w:val="center"/>
              <w:rPr>
                <w:rFonts w:asciiTheme="minorEastAsia" w:hAnsiTheme="minorEastAsia" w:eastAsiaTheme="minorEastAsia" w:cstheme="minorEastAsia"/>
                <w:color w:val="auto"/>
                <w:sz w:val="21"/>
                <w:szCs w:val="21"/>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28"/>
              <w:spacing w:line="380" w:lineRule="exact"/>
              <w:jc w:val="center"/>
              <w:rPr>
                <w:rFonts w:asciiTheme="minorEastAsia" w:hAnsiTheme="minorEastAsia" w:eastAsiaTheme="minorEastAsia" w:cstheme="minorEastAsia"/>
                <w:color w:val="auto"/>
                <w:sz w:val="21"/>
                <w:szCs w:val="21"/>
                <w:highlight w:val="none"/>
              </w:rPr>
            </w:pPr>
          </w:p>
        </w:tc>
        <w:tc>
          <w:tcPr>
            <w:tcW w:w="992" w:type="dxa"/>
            <w:tcBorders>
              <w:top w:val="single" w:color="auto" w:sz="4" w:space="0"/>
              <w:left w:val="single" w:color="auto" w:sz="4" w:space="0"/>
              <w:bottom w:val="single" w:color="auto" w:sz="4" w:space="0"/>
              <w:right w:val="single" w:color="auto" w:sz="4" w:space="0"/>
            </w:tcBorders>
          </w:tcPr>
          <w:p>
            <w:pPr>
              <w:pStyle w:val="28"/>
              <w:spacing w:line="380" w:lineRule="exact"/>
              <w:jc w:val="center"/>
              <w:rPr>
                <w:rFonts w:asciiTheme="minorEastAsia" w:hAnsiTheme="minorEastAsia" w:eastAsiaTheme="minorEastAsia" w:cstheme="minorEastAsia"/>
                <w:color w:val="auto"/>
                <w:sz w:val="21"/>
                <w:szCs w:val="21"/>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28"/>
              <w:spacing w:line="380" w:lineRule="exact"/>
              <w:jc w:val="center"/>
              <w:rPr>
                <w:rFonts w:asciiTheme="minorEastAsia" w:hAnsiTheme="minorEastAsia" w:eastAsiaTheme="minorEastAsia"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tcPr>
          <w:p>
            <w:pPr>
              <w:pStyle w:val="28"/>
              <w:spacing w:line="380" w:lineRule="exact"/>
              <w:jc w:val="center"/>
              <w:rPr>
                <w:rFonts w:asciiTheme="minorEastAsia" w:hAnsiTheme="minorEastAsia" w:eastAsiaTheme="minorEastAsia" w:cstheme="minorEastAsia"/>
                <w:color w:val="auto"/>
                <w:sz w:val="21"/>
                <w:szCs w:val="21"/>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28"/>
              <w:spacing w:line="380" w:lineRule="exact"/>
              <w:jc w:val="center"/>
              <w:rPr>
                <w:rFonts w:asciiTheme="minorEastAsia" w:hAnsiTheme="minorEastAsia" w:eastAsiaTheme="minorEastAsia" w:cstheme="minorEastAsia"/>
                <w:color w:val="auto"/>
                <w:sz w:val="21"/>
                <w:szCs w:val="21"/>
                <w:highlight w:val="none"/>
              </w:rPr>
            </w:pPr>
          </w:p>
        </w:tc>
        <w:tc>
          <w:tcPr>
            <w:tcW w:w="992" w:type="dxa"/>
            <w:tcBorders>
              <w:top w:val="single" w:color="auto" w:sz="4" w:space="0"/>
              <w:left w:val="single" w:color="auto" w:sz="4" w:space="0"/>
              <w:bottom w:val="single" w:color="auto" w:sz="4" w:space="0"/>
              <w:right w:val="single" w:color="auto" w:sz="4" w:space="0"/>
            </w:tcBorders>
          </w:tcPr>
          <w:p>
            <w:pPr>
              <w:pStyle w:val="28"/>
              <w:spacing w:line="380" w:lineRule="exact"/>
              <w:jc w:val="center"/>
              <w:rPr>
                <w:rFonts w:asciiTheme="minorEastAsia" w:hAnsiTheme="minorEastAsia" w:eastAsiaTheme="minorEastAsia" w:cstheme="minorEastAsia"/>
                <w:color w:val="auto"/>
                <w:sz w:val="21"/>
                <w:szCs w:val="21"/>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28"/>
              <w:spacing w:line="380" w:lineRule="exact"/>
              <w:jc w:val="center"/>
              <w:rPr>
                <w:rFonts w:asciiTheme="minorEastAsia" w:hAnsiTheme="minorEastAsia" w:eastAsiaTheme="minorEastAsia"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tcPr>
          <w:p>
            <w:pPr>
              <w:pStyle w:val="28"/>
              <w:spacing w:line="380" w:lineRule="exact"/>
              <w:jc w:val="center"/>
              <w:rPr>
                <w:rFonts w:asciiTheme="minorEastAsia" w:hAnsiTheme="minorEastAsia" w:eastAsiaTheme="minorEastAsia" w:cstheme="minorEastAsia"/>
                <w:color w:val="auto"/>
                <w:sz w:val="21"/>
                <w:szCs w:val="21"/>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28"/>
              <w:spacing w:line="380" w:lineRule="exact"/>
              <w:jc w:val="center"/>
              <w:rPr>
                <w:rFonts w:asciiTheme="minorEastAsia" w:hAnsiTheme="minorEastAsia" w:eastAsiaTheme="minorEastAsia" w:cstheme="minorEastAsia"/>
                <w:color w:val="auto"/>
                <w:sz w:val="21"/>
                <w:szCs w:val="21"/>
                <w:highlight w:val="none"/>
              </w:rPr>
            </w:pPr>
          </w:p>
        </w:tc>
        <w:tc>
          <w:tcPr>
            <w:tcW w:w="992" w:type="dxa"/>
            <w:tcBorders>
              <w:top w:val="single" w:color="auto" w:sz="4" w:space="0"/>
              <w:left w:val="single" w:color="auto" w:sz="4" w:space="0"/>
              <w:bottom w:val="single" w:color="auto" w:sz="4" w:space="0"/>
              <w:right w:val="single" w:color="auto" w:sz="4" w:space="0"/>
            </w:tcBorders>
          </w:tcPr>
          <w:p>
            <w:pPr>
              <w:pStyle w:val="28"/>
              <w:spacing w:line="380" w:lineRule="exact"/>
              <w:jc w:val="center"/>
              <w:rPr>
                <w:rFonts w:asciiTheme="minorEastAsia" w:hAnsiTheme="minorEastAsia" w:eastAsiaTheme="minorEastAsia" w:cstheme="minorEastAsia"/>
                <w:color w:val="auto"/>
                <w:sz w:val="21"/>
                <w:szCs w:val="21"/>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28"/>
              <w:spacing w:line="380" w:lineRule="exact"/>
              <w:jc w:val="center"/>
              <w:rPr>
                <w:rFonts w:asciiTheme="minorEastAsia" w:hAnsiTheme="minorEastAsia" w:eastAsiaTheme="minorEastAsia"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tcPr>
          <w:p>
            <w:pPr>
              <w:pStyle w:val="28"/>
              <w:spacing w:line="380" w:lineRule="exact"/>
              <w:jc w:val="center"/>
              <w:rPr>
                <w:rFonts w:asciiTheme="minorEastAsia" w:hAnsiTheme="minorEastAsia" w:eastAsiaTheme="minorEastAsia" w:cstheme="minorEastAsia"/>
                <w:color w:val="auto"/>
                <w:sz w:val="21"/>
                <w:szCs w:val="21"/>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28"/>
              <w:spacing w:line="380" w:lineRule="exact"/>
              <w:jc w:val="center"/>
              <w:rPr>
                <w:rFonts w:asciiTheme="minorEastAsia" w:hAnsiTheme="minorEastAsia" w:eastAsiaTheme="minorEastAsia" w:cstheme="minorEastAsia"/>
                <w:color w:val="auto"/>
                <w:sz w:val="21"/>
                <w:szCs w:val="21"/>
                <w:highlight w:val="none"/>
              </w:rPr>
            </w:pPr>
          </w:p>
        </w:tc>
        <w:tc>
          <w:tcPr>
            <w:tcW w:w="992" w:type="dxa"/>
            <w:tcBorders>
              <w:top w:val="single" w:color="auto" w:sz="4" w:space="0"/>
              <w:left w:val="single" w:color="auto" w:sz="4" w:space="0"/>
              <w:bottom w:val="single" w:color="auto" w:sz="4" w:space="0"/>
              <w:right w:val="single" w:color="auto" w:sz="4" w:space="0"/>
            </w:tcBorders>
          </w:tcPr>
          <w:p>
            <w:pPr>
              <w:pStyle w:val="28"/>
              <w:spacing w:line="380" w:lineRule="exact"/>
              <w:jc w:val="center"/>
              <w:rPr>
                <w:rFonts w:asciiTheme="minorEastAsia" w:hAnsiTheme="minorEastAsia" w:eastAsiaTheme="minorEastAsia" w:cstheme="minorEastAsia"/>
                <w:color w:val="auto"/>
                <w:sz w:val="21"/>
                <w:szCs w:val="21"/>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28"/>
              <w:spacing w:line="380" w:lineRule="exact"/>
              <w:jc w:val="center"/>
              <w:rPr>
                <w:rFonts w:asciiTheme="minorEastAsia" w:hAnsiTheme="minorEastAsia" w:eastAsiaTheme="minorEastAsia"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tcPr>
          <w:p>
            <w:pPr>
              <w:pStyle w:val="28"/>
              <w:spacing w:line="380" w:lineRule="exact"/>
              <w:jc w:val="center"/>
              <w:rPr>
                <w:rFonts w:asciiTheme="minorEastAsia" w:hAnsiTheme="minorEastAsia" w:eastAsiaTheme="minorEastAsia" w:cstheme="minorEastAsia"/>
                <w:color w:val="auto"/>
                <w:sz w:val="21"/>
                <w:szCs w:val="21"/>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28"/>
              <w:spacing w:line="380" w:lineRule="exact"/>
              <w:jc w:val="center"/>
              <w:rPr>
                <w:rFonts w:asciiTheme="minorEastAsia" w:hAnsiTheme="minorEastAsia" w:eastAsiaTheme="minorEastAsia" w:cstheme="minorEastAsia"/>
                <w:color w:val="auto"/>
                <w:sz w:val="21"/>
                <w:szCs w:val="21"/>
                <w:highlight w:val="none"/>
              </w:rPr>
            </w:pPr>
          </w:p>
        </w:tc>
        <w:tc>
          <w:tcPr>
            <w:tcW w:w="992" w:type="dxa"/>
            <w:tcBorders>
              <w:top w:val="single" w:color="auto" w:sz="4" w:space="0"/>
              <w:left w:val="single" w:color="auto" w:sz="4" w:space="0"/>
              <w:bottom w:val="single" w:color="auto" w:sz="4" w:space="0"/>
              <w:right w:val="single" w:color="auto" w:sz="4" w:space="0"/>
            </w:tcBorders>
          </w:tcPr>
          <w:p>
            <w:pPr>
              <w:pStyle w:val="28"/>
              <w:spacing w:line="380" w:lineRule="exact"/>
              <w:jc w:val="center"/>
              <w:rPr>
                <w:rFonts w:asciiTheme="minorEastAsia" w:hAnsiTheme="minorEastAsia" w:eastAsiaTheme="minorEastAsia" w:cstheme="minorEastAsia"/>
                <w:color w:val="auto"/>
                <w:sz w:val="21"/>
                <w:szCs w:val="21"/>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28"/>
              <w:spacing w:line="380" w:lineRule="exact"/>
              <w:jc w:val="center"/>
              <w:rPr>
                <w:rFonts w:asciiTheme="minorEastAsia" w:hAnsiTheme="minorEastAsia" w:eastAsiaTheme="minorEastAsia"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tcPr>
          <w:p>
            <w:pPr>
              <w:pStyle w:val="28"/>
              <w:spacing w:line="380" w:lineRule="exact"/>
              <w:jc w:val="center"/>
              <w:rPr>
                <w:rFonts w:asciiTheme="minorEastAsia" w:hAnsiTheme="minorEastAsia" w:eastAsiaTheme="minorEastAsia" w:cstheme="minorEastAsia"/>
                <w:color w:val="auto"/>
                <w:sz w:val="21"/>
                <w:szCs w:val="21"/>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28"/>
              <w:spacing w:line="380" w:lineRule="exact"/>
              <w:jc w:val="center"/>
              <w:rPr>
                <w:rFonts w:asciiTheme="minorEastAsia" w:hAnsiTheme="minorEastAsia" w:eastAsiaTheme="minorEastAsia" w:cstheme="minorEastAsia"/>
                <w:color w:val="auto"/>
                <w:sz w:val="21"/>
                <w:szCs w:val="21"/>
                <w:highlight w:val="none"/>
              </w:rPr>
            </w:pPr>
          </w:p>
        </w:tc>
        <w:tc>
          <w:tcPr>
            <w:tcW w:w="992" w:type="dxa"/>
            <w:tcBorders>
              <w:top w:val="single" w:color="auto" w:sz="4" w:space="0"/>
              <w:left w:val="single" w:color="auto" w:sz="4" w:space="0"/>
              <w:bottom w:val="single" w:color="auto" w:sz="4" w:space="0"/>
              <w:right w:val="single" w:color="auto" w:sz="4" w:space="0"/>
            </w:tcBorders>
          </w:tcPr>
          <w:p>
            <w:pPr>
              <w:pStyle w:val="28"/>
              <w:spacing w:line="380" w:lineRule="exact"/>
              <w:jc w:val="center"/>
              <w:rPr>
                <w:rFonts w:asciiTheme="minorEastAsia" w:hAnsiTheme="minorEastAsia" w:eastAsiaTheme="minorEastAsia" w:cstheme="minorEastAsia"/>
                <w:color w:val="auto"/>
                <w:sz w:val="21"/>
                <w:szCs w:val="21"/>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28"/>
              <w:spacing w:line="380" w:lineRule="exact"/>
              <w:jc w:val="center"/>
              <w:rPr>
                <w:rFonts w:asciiTheme="minorEastAsia" w:hAnsiTheme="minorEastAsia" w:eastAsiaTheme="minorEastAsia"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tcPr>
          <w:p>
            <w:pPr>
              <w:pStyle w:val="28"/>
              <w:spacing w:line="380" w:lineRule="exact"/>
              <w:jc w:val="center"/>
              <w:rPr>
                <w:rFonts w:asciiTheme="minorEastAsia" w:hAnsiTheme="minorEastAsia" w:eastAsiaTheme="minorEastAsia" w:cstheme="minorEastAsia"/>
                <w:color w:val="auto"/>
                <w:sz w:val="21"/>
                <w:szCs w:val="21"/>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28"/>
              <w:spacing w:line="380" w:lineRule="exact"/>
              <w:jc w:val="center"/>
              <w:rPr>
                <w:rFonts w:asciiTheme="minorEastAsia" w:hAnsiTheme="minorEastAsia" w:eastAsiaTheme="minorEastAsia" w:cstheme="minorEastAsia"/>
                <w:color w:val="auto"/>
                <w:sz w:val="21"/>
                <w:szCs w:val="21"/>
                <w:highlight w:val="none"/>
              </w:rPr>
            </w:pPr>
          </w:p>
        </w:tc>
        <w:tc>
          <w:tcPr>
            <w:tcW w:w="992" w:type="dxa"/>
            <w:tcBorders>
              <w:top w:val="single" w:color="auto" w:sz="4" w:space="0"/>
              <w:left w:val="single" w:color="auto" w:sz="4" w:space="0"/>
              <w:bottom w:val="single" w:color="auto" w:sz="4" w:space="0"/>
              <w:right w:val="single" w:color="auto" w:sz="4" w:space="0"/>
            </w:tcBorders>
          </w:tcPr>
          <w:p>
            <w:pPr>
              <w:pStyle w:val="28"/>
              <w:spacing w:line="380" w:lineRule="exact"/>
              <w:jc w:val="center"/>
              <w:rPr>
                <w:rFonts w:asciiTheme="minorEastAsia" w:hAnsiTheme="minorEastAsia" w:eastAsiaTheme="minorEastAsia" w:cstheme="minorEastAsia"/>
                <w:color w:val="auto"/>
                <w:sz w:val="21"/>
                <w:szCs w:val="21"/>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28"/>
              <w:spacing w:line="380" w:lineRule="exact"/>
              <w:jc w:val="center"/>
              <w:rPr>
                <w:rFonts w:asciiTheme="minorEastAsia" w:hAnsiTheme="minorEastAsia" w:eastAsiaTheme="minorEastAsia"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tcPr>
          <w:p>
            <w:pPr>
              <w:pStyle w:val="39"/>
              <w:spacing w:before="0" w:beforeAutospacing="0" w:after="0" w:afterAutospacing="0" w:line="380" w:lineRule="exact"/>
              <w:jc w:val="center"/>
              <w:rPr>
                <w:rFonts w:asciiTheme="minorEastAsia" w:hAnsiTheme="minorEastAsia" w:eastAsiaTheme="minorEastAsia" w:cstheme="minorEastAsia"/>
                <w:color w:val="auto"/>
                <w:kern w:val="2"/>
                <w:sz w:val="21"/>
                <w:szCs w:val="21"/>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80" w:lineRule="exact"/>
              <w:jc w:val="center"/>
              <w:rPr>
                <w:rFonts w:asciiTheme="minorEastAsia" w:hAnsiTheme="minorEastAsia" w:eastAsiaTheme="minorEastAsia" w:cstheme="minorEastAsia"/>
                <w:color w:val="auto"/>
                <w:kern w:val="2"/>
                <w:sz w:val="21"/>
                <w:szCs w:val="21"/>
                <w:highlight w:val="none"/>
              </w:rPr>
            </w:pPr>
          </w:p>
        </w:tc>
        <w:tc>
          <w:tcPr>
            <w:tcW w:w="992" w:type="dxa"/>
            <w:tcBorders>
              <w:top w:val="single" w:color="auto" w:sz="4" w:space="0"/>
              <w:left w:val="single" w:color="auto" w:sz="4" w:space="0"/>
              <w:bottom w:val="single" w:color="auto" w:sz="4" w:space="0"/>
              <w:right w:val="single" w:color="auto" w:sz="4" w:space="0"/>
            </w:tcBorders>
          </w:tcPr>
          <w:p>
            <w:pPr>
              <w:pStyle w:val="39"/>
              <w:spacing w:before="0" w:beforeAutospacing="0" w:after="0" w:afterAutospacing="0" w:line="380" w:lineRule="exact"/>
              <w:jc w:val="center"/>
              <w:rPr>
                <w:rFonts w:asciiTheme="minorEastAsia" w:hAnsiTheme="minorEastAsia" w:eastAsiaTheme="minorEastAsia" w:cstheme="minorEastAsia"/>
                <w:color w:val="auto"/>
                <w:kern w:val="2"/>
                <w:sz w:val="21"/>
                <w:szCs w:val="21"/>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80" w:lineRule="exact"/>
              <w:jc w:val="center"/>
              <w:rPr>
                <w:rFonts w:asciiTheme="minorEastAsia" w:hAnsiTheme="minorEastAsia" w:eastAsiaTheme="minorEastAsia" w:cstheme="minorEastAsia"/>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tcPr>
          <w:p>
            <w:pPr>
              <w:pStyle w:val="39"/>
              <w:spacing w:before="0" w:beforeAutospacing="0" w:after="0" w:afterAutospacing="0" w:line="380" w:lineRule="exact"/>
              <w:jc w:val="center"/>
              <w:rPr>
                <w:rFonts w:asciiTheme="minorEastAsia" w:hAnsiTheme="minorEastAsia" w:eastAsiaTheme="minorEastAsia" w:cstheme="minorEastAsia"/>
                <w:color w:val="auto"/>
                <w:kern w:val="2"/>
                <w:sz w:val="21"/>
                <w:szCs w:val="21"/>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80" w:lineRule="exact"/>
              <w:jc w:val="center"/>
              <w:rPr>
                <w:rFonts w:asciiTheme="minorEastAsia" w:hAnsiTheme="minorEastAsia" w:eastAsiaTheme="minorEastAsia" w:cstheme="minorEastAsia"/>
                <w:color w:val="auto"/>
                <w:kern w:val="2"/>
                <w:sz w:val="21"/>
                <w:szCs w:val="21"/>
                <w:highlight w:val="none"/>
              </w:rPr>
            </w:pPr>
          </w:p>
        </w:tc>
        <w:tc>
          <w:tcPr>
            <w:tcW w:w="992" w:type="dxa"/>
            <w:tcBorders>
              <w:top w:val="single" w:color="auto" w:sz="4" w:space="0"/>
              <w:left w:val="single" w:color="auto" w:sz="4" w:space="0"/>
              <w:bottom w:val="single" w:color="auto" w:sz="4" w:space="0"/>
              <w:right w:val="single" w:color="auto" w:sz="4" w:space="0"/>
            </w:tcBorders>
          </w:tcPr>
          <w:p>
            <w:pPr>
              <w:pStyle w:val="39"/>
              <w:spacing w:before="0" w:beforeAutospacing="0" w:after="0" w:afterAutospacing="0" w:line="380" w:lineRule="exact"/>
              <w:jc w:val="center"/>
              <w:rPr>
                <w:rFonts w:asciiTheme="minorEastAsia" w:hAnsiTheme="minorEastAsia" w:eastAsiaTheme="minorEastAsia" w:cstheme="minorEastAsia"/>
                <w:color w:val="auto"/>
                <w:kern w:val="2"/>
                <w:sz w:val="21"/>
                <w:szCs w:val="21"/>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80" w:lineRule="exact"/>
              <w:jc w:val="center"/>
              <w:rPr>
                <w:rFonts w:asciiTheme="minorEastAsia" w:hAnsiTheme="minorEastAsia" w:eastAsiaTheme="minorEastAsia" w:cstheme="minorEastAsia"/>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tcPr>
          <w:p>
            <w:pPr>
              <w:pStyle w:val="39"/>
              <w:spacing w:before="0" w:beforeAutospacing="0" w:after="0" w:afterAutospacing="0" w:line="380" w:lineRule="exact"/>
              <w:jc w:val="center"/>
              <w:rPr>
                <w:rFonts w:asciiTheme="minorEastAsia" w:hAnsiTheme="minorEastAsia" w:eastAsiaTheme="minorEastAsia" w:cstheme="minorEastAsia"/>
                <w:color w:val="auto"/>
                <w:kern w:val="2"/>
                <w:sz w:val="21"/>
                <w:szCs w:val="21"/>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80" w:lineRule="exact"/>
              <w:jc w:val="center"/>
              <w:rPr>
                <w:rFonts w:asciiTheme="minorEastAsia" w:hAnsiTheme="minorEastAsia" w:eastAsiaTheme="minorEastAsia" w:cstheme="minorEastAsia"/>
                <w:color w:val="auto"/>
                <w:kern w:val="2"/>
                <w:sz w:val="21"/>
                <w:szCs w:val="21"/>
                <w:highlight w:val="none"/>
              </w:rPr>
            </w:pPr>
          </w:p>
        </w:tc>
        <w:tc>
          <w:tcPr>
            <w:tcW w:w="992" w:type="dxa"/>
            <w:tcBorders>
              <w:top w:val="single" w:color="auto" w:sz="4" w:space="0"/>
              <w:left w:val="single" w:color="auto" w:sz="4" w:space="0"/>
              <w:bottom w:val="single" w:color="auto" w:sz="4" w:space="0"/>
              <w:right w:val="single" w:color="auto" w:sz="4" w:space="0"/>
            </w:tcBorders>
          </w:tcPr>
          <w:p>
            <w:pPr>
              <w:pStyle w:val="39"/>
              <w:spacing w:before="0" w:beforeAutospacing="0" w:after="0" w:afterAutospacing="0" w:line="380" w:lineRule="exact"/>
              <w:jc w:val="center"/>
              <w:rPr>
                <w:rFonts w:asciiTheme="minorEastAsia" w:hAnsiTheme="minorEastAsia" w:eastAsiaTheme="minorEastAsia" w:cstheme="minorEastAsia"/>
                <w:color w:val="auto"/>
                <w:kern w:val="2"/>
                <w:sz w:val="21"/>
                <w:szCs w:val="21"/>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80" w:lineRule="exact"/>
              <w:jc w:val="center"/>
              <w:rPr>
                <w:rFonts w:asciiTheme="minorEastAsia" w:hAnsiTheme="minorEastAsia" w:eastAsiaTheme="minorEastAsia" w:cstheme="minorEastAsia"/>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tcPr>
          <w:p>
            <w:pPr>
              <w:pStyle w:val="39"/>
              <w:spacing w:before="0" w:beforeAutospacing="0" w:after="0" w:afterAutospacing="0" w:line="380" w:lineRule="exact"/>
              <w:jc w:val="center"/>
              <w:rPr>
                <w:rFonts w:asciiTheme="minorEastAsia" w:hAnsiTheme="minorEastAsia" w:eastAsiaTheme="minorEastAsia" w:cstheme="minorEastAsia"/>
                <w:color w:val="auto"/>
                <w:kern w:val="2"/>
                <w:sz w:val="21"/>
                <w:szCs w:val="21"/>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80" w:lineRule="exact"/>
              <w:jc w:val="center"/>
              <w:rPr>
                <w:rFonts w:asciiTheme="minorEastAsia" w:hAnsiTheme="minorEastAsia" w:eastAsiaTheme="minorEastAsia" w:cstheme="minorEastAsia"/>
                <w:color w:val="auto"/>
                <w:kern w:val="2"/>
                <w:sz w:val="21"/>
                <w:szCs w:val="21"/>
                <w:highlight w:val="none"/>
              </w:rPr>
            </w:pPr>
          </w:p>
        </w:tc>
        <w:tc>
          <w:tcPr>
            <w:tcW w:w="992" w:type="dxa"/>
            <w:tcBorders>
              <w:top w:val="single" w:color="auto" w:sz="4" w:space="0"/>
              <w:left w:val="single" w:color="auto" w:sz="4" w:space="0"/>
              <w:bottom w:val="single" w:color="auto" w:sz="4" w:space="0"/>
              <w:right w:val="single" w:color="auto" w:sz="4" w:space="0"/>
            </w:tcBorders>
          </w:tcPr>
          <w:p>
            <w:pPr>
              <w:pStyle w:val="39"/>
              <w:spacing w:before="0" w:beforeAutospacing="0" w:after="0" w:afterAutospacing="0" w:line="380" w:lineRule="exact"/>
              <w:jc w:val="center"/>
              <w:rPr>
                <w:rFonts w:asciiTheme="minorEastAsia" w:hAnsiTheme="minorEastAsia" w:eastAsiaTheme="minorEastAsia" w:cstheme="minorEastAsia"/>
                <w:color w:val="auto"/>
                <w:kern w:val="2"/>
                <w:sz w:val="21"/>
                <w:szCs w:val="21"/>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80" w:lineRule="exact"/>
              <w:jc w:val="center"/>
              <w:rPr>
                <w:rFonts w:asciiTheme="minorEastAsia" w:hAnsiTheme="minorEastAsia" w:eastAsiaTheme="minorEastAsia" w:cstheme="minorEastAsia"/>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tcPr>
          <w:p>
            <w:pPr>
              <w:pStyle w:val="39"/>
              <w:spacing w:before="0" w:beforeAutospacing="0" w:after="0" w:afterAutospacing="0" w:line="380" w:lineRule="exact"/>
              <w:jc w:val="center"/>
              <w:rPr>
                <w:rFonts w:asciiTheme="minorEastAsia" w:hAnsiTheme="minorEastAsia" w:eastAsiaTheme="minorEastAsia" w:cstheme="minorEastAsia"/>
                <w:color w:val="auto"/>
                <w:kern w:val="2"/>
                <w:sz w:val="21"/>
                <w:szCs w:val="21"/>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80" w:lineRule="exact"/>
              <w:jc w:val="center"/>
              <w:rPr>
                <w:rFonts w:asciiTheme="minorEastAsia" w:hAnsiTheme="minorEastAsia" w:eastAsiaTheme="minorEastAsia" w:cstheme="minorEastAsia"/>
                <w:color w:val="auto"/>
                <w:kern w:val="2"/>
                <w:sz w:val="21"/>
                <w:szCs w:val="21"/>
                <w:highlight w:val="none"/>
              </w:rPr>
            </w:pPr>
          </w:p>
        </w:tc>
        <w:tc>
          <w:tcPr>
            <w:tcW w:w="992" w:type="dxa"/>
            <w:tcBorders>
              <w:top w:val="single" w:color="auto" w:sz="4" w:space="0"/>
              <w:left w:val="single" w:color="auto" w:sz="4" w:space="0"/>
              <w:bottom w:val="single" w:color="auto" w:sz="4" w:space="0"/>
              <w:right w:val="single" w:color="auto" w:sz="4" w:space="0"/>
            </w:tcBorders>
          </w:tcPr>
          <w:p>
            <w:pPr>
              <w:pStyle w:val="39"/>
              <w:spacing w:before="0" w:beforeAutospacing="0" w:after="0" w:afterAutospacing="0" w:line="380" w:lineRule="exact"/>
              <w:jc w:val="center"/>
              <w:rPr>
                <w:rFonts w:asciiTheme="minorEastAsia" w:hAnsiTheme="minorEastAsia" w:eastAsiaTheme="minorEastAsia" w:cstheme="minorEastAsia"/>
                <w:color w:val="auto"/>
                <w:kern w:val="2"/>
                <w:sz w:val="21"/>
                <w:szCs w:val="21"/>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80" w:lineRule="exact"/>
              <w:jc w:val="center"/>
              <w:rPr>
                <w:rFonts w:asciiTheme="minorEastAsia" w:hAnsiTheme="minorEastAsia" w:eastAsiaTheme="minorEastAsia" w:cstheme="minorEastAsia"/>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tcPr>
          <w:p>
            <w:pPr>
              <w:pStyle w:val="39"/>
              <w:spacing w:before="0" w:beforeAutospacing="0" w:after="0" w:afterAutospacing="0" w:line="380" w:lineRule="exact"/>
              <w:jc w:val="center"/>
              <w:rPr>
                <w:rFonts w:asciiTheme="minorEastAsia" w:hAnsiTheme="minorEastAsia" w:eastAsiaTheme="minorEastAsia" w:cstheme="minorEastAsia"/>
                <w:color w:val="auto"/>
                <w:kern w:val="2"/>
                <w:sz w:val="21"/>
                <w:szCs w:val="21"/>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80" w:lineRule="exact"/>
              <w:jc w:val="center"/>
              <w:rPr>
                <w:rFonts w:asciiTheme="minorEastAsia" w:hAnsiTheme="minorEastAsia" w:eastAsiaTheme="minorEastAsia" w:cstheme="minorEastAsia"/>
                <w:color w:val="auto"/>
                <w:kern w:val="2"/>
                <w:sz w:val="21"/>
                <w:szCs w:val="21"/>
                <w:highlight w:val="none"/>
              </w:rPr>
            </w:pPr>
          </w:p>
        </w:tc>
        <w:tc>
          <w:tcPr>
            <w:tcW w:w="992" w:type="dxa"/>
            <w:tcBorders>
              <w:top w:val="single" w:color="auto" w:sz="4" w:space="0"/>
              <w:left w:val="single" w:color="auto" w:sz="4" w:space="0"/>
              <w:bottom w:val="single" w:color="auto" w:sz="4" w:space="0"/>
              <w:right w:val="single" w:color="auto" w:sz="4" w:space="0"/>
            </w:tcBorders>
          </w:tcPr>
          <w:p>
            <w:pPr>
              <w:pStyle w:val="39"/>
              <w:spacing w:before="0" w:beforeAutospacing="0" w:after="0" w:afterAutospacing="0" w:line="380" w:lineRule="exact"/>
              <w:jc w:val="center"/>
              <w:rPr>
                <w:rFonts w:asciiTheme="minorEastAsia" w:hAnsiTheme="minorEastAsia" w:eastAsiaTheme="minorEastAsia" w:cstheme="minorEastAsia"/>
                <w:color w:val="auto"/>
                <w:kern w:val="2"/>
                <w:sz w:val="21"/>
                <w:szCs w:val="21"/>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80" w:lineRule="exact"/>
              <w:jc w:val="center"/>
              <w:rPr>
                <w:rFonts w:asciiTheme="minorEastAsia" w:hAnsiTheme="minorEastAsia" w:eastAsiaTheme="minorEastAsia" w:cstheme="minorEastAsia"/>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80" w:lineRule="exact"/>
              <w:jc w:val="center"/>
              <w:rPr>
                <w:rFonts w:asciiTheme="minorEastAsia" w:hAnsiTheme="minorEastAsia" w:eastAsiaTheme="minorEastAsia" w:cstheme="minorEastAsia"/>
                <w:color w:val="auto"/>
                <w:kern w:val="2"/>
                <w:sz w:val="21"/>
                <w:szCs w:val="21"/>
                <w:highlight w:val="none"/>
              </w:rPr>
            </w:pPr>
          </w:p>
        </w:tc>
        <w:tc>
          <w:tcPr>
            <w:tcW w:w="850" w:type="dxa"/>
            <w:tcBorders>
              <w:top w:val="single" w:color="auto" w:sz="4" w:space="0"/>
              <w:left w:val="single" w:color="auto" w:sz="4" w:space="0"/>
              <w:bottom w:val="single" w:color="auto" w:sz="4" w:space="0"/>
              <w:right w:val="single" w:color="auto" w:sz="4" w:space="0"/>
            </w:tcBorders>
          </w:tcPr>
          <w:p>
            <w:pPr>
              <w:pStyle w:val="39"/>
              <w:spacing w:before="0" w:beforeAutospacing="0" w:after="0" w:afterAutospacing="0" w:line="380" w:lineRule="exact"/>
              <w:jc w:val="center"/>
              <w:rPr>
                <w:rFonts w:asciiTheme="minorEastAsia" w:hAnsiTheme="minorEastAsia" w:eastAsiaTheme="minorEastAsia" w:cstheme="minorEastAsia"/>
                <w:color w:val="auto"/>
                <w:kern w:val="2"/>
                <w:sz w:val="21"/>
                <w:szCs w:val="21"/>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80" w:lineRule="exact"/>
              <w:jc w:val="center"/>
              <w:rPr>
                <w:rFonts w:asciiTheme="minorEastAsia" w:hAnsiTheme="minorEastAsia" w:eastAsiaTheme="minorEastAsia" w:cstheme="minorEastAsia"/>
                <w:color w:val="auto"/>
                <w:kern w:val="2"/>
                <w:sz w:val="21"/>
                <w:szCs w:val="21"/>
                <w:highlight w:val="none"/>
              </w:rPr>
            </w:pPr>
          </w:p>
        </w:tc>
        <w:tc>
          <w:tcPr>
            <w:tcW w:w="992" w:type="dxa"/>
            <w:tcBorders>
              <w:top w:val="single" w:color="auto" w:sz="4" w:space="0"/>
              <w:left w:val="single" w:color="auto" w:sz="4" w:space="0"/>
              <w:bottom w:val="single" w:color="auto" w:sz="4" w:space="0"/>
              <w:right w:val="single" w:color="auto" w:sz="4" w:space="0"/>
            </w:tcBorders>
          </w:tcPr>
          <w:p>
            <w:pPr>
              <w:pStyle w:val="39"/>
              <w:spacing w:before="0" w:beforeAutospacing="0" w:after="0" w:afterAutospacing="0" w:line="380" w:lineRule="exact"/>
              <w:jc w:val="center"/>
              <w:rPr>
                <w:rFonts w:asciiTheme="minorEastAsia" w:hAnsiTheme="minorEastAsia" w:eastAsiaTheme="minorEastAsia" w:cstheme="minorEastAsia"/>
                <w:color w:val="auto"/>
                <w:kern w:val="2"/>
                <w:sz w:val="21"/>
                <w:szCs w:val="21"/>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80" w:lineRule="exact"/>
              <w:jc w:val="center"/>
              <w:rPr>
                <w:rFonts w:asciiTheme="minorEastAsia" w:hAnsiTheme="minorEastAsia" w:eastAsiaTheme="minorEastAsia" w:cstheme="minorEastAsia"/>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80" w:lineRule="exact"/>
              <w:jc w:val="center"/>
              <w:rPr>
                <w:rFonts w:asciiTheme="minorEastAsia" w:hAnsiTheme="minorEastAsia" w:eastAsiaTheme="minorEastAsia" w:cstheme="minorEastAsia"/>
                <w:color w:val="auto"/>
                <w:kern w:val="2"/>
                <w:sz w:val="21"/>
                <w:szCs w:val="21"/>
                <w:highlight w:val="none"/>
              </w:rPr>
            </w:pPr>
          </w:p>
        </w:tc>
        <w:tc>
          <w:tcPr>
            <w:tcW w:w="850" w:type="dxa"/>
            <w:tcBorders>
              <w:top w:val="single" w:color="auto" w:sz="4" w:space="0"/>
              <w:left w:val="single" w:color="auto" w:sz="4" w:space="0"/>
              <w:bottom w:val="single" w:color="auto" w:sz="4" w:space="0"/>
              <w:right w:val="single" w:color="auto" w:sz="4" w:space="0"/>
            </w:tcBorders>
          </w:tcPr>
          <w:p>
            <w:pPr>
              <w:pStyle w:val="39"/>
              <w:spacing w:before="0" w:beforeAutospacing="0" w:after="0" w:afterAutospacing="0" w:line="380" w:lineRule="exact"/>
              <w:jc w:val="center"/>
              <w:rPr>
                <w:rFonts w:asciiTheme="minorEastAsia" w:hAnsiTheme="minorEastAsia" w:eastAsiaTheme="minorEastAsia" w:cstheme="minorEastAsia"/>
                <w:color w:val="auto"/>
                <w:kern w:val="2"/>
                <w:sz w:val="21"/>
                <w:szCs w:val="21"/>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80" w:lineRule="exact"/>
              <w:jc w:val="center"/>
              <w:rPr>
                <w:rFonts w:asciiTheme="minorEastAsia" w:hAnsiTheme="minorEastAsia" w:eastAsiaTheme="minorEastAsia" w:cstheme="minorEastAsia"/>
                <w:color w:val="auto"/>
                <w:kern w:val="2"/>
                <w:sz w:val="21"/>
                <w:szCs w:val="21"/>
                <w:highlight w:val="none"/>
              </w:rPr>
            </w:pPr>
          </w:p>
        </w:tc>
        <w:tc>
          <w:tcPr>
            <w:tcW w:w="992" w:type="dxa"/>
            <w:tcBorders>
              <w:top w:val="single" w:color="auto" w:sz="4" w:space="0"/>
              <w:left w:val="single" w:color="auto" w:sz="4" w:space="0"/>
              <w:bottom w:val="single" w:color="auto" w:sz="4" w:space="0"/>
              <w:right w:val="single" w:color="auto" w:sz="4" w:space="0"/>
            </w:tcBorders>
          </w:tcPr>
          <w:p>
            <w:pPr>
              <w:pStyle w:val="39"/>
              <w:spacing w:before="0" w:beforeAutospacing="0" w:after="0" w:afterAutospacing="0" w:line="380" w:lineRule="exact"/>
              <w:jc w:val="center"/>
              <w:rPr>
                <w:rFonts w:asciiTheme="minorEastAsia" w:hAnsiTheme="minorEastAsia" w:eastAsiaTheme="minorEastAsia" w:cstheme="minorEastAsia"/>
                <w:color w:val="auto"/>
                <w:kern w:val="2"/>
                <w:sz w:val="21"/>
                <w:szCs w:val="21"/>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80" w:lineRule="exact"/>
              <w:jc w:val="center"/>
              <w:rPr>
                <w:rFonts w:asciiTheme="minorEastAsia" w:hAnsiTheme="minorEastAsia" w:eastAsiaTheme="minorEastAsia" w:cstheme="minorEastAsia"/>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合计</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80" w:lineRule="exact"/>
              <w:jc w:val="center"/>
              <w:rPr>
                <w:rFonts w:asciiTheme="minorEastAsia" w:hAnsiTheme="minorEastAsia" w:eastAsiaTheme="minorEastAsia" w:cstheme="minorEastAsia"/>
                <w:color w:val="auto"/>
                <w:kern w:val="2"/>
                <w:sz w:val="21"/>
                <w:szCs w:val="21"/>
                <w:highlight w:val="none"/>
              </w:rPr>
            </w:pPr>
          </w:p>
        </w:tc>
        <w:tc>
          <w:tcPr>
            <w:tcW w:w="850" w:type="dxa"/>
            <w:tcBorders>
              <w:top w:val="single" w:color="auto" w:sz="4" w:space="0"/>
              <w:left w:val="single" w:color="auto" w:sz="4" w:space="0"/>
              <w:bottom w:val="single" w:color="auto" w:sz="4" w:space="0"/>
              <w:right w:val="single" w:color="auto" w:sz="4" w:space="0"/>
            </w:tcBorders>
          </w:tcPr>
          <w:p>
            <w:pPr>
              <w:pStyle w:val="39"/>
              <w:spacing w:before="0" w:beforeAutospacing="0" w:after="0" w:afterAutospacing="0" w:line="380" w:lineRule="exact"/>
              <w:jc w:val="center"/>
              <w:rPr>
                <w:rFonts w:asciiTheme="minorEastAsia" w:hAnsiTheme="minorEastAsia" w:eastAsiaTheme="minorEastAsia" w:cstheme="minorEastAsia"/>
                <w:color w:val="auto"/>
                <w:kern w:val="2"/>
                <w:sz w:val="21"/>
                <w:szCs w:val="21"/>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80" w:lineRule="exact"/>
              <w:jc w:val="center"/>
              <w:rPr>
                <w:rFonts w:asciiTheme="minorEastAsia" w:hAnsiTheme="minorEastAsia" w:eastAsiaTheme="minorEastAsia" w:cstheme="minorEastAsia"/>
                <w:color w:val="auto"/>
                <w:kern w:val="2"/>
                <w:sz w:val="21"/>
                <w:szCs w:val="21"/>
                <w:highlight w:val="none"/>
              </w:rPr>
            </w:pPr>
          </w:p>
        </w:tc>
        <w:tc>
          <w:tcPr>
            <w:tcW w:w="992" w:type="dxa"/>
            <w:tcBorders>
              <w:top w:val="single" w:color="auto" w:sz="4" w:space="0"/>
              <w:left w:val="single" w:color="auto" w:sz="4" w:space="0"/>
              <w:bottom w:val="single" w:color="auto" w:sz="4" w:space="0"/>
              <w:right w:val="single" w:color="auto" w:sz="4" w:space="0"/>
            </w:tcBorders>
          </w:tcPr>
          <w:p>
            <w:pPr>
              <w:pStyle w:val="39"/>
              <w:spacing w:before="0" w:beforeAutospacing="0" w:after="0" w:afterAutospacing="0" w:line="380" w:lineRule="exact"/>
              <w:jc w:val="center"/>
              <w:rPr>
                <w:rFonts w:asciiTheme="minorEastAsia" w:hAnsiTheme="minorEastAsia" w:eastAsiaTheme="minorEastAsia" w:cstheme="minorEastAsia"/>
                <w:color w:val="auto"/>
                <w:kern w:val="2"/>
                <w:sz w:val="21"/>
                <w:szCs w:val="21"/>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9"/>
              <w:spacing w:before="0" w:beforeAutospacing="0" w:after="0" w:afterAutospacing="0" w:line="380" w:lineRule="exact"/>
              <w:jc w:val="center"/>
              <w:rPr>
                <w:rFonts w:asciiTheme="minorEastAsia" w:hAnsiTheme="minorEastAsia" w:eastAsiaTheme="minorEastAsia" w:cstheme="minorEastAsia"/>
                <w:color w:val="auto"/>
                <w:kern w:val="2"/>
                <w:sz w:val="21"/>
                <w:szCs w:val="21"/>
                <w:highlight w:val="none"/>
              </w:rPr>
            </w:pPr>
          </w:p>
        </w:tc>
      </w:tr>
    </w:tbl>
    <w:p>
      <w:pPr>
        <w:spacing w:line="360" w:lineRule="auto"/>
        <w:rPr>
          <w:rFonts w:asciiTheme="minorEastAsia" w:hAnsiTheme="minorEastAsia" w:eastAsiaTheme="minorEastAsia" w:cstheme="minorEastAsia"/>
          <w:bCs/>
          <w:color w:val="auto"/>
          <w:sz w:val="28"/>
          <w:szCs w:val="28"/>
          <w:highlight w:val="none"/>
        </w:rPr>
      </w:pPr>
    </w:p>
    <w:p>
      <w:pPr>
        <w:pStyle w:val="4"/>
        <w:rPr>
          <w:rFonts w:asciiTheme="minorEastAsia" w:hAnsiTheme="minorEastAsia" w:eastAsiaTheme="minorEastAsia" w:cstheme="minorEastAsia"/>
          <w:color w:val="auto"/>
          <w:sz w:val="28"/>
          <w:szCs w:val="21"/>
          <w:highlight w:val="none"/>
        </w:rPr>
      </w:pPr>
      <w:bookmarkStart w:id="95" w:name="_Toc505869062"/>
    </w:p>
    <w:p>
      <w:pPr>
        <w:pStyle w:val="4"/>
        <w:jc w:val="center"/>
        <w:rPr>
          <w:rFonts w:asciiTheme="minorEastAsia" w:hAnsiTheme="minorEastAsia" w:eastAsiaTheme="minorEastAsia" w:cstheme="minorEastAsia"/>
          <w:color w:val="auto"/>
          <w:sz w:val="28"/>
          <w:szCs w:val="21"/>
          <w:highlight w:val="none"/>
        </w:rPr>
      </w:pPr>
      <w:r>
        <w:rPr>
          <w:rFonts w:hint="eastAsia" w:asciiTheme="minorEastAsia" w:hAnsiTheme="minorEastAsia" w:eastAsiaTheme="minorEastAsia" w:cstheme="minorEastAsia"/>
          <w:color w:val="auto"/>
          <w:sz w:val="28"/>
          <w:szCs w:val="21"/>
          <w:highlight w:val="none"/>
        </w:rPr>
        <w:t>附件3：工程质量保修书</w:t>
      </w:r>
      <w:bookmarkEnd w:id="95"/>
    </w:p>
    <w:p>
      <w:pPr>
        <w:widowControl/>
        <w:ind w:firstLine="422"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b/>
          <w:color w:val="auto"/>
          <w:kern w:val="0"/>
          <w:szCs w:val="21"/>
          <w:highlight w:val="none"/>
        </w:rPr>
        <w:t>发包人（全称）：</w:t>
      </w:r>
      <w:r>
        <w:rPr>
          <w:rFonts w:hint="eastAsia" w:asciiTheme="minorEastAsia" w:hAnsiTheme="minorEastAsia" w:eastAsiaTheme="minorEastAsia" w:cstheme="minorEastAsia"/>
          <w:bCs/>
          <w:color w:val="auto"/>
          <w:kern w:val="0"/>
          <w:szCs w:val="21"/>
          <w:highlight w:val="none"/>
          <w:u w:val="single"/>
        </w:rPr>
        <w:t>西安市长安区农村合作经济经营管理站</w:t>
      </w:r>
    </w:p>
    <w:p>
      <w:pPr>
        <w:widowControl/>
        <w:spacing w:line="360" w:lineRule="auto"/>
        <w:ind w:firstLine="422" w:firstLineChars="200"/>
        <w:rPr>
          <w:rFonts w:asciiTheme="minorEastAsia" w:hAnsiTheme="minorEastAsia" w:eastAsiaTheme="minorEastAsia" w:cstheme="minorEastAsia"/>
          <w:b/>
          <w:color w:val="auto"/>
          <w:kern w:val="0"/>
          <w:szCs w:val="21"/>
          <w:highlight w:val="none"/>
          <w:u w:val="single"/>
        </w:rPr>
      </w:pPr>
      <w:r>
        <w:rPr>
          <w:rFonts w:hint="eastAsia" w:asciiTheme="minorEastAsia" w:hAnsiTheme="minorEastAsia" w:eastAsiaTheme="minorEastAsia" w:cstheme="minorEastAsia"/>
          <w:b/>
          <w:color w:val="auto"/>
          <w:kern w:val="0"/>
          <w:szCs w:val="21"/>
          <w:highlight w:val="none"/>
        </w:rPr>
        <w:t>承包人（全称）：</w:t>
      </w:r>
      <w:r>
        <w:rPr>
          <w:rFonts w:hint="eastAsia" w:asciiTheme="minorEastAsia" w:hAnsiTheme="minorEastAsia" w:eastAsiaTheme="minorEastAsia" w:cstheme="minorEastAsia"/>
          <w:b/>
          <w:color w:val="auto"/>
          <w:kern w:val="0"/>
          <w:szCs w:val="21"/>
          <w:highlight w:val="none"/>
          <w:u w:val="single"/>
        </w:rPr>
        <w:t xml:space="preserve">                      </w:t>
      </w:r>
    </w:p>
    <w:p>
      <w:pPr>
        <w:widowControl/>
        <w:spacing w:line="360" w:lineRule="auto"/>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为保证</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kern w:val="0"/>
          <w:szCs w:val="21"/>
          <w:highlight w:val="none"/>
        </w:rPr>
        <w:t>在合理使用期限内正常使用，发包人、承包人协商一致签订工程质量保修书。承包人在质量保修期内按照有关管理规定及各方约定承担工程质量保修责任，发包人在质量保修期内行使发包人的职责。</w:t>
      </w:r>
    </w:p>
    <w:p>
      <w:pPr>
        <w:widowControl/>
        <w:spacing w:line="360" w:lineRule="auto"/>
        <w:ind w:firstLine="422" w:firstLineChars="200"/>
        <w:rPr>
          <w:rFonts w:asciiTheme="minorEastAsia" w:hAnsiTheme="minorEastAsia" w:eastAsiaTheme="minorEastAsia" w:cstheme="minorEastAsia"/>
          <w:b/>
          <w:color w:val="auto"/>
          <w:kern w:val="0"/>
          <w:szCs w:val="21"/>
          <w:highlight w:val="none"/>
        </w:rPr>
      </w:pPr>
      <w:r>
        <w:rPr>
          <w:rFonts w:hint="eastAsia" w:asciiTheme="minorEastAsia" w:hAnsiTheme="minorEastAsia" w:eastAsiaTheme="minorEastAsia" w:cstheme="minorEastAsia"/>
          <w:b/>
          <w:color w:val="auto"/>
          <w:kern w:val="0"/>
          <w:szCs w:val="21"/>
          <w:highlight w:val="none"/>
        </w:rPr>
        <w:t xml:space="preserve">一、工程质量保修范围和内容 </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质量保修范围包括地基基础工程、主体结构工程、屋面防水工程和各方约定的其他土建工程，以及电气管线、上下水管线的安装工程，供热、供冷系统工程、</w:t>
      </w:r>
      <w:r>
        <w:rPr>
          <w:rFonts w:hint="eastAsia" w:asciiTheme="minorEastAsia" w:hAnsiTheme="minorEastAsia" w:eastAsiaTheme="minorEastAsia" w:cstheme="minorEastAsia"/>
          <w:color w:val="auto"/>
          <w:szCs w:val="21"/>
          <w:highlight w:val="none"/>
        </w:rPr>
        <w:t>设备安装，以及双方约定的其他项目</w:t>
      </w:r>
      <w:r>
        <w:rPr>
          <w:rFonts w:hint="eastAsia" w:asciiTheme="minorEastAsia" w:hAnsiTheme="minorEastAsia" w:eastAsiaTheme="minorEastAsia" w:cstheme="minorEastAsia"/>
          <w:color w:val="auto"/>
          <w:kern w:val="0"/>
          <w:szCs w:val="21"/>
          <w:highlight w:val="none"/>
        </w:rPr>
        <w:t xml:space="preserve">。具体质量保修内容各方约定如下： </w:t>
      </w:r>
      <w:r>
        <w:rPr>
          <w:rFonts w:hint="eastAsia" w:asciiTheme="minorEastAsia" w:hAnsiTheme="minorEastAsia" w:eastAsiaTheme="minorEastAsia" w:cstheme="minorEastAsia"/>
          <w:color w:val="auto"/>
          <w:kern w:val="0"/>
          <w:szCs w:val="21"/>
          <w:highlight w:val="none"/>
          <w:u w:val="single"/>
        </w:rPr>
        <w:t>承包范围以内的所有工程。</w:t>
      </w:r>
    </w:p>
    <w:p>
      <w:pPr>
        <w:widowControl/>
        <w:spacing w:line="360" w:lineRule="auto"/>
        <w:ind w:firstLine="422" w:firstLineChars="200"/>
        <w:rPr>
          <w:rFonts w:asciiTheme="minorEastAsia" w:hAnsiTheme="minorEastAsia" w:eastAsiaTheme="minorEastAsia" w:cstheme="minorEastAsia"/>
          <w:b/>
          <w:color w:val="auto"/>
          <w:kern w:val="0"/>
          <w:szCs w:val="21"/>
          <w:highlight w:val="none"/>
        </w:rPr>
      </w:pPr>
      <w:r>
        <w:rPr>
          <w:rFonts w:hint="eastAsia" w:asciiTheme="minorEastAsia" w:hAnsiTheme="minorEastAsia" w:eastAsiaTheme="minorEastAsia" w:cstheme="minorEastAsia"/>
          <w:b/>
          <w:color w:val="auto"/>
          <w:kern w:val="0"/>
          <w:szCs w:val="21"/>
          <w:highlight w:val="none"/>
        </w:rPr>
        <w:t xml:space="preserve">二、质量保修期 </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质量保修期自</w:t>
      </w:r>
      <w:r>
        <w:rPr>
          <w:rFonts w:hint="eastAsia" w:asciiTheme="minorEastAsia" w:hAnsiTheme="minorEastAsia" w:eastAsiaTheme="minorEastAsia" w:cstheme="minorEastAsia"/>
          <w:color w:val="auto"/>
          <w:kern w:val="0"/>
          <w:szCs w:val="21"/>
          <w:highlight w:val="none"/>
          <w:u w:val="single"/>
        </w:rPr>
        <w:t>工程竣工验收合格、发包人代表在最终验收记录上签字的报验之日</w:t>
      </w:r>
      <w:r>
        <w:rPr>
          <w:rFonts w:hint="eastAsia" w:asciiTheme="minorEastAsia" w:hAnsiTheme="minorEastAsia" w:eastAsiaTheme="minorEastAsia" w:cstheme="minorEastAsia"/>
          <w:color w:val="auto"/>
          <w:kern w:val="0"/>
          <w:szCs w:val="21"/>
          <w:highlight w:val="none"/>
        </w:rPr>
        <w:t>起计算。分单项竣工验收的工程，按单项工程分别计算质量保修期。</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 xml:space="preserve">各方根据《建设工程质量管理条例》及国家有关规定，结合具体工程约定质量保修期如下： </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1、地基基础工程和主体结构工程为设计文件规定的该工程合理使用年限，本工程设计合理使用年限为</w:t>
      </w:r>
      <w:r>
        <w:rPr>
          <w:rFonts w:hint="eastAsia" w:asciiTheme="minorEastAsia" w:hAnsiTheme="minorEastAsia" w:eastAsiaTheme="minorEastAsia" w:cstheme="minorEastAsia"/>
          <w:color w:val="auto"/>
          <w:kern w:val="0"/>
          <w:szCs w:val="21"/>
          <w:highlight w:val="none"/>
          <w:u w:val="single"/>
        </w:rPr>
        <w:t>   </w:t>
      </w:r>
      <w:r>
        <w:rPr>
          <w:rFonts w:hint="eastAsia" w:asciiTheme="minorEastAsia" w:hAnsiTheme="minorEastAsia" w:eastAsiaTheme="minorEastAsia" w:cstheme="minorEastAsia"/>
          <w:color w:val="auto"/>
          <w:kern w:val="0"/>
          <w:szCs w:val="21"/>
          <w:highlight w:val="none"/>
        </w:rPr>
        <w:t>年；</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2、其他项目保修期限约定如下：</w:t>
      </w:r>
      <w:r>
        <w:rPr>
          <w:rFonts w:hint="eastAsia" w:asciiTheme="minorEastAsia" w:hAnsiTheme="minorEastAsia" w:eastAsiaTheme="minorEastAsia" w:cstheme="minorEastAsia"/>
          <w:color w:val="auto"/>
          <w:kern w:val="0"/>
          <w:szCs w:val="21"/>
          <w:highlight w:val="none"/>
          <w:u w:val="single"/>
        </w:rPr>
        <w:t xml:space="preserve">     。</w:t>
      </w:r>
    </w:p>
    <w:p>
      <w:pPr>
        <w:widowControl/>
        <w:spacing w:line="360" w:lineRule="auto"/>
        <w:ind w:firstLine="422" w:firstLineChars="200"/>
        <w:rPr>
          <w:rFonts w:asciiTheme="minorEastAsia" w:hAnsiTheme="minorEastAsia" w:eastAsiaTheme="minorEastAsia" w:cstheme="minorEastAsia"/>
          <w:b/>
          <w:color w:val="auto"/>
          <w:kern w:val="0"/>
          <w:szCs w:val="21"/>
          <w:highlight w:val="none"/>
        </w:rPr>
      </w:pPr>
      <w:r>
        <w:rPr>
          <w:rFonts w:hint="eastAsia" w:asciiTheme="minorEastAsia" w:hAnsiTheme="minorEastAsia" w:eastAsiaTheme="minorEastAsia" w:cstheme="minorEastAsia"/>
          <w:b/>
          <w:color w:val="auto"/>
          <w:kern w:val="0"/>
          <w:szCs w:val="21"/>
          <w:highlight w:val="none"/>
        </w:rPr>
        <w:t>三、质量保修责任</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 xml:space="preserve">1、属于保修范围和内容的项目，承包人应在接到修理通知之日后7天内派人修理。承包人不在约定期限内派人修理，发包人可委托其他人员修理，费用从质量保修金内扣除。 </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 xml:space="preserve">2、发生须紧急抢修事故（如上水跑水、暖气漏水漏气、燃气漏气等），承包人接到事故通知后，应立即到达事故现场抢修。非承包人施工质量引起的事故，抢修费用由发包人承担。 </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 xml:space="preserve">3、在国家规定的工程合理使用期限内，承包人确保地基基础工程和主体结构的质量。因承包人原因致使工程在合理使用期限内造成人身和财产损害的，承包人应承担损害赔偿责任。 </w:t>
      </w:r>
    </w:p>
    <w:p>
      <w:pPr>
        <w:widowControl/>
        <w:spacing w:line="360" w:lineRule="auto"/>
        <w:ind w:firstLine="422" w:firstLineChars="200"/>
        <w:rPr>
          <w:rFonts w:asciiTheme="minorEastAsia" w:hAnsiTheme="minorEastAsia" w:eastAsiaTheme="minorEastAsia" w:cstheme="minorEastAsia"/>
          <w:b/>
          <w:color w:val="auto"/>
          <w:kern w:val="0"/>
          <w:szCs w:val="21"/>
          <w:highlight w:val="none"/>
        </w:rPr>
      </w:pPr>
      <w:r>
        <w:rPr>
          <w:rFonts w:hint="eastAsia" w:asciiTheme="minorEastAsia" w:hAnsiTheme="minorEastAsia" w:eastAsiaTheme="minorEastAsia" w:cstheme="minorEastAsia"/>
          <w:b/>
          <w:color w:val="auto"/>
          <w:kern w:val="0"/>
          <w:szCs w:val="21"/>
          <w:highlight w:val="none"/>
        </w:rPr>
        <w:t>四、</w:t>
      </w:r>
      <w:r>
        <w:rPr>
          <w:rFonts w:hint="eastAsia" w:asciiTheme="minorEastAsia" w:hAnsiTheme="minorEastAsia" w:eastAsiaTheme="minorEastAsia" w:cstheme="minorEastAsia"/>
          <w:bCs/>
          <w:color w:val="auto"/>
          <w:kern w:val="0"/>
          <w:szCs w:val="21"/>
          <w:highlight w:val="none"/>
        </w:rPr>
        <w:t>本工程质量保修金执行专用条款第38条约定。</w:t>
      </w:r>
    </w:p>
    <w:p>
      <w:pPr>
        <w:widowControl/>
        <w:spacing w:line="360" w:lineRule="auto"/>
        <w:ind w:firstLine="422" w:firstLineChars="200"/>
        <w:rPr>
          <w:rFonts w:asciiTheme="minorEastAsia" w:hAnsiTheme="minorEastAsia" w:eastAsiaTheme="minorEastAsia" w:cstheme="minorEastAsia"/>
          <w:b/>
          <w:color w:val="auto"/>
          <w:kern w:val="0"/>
          <w:szCs w:val="21"/>
          <w:highlight w:val="none"/>
        </w:rPr>
      </w:pPr>
      <w:r>
        <w:rPr>
          <w:rFonts w:hint="eastAsia" w:asciiTheme="minorEastAsia" w:hAnsiTheme="minorEastAsia" w:eastAsiaTheme="minorEastAsia" w:cstheme="minorEastAsia"/>
          <w:b/>
          <w:color w:val="auto"/>
          <w:kern w:val="0"/>
          <w:szCs w:val="21"/>
          <w:highlight w:val="none"/>
        </w:rPr>
        <w:t xml:space="preserve">五、其他 </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各方约定的其他工程质量保修事项：</w:t>
      </w:r>
      <w:r>
        <w:rPr>
          <w:rFonts w:hint="eastAsia" w:asciiTheme="minorEastAsia" w:hAnsiTheme="minorEastAsia" w:eastAsiaTheme="minorEastAsia" w:cstheme="minorEastAsia"/>
          <w:color w:val="auto"/>
          <w:kern w:val="0"/>
          <w:szCs w:val="21"/>
          <w:highlight w:val="none"/>
          <w:u w:val="single"/>
        </w:rPr>
        <w:t xml:space="preserve">  无     </w:t>
      </w:r>
      <w:r>
        <w:rPr>
          <w:rFonts w:hint="eastAsia" w:asciiTheme="minorEastAsia" w:hAnsiTheme="minorEastAsia" w:eastAsiaTheme="minorEastAsia" w:cstheme="minorEastAsia"/>
          <w:color w:val="auto"/>
          <w:szCs w:val="21"/>
          <w:highlight w:val="none"/>
        </w:rPr>
        <w:t>。</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本工程质量保修作书为施工合同的附件，由施工合同发包人、承包人共同签订。</w:t>
      </w: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p>
    <w:p>
      <w:pPr>
        <w:widowControl/>
        <w:spacing w:line="360" w:lineRule="auto"/>
        <w:ind w:firstLine="420" w:firstLineChars="200"/>
        <w:jc w:val="center"/>
        <w:rPr>
          <w:rFonts w:asciiTheme="minorEastAsia" w:hAnsiTheme="minorEastAsia" w:eastAsiaTheme="minorEastAsia" w:cstheme="minorEastAsia"/>
          <w:color w:val="auto"/>
          <w:kern w:val="0"/>
          <w:szCs w:val="21"/>
          <w:highlight w:val="none"/>
        </w:rPr>
      </w:pPr>
    </w:p>
    <w:p>
      <w:pPr>
        <w:widowControl/>
        <w:spacing w:line="360" w:lineRule="auto"/>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发包人（盖章）：                          承包人（盖章）：</w:t>
      </w:r>
    </w:p>
    <w:p>
      <w:pPr>
        <w:widowControl/>
        <w:spacing w:line="360" w:lineRule="auto"/>
        <w:ind w:firstLine="315" w:firstLineChars="150"/>
        <w:rPr>
          <w:rFonts w:asciiTheme="minorEastAsia" w:hAnsiTheme="minorEastAsia" w:eastAsiaTheme="minorEastAsia" w:cstheme="minorEastAsia"/>
          <w:color w:val="auto"/>
          <w:kern w:val="0"/>
          <w:szCs w:val="21"/>
          <w:highlight w:val="none"/>
        </w:rPr>
      </w:pPr>
    </w:p>
    <w:p>
      <w:pPr>
        <w:widowControl/>
        <w:spacing w:line="360" w:lineRule="auto"/>
        <w:ind w:firstLine="315" w:firstLineChars="15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法定代表人（签字或盖章）：__________       法定代表人（签字或盖章）：___________</w:t>
      </w:r>
    </w:p>
    <w:p>
      <w:pPr>
        <w:widowControl/>
        <w:spacing w:line="360" w:lineRule="auto"/>
        <w:jc w:val="center"/>
        <w:rPr>
          <w:rFonts w:asciiTheme="minorEastAsia" w:hAnsiTheme="minorEastAsia" w:eastAsiaTheme="minorEastAsia" w:cstheme="minorEastAsia"/>
          <w:color w:val="auto"/>
          <w:kern w:val="0"/>
          <w:szCs w:val="21"/>
          <w:highlight w:val="none"/>
        </w:rPr>
      </w:pPr>
    </w:p>
    <w:p>
      <w:pPr>
        <w:widowControl/>
        <w:spacing w:line="360" w:lineRule="auto"/>
        <w:ind w:firstLine="420"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kern w:val="0"/>
          <w:szCs w:val="21"/>
          <w:highlight w:val="none"/>
        </w:rPr>
        <w:t xml:space="preserve">     年     月    日                            年    月     日</w:t>
      </w:r>
    </w:p>
    <w:p>
      <w:pPr>
        <w:widowControl/>
        <w:spacing w:line="360" w:lineRule="auto"/>
        <w:rPr>
          <w:rFonts w:asciiTheme="minorEastAsia" w:hAnsiTheme="minorEastAsia" w:eastAsiaTheme="minorEastAsia" w:cstheme="minorEastAsia"/>
          <w:b/>
          <w:color w:val="auto"/>
          <w:sz w:val="24"/>
          <w:highlight w:val="none"/>
        </w:rPr>
      </w:pPr>
    </w:p>
    <w:p>
      <w:pPr>
        <w:widowControl/>
        <w:spacing w:line="360" w:lineRule="auto"/>
        <w:rPr>
          <w:rFonts w:asciiTheme="minorEastAsia" w:hAnsiTheme="minorEastAsia" w:eastAsiaTheme="minorEastAsia" w:cstheme="minorEastAsia"/>
          <w:b/>
          <w:color w:val="auto"/>
          <w:sz w:val="24"/>
          <w:highlight w:val="none"/>
        </w:rPr>
      </w:pPr>
    </w:p>
    <w:p>
      <w:pPr>
        <w:widowControl/>
        <w:spacing w:line="360" w:lineRule="auto"/>
        <w:rPr>
          <w:rFonts w:asciiTheme="minorEastAsia" w:hAnsiTheme="minorEastAsia" w:eastAsiaTheme="minorEastAsia" w:cstheme="minorEastAsia"/>
          <w:b/>
          <w:color w:val="auto"/>
          <w:sz w:val="24"/>
          <w:highlight w:val="none"/>
        </w:rPr>
      </w:pPr>
    </w:p>
    <w:p>
      <w:pPr>
        <w:widowControl/>
        <w:spacing w:line="360" w:lineRule="auto"/>
        <w:rPr>
          <w:rFonts w:asciiTheme="minorEastAsia" w:hAnsiTheme="minorEastAsia" w:eastAsiaTheme="minorEastAsia" w:cstheme="minorEastAsia"/>
          <w:b/>
          <w:color w:val="auto"/>
          <w:sz w:val="24"/>
          <w:highlight w:val="none"/>
        </w:rPr>
      </w:pPr>
    </w:p>
    <w:p>
      <w:pPr>
        <w:rPr>
          <w:rFonts w:asciiTheme="minorEastAsia" w:hAnsiTheme="minorEastAsia" w:eastAsiaTheme="minorEastAsia" w:cstheme="minorEastAsia"/>
          <w:color w:val="auto"/>
          <w:sz w:val="28"/>
          <w:szCs w:val="21"/>
          <w:highlight w:val="none"/>
        </w:rPr>
      </w:pPr>
      <w:r>
        <w:rPr>
          <w:rFonts w:hint="eastAsia" w:asciiTheme="minorEastAsia" w:hAnsiTheme="minorEastAsia" w:eastAsiaTheme="minorEastAsia" w:cstheme="minorEastAsia"/>
          <w:color w:val="auto"/>
          <w:sz w:val="28"/>
          <w:szCs w:val="21"/>
          <w:highlight w:val="none"/>
        </w:rPr>
        <w:br w:type="page"/>
      </w:r>
    </w:p>
    <w:p>
      <w:pPr>
        <w:pStyle w:val="4"/>
        <w:tabs>
          <w:tab w:val="left" w:pos="4270"/>
        </w:tabs>
        <w:spacing w:line="360" w:lineRule="auto"/>
        <w:jc w:val="center"/>
        <w:rPr>
          <w:rFonts w:asciiTheme="minorEastAsia" w:hAnsiTheme="minorEastAsia" w:eastAsiaTheme="minorEastAsia" w:cstheme="minorEastAsia"/>
          <w:color w:val="auto"/>
          <w:sz w:val="28"/>
          <w:szCs w:val="21"/>
          <w:highlight w:val="none"/>
        </w:rPr>
      </w:pPr>
      <w:r>
        <w:rPr>
          <w:rFonts w:hint="eastAsia" w:asciiTheme="minorEastAsia" w:hAnsiTheme="minorEastAsia" w:eastAsiaTheme="minorEastAsia" w:cstheme="minorEastAsia"/>
          <w:color w:val="auto"/>
          <w:sz w:val="28"/>
          <w:szCs w:val="21"/>
          <w:highlight w:val="none"/>
        </w:rPr>
        <w:t>附件4  工程项目廉政承诺书</w:t>
      </w:r>
    </w:p>
    <w:p>
      <w:pPr>
        <w:adjustRightInd w:val="0"/>
        <w:snapToGrid w:val="0"/>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为加强对工程项目管理，预防腐败现象的发生，规范工程建设项目承包单位、发包单位单位等的各项活动，防止各种谋取不正当利益的违法乱纪行为，保护国家、集体和当事人的合法权益并确保合同能够得到高效、严格的履行，根据工程建设和廉政建设的有关规定，</w:t>
      </w:r>
      <w:r>
        <w:rPr>
          <w:rFonts w:hint="eastAsia" w:asciiTheme="minorEastAsia" w:hAnsiTheme="minorEastAsia" w:eastAsiaTheme="minorEastAsia" w:cstheme="minorEastAsia"/>
          <w:color w:val="auto"/>
          <w:szCs w:val="21"/>
          <w:highlight w:val="none"/>
          <w:u w:val="single"/>
        </w:rPr>
        <w:t>西安市长安区农村合作经济经营管理站</w:t>
      </w:r>
      <w:r>
        <w:rPr>
          <w:rFonts w:hint="eastAsia" w:asciiTheme="minorEastAsia" w:hAnsiTheme="minorEastAsia" w:eastAsiaTheme="minorEastAsia" w:cstheme="minorEastAsia"/>
          <w:color w:val="auto"/>
          <w:szCs w:val="21"/>
          <w:highlight w:val="none"/>
        </w:rPr>
        <w:t xml:space="preserve"> (以下简称发包方)与</w:t>
      </w:r>
      <w:r>
        <w:rPr>
          <w:rFonts w:hint="eastAsia" w:asciiTheme="minorEastAsia" w:hAnsiTheme="minorEastAsia" w:eastAsiaTheme="minorEastAsia" w:cstheme="minorEastAsia"/>
          <w:b/>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(以下简称承包方)，特签订本廉政承诺书</w:t>
      </w:r>
    </w:p>
    <w:p>
      <w:pPr>
        <w:pStyle w:val="27"/>
        <w:tabs>
          <w:tab w:val="left" w:pos="6660"/>
        </w:tabs>
        <w:snapToGrid w:val="0"/>
        <w:spacing w:line="44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发包方与承包方双方的权利和义务</w:t>
      </w:r>
    </w:p>
    <w:p>
      <w:pPr>
        <w:pStyle w:val="27"/>
        <w:tabs>
          <w:tab w:val="left" w:pos="6660"/>
        </w:tabs>
        <w:snapToGrid w:val="0"/>
        <w:spacing w:line="44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双方同意并声明，在业务活动中：</w:t>
      </w:r>
    </w:p>
    <w:p>
      <w:pPr>
        <w:pStyle w:val="27"/>
        <w:tabs>
          <w:tab w:val="left" w:pos="6660"/>
        </w:tabs>
        <w:snapToGrid w:val="0"/>
        <w:spacing w:line="44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(一)严格、自觉的遵守和执行国家关于市场准入、工程建设、和市场活动的有关法律、法规、相关政策以及党和国家关于党风廉政建设的各项规定。严格执行经济合同文件，执行工程建设管理制度。</w:t>
      </w:r>
    </w:p>
    <w:p>
      <w:pPr>
        <w:pStyle w:val="27"/>
        <w:tabs>
          <w:tab w:val="left" w:pos="6660"/>
        </w:tabs>
        <w:snapToGrid w:val="0"/>
        <w:spacing w:line="44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(二)双方的业务活动坚持公开、公正、诚信的原则(除法律认定的商业秘密和合同文件另有规定之外)，严格、自觉按照合同办事，不得损害国家和甲乙双方的利益。</w:t>
      </w:r>
    </w:p>
    <w:p>
      <w:pPr>
        <w:pStyle w:val="27"/>
        <w:tabs>
          <w:tab w:val="left" w:pos="6660"/>
        </w:tabs>
        <w:snapToGrid w:val="0"/>
        <w:spacing w:line="44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三)认真落实党风廉政建设责任制，按照谁主管谁负责的原则，建立和健全廉政制度，经常开展廉政教育，加强对本单位工作人员职务行为的监督和管理，加强其廉政意识、守法意识和守约意识。实行重大工程廉政承诺，并认真监督查处违法违纪行为。</w:t>
      </w:r>
    </w:p>
    <w:p>
      <w:pPr>
        <w:pStyle w:val="27"/>
        <w:tabs>
          <w:tab w:val="left" w:pos="6660"/>
        </w:tabs>
        <w:snapToGrid w:val="0"/>
        <w:spacing w:line="44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(四)倡导相互监督，发现对方在业务活动中有违反廉政规定行为的，有及时提醒对方纠正的权利和义务。发现对方违反承诺条款的，有向其上级有关部门举报并要求告知处理结果的权利。</w:t>
      </w:r>
    </w:p>
    <w:p>
      <w:pPr>
        <w:pStyle w:val="27"/>
        <w:tabs>
          <w:tab w:val="left" w:pos="6660"/>
        </w:tabs>
        <w:snapToGrid w:val="0"/>
        <w:spacing w:line="44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(五)不以损害国家、集体或第三人利益为代价获取不正当的利益。</w:t>
      </w:r>
    </w:p>
    <w:p>
      <w:pPr>
        <w:pStyle w:val="27"/>
        <w:tabs>
          <w:tab w:val="left" w:pos="6660"/>
        </w:tabs>
        <w:snapToGrid w:val="0"/>
        <w:spacing w:line="44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发包方的承诺</w:t>
      </w:r>
    </w:p>
    <w:p>
      <w:pPr>
        <w:pStyle w:val="27"/>
        <w:tabs>
          <w:tab w:val="left" w:pos="6660"/>
        </w:tabs>
        <w:snapToGrid w:val="0"/>
        <w:spacing w:line="44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发包方工作人员在工程建设中应遵守如下规定：</w:t>
      </w:r>
    </w:p>
    <w:p>
      <w:pPr>
        <w:pStyle w:val="27"/>
        <w:tabs>
          <w:tab w:val="left" w:pos="6660"/>
        </w:tabs>
        <w:snapToGrid w:val="0"/>
        <w:spacing w:line="44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(一)不得索要或接受乙方钱物(现金、有价证券、信用卡、礼金、奖金、补贴、物品等)，不得在承包方报销任何应由发包方或个人支付的费用。</w:t>
      </w:r>
    </w:p>
    <w:p>
      <w:pPr>
        <w:pStyle w:val="27"/>
        <w:tabs>
          <w:tab w:val="left" w:pos="6660"/>
        </w:tabs>
        <w:snapToGrid w:val="0"/>
        <w:spacing w:line="44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(二)不得接受承包方安排的可能影响公务的住宿、宴请娱乐及出国（境）、旅游观光活动；不得接受承包方提供的合同规定外的通讯工具、交通工具和高档办公用品等。</w:t>
      </w:r>
    </w:p>
    <w:p>
      <w:pPr>
        <w:pStyle w:val="27"/>
        <w:tabs>
          <w:tab w:val="left" w:pos="6660"/>
        </w:tabs>
        <w:snapToGrid w:val="0"/>
        <w:spacing w:line="44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(三)不得要求或者接受承包方为其及家庭成员在住房装修、婚丧嫁娶、配偶子女的工作安排及出国、出境、旅游等方面提供方便。</w:t>
      </w:r>
    </w:p>
    <w:p>
      <w:pPr>
        <w:pStyle w:val="27"/>
        <w:tabs>
          <w:tab w:val="left" w:pos="6660"/>
        </w:tabs>
        <w:snapToGrid w:val="0"/>
        <w:spacing w:line="44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(四)工作人员及其配偶、子女、亲属不得从事与工程有关的材料设备供应、工程分包、劳务等经济活动。</w:t>
      </w:r>
    </w:p>
    <w:p>
      <w:pPr>
        <w:pStyle w:val="27"/>
        <w:tabs>
          <w:tab w:val="left" w:pos="6660"/>
        </w:tabs>
        <w:snapToGrid w:val="0"/>
        <w:spacing w:line="44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(五)不得为获取承包方回扣或其他谋取私利而多签或多算工程量、多结工程款；不得从承包方承包的工程中收受回扣，谋取私利。</w:t>
      </w:r>
    </w:p>
    <w:p>
      <w:pPr>
        <w:pStyle w:val="27"/>
        <w:tabs>
          <w:tab w:val="left" w:pos="6660"/>
        </w:tabs>
        <w:snapToGrid w:val="0"/>
        <w:spacing w:line="44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(六)不得因承包方拒绝本人的不合理要求，而故意刁难承包方。</w:t>
      </w:r>
    </w:p>
    <w:p>
      <w:pPr>
        <w:pStyle w:val="27"/>
        <w:tabs>
          <w:tab w:val="left" w:pos="6660"/>
        </w:tabs>
        <w:snapToGrid w:val="0"/>
        <w:spacing w:line="44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(七)其它有关违反廉政规定的行为。</w:t>
      </w:r>
    </w:p>
    <w:p>
      <w:pPr>
        <w:pStyle w:val="27"/>
        <w:tabs>
          <w:tab w:val="left" w:pos="6660"/>
        </w:tabs>
        <w:snapToGrid w:val="0"/>
        <w:spacing w:line="44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承包方的承诺</w:t>
      </w:r>
    </w:p>
    <w:p>
      <w:pPr>
        <w:pStyle w:val="27"/>
        <w:tabs>
          <w:tab w:val="left" w:pos="6660"/>
        </w:tabs>
        <w:snapToGrid w:val="0"/>
        <w:spacing w:line="44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承包方应与发包方保持正常的业务来往，按照有关法律、法规和工作程序开展业务工作并遵守以下规定：</w:t>
      </w:r>
    </w:p>
    <w:p>
      <w:pPr>
        <w:pStyle w:val="27"/>
        <w:tabs>
          <w:tab w:val="left" w:pos="6660"/>
        </w:tabs>
        <w:snapToGrid w:val="0"/>
        <w:spacing w:line="44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(一)不得以任何理由向发包方赠送钱物(现金、有价证券、信用卡、礼金、奖金、补贴、物品等)。</w:t>
      </w:r>
    </w:p>
    <w:p>
      <w:pPr>
        <w:pStyle w:val="27"/>
        <w:tabs>
          <w:tab w:val="left" w:pos="6660"/>
        </w:tabs>
        <w:snapToGrid w:val="0"/>
        <w:spacing w:line="44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(二)不得以任何名义为发包方报销应由发包方或个人支付的任何费用。</w:t>
      </w:r>
    </w:p>
    <w:p>
      <w:pPr>
        <w:pStyle w:val="27"/>
        <w:tabs>
          <w:tab w:val="left" w:pos="6660"/>
        </w:tabs>
        <w:snapToGrid w:val="0"/>
        <w:spacing w:line="44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(三)不准以任何理由为发包方和其它相关单位及其工作人员提供有可能影响执行公务的宴请、健身和娱乐等活动。</w:t>
      </w:r>
    </w:p>
    <w:p>
      <w:pPr>
        <w:pStyle w:val="27"/>
        <w:tabs>
          <w:tab w:val="left" w:pos="6660"/>
        </w:tabs>
        <w:snapToGrid w:val="0"/>
        <w:spacing w:line="44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(四)坚决执行国家及行业有关法规法令，严格履行职责，忠于职守，严格把关，对自己签认的各种工程质量数据终身负责。</w:t>
      </w:r>
    </w:p>
    <w:p>
      <w:pPr>
        <w:pStyle w:val="27"/>
        <w:tabs>
          <w:tab w:val="left" w:pos="6660"/>
        </w:tabs>
        <w:snapToGrid w:val="0"/>
        <w:spacing w:line="44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(五)不利用职权安排直系亲属及主要社会关系在自己管理项目内工作。</w:t>
      </w:r>
    </w:p>
    <w:p>
      <w:pPr>
        <w:pStyle w:val="27"/>
        <w:tabs>
          <w:tab w:val="left" w:pos="6660"/>
        </w:tabs>
        <w:snapToGrid w:val="0"/>
        <w:spacing w:line="44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(六)不接受、索要承包方的礼金、加班费、有价证券和贵重礼品，不在承包方报销任何票据。</w:t>
      </w:r>
    </w:p>
    <w:p>
      <w:pPr>
        <w:pStyle w:val="27"/>
        <w:tabs>
          <w:tab w:val="left" w:pos="6660"/>
        </w:tabs>
        <w:snapToGrid w:val="0"/>
        <w:spacing w:line="44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(七)不利用职权向承包方介绍施工设备、材料及供应商。</w:t>
      </w:r>
    </w:p>
    <w:p>
      <w:pPr>
        <w:pStyle w:val="27"/>
        <w:tabs>
          <w:tab w:val="left" w:pos="6660"/>
        </w:tabs>
        <w:snapToGrid w:val="0"/>
        <w:spacing w:line="44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(八)不向承包方介绍工程分包人和参与工程分包。</w:t>
      </w:r>
    </w:p>
    <w:p>
      <w:pPr>
        <w:pStyle w:val="27"/>
        <w:tabs>
          <w:tab w:val="left" w:pos="6660"/>
        </w:tabs>
        <w:snapToGrid w:val="0"/>
        <w:spacing w:line="44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(九)在工程工序交验过程当中不故意刁难承包方，严格按照合同文件及上级的要求报验，做到公正、合法。</w:t>
      </w:r>
    </w:p>
    <w:p>
      <w:pPr>
        <w:pStyle w:val="27"/>
        <w:tabs>
          <w:tab w:val="left" w:pos="6660"/>
        </w:tabs>
        <w:snapToGrid w:val="0"/>
        <w:spacing w:line="44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(十)不参加承包方及相关单位邀请的影响公正执业的各种宴请和娱乐活动。</w:t>
      </w:r>
    </w:p>
    <w:p>
      <w:pPr>
        <w:pStyle w:val="27"/>
        <w:tabs>
          <w:tab w:val="left" w:pos="6660"/>
        </w:tabs>
        <w:snapToGrid w:val="0"/>
        <w:spacing w:line="44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(十一)验工计价时不利用职权故意克扣承包方。</w:t>
      </w:r>
    </w:p>
    <w:p>
      <w:pPr>
        <w:pStyle w:val="27"/>
        <w:tabs>
          <w:tab w:val="left" w:pos="6660"/>
        </w:tabs>
        <w:snapToGrid w:val="0"/>
        <w:spacing w:line="44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(十二)不利用职权要求承包方提供合同以外服务。</w:t>
      </w:r>
    </w:p>
    <w:p>
      <w:pPr>
        <w:pStyle w:val="27"/>
        <w:tabs>
          <w:tab w:val="left" w:pos="6660"/>
        </w:tabs>
        <w:snapToGrid w:val="0"/>
        <w:spacing w:line="44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(十三)对于工程数量符合、变更等，公正实事求是地进行处理，即不损害发包方的利益又能使承包方的利益不受到侵害。</w:t>
      </w:r>
    </w:p>
    <w:p>
      <w:pPr>
        <w:pStyle w:val="27"/>
        <w:tabs>
          <w:tab w:val="left" w:pos="6660"/>
        </w:tabs>
        <w:snapToGrid w:val="0"/>
        <w:spacing w:line="44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(十四)不准接受或暗示为发包方和其它相关单位及其工作人员装修房屋、婚丧嫁娶、配偶子女的工作安排以及出国（境）、旅游观光活动提供方便。</w:t>
      </w:r>
    </w:p>
    <w:p>
      <w:pPr>
        <w:pStyle w:val="27"/>
        <w:tabs>
          <w:tab w:val="left" w:pos="6660"/>
        </w:tabs>
        <w:snapToGrid w:val="0"/>
        <w:spacing w:line="44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(十五)不准利用黄、赌、贿等各种手段拉拢腐蚀发包方工作人员。</w:t>
      </w:r>
    </w:p>
    <w:p>
      <w:pPr>
        <w:pStyle w:val="27"/>
        <w:tabs>
          <w:tab w:val="left" w:pos="6660"/>
        </w:tabs>
        <w:snapToGrid w:val="0"/>
        <w:spacing w:line="44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(七)其它有关违反廉政规定的行为。</w:t>
      </w:r>
    </w:p>
    <w:p>
      <w:pPr>
        <w:pStyle w:val="27"/>
        <w:tabs>
          <w:tab w:val="left" w:pos="6660"/>
        </w:tabs>
        <w:snapToGrid w:val="0"/>
        <w:spacing w:line="44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责任追究</w:t>
      </w:r>
    </w:p>
    <w:p>
      <w:pPr>
        <w:pStyle w:val="27"/>
        <w:tabs>
          <w:tab w:val="left" w:pos="6660"/>
        </w:tabs>
        <w:snapToGrid w:val="0"/>
        <w:spacing w:line="44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一)发包方若违反本承诺规定，按照干部管理权限，依据《中国共产党党内纪律处分条例》、《中华人民共和国公务员法》，属于一般错误的，对其实施警示训诫；违纪违规的，给予党纪、政纪处分；涉嫌犯罪的，移交司法机关追究刑事责任。</w:t>
      </w:r>
    </w:p>
    <w:p>
      <w:pPr>
        <w:pStyle w:val="27"/>
        <w:tabs>
          <w:tab w:val="left" w:pos="6660"/>
        </w:tabs>
        <w:snapToGrid w:val="0"/>
        <w:spacing w:line="44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(二)承包方若违反本承诺规定，发包方有权要求承包方对责任人进行处理。情节严重的，限制承包方不得进入西安市工程建设市场；在新闻媒体曝光并报承包方上级或行业主管部门。</w:t>
      </w:r>
    </w:p>
    <w:p>
      <w:pPr>
        <w:pStyle w:val="27"/>
        <w:tabs>
          <w:tab w:val="left" w:pos="6660"/>
        </w:tabs>
        <w:snapToGrid w:val="0"/>
        <w:spacing w:line="44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本承诺书由双方单位或上级主管单位的纪检、监察部门负责监督执行。</w:t>
      </w:r>
    </w:p>
    <w:p>
      <w:pPr>
        <w:pStyle w:val="27"/>
        <w:tabs>
          <w:tab w:val="left" w:pos="6660"/>
        </w:tabs>
        <w:snapToGrid w:val="0"/>
        <w:spacing w:line="44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本合同作为工程施工合同的组成部分，双方签字盖章或盖章后即生效，有效期为双方签署之日起至该工程项目竣工验收合格并办理完毕工程结算时止。</w:t>
      </w:r>
    </w:p>
    <w:p>
      <w:pPr>
        <w:pStyle w:val="27"/>
        <w:tabs>
          <w:tab w:val="left" w:pos="6660"/>
        </w:tabs>
        <w:snapToGrid w:val="0"/>
        <w:spacing w:line="44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（以下无正文）</w:t>
      </w:r>
    </w:p>
    <w:p>
      <w:pPr>
        <w:adjustRightInd w:val="0"/>
        <w:snapToGrid w:val="0"/>
        <w:spacing w:line="360" w:lineRule="auto"/>
        <w:rPr>
          <w:rFonts w:asciiTheme="minorEastAsia" w:hAnsiTheme="minorEastAsia" w:eastAsiaTheme="minorEastAsia" w:cstheme="minorEastAsia"/>
          <w:b/>
          <w:color w:val="auto"/>
          <w:szCs w:val="21"/>
          <w:highlight w:val="none"/>
          <w:u w:val="single"/>
        </w:rPr>
      </w:pPr>
      <w:r>
        <w:rPr>
          <w:rFonts w:hint="eastAsia" w:asciiTheme="minorEastAsia" w:hAnsiTheme="minorEastAsia" w:eastAsiaTheme="minorEastAsia" w:cstheme="minorEastAsia"/>
          <w:color w:val="auto"/>
          <w:szCs w:val="21"/>
          <w:highlight w:val="none"/>
        </w:rPr>
        <w:t>甲方名称：西安市长安区农村合作经济经营管理站</w:t>
      </w:r>
      <w:r>
        <w:rPr>
          <w:rFonts w:hint="eastAsia" w:asciiTheme="minorEastAsia" w:hAnsiTheme="minorEastAsia" w:eastAsiaTheme="minorEastAsia" w:cstheme="minorEastAsia"/>
          <w:b/>
          <w:color w:val="auto"/>
          <w:szCs w:val="21"/>
          <w:highlight w:val="none"/>
        </w:rPr>
        <w:t xml:space="preserve"> </w:t>
      </w:r>
      <w:r>
        <w:rPr>
          <w:rFonts w:hint="eastAsia" w:asciiTheme="minorEastAsia" w:hAnsiTheme="minorEastAsia" w:eastAsiaTheme="minorEastAsia" w:cstheme="minorEastAsia"/>
          <w:color w:val="auto"/>
          <w:szCs w:val="21"/>
          <w:highlight w:val="none"/>
        </w:rPr>
        <w:t>（盖章）</w:t>
      </w:r>
      <w:r>
        <w:rPr>
          <w:rFonts w:hint="eastAsia" w:asciiTheme="minorEastAsia" w:hAnsiTheme="minorEastAsia" w:eastAsiaTheme="minorEastAsia" w:cstheme="minorEastAsia"/>
          <w:b/>
          <w:color w:val="auto"/>
          <w:szCs w:val="21"/>
          <w:highlight w:val="none"/>
        </w:rPr>
        <w:t xml:space="preserve">   </w:t>
      </w:r>
      <w:r>
        <w:rPr>
          <w:rFonts w:hint="eastAsia" w:asciiTheme="minorEastAsia" w:hAnsiTheme="minorEastAsia" w:eastAsiaTheme="minorEastAsia" w:cstheme="minorEastAsia"/>
          <w:color w:val="auto"/>
          <w:szCs w:val="21"/>
          <w:highlight w:val="none"/>
        </w:rPr>
        <w:t>乙方名称：               （盖章）</w:t>
      </w:r>
    </w:p>
    <w:p>
      <w:pPr>
        <w:pStyle w:val="27"/>
        <w:tabs>
          <w:tab w:val="left" w:pos="6660"/>
        </w:tabs>
        <w:snapToGrid w:val="0"/>
        <w:spacing w:line="440" w:lineRule="exact"/>
        <w:ind w:left="0" w:leftChars="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法定代表人：       （签字或盖章）           法定代表人：      （签字或盖章）</w:t>
      </w:r>
    </w:p>
    <w:p>
      <w:pPr>
        <w:pStyle w:val="27"/>
        <w:tabs>
          <w:tab w:val="left" w:pos="6660"/>
        </w:tabs>
        <w:snapToGrid w:val="0"/>
        <w:spacing w:line="440" w:lineRule="exact"/>
        <w:ind w:left="0" w:leftChars="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委托代理人：       （签字或盖章）           委托代理人：      （签字或盖章）</w:t>
      </w:r>
    </w:p>
    <w:p>
      <w:pPr>
        <w:pStyle w:val="27"/>
        <w:tabs>
          <w:tab w:val="left" w:pos="6660"/>
        </w:tabs>
        <w:snapToGrid w:val="0"/>
        <w:ind w:left="0" w:leftChars="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签订日期：</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年</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月</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日          签订日期：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年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月</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日</w:t>
      </w:r>
    </w:p>
    <w:p>
      <w:pPr>
        <w:pStyle w:val="4"/>
        <w:spacing w:line="360" w:lineRule="auto"/>
        <w:jc w:val="center"/>
        <w:rPr>
          <w:rFonts w:asciiTheme="minorEastAsia" w:hAnsiTheme="minorEastAsia" w:eastAsiaTheme="minorEastAsia" w:cstheme="minorEastAsia"/>
          <w:color w:val="auto"/>
          <w:sz w:val="28"/>
          <w:szCs w:val="21"/>
          <w:highlight w:val="none"/>
        </w:rPr>
      </w:pPr>
      <w:bookmarkStart w:id="96" w:name="_Toc505869064"/>
      <w:r>
        <w:rPr>
          <w:rFonts w:hint="eastAsia" w:asciiTheme="minorEastAsia" w:hAnsiTheme="minorEastAsia" w:eastAsiaTheme="minorEastAsia" w:cstheme="minorEastAsia"/>
          <w:color w:val="auto"/>
          <w:sz w:val="21"/>
          <w:szCs w:val="21"/>
          <w:highlight w:val="none"/>
        </w:rPr>
        <w:br w:type="page"/>
      </w:r>
      <w:r>
        <w:rPr>
          <w:rFonts w:hint="eastAsia" w:asciiTheme="minorEastAsia" w:hAnsiTheme="minorEastAsia" w:eastAsiaTheme="minorEastAsia" w:cstheme="minorEastAsia"/>
          <w:color w:val="auto"/>
          <w:sz w:val="28"/>
          <w:szCs w:val="21"/>
          <w:highlight w:val="none"/>
        </w:rPr>
        <w:t>附件5：安全生产协议</w:t>
      </w:r>
    </w:p>
    <w:p>
      <w:pPr>
        <w:widowControl/>
        <w:spacing w:line="380" w:lineRule="exact"/>
        <w:ind w:firstLine="422"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b/>
          <w:color w:val="auto"/>
          <w:kern w:val="0"/>
          <w:szCs w:val="21"/>
          <w:highlight w:val="none"/>
        </w:rPr>
        <w:t>发包人（全称）：</w:t>
      </w:r>
      <w:r>
        <w:rPr>
          <w:rFonts w:hint="eastAsia" w:asciiTheme="minorEastAsia" w:hAnsiTheme="minorEastAsia" w:eastAsiaTheme="minorEastAsia" w:cstheme="minorEastAsia"/>
          <w:bCs/>
          <w:color w:val="auto"/>
          <w:kern w:val="0"/>
          <w:szCs w:val="21"/>
          <w:highlight w:val="none"/>
          <w:u w:val="single"/>
        </w:rPr>
        <w:t xml:space="preserve">西安市长安区农村合作经济经营管理站 </w:t>
      </w:r>
    </w:p>
    <w:p>
      <w:pPr>
        <w:widowControl/>
        <w:spacing w:line="380" w:lineRule="exact"/>
        <w:ind w:firstLine="422" w:firstLineChars="200"/>
        <w:jc w:val="left"/>
        <w:rPr>
          <w:rFonts w:asciiTheme="minorEastAsia" w:hAnsiTheme="minorEastAsia" w:eastAsiaTheme="minorEastAsia" w:cstheme="minorEastAsia"/>
          <w:b/>
          <w:color w:val="auto"/>
          <w:kern w:val="0"/>
          <w:szCs w:val="21"/>
          <w:highlight w:val="none"/>
        </w:rPr>
      </w:pPr>
      <w:r>
        <w:rPr>
          <w:rFonts w:hint="eastAsia" w:asciiTheme="minorEastAsia" w:hAnsiTheme="minorEastAsia" w:eastAsiaTheme="minorEastAsia" w:cstheme="minorEastAsia"/>
          <w:b/>
          <w:color w:val="auto"/>
          <w:kern w:val="0"/>
          <w:szCs w:val="21"/>
          <w:highlight w:val="none"/>
        </w:rPr>
        <w:t>承包人（全称）：</w:t>
      </w:r>
      <w:r>
        <w:rPr>
          <w:rFonts w:hint="eastAsia" w:asciiTheme="minorEastAsia" w:hAnsiTheme="minorEastAsia" w:eastAsiaTheme="minorEastAsia" w:cstheme="minorEastAsia"/>
          <w:color w:val="auto"/>
          <w:kern w:val="0"/>
          <w:szCs w:val="21"/>
          <w:highlight w:val="none"/>
          <w:u w:val="single"/>
        </w:rPr>
        <w:t xml:space="preserve">                       </w:t>
      </w:r>
    </w:p>
    <w:p>
      <w:pPr>
        <w:tabs>
          <w:tab w:val="left" w:pos="0"/>
        </w:tabs>
        <w:spacing w:line="380" w:lineRule="exact"/>
        <w:ind w:firstLine="371" w:firstLineChars="177"/>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为加强建设工程安全生产管理，落实安全生产责任，防止和减少生产安全事故，经甲乙双方在平等、自愿的基础上协商一致，根据《中华人民共和国安全生产法》、《建设工程安全生产管理条例》及相关法律、法规的规定，达成《安全生产协议》如下：</w:t>
      </w:r>
    </w:p>
    <w:p>
      <w:pPr>
        <w:widowControl/>
        <w:numPr>
          <w:ilvl w:val="0"/>
          <w:numId w:val="4"/>
        </w:numPr>
        <w:tabs>
          <w:tab w:val="left" w:pos="0"/>
        </w:tabs>
        <w:overflowPunct w:val="0"/>
        <w:autoSpaceDE w:val="0"/>
        <w:autoSpaceDN w:val="0"/>
        <w:adjustRightInd w:val="0"/>
        <w:spacing w:line="380" w:lineRule="exact"/>
        <w:jc w:val="left"/>
        <w:textAlignment w:val="baseline"/>
        <w:rPr>
          <w:rFonts w:asciiTheme="minorEastAsia" w:hAnsiTheme="minorEastAsia" w:eastAsiaTheme="minorEastAsia" w:cstheme="minorEastAsia"/>
          <w:b/>
          <w:color w:val="auto"/>
          <w:kern w:val="0"/>
          <w:szCs w:val="21"/>
          <w:highlight w:val="none"/>
        </w:rPr>
      </w:pPr>
      <w:r>
        <w:rPr>
          <w:rFonts w:hint="eastAsia" w:asciiTheme="minorEastAsia" w:hAnsiTheme="minorEastAsia" w:eastAsiaTheme="minorEastAsia" w:cstheme="minorEastAsia"/>
          <w:b/>
          <w:color w:val="auto"/>
          <w:kern w:val="0"/>
          <w:szCs w:val="21"/>
          <w:highlight w:val="none"/>
        </w:rPr>
        <w:t xml:space="preserve">承包工程项目： </w:t>
      </w:r>
    </w:p>
    <w:p>
      <w:pPr>
        <w:widowControl/>
        <w:tabs>
          <w:tab w:val="left" w:pos="0"/>
        </w:tabs>
        <w:overflowPunct w:val="0"/>
        <w:autoSpaceDE w:val="0"/>
        <w:autoSpaceDN w:val="0"/>
        <w:adjustRightInd w:val="0"/>
        <w:spacing w:line="380" w:lineRule="exact"/>
        <w:ind w:firstLine="420" w:firstLineChars="200"/>
        <w:jc w:val="left"/>
        <w:textAlignment w:val="baseline"/>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 xml:space="preserve">1、工程项目名称： </w:t>
      </w:r>
    </w:p>
    <w:p>
      <w:pPr>
        <w:tabs>
          <w:tab w:val="left" w:pos="0"/>
          <w:tab w:val="left" w:pos="1250"/>
        </w:tabs>
        <w:spacing w:line="380" w:lineRule="exact"/>
        <w:ind w:firstLine="371" w:firstLineChars="177"/>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2、工程地址：。    </w:t>
      </w:r>
    </w:p>
    <w:p>
      <w:pPr>
        <w:tabs>
          <w:tab w:val="left" w:pos="0"/>
          <w:tab w:val="left" w:pos="1250"/>
        </w:tabs>
        <w:spacing w:line="38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3、承包范围：详见施工合同</w:t>
      </w:r>
    </w:p>
    <w:p>
      <w:pPr>
        <w:tabs>
          <w:tab w:val="left" w:pos="0"/>
          <w:tab w:val="left" w:pos="1250"/>
        </w:tabs>
        <w:spacing w:line="38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4、承包方式：包工包料</w:t>
      </w:r>
    </w:p>
    <w:p>
      <w:pPr>
        <w:widowControl/>
        <w:tabs>
          <w:tab w:val="left" w:pos="0"/>
        </w:tabs>
        <w:overflowPunct w:val="0"/>
        <w:autoSpaceDE w:val="0"/>
        <w:autoSpaceDN w:val="0"/>
        <w:adjustRightInd w:val="0"/>
        <w:spacing w:line="380" w:lineRule="exact"/>
        <w:ind w:firstLine="371" w:firstLineChars="176"/>
        <w:jc w:val="left"/>
        <w:textAlignment w:val="baseline"/>
        <w:rPr>
          <w:rFonts w:asciiTheme="minorEastAsia" w:hAnsiTheme="minorEastAsia" w:eastAsiaTheme="minorEastAsia" w:cstheme="minorEastAsia"/>
          <w:b/>
          <w:color w:val="auto"/>
          <w:kern w:val="0"/>
          <w:szCs w:val="21"/>
          <w:highlight w:val="none"/>
        </w:rPr>
      </w:pPr>
      <w:r>
        <w:rPr>
          <w:rFonts w:hint="eastAsia" w:asciiTheme="minorEastAsia" w:hAnsiTheme="minorEastAsia" w:eastAsiaTheme="minorEastAsia" w:cstheme="minorEastAsia"/>
          <w:b/>
          <w:color w:val="auto"/>
          <w:kern w:val="0"/>
          <w:szCs w:val="21"/>
          <w:highlight w:val="none"/>
        </w:rPr>
        <w:t>二、建设工程安全生产管理目标及必须达到的安全事故控制指标</w:t>
      </w:r>
    </w:p>
    <w:p>
      <w:pPr>
        <w:widowControl/>
        <w:tabs>
          <w:tab w:val="left" w:pos="0"/>
        </w:tabs>
        <w:overflowPunct w:val="0"/>
        <w:autoSpaceDE w:val="0"/>
        <w:autoSpaceDN w:val="0"/>
        <w:adjustRightInd w:val="0"/>
        <w:spacing w:line="380" w:lineRule="exact"/>
        <w:ind w:firstLine="369" w:firstLineChars="176"/>
        <w:jc w:val="left"/>
        <w:textAlignment w:val="baseline"/>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遵守《建设工程安全生产管理条例》的规定，实现安全生产管理目标：无重伤、无死亡、无施工坍塌、无高处坠落、无滑坡、无火灾、无用电事故、无重大机械事故等各类安全生产事故。即：</w:t>
      </w:r>
    </w:p>
    <w:p>
      <w:pPr>
        <w:widowControl/>
        <w:tabs>
          <w:tab w:val="left" w:pos="0"/>
        </w:tabs>
        <w:overflowPunct w:val="0"/>
        <w:autoSpaceDE w:val="0"/>
        <w:autoSpaceDN w:val="0"/>
        <w:adjustRightInd w:val="0"/>
        <w:spacing w:line="380" w:lineRule="exact"/>
        <w:ind w:firstLine="369" w:firstLineChars="176"/>
        <w:jc w:val="left"/>
        <w:textAlignment w:val="baseline"/>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1、因工死亡率为零；</w:t>
      </w:r>
    </w:p>
    <w:p>
      <w:pPr>
        <w:widowControl/>
        <w:tabs>
          <w:tab w:val="left" w:pos="0"/>
        </w:tabs>
        <w:overflowPunct w:val="0"/>
        <w:autoSpaceDE w:val="0"/>
        <w:autoSpaceDN w:val="0"/>
        <w:adjustRightInd w:val="0"/>
        <w:spacing w:line="380" w:lineRule="exact"/>
        <w:ind w:firstLine="369" w:firstLineChars="176"/>
        <w:jc w:val="left"/>
        <w:textAlignment w:val="baseline"/>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2、因工重伤率为零；</w:t>
      </w:r>
    </w:p>
    <w:p>
      <w:pPr>
        <w:widowControl/>
        <w:tabs>
          <w:tab w:val="left" w:pos="0"/>
        </w:tabs>
        <w:overflowPunct w:val="0"/>
        <w:autoSpaceDE w:val="0"/>
        <w:autoSpaceDN w:val="0"/>
        <w:adjustRightInd w:val="0"/>
        <w:spacing w:line="380" w:lineRule="exact"/>
        <w:ind w:firstLine="369" w:firstLineChars="176"/>
        <w:jc w:val="left"/>
        <w:textAlignment w:val="baseline"/>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3、因工轻伤事故率不高于1.5‰；</w:t>
      </w:r>
    </w:p>
    <w:p>
      <w:pPr>
        <w:widowControl/>
        <w:tabs>
          <w:tab w:val="left" w:pos="0"/>
        </w:tabs>
        <w:overflowPunct w:val="0"/>
        <w:autoSpaceDE w:val="0"/>
        <w:autoSpaceDN w:val="0"/>
        <w:adjustRightInd w:val="0"/>
        <w:spacing w:line="380" w:lineRule="exact"/>
        <w:ind w:firstLine="369" w:firstLineChars="176"/>
        <w:jc w:val="left"/>
        <w:textAlignment w:val="baseline"/>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4、不发生损失额2万元以上的机械、设备、交通和火灾事故。</w:t>
      </w:r>
    </w:p>
    <w:p>
      <w:pPr>
        <w:widowControl/>
        <w:tabs>
          <w:tab w:val="left" w:pos="0"/>
        </w:tabs>
        <w:overflowPunct w:val="0"/>
        <w:autoSpaceDE w:val="0"/>
        <w:autoSpaceDN w:val="0"/>
        <w:adjustRightInd w:val="0"/>
        <w:spacing w:line="380" w:lineRule="exact"/>
        <w:ind w:firstLine="371" w:firstLineChars="176"/>
        <w:jc w:val="left"/>
        <w:textAlignment w:val="baseline"/>
        <w:rPr>
          <w:rFonts w:asciiTheme="minorEastAsia" w:hAnsiTheme="minorEastAsia" w:eastAsiaTheme="minorEastAsia" w:cstheme="minorEastAsia"/>
          <w:b/>
          <w:color w:val="auto"/>
          <w:kern w:val="0"/>
          <w:szCs w:val="21"/>
          <w:highlight w:val="none"/>
        </w:rPr>
      </w:pPr>
      <w:r>
        <w:rPr>
          <w:rFonts w:hint="eastAsia" w:asciiTheme="minorEastAsia" w:hAnsiTheme="minorEastAsia" w:eastAsiaTheme="minorEastAsia" w:cstheme="minorEastAsia"/>
          <w:b/>
          <w:color w:val="auto"/>
          <w:kern w:val="0"/>
          <w:szCs w:val="21"/>
          <w:highlight w:val="none"/>
        </w:rPr>
        <w:t>三、本合同有效期限</w:t>
      </w:r>
    </w:p>
    <w:p>
      <w:pPr>
        <w:widowControl/>
        <w:tabs>
          <w:tab w:val="left" w:pos="0"/>
        </w:tabs>
        <w:overflowPunct w:val="0"/>
        <w:autoSpaceDE w:val="0"/>
        <w:autoSpaceDN w:val="0"/>
        <w:adjustRightInd w:val="0"/>
        <w:spacing w:line="380" w:lineRule="exact"/>
        <w:ind w:firstLine="369" w:firstLineChars="176"/>
        <w:jc w:val="left"/>
        <w:textAlignment w:val="baseline"/>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自承包人入驻施工场地之日起，至工程竣工验收合格交付发包人使用时止。</w:t>
      </w:r>
    </w:p>
    <w:p>
      <w:pPr>
        <w:widowControl/>
        <w:tabs>
          <w:tab w:val="left" w:pos="0"/>
        </w:tabs>
        <w:overflowPunct w:val="0"/>
        <w:autoSpaceDE w:val="0"/>
        <w:autoSpaceDN w:val="0"/>
        <w:adjustRightInd w:val="0"/>
        <w:spacing w:line="380" w:lineRule="exact"/>
        <w:ind w:firstLine="371" w:firstLineChars="176"/>
        <w:jc w:val="left"/>
        <w:textAlignment w:val="baseline"/>
        <w:rPr>
          <w:rFonts w:asciiTheme="minorEastAsia" w:hAnsiTheme="minorEastAsia" w:eastAsiaTheme="minorEastAsia" w:cstheme="minorEastAsia"/>
          <w:b/>
          <w:color w:val="auto"/>
          <w:kern w:val="0"/>
          <w:szCs w:val="21"/>
          <w:highlight w:val="none"/>
        </w:rPr>
      </w:pPr>
      <w:r>
        <w:rPr>
          <w:rFonts w:hint="eastAsia" w:asciiTheme="minorEastAsia" w:hAnsiTheme="minorEastAsia" w:eastAsiaTheme="minorEastAsia" w:cstheme="minorEastAsia"/>
          <w:b/>
          <w:color w:val="auto"/>
          <w:kern w:val="0"/>
          <w:szCs w:val="21"/>
          <w:highlight w:val="none"/>
        </w:rPr>
        <w:t>四、发包人的安全生产管理权利</w:t>
      </w:r>
    </w:p>
    <w:p>
      <w:pPr>
        <w:widowControl/>
        <w:tabs>
          <w:tab w:val="left" w:pos="0"/>
        </w:tabs>
        <w:overflowPunct w:val="0"/>
        <w:autoSpaceDE w:val="0"/>
        <w:autoSpaceDN w:val="0"/>
        <w:adjustRightInd w:val="0"/>
        <w:spacing w:line="380" w:lineRule="exact"/>
        <w:ind w:firstLine="369" w:firstLineChars="176"/>
        <w:jc w:val="left"/>
        <w:textAlignment w:val="baseline"/>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1、监督检查承包人的各项安全生产工作，对建筑工地现场实施日常检查和定期、不定期的巡查。</w:t>
      </w:r>
    </w:p>
    <w:p>
      <w:pPr>
        <w:widowControl/>
        <w:tabs>
          <w:tab w:val="left" w:pos="0"/>
        </w:tabs>
        <w:overflowPunct w:val="0"/>
        <w:autoSpaceDE w:val="0"/>
        <w:autoSpaceDN w:val="0"/>
        <w:adjustRightInd w:val="0"/>
        <w:spacing w:line="380" w:lineRule="exact"/>
        <w:ind w:firstLine="369" w:firstLineChars="176"/>
        <w:jc w:val="left"/>
        <w:textAlignment w:val="baseline"/>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2、在实施检查、巡查过程中，发现建设工程存在安全事故隐患的，有权要求承包人暂时停止施工进行整改，直至消除安全事故隐患。</w:t>
      </w:r>
    </w:p>
    <w:p>
      <w:pPr>
        <w:widowControl/>
        <w:tabs>
          <w:tab w:val="left" w:pos="0"/>
        </w:tabs>
        <w:overflowPunct w:val="0"/>
        <w:autoSpaceDE w:val="0"/>
        <w:autoSpaceDN w:val="0"/>
        <w:adjustRightInd w:val="0"/>
        <w:spacing w:line="380" w:lineRule="exact"/>
        <w:ind w:firstLine="369" w:firstLineChars="176"/>
        <w:jc w:val="left"/>
        <w:textAlignment w:val="baseline"/>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3、查阅与检查、巡查事项有关的文件、资料。并可根据实际情况，对施工现场进行检测、拍照、录音、摄像等。</w:t>
      </w:r>
    </w:p>
    <w:p>
      <w:pPr>
        <w:widowControl/>
        <w:tabs>
          <w:tab w:val="left" w:pos="0"/>
        </w:tabs>
        <w:overflowPunct w:val="0"/>
        <w:autoSpaceDE w:val="0"/>
        <w:autoSpaceDN w:val="0"/>
        <w:adjustRightInd w:val="0"/>
        <w:spacing w:line="380" w:lineRule="exact"/>
        <w:ind w:firstLine="369" w:firstLineChars="176"/>
        <w:jc w:val="left"/>
        <w:textAlignment w:val="baseline"/>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4、承包人违反安全生产约定或规定时，发包人有权要求其支付违约金，并承担其他违约责任。</w:t>
      </w:r>
    </w:p>
    <w:p>
      <w:pPr>
        <w:widowControl/>
        <w:tabs>
          <w:tab w:val="left" w:pos="0"/>
        </w:tabs>
        <w:overflowPunct w:val="0"/>
        <w:autoSpaceDE w:val="0"/>
        <w:autoSpaceDN w:val="0"/>
        <w:adjustRightInd w:val="0"/>
        <w:spacing w:line="380" w:lineRule="exact"/>
        <w:ind w:firstLine="371" w:firstLineChars="176"/>
        <w:jc w:val="left"/>
        <w:textAlignment w:val="baseline"/>
        <w:rPr>
          <w:rFonts w:asciiTheme="minorEastAsia" w:hAnsiTheme="minorEastAsia" w:eastAsiaTheme="minorEastAsia" w:cstheme="minorEastAsia"/>
          <w:b/>
          <w:color w:val="auto"/>
          <w:kern w:val="0"/>
          <w:szCs w:val="21"/>
          <w:highlight w:val="none"/>
        </w:rPr>
      </w:pPr>
      <w:r>
        <w:rPr>
          <w:rFonts w:hint="eastAsia" w:asciiTheme="minorEastAsia" w:hAnsiTheme="minorEastAsia" w:eastAsiaTheme="minorEastAsia" w:cstheme="minorEastAsia"/>
          <w:b/>
          <w:color w:val="auto"/>
          <w:kern w:val="0"/>
          <w:szCs w:val="21"/>
          <w:highlight w:val="none"/>
        </w:rPr>
        <w:t>五、发包人的安全生产管理义务</w:t>
      </w:r>
    </w:p>
    <w:p>
      <w:pPr>
        <w:widowControl/>
        <w:tabs>
          <w:tab w:val="left" w:pos="0"/>
        </w:tabs>
        <w:overflowPunct w:val="0"/>
        <w:autoSpaceDE w:val="0"/>
        <w:autoSpaceDN w:val="0"/>
        <w:adjustRightInd w:val="0"/>
        <w:spacing w:line="380" w:lineRule="exact"/>
        <w:ind w:firstLine="369" w:firstLineChars="176"/>
        <w:jc w:val="left"/>
        <w:textAlignment w:val="baseline"/>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1、发包人不得对承包人提出不符合建设工程安全生产法律、法规和强制性标准的要求。</w:t>
      </w:r>
    </w:p>
    <w:p>
      <w:pPr>
        <w:widowControl/>
        <w:tabs>
          <w:tab w:val="left" w:pos="0"/>
        </w:tabs>
        <w:overflowPunct w:val="0"/>
        <w:autoSpaceDE w:val="0"/>
        <w:autoSpaceDN w:val="0"/>
        <w:adjustRightInd w:val="0"/>
        <w:spacing w:line="380" w:lineRule="exact"/>
        <w:ind w:firstLine="369" w:firstLineChars="176"/>
        <w:jc w:val="left"/>
        <w:textAlignment w:val="baseline"/>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2、发包人不得明示或暗示承包人购买、租赁、使用不符合安全施工要求的安全防护用具、机械设备、施工机具及配件、消防设施和器材。</w:t>
      </w:r>
    </w:p>
    <w:p>
      <w:pPr>
        <w:widowControl/>
        <w:tabs>
          <w:tab w:val="left" w:pos="0"/>
        </w:tabs>
        <w:overflowPunct w:val="0"/>
        <w:autoSpaceDE w:val="0"/>
        <w:autoSpaceDN w:val="0"/>
        <w:adjustRightInd w:val="0"/>
        <w:spacing w:line="380" w:lineRule="exact"/>
        <w:ind w:firstLine="369" w:firstLineChars="176"/>
        <w:jc w:val="left"/>
        <w:textAlignment w:val="baseline"/>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3、对承包人施工现场采取的安全施工技术措施，根据承包人的请求，提供必要的协助。</w:t>
      </w:r>
    </w:p>
    <w:p>
      <w:pPr>
        <w:widowControl/>
        <w:tabs>
          <w:tab w:val="left" w:pos="0"/>
        </w:tabs>
        <w:overflowPunct w:val="0"/>
        <w:autoSpaceDE w:val="0"/>
        <w:autoSpaceDN w:val="0"/>
        <w:adjustRightInd w:val="0"/>
        <w:spacing w:line="380" w:lineRule="exact"/>
        <w:ind w:firstLine="371" w:firstLineChars="176"/>
        <w:jc w:val="left"/>
        <w:textAlignment w:val="baseline"/>
        <w:rPr>
          <w:rFonts w:asciiTheme="minorEastAsia" w:hAnsiTheme="minorEastAsia" w:eastAsiaTheme="minorEastAsia" w:cstheme="minorEastAsia"/>
          <w:b/>
          <w:color w:val="auto"/>
          <w:kern w:val="0"/>
          <w:szCs w:val="21"/>
          <w:highlight w:val="none"/>
        </w:rPr>
      </w:pPr>
      <w:r>
        <w:rPr>
          <w:rFonts w:hint="eastAsia" w:asciiTheme="minorEastAsia" w:hAnsiTheme="minorEastAsia" w:eastAsiaTheme="minorEastAsia" w:cstheme="minorEastAsia"/>
          <w:b/>
          <w:color w:val="auto"/>
          <w:kern w:val="0"/>
          <w:szCs w:val="21"/>
          <w:highlight w:val="none"/>
        </w:rPr>
        <w:t>六、承包人的安全生产责任与义务</w:t>
      </w:r>
    </w:p>
    <w:p>
      <w:pPr>
        <w:widowControl/>
        <w:tabs>
          <w:tab w:val="left" w:pos="0"/>
        </w:tabs>
        <w:overflowPunct w:val="0"/>
        <w:autoSpaceDE w:val="0"/>
        <w:autoSpaceDN w:val="0"/>
        <w:adjustRightInd w:val="0"/>
        <w:spacing w:line="380" w:lineRule="exact"/>
        <w:ind w:firstLine="369" w:firstLineChars="176"/>
        <w:jc w:val="left"/>
        <w:textAlignment w:val="baseline"/>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1、承包人应当在其资质等级许可范围内，并具备安全生产许可证的条件下承揽工程。</w:t>
      </w:r>
    </w:p>
    <w:p>
      <w:pPr>
        <w:widowControl/>
        <w:tabs>
          <w:tab w:val="left" w:pos="0"/>
        </w:tabs>
        <w:overflowPunct w:val="0"/>
        <w:autoSpaceDE w:val="0"/>
        <w:autoSpaceDN w:val="0"/>
        <w:adjustRightInd w:val="0"/>
        <w:spacing w:line="380" w:lineRule="exact"/>
        <w:ind w:firstLine="369" w:firstLineChars="176"/>
        <w:jc w:val="left"/>
        <w:textAlignment w:val="baseline"/>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承包人应当严格按照建设工程安全生产的法律、法规、规章及安全生产的标准、规程的有关规定，组织工程施工，并对工程建设施工的安全生产工作全面负责。因承包人安全生产措施不力造成事故的责任和因此发生的费用由承包人承担。</w:t>
      </w:r>
    </w:p>
    <w:p>
      <w:pPr>
        <w:widowControl/>
        <w:tabs>
          <w:tab w:val="left" w:pos="0"/>
        </w:tabs>
        <w:overflowPunct w:val="0"/>
        <w:autoSpaceDE w:val="0"/>
        <w:autoSpaceDN w:val="0"/>
        <w:adjustRightInd w:val="0"/>
        <w:spacing w:line="380" w:lineRule="exact"/>
        <w:ind w:firstLine="369" w:firstLineChars="176"/>
        <w:jc w:val="left"/>
        <w:textAlignment w:val="baseline"/>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3、建立、健全与落实安全生产责任制度、安全生产教育培训制度、安全生产规章制度和操作规程。</w:t>
      </w:r>
    </w:p>
    <w:p>
      <w:pPr>
        <w:widowControl/>
        <w:tabs>
          <w:tab w:val="left" w:pos="0"/>
        </w:tabs>
        <w:overflowPunct w:val="0"/>
        <w:autoSpaceDE w:val="0"/>
        <w:autoSpaceDN w:val="0"/>
        <w:adjustRightInd w:val="0"/>
        <w:spacing w:line="380" w:lineRule="exact"/>
        <w:ind w:firstLine="369" w:firstLineChars="176"/>
        <w:jc w:val="left"/>
        <w:textAlignment w:val="baseline"/>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4、设立安全生产管理机构，配备专职安全生产管理人员。</w:t>
      </w:r>
    </w:p>
    <w:p>
      <w:pPr>
        <w:widowControl/>
        <w:tabs>
          <w:tab w:val="left" w:pos="0"/>
        </w:tabs>
        <w:overflowPunct w:val="0"/>
        <w:autoSpaceDE w:val="0"/>
        <w:autoSpaceDN w:val="0"/>
        <w:adjustRightInd w:val="0"/>
        <w:spacing w:line="380" w:lineRule="exact"/>
        <w:ind w:firstLine="369" w:firstLineChars="176"/>
        <w:jc w:val="left"/>
        <w:textAlignment w:val="baseline"/>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5、根据工程特点组织制定安全施工措施，消除安全事故隐患。强化对基坑开挖、起重吊装、模板工程等危险性较大的工程施工的监控和安全防护措施的落实，严防高空坠落、施工坍塌等安全事故的发生。</w:t>
      </w:r>
    </w:p>
    <w:p>
      <w:pPr>
        <w:widowControl/>
        <w:tabs>
          <w:tab w:val="left" w:pos="0"/>
        </w:tabs>
        <w:overflowPunct w:val="0"/>
        <w:autoSpaceDE w:val="0"/>
        <w:autoSpaceDN w:val="0"/>
        <w:adjustRightInd w:val="0"/>
        <w:spacing w:line="380" w:lineRule="exact"/>
        <w:ind w:firstLine="369" w:firstLineChars="176"/>
        <w:jc w:val="left"/>
        <w:textAlignment w:val="baseline"/>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6、随时接受发包人实施的安全检查、巡查、并按照发包人的要求进行整改，消除安全事故隐患，确保安全生产。</w:t>
      </w:r>
    </w:p>
    <w:p>
      <w:pPr>
        <w:widowControl/>
        <w:tabs>
          <w:tab w:val="left" w:pos="0"/>
        </w:tabs>
        <w:overflowPunct w:val="0"/>
        <w:autoSpaceDE w:val="0"/>
        <w:autoSpaceDN w:val="0"/>
        <w:adjustRightInd w:val="0"/>
        <w:spacing w:line="380" w:lineRule="exact"/>
        <w:ind w:firstLine="369" w:firstLineChars="176"/>
        <w:jc w:val="left"/>
        <w:textAlignment w:val="baseline"/>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7、承包人应当在施工现场入口处、施工起重机械、临时用电设施、脚手架、出入通道口、基坑边沿等危险部位，设置明显的安全警示标志，安全警示标志必须符合国家标准。</w:t>
      </w:r>
    </w:p>
    <w:p>
      <w:pPr>
        <w:widowControl/>
        <w:tabs>
          <w:tab w:val="left" w:pos="0"/>
        </w:tabs>
        <w:overflowPunct w:val="0"/>
        <w:autoSpaceDE w:val="0"/>
        <w:autoSpaceDN w:val="0"/>
        <w:adjustRightInd w:val="0"/>
        <w:spacing w:line="380" w:lineRule="exact"/>
        <w:ind w:firstLine="369" w:firstLineChars="176"/>
        <w:jc w:val="left"/>
        <w:textAlignment w:val="baseline"/>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8、承包人应根据不同施工阶段和周围环境及季节、气候气象的变化，在施工现场采取相应的安全施工措施。确保雨季等特殊气候气象情况下的施工安全。</w:t>
      </w:r>
    </w:p>
    <w:p>
      <w:pPr>
        <w:widowControl/>
        <w:tabs>
          <w:tab w:val="left" w:pos="0"/>
        </w:tabs>
        <w:overflowPunct w:val="0"/>
        <w:autoSpaceDE w:val="0"/>
        <w:autoSpaceDN w:val="0"/>
        <w:adjustRightInd w:val="0"/>
        <w:spacing w:line="380" w:lineRule="exact"/>
        <w:ind w:firstLine="369" w:firstLineChars="176"/>
        <w:jc w:val="left"/>
        <w:textAlignment w:val="baseline"/>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9、对建设工程施工进行定期和专项安全自检，并做好安全检查记录，及时发现并消除安全生产事故隐患。</w:t>
      </w:r>
    </w:p>
    <w:p>
      <w:pPr>
        <w:widowControl/>
        <w:tabs>
          <w:tab w:val="left" w:pos="0"/>
        </w:tabs>
        <w:overflowPunct w:val="0"/>
        <w:autoSpaceDE w:val="0"/>
        <w:autoSpaceDN w:val="0"/>
        <w:adjustRightInd w:val="0"/>
        <w:spacing w:line="380" w:lineRule="exact"/>
        <w:ind w:firstLine="369" w:firstLineChars="176"/>
        <w:jc w:val="left"/>
        <w:textAlignment w:val="baseline"/>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10、在施工现场建立消防安全责任制度，确定消防安全责任人，制定用火、用电等各项消防安全管理制度和操作规程。</w:t>
      </w:r>
    </w:p>
    <w:p>
      <w:pPr>
        <w:widowControl/>
        <w:tabs>
          <w:tab w:val="left" w:pos="0"/>
        </w:tabs>
        <w:overflowPunct w:val="0"/>
        <w:autoSpaceDE w:val="0"/>
        <w:autoSpaceDN w:val="0"/>
        <w:adjustRightInd w:val="0"/>
        <w:spacing w:line="380" w:lineRule="exact"/>
        <w:ind w:firstLine="369" w:firstLineChars="176"/>
        <w:jc w:val="left"/>
        <w:textAlignment w:val="baseline"/>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11、制定实施工程现场生产安全事故应急救援预案，并定期组织演练。</w:t>
      </w:r>
    </w:p>
    <w:p>
      <w:pPr>
        <w:widowControl/>
        <w:tabs>
          <w:tab w:val="left" w:pos="0"/>
        </w:tabs>
        <w:overflowPunct w:val="0"/>
        <w:autoSpaceDE w:val="0"/>
        <w:autoSpaceDN w:val="0"/>
        <w:adjustRightInd w:val="0"/>
        <w:spacing w:line="380" w:lineRule="exact"/>
        <w:ind w:firstLine="369" w:firstLineChars="176"/>
        <w:jc w:val="left"/>
        <w:textAlignment w:val="baseline"/>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12、根据安全生产法律、法规、规章及相关标准、规程的规定，承包人应承担的其它责任与义务。</w:t>
      </w:r>
    </w:p>
    <w:p>
      <w:pPr>
        <w:widowControl/>
        <w:tabs>
          <w:tab w:val="left" w:pos="0"/>
        </w:tabs>
        <w:overflowPunct w:val="0"/>
        <w:autoSpaceDE w:val="0"/>
        <w:autoSpaceDN w:val="0"/>
        <w:adjustRightInd w:val="0"/>
        <w:spacing w:line="380" w:lineRule="exact"/>
        <w:ind w:firstLine="371" w:firstLineChars="176"/>
        <w:jc w:val="left"/>
        <w:textAlignment w:val="baseline"/>
        <w:rPr>
          <w:rFonts w:asciiTheme="minorEastAsia" w:hAnsiTheme="minorEastAsia" w:eastAsiaTheme="minorEastAsia" w:cstheme="minorEastAsia"/>
          <w:b/>
          <w:color w:val="auto"/>
          <w:kern w:val="0"/>
          <w:szCs w:val="21"/>
          <w:highlight w:val="none"/>
        </w:rPr>
      </w:pPr>
      <w:r>
        <w:rPr>
          <w:rFonts w:hint="eastAsia" w:asciiTheme="minorEastAsia" w:hAnsiTheme="minorEastAsia" w:eastAsiaTheme="minorEastAsia" w:cstheme="minorEastAsia"/>
          <w:b/>
          <w:color w:val="auto"/>
          <w:kern w:val="0"/>
          <w:szCs w:val="21"/>
          <w:highlight w:val="none"/>
        </w:rPr>
        <w:t>七、现场停工整改约定</w:t>
      </w:r>
    </w:p>
    <w:p>
      <w:pPr>
        <w:widowControl/>
        <w:tabs>
          <w:tab w:val="left" w:pos="0"/>
        </w:tabs>
        <w:overflowPunct w:val="0"/>
        <w:autoSpaceDE w:val="0"/>
        <w:autoSpaceDN w:val="0"/>
        <w:adjustRightInd w:val="0"/>
        <w:spacing w:line="380" w:lineRule="exact"/>
        <w:ind w:firstLine="369" w:firstLineChars="176"/>
        <w:jc w:val="left"/>
        <w:textAlignment w:val="baseline"/>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发包人在承包人施工现场检查、巡查过程中，发现存在安全事故隐患，认为必须暂停施工的，应以书面形式下达停工整改通知。承包人对发包人的停工整改通知应予以执行，并按照发包人要求停止施工进行整改，妥善保护已完工程。</w:t>
      </w:r>
    </w:p>
    <w:p>
      <w:pPr>
        <w:widowControl/>
        <w:tabs>
          <w:tab w:val="left" w:pos="0"/>
        </w:tabs>
        <w:overflowPunct w:val="0"/>
        <w:autoSpaceDE w:val="0"/>
        <w:autoSpaceDN w:val="0"/>
        <w:adjustRightInd w:val="0"/>
        <w:spacing w:line="380" w:lineRule="exact"/>
        <w:ind w:firstLine="369" w:firstLineChars="176"/>
        <w:jc w:val="left"/>
        <w:textAlignment w:val="baseline"/>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2、承包人进行整改后，经发包人检查已消除安全事故隐患的，可以进行复工。</w:t>
      </w:r>
    </w:p>
    <w:p>
      <w:pPr>
        <w:widowControl/>
        <w:tabs>
          <w:tab w:val="left" w:pos="0"/>
        </w:tabs>
        <w:overflowPunct w:val="0"/>
        <w:autoSpaceDE w:val="0"/>
        <w:autoSpaceDN w:val="0"/>
        <w:adjustRightInd w:val="0"/>
        <w:spacing w:line="380" w:lineRule="exact"/>
        <w:ind w:firstLine="369" w:firstLineChars="176"/>
        <w:jc w:val="left"/>
        <w:textAlignment w:val="baseline"/>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3、若在一个月内由于承包人出现安全事故隐患，被发包人下达停工整改通知累计两次的，则承包人同意发包人暂不支付其当月的工程进度款，该月工程进度款延期至工程竣工验收合格后再行支付。</w:t>
      </w:r>
    </w:p>
    <w:p>
      <w:pPr>
        <w:widowControl/>
        <w:tabs>
          <w:tab w:val="left" w:pos="0"/>
        </w:tabs>
        <w:overflowPunct w:val="0"/>
        <w:autoSpaceDE w:val="0"/>
        <w:autoSpaceDN w:val="0"/>
        <w:adjustRightInd w:val="0"/>
        <w:spacing w:line="380" w:lineRule="exact"/>
        <w:ind w:firstLine="371" w:firstLineChars="176"/>
        <w:jc w:val="left"/>
        <w:textAlignment w:val="baseline"/>
        <w:rPr>
          <w:rFonts w:asciiTheme="minorEastAsia" w:hAnsiTheme="minorEastAsia" w:eastAsiaTheme="minorEastAsia" w:cstheme="minorEastAsia"/>
          <w:b/>
          <w:color w:val="auto"/>
          <w:kern w:val="0"/>
          <w:szCs w:val="21"/>
          <w:highlight w:val="none"/>
        </w:rPr>
      </w:pPr>
      <w:r>
        <w:rPr>
          <w:rFonts w:hint="eastAsia" w:asciiTheme="minorEastAsia" w:hAnsiTheme="minorEastAsia" w:eastAsiaTheme="minorEastAsia" w:cstheme="minorEastAsia"/>
          <w:b/>
          <w:color w:val="auto"/>
          <w:kern w:val="0"/>
          <w:szCs w:val="21"/>
          <w:highlight w:val="none"/>
        </w:rPr>
        <w:t>八、附则</w:t>
      </w:r>
    </w:p>
    <w:p>
      <w:pPr>
        <w:widowControl/>
        <w:tabs>
          <w:tab w:val="left" w:pos="0"/>
        </w:tabs>
        <w:overflowPunct w:val="0"/>
        <w:autoSpaceDE w:val="0"/>
        <w:autoSpaceDN w:val="0"/>
        <w:adjustRightInd w:val="0"/>
        <w:spacing w:line="380" w:lineRule="exact"/>
        <w:ind w:firstLine="369" w:firstLineChars="176"/>
        <w:jc w:val="left"/>
        <w:textAlignment w:val="baseline"/>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1、本协议约定的发包人权利义务均由发包人行使。</w:t>
      </w:r>
    </w:p>
    <w:p>
      <w:pPr>
        <w:widowControl/>
        <w:tabs>
          <w:tab w:val="left" w:pos="0"/>
        </w:tabs>
        <w:overflowPunct w:val="0"/>
        <w:autoSpaceDE w:val="0"/>
        <w:autoSpaceDN w:val="0"/>
        <w:adjustRightInd w:val="0"/>
        <w:spacing w:line="380" w:lineRule="exact"/>
        <w:ind w:firstLine="369" w:firstLineChars="176"/>
        <w:jc w:val="left"/>
        <w:textAlignment w:val="baseline"/>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2、本协议与各方签订的工程施工合同具有同等法律效力。工程施工合同中没有约定或约定与本协议冲突的，均以本协议约定为准。</w:t>
      </w:r>
    </w:p>
    <w:p>
      <w:pPr>
        <w:widowControl/>
        <w:tabs>
          <w:tab w:val="left" w:pos="0"/>
        </w:tabs>
        <w:overflowPunct w:val="0"/>
        <w:autoSpaceDE w:val="0"/>
        <w:autoSpaceDN w:val="0"/>
        <w:adjustRightInd w:val="0"/>
        <w:spacing w:line="380" w:lineRule="exact"/>
        <w:ind w:firstLine="369" w:firstLineChars="176"/>
        <w:jc w:val="left"/>
        <w:textAlignment w:val="baseline"/>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3、本协议自各方签字盖章或盖章后即生效。</w:t>
      </w:r>
    </w:p>
    <w:p>
      <w:pPr>
        <w:widowControl/>
        <w:tabs>
          <w:tab w:val="left" w:pos="0"/>
        </w:tabs>
        <w:spacing w:line="420" w:lineRule="exact"/>
        <w:ind w:firstLine="210" w:firstLineChars="100"/>
        <w:rPr>
          <w:rFonts w:asciiTheme="minorEastAsia" w:hAnsiTheme="minorEastAsia" w:eastAsiaTheme="minorEastAsia" w:cstheme="minorEastAsia"/>
          <w:color w:val="auto"/>
          <w:kern w:val="0"/>
          <w:szCs w:val="21"/>
          <w:highlight w:val="none"/>
        </w:rPr>
      </w:pPr>
    </w:p>
    <w:p>
      <w:pPr>
        <w:widowControl/>
        <w:tabs>
          <w:tab w:val="left" w:pos="0"/>
        </w:tabs>
        <w:spacing w:line="420" w:lineRule="exact"/>
        <w:ind w:firstLine="210" w:firstLineChars="1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发包人（盖章）：                            承包人（盖章）：</w:t>
      </w:r>
    </w:p>
    <w:p>
      <w:pPr>
        <w:widowControl/>
        <w:tabs>
          <w:tab w:val="left" w:pos="0"/>
        </w:tabs>
        <w:spacing w:line="420" w:lineRule="exact"/>
        <w:ind w:firstLine="210" w:firstLineChars="1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法定代表人或委托代理人                      法定代表人或委托代理人</w:t>
      </w:r>
    </w:p>
    <w:p>
      <w:pPr>
        <w:widowControl/>
        <w:tabs>
          <w:tab w:val="left" w:pos="0"/>
        </w:tabs>
        <w:spacing w:line="420" w:lineRule="exac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（签字或盖章）：__________                    （签字或盖章）：___________</w:t>
      </w:r>
    </w:p>
    <w:p>
      <w:pPr>
        <w:widowControl/>
        <w:tabs>
          <w:tab w:val="left" w:pos="0"/>
        </w:tabs>
        <w:spacing w:line="420" w:lineRule="exact"/>
        <w:ind w:firstLine="210" w:firstLineChars="1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rPr>
        <w:t>年</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rPr>
        <w:t>月</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rPr>
        <w:t xml:space="preserve">日                          </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rPr>
        <w:t>年</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rPr>
        <w:t>月</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rPr>
        <w:t>日</w:t>
      </w:r>
    </w:p>
    <w:p>
      <w:pPr>
        <w:pStyle w:val="4"/>
        <w:spacing w:line="360" w:lineRule="auto"/>
        <w:jc w:val="center"/>
        <w:rPr>
          <w:rFonts w:asciiTheme="minorEastAsia" w:hAnsiTheme="minorEastAsia" w:eastAsiaTheme="minorEastAsia" w:cstheme="minorEastAsia"/>
          <w:color w:val="auto"/>
          <w:sz w:val="28"/>
          <w:szCs w:val="21"/>
          <w:highlight w:val="none"/>
        </w:rPr>
      </w:pPr>
      <w:r>
        <w:rPr>
          <w:rFonts w:hint="eastAsia" w:asciiTheme="minorEastAsia" w:hAnsiTheme="minorEastAsia" w:eastAsiaTheme="minorEastAsia" w:cstheme="minorEastAsia"/>
          <w:b w:val="0"/>
          <w:bCs w:val="0"/>
          <w:color w:val="auto"/>
          <w:szCs w:val="21"/>
          <w:highlight w:val="none"/>
        </w:rPr>
        <w:br w:type="page"/>
      </w:r>
      <w:r>
        <w:rPr>
          <w:rFonts w:hint="eastAsia" w:asciiTheme="minorEastAsia" w:hAnsiTheme="minorEastAsia" w:eastAsiaTheme="minorEastAsia" w:cstheme="minorEastAsia"/>
          <w:color w:val="auto"/>
          <w:sz w:val="28"/>
          <w:szCs w:val="21"/>
          <w:highlight w:val="none"/>
        </w:rPr>
        <w:t>附表6：材料、设备暂估单价明细表</w:t>
      </w:r>
      <w:bookmarkEnd w:id="96"/>
    </w:p>
    <w:p>
      <w:pPr>
        <w:spacing w:line="360" w:lineRule="auto"/>
        <w:ind w:firstLine="630" w:firstLineChars="300"/>
        <w:rPr>
          <w:rFonts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工程名称：</w:t>
      </w:r>
    </w:p>
    <w:tbl>
      <w:tblPr>
        <w:tblStyle w:val="43"/>
        <w:tblW w:w="8295" w:type="dxa"/>
        <w:jc w:val="center"/>
        <w:tblLayout w:type="fixed"/>
        <w:tblCellMar>
          <w:top w:w="0" w:type="dxa"/>
          <w:left w:w="108" w:type="dxa"/>
          <w:bottom w:w="0" w:type="dxa"/>
          <w:right w:w="108" w:type="dxa"/>
        </w:tblCellMar>
      </w:tblPr>
      <w:tblGrid>
        <w:gridCol w:w="580"/>
        <w:gridCol w:w="3640"/>
        <w:gridCol w:w="840"/>
        <w:gridCol w:w="1420"/>
        <w:gridCol w:w="1815"/>
      </w:tblGrid>
      <w:tr>
        <w:tblPrEx>
          <w:tblCellMar>
            <w:top w:w="0" w:type="dxa"/>
            <w:left w:w="108" w:type="dxa"/>
            <w:bottom w:w="0" w:type="dxa"/>
            <w:right w:w="108" w:type="dxa"/>
          </w:tblCellMar>
        </w:tblPrEx>
        <w:trPr>
          <w:trHeight w:val="345" w:hRule="atLeast"/>
          <w:jc w:val="center"/>
        </w:trPr>
        <w:tc>
          <w:tcPr>
            <w:tcW w:w="5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序号</w:t>
            </w:r>
          </w:p>
        </w:tc>
        <w:tc>
          <w:tcPr>
            <w:tcW w:w="3640" w:type="dxa"/>
            <w:tcBorders>
              <w:top w:val="single" w:color="auto" w:sz="4" w:space="0"/>
              <w:left w:val="nil"/>
              <w:bottom w:val="single" w:color="auto" w:sz="4" w:space="0"/>
              <w:right w:val="single" w:color="auto" w:sz="4" w:space="0"/>
            </w:tcBorders>
            <w:shd w:val="clear" w:color="auto" w:fill="FFFFFF"/>
            <w:vAlign w:val="center"/>
          </w:tcPr>
          <w:p>
            <w:pPr>
              <w:widowControl/>
              <w:jc w:val="center"/>
              <w:rPr>
                <w:rFonts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名称及规格</w:t>
            </w:r>
          </w:p>
        </w:tc>
        <w:tc>
          <w:tcPr>
            <w:tcW w:w="840" w:type="dxa"/>
            <w:tcBorders>
              <w:top w:val="single" w:color="auto" w:sz="4" w:space="0"/>
              <w:left w:val="nil"/>
              <w:bottom w:val="single" w:color="auto" w:sz="4" w:space="0"/>
              <w:right w:val="single" w:color="auto" w:sz="4" w:space="0"/>
            </w:tcBorders>
            <w:shd w:val="clear" w:color="auto" w:fill="FFFFFF"/>
            <w:vAlign w:val="center"/>
          </w:tcPr>
          <w:p>
            <w:pPr>
              <w:widowControl/>
              <w:jc w:val="center"/>
              <w:rPr>
                <w:rFonts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单位</w:t>
            </w:r>
          </w:p>
        </w:tc>
        <w:tc>
          <w:tcPr>
            <w:tcW w:w="1420" w:type="dxa"/>
            <w:tcBorders>
              <w:top w:val="single" w:color="auto" w:sz="4" w:space="0"/>
              <w:left w:val="nil"/>
              <w:bottom w:val="single" w:color="auto" w:sz="4" w:space="0"/>
              <w:right w:val="single" w:color="auto" w:sz="4" w:space="0"/>
            </w:tcBorders>
            <w:shd w:val="clear" w:color="auto" w:fill="FFFFFF"/>
            <w:vAlign w:val="center"/>
          </w:tcPr>
          <w:p>
            <w:pPr>
              <w:widowControl/>
              <w:jc w:val="center"/>
              <w:rPr>
                <w:rFonts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暂定价（元）</w:t>
            </w:r>
          </w:p>
        </w:tc>
        <w:tc>
          <w:tcPr>
            <w:tcW w:w="1815" w:type="dxa"/>
            <w:tcBorders>
              <w:top w:val="single" w:color="auto" w:sz="4" w:space="0"/>
              <w:left w:val="nil"/>
              <w:bottom w:val="single" w:color="auto" w:sz="4" w:space="0"/>
              <w:right w:val="single" w:color="auto" w:sz="4" w:space="0"/>
            </w:tcBorders>
            <w:shd w:val="clear" w:color="auto" w:fill="FFFFFF"/>
            <w:vAlign w:val="center"/>
          </w:tcPr>
          <w:p>
            <w:pPr>
              <w:widowControl/>
              <w:jc w:val="center"/>
              <w:rPr>
                <w:rFonts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备注</w:t>
            </w:r>
          </w:p>
        </w:tc>
      </w:tr>
      <w:tr>
        <w:tblPrEx>
          <w:tblCellMar>
            <w:top w:w="0" w:type="dxa"/>
            <w:left w:w="108" w:type="dxa"/>
            <w:bottom w:w="0" w:type="dxa"/>
            <w:right w:w="108" w:type="dxa"/>
          </w:tblCellMar>
        </w:tblPrEx>
        <w:trPr>
          <w:trHeight w:val="397" w:hRule="atLeast"/>
          <w:jc w:val="center"/>
        </w:trPr>
        <w:tc>
          <w:tcPr>
            <w:tcW w:w="580" w:type="dxa"/>
            <w:tcBorders>
              <w:top w:val="nil"/>
              <w:left w:val="single" w:color="auto" w:sz="4" w:space="0"/>
              <w:bottom w:val="single" w:color="auto" w:sz="4" w:space="0"/>
              <w:right w:val="single" w:color="auto" w:sz="4" w:space="0"/>
            </w:tcBorders>
            <w:shd w:val="clear" w:color="auto" w:fill="FFFFFF"/>
            <w:vAlign w:val="center"/>
          </w:tcPr>
          <w:p>
            <w:pPr>
              <w:widowControl/>
              <w:jc w:val="center"/>
              <w:rPr>
                <w:rFonts w:asciiTheme="minorEastAsia" w:hAnsiTheme="minorEastAsia" w:eastAsiaTheme="minorEastAsia" w:cstheme="minorEastAsia"/>
                <w:color w:val="auto"/>
                <w:kern w:val="0"/>
                <w:sz w:val="18"/>
                <w:szCs w:val="18"/>
                <w:highlight w:val="none"/>
              </w:rPr>
            </w:pPr>
          </w:p>
        </w:tc>
        <w:tc>
          <w:tcPr>
            <w:tcW w:w="3640" w:type="dxa"/>
            <w:tcBorders>
              <w:top w:val="nil"/>
              <w:left w:val="nil"/>
              <w:bottom w:val="single" w:color="auto" w:sz="4" w:space="0"/>
              <w:right w:val="single" w:color="auto" w:sz="4" w:space="0"/>
            </w:tcBorders>
            <w:shd w:val="clear" w:color="auto" w:fill="FFFFFF"/>
            <w:vAlign w:val="center"/>
          </w:tcPr>
          <w:p>
            <w:pPr>
              <w:widowControl/>
              <w:jc w:val="left"/>
              <w:rPr>
                <w:rFonts w:asciiTheme="minorEastAsia" w:hAnsiTheme="minorEastAsia" w:eastAsiaTheme="minorEastAsia" w:cstheme="minorEastAsia"/>
                <w:color w:val="auto"/>
                <w:kern w:val="0"/>
                <w:sz w:val="18"/>
                <w:szCs w:val="18"/>
                <w:highlight w:val="none"/>
              </w:rPr>
            </w:pPr>
          </w:p>
        </w:tc>
        <w:tc>
          <w:tcPr>
            <w:tcW w:w="840" w:type="dxa"/>
            <w:tcBorders>
              <w:top w:val="nil"/>
              <w:left w:val="nil"/>
              <w:bottom w:val="single" w:color="auto" w:sz="4" w:space="0"/>
              <w:right w:val="single" w:color="auto" w:sz="4" w:space="0"/>
            </w:tcBorders>
            <w:shd w:val="clear" w:color="auto" w:fill="FFFFFF"/>
            <w:vAlign w:val="center"/>
          </w:tcPr>
          <w:p>
            <w:pPr>
              <w:widowControl/>
              <w:jc w:val="center"/>
              <w:rPr>
                <w:rFonts w:asciiTheme="minorEastAsia" w:hAnsiTheme="minorEastAsia" w:eastAsiaTheme="minorEastAsia" w:cstheme="minorEastAsia"/>
                <w:color w:val="auto"/>
                <w:kern w:val="0"/>
                <w:sz w:val="18"/>
                <w:szCs w:val="18"/>
                <w:highlight w:val="none"/>
              </w:rPr>
            </w:pPr>
          </w:p>
        </w:tc>
        <w:tc>
          <w:tcPr>
            <w:tcW w:w="1420" w:type="dxa"/>
            <w:tcBorders>
              <w:top w:val="nil"/>
              <w:left w:val="nil"/>
              <w:bottom w:val="single" w:color="auto" w:sz="4" w:space="0"/>
              <w:right w:val="single" w:color="auto" w:sz="4" w:space="0"/>
            </w:tcBorders>
            <w:shd w:val="clear" w:color="auto" w:fill="FFFFFF"/>
            <w:vAlign w:val="center"/>
          </w:tcPr>
          <w:p>
            <w:pPr>
              <w:widowControl/>
              <w:jc w:val="right"/>
              <w:rPr>
                <w:rFonts w:asciiTheme="minorEastAsia" w:hAnsiTheme="minorEastAsia" w:eastAsiaTheme="minorEastAsia" w:cstheme="minorEastAsia"/>
                <w:color w:val="auto"/>
                <w:kern w:val="0"/>
                <w:sz w:val="18"/>
                <w:szCs w:val="18"/>
                <w:highlight w:val="none"/>
              </w:rPr>
            </w:pPr>
          </w:p>
        </w:tc>
        <w:tc>
          <w:tcPr>
            <w:tcW w:w="1815" w:type="dxa"/>
            <w:tcBorders>
              <w:top w:val="nil"/>
              <w:left w:val="nil"/>
              <w:bottom w:val="single" w:color="auto" w:sz="4" w:space="0"/>
              <w:right w:val="single" w:color="auto" w:sz="4" w:space="0"/>
            </w:tcBorders>
            <w:shd w:val="clear" w:color="auto" w:fill="FFFFFF"/>
            <w:vAlign w:val="center"/>
          </w:tcPr>
          <w:p>
            <w:pPr>
              <w:widowControl/>
              <w:jc w:val="right"/>
              <w:rPr>
                <w:rFonts w:asciiTheme="minorEastAsia" w:hAnsiTheme="minorEastAsia" w:eastAsiaTheme="minorEastAsia" w:cstheme="minorEastAsia"/>
                <w:color w:val="auto"/>
                <w:kern w:val="0"/>
                <w:sz w:val="18"/>
                <w:szCs w:val="18"/>
                <w:highlight w:val="none"/>
              </w:rPr>
            </w:pPr>
          </w:p>
        </w:tc>
      </w:tr>
      <w:tr>
        <w:tblPrEx>
          <w:tblCellMar>
            <w:top w:w="0" w:type="dxa"/>
            <w:left w:w="108" w:type="dxa"/>
            <w:bottom w:w="0" w:type="dxa"/>
            <w:right w:w="108" w:type="dxa"/>
          </w:tblCellMar>
        </w:tblPrEx>
        <w:trPr>
          <w:trHeight w:val="397" w:hRule="atLeast"/>
          <w:jc w:val="center"/>
        </w:trPr>
        <w:tc>
          <w:tcPr>
            <w:tcW w:w="580" w:type="dxa"/>
            <w:tcBorders>
              <w:top w:val="nil"/>
              <w:left w:val="single" w:color="auto" w:sz="4" w:space="0"/>
              <w:bottom w:val="single" w:color="auto" w:sz="4" w:space="0"/>
              <w:right w:val="single" w:color="auto" w:sz="4" w:space="0"/>
            </w:tcBorders>
            <w:shd w:val="clear" w:color="auto" w:fill="FFFFFF"/>
            <w:vAlign w:val="center"/>
          </w:tcPr>
          <w:p>
            <w:pPr>
              <w:widowControl/>
              <w:jc w:val="center"/>
              <w:rPr>
                <w:rFonts w:asciiTheme="minorEastAsia" w:hAnsiTheme="minorEastAsia" w:eastAsiaTheme="minorEastAsia" w:cstheme="minorEastAsia"/>
                <w:color w:val="auto"/>
                <w:kern w:val="0"/>
                <w:sz w:val="18"/>
                <w:szCs w:val="18"/>
                <w:highlight w:val="none"/>
              </w:rPr>
            </w:pPr>
          </w:p>
        </w:tc>
        <w:tc>
          <w:tcPr>
            <w:tcW w:w="3640" w:type="dxa"/>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cstheme="minorEastAsia"/>
                <w:color w:val="auto"/>
                <w:kern w:val="0"/>
                <w:sz w:val="18"/>
                <w:szCs w:val="18"/>
                <w:highlight w:val="none"/>
              </w:rPr>
            </w:pPr>
          </w:p>
        </w:tc>
        <w:tc>
          <w:tcPr>
            <w:tcW w:w="840" w:type="dxa"/>
            <w:tcBorders>
              <w:top w:val="nil"/>
              <w:left w:val="nil"/>
              <w:bottom w:val="single" w:color="auto" w:sz="4" w:space="0"/>
              <w:right w:val="single" w:color="auto" w:sz="4" w:space="0"/>
            </w:tcBorders>
            <w:vAlign w:val="center"/>
          </w:tcPr>
          <w:p>
            <w:pPr>
              <w:widowControl/>
              <w:jc w:val="center"/>
              <w:rPr>
                <w:rFonts w:asciiTheme="minorEastAsia" w:hAnsiTheme="minorEastAsia" w:eastAsiaTheme="minorEastAsia" w:cstheme="minorEastAsia"/>
                <w:color w:val="auto"/>
                <w:kern w:val="0"/>
                <w:sz w:val="18"/>
                <w:szCs w:val="18"/>
                <w:highlight w:val="none"/>
              </w:rPr>
            </w:pPr>
          </w:p>
        </w:tc>
        <w:tc>
          <w:tcPr>
            <w:tcW w:w="1420" w:type="dxa"/>
            <w:tcBorders>
              <w:top w:val="nil"/>
              <w:left w:val="nil"/>
              <w:bottom w:val="single" w:color="auto" w:sz="4" w:space="0"/>
              <w:right w:val="single" w:color="auto" w:sz="4" w:space="0"/>
            </w:tcBorders>
            <w:vAlign w:val="center"/>
          </w:tcPr>
          <w:p>
            <w:pPr>
              <w:widowControl/>
              <w:jc w:val="right"/>
              <w:rPr>
                <w:rFonts w:asciiTheme="minorEastAsia" w:hAnsiTheme="minorEastAsia" w:eastAsiaTheme="minorEastAsia" w:cstheme="minorEastAsia"/>
                <w:color w:val="auto"/>
                <w:kern w:val="0"/>
                <w:sz w:val="18"/>
                <w:szCs w:val="18"/>
                <w:highlight w:val="none"/>
              </w:rPr>
            </w:pPr>
          </w:p>
        </w:tc>
        <w:tc>
          <w:tcPr>
            <w:tcW w:w="1815" w:type="dxa"/>
            <w:tcBorders>
              <w:top w:val="nil"/>
              <w:left w:val="nil"/>
              <w:bottom w:val="single" w:color="auto" w:sz="4" w:space="0"/>
              <w:right w:val="single" w:color="auto" w:sz="4" w:space="0"/>
            </w:tcBorders>
            <w:vAlign w:val="center"/>
          </w:tcPr>
          <w:p>
            <w:pPr>
              <w:widowControl/>
              <w:jc w:val="right"/>
              <w:rPr>
                <w:rFonts w:asciiTheme="minorEastAsia" w:hAnsiTheme="minorEastAsia" w:eastAsiaTheme="minorEastAsia" w:cstheme="minorEastAsia"/>
                <w:color w:val="auto"/>
                <w:kern w:val="0"/>
                <w:sz w:val="18"/>
                <w:szCs w:val="18"/>
                <w:highlight w:val="none"/>
              </w:rPr>
            </w:pPr>
          </w:p>
        </w:tc>
      </w:tr>
      <w:tr>
        <w:tblPrEx>
          <w:tblCellMar>
            <w:top w:w="0" w:type="dxa"/>
            <w:left w:w="108" w:type="dxa"/>
            <w:bottom w:w="0" w:type="dxa"/>
            <w:right w:w="108" w:type="dxa"/>
          </w:tblCellMar>
        </w:tblPrEx>
        <w:trPr>
          <w:trHeight w:val="397" w:hRule="atLeast"/>
          <w:jc w:val="center"/>
        </w:trPr>
        <w:tc>
          <w:tcPr>
            <w:tcW w:w="580" w:type="dxa"/>
            <w:tcBorders>
              <w:top w:val="nil"/>
              <w:left w:val="single" w:color="auto" w:sz="4" w:space="0"/>
              <w:bottom w:val="single" w:color="auto" w:sz="4" w:space="0"/>
              <w:right w:val="single" w:color="auto" w:sz="4" w:space="0"/>
            </w:tcBorders>
            <w:shd w:val="clear" w:color="auto" w:fill="FFFFFF"/>
            <w:vAlign w:val="center"/>
          </w:tcPr>
          <w:p>
            <w:pPr>
              <w:widowControl/>
              <w:jc w:val="center"/>
              <w:rPr>
                <w:rFonts w:asciiTheme="minorEastAsia" w:hAnsiTheme="minorEastAsia" w:eastAsiaTheme="minorEastAsia" w:cstheme="minorEastAsia"/>
                <w:color w:val="auto"/>
                <w:kern w:val="0"/>
                <w:sz w:val="18"/>
                <w:szCs w:val="18"/>
                <w:highlight w:val="none"/>
              </w:rPr>
            </w:pPr>
          </w:p>
        </w:tc>
        <w:tc>
          <w:tcPr>
            <w:tcW w:w="3640" w:type="dxa"/>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cstheme="minorEastAsia"/>
                <w:color w:val="auto"/>
                <w:kern w:val="0"/>
                <w:sz w:val="18"/>
                <w:szCs w:val="18"/>
                <w:highlight w:val="none"/>
              </w:rPr>
            </w:pPr>
          </w:p>
        </w:tc>
        <w:tc>
          <w:tcPr>
            <w:tcW w:w="840" w:type="dxa"/>
            <w:tcBorders>
              <w:top w:val="nil"/>
              <w:left w:val="nil"/>
              <w:bottom w:val="single" w:color="auto" w:sz="4" w:space="0"/>
              <w:right w:val="single" w:color="auto" w:sz="4" w:space="0"/>
            </w:tcBorders>
            <w:vAlign w:val="center"/>
          </w:tcPr>
          <w:p>
            <w:pPr>
              <w:widowControl/>
              <w:jc w:val="center"/>
              <w:rPr>
                <w:rFonts w:asciiTheme="minorEastAsia" w:hAnsiTheme="minorEastAsia" w:eastAsiaTheme="minorEastAsia" w:cstheme="minorEastAsia"/>
                <w:color w:val="auto"/>
                <w:kern w:val="0"/>
                <w:sz w:val="18"/>
                <w:szCs w:val="18"/>
                <w:highlight w:val="none"/>
              </w:rPr>
            </w:pPr>
          </w:p>
        </w:tc>
        <w:tc>
          <w:tcPr>
            <w:tcW w:w="1420" w:type="dxa"/>
            <w:tcBorders>
              <w:top w:val="nil"/>
              <w:left w:val="nil"/>
              <w:bottom w:val="single" w:color="auto" w:sz="4" w:space="0"/>
              <w:right w:val="single" w:color="auto" w:sz="4" w:space="0"/>
            </w:tcBorders>
            <w:vAlign w:val="center"/>
          </w:tcPr>
          <w:p>
            <w:pPr>
              <w:widowControl/>
              <w:jc w:val="right"/>
              <w:rPr>
                <w:rFonts w:asciiTheme="minorEastAsia" w:hAnsiTheme="minorEastAsia" w:eastAsiaTheme="minorEastAsia" w:cstheme="minorEastAsia"/>
                <w:color w:val="auto"/>
                <w:kern w:val="0"/>
                <w:sz w:val="18"/>
                <w:szCs w:val="18"/>
                <w:highlight w:val="none"/>
              </w:rPr>
            </w:pPr>
          </w:p>
        </w:tc>
        <w:tc>
          <w:tcPr>
            <w:tcW w:w="1815" w:type="dxa"/>
            <w:tcBorders>
              <w:top w:val="nil"/>
              <w:left w:val="nil"/>
              <w:bottom w:val="single" w:color="auto" w:sz="4" w:space="0"/>
              <w:right w:val="single" w:color="auto" w:sz="4" w:space="0"/>
            </w:tcBorders>
            <w:vAlign w:val="center"/>
          </w:tcPr>
          <w:p>
            <w:pPr>
              <w:widowControl/>
              <w:jc w:val="right"/>
              <w:rPr>
                <w:rFonts w:asciiTheme="minorEastAsia" w:hAnsiTheme="minorEastAsia" w:eastAsiaTheme="minorEastAsia" w:cstheme="minorEastAsia"/>
                <w:color w:val="auto"/>
                <w:kern w:val="0"/>
                <w:sz w:val="18"/>
                <w:szCs w:val="18"/>
                <w:highlight w:val="none"/>
              </w:rPr>
            </w:pPr>
          </w:p>
        </w:tc>
      </w:tr>
      <w:tr>
        <w:tblPrEx>
          <w:tblCellMar>
            <w:top w:w="0" w:type="dxa"/>
            <w:left w:w="108" w:type="dxa"/>
            <w:bottom w:w="0" w:type="dxa"/>
            <w:right w:w="108" w:type="dxa"/>
          </w:tblCellMar>
        </w:tblPrEx>
        <w:trPr>
          <w:trHeight w:val="397" w:hRule="atLeast"/>
          <w:jc w:val="center"/>
        </w:trPr>
        <w:tc>
          <w:tcPr>
            <w:tcW w:w="580" w:type="dxa"/>
            <w:tcBorders>
              <w:top w:val="nil"/>
              <w:left w:val="single" w:color="auto" w:sz="4" w:space="0"/>
              <w:bottom w:val="single" w:color="auto" w:sz="4" w:space="0"/>
              <w:right w:val="single" w:color="auto" w:sz="4" w:space="0"/>
            </w:tcBorders>
            <w:shd w:val="clear" w:color="auto" w:fill="FFFFFF"/>
            <w:vAlign w:val="center"/>
          </w:tcPr>
          <w:p>
            <w:pPr>
              <w:widowControl/>
              <w:jc w:val="center"/>
              <w:rPr>
                <w:rFonts w:asciiTheme="minorEastAsia" w:hAnsiTheme="minorEastAsia" w:eastAsiaTheme="minorEastAsia" w:cstheme="minorEastAsia"/>
                <w:color w:val="auto"/>
                <w:kern w:val="0"/>
                <w:sz w:val="18"/>
                <w:szCs w:val="18"/>
                <w:highlight w:val="none"/>
              </w:rPr>
            </w:pPr>
          </w:p>
        </w:tc>
        <w:tc>
          <w:tcPr>
            <w:tcW w:w="3640" w:type="dxa"/>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cstheme="minorEastAsia"/>
                <w:color w:val="auto"/>
                <w:kern w:val="0"/>
                <w:sz w:val="18"/>
                <w:szCs w:val="18"/>
                <w:highlight w:val="none"/>
              </w:rPr>
            </w:pPr>
          </w:p>
        </w:tc>
        <w:tc>
          <w:tcPr>
            <w:tcW w:w="840" w:type="dxa"/>
            <w:tcBorders>
              <w:top w:val="nil"/>
              <w:left w:val="nil"/>
              <w:bottom w:val="single" w:color="auto" w:sz="4" w:space="0"/>
              <w:right w:val="single" w:color="auto" w:sz="4" w:space="0"/>
            </w:tcBorders>
            <w:vAlign w:val="center"/>
          </w:tcPr>
          <w:p>
            <w:pPr>
              <w:widowControl/>
              <w:jc w:val="center"/>
              <w:rPr>
                <w:rFonts w:asciiTheme="minorEastAsia" w:hAnsiTheme="minorEastAsia" w:eastAsiaTheme="minorEastAsia" w:cstheme="minorEastAsia"/>
                <w:color w:val="auto"/>
                <w:kern w:val="0"/>
                <w:sz w:val="18"/>
                <w:szCs w:val="18"/>
                <w:highlight w:val="none"/>
              </w:rPr>
            </w:pPr>
          </w:p>
        </w:tc>
        <w:tc>
          <w:tcPr>
            <w:tcW w:w="1420" w:type="dxa"/>
            <w:tcBorders>
              <w:top w:val="nil"/>
              <w:left w:val="nil"/>
              <w:bottom w:val="single" w:color="auto" w:sz="4" w:space="0"/>
              <w:right w:val="single" w:color="auto" w:sz="4" w:space="0"/>
            </w:tcBorders>
            <w:vAlign w:val="center"/>
          </w:tcPr>
          <w:p>
            <w:pPr>
              <w:widowControl/>
              <w:jc w:val="right"/>
              <w:rPr>
                <w:rFonts w:asciiTheme="minorEastAsia" w:hAnsiTheme="minorEastAsia" w:eastAsiaTheme="minorEastAsia" w:cstheme="minorEastAsia"/>
                <w:color w:val="auto"/>
                <w:kern w:val="0"/>
                <w:sz w:val="18"/>
                <w:szCs w:val="18"/>
                <w:highlight w:val="none"/>
              </w:rPr>
            </w:pPr>
          </w:p>
        </w:tc>
        <w:tc>
          <w:tcPr>
            <w:tcW w:w="1815" w:type="dxa"/>
            <w:tcBorders>
              <w:top w:val="nil"/>
              <w:left w:val="nil"/>
              <w:bottom w:val="single" w:color="auto" w:sz="4" w:space="0"/>
              <w:right w:val="single" w:color="auto" w:sz="4" w:space="0"/>
            </w:tcBorders>
            <w:vAlign w:val="center"/>
          </w:tcPr>
          <w:p>
            <w:pPr>
              <w:widowControl/>
              <w:jc w:val="right"/>
              <w:rPr>
                <w:rFonts w:asciiTheme="minorEastAsia" w:hAnsiTheme="minorEastAsia" w:eastAsiaTheme="minorEastAsia" w:cstheme="minorEastAsia"/>
                <w:color w:val="auto"/>
                <w:kern w:val="0"/>
                <w:sz w:val="18"/>
                <w:szCs w:val="18"/>
                <w:highlight w:val="none"/>
              </w:rPr>
            </w:pPr>
          </w:p>
        </w:tc>
      </w:tr>
      <w:tr>
        <w:tblPrEx>
          <w:tblCellMar>
            <w:top w:w="0" w:type="dxa"/>
            <w:left w:w="108" w:type="dxa"/>
            <w:bottom w:w="0" w:type="dxa"/>
            <w:right w:w="108" w:type="dxa"/>
          </w:tblCellMar>
        </w:tblPrEx>
        <w:trPr>
          <w:trHeight w:val="397" w:hRule="atLeast"/>
          <w:jc w:val="center"/>
        </w:trPr>
        <w:tc>
          <w:tcPr>
            <w:tcW w:w="580" w:type="dxa"/>
            <w:tcBorders>
              <w:top w:val="nil"/>
              <w:left w:val="single" w:color="auto" w:sz="4" w:space="0"/>
              <w:bottom w:val="single" w:color="auto" w:sz="4" w:space="0"/>
              <w:right w:val="single" w:color="auto" w:sz="4" w:space="0"/>
            </w:tcBorders>
            <w:shd w:val="clear" w:color="auto" w:fill="FFFFFF"/>
            <w:vAlign w:val="center"/>
          </w:tcPr>
          <w:p>
            <w:pPr>
              <w:widowControl/>
              <w:jc w:val="center"/>
              <w:rPr>
                <w:rFonts w:asciiTheme="minorEastAsia" w:hAnsiTheme="minorEastAsia" w:eastAsiaTheme="minorEastAsia" w:cstheme="minorEastAsia"/>
                <w:color w:val="auto"/>
                <w:kern w:val="0"/>
                <w:sz w:val="18"/>
                <w:szCs w:val="18"/>
                <w:highlight w:val="none"/>
              </w:rPr>
            </w:pPr>
          </w:p>
        </w:tc>
        <w:tc>
          <w:tcPr>
            <w:tcW w:w="3640" w:type="dxa"/>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cstheme="minorEastAsia"/>
                <w:color w:val="auto"/>
                <w:kern w:val="0"/>
                <w:sz w:val="18"/>
                <w:szCs w:val="18"/>
                <w:highlight w:val="none"/>
              </w:rPr>
            </w:pPr>
          </w:p>
        </w:tc>
        <w:tc>
          <w:tcPr>
            <w:tcW w:w="840" w:type="dxa"/>
            <w:tcBorders>
              <w:top w:val="nil"/>
              <w:left w:val="nil"/>
              <w:bottom w:val="single" w:color="auto" w:sz="4" w:space="0"/>
              <w:right w:val="single" w:color="auto" w:sz="4" w:space="0"/>
            </w:tcBorders>
            <w:vAlign w:val="center"/>
          </w:tcPr>
          <w:p>
            <w:pPr>
              <w:widowControl/>
              <w:jc w:val="center"/>
              <w:rPr>
                <w:rFonts w:asciiTheme="minorEastAsia" w:hAnsiTheme="minorEastAsia" w:eastAsiaTheme="minorEastAsia" w:cstheme="minorEastAsia"/>
                <w:color w:val="auto"/>
                <w:kern w:val="0"/>
                <w:sz w:val="18"/>
                <w:szCs w:val="18"/>
                <w:highlight w:val="none"/>
              </w:rPr>
            </w:pPr>
          </w:p>
        </w:tc>
        <w:tc>
          <w:tcPr>
            <w:tcW w:w="1420" w:type="dxa"/>
            <w:tcBorders>
              <w:top w:val="nil"/>
              <w:left w:val="nil"/>
              <w:bottom w:val="single" w:color="auto" w:sz="4" w:space="0"/>
              <w:right w:val="single" w:color="auto" w:sz="4" w:space="0"/>
            </w:tcBorders>
            <w:vAlign w:val="center"/>
          </w:tcPr>
          <w:p>
            <w:pPr>
              <w:widowControl/>
              <w:jc w:val="right"/>
              <w:rPr>
                <w:rFonts w:asciiTheme="minorEastAsia" w:hAnsiTheme="minorEastAsia" w:eastAsiaTheme="minorEastAsia" w:cstheme="minorEastAsia"/>
                <w:color w:val="auto"/>
                <w:kern w:val="0"/>
                <w:sz w:val="18"/>
                <w:szCs w:val="18"/>
                <w:highlight w:val="none"/>
              </w:rPr>
            </w:pPr>
          </w:p>
        </w:tc>
        <w:tc>
          <w:tcPr>
            <w:tcW w:w="1815" w:type="dxa"/>
            <w:tcBorders>
              <w:top w:val="nil"/>
              <w:left w:val="nil"/>
              <w:bottom w:val="single" w:color="auto" w:sz="4" w:space="0"/>
              <w:right w:val="single" w:color="auto" w:sz="4" w:space="0"/>
            </w:tcBorders>
            <w:vAlign w:val="center"/>
          </w:tcPr>
          <w:p>
            <w:pPr>
              <w:widowControl/>
              <w:jc w:val="right"/>
              <w:rPr>
                <w:rFonts w:asciiTheme="minorEastAsia" w:hAnsiTheme="minorEastAsia" w:eastAsiaTheme="minorEastAsia" w:cstheme="minorEastAsia"/>
                <w:color w:val="auto"/>
                <w:kern w:val="0"/>
                <w:sz w:val="18"/>
                <w:szCs w:val="18"/>
                <w:highlight w:val="none"/>
              </w:rPr>
            </w:pPr>
          </w:p>
        </w:tc>
      </w:tr>
      <w:tr>
        <w:tblPrEx>
          <w:tblCellMar>
            <w:top w:w="0" w:type="dxa"/>
            <w:left w:w="108" w:type="dxa"/>
            <w:bottom w:w="0" w:type="dxa"/>
            <w:right w:w="108" w:type="dxa"/>
          </w:tblCellMar>
        </w:tblPrEx>
        <w:trPr>
          <w:trHeight w:val="397" w:hRule="atLeast"/>
          <w:jc w:val="center"/>
        </w:trPr>
        <w:tc>
          <w:tcPr>
            <w:tcW w:w="580" w:type="dxa"/>
            <w:tcBorders>
              <w:top w:val="nil"/>
              <w:left w:val="single" w:color="auto" w:sz="4" w:space="0"/>
              <w:bottom w:val="single" w:color="auto" w:sz="4" w:space="0"/>
              <w:right w:val="single" w:color="auto" w:sz="4" w:space="0"/>
            </w:tcBorders>
            <w:shd w:val="clear" w:color="auto" w:fill="FFFFFF"/>
            <w:vAlign w:val="center"/>
          </w:tcPr>
          <w:p>
            <w:pPr>
              <w:widowControl/>
              <w:jc w:val="center"/>
              <w:rPr>
                <w:rFonts w:asciiTheme="minorEastAsia" w:hAnsiTheme="minorEastAsia" w:eastAsiaTheme="minorEastAsia" w:cstheme="minorEastAsia"/>
                <w:color w:val="auto"/>
                <w:kern w:val="0"/>
                <w:sz w:val="18"/>
                <w:szCs w:val="18"/>
                <w:highlight w:val="none"/>
              </w:rPr>
            </w:pPr>
          </w:p>
        </w:tc>
        <w:tc>
          <w:tcPr>
            <w:tcW w:w="3640" w:type="dxa"/>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cstheme="minorEastAsia"/>
                <w:color w:val="auto"/>
                <w:kern w:val="0"/>
                <w:sz w:val="18"/>
                <w:szCs w:val="18"/>
                <w:highlight w:val="none"/>
              </w:rPr>
            </w:pPr>
          </w:p>
        </w:tc>
        <w:tc>
          <w:tcPr>
            <w:tcW w:w="840" w:type="dxa"/>
            <w:tcBorders>
              <w:top w:val="nil"/>
              <w:left w:val="nil"/>
              <w:bottom w:val="single" w:color="auto" w:sz="4" w:space="0"/>
              <w:right w:val="single" w:color="auto" w:sz="4" w:space="0"/>
            </w:tcBorders>
            <w:vAlign w:val="center"/>
          </w:tcPr>
          <w:p>
            <w:pPr>
              <w:widowControl/>
              <w:jc w:val="center"/>
              <w:rPr>
                <w:rFonts w:asciiTheme="minorEastAsia" w:hAnsiTheme="minorEastAsia" w:eastAsiaTheme="minorEastAsia" w:cstheme="minorEastAsia"/>
                <w:color w:val="auto"/>
                <w:kern w:val="0"/>
                <w:sz w:val="18"/>
                <w:szCs w:val="18"/>
                <w:highlight w:val="none"/>
              </w:rPr>
            </w:pPr>
          </w:p>
        </w:tc>
        <w:tc>
          <w:tcPr>
            <w:tcW w:w="1420" w:type="dxa"/>
            <w:tcBorders>
              <w:top w:val="nil"/>
              <w:left w:val="nil"/>
              <w:bottom w:val="single" w:color="auto" w:sz="4" w:space="0"/>
              <w:right w:val="single" w:color="auto" w:sz="4" w:space="0"/>
            </w:tcBorders>
            <w:vAlign w:val="center"/>
          </w:tcPr>
          <w:p>
            <w:pPr>
              <w:widowControl/>
              <w:jc w:val="right"/>
              <w:rPr>
                <w:rFonts w:asciiTheme="minorEastAsia" w:hAnsiTheme="minorEastAsia" w:eastAsiaTheme="minorEastAsia" w:cstheme="minorEastAsia"/>
                <w:color w:val="auto"/>
                <w:kern w:val="0"/>
                <w:sz w:val="18"/>
                <w:szCs w:val="18"/>
                <w:highlight w:val="none"/>
              </w:rPr>
            </w:pPr>
          </w:p>
        </w:tc>
        <w:tc>
          <w:tcPr>
            <w:tcW w:w="1815" w:type="dxa"/>
            <w:tcBorders>
              <w:top w:val="nil"/>
              <w:left w:val="nil"/>
              <w:bottom w:val="single" w:color="auto" w:sz="4" w:space="0"/>
              <w:right w:val="single" w:color="auto" w:sz="4" w:space="0"/>
            </w:tcBorders>
            <w:vAlign w:val="center"/>
          </w:tcPr>
          <w:p>
            <w:pPr>
              <w:widowControl/>
              <w:jc w:val="center"/>
              <w:rPr>
                <w:rFonts w:asciiTheme="minorEastAsia" w:hAnsiTheme="minorEastAsia" w:eastAsiaTheme="minorEastAsia" w:cstheme="minorEastAsia"/>
                <w:color w:val="auto"/>
                <w:kern w:val="0"/>
                <w:sz w:val="18"/>
                <w:szCs w:val="18"/>
                <w:highlight w:val="none"/>
              </w:rPr>
            </w:pPr>
          </w:p>
        </w:tc>
      </w:tr>
      <w:tr>
        <w:tblPrEx>
          <w:tblCellMar>
            <w:top w:w="0" w:type="dxa"/>
            <w:left w:w="108" w:type="dxa"/>
            <w:bottom w:w="0" w:type="dxa"/>
            <w:right w:w="108" w:type="dxa"/>
          </w:tblCellMar>
        </w:tblPrEx>
        <w:trPr>
          <w:trHeight w:val="397" w:hRule="atLeast"/>
          <w:jc w:val="center"/>
        </w:trPr>
        <w:tc>
          <w:tcPr>
            <w:tcW w:w="580" w:type="dxa"/>
            <w:tcBorders>
              <w:top w:val="nil"/>
              <w:left w:val="single" w:color="auto" w:sz="4" w:space="0"/>
              <w:bottom w:val="single" w:color="auto" w:sz="4" w:space="0"/>
              <w:right w:val="single" w:color="auto" w:sz="4" w:space="0"/>
            </w:tcBorders>
            <w:shd w:val="clear" w:color="auto" w:fill="FFFFFF"/>
            <w:vAlign w:val="center"/>
          </w:tcPr>
          <w:p>
            <w:pPr>
              <w:widowControl/>
              <w:jc w:val="center"/>
              <w:rPr>
                <w:rFonts w:asciiTheme="minorEastAsia" w:hAnsiTheme="minorEastAsia" w:eastAsiaTheme="minorEastAsia" w:cstheme="minorEastAsia"/>
                <w:color w:val="auto"/>
                <w:kern w:val="0"/>
                <w:sz w:val="18"/>
                <w:szCs w:val="18"/>
                <w:highlight w:val="none"/>
              </w:rPr>
            </w:pPr>
          </w:p>
        </w:tc>
        <w:tc>
          <w:tcPr>
            <w:tcW w:w="3640" w:type="dxa"/>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cstheme="minorEastAsia"/>
                <w:color w:val="auto"/>
                <w:kern w:val="0"/>
                <w:sz w:val="18"/>
                <w:szCs w:val="18"/>
                <w:highlight w:val="none"/>
              </w:rPr>
            </w:pPr>
          </w:p>
        </w:tc>
        <w:tc>
          <w:tcPr>
            <w:tcW w:w="840" w:type="dxa"/>
            <w:tcBorders>
              <w:top w:val="nil"/>
              <w:left w:val="nil"/>
              <w:bottom w:val="single" w:color="auto" w:sz="4" w:space="0"/>
              <w:right w:val="single" w:color="auto" w:sz="4" w:space="0"/>
            </w:tcBorders>
            <w:vAlign w:val="center"/>
          </w:tcPr>
          <w:p>
            <w:pPr>
              <w:widowControl/>
              <w:jc w:val="center"/>
              <w:rPr>
                <w:rFonts w:asciiTheme="minorEastAsia" w:hAnsiTheme="minorEastAsia" w:eastAsiaTheme="minorEastAsia" w:cstheme="minorEastAsia"/>
                <w:color w:val="auto"/>
                <w:kern w:val="0"/>
                <w:sz w:val="18"/>
                <w:szCs w:val="18"/>
                <w:highlight w:val="none"/>
              </w:rPr>
            </w:pPr>
          </w:p>
        </w:tc>
        <w:tc>
          <w:tcPr>
            <w:tcW w:w="1420" w:type="dxa"/>
            <w:tcBorders>
              <w:top w:val="nil"/>
              <w:left w:val="nil"/>
              <w:bottom w:val="single" w:color="auto" w:sz="4" w:space="0"/>
              <w:right w:val="single" w:color="auto" w:sz="4" w:space="0"/>
            </w:tcBorders>
            <w:vAlign w:val="center"/>
          </w:tcPr>
          <w:p>
            <w:pPr>
              <w:widowControl/>
              <w:jc w:val="right"/>
              <w:rPr>
                <w:rFonts w:asciiTheme="minorEastAsia" w:hAnsiTheme="minorEastAsia" w:eastAsiaTheme="minorEastAsia" w:cstheme="minorEastAsia"/>
                <w:color w:val="auto"/>
                <w:kern w:val="0"/>
                <w:sz w:val="18"/>
                <w:szCs w:val="18"/>
                <w:highlight w:val="none"/>
              </w:rPr>
            </w:pPr>
          </w:p>
        </w:tc>
        <w:tc>
          <w:tcPr>
            <w:tcW w:w="1815" w:type="dxa"/>
            <w:tcBorders>
              <w:top w:val="nil"/>
              <w:left w:val="nil"/>
              <w:bottom w:val="single" w:color="auto" w:sz="4" w:space="0"/>
              <w:right w:val="single" w:color="auto" w:sz="4" w:space="0"/>
            </w:tcBorders>
            <w:vAlign w:val="center"/>
          </w:tcPr>
          <w:p>
            <w:pPr>
              <w:widowControl/>
              <w:jc w:val="center"/>
              <w:rPr>
                <w:rFonts w:asciiTheme="minorEastAsia" w:hAnsiTheme="minorEastAsia" w:eastAsiaTheme="minorEastAsia" w:cstheme="minorEastAsia"/>
                <w:color w:val="auto"/>
                <w:kern w:val="0"/>
                <w:sz w:val="18"/>
                <w:szCs w:val="18"/>
                <w:highlight w:val="none"/>
              </w:rPr>
            </w:pPr>
          </w:p>
        </w:tc>
      </w:tr>
      <w:tr>
        <w:tblPrEx>
          <w:tblCellMar>
            <w:top w:w="0" w:type="dxa"/>
            <w:left w:w="108" w:type="dxa"/>
            <w:bottom w:w="0" w:type="dxa"/>
            <w:right w:w="108" w:type="dxa"/>
          </w:tblCellMar>
        </w:tblPrEx>
        <w:trPr>
          <w:trHeight w:val="397" w:hRule="atLeast"/>
          <w:jc w:val="center"/>
        </w:trPr>
        <w:tc>
          <w:tcPr>
            <w:tcW w:w="580" w:type="dxa"/>
            <w:tcBorders>
              <w:top w:val="nil"/>
              <w:left w:val="single" w:color="auto" w:sz="4" w:space="0"/>
              <w:bottom w:val="single" w:color="auto" w:sz="4" w:space="0"/>
              <w:right w:val="single" w:color="auto" w:sz="4" w:space="0"/>
            </w:tcBorders>
            <w:shd w:val="clear" w:color="auto" w:fill="FFFFFF"/>
            <w:vAlign w:val="center"/>
          </w:tcPr>
          <w:p>
            <w:pPr>
              <w:widowControl/>
              <w:jc w:val="center"/>
              <w:rPr>
                <w:rFonts w:asciiTheme="minorEastAsia" w:hAnsiTheme="minorEastAsia" w:eastAsiaTheme="minorEastAsia" w:cstheme="minorEastAsia"/>
                <w:color w:val="auto"/>
                <w:kern w:val="0"/>
                <w:sz w:val="18"/>
                <w:szCs w:val="18"/>
                <w:highlight w:val="none"/>
              </w:rPr>
            </w:pPr>
          </w:p>
        </w:tc>
        <w:tc>
          <w:tcPr>
            <w:tcW w:w="3640" w:type="dxa"/>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cstheme="minorEastAsia"/>
                <w:color w:val="auto"/>
                <w:kern w:val="0"/>
                <w:sz w:val="18"/>
                <w:szCs w:val="18"/>
                <w:highlight w:val="none"/>
              </w:rPr>
            </w:pPr>
          </w:p>
        </w:tc>
        <w:tc>
          <w:tcPr>
            <w:tcW w:w="840" w:type="dxa"/>
            <w:tcBorders>
              <w:top w:val="nil"/>
              <w:left w:val="nil"/>
              <w:bottom w:val="single" w:color="auto" w:sz="4" w:space="0"/>
              <w:right w:val="single" w:color="auto" w:sz="4" w:space="0"/>
            </w:tcBorders>
            <w:vAlign w:val="center"/>
          </w:tcPr>
          <w:p>
            <w:pPr>
              <w:widowControl/>
              <w:jc w:val="center"/>
              <w:rPr>
                <w:rFonts w:asciiTheme="minorEastAsia" w:hAnsiTheme="minorEastAsia" w:eastAsiaTheme="minorEastAsia" w:cstheme="minorEastAsia"/>
                <w:color w:val="auto"/>
                <w:kern w:val="0"/>
                <w:sz w:val="18"/>
                <w:szCs w:val="18"/>
                <w:highlight w:val="none"/>
              </w:rPr>
            </w:pPr>
          </w:p>
        </w:tc>
        <w:tc>
          <w:tcPr>
            <w:tcW w:w="1420" w:type="dxa"/>
            <w:tcBorders>
              <w:top w:val="nil"/>
              <w:left w:val="nil"/>
              <w:bottom w:val="single" w:color="auto" w:sz="4" w:space="0"/>
              <w:right w:val="single" w:color="auto" w:sz="4" w:space="0"/>
            </w:tcBorders>
            <w:vAlign w:val="center"/>
          </w:tcPr>
          <w:p>
            <w:pPr>
              <w:widowControl/>
              <w:jc w:val="right"/>
              <w:rPr>
                <w:rFonts w:asciiTheme="minorEastAsia" w:hAnsiTheme="minorEastAsia" w:eastAsiaTheme="minorEastAsia" w:cstheme="minorEastAsia"/>
                <w:color w:val="auto"/>
                <w:kern w:val="0"/>
                <w:sz w:val="18"/>
                <w:szCs w:val="18"/>
                <w:highlight w:val="none"/>
              </w:rPr>
            </w:pPr>
          </w:p>
        </w:tc>
        <w:tc>
          <w:tcPr>
            <w:tcW w:w="1815" w:type="dxa"/>
            <w:tcBorders>
              <w:top w:val="nil"/>
              <w:left w:val="nil"/>
              <w:bottom w:val="single" w:color="auto" w:sz="4" w:space="0"/>
              <w:right w:val="single" w:color="auto" w:sz="4" w:space="0"/>
            </w:tcBorders>
            <w:vAlign w:val="center"/>
          </w:tcPr>
          <w:p>
            <w:pPr>
              <w:widowControl/>
              <w:jc w:val="right"/>
              <w:rPr>
                <w:rFonts w:asciiTheme="minorEastAsia" w:hAnsiTheme="minorEastAsia" w:eastAsiaTheme="minorEastAsia" w:cstheme="minorEastAsia"/>
                <w:color w:val="auto"/>
                <w:kern w:val="0"/>
                <w:sz w:val="18"/>
                <w:szCs w:val="18"/>
                <w:highlight w:val="none"/>
              </w:rPr>
            </w:pPr>
          </w:p>
        </w:tc>
      </w:tr>
      <w:tr>
        <w:tblPrEx>
          <w:tblCellMar>
            <w:top w:w="0" w:type="dxa"/>
            <w:left w:w="108" w:type="dxa"/>
            <w:bottom w:w="0" w:type="dxa"/>
            <w:right w:w="108" w:type="dxa"/>
          </w:tblCellMar>
        </w:tblPrEx>
        <w:trPr>
          <w:trHeight w:val="397" w:hRule="atLeast"/>
          <w:jc w:val="center"/>
        </w:trPr>
        <w:tc>
          <w:tcPr>
            <w:tcW w:w="580" w:type="dxa"/>
            <w:tcBorders>
              <w:top w:val="nil"/>
              <w:left w:val="single" w:color="auto" w:sz="4" w:space="0"/>
              <w:bottom w:val="single" w:color="auto" w:sz="4" w:space="0"/>
              <w:right w:val="single" w:color="auto" w:sz="4" w:space="0"/>
            </w:tcBorders>
            <w:shd w:val="clear" w:color="auto" w:fill="FFFFFF"/>
            <w:vAlign w:val="center"/>
          </w:tcPr>
          <w:p>
            <w:pPr>
              <w:widowControl/>
              <w:jc w:val="center"/>
              <w:rPr>
                <w:rFonts w:asciiTheme="minorEastAsia" w:hAnsiTheme="minorEastAsia" w:eastAsiaTheme="minorEastAsia" w:cstheme="minorEastAsia"/>
                <w:color w:val="auto"/>
                <w:kern w:val="0"/>
                <w:sz w:val="18"/>
                <w:szCs w:val="18"/>
                <w:highlight w:val="none"/>
              </w:rPr>
            </w:pPr>
          </w:p>
        </w:tc>
        <w:tc>
          <w:tcPr>
            <w:tcW w:w="3640" w:type="dxa"/>
            <w:tcBorders>
              <w:top w:val="nil"/>
              <w:left w:val="nil"/>
              <w:bottom w:val="single" w:color="auto" w:sz="4" w:space="0"/>
              <w:right w:val="single" w:color="auto" w:sz="4" w:space="0"/>
            </w:tcBorders>
            <w:shd w:val="clear" w:color="auto" w:fill="FFFFFF"/>
            <w:vAlign w:val="center"/>
          </w:tcPr>
          <w:p>
            <w:pPr>
              <w:widowControl/>
              <w:jc w:val="left"/>
              <w:rPr>
                <w:rFonts w:asciiTheme="minorEastAsia" w:hAnsiTheme="minorEastAsia" w:eastAsiaTheme="minorEastAsia" w:cstheme="minorEastAsia"/>
                <w:color w:val="auto"/>
                <w:kern w:val="0"/>
                <w:sz w:val="18"/>
                <w:szCs w:val="18"/>
                <w:highlight w:val="none"/>
              </w:rPr>
            </w:pPr>
          </w:p>
        </w:tc>
        <w:tc>
          <w:tcPr>
            <w:tcW w:w="840" w:type="dxa"/>
            <w:tcBorders>
              <w:top w:val="nil"/>
              <w:left w:val="nil"/>
              <w:bottom w:val="single" w:color="auto" w:sz="4" w:space="0"/>
              <w:right w:val="single" w:color="auto" w:sz="4" w:space="0"/>
            </w:tcBorders>
            <w:shd w:val="clear" w:color="auto" w:fill="FFFFFF"/>
            <w:vAlign w:val="center"/>
          </w:tcPr>
          <w:p>
            <w:pPr>
              <w:widowControl/>
              <w:jc w:val="center"/>
              <w:rPr>
                <w:rFonts w:asciiTheme="minorEastAsia" w:hAnsiTheme="minorEastAsia" w:eastAsiaTheme="minorEastAsia" w:cstheme="minorEastAsia"/>
                <w:color w:val="auto"/>
                <w:kern w:val="0"/>
                <w:sz w:val="18"/>
                <w:szCs w:val="18"/>
                <w:highlight w:val="none"/>
              </w:rPr>
            </w:pPr>
          </w:p>
        </w:tc>
        <w:tc>
          <w:tcPr>
            <w:tcW w:w="1420" w:type="dxa"/>
            <w:tcBorders>
              <w:top w:val="nil"/>
              <w:left w:val="nil"/>
              <w:bottom w:val="single" w:color="auto" w:sz="4" w:space="0"/>
              <w:right w:val="single" w:color="auto" w:sz="4" w:space="0"/>
            </w:tcBorders>
            <w:shd w:val="clear" w:color="auto" w:fill="FFFFFF"/>
            <w:vAlign w:val="center"/>
          </w:tcPr>
          <w:p>
            <w:pPr>
              <w:widowControl/>
              <w:jc w:val="right"/>
              <w:rPr>
                <w:rFonts w:asciiTheme="minorEastAsia" w:hAnsiTheme="minorEastAsia" w:eastAsiaTheme="minorEastAsia" w:cstheme="minorEastAsia"/>
                <w:color w:val="auto"/>
                <w:kern w:val="0"/>
                <w:sz w:val="18"/>
                <w:szCs w:val="18"/>
                <w:highlight w:val="none"/>
              </w:rPr>
            </w:pPr>
          </w:p>
        </w:tc>
        <w:tc>
          <w:tcPr>
            <w:tcW w:w="1815" w:type="dxa"/>
            <w:tcBorders>
              <w:top w:val="nil"/>
              <w:left w:val="nil"/>
              <w:bottom w:val="single" w:color="auto" w:sz="4" w:space="0"/>
              <w:right w:val="single" w:color="auto" w:sz="4" w:space="0"/>
            </w:tcBorders>
            <w:shd w:val="clear" w:color="auto" w:fill="FFFFFF"/>
            <w:vAlign w:val="center"/>
          </w:tcPr>
          <w:p>
            <w:pPr>
              <w:widowControl/>
              <w:jc w:val="right"/>
              <w:rPr>
                <w:rFonts w:asciiTheme="minorEastAsia" w:hAnsiTheme="minorEastAsia" w:eastAsiaTheme="minorEastAsia" w:cstheme="minorEastAsia"/>
                <w:color w:val="auto"/>
                <w:kern w:val="0"/>
                <w:sz w:val="18"/>
                <w:szCs w:val="18"/>
                <w:highlight w:val="none"/>
              </w:rPr>
            </w:pPr>
          </w:p>
        </w:tc>
      </w:tr>
      <w:tr>
        <w:tblPrEx>
          <w:tblCellMar>
            <w:top w:w="0" w:type="dxa"/>
            <w:left w:w="108" w:type="dxa"/>
            <w:bottom w:w="0" w:type="dxa"/>
            <w:right w:w="108" w:type="dxa"/>
          </w:tblCellMar>
        </w:tblPrEx>
        <w:trPr>
          <w:trHeight w:val="397" w:hRule="atLeast"/>
          <w:jc w:val="center"/>
        </w:trPr>
        <w:tc>
          <w:tcPr>
            <w:tcW w:w="580" w:type="dxa"/>
            <w:tcBorders>
              <w:top w:val="nil"/>
              <w:left w:val="single" w:color="auto" w:sz="4" w:space="0"/>
              <w:bottom w:val="single" w:color="auto" w:sz="4" w:space="0"/>
              <w:right w:val="single" w:color="auto" w:sz="4" w:space="0"/>
            </w:tcBorders>
            <w:shd w:val="clear" w:color="auto" w:fill="FFFFFF"/>
            <w:vAlign w:val="center"/>
          </w:tcPr>
          <w:p>
            <w:pPr>
              <w:widowControl/>
              <w:jc w:val="center"/>
              <w:rPr>
                <w:rFonts w:asciiTheme="minorEastAsia" w:hAnsiTheme="minorEastAsia" w:eastAsiaTheme="minorEastAsia" w:cstheme="minorEastAsia"/>
                <w:color w:val="auto"/>
                <w:kern w:val="0"/>
                <w:sz w:val="18"/>
                <w:szCs w:val="18"/>
                <w:highlight w:val="none"/>
              </w:rPr>
            </w:pPr>
          </w:p>
        </w:tc>
        <w:tc>
          <w:tcPr>
            <w:tcW w:w="3640" w:type="dxa"/>
            <w:tcBorders>
              <w:top w:val="nil"/>
              <w:left w:val="nil"/>
              <w:bottom w:val="single" w:color="auto" w:sz="4" w:space="0"/>
              <w:right w:val="single" w:color="auto" w:sz="4" w:space="0"/>
            </w:tcBorders>
            <w:shd w:val="clear" w:color="auto" w:fill="FFFFFF"/>
            <w:vAlign w:val="center"/>
          </w:tcPr>
          <w:p>
            <w:pPr>
              <w:widowControl/>
              <w:jc w:val="left"/>
              <w:rPr>
                <w:rFonts w:asciiTheme="minorEastAsia" w:hAnsiTheme="minorEastAsia" w:eastAsiaTheme="minorEastAsia" w:cstheme="minorEastAsia"/>
                <w:color w:val="auto"/>
                <w:kern w:val="0"/>
                <w:sz w:val="18"/>
                <w:szCs w:val="18"/>
                <w:highlight w:val="none"/>
              </w:rPr>
            </w:pPr>
          </w:p>
        </w:tc>
        <w:tc>
          <w:tcPr>
            <w:tcW w:w="840" w:type="dxa"/>
            <w:tcBorders>
              <w:top w:val="nil"/>
              <w:left w:val="nil"/>
              <w:bottom w:val="single" w:color="auto" w:sz="4" w:space="0"/>
              <w:right w:val="single" w:color="auto" w:sz="4" w:space="0"/>
            </w:tcBorders>
            <w:shd w:val="clear" w:color="auto" w:fill="FFFFFF"/>
            <w:vAlign w:val="center"/>
          </w:tcPr>
          <w:p>
            <w:pPr>
              <w:widowControl/>
              <w:jc w:val="center"/>
              <w:rPr>
                <w:rFonts w:asciiTheme="minorEastAsia" w:hAnsiTheme="minorEastAsia" w:eastAsiaTheme="minorEastAsia" w:cstheme="minorEastAsia"/>
                <w:color w:val="auto"/>
                <w:kern w:val="0"/>
                <w:sz w:val="18"/>
                <w:szCs w:val="18"/>
                <w:highlight w:val="none"/>
              </w:rPr>
            </w:pPr>
          </w:p>
        </w:tc>
        <w:tc>
          <w:tcPr>
            <w:tcW w:w="1420" w:type="dxa"/>
            <w:tcBorders>
              <w:top w:val="nil"/>
              <w:left w:val="nil"/>
              <w:bottom w:val="single" w:color="auto" w:sz="4" w:space="0"/>
              <w:right w:val="single" w:color="auto" w:sz="4" w:space="0"/>
            </w:tcBorders>
            <w:shd w:val="clear" w:color="auto" w:fill="FFFFFF"/>
            <w:vAlign w:val="center"/>
          </w:tcPr>
          <w:p>
            <w:pPr>
              <w:widowControl/>
              <w:jc w:val="right"/>
              <w:rPr>
                <w:rFonts w:asciiTheme="minorEastAsia" w:hAnsiTheme="minorEastAsia" w:eastAsiaTheme="minorEastAsia" w:cstheme="minorEastAsia"/>
                <w:color w:val="auto"/>
                <w:kern w:val="0"/>
                <w:sz w:val="18"/>
                <w:szCs w:val="18"/>
                <w:highlight w:val="none"/>
              </w:rPr>
            </w:pPr>
          </w:p>
        </w:tc>
        <w:tc>
          <w:tcPr>
            <w:tcW w:w="1815" w:type="dxa"/>
            <w:tcBorders>
              <w:top w:val="nil"/>
              <w:left w:val="nil"/>
              <w:bottom w:val="single" w:color="auto" w:sz="4" w:space="0"/>
              <w:right w:val="single" w:color="auto" w:sz="4" w:space="0"/>
            </w:tcBorders>
            <w:shd w:val="clear" w:color="auto" w:fill="FFFFFF"/>
            <w:vAlign w:val="center"/>
          </w:tcPr>
          <w:p>
            <w:pPr>
              <w:widowControl/>
              <w:jc w:val="right"/>
              <w:rPr>
                <w:rFonts w:asciiTheme="minorEastAsia" w:hAnsiTheme="minorEastAsia" w:eastAsiaTheme="minorEastAsia" w:cstheme="minorEastAsia"/>
                <w:color w:val="auto"/>
                <w:kern w:val="0"/>
                <w:sz w:val="18"/>
                <w:szCs w:val="18"/>
                <w:highlight w:val="none"/>
              </w:rPr>
            </w:pPr>
          </w:p>
        </w:tc>
      </w:tr>
      <w:tr>
        <w:tblPrEx>
          <w:tblCellMar>
            <w:top w:w="0" w:type="dxa"/>
            <w:left w:w="108" w:type="dxa"/>
            <w:bottom w:w="0" w:type="dxa"/>
            <w:right w:w="108" w:type="dxa"/>
          </w:tblCellMar>
        </w:tblPrEx>
        <w:trPr>
          <w:trHeight w:val="397" w:hRule="atLeast"/>
          <w:jc w:val="center"/>
        </w:trPr>
        <w:tc>
          <w:tcPr>
            <w:tcW w:w="580" w:type="dxa"/>
            <w:tcBorders>
              <w:top w:val="nil"/>
              <w:left w:val="single" w:color="auto" w:sz="4" w:space="0"/>
              <w:bottom w:val="single" w:color="auto" w:sz="4" w:space="0"/>
              <w:right w:val="single" w:color="auto" w:sz="4" w:space="0"/>
            </w:tcBorders>
            <w:shd w:val="clear" w:color="auto" w:fill="FFFFFF"/>
            <w:vAlign w:val="center"/>
          </w:tcPr>
          <w:p>
            <w:pPr>
              <w:widowControl/>
              <w:jc w:val="center"/>
              <w:rPr>
                <w:rFonts w:asciiTheme="minorEastAsia" w:hAnsiTheme="minorEastAsia" w:eastAsiaTheme="minorEastAsia" w:cstheme="minorEastAsia"/>
                <w:color w:val="auto"/>
                <w:kern w:val="0"/>
                <w:sz w:val="18"/>
                <w:szCs w:val="18"/>
                <w:highlight w:val="none"/>
              </w:rPr>
            </w:pPr>
          </w:p>
        </w:tc>
        <w:tc>
          <w:tcPr>
            <w:tcW w:w="3640" w:type="dxa"/>
            <w:tcBorders>
              <w:top w:val="nil"/>
              <w:left w:val="nil"/>
              <w:bottom w:val="single" w:color="auto" w:sz="4" w:space="0"/>
              <w:right w:val="single" w:color="auto" w:sz="4" w:space="0"/>
            </w:tcBorders>
            <w:shd w:val="clear" w:color="auto" w:fill="FFFFFF"/>
            <w:vAlign w:val="center"/>
          </w:tcPr>
          <w:p>
            <w:pPr>
              <w:widowControl/>
              <w:jc w:val="left"/>
              <w:rPr>
                <w:rFonts w:asciiTheme="minorEastAsia" w:hAnsiTheme="minorEastAsia" w:eastAsiaTheme="minorEastAsia" w:cstheme="minorEastAsia"/>
                <w:color w:val="auto"/>
                <w:kern w:val="0"/>
                <w:sz w:val="18"/>
                <w:szCs w:val="18"/>
                <w:highlight w:val="none"/>
              </w:rPr>
            </w:pPr>
          </w:p>
        </w:tc>
        <w:tc>
          <w:tcPr>
            <w:tcW w:w="840" w:type="dxa"/>
            <w:tcBorders>
              <w:top w:val="nil"/>
              <w:left w:val="nil"/>
              <w:bottom w:val="single" w:color="auto" w:sz="4" w:space="0"/>
              <w:right w:val="single" w:color="auto" w:sz="4" w:space="0"/>
            </w:tcBorders>
            <w:shd w:val="clear" w:color="auto" w:fill="FFFFFF"/>
            <w:vAlign w:val="center"/>
          </w:tcPr>
          <w:p>
            <w:pPr>
              <w:widowControl/>
              <w:jc w:val="center"/>
              <w:rPr>
                <w:rFonts w:asciiTheme="minorEastAsia" w:hAnsiTheme="minorEastAsia" w:eastAsiaTheme="minorEastAsia" w:cstheme="minorEastAsia"/>
                <w:color w:val="auto"/>
                <w:kern w:val="0"/>
                <w:sz w:val="18"/>
                <w:szCs w:val="18"/>
                <w:highlight w:val="none"/>
              </w:rPr>
            </w:pPr>
          </w:p>
        </w:tc>
        <w:tc>
          <w:tcPr>
            <w:tcW w:w="1420" w:type="dxa"/>
            <w:tcBorders>
              <w:top w:val="nil"/>
              <w:left w:val="nil"/>
              <w:bottom w:val="single" w:color="auto" w:sz="4" w:space="0"/>
              <w:right w:val="single" w:color="auto" w:sz="4" w:space="0"/>
            </w:tcBorders>
            <w:shd w:val="clear" w:color="auto" w:fill="FFFFFF"/>
            <w:vAlign w:val="center"/>
          </w:tcPr>
          <w:p>
            <w:pPr>
              <w:widowControl/>
              <w:jc w:val="right"/>
              <w:rPr>
                <w:rFonts w:asciiTheme="minorEastAsia" w:hAnsiTheme="minorEastAsia" w:eastAsiaTheme="minorEastAsia" w:cstheme="minorEastAsia"/>
                <w:color w:val="auto"/>
                <w:kern w:val="0"/>
                <w:sz w:val="18"/>
                <w:szCs w:val="18"/>
                <w:highlight w:val="none"/>
              </w:rPr>
            </w:pPr>
          </w:p>
        </w:tc>
        <w:tc>
          <w:tcPr>
            <w:tcW w:w="1815" w:type="dxa"/>
            <w:tcBorders>
              <w:top w:val="nil"/>
              <w:left w:val="nil"/>
              <w:bottom w:val="single" w:color="auto" w:sz="4" w:space="0"/>
              <w:right w:val="single" w:color="auto" w:sz="4" w:space="0"/>
            </w:tcBorders>
            <w:shd w:val="clear" w:color="auto" w:fill="FFFFFF"/>
            <w:vAlign w:val="center"/>
          </w:tcPr>
          <w:p>
            <w:pPr>
              <w:widowControl/>
              <w:jc w:val="right"/>
              <w:rPr>
                <w:rFonts w:asciiTheme="minorEastAsia" w:hAnsiTheme="minorEastAsia" w:eastAsiaTheme="minorEastAsia" w:cstheme="minorEastAsia"/>
                <w:color w:val="auto"/>
                <w:kern w:val="0"/>
                <w:sz w:val="18"/>
                <w:szCs w:val="18"/>
                <w:highlight w:val="none"/>
              </w:rPr>
            </w:pPr>
          </w:p>
        </w:tc>
      </w:tr>
      <w:tr>
        <w:tblPrEx>
          <w:tblCellMar>
            <w:top w:w="0" w:type="dxa"/>
            <w:left w:w="108" w:type="dxa"/>
            <w:bottom w:w="0" w:type="dxa"/>
            <w:right w:w="108" w:type="dxa"/>
          </w:tblCellMar>
        </w:tblPrEx>
        <w:trPr>
          <w:trHeight w:val="397" w:hRule="atLeast"/>
          <w:jc w:val="center"/>
        </w:trPr>
        <w:tc>
          <w:tcPr>
            <w:tcW w:w="580" w:type="dxa"/>
            <w:tcBorders>
              <w:top w:val="nil"/>
              <w:left w:val="single" w:color="auto" w:sz="4" w:space="0"/>
              <w:bottom w:val="single" w:color="auto" w:sz="4" w:space="0"/>
              <w:right w:val="single" w:color="auto" w:sz="4" w:space="0"/>
            </w:tcBorders>
            <w:shd w:val="clear" w:color="auto" w:fill="FFFFFF"/>
            <w:vAlign w:val="center"/>
          </w:tcPr>
          <w:p>
            <w:pPr>
              <w:widowControl/>
              <w:jc w:val="center"/>
              <w:rPr>
                <w:rFonts w:asciiTheme="minorEastAsia" w:hAnsiTheme="minorEastAsia" w:eastAsiaTheme="minorEastAsia" w:cstheme="minorEastAsia"/>
                <w:color w:val="auto"/>
                <w:kern w:val="0"/>
                <w:sz w:val="18"/>
                <w:szCs w:val="18"/>
                <w:highlight w:val="none"/>
              </w:rPr>
            </w:pPr>
          </w:p>
        </w:tc>
        <w:tc>
          <w:tcPr>
            <w:tcW w:w="3640" w:type="dxa"/>
            <w:tcBorders>
              <w:top w:val="nil"/>
              <w:left w:val="nil"/>
              <w:bottom w:val="single" w:color="auto" w:sz="4" w:space="0"/>
              <w:right w:val="single" w:color="auto" w:sz="4" w:space="0"/>
            </w:tcBorders>
            <w:shd w:val="clear" w:color="auto" w:fill="FFFFFF"/>
            <w:vAlign w:val="center"/>
          </w:tcPr>
          <w:p>
            <w:pPr>
              <w:widowControl/>
              <w:jc w:val="left"/>
              <w:rPr>
                <w:rFonts w:asciiTheme="minorEastAsia" w:hAnsiTheme="minorEastAsia" w:eastAsiaTheme="minorEastAsia" w:cstheme="minorEastAsia"/>
                <w:color w:val="auto"/>
                <w:kern w:val="0"/>
                <w:sz w:val="18"/>
                <w:szCs w:val="18"/>
                <w:highlight w:val="none"/>
              </w:rPr>
            </w:pPr>
          </w:p>
        </w:tc>
        <w:tc>
          <w:tcPr>
            <w:tcW w:w="840" w:type="dxa"/>
            <w:tcBorders>
              <w:top w:val="nil"/>
              <w:left w:val="nil"/>
              <w:bottom w:val="single" w:color="auto" w:sz="4" w:space="0"/>
              <w:right w:val="single" w:color="auto" w:sz="4" w:space="0"/>
            </w:tcBorders>
            <w:shd w:val="clear" w:color="auto" w:fill="FFFFFF"/>
            <w:vAlign w:val="center"/>
          </w:tcPr>
          <w:p>
            <w:pPr>
              <w:widowControl/>
              <w:jc w:val="center"/>
              <w:rPr>
                <w:rFonts w:asciiTheme="minorEastAsia" w:hAnsiTheme="minorEastAsia" w:eastAsiaTheme="minorEastAsia" w:cstheme="minorEastAsia"/>
                <w:color w:val="auto"/>
                <w:kern w:val="0"/>
                <w:sz w:val="18"/>
                <w:szCs w:val="18"/>
                <w:highlight w:val="none"/>
              </w:rPr>
            </w:pPr>
          </w:p>
        </w:tc>
        <w:tc>
          <w:tcPr>
            <w:tcW w:w="1420" w:type="dxa"/>
            <w:tcBorders>
              <w:top w:val="nil"/>
              <w:left w:val="nil"/>
              <w:bottom w:val="single" w:color="auto" w:sz="4" w:space="0"/>
              <w:right w:val="single" w:color="auto" w:sz="4" w:space="0"/>
            </w:tcBorders>
            <w:shd w:val="clear" w:color="auto" w:fill="FFFFFF"/>
            <w:vAlign w:val="center"/>
          </w:tcPr>
          <w:p>
            <w:pPr>
              <w:widowControl/>
              <w:jc w:val="right"/>
              <w:rPr>
                <w:rFonts w:asciiTheme="minorEastAsia" w:hAnsiTheme="minorEastAsia" w:eastAsiaTheme="minorEastAsia" w:cstheme="minorEastAsia"/>
                <w:color w:val="auto"/>
                <w:kern w:val="0"/>
                <w:sz w:val="18"/>
                <w:szCs w:val="18"/>
                <w:highlight w:val="none"/>
              </w:rPr>
            </w:pPr>
          </w:p>
        </w:tc>
        <w:tc>
          <w:tcPr>
            <w:tcW w:w="1815" w:type="dxa"/>
            <w:tcBorders>
              <w:top w:val="nil"/>
              <w:left w:val="nil"/>
              <w:bottom w:val="single" w:color="auto" w:sz="4" w:space="0"/>
              <w:right w:val="single" w:color="auto" w:sz="4" w:space="0"/>
            </w:tcBorders>
            <w:shd w:val="clear" w:color="auto" w:fill="FFFFFF"/>
            <w:vAlign w:val="center"/>
          </w:tcPr>
          <w:p>
            <w:pPr>
              <w:widowControl/>
              <w:jc w:val="right"/>
              <w:rPr>
                <w:rFonts w:asciiTheme="minorEastAsia" w:hAnsiTheme="minorEastAsia" w:eastAsiaTheme="minorEastAsia" w:cstheme="minorEastAsia"/>
                <w:color w:val="auto"/>
                <w:kern w:val="0"/>
                <w:sz w:val="18"/>
                <w:szCs w:val="18"/>
                <w:highlight w:val="none"/>
              </w:rPr>
            </w:pPr>
          </w:p>
        </w:tc>
      </w:tr>
      <w:tr>
        <w:tblPrEx>
          <w:tblCellMar>
            <w:top w:w="0" w:type="dxa"/>
            <w:left w:w="108" w:type="dxa"/>
            <w:bottom w:w="0" w:type="dxa"/>
            <w:right w:w="108" w:type="dxa"/>
          </w:tblCellMar>
        </w:tblPrEx>
        <w:trPr>
          <w:trHeight w:val="397" w:hRule="atLeast"/>
          <w:jc w:val="center"/>
        </w:trPr>
        <w:tc>
          <w:tcPr>
            <w:tcW w:w="580" w:type="dxa"/>
            <w:tcBorders>
              <w:top w:val="nil"/>
              <w:left w:val="single" w:color="auto" w:sz="4" w:space="0"/>
              <w:bottom w:val="single" w:color="auto" w:sz="4" w:space="0"/>
              <w:right w:val="single" w:color="auto" w:sz="4" w:space="0"/>
            </w:tcBorders>
            <w:shd w:val="clear" w:color="auto" w:fill="FFFFFF"/>
            <w:vAlign w:val="center"/>
          </w:tcPr>
          <w:p>
            <w:pPr>
              <w:widowControl/>
              <w:jc w:val="center"/>
              <w:rPr>
                <w:rFonts w:asciiTheme="minorEastAsia" w:hAnsiTheme="minorEastAsia" w:eastAsiaTheme="minorEastAsia" w:cstheme="minorEastAsia"/>
                <w:color w:val="auto"/>
                <w:kern w:val="0"/>
                <w:sz w:val="18"/>
                <w:szCs w:val="18"/>
                <w:highlight w:val="none"/>
              </w:rPr>
            </w:pPr>
          </w:p>
        </w:tc>
        <w:tc>
          <w:tcPr>
            <w:tcW w:w="3640" w:type="dxa"/>
            <w:tcBorders>
              <w:top w:val="nil"/>
              <w:left w:val="nil"/>
              <w:bottom w:val="single" w:color="auto" w:sz="4" w:space="0"/>
              <w:right w:val="single" w:color="auto" w:sz="4" w:space="0"/>
            </w:tcBorders>
            <w:shd w:val="clear" w:color="auto" w:fill="FFFFFF"/>
            <w:vAlign w:val="center"/>
          </w:tcPr>
          <w:p>
            <w:pPr>
              <w:widowControl/>
              <w:jc w:val="left"/>
              <w:rPr>
                <w:rFonts w:asciiTheme="minorEastAsia" w:hAnsiTheme="minorEastAsia" w:eastAsiaTheme="minorEastAsia" w:cstheme="minorEastAsia"/>
                <w:color w:val="auto"/>
                <w:kern w:val="0"/>
                <w:sz w:val="18"/>
                <w:szCs w:val="18"/>
                <w:highlight w:val="none"/>
              </w:rPr>
            </w:pPr>
          </w:p>
        </w:tc>
        <w:tc>
          <w:tcPr>
            <w:tcW w:w="840" w:type="dxa"/>
            <w:tcBorders>
              <w:top w:val="nil"/>
              <w:left w:val="nil"/>
              <w:bottom w:val="single" w:color="auto" w:sz="4" w:space="0"/>
              <w:right w:val="single" w:color="auto" w:sz="4" w:space="0"/>
            </w:tcBorders>
            <w:shd w:val="clear" w:color="auto" w:fill="FFFFFF"/>
            <w:vAlign w:val="center"/>
          </w:tcPr>
          <w:p>
            <w:pPr>
              <w:widowControl/>
              <w:jc w:val="center"/>
              <w:rPr>
                <w:rFonts w:asciiTheme="minorEastAsia" w:hAnsiTheme="minorEastAsia" w:eastAsiaTheme="minorEastAsia" w:cstheme="minorEastAsia"/>
                <w:color w:val="auto"/>
                <w:kern w:val="0"/>
                <w:sz w:val="18"/>
                <w:szCs w:val="18"/>
                <w:highlight w:val="none"/>
              </w:rPr>
            </w:pPr>
          </w:p>
        </w:tc>
        <w:tc>
          <w:tcPr>
            <w:tcW w:w="1420" w:type="dxa"/>
            <w:tcBorders>
              <w:top w:val="nil"/>
              <w:left w:val="nil"/>
              <w:bottom w:val="single" w:color="auto" w:sz="4" w:space="0"/>
              <w:right w:val="single" w:color="auto" w:sz="4" w:space="0"/>
            </w:tcBorders>
            <w:shd w:val="clear" w:color="auto" w:fill="FFFFFF"/>
            <w:vAlign w:val="center"/>
          </w:tcPr>
          <w:p>
            <w:pPr>
              <w:widowControl/>
              <w:jc w:val="right"/>
              <w:rPr>
                <w:rFonts w:asciiTheme="minorEastAsia" w:hAnsiTheme="minorEastAsia" w:eastAsiaTheme="minorEastAsia" w:cstheme="minorEastAsia"/>
                <w:color w:val="auto"/>
                <w:kern w:val="0"/>
                <w:sz w:val="18"/>
                <w:szCs w:val="18"/>
                <w:highlight w:val="none"/>
              </w:rPr>
            </w:pPr>
          </w:p>
        </w:tc>
        <w:tc>
          <w:tcPr>
            <w:tcW w:w="1815" w:type="dxa"/>
            <w:tcBorders>
              <w:top w:val="nil"/>
              <w:left w:val="nil"/>
              <w:bottom w:val="single" w:color="auto" w:sz="4" w:space="0"/>
              <w:right w:val="single" w:color="auto" w:sz="4" w:space="0"/>
            </w:tcBorders>
            <w:shd w:val="clear" w:color="auto" w:fill="FFFFFF"/>
            <w:vAlign w:val="center"/>
          </w:tcPr>
          <w:p>
            <w:pPr>
              <w:widowControl/>
              <w:jc w:val="center"/>
              <w:rPr>
                <w:rFonts w:asciiTheme="minorEastAsia" w:hAnsiTheme="minorEastAsia" w:eastAsiaTheme="minorEastAsia" w:cstheme="minorEastAsia"/>
                <w:color w:val="auto"/>
                <w:kern w:val="0"/>
                <w:sz w:val="18"/>
                <w:szCs w:val="18"/>
                <w:highlight w:val="none"/>
              </w:rPr>
            </w:pPr>
          </w:p>
        </w:tc>
      </w:tr>
      <w:tr>
        <w:tblPrEx>
          <w:tblCellMar>
            <w:top w:w="0" w:type="dxa"/>
            <w:left w:w="108" w:type="dxa"/>
            <w:bottom w:w="0" w:type="dxa"/>
            <w:right w:w="108" w:type="dxa"/>
          </w:tblCellMar>
        </w:tblPrEx>
        <w:trPr>
          <w:trHeight w:val="397" w:hRule="atLeast"/>
          <w:jc w:val="center"/>
        </w:trPr>
        <w:tc>
          <w:tcPr>
            <w:tcW w:w="580" w:type="dxa"/>
            <w:tcBorders>
              <w:top w:val="nil"/>
              <w:left w:val="single" w:color="auto" w:sz="4" w:space="0"/>
              <w:bottom w:val="single" w:color="auto" w:sz="4" w:space="0"/>
              <w:right w:val="single" w:color="auto" w:sz="4" w:space="0"/>
            </w:tcBorders>
            <w:shd w:val="clear" w:color="auto" w:fill="FFFFFF"/>
            <w:vAlign w:val="center"/>
          </w:tcPr>
          <w:p>
            <w:pPr>
              <w:widowControl/>
              <w:jc w:val="center"/>
              <w:rPr>
                <w:rFonts w:asciiTheme="minorEastAsia" w:hAnsiTheme="minorEastAsia" w:eastAsiaTheme="minorEastAsia" w:cstheme="minorEastAsia"/>
                <w:color w:val="auto"/>
                <w:kern w:val="0"/>
                <w:sz w:val="18"/>
                <w:szCs w:val="18"/>
                <w:highlight w:val="none"/>
              </w:rPr>
            </w:pPr>
          </w:p>
        </w:tc>
        <w:tc>
          <w:tcPr>
            <w:tcW w:w="3640" w:type="dxa"/>
            <w:tcBorders>
              <w:top w:val="nil"/>
              <w:left w:val="nil"/>
              <w:bottom w:val="single" w:color="auto" w:sz="4" w:space="0"/>
              <w:right w:val="single" w:color="auto" w:sz="4" w:space="0"/>
            </w:tcBorders>
            <w:shd w:val="clear" w:color="auto" w:fill="FFFFFF"/>
            <w:vAlign w:val="center"/>
          </w:tcPr>
          <w:p>
            <w:pPr>
              <w:widowControl/>
              <w:jc w:val="left"/>
              <w:rPr>
                <w:rFonts w:asciiTheme="minorEastAsia" w:hAnsiTheme="minorEastAsia" w:eastAsiaTheme="minorEastAsia" w:cstheme="minorEastAsia"/>
                <w:color w:val="auto"/>
                <w:kern w:val="0"/>
                <w:sz w:val="18"/>
                <w:szCs w:val="18"/>
                <w:highlight w:val="none"/>
              </w:rPr>
            </w:pPr>
          </w:p>
        </w:tc>
        <w:tc>
          <w:tcPr>
            <w:tcW w:w="840" w:type="dxa"/>
            <w:tcBorders>
              <w:top w:val="nil"/>
              <w:left w:val="nil"/>
              <w:bottom w:val="single" w:color="auto" w:sz="4" w:space="0"/>
              <w:right w:val="single" w:color="auto" w:sz="4" w:space="0"/>
            </w:tcBorders>
            <w:shd w:val="clear" w:color="auto" w:fill="FFFFFF"/>
            <w:vAlign w:val="center"/>
          </w:tcPr>
          <w:p>
            <w:pPr>
              <w:widowControl/>
              <w:jc w:val="center"/>
              <w:rPr>
                <w:rFonts w:asciiTheme="minorEastAsia" w:hAnsiTheme="minorEastAsia" w:eastAsiaTheme="minorEastAsia" w:cstheme="minorEastAsia"/>
                <w:color w:val="auto"/>
                <w:kern w:val="0"/>
                <w:sz w:val="18"/>
                <w:szCs w:val="18"/>
                <w:highlight w:val="none"/>
              </w:rPr>
            </w:pPr>
          </w:p>
        </w:tc>
        <w:tc>
          <w:tcPr>
            <w:tcW w:w="1420" w:type="dxa"/>
            <w:tcBorders>
              <w:top w:val="nil"/>
              <w:left w:val="nil"/>
              <w:bottom w:val="single" w:color="auto" w:sz="4" w:space="0"/>
              <w:right w:val="single" w:color="auto" w:sz="4" w:space="0"/>
            </w:tcBorders>
            <w:shd w:val="clear" w:color="auto" w:fill="FFFFFF"/>
            <w:vAlign w:val="center"/>
          </w:tcPr>
          <w:p>
            <w:pPr>
              <w:widowControl/>
              <w:jc w:val="right"/>
              <w:rPr>
                <w:rFonts w:asciiTheme="minorEastAsia" w:hAnsiTheme="minorEastAsia" w:eastAsiaTheme="minorEastAsia" w:cstheme="minorEastAsia"/>
                <w:color w:val="auto"/>
                <w:kern w:val="0"/>
                <w:sz w:val="18"/>
                <w:szCs w:val="18"/>
                <w:highlight w:val="none"/>
              </w:rPr>
            </w:pPr>
          </w:p>
        </w:tc>
        <w:tc>
          <w:tcPr>
            <w:tcW w:w="1815" w:type="dxa"/>
            <w:tcBorders>
              <w:top w:val="nil"/>
              <w:left w:val="nil"/>
              <w:bottom w:val="single" w:color="auto" w:sz="4" w:space="0"/>
              <w:right w:val="single" w:color="auto" w:sz="4" w:space="0"/>
            </w:tcBorders>
            <w:shd w:val="clear" w:color="auto" w:fill="FFFFFF"/>
            <w:vAlign w:val="center"/>
          </w:tcPr>
          <w:p>
            <w:pPr>
              <w:widowControl/>
              <w:jc w:val="center"/>
              <w:rPr>
                <w:rFonts w:asciiTheme="minorEastAsia" w:hAnsiTheme="minorEastAsia" w:eastAsiaTheme="minorEastAsia" w:cstheme="minorEastAsia"/>
                <w:color w:val="auto"/>
                <w:kern w:val="0"/>
                <w:sz w:val="18"/>
                <w:szCs w:val="18"/>
                <w:highlight w:val="none"/>
              </w:rPr>
            </w:pPr>
          </w:p>
        </w:tc>
      </w:tr>
      <w:tr>
        <w:tblPrEx>
          <w:tblCellMar>
            <w:top w:w="0" w:type="dxa"/>
            <w:left w:w="108" w:type="dxa"/>
            <w:bottom w:w="0" w:type="dxa"/>
            <w:right w:w="108" w:type="dxa"/>
          </w:tblCellMar>
        </w:tblPrEx>
        <w:trPr>
          <w:trHeight w:val="397" w:hRule="atLeast"/>
          <w:jc w:val="center"/>
        </w:trPr>
        <w:tc>
          <w:tcPr>
            <w:tcW w:w="580" w:type="dxa"/>
            <w:tcBorders>
              <w:top w:val="nil"/>
              <w:left w:val="single" w:color="auto" w:sz="4" w:space="0"/>
              <w:bottom w:val="single" w:color="auto" w:sz="4" w:space="0"/>
              <w:right w:val="single" w:color="auto" w:sz="4" w:space="0"/>
            </w:tcBorders>
            <w:shd w:val="clear" w:color="auto" w:fill="FFFFFF"/>
            <w:vAlign w:val="center"/>
          </w:tcPr>
          <w:p>
            <w:pPr>
              <w:widowControl/>
              <w:jc w:val="center"/>
              <w:rPr>
                <w:rFonts w:asciiTheme="minorEastAsia" w:hAnsiTheme="minorEastAsia" w:eastAsiaTheme="minorEastAsia" w:cstheme="minorEastAsia"/>
                <w:color w:val="auto"/>
                <w:kern w:val="0"/>
                <w:sz w:val="18"/>
                <w:szCs w:val="18"/>
                <w:highlight w:val="none"/>
              </w:rPr>
            </w:pPr>
          </w:p>
        </w:tc>
        <w:tc>
          <w:tcPr>
            <w:tcW w:w="3640" w:type="dxa"/>
            <w:tcBorders>
              <w:top w:val="nil"/>
              <w:left w:val="nil"/>
              <w:bottom w:val="single" w:color="auto" w:sz="4" w:space="0"/>
              <w:right w:val="single" w:color="auto" w:sz="4" w:space="0"/>
            </w:tcBorders>
            <w:shd w:val="clear" w:color="auto" w:fill="FFFFFF"/>
            <w:vAlign w:val="center"/>
          </w:tcPr>
          <w:p>
            <w:pPr>
              <w:widowControl/>
              <w:jc w:val="left"/>
              <w:rPr>
                <w:rFonts w:asciiTheme="minorEastAsia" w:hAnsiTheme="minorEastAsia" w:eastAsiaTheme="minorEastAsia" w:cstheme="minorEastAsia"/>
                <w:color w:val="auto"/>
                <w:kern w:val="0"/>
                <w:sz w:val="18"/>
                <w:szCs w:val="18"/>
                <w:highlight w:val="none"/>
              </w:rPr>
            </w:pPr>
          </w:p>
        </w:tc>
        <w:tc>
          <w:tcPr>
            <w:tcW w:w="840" w:type="dxa"/>
            <w:tcBorders>
              <w:top w:val="nil"/>
              <w:left w:val="nil"/>
              <w:bottom w:val="single" w:color="auto" w:sz="4" w:space="0"/>
              <w:right w:val="single" w:color="auto" w:sz="4" w:space="0"/>
            </w:tcBorders>
            <w:shd w:val="clear" w:color="auto" w:fill="FFFFFF"/>
            <w:vAlign w:val="center"/>
          </w:tcPr>
          <w:p>
            <w:pPr>
              <w:widowControl/>
              <w:jc w:val="center"/>
              <w:rPr>
                <w:rFonts w:asciiTheme="minorEastAsia" w:hAnsiTheme="minorEastAsia" w:eastAsiaTheme="minorEastAsia" w:cstheme="minorEastAsia"/>
                <w:color w:val="auto"/>
                <w:kern w:val="0"/>
                <w:sz w:val="18"/>
                <w:szCs w:val="18"/>
                <w:highlight w:val="none"/>
              </w:rPr>
            </w:pPr>
          </w:p>
        </w:tc>
        <w:tc>
          <w:tcPr>
            <w:tcW w:w="1420" w:type="dxa"/>
            <w:tcBorders>
              <w:top w:val="nil"/>
              <w:left w:val="nil"/>
              <w:bottom w:val="single" w:color="auto" w:sz="4" w:space="0"/>
              <w:right w:val="single" w:color="auto" w:sz="4" w:space="0"/>
            </w:tcBorders>
            <w:shd w:val="clear" w:color="auto" w:fill="FFFFFF"/>
            <w:vAlign w:val="center"/>
          </w:tcPr>
          <w:p>
            <w:pPr>
              <w:widowControl/>
              <w:jc w:val="right"/>
              <w:rPr>
                <w:rFonts w:asciiTheme="minorEastAsia" w:hAnsiTheme="minorEastAsia" w:eastAsiaTheme="minorEastAsia" w:cstheme="minorEastAsia"/>
                <w:color w:val="auto"/>
                <w:kern w:val="0"/>
                <w:sz w:val="18"/>
                <w:szCs w:val="18"/>
                <w:highlight w:val="none"/>
              </w:rPr>
            </w:pPr>
          </w:p>
        </w:tc>
        <w:tc>
          <w:tcPr>
            <w:tcW w:w="1815" w:type="dxa"/>
            <w:tcBorders>
              <w:top w:val="nil"/>
              <w:left w:val="nil"/>
              <w:bottom w:val="single" w:color="auto" w:sz="4" w:space="0"/>
              <w:right w:val="single" w:color="auto" w:sz="4" w:space="0"/>
            </w:tcBorders>
            <w:shd w:val="clear" w:color="auto" w:fill="FFFFFF"/>
            <w:vAlign w:val="center"/>
          </w:tcPr>
          <w:p>
            <w:pPr>
              <w:widowControl/>
              <w:jc w:val="center"/>
              <w:rPr>
                <w:rFonts w:asciiTheme="minorEastAsia" w:hAnsiTheme="minorEastAsia" w:eastAsiaTheme="minorEastAsia" w:cstheme="minorEastAsia"/>
                <w:color w:val="auto"/>
                <w:kern w:val="0"/>
                <w:sz w:val="18"/>
                <w:szCs w:val="18"/>
                <w:highlight w:val="none"/>
              </w:rPr>
            </w:pPr>
          </w:p>
        </w:tc>
      </w:tr>
      <w:tr>
        <w:tblPrEx>
          <w:tblCellMar>
            <w:top w:w="0" w:type="dxa"/>
            <w:left w:w="108" w:type="dxa"/>
            <w:bottom w:w="0" w:type="dxa"/>
            <w:right w:w="108" w:type="dxa"/>
          </w:tblCellMar>
        </w:tblPrEx>
        <w:trPr>
          <w:trHeight w:val="397" w:hRule="atLeast"/>
          <w:jc w:val="center"/>
        </w:trPr>
        <w:tc>
          <w:tcPr>
            <w:tcW w:w="580" w:type="dxa"/>
            <w:tcBorders>
              <w:top w:val="nil"/>
              <w:left w:val="single" w:color="auto" w:sz="4" w:space="0"/>
              <w:bottom w:val="single" w:color="auto" w:sz="4" w:space="0"/>
              <w:right w:val="single" w:color="auto" w:sz="4" w:space="0"/>
            </w:tcBorders>
            <w:shd w:val="clear" w:color="auto" w:fill="FFFFFF"/>
            <w:vAlign w:val="center"/>
          </w:tcPr>
          <w:p>
            <w:pPr>
              <w:widowControl/>
              <w:jc w:val="center"/>
              <w:rPr>
                <w:rFonts w:asciiTheme="minorEastAsia" w:hAnsiTheme="minorEastAsia" w:eastAsiaTheme="minorEastAsia" w:cstheme="minorEastAsia"/>
                <w:color w:val="auto"/>
                <w:kern w:val="0"/>
                <w:sz w:val="18"/>
                <w:szCs w:val="18"/>
                <w:highlight w:val="none"/>
              </w:rPr>
            </w:pPr>
          </w:p>
        </w:tc>
        <w:tc>
          <w:tcPr>
            <w:tcW w:w="3640" w:type="dxa"/>
            <w:tcBorders>
              <w:top w:val="nil"/>
              <w:left w:val="nil"/>
              <w:bottom w:val="single" w:color="auto" w:sz="4" w:space="0"/>
              <w:right w:val="single" w:color="auto" w:sz="4" w:space="0"/>
            </w:tcBorders>
            <w:shd w:val="clear" w:color="auto" w:fill="FFFFFF"/>
            <w:vAlign w:val="center"/>
          </w:tcPr>
          <w:p>
            <w:pPr>
              <w:widowControl/>
              <w:jc w:val="left"/>
              <w:rPr>
                <w:rFonts w:asciiTheme="minorEastAsia" w:hAnsiTheme="minorEastAsia" w:eastAsiaTheme="minorEastAsia" w:cstheme="minorEastAsia"/>
                <w:color w:val="auto"/>
                <w:kern w:val="0"/>
                <w:sz w:val="18"/>
                <w:szCs w:val="18"/>
                <w:highlight w:val="none"/>
              </w:rPr>
            </w:pPr>
          </w:p>
        </w:tc>
        <w:tc>
          <w:tcPr>
            <w:tcW w:w="840" w:type="dxa"/>
            <w:tcBorders>
              <w:top w:val="nil"/>
              <w:left w:val="nil"/>
              <w:bottom w:val="single" w:color="auto" w:sz="4" w:space="0"/>
              <w:right w:val="single" w:color="auto" w:sz="4" w:space="0"/>
            </w:tcBorders>
            <w:shd w:val="clear" w:color="auto" w:fill="FFFFFF"/>
            <w:vAlign w:val="center"/>
          </w:tcPr>
          <w:p>
            <w:pPr>
              <w:widowControl/>
              <w:jc w:val="center"/>
              <w:rPr>
                <w:rFonts w:asciiTheme="minorEastAsia" w:hAnsiTheme="minorEastAsia" w:eastAsiaTheme="minorEastAsia" w:cstheme="minorEastAsia"/>
                <w:color w:val="auto"/>
                <w:kern w:val="0"/>
                <w:sz w:val="18"/>
                <w:szCs w:val="18"/>
                <w:highlight w:val="none"/>
              </w:rPr>
            </w:pPr>
          </w:p>
        </w:tc>
        <w:tc>
          <w:tcPr>
            <w:tcW w:w="1420" w:type="dxa"/>
            <w:tcBorders>
              <w:top w:val="nil"/>
              <w:left w:val="nil"/>
              <w:bottom w:val="single" w:color="auto" w:sz="4" w:space="0"/>
              <w:right w:val="single" w:color="auto" w:sz="4" w:space="0"/>
            </w:tcBorders>
            <w:shd w:val="clear" w:color="auto" w:fill="FFFFFF"/>
            <w:vAlign w:val="center"/>
          </w:tcPr>
          <w:p>
            <w:pPr>
              <w:widowControl/>
              <w:jc w:val="right"/>
              <w:rPr>
                <w:rFonts w:asciiTheme="minorEastAsia" w:hAnsiTheme="minorEastAsia" w:eastAsiaTheme="minorEastAsia" w:cstheme="minorEastAsia"/>
                <w:color w:val="auto"/>
                <w:kern w:val="0"/>
                <w:sz w:val="18"/>
                <w:szCs w:val="18"/>
                <w:highlight w:val="none"/>
              </w:rPr>
            </w:pPr>
          </w:p>
        </w:tc>
        <w:tc>
          <w:tcPr>
            <w:tcW w:w="1815" w:type="dxa"/>
            <w:tcBorders>
              <w:top w:val="nil"/>
              <w:left w:val="nil"/>
              <w:bottom w:val="single" w:color="auto" w:sz="4" w:space="0"/>
              <w:right w:val="single" w:color="auto" w:sz="4" w:space="0"/>
            </w:tcBorders>
            <w:shd w:val="clear" w:color="auto" w:fill="FFFFFF"/>
            <w:vAlign w:val="center"/>
          </w:tcPr>
          <w:p>
            <w:pPr>
              <w:widowControl/>
              <w:jc w:val="center"/>
              <w:rPr>
                <w:rFonts w:asciiTheme="minorEastAsia" w:hAnsiTheme="minorEastAsia" w:eastAsiaTheme="minorEastAsia" w:cstheme="minorEastAsia"/>
                <w:color w:val="auto"/>
                <w:kern w:val="0"/>
                <w:sz w:val="18"/>
                <w:szCs w:val="18"/>
                <w:highlight w:val="none"/>
              </w:rPr>
            </w:pPr>
          </w:p>
        </w:tc>
      </w:tr>
      <w:tr>
        <w:tblPrEx>
          <w:tblCellMar>
            <w:top w:w="0" w:type="dxa"/>
            <w:left w:w="108" w:type="dxa"/>
            <w:bottom w:w="0" w:type="dxa"/>
            <w:right w:w="108" w:type="dxa"/>
          </w:tblCellMar>
        </w:tblPrEx>
        <w:trPr>
          <w:trHeight w:val="397" w:hRule="atLeast"/>
          <w:jc w:val="center"/>
        </w:trPr>
        <w:tc>
          <w:tcPr>
            <w:tcW w:w="580" w:type="dxa"/>
            <w:tcBorders>
              <w:top w:val="nil"/>
              <w:left w:val="single" w:color="auto" w:sz="4" w:space="0"/>
              <w:bottom w:val="single" w:color="auto" w:sz="4" w:space="0"/>
              <w:right w:val="single" w:color="auto" w:sz="4" w:space="0"/>
            </w:tcBorders>
            <w:shd w:val="clear" w:color="auto" w:fill="FFFFFF"/>
            <w:vAlign w:val="center"/>
          </w:tcPr>
          <w:p>
            <w:pPr>
              <w:widowControl/>
              <w:jc w:val="center"/>
              <w:rPr>
                <w:rFonts w:asciiTheme="minorEastAsia" w:hAnsiTheme="minorEastAsia" w:eastAsiaTheme="minorEastAsia" w:cstheme="minorEastAsia"/>
                <w:color w:val="auto"/>
                <w:kern w:val="0"/>
                <w:sz w:val="18"/>
                <w:szCs w:val="18"/>
                <w:highlight w:val="none"/>
              </w:rPr>
            </w:pPr>
          </w:p>
        </w:tc>
        <w:tc>
          <w:tcPr>
            <w:tcW w:w="3640" w:type="dxa"/>
            <w:tcBorders>
              <w:top w:val="nil"/>
              <w:left w:val="nil"/>
              <w:bottom w:val="single" w:color="auto" w:sz="4" w:space="0"/>
              <w:right w:val="single" w:color="auto" w:sz="4" w:space="0"/>
            </w:tcBorders>
            <w:shd w:val="clear" w:color="auto" w:fill="FFFFFF"/>
            <w:vAlign w:val="center"/>
          </w:tcPr>
          <w:p>
            <w:pPr>
              <w:widowControl/>
              <w:jc w:val="left"/>
              <w:rPr>
                <w:rFonts w:asciiTheme="minorEastAsia" w:hAnsiTheme="minorEastAsia" w:eastAsiaTheme="minorEastAsia" w:cstheme="minorEastAsia"/>
                <w:color w:val="auto"/>
                <w:kern w:val="0"/>
                <w:sz w:val="18"/>
                <w:szCs w:val="18"/>
                <w:highlight w:val="none"/>
              </w:rPr>
            </w:pPr>
          </w:p>
        </w:tc>
        <w:tc>
          <w:tcPr>
            <w:tcW w:w="840" w:type="dxa"/>
            <w:tcBorders>
              <w:top w:val="nil"/>
              <w:left w:val="nil"/>
              <w:bottom w:val="single" w:color="auto" w:sz="4" w:space="0"/>
              <w:right w:val="single" w:color="auto" w:sz="4" w:space="0"/>
            </w:tcBorders>
            <w:shd w:val="clear" w:color="auto" w:fill="FFFFFF"/>
            <w:vAlign w:val="center"/>
          </w:tcPr>
          <w:p>
            <w:pPr>
              <w:widowControl/>
              <w:jc w:val="center"/>
              <w:rPr>
                <w:rFonts w:asciiTheme="minorEastAsia" w:hAnsiTheme="minorEastAsia" w:eastAsiaTheme="minorEastAsia" w:cstheme="minorEastAsia"/>
                <w:color w:val="auto"/>
                <w:kern w:val="0"/>
                <w:sz w:val="18"/>
                <w:szCs w:val="18"/>
                <w:highlight w:val="none"/>
              </w:rPr>
            </w:pPr>
          </w:p>
        </w:tc>
        <w:tc>
          <w:tcPr>
            <w:tcW w:w="1420" w:type="dxa"/>
            <w:tcBorders>
              <w:top w:val="nil"/>
              <w:left w:val="nil"/>
              <w:bottom w:val="single" w:color="auto" w:sz="4" w:space="0"/>
              <w:right w:val="single" w:color="auto" w:sz="4" w:space="0"/>
            </w:tcBorders>
            <w:shd w:val="clear" w:color="auto" w:fill="FFFFFF"/>
            <w:vAlign w:val="center"/>
          </w:tcPr>
          <w:p>
            <w:pPr>
              <w:widowControl/>
              <w:jc w:val="right"/>
              <w:rPr>
                <w:rFonts w:asciiTheme="minorEastAsia" w:hAnsiTheme="minorEastAsia" w:eastAsiaTheme="minorEastAsia" w:cstheme="minorEastAsia"/>
                <w:color w:val="auto"/>
                <w:kern w:val="0"/>
                <w:sz w:val="18"/>
                <w:szCs w:val="18"/>
                <w:highlight w:val="none"/>
              </w:rPr>
            </w:pPr>
          </w:p>
        </w:tc>
        <w:tc>
          <w:tcPr>
            <w:tcW w:w="1815" w:type="dxa"/>
            <w:tcBorders>
              <w:top w:val="nil"/>
              <w:left w:val="nil"/>
              <w:bottom w:val="single" w:color="auto" w:sz="4" w:space="0"/>
              <w:right w:val="single" w:color="auto" w:sz="4" w:space="0"/>
            </w:tcBorders>
            <w:vAlign w:val="bottom"/>
          </w:tcPr>
          <w:p>
            <w:pPr>
              <w:widowControl/>
              <w:jc w:val="center"/>
              <w:rPr>
                <w:rFonts w:asciiTheme="minorEastAsia" w:hAnsiTheme="minorEastAsia" w:eastAsiaTheme="minorEastAsia" w:cstheme="minorEastAsia"/>
                <w:color w:val="auto"/>
                <w:kern w:val="0"/>
                <w:sz w:val="18"/>
                <w:szCs w:val="18"/>
                <w:highlight w:val="none"/>
              </w:rPr>
            </w:pPr>
          </w:p>
        </w:tc>
      </w:tr>
      <w:tr>
        <w:tblPrEx>
          <w:tblCellMar>
            <w:top w:w="0" w:type="dxa"/>
            <w:left w:w="108" w:type="dxa"/>
            <w:bottom w:w="0" w:type="dxa"/>
            <w:right w:w="108" w:type="dxa"/>
          </w:tblCellMar>
        </w:tblPrEx>
        <w:trPr>
          <w:trHeight w:val="397" w:hRule="atLeast"/>
          <w:jc w:val="center"/>
        </w:trPr>
        <w:tc>
          <w:tcPr>
            <w:tcW w:w="580" w:type="dxa"/>
            <w:tcBorders>
              <w:top w:val="nil"/>
              <w:left w:val="single" w:color="auto" w:sz="4" w:space="0"/>
              <w:bottom w:val="single" w:color="auto" w:sz="4" w:space="0"/>
              <w:right w:val="single" w:color="auto" w:sz="4" w:space="0"/>
            </w:tcBorders>
            <w:shd w:val="clear" w:color="auto" w:fill="FFFFFF"/>
            <w:vAlign w:val="center"/>
          </w:tcPr>
          <w:p>
            <w:pPr>
              <w:widowControl/>
              <w:jc w:val="center"/>
              <w:rPr>
                <w:rFonts w:asciiTheme="minorEastAsia" w:hAnsiTheme="minorEastAsia" w:eastAsiaTheme="minorEastAsia" w:cstheme="minorEastAsia"/>
                <w:color w:val="auto"/>
                <w:kern w:val="0"/>
                <w:sz w:val="18"/>
                <w:szCs w:val="18"/>
                <w:highlight w:val="none"/>
              </w:rPr>
            </w:pPr>
          </w:p>
        </w:tc>
        <w:tc>
          <w:tcPr>
            <w:tcW w:w="3640" w:type="dxa"/>
            <w:tcBorders>
              <w:top w:val="nil"/>
              <w:left w:val="nil"/>
              <w:bottom w:val="single" w:color="auto" w:sz="4" w:space="0"/>
              <w:right w:val="single" w:color="auto" w:sz="4" w:space="0"/>
            </w:tcBorders>
            <w:shd w:val="clear" w:color="auto" w:fill="FFFFFF"/>
            <w:vAlign w:val="center"/>
          </w:tcPr>
          <w:p>
            <w:pPr>
              <w:widowControl/>
              <w:jc w:val="left"/>
              <w:rPr>
                <w:rFonts w:asciiTheme="minorEastAsia" w:hAnsiTheme="minorEastAsia" w:eastAsiaTheme="minorEastAsia" w:cstheme="minorEastAsia"/>
                <w:color w:val="auto"/>
                <w:kern w:val="0"/>
                <w:sz w:val="18"/>
                <w:szCs w:val="18"/>
                <w:highlight w:val="none"/>
              </w:rPr>
            </w:pPr>
          </w:p>
        </w:tc>
        <w:tc>
          <w:tcPr>
            <w:tcW w:w="840" w:type="dxa"/>
            <w:tcBorders>
              <w:top w:val="nil"/>
              <w:left w:val="nil"/>
              <w:bottom w:val="single" w:color="auto" w:sz="4" w:space="0"/>
              <w:right w:val="single" w:color="auto" w:sz="4" w:space="0"/>
            </w:tcBorders>
            <w:shd w:val="clear" w:color="auto" w:fill="FFFFFF"/>
            <w:vAlign w:val="center"/>
          </w:tcPr>
          <w:p>
            <w:pPr>
              <w:widowControl/>
              <w:jc w:val="center"/>
              <w:rPr>
                <w:rFonts w:asciiTheme="minorEastAsia" w:hAnsiTheme="minorEastAsia" w:eastAsiaTheme="minorEastAsia" w:cstheme="minorEastAsia"/>
                <w:color w:val="auto"/>
                <w:kern w:val="0"/>
                <w:sz w:val="18"/>
                <w:szCs w:val="18"/>
                <w:highlight w:val="none"/>
              </w:rPr>
            </w:pPr>
          </w:p>
        </w:tc>
        <w:tc>
          <w:tcPr>
            <w:tcW w:w="1420" w:type="dxa"/>
            <w:tcBorders>
              <w:top w:val="nil"/>
              <w:left w:val="nil"/>
              <w:bottom w:val="single" w:color="auto" w:sz="4" w:space="0"/>
              <w:right w:val="single" w:color="auto" w:sz="4" w:space="0"/>
            </w:tcBorders>
            <w:shd w:val="clear" w:color="auto" w:fill="FFFFFF"/>
            <w:vAlign w:val="center"/>
          </w:tcPr>
          <w:p>
            <w:pPr>
              <w:widowControl/>
              <w:jc w:val="right"/>
              <w:rPr>
                <w:rFonts w:asciiTheme="minorEastAsia" w:hAnsiTheme="minorEastAsia" w:eastAsiaTheme="minorEastAsia" w:cstheme="minorEastAsia"/>
                <w:color w:val="auto"/>
                <w:kern w:val="0"/>
                <w:sz w:val="18"/>
                <w:szCs w:val="18"/>
                <w:highlight w:val="none"/>
              </w:rPr>
            </w:pPr>
          </w:p>
        </w:tc>
        <w:tc>
          <w:tcPr>
            <w:tcW w:w="1815" w:type="dxa"/>
            <w:tcBorders>
              <w:top w:val="nil"/>
              <w:left w:val="nil"/>
              <w:bottom w:val="single" w:color="auto" w:sz="4" w:space="0"/>
              <w:right w:val="single" w:color="auto" w:sz="4" w:space="0"/>
            </w:tcBorders>
            <w:shd w:val="clear" w:color="auto" w:fill="FFFFFF"/>
            <w:vAlign w:val="center"/>
          </w:tcPr>
          <w:p>
            <w:pPr>
              <w:widowControl/>
              <w:jc w:val="right"/>
              <w:rPr>
                <w:rFonts w:asciiTheme="minorEastAsia" w:hAnsiTheme="minorEastAsia" w:eastAsiaTheme="minorEastAsia" w:cstheme="minorEastAsia"/>
                <w:color w:val="auto"/>
                <w:kern w:val="0"/>
                <w:sz w:val="18"/>
                <w:szCs w:val="18"/>
                <w:highlight w:val="none"/>
              </w:rPr>
            </w:pPr>
          </w:p>
        </w:tc>
      </w:tr>
      <w:tr>
        <w:tblPrEx>
          <w:tblCellMar>
            <w:top w:w="0" w:type="dxa"/>
            <w:left w:w="108" w:type="dxa"/>
            <w:bottom w:w="0" w:type="dxa"/>
            <w:right w:w="108" w:type="dxa"/>
          </w:tblCellMar>
        </w:tblPrEx>
        <w:trPr>
          <w:trHeight w:val="397" w:hRule="atLeast"/>
          <w:jc w:val="center"/>
        </w:trPr>
        <w:tc>
          <w:tcPr>
            <w:tcW w:w="580" w:type="dxa"/>
            <w:tcBorders>
              <w:top w:val="nil"/>
              <w:left w:val="single" w:color="auto" w:sz="4" w:space="0"/>
              <w:bottom w:val="single" w:color="auto" w:sz="4" w:space="0"/>
              <w:right w:val="single" w:color="auto" w:sz="4" w:space="0"/>
            </w:tcBorders>
            <w:shd w:val="clear" w:color="auto" w:fill="FFFFFF"/>
            <w:vAlign w:val="center"/>
          </w:tcPr>
          <w:p>
            <w:pPr>
              <w:widowControl/>
              <w:jc w:val="center"/>
              <w:rPr>
                <w:rFonts w:asciiTheme="minorEastAsia" w:hAnsiTheme="minorEastAsia" w:eastAsiaTheme="minorEastAsia" w:cstheme="minorEastAsia"/>
                <w:color w:val="auto"/>
                <w:kern w:val="0"/>
                <w:sz w:val="18"/>
                <w:szCs w:val="18"/>
                <w:highlight w:val="none"/>
              </w:rPr>
            </w:pPr>
          </w:p>
        </w:tc>
        <w:tc>
          <w:tcPr>
            <w:tcW w:w="3640" w:type="dxa"/>
            <w:tcBorders>
              <w:top w:val="nil"/>
              <w:left w:val="nil"/>
              <w:bottom w:val="single" w:color="auto" w:sz="4" w:space="0"/>
              <w:right w:val="single" w:color="auto" w:sz="4" w:space="0"/>
            </w:tcBorders>
            <w:shd w:val="clear" w:color="auto" w:fill="FFFFFF"/>
            <w:vAlign w:val="center"/>
          </w:tcPr>
          <w:p>
            <w:pPr>
              <w:widowControl/>
              <w:jc w:val="left"/>
              <w:rPr>
                <w:rFonts w:asciiTheme="minorEastAsia" w:hAnsiTheme="minorEastAsia" w:eastAsiaTheme="minorEastAsia" w:cstheme="minorEastAsia"/>
                <w:color w:val="auto"/>
                <w:kern w:val="0"/>
                <w:sz w:val="18"/>
                <w:szCs w:val="18"/>
                <w:highlight w:val="none"/>
              </w:rPr>
            </w:pPr>
          </w:p>
        </w:tc>
        <w:tc>
          <w:tcPr>
            <w:tcW w:w="840" w:type="dxa"/>
            <w:tcBorders>
              <w:top w:val="nil"/>
              <w:left w:val="nil"/>
              <w:bottom w:val="single" w:color="auto" w:sz="4" w:space="0"/>
              <w:right w:val="single" w:color="auto" w:sz="4" w:space="0"/>
            </w:tcBorders>
            <w:shd w:val="clear" w:color="auto" w:fill="FFFFFF"/>
            <w:vAlign w:val="center"/>
          </w:tcPr>
          <w:p>
            <w:pPr>
              <w:widowControl/>
              <w:jc w:val="center"/>
              <w:rPr>
                <w:rFonts w:asciiTheme="minorEastAsia" w:hAnsiTheme="minorEastAsia" w:eastAsiaTheme="minorEastAsia" w:cstheme="minorEastAsia"/>
                <w:color w:val="auto"/>
                <w:kern w:val="0"/>
                <w:sz w:val="18"/>
                <w:szCs w:val="18"/>
                <w:highlight w:val="none"/>
              </w:rPr>
            </w:pPr>
          </w:p>
        </w:tc>
        <w:tc>
          <w:tcPr>
            <w:tcW w:w="1420" w:type="dxa"/>
            <w:tcBorders>
              <w:top w:val="nil"/>
              <w:left w:val="nil"/>
              <w:bottom w:val="single" w:color="auto" w:sz="4" w:space="0"/>
              <w:right w:val="single" w:color="auto" w:sz="4" w:space="0"/>
            </w:tcBorders>
            <w:shd w:val="clear" w:color="auto" w:fill="FFFFFF"/>
            <w:vAlign w:val="center"/>
          </w:tcPr>
          <w:p>
            <w:pPr>
              <w:widowControl/>
              <w:jc w:val="right"/>
              <w:rPr>
                <w:rFonts w:asciiTheme="minorEastAsia" w:hAnsiTheme="minorEastAsia" w:eastAsiaTheme="minorEastAsia" w:cstheme="minorEastAsia"/>
                <w:color w:val="auto"/>
                <w:kern w:val="0"/>
                <w:sz w:val="18"/>
                <w:szCs w:val="18"/>
                <w:highlight w:val="none"/>
              </w:rPr>
            </w:pPr>
          </w:p>
        </w:tc>
        <w:tc>
          <w:tcPr>
            <w:tcW w:w="1815" w:type="dxa"/>
            <w:tcBorders>
              <w:top w:val="nil"/>
              <w:left w:val="nil"/>
              <w:bottom w:val="single" w:color="auto" w:sz="4" w:space="0"/>
              <w:right w:val="single" w:color="auto" w:sz="4" w:space="0"/>
            </w:tcBorders>
            <w:shd w:val="clear" w:color="auto" w:fill="FFFFFF"/>
            <w:vAlign w:val="center"/>
          </w:tcPr>
          <w:p>
            <w:pPr>
              <w:widowControl/>
              <w:jc w:val="right"/>
              <w:rPr>
                <w:rFonts w:asciiTheme="minorEastAsia" w:hAnsiTheme="minorEastAsia" w:eastAsiaTheme="minorEastAsia" w:cstheme="minorEastAsia"/>
                <w:color w:val="auto"/>
                <w:kern w:val="0"/>
                <w:sz w:val="18"/>
                <w:szCs w:val="18"/>
                <w:highlight w:val="none"/>
              </w:rPr>
            </w:pPr>
          </w:p>
        </w:tc>
      </w:tr>
      <w:tr>
        <w:tblPrEx>
          <w:tblCellMar>
            <w:top w:w="0" w:type="dxa"/>
            <w:left w:w="108" w:type="dxa"/>
            <w:bottom w:w="0" w:type="dxa"/>
            <w:right w:w="108" w:type="dxa"/>
          </w:tblCellMar>
        </w:tblPrEx>
        <w:trPr>
          <w:trHeight w:val="397" w:hRule="atLeast"/>
          <w:jc w:val="center"/>
        </w:trPr>
        <w:tc>
          <w:tcPr>
            <w:tcW w:w="580" w:type="dxa"/>
            <w:tcBorders>
              <w:top w:val="nil"/>
              <w:left w:val="single" w:color="auto" w:sz="4" w:space="0"/>
              <w:bottom w:val="single" w:color="auto" w:sz="4" w:space="0"/>
              <w:right w:val="single" w:color="auto" w:sz="4" w:space="0"/>
            </w:tcBorders>
            <w:shd w:val="clear" w:color="auto" w:fill="FFFFFF"/>
            <w:vAlign w:val="center"/>
          </w:tcPr>
          <w:p>
            <w:pPr>
              <w:widowControl/>
              <w:jc w:val="center"/>
              <w:rPr>
                <w:rFonts w:asciiTheme="minorEastAsia" w:hAnsiTheme="minorEastAsia" w:eastAsiaTheme="minorEastAsia" w:cstheme="minorEastAsia"/>
                <w:color w:val="auto"/>
                <w:kern w:val="0"/>
                <w:sz w:val="18"/>
                <w:szCs w:val="18"/>
                <w:highlight w:val="none"/>
              </w:rPr>
            </w:pPr>
          </w:p>
        </w:tc>
        <w:tc>
          <w:tcPr>
            <w:tcW w:w="3640" w:type="dxa"/>
            <w:tcBorders>
              <w:top w:val="nil"/>
              <w:left w:val="nil"/>
              <w:bottom w:val="single" w:color="auto" w:sz="4" w:space="0"/>
              <w:right w:val="single" w:color="auto" w:sz="4" w:space="0"/>
            </w:tcBorders>
            <w:shd w:val="clear" w:color="auto" w:fill="FFFFFF"/>
            <w:vAlign w:val="center"/>
          </w:tcPr>
          <w:p>
            <w:pPr>
              <w:widowControl/>
              <w:jc w:val="left"/>
              <w:rPr>
                <w:rFonts w:asciiTheme="minorEastAsia" w:hAnsiTheme="minorEastAsia" w:eastAsiaTheme="minorEastAsia" w:cstheme="minorEastAsia"/>
                <w:color w:val="auto"/>
                <w:kern w:val="0"/>
                <w:sz w:val="18"/>
                <w:szCs w:val="18"/>
                <w:highlight w:val="none"/>
              </w:rPr>
            </w:pPr>
          </w:p>
        </w:tc>
        <w:tc>
          <w:tcPr>
            <w:tcW w:w="840" w:type="dxa"/>
            <w:tcBorders>
              <w:top w:val="nil"/>
              <w:left w:val="nil"/>
              <w:bottom w:val="single" w:color="auto" w:sz="4" w:space="0"/>
              <w:right w:val="single" w:color="auto" w:sz="4" w:space="0"/>
            </w:tcBorders>
            <w:shd w:val="clear" w:color="auto" w:fill="FFFFFF"/>
            <w:vAlign w:val="center"/>
          </w:tcPr>
          <w:p>
            <w:pPr>
              <w:widowControl/>
              <w:jc w:val="center"/>
              <w:rPr>
                <w:rFonts w:asciiTheme="minorEastAsia" w:hAnsiTheme="minorEastAsia" w:eastAsiaTheme="minorEastAsia" w:cstheme="minorEastAsia"/>
                <w:color w:val="auto"/>
                <w:kern w:val="0"/>
                <w:sz w:val="18"/>
                <w:szCs w:val="18"/>
                <w:highlight w:val="none"/>
              </w:rPr>
            </w:pPr>
          </w:p>
        </w:tc>
        <w:tc>
          <w:tcPr>
            <w:tcW w:w="1420" w:type="dxa"/>
            <w:tcBorders>
              <w:top w:val="nil"/>
              <w:left w:val="nil"/>
              <w:bottom w:val="single" w:color="auto" w:sz="4" w:space="0"/>
              <w:right w:val="single" w:color="auto" w:sz="4" w:space="0"/>
            </w:tcBorders>
            <w:shd w:val="clear" w:color="auto" w:fill="FFFFFF"/>
            <w:vAlign w:val="center"/>
          </w:tcPr>
          <w:p>
            <w:pPr>
              <w:widowControl/>
              <w:jc w:val="right"/>
              <w:rPr>
                <w:rFonts w:asciiTheme="minorEastAsia" w:hAnsiTheme="minorEastAsia" w:eastAsiaTheme="minorEastAsia" w:cstheme="minorEastAsia"/>
                <w:color w:val="auto"/>
                <w:kern w:val="0"/>
                <w:sz w:val="18"/>
                <w:szCs w:val="18"/>
                <w:highlight w:val="none"/>
              </w:rPr>
            </w:pPr>
          </w:p>
        </w:tc>
        <w:tc>
          <w:tcPr>
            <w:tcW w:w="1815" w:type="dxa"/>
            <w:tcBorders>
              <w:top w:val="nil"/>
              <w:left w:val="nil"/>
              <w:bottom w:val="single" w:color="auto" w:sz="4" w:space="0"/>
              <w:right w:val="single" w:color="auto" w:sz="4" w:space="0"/>
            </w:tcBorders>
            <w:shd w:val="clear" w:color="auto" w:fill="FFFFFF"/>
            <w:vAlign w:val="center"/>
          </w:tcPr>
          <w:p>
            <w:pPr>
              <w:widowControl/>
              <w:jc w:val="right"/>
              <w:rPr>
                <w:rFonts w:asciiTheme="minorEastAsia" w:hAnsiTheme="minorEastAsia" w:eastAsiaTheme="minorEastAsia" w:cstheme="minorEastAsia"/>
                <w:color w:val="auto"/>
                <w:kern w:val="0"/>
                <w:sz w:val="18"/>
                <w:szCs w:val="18"/>
                <w:highlight w:val="none"/>
              </w:rPr>
            </w:pPr>
          </w:p>
        </w:tc>
      </w:tr>
    </w:tbl>
    <w:p>
      <w:pPr>
        <w:spacing w:line="360" w:lineRule="auto"/>
        <w:rPr>
          <w:rFonts w:asciiTheme="minorEastAsia" w:hAnsiTheme="minorEastAsia" w:eastAsiaTheme="minorEastAsia" w:cstheme="minorEastAsia"/>
          <w:b/>
          <w:bCs/>
          <w:color w:val="auto"/>
          <w:highlight w:val="none"/>
        </w:rPr>
      </w:pPr>
    </w:p>
    <w:p>
      <w:pPr>
        <w:spacing w:line="360" w:lineRule="auto"/>
        <w:rPr>
          <w:rFonts w:asciiTheme="minorEastAsia" w:hAnsiTheme="minorEastAsia" w:eastAsiaTheme="minorEastAsia" w:cstheme="minorEastAsia"/>
          <w:b/>
          <w:bCs/>
          <w:color w:val="auto"/>
          <w:highlight w:val="none"/>
        </w:rPr>
      </w:pPr>
    </w:p>
    <w:p>
      <w:pPr>
        <w:spacing w:line="360" w:lineRule="auto"/>
        <w:rPr>
          <w:rFonts w:asciiTheme="minorEastAsia" w:hAnsiTheme="minorEastAsia" w:eastAsiaTheme="minorEastAsia" w:cstheme="minorEastAsia"/>
          <w:b/>
          <w:bCs/>
          <w:color w:val="auto"/>
          <w:highlight w:val="none"/>
        </w:rPr>
      </w:pPr>
    </w:p>
    <w:p>
      <w:pPr>
        <w:spacing w:line="360" w:lineRule="auto"/>
        <w:rPr>
          <w:rFonts w:asciiTheme="minorEastAsia" w:hAnsiTheme="minorEastAsia" w:eastAsiaTheme="minorEastAsia" w:cstheme="minorEastAsia"/>
          <w:b/>
          <w:bCs/>
          <w:color w:val="auto"/>
          <w:highlight w:val="none"/>
        </w:rPr>
      </w:pPr>
    </w:p>
    <w:p>
      <w:pPr>
        <w:pStyle w:val="4"/>
        <w:spacing w:line="360" w:lineRule="auto"/>
        <w:jc w:val="center"/>
        <w:rPr>
          <w:rFonts w:asciiTheme="minorEastAsia" w:hAnsiTheme="minorEastAsia" w:eastAsiaTheme="minorEastAsia" w:cstheme="minorEastAsia"/>
          <w:color w:val="auto"/>
          <w:sz w:val="28"/>
          <w:szCs w:val="21"/>
          <w:highlight w:val="none"/>
        </w:rPr>
      </w:pPr>
      <w:r>
        <w:rPr>
          <w:rFonts w:hint="eastAsia" w:asciiTheme="minorEastAsia" w:hAnsiTheme="minorEastAsia" w:eastAsiaTheme="minorEastAsia" w:cstheme="minorEastAsia"/>
          <w:b w:val="0"/>
          <w:bCs w:val="0"/>
          <w:color w:val="auto"/>
          <w:szCs w:val="21"/>
          <w:highlight w:val="none"/>
        </w:rPr>
        <w:br w:type="page"/>
      </w:r>
      <w:bookmarkStart w:id="97" w:name="_Toc505869065"/>
      <w:r>
        <w:rPr>
          <w:rFonts w:hint="eastAsia" w:asciiTheme="minorEastAsia" w:hAnsiTheme="minorEastAsia" w:eastAsiaTheme="minorEastAsia" w:cstheme="minorEastAsia"/>
          <w:color w:val="auto"/>
          <w:sz w:val="28"/>
          <w:szCs w:val="21"/>
          <w:highlight w:val="none"/>
        </w:rPr>
        <w:t>附表7：材料、设备参考品牌明细表</w:t>
      </w:r>
      <w:bookmarkEnd w:id="97"/>
    </w:p>
    <w:p>
      <w:pPr>
        <w:spacing w:line="360" w:lineRule="auto"/>
        <w:ind w:firstLine="422"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bCs/>
          <w:color w:val="auto"/>
          <w:szCs w:val="18"/>
          <w:highlight w:val="none"/>
        </w:rPr>
        <w:t>工程名称:</w:t>
      </w:r>
      <w:r>
        <w:rPr>
          <w:rFonts w:hint="eastAsia" w:asciiTheme="minorEastAsia" w:hAnsiTheme="minorEastAsia" w:eastAsiaTheme="minorEastAsia" w:cstheme="minorEastAsia"/>
          <w:color w:val="auto"/>
          <w:highlight w:val="none"/>
        </w:rPr>
        <w:t xml:space="preserve">             </w:t>
      </w:r>
    </w:p>
    <w:tbl>
      <w:tblPr>
        <w:tblStyle w:val="43"/>
        <w:tblW w:w="8653" w:type="dxa"/>
        <w:jc w:val="center"/>
        <w:tblLayout w:type="fixed"/>
        <w:tblCellMar>
          <w:top w:w="0" w:type="dxa"/>
          <w:left w:w="108" w:type="dxa"/>
          <w:bottom w:w="0" w:type="dxa"/>
          <w:right w:w="108" w:type="dxa"/>
        </w:tblCellMar>
      </w:tblPr>
      <w:tblGrid>
        <w:gridCol w:w="733"/>
        <w:gridCol w:w="2520"/>
        <w:gridCol w:w="3960"/>
        <w:gridCol w:w="1440"/>
      </w:tblGrid>
      <w:tr>
        <w:tblPrEx>
          <w:tblCellMar>
            <w:top w:w="0" w:type="dxa"/>
            <w:left w:w="108" w:type="dxa"/>
            <w:bottom w:w="0" w:type="dxa"/>
            <w:right w:w="108" w:type="dxa"/>
          </w:tblCellMar>
        </w:tblPrEx>
        <w:trPr>
          <w:trHeight w:val="540"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序号</w:t>
            </w:r>
          </w:p>
        </w:tc>
        <w:tc>
          <w:tcPr>
            <w:tcW w:w="2520" w:type="dxa"/>
            <w:tcBorders>
              <w:top w:val="single" w:color="auto" w:sz="4" w:space="0"/>
              <w:left w:val="nil"/>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材料名称</w:t>
            </w:r>
          </w:p>
        </w:tc>
        <w:tc>
          <w:tcPr>
            <w:tcW w:w="3960" w:type="dxa"/>
            <w:tcBorders>
              <w:top w:val="single" w:color="auto" w:sz="4" w:space="0"/>
              <w:left w:val="nil"/>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参考品牌</w:t>
            </w:r>
          </w:p>
        </w:tc>
        <w:tc>
          <w:tcPr>
            <w:tcW w:w="1440" w:type="dxa"/>
            <w:tcBorders>
              <w:top w:val="single" w:color="auto" w:sz="4" w:space="0"/>
              <w:left w:val="nil"/>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备注</w:t>
            </w:r>
          </w:p>
        </w:tc>
      </w:tr>
      <w:tr>
        <w:tblPrEx>
          <w:tblCellMar>
            <w:top w:w="0" w:type="dxa"/>
            <w:left w:w="108" w:type="dxa"/>
            <w:bottom w:w="0" w:type="dxa"/>
            <w:right w:w="108" w:type="dxa"/>
          </w:tblCellMar>
        </w:tblPrEx>
        <w:trPr>
          <w:trHeight w:val="540"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w:t>
            </w:r>
          </w:p>
        </w:tc>
        <w:tc>
          <w:tcPr>
            <w:tcW w:w="2520" w:type="dxa"/>
            <w:tcBorders>
              <w:top w:val="nil"/>
              <w:left w:val="nil"/>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c>
          <w:tcPr>
            <w:tcW w:w="3960" w:type="dxa"/>
            <w:tcBorders>
              <w:top w:val="nil"/>
              <w:left w:val="nil"/>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c>
          <w:tcPr>
            <w:tcW w:w="1440" w:type="dxa"/>
            <w:tcBorders>
              <w:top w:val="nil"/>
              <w:left w:val="nil"/>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r>
      <w:tr>
        <w:tblPrEx>
          <w:tblCellMar>
            <w:top w:w="0" w:type="dxa"/>
            <w:left w:w="108" w:type="dxa"/>
            <w:bottom w:w="0" w:type="dxa"/>
            <w:right w:w="108" w:type="dxa"/>
          </w:tblCellMar>
        </w:tblPrEx>
        <w:trPr>
          <w:trHeight w:val="540"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w:t>
            </w:r>
          </w:p>
        </w:tc>
        <w:tc>
          <w:tcPr>
            <w:tcW w:w="2520" w:type="dxa"/>
            <w:tcBorders>
              <w:top w:val="nil"/>
              <w:left w:val="nil"/>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c>
          <w:tcPr>
            <w:tcW w:w="3960" w:type="dxa"/>
            <w:tcBorders>
              <w:top w:val="nil"/>
              <w:left w:val="nil"/>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c>
          <w:tcPr>
            <w:tcW w:w="1440" w:type="dxa"/>
            <w:tcBorders>
              <w:top w:val="nil"/>
              <w:left w:val="nil"/>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r>
      <w:tr>
        <w:tblPrEx>
          <w:tblCellMar>
            <w:top w:w="0" w:type="dxa"/>
            <w:left w:w="108" w:type="dxa"/>
            <w:bottom w:w="0" w:type="dxa"/>
            <w:right w:w="108" w:type="dxa"/>
          </w:tblCellMar>
        </w:tblPrEx>
        <w:trPr>
          <w:trHeight w:val="540"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w:t>
            </w:r>
          </w:p>
        </w:tc>
        <w:tc>
          <w:tcPr>
            <w:tcW w:w="2520" w:type="dxa"/>
            <w:tcBorders>
              <w:top w:val="nil"/>
              <w:left w:val="nil"/>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c>
          <w:tcPr>
            <w:tcW w:w="3960" w:type="dxa"/>
            <w:tcBorders>
              <w:top w:val="nil"/>
              <w:left w:val="nil"/>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c>
          <w:tcPr>
            <w:tcW w:w="1440" w:type="dxa"/>
            <w:tcBorders>
              <w:top w:val="nil"/>
              <w:left w:val="nil"/>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r>
      <w:tr>
        <w:tblPrEx>
          <w:tblCellMar>
            <w:top w:w="0" w:type="dxa"/>
            <w:left w:w="108" w:type="dxa"/>
            <w:bottom w:w="0" w:type="dxa"/>
            <w:right w:w="108" w:type="dxa"/>
          </w:tblCellMar>
        </w:tblPrEx>
        <w:trPr>
          <w:trHeight w:val="540"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w:t>
            </w:r>
          </w:p>
        </w:tc>
        <w:tc>
          <w:tcPr>
            <w:tcW w:w="2520" w:type="dxa"/>
            <w:tcBorders>
              <w:top w:val="nil"/>
              <w:left w:val="nil"/>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c>
          <w:tcPr>
            <w:tcW w:w="3960" w:type="dxa"/>
            <w:tcBorders>
              <w:top w:val="nil"/>
              <w:left w:val="nil"/>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c>
          <w:tcPr>
            <w:tcW w:w="1440" w:type="dxa"/>
            <w:tcBorders>
              <w:top w:val="nil"/>
              <w:left w:val="nil"/>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r>
      <w:tr>
        <w:tblPrEx>
          <w:tblCellMar>
            <w:top w:w="0" w:type="dxa"/>
            <w:left w:w="108" w:type="dxa"/>
            <w:bottom w:w="0" w:type="dxa"/>
            <w:right w:w="108" w:type="dxa"/>
          </w:tblCellMar>
        </w:tblPrEx>
        <w:trPr>
          <w:trHeight w:val="540"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w:t>
            </w:r>
          </w:p>
        </w:tc>
        <w:tc>
          <w:tcPr>
            <w:tcW w:w="2520" w:type="dxa"/>
            <w:tcBorders>
              <w:top w:val="nil"/>
              <w:left w:val="nil"/>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c>
          <w:tcPr>
            <w:tcW w:w="3960" w:type="dxa"/>
            <w:tcBorders>
              <w:top w:val="nil"/>
              <w:left w:val="nil"/>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c>
          <w:tcPr>
            <w:tcW w:w="1440" w:type="dxa"/>
            <w:tcBorders>
              <w:top w:val="nil"/>
              <w:left w:val="nil"/>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r>
      <w:tr>
        <w:tblPrEx>
          <w:tblCellMar>
            <w:top w:w="0" w:type="dxa"/>
            <w:left w:w="108" w:type="dxa"/>
            <w:bottom w:w="0" w:type="dxa"/>
            <w:right w:w="108" w:type="dxa"/>
          </w:tblCellMar>
        </w:tblPrEx>
        <w:trPr>
          <w:trHeight w:val="540"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w:t>
            </w:r>
          </w:p>
        </w:tc>
        <w:tc>
          <w:tcPr>
            <w:tcW w:w="2520" w:type="dxa"/>
            <w:tcBorders>
              <w:top w:val="nil"/>
              <w:left w:val="nil"/>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c>
          <w:tcPr>
            <w:tcW w:w="3960" w:type="dxa"/>
            <w:tcBorders>
              <w:top w:val="nil"/>
              <w:left w:val="nil"/>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c>
          <w:tcPr>
            <w:tcW w:w="1440" w:type="dxa"/>
            <w:tcBorders>
              <w:top w:val="nil"/>
              <w:left w:val="nil"/>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r>
      <w:tr>
        <w:tblPrEx>
          <w:tblCellMar>
            <w:top w:w="0" w:type="dxa"/>
            <w:left w:w="108" w:type="dxa"/>
            <w:bottom w:w="0" w:type="dxa"/>
            <w:right w:w="108" w:type="dxa"/>
          </w:tblCellMar>
        </w:tblPrEx>
        <w:trPr>
          <w:trHeight w:val="540"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w:t>
            </w:r>
          </w:p>
        </w:tc>
        <w:tc>
          <w:tcPr>
            <w:tcW w:w="2520" w:type="dxa"/>
            <w:tcBorders>
              <w:top w:val="nil"/>
              <w:left w:val="nil"/>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c>
          <w:tcPr>
            <w:tcW w:w="3960" w:type="dxa"/>
            <w:tcBorders>
              <w:top w:val="nil"/>
              <w:left w:val="nil"/>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c>
          <w:tcPr>
            <w:tcW w:w="1440" w:type="dxa"/>
            <w:tcBorders>
              <w:top w:val="nil"/>
              <w:left w:val="nil"/>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r>
      <w:tr>
        <w:tblPrEx>
          <w:tblCellMar>
            <w:top w:w="0" w:type="dxa"/>
            <w:left w:w="108" w:type="dxa"/>
            <w:bottom w:w="0" w:type="dxa"/>
            <w:right w:w="108" w:type="dxa"/>
          </w:tblCellMar>
        </w:tblPrEx>
        <w:trPr>
          <w:trHeight w:val="540"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w:t>
            </w:r>
          </w:p>
        </w:tc>
        <w:tc>
          <w:tcPr>
            <w:tcW w:w="2520" w:type="dxa"/>
            <w:tcBorders>
              <w:top w:val="nil"/>
              <w:left w:val="nil"/>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c>
          <w:tcPr>
            <w:tcW w:w="3960" w:type="dxa"/>
            <w:tcBorders>
              <w:top w:val="nil"/>
              <w:left w:val="nil"/>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c>
          <w:tcPr>
            <w:tcW w:w="1440" w:type="dxa"/>
            <w:tcBorders>
              <w:top w:val="nil"/>
              <w:left w:val="nil"/>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r>
      <w:tr>
        <w:tblPrEx>
          <w:tblCellMar>
            <w:top w:w="0" w:type="dxa"/>
            <w:left w:w="108" w:type="dxa"/>
            <w:bottom w:w="0" w:type="dxa"/>
            <w:right w:w="108" w:type="dxa"/>
          </w:tblCellMar>
        </w:tblPrEx>
        <w:trPr>
          <w:trHeight w:val="540"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9</w:t>
            </w:r>
          </w:p>
        </w:tc>
        <w:tc>
          <w:tcPr>
            <w:tcW w:w="2520" w:type="dxa"/>
            <w:tcBorders>
              <w:top w:val="nil"/>
              <w:left w:val="nil"/>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c>
          <w:tcPr>
            <w:tcW w:w="3960" w:type="dxa"/>
            <w:tcBorders>
              <w:top w:val="nil"/>
              <w:left w:val="nil"/>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c>
          <w:tcPr>
            <w:tcW w:w="1440" w:type="dxa"/>
            <w:tcBorders>
              <w:top w:val="nil"/>
              <w:left w:val="nil"/>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r>
      <w:tr>
        <w:tblPrEx>
          <w:tblCellMar>
            <w:top w:w="0" w:type="dxa"/>
            <w:left w:w="108" w:type="dxa"/>
            <w:bottom w:w="0" w:type="dxa"/>
            <w:right w:w="108" w:type="dxa"/>
          </w:tblCellMar>
        </w:tblPrEx>
        <w:trPr>
          <w:trHeight w:val="540"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10</w:t>
            </w:r>
          </w:p>
        </w:tc>
        <w:tc>
          <w:tcPr>
            <w:tcW w:w="2520" w:type="dxa"/>
            <w:tcBorders>
              <w:top w:val="nil"/>
              <w:left w:val="nil"/>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c>
          <w:tcPr>
            <w:tcW w:w="3960" w:type="dxa"/>
            <w:tcBorders>
              <w:top w:val="nil"/>
              <w:left w:val="nil"/>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c>
          <w:tcPr>
            <w:tcW w:w="1440" w:type="dxa"/>
            <w:tcBorders>
              <w:top w:val="nil"/>
              <w:left w:val="nil"/>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r>
      <w:tr>
        <w:tblPrEx>
          <w:tblCellMar>
            <w:top w:w="0" w:type="dxa"/>
            <w:left w:w="108" w:type="dxa"/>
            <w:bottom w:w="0" w:type="dxa"/>
            <w:right w:w="108" w:type="dxa"/>
          </w:tblCellMar>
        </w:tblPrEx>
        <w:trPr>
          <w:trHeight w:val="540"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w:t>
            </w:r>
          </w:p>
        </w:tc>
        <w:tc>
          <w:tcPr>
            <w:tcW w:w="2520" w:type="dxa"/>
            <w:tcBorders>
              <w:top w:val="nil"/>
              <w:left w:val="nil"/>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c>
          <w:tcPr>
            <w:tcW w:w="3960" w:type="dxa"/>
            <w:tcBorders>
              <w:top w:val="nil"/>
              <w:left w:val="nil"/>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c>
          <w:tcPr>
            <w:tcW w:w="1440" w:type="dxa"/>
            <w:tcBorders>
              <w:top w:val="nil"/>
              <w:left w:val="nil"/>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r>
      <w:tr>
        <w:tblPrEx>
          <w:tblCellMar>
            <w:top w:w="0" w:type="dxa"/>
            <w:left w:w="108" w:type="dxa"/>
            <w:bottom w:w="0" w:type="dxa"/>
            <w:right w:w="108" w:type="dxa"/>
          </w:tblCellMar>
        </w:tblPrEx>
        <w:trPr>
          <w:trHeight w:val="540"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12</w:t>
            </w:r>
          </w:p>
        </w:tc>
        <w:tc>
          <w:tcPr>
            <w:tcW w:w="2520" w:type="dxa"/>
            <w:tcBorders>
              <w:top w:val="nil"/>
              <w:left w:val="nil"/>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c>
          <w:tcPr>
            <w:tcW w:w="3960" w:type="dxa"/>
            <w:tcBorders>
              <w:top w:val="nil"/>
              <w:left w:val="nil"/>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c>
          <w:tcPr>
            <w:tcW w:w="1440" w:type="dxa"/>
            <w:tcBorders>
              <w:top w:val="nil"/>
              <w:left w:val="nil"/>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r>
      <w:tr>
        <w:tblPrEx>
          <w:tblCellMar>
            <w:top w:w="0" w:type="dxa"/>
            <w:left w:w="108" w:type="dxa"/>
            <w:bottom w:w="0" w:type="dxa"/>
            <w:right w:w="108" w:type="dxa"/>
          </w:tblCellMar>
        </w:tblPrEx>
        <w:trPr>
          <w:trHeight w:val="540"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13</w:t>
            </w:r>
          </w:p>
        </w:tc>
        <w:tc>
          <w:tcPr>
            <w:tcW w:w="2520" w:type="dxa"/>
            <w:tcBorders>
              <w:top w:val="nil"/>
              <w:left w:val="nil"/>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c>
          <w:tcPr>
            <w:tcW w:w="3960" w:type="dxa"/>
            <w:tcBorders>
              <w:top w:val="nil"/>
              <w:left w:val="nil"/>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c>
          <w:tcPr>
            <w:tcW w:w="1440" w:type="dxa"/>
            <w:tcBorders>
              <w:top w:val="nil"/>
              <w:left w:val="nil"/>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r>
      <w:tr>
        <w:tblPrEx>
          <w:tblCellMar>
            <w:top w:w="0" w:type="dxa"/>
            <w:left w:w="108" w:type="dxa"/>
            <w:bottom w:w="0" w:type="dxa"/>
            <w:right w:w="108" w:type="dxa"/>
          </w:tblCellMar>
        </w:tblPrEx>
        <w:trPr>
          <w:trHeight w:val="540"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14</w:t>
            </w:r>
          </w:p>
        </w:tc>
        <w:tc>
          <w:tcPr>
            <w:tcW w:w="252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c>
          <w:tcPr>
            <w:tcW w:w="39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r>
      <w:tr>
        <w:tblPrEx>
          <w:tblCellMar>
            <w:top w:w="0" w:type="dxa"/>
            <w:left w:w="108" w:type="dxa"/>
            <w:bottom w:w="0" w:type="dxa"/>
            <w:right w:w="108" w:type="dxa"/>
          </w:tblCellMar>
        </w:tblPrEx>
        <w:trPr>
          <w:trHeight w:val="540"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15</w:t>
            </w:r>
          </w:p>
        </w:tc>
        <w:tc>
          <w:tcPr>
            <w:tcW w:w="252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c>
          <w:tcPr>
            <w:tcW w:w="39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cstheme="minorEastAsia"/>
                <w:color w:val="auto"/>
                <w:sz w:val="24"/>
                <w:highlight w:val="none"/>
              </w:rPr>
            </w:pPr>
          </w:p>
        </w:tc>
      </w:tr>
    </w:tbl>
    <w:p>
      <w:pPr>
        <w:spacing w:line="360" w:lineRule="auto"/>
        <w:ind w:firstLine="720" w:firstLineChars="300"/>
        <w:rPr>
          <w:rFonts w:asciiTheme="minorEastAsia" w:hAnsiTheme="minorEastAsia" w:eastAsiaTheme="minorEastAsia" w:cstheme="minorEastAsia"/>
          <w:color w:val="auto"/>
          <w:sz w:val="24"/>
          <w:highlight w:val="none"/>
        </w:rPr>
      </w:pPr>
    </w:p>
    <w:bookmarkEnd w:id="91"/>
    <w:bookmarkEnd w:id="92"/>
    <w:p>
      <w:pPr>
        <w:rPr>
          <w:rFonts w:asciiTheme="minorEastAsia" w:hAnsiTheme="minorEastAsia" w:eastAsiaTheme="minorEastAsia" w:cstheme="minorEastAsia"/>
          <w:b/>
          <w:bCs/>
          <w:color w:val="auto"/>
          <w:kern w:val="0"/>
          <w:sz w:val="48"/>
          <w:szCs w:val="48"/>
          <w:highlight w:val="none"/>
        </w:rPr>
      </w:pPr>
      <w:r>
        <w:rPr>
          <w:rFonts w:hint="eastAsia" w:asciiTheme="minorEastAsia" w:hAnsiTheme="minorEastAsia" w:eastAsiaTheme="minorEastAsia" w:cstheme="minorEastAsia"/>
          <w:b/>
          <w:bCs/>
          <w:color w:val="auto"/>
          <w:kern w:val="0"/>
          <w:sz w:val="48"/>
          <w:szCs w:val="48"/>
          <w:highlight w:val="none"/>
        </w:rPr>
        <w:br w:type="page"/>
      </w:r>
    </w:p>
    <w:p>
      <w:pPr>
        <w:pStyle w:val="3"/>
        <w:spacing w:before="0" w:after="0"/>
        <w:rPr>
          <w:rFonts w:ascii="宋体" w:hAnsi="宋体" w:cs="宋体"/>
          <w:color w:val="auto"/>
          <w:highlight w:val="none"/>
        </w:rPr>
      </w:pPr>
      <w:bookmarkStart w:id="98" w:name="_Toc28458"/>
      <w:r>
        <w:rPr>
          <w:rFonts w:hint="eastAsia" w:ascii="宋体" w:hAnsi="宋体" w:cs="宋体"/>
          <w:color w:val="auto"/>
          <w:highlight w:val="none"/>
        </w:rPr>
        <w:t>第四章  磋商响应文件格式</w:t>
      </w:r>
      <w:bookmarkEnd w:id="82"/>
      <w:bookmarkEnd w:id="98"/>
    </w:p>
    <w:p>
      <w:pPr>
        <w:widowControl/>
        <w:jc w:val="left"/>
        <w:rPr>
          <w:rFonts w:ascii="宋体" w:hAnsi="宋体" w:cs="宋体"/>
          <w:b/>
          <w:color w:val="auto"/>
          <w:kern w:val="0"/>
          <w:sz w:val="24"/>
          <w:highlight w:val="none"/>
        </w:rPr>
      </w:pPr>
      <w:r>
        <w:rPr>
          <w:rFonts w:hint="eastAsia" w:ascii="宋体" w:hAnsi="宋体" w:cs="宋体"/>
          <w:b/>
          <w:color w:val="auto"/>
          <w:kern w:val="0"/>
          <w:sz w:val="24"/>
          <w:highlight w:val="none"/>
        </w:rPr>
        <w:br w:type="page"/>
      </w:r>
    </w:p>
    <w:p>
      <w:pPr>
        <w:spacing w:line="500" w:lineRule="exact"/>
        <w:ind w:firstLine="472" w:firstLineChars="196"/>
        <w:jc w:val="left"/>
        <w:rPr>
          <w:rFonts w:ascii="宋体" w:hAnsi="宋体" w:cs="宋体"/>
          <w:b/>
          <w:color w:val="auto"/>
          <w:kern w:val="0"/>
          <w:sz w:val="24"/>
          <w:highlight w:val="none"/>
        </w:rPr>
      </w:pPr>
    </w:p>
    <w:p>
      <w:pPr>
        <w:jc w:val="center"/>
        <w:rPr>
          <w:rFonts w:ascii="宋体" w:hAnsi="宋体" w:cs="宋体"/>
          <w:b/>
          <w:color w:val="auto"/>
          <w:kern w:val="0"/>
          <w:sz w:val="44"/>
          <w:szCs w:val="44"/>
          <w:highlight w:val="none"/>
        </w:rPr>
      </w:pPr>
      <w:r>
        <w:rPr>
          <w:rFonts w:hint="eastAsia" w:ascii="宋体" w:hAnsi="宋体" w:cs="宋体"/>
          <w:b/>
          <w:color w:val="auto"/>
          <w:kern w:val="0"/>
          <w:sz w:val="44"/>
          <w:szCs w:val="44"/>
          <w:highlight w:val="none"/>
        </w:rPr>
        <w:t>政府采购项目</w:t>
      </w:r>
    </w:p>
    <w:p>
      <w:pPr>
        <w:jc w:val="center"/>
        <w:rPr>
          <w:rFonts w:ascii="宋体" w:hAnsi="宋体" w:cs="宋体"/>
          <w:b/>
          <w:color w:val="auto"/>
          <w:kern w:val="0"/>
          <w:sz w:val="36"/>
          <w:szCs w:val="36"/>
          <w:highlight w:val="none"/>
        </w:rPr>
      </w:pPr>
    </w:p>
    <w:p>
      <w:pPr>
        <w:jc w:val="center"/>
        <w:rPr>
          <w:rFonts w:ascii="宋体" w:hAnsi="宋体" w:cs="宋体"/>
          <w:b/>
          <w:color w:val="auto"/>
          <w:kern w:val="0"/>
          <w:sz w:val="44"/>
          <w:szCs w:val="44"/>
          <w:highlight w:val="none"/>
        </w:rPr>
      </w:pPr>
    </w:p>
    <w:p>
      <w:pPr>
        <w:jc w:val="center"/>
        <w:rPr>
          <w:rFonts w:ascii="宋体" w:hAnsi="宋体" w:cs="宋体"/>
          <w:b/>
          <w:color w:val="auto"/>
          <w:kern w:val="0"/>
          <w:sz w:val="36"/>
          <w:szCs w:val="36"/>
          <w:highlight w:val="none"/>
        </w:rPr>
      </w:pPr>
    </w:p>
    <w:p>
      <w:pPr>
        <w:jc w:val="center"/>
        <w:rPr>
          <w:rFonts w:ascii="宋体" w:hAnsi="宋体" w:cs="宋体"/>
          <w:b/>
          <w:color w:val="auto"/>
          <w:kern w:val="0"/>
          <w:sz w:val="44"/>
          <w:szCs w:val="44"/>
          <w:highlight w:val="none"/>
        </w:rPr>
      </w:pPr>
      <w:r>
        <w:rPr>
          <w:rFonts w:hint="eastAsia" w:ascii="宋体" w:hAnsi="宋体" w:cs="宋体"/>
          <w:b/>
          <w:color w:val="auto"/>
          <w:kern w:val="0"/>
          <w:sz w:val="44"/>
          <w:szCs w:val="44"/>
          <w:highlight w:val="none"/>
        </w:rPr>
        <w:t>磋商响应文件</w:t>
      </w:r>
    </w:p>
    <w:p>
      <w:pPr>
        <w:jc w:val="center"/>
        <w:rPr>
          <w:rFonts w:ascii="宋体" w:hAnsi="宋体" w:cs="宋体"/>
          <w:b/>
          <w:color w:val="auto"/>
          <w:kern w:val="0"/>
          <w:sz w:val="36"/>
          <w:szCs w:val="36"/>
          <w:highlight w:val="none"/>
        </w:rPr>
      </w:pPr>
    </w:p>
    <w:p>
      <w:pPr>
        <w:jc w:val="center"/>
        <w:rPr>
          <w:rFonts w:ascii="宋体" w:hAnsi="宋体" w:cs="宋体"/>
          <w:b/>
          <w:color w:val="auto"/>
          <w:kern w:val="0"/>
          <w:sz w:val="36"/>
          <w:szCs w:val="36"/>
          <w:highlight w:val="none"/>
        </w:rPr>
      </w:pPr>
    </w:p>
    <w:p>
      <w:pPr>
        <w:jc w:val="center"/>
        <w:rPr>
          <w:rFonts w:ascii="宋体" w:hAnsi="宋体" w:cs="宋体"/>
          <w:b/>
          <w:color w:val="auto"/>
          <w:kern w:val="0"/>
          <w:sz w:val="36"/>
          <w:szCs w:val="36"/>
          <w:highlight w:val="none"/>
        </w:rPr>
      </w:pPr>
    </w:p>
    <w:p>
      <w:pPr>
        <w:jc w:val="center"/>
        <w:rPr>
          <w:rFonts w:ascii="宋体" w:hAnsi="宋体" w:cs="宋体"/>
          <w:b/>
          <w:color w:val="auto"/>
          <w:kern w:val="0"/>
          <w:sz w:val="36"/>
          <w:szCs w:val="36"/>
          <w:highlight w:val="none"/>
        </w:rPr>
      </w:pPr>
    </w:p>
    <w:p>
      <w:pPr>
        <w:jc w:val="center"/>
        <w:rPr>
          <w:rFonts w:ascii="宋体" w:hAnsi="宋体" w:cs="宋体"/>
          <w:color w:val="auto"/>
          <w:kern w:val="0"/>
          <w:sz w:val="36"/>
          <w:szCs w:val="36"/>
          <w:highlight w:val="none"/>
        </w:rPr>
      </w:pPr>
    </w:p>
    <w:p>
      <w:pPr>
        <w:tabs>
          <w:tab w:val="left" w:pos="2628"/>
        </w:tabs>
        <w:spacing w:line="480" w:lineRule="auto"/>
        <w:ind w:left="1556" w:leftChars="286" w:hanging="955" w:hangingChars="317"/>
        <w:jc w:val="left"/>
        <w:rPr>
          <w:rFonts w:hint="eastAsia" w:ascii="宋体" w:hAnsi="宋体" w:eastAsia="宋体" w:cs="宋体"/>
          <w:b/>
          <w:color w:val="auto"/>
          <w:kern w:val="0"/>
          <w:sz w:val="30"/>
          <w:szCs w:val="30"/>
          <w:highlight w:val="none"/>
          <w:lang w:eastAsia="zh-CN"/>
        </w:rPr>
      </w:pPr>
      <w:r>
        <w:rPr>
          <w:rFonts w:hint="eastAsia" w:ascii="宋体" w:hAnsi="宋体" w:cs="宋体"/>
          <w:b/>
          <w:color w:val="auto"/>
          <w:kern w:val="0"/>
          <w:sz w:val="30"/>
          <w:szCs w:val="30"/>
          <w:highlight w:val="none"/>
        </w:rPr>
        <w:t>项目名称：</w:t>
      </w:r>
      <w:r>
        <w:rPr>
          <w:rFonts w:hint="eastAsia" w:ascii="宋体" w:hAnsi="宋体" w:cs="宋体"/>
          <w:b/>
          <w:color w:val="auto"/>
          <w:kern w:val="0"/>
          <w:sz w:val="28"/>
          <w:szCs w:val="28"/>
          <w:highlight w:val="none"/>
          <w:lang w:eastAsia="zh-CN"/>
        </w:rPr>
        <w:t>上王村农家乐产业发展提升项目</w:t>
      </w:r>
    </w:p>
    <w:p>
      <w:pPr>
        <w:tabs>
          <w:tab w:val="left" w:pos="2628"/>
        </w:tabs>
        <w:spacing w:line="480" w:lineRule="auto"/>
        <w:ind w:firstLine="602" w:firstLineChars="200"/>
        <w:jc w:val="left"/>
        <w:rPr>
          <w:rFonts w:ascii="宋体" w:hAnsi="宋体" w:cs="宋体"/>
          <w:b/>
          <w:color w:val="auto"/>
          <w:kern w:val="0"/>
          <w:sz w:val="30"/>
          <w:szCs w:val="30"/>
          <w:highlight w:val="none"/>
        </w:rPr>
      </w:pPr>
      <w:r>
        <w:rPr>
          <w:rFonts w:hint="eastAsia" w:ascii="宋体" w:hAnsi="宋体" w:cs="宋体"/>
          <w:b/>
          <w:color w:val="auto"/>
          <w:kern w:val="0"/>
          <w:sz w:val="30"/>
          <w:szCs w:val="30"/>
          <w:highlight w:val="none"/>
        </w:rPr>
        <w:t>项目编号：0617-2311GZ0750</w:t>
      </w:r>
    </w:p>
    <w:p>
      <w:pPr>
        <w:spacing w:line="480" w:lineRule="auto"/>
        <w:ind w:firstLine="602" w:firstLineChars="200"/>
        <w:rPr>
          <w:rFonts w:ascii="宋体" w:hAnsi="宋体" w:cs="宋体"/>
          <w:b/>
          <w:color w:val="auto"/>
          <w:kern w:val="0"/>
          <w:sz w:val="30"/>
          <w:szCs w:val="30"/>
          <w:highlight w:val="none"/>
        </w:rPr>
      </w:pPr>
      <w:r>
        <w:rPr>
          <w:rFonts w:hint="eastAsia" w:ascii="宋体" w:hAnsi="宋体" w:cs="宋体"/>
          <w:b/>
          <w:color w:val="auto"/>
          <w:kern w:val="0"/>
          <w:sz w:val="30"/>
          <w:szCs w:val="30"/>
          <w:highlight w:val="none"/>
        </w:rPr>
        <w:t>供应商：（公章）</w:t>
      </w:r>
    </w:p>
    <w:p>
      <w:pPr>
        <w:spacing w:line="480" w:lineRule="auto"/>
        <w:ind w:firstLine="602" w:firstLineChars="200"/>
        <w:rPr>
          <w:rFonts w:ascii="宋体" w:hAnsi="宋体" w:cs="宋体"/>
          <w:b/>
          <w:color w:val="auto"/>
          <w:kern w:val="0"/>
          <w:sz w:val="30"/>
          <w:szCs w:val="30"/>
          <w:highlight w:val="none"/>
        </w:rPr>
      </w:pPr>
      <w:r>
        <w:rPr>
          <w:rFonts w:hint="eastAsia" w:ascii="宋体" w:hAnsi="宋体" w:cs="宋体"/>
          <w:b/>
          <w:color w:val="auto"/>
          <w:kern w:val="0"/>
          <w:sz w:val="30"/>
          <w:szCs w:val="30"/>
          <w:highlight w:val="none"/>
        </w:rPr>
        <w:t>日期：    年  月  日</w:t>
      </w:r>
    </w:p>
    <w:p>
      <w:pPr>
        <w:spacing w:line="360" w:lineRule="auto"/>
        <w:ind w:left="1080"/>
        <w:rPr>
          <w:rFonts w:ascii="宋体" w:hAnsi="宋体" w:cs="宋体"/>
          <w:b/>
          <w:bCs/>
          <w:color w:val="auto"/>
          <w:kern w:val="0"/>
          <w:sz w:val="28"/>
          <w:szCs w:val="28"/>
          <w:highlight w:val="none"/>
        </w:rPr>
      </w:pPr>
    </w:p>
    <w:p>
      <w:pPr>
        <w:jc w:val="center"/>
        <w:rPr>
          <w:rFonts w:ascii="宋体" w:hAnsi="宋体" w:cs="宋体"/>
          <w:color w:val="auto"/>
          <w:kern w:val="0"/>
          <w:sz w:val="44"/>
          <w:szCs w:val="44"/>
          <w:highlight w:val="none"/>
        </w:rPr>
      </w:pPr>
    </w:p>
    <w:p>
      <w:pPr>
        <w:jc w:val="center"/>
        <w:rPr>
          <w:rFonts w:ascii="宋体" w:hAnsi="宋体" w:cs="宋体"/>
          <w:color w:val="auto"/>
          <w:kern w:val="0"/>
          <w:sz w:val="44"/>
          <w:szCs w:val="44"/>
          <w:highlight w:val="none"/>
        </w:rPr>
      </w:pPr>
    </w:p>
    <w:p>
      <w:pPr>
        <w:spacing w:line="360" w:lineRule="auto"/>
        <w:ind w:left="1524"/>
        <w:rPr>
          <w:rFonts w:ascii="宋体" w:hAnsi="宋体" w:cs="宋体"/>
          <w:color w:val="auto"/>
          <w:kern w:val="0"/>
          <w:sz w:val="24"/>
          <w:highlight w:val="none"/>
        </w:rPr>
      </w:pPr>
    </w:p>
    <w:p>
      <w:pPr>
        <w:spacing w:line="500" w:lineRule="exact"/>
        <w:jc w:val="center"/>
        <w:rPr>
          <w:rFonts w:ascii="宋体" w:hAnsi="宋体" w:cs="宋体"/>
          <w:b/>
          <w:bCs/>
          <w:color w:val="auto"/>
          <w:kern w:val="0"/>
          <w:sz w:val="36"/>
          <w:szCs w:val="36"/>
          <w:highlight w:val="none"/>
        </w:rPr>
      </w:pPr>
      <w:r>
        <w:rPr>
          <w:rFonts w:hint="eastAsia" w:ascii="宋体" w:hAnsi="宋体" w:cs="宋体"/>
          <w:b/>
          <w:bCs/>
          <w:color w:val="auto"/>
          <w:kern w:val="0"/>
          <w:sz w:val="36"/>
          <w:szCs w:val="36"/>
          <w:highlight w:val="none"/>
        </w:rPr>
        <w:br w:type="page"/>
      </w:r>
    </w:p>
    <w:p>
      <w:pPr>
        <w:spacing w:line="500" w:lineRule="exact"/>
        <w:jc w:val="center"/>
        <w:rPr>
          <w:rFonts w:ascii="宋体" w:hAnsi="宋体" w:cs="宋体"/>
          <w:b/>
          <w:bCs/>
          <w:color w:val="auto"/>
          <w:kern w:val="0"/>
          <w:sz w:val="36"/>
          <w:szCs w:val="36"/>
          <w:highlight w:val="none"/>
        </w:rPr>
      </w:pPr>
    </w:p>
    <w:p>
      <w:pPr>
        <w:spacing w:line="500" w:lineRule="exact"/>
        <w:jc w:val="center"/>
        <w:rPr>
          <w:rFonts w:ascii="宋体" w:hAnsi="宋体" w:cs="宋体"/>
          <w:b/>
          <w:bCs/>
          <w:color w:val="auto"/>
          <w:kern w:val="0"/>
          <w:sz w:val="36"/>
          <w:szCs w:val="36"/>
          <w:highlight w:val="none"/>
        </w:rPr>
      </w:pPr>
      <w:r>
        <w:rPr>
          <w:rFonts w:hint="eastAsia" w:ascii="宋体" w:hAnsi="宋体" w:cs="宋体"/>
          <w:b/>
          <w:bCs/>
          <w:color w:val="auto"/>
          <w:kern w:val="0"/>
          <w:sz w:val="36"/>
          <w:szCs w:val="36"/>
          <w:highlight w:val="none"/>
        </w:rPr>
        <w:t>目 录</w:t>
      </w:r>
    </w:p>
    <w:p>
      <w:pPr>
        <w:spacing w:line="500" w:lineRule="exact"/>
        <w:jc w:val="center"/>
        <w:rPr>
          <w:rFonts w:ascii="宋体" w:hAnsi="宋体" w:cs="宋体"/>
          <w:b/>
          <w:bCs/>
          <w:color w:val="auto"/>
          <w:kern w:val="0"/>
          <w:sz w:val="36"/>
          <w:szCs w:val="36"/>
          <w:highlight w:val="none"/>
        </w:rPr>
      </w:pPr>
    </w:p>
    <w:p>
      <w:pPr>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一、法定代表人身份证明或法人代表授权书</w:t>
      </w:r>
    </w:p>
    <w:p>
      <w:pPr>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二、陕西省政府采购供应商拒绝政府采购领域商业贿赂承诺书</w:t>
      </w:r>
    </w:p>
    <w:p>
      <w:pPr>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三、证明文件</w:t>
      </w:r>
    </w:p>
    <w:p>
      <w:pPr>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四、磋商报价函</w:t>
      </w:r>
    </w:p>
    <w:p>
      <w:pPr>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五、磋商报价表</w:t>
      </w:r>
    </w:p>
    <w:p>
      <w:pPr>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六、技术方案</w:t>
      </w:r>
    </w:p>
    <w:p>
      <w:pPr>
        <w:spacing w:line="480" w:lineRule="auto"/>
        <w:ind w:left="1240"/>
        <w:rPr>
          <w:rFonts w:ascii="宋体" w:hAnsi="宋体" w:cs="宋体"/>
          <w:color w:val="auto"/>
          <w:kern w:val="0"/>
          <w:szCs w:val="21"/>
          <w:highlight w:val="none"/>
        </w:rPr>
      </w:pPr>
    </w:p>
    <w:p>
      <w:pPr>
        <w:spacing w:line="480" w:lineRule="auto"/>
        <w:rPr>
          <w:rFonts w:ascii="宋体" w:hAnsi="宋体" w:cs="宋体"/>
          <w:color w:val="auto"/>
          <w:kern w:val="0"/>
          <w:szCs w:val="21"/>
          <w:highlight w:val="none"/>
        </w:rPr>
      </w:pPr>
    </w:p>
    <w:p>
      <w:pPr>
        <w:spacing w:line="440" w:lineRule="exact"/>
        <w:rPr>
          <w:rFonts w:ascii="宋体" w:hAnsi="宋体" w:cs="宋体"/>
          <w:b/>
          <w:color w:val="auto"/>
          <w:kern w:val="0"/>
          <w:sz w:val="24"/>
          <w:highlight w:val="none"/>
        </w:rPr>
      </w:pPr>
      <w:r>
        <w:rPr>
          <w:rFonts w:hint="eastAsia" w:ascii="宋体" w:hAnsi="宋体" w:cs="宋体"/>
          <w:color w:val="auto"/>
          <w:kern w:val="0"/>
          <w:sz w:val="28"/>
          <w:highlight w:val="none"/>
        </w:rPr>
        <w:br w:type="page"/>
      </w:r>
    </w:p>
    <w:p>
      <w:pPr>
        <w:spacing w:line="440" w:lineRule="exact"/>
        <w:ind w:left="42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一、法定代表人身份证明</w:t>
      </w:r>
    </w:p>
    <w:p>
      <w:pPr>
        <w:spacing w:line="500" w:lineRule="exact"/>
        <w:ind w:firstLine="480" w:firstLineChars="200"/>
        <w:rPr>
          <w:rFonts w:ascii="宋体" w:hAnsi="宋体" w:cs="宋体"/>
          <w:color w:val="auto"/>
          <w:kern w:val="0"/>
          <w:sz w:val="24"/>
          <w:highlight w:val="none"/>
        </w:rPr>
      </w:pP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供 应 商：</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单位性质：</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地    址：</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成立时间：    年  月  日</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经营期限：</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姓    名：          性    别：</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年    龄：          职    务：</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系</w:t>
      </w:r>
      <w:r>
        <w:rPr>
          <w:rFonts w:hint="eastAsia" w:ascii="宋体" w:hAnsi="宋体" w:cs="宋体"/>
          <w:color w:val="auto"/>
          <w:kern w:val="0"/>
          <w:szCs w:val="21"/>
          <w:highlight w:val="none"/>
          <w:u w:val="single"/>
        </w:rPr>
        <w:t>（供应商名称）</w:t>
      </w:r>
      <w:r>
        <w:rPr>
          <w:rFonts w:hint="eastAsia" w:ascii="宋体" w:hAnsi="宋体" w:cs="宋体"/>
          <w:color w:val="auto"/>
          <w:kern w:val="0"/>
          <w:szCs w:val="21"/>
          <w:highlight w:val="none"/>
        </w:rPr>
        <w:t>的法定代表人。</w:t>
      </w:r>
    </w:p>
    <w:p>
      <w:pPr>
        <w:spacing w:line="5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特此证明。</w:t>
      </w:r>
    </w:p>
    <w:p>
      <w:pPr>
        <w:spacing w:line="500" w:lineRule="exact"/>
        <w:rPr>
          <w:rFonts w:ascii="宋体" w:hAnsi="宋体" w:cs="宋体"/>
          <w:color w:val="auto"/>
          <w:kern w:val="0"/>
          <w:szCs w:val="21"/>
          <w:highlight w:val="none"/>
        </w:rPr>
      </w:pPr>
    </w:p>
    <w:p>
      <w:pPr>
        <w:spacing w:line="500" w:lineRule="exact"/>
        <w:rPr>
          <w:rFonts w:ascii="宋体" w:hAnsi="宋体" w:cs="宋体"/>
          <w:color w:val="auto"/>
          <w:kern w:val="0"/>
          <w:szCs w:val="21"/>
          <w:highlight w:val="none"/>
        </w:rPr>
      </w:pPr>
    </w:p>
    <w:p>
      <w:pPr>
        <w:spacing w:line="500" w:lineRule="exact"/>
        <w:jc w:val="right"/>
        <w:rPr>
          <w:rFonts w:ascii="宋体" w:hAnsi="宋体" w:cs="宋体"/>
          <w:color w:val="auto"/>
          <w:kern w:val="0"/>
          <w:szCs w:val="21"/>
          <w:highlight w:val="none"/>
        </w:rPr>
      </w:pPr>
    </w:p>
    <w:p>
      <w:pPr>
        <w:spacing w:line="480" w:lineRule="auto"/>
        <w:ind w:right="210"/>
        <w:jc w:val="right"/>
        <w:rPr>
          <w:rFonts w:ascii="宋体" w:hAnsi="宋体" w:cs="宋体"/>
          <w:color w:val="auto"/>
          <w:kern w:val="0"/>
          <w:szCs w:val="21"/>
          <w:highlight w:val="none"/>
        </w:rPr>
      </w:pPr>
      <w:r>
        <w:rPr>
          <w:rFonts w:hint="eastAsia" w:ascii="宋体" w:hAnsi="宋体" w:cs="宋体"/>
          <w:color w:val="auto"/>
          <w:kern w:val="0"/>
          <w:szCs w:val="21"/>
          <w:highlight w:val="none"/>
        </w:rPr>
        <w:t>供应商名称：（公章）</w:t>
      </w:r>
    </w:p>
    <w:p>
      <w:pPr>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 xml:space="preserve">                                                           年  月  日</w:t>
      </w:r>
    </w:p>
    <w:p>
      <w:pPr>
        <w:spacing w:line="440" w:lineRule="exact"/>
        <w:jc w:val="center"/>
        <w:rPr>
          <w:rFonts w:ascii="宋体" w:hAnsi="宋体" w:cs="宋体"/>
          <w:color w:val="auto"/>
          <w:kern w:val="0"/>
          <w:szCs w:val="21"/>
          <w:highlight w:val="none"/>
        </w:rPr>
      </w:pPr>
    </w:p>
    <w:p>
      <w:pPr>
        <w:spacing w:line="440" w:lineRule="exact"/>
        <w:ind w:left="420"/>
        <w:jc w:val="center"/>
        <w:rPr>
          <w:rFonts w:ascii="宋体" w:hAnsi="宋体" w:cs="宋体"/>
          <w:b/>
          <w:color w:val="auto"/>
          <w:kern w:val="0"/>
          <w:sz w:val="36"/>
          <w:szCs w:val="36"/>
          <w:highlight w:val="none"/>
        </w:rPr>
      </w:pPr>
    </w:p>
    <w:p>
      <w:pPr>
        <w:spacing w:line="440" w:lineRule="exact"/>
        <w:ind w:left="420"/>
        <w:jc w:val="center"/>
        <w:rPr>
          <w:rFonts w:ascii="宋体" w:hAnsi="宋体" w:cs="宋体"/>
          <w:b/>
          <w:color w:val="auto"/>
          <w:kern w:val="0"/>
          <w:sz w:val="36"/>
          <w:szCs w:val="36"/>
          <w:highlight w:val="none"/>
        </w:rPr>
      </w:pPr>
    </w:p>
    <w:p>
      <w:pPr>
        <w:spacing w:line="440" w:lineRule="exact"/>
        <w:ind w:left="420"/>
        <w:jc w:val="center"/>
        <w:rPr>
          <w:rFonts w:ascii="宋体" w:hAnsi="宋体" w:cs="宋体"/>
          <w:b/>
          <w:color w:val="auto"/>
          <w:kern w:val="0"/>
          <w:sz w:val="36"/>
          <w:szCs w:val="36"/>
          <w:highlight w:val="none"/>
        </w:rPr>
      </w:pPr>
    </w:p>
    <w:p>
      <w:pPr>
        <w:spacing w:line="440" w:lineRule="exact"/>
        <w:ind w:firstLine="510"/>
        <w:rPr>
          <w:rFonts w:ascii="宋体" w:hAnsi="宋体" w:cs="宋体"/>
          <w:color w:val="auto"/>
          <w:kern w:val="0"/>
          <w:szCs w:val="21"/>
          <w:highlight w:val="none"/>
        </w:rPr>
      </w:pPr>
      <w:r>
        <w:rPr>
          <w:rFonts w:hint="eastAsia" w:ascii="宋体" w:hAnsi="宋体" w:cs="宋体"/>
          <w:color w:val="auto"/>
          <w:kern w:val="0"/>
          <w:szCs w:val="21"/>
          <w:highlight w:val="none"/>
        </w:rPr>
        <w:t>附件：法定代表人身份证复印件正反面；</w:t>
      </w:r>
    </w:p>
    <w:p>
      <w:pPr>
        <w:spacing w:line="440" w:lineRule="exact"/>
        <w:ind w:left="420" w:leftChars="200"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注：身份证信息不全的无效。</w:t>
      </w:r>
    </w:p>
    <w:p>
      <w:pPr>
        <w:spacing w:line="440" w:lineRule="exact"/>
        <w:ind w:left="420"/>
        <w:jc w:val="center"/>
        <w:rPr>
          <w:rFonts w:ascii="宋体" w:hAnsi="宋体" w:cs="宋体"/>
          <w:b/>
          <w:color w:val="auto"/>
          <w:kern w:val="0"/>
          <w:sz w:val="28"/>
          <w:szCs w:val="28"/>
          <w:highlight w:val="none"/>
        </w:rPr>
      </w:pPr>
      <w:r>
        <w:rPr>
          <w:rFonts w:hint="eastAsia" w:ascii="宋体" w:hAnsi="宋体" w:cs="宋体"/>
          <w:color w:val="auto"/>
          <w:kern w:val="0"/>
          <w:szCs w:val="21"/>
          <w:highlight w:val="none"/>
        </w:rPr>
        <w:br w:type="page"/>
      </w:r>
      <w:r>
        <w:rPr>
          <w:rFonts w:hint="eastAsia" w:ascii="宋体" w:hAnsi="宋体" w:cs="宋体"/>
          <w:b/>
          <w:color w:val="auto"/>
          <w:kern w:val="0"/>
          <w:sz w:val="28"/>
          <w:szCs w:val="28"/>
          <w:highlight w:val="none"/>
        </w:rPr>
        <w:t>一、法人代表授权书</w:t>
      </w:r>
    </w:p>
    <w:p>
      <w:pPr>
        <w:spacing w:line="440" w:lineRule="exact"/>
        <w:ind w:left="-359" w:leftChars="-171" w:firstLine="482" w:firstLineChars="200"/>
        <w:jc w:val="center"/>
        <w:rPr>
          <w:rFonts w:ascii="宋体" w:hAnsi="宋体" w:cs="宋体"/>
          <w:b/>
          <w:bCs/>
          <w:color w:val="auto"/>
          <w:kern w:val="0"/>
          <w:sz w:val="24"/>
          <w:szCs w:val="32"/>
          <w:highlight w:val="none"/>
        </w:rPr>
      </w:pPr>
    </w:p>
    <w:p>
      <w:pPr>
        <w:spacing w:line="440" w:lineRule="exact"/>
        <w:jc w:val="left"/>
        <w:rPr>
          <w:rFonts w:ascii="宋体" w:hAnsi="宋体" w:cs="宋体"/>
          <w:color w:val="auto"/>
          <w:kern w:val="0"/>
          <w:szCs w:val="21"/>
          <w:highlight w:val="none"/>
          <w:u w:val="single"/>
        </w:rPr>
      </w:pPr>
      <w:r>
        <w:rPr>
          <w:rFonts w:hint="eastAsia" w:ascii="宋体" w:hAnsi="宋体" w:cs="宋体"/>
          <w:color w:val="auto"/>
          <w:kern w:val="0"/>
          <w:szCs w:val="21"/>
          <w:highlight w:val="none"/>
        </w:rPr>
        <w:t>致：</w:t>
      </w:r>
      <w:r>
        <w:rPr>
          <w:rFonts w:hint="eastAsia" w:ascii="宋体" w:hAnsi="宋体" w:cs="宋体"/>
          <w:color w:val="auto"/>
          <w:kern w:val="0"/>
          <w:szCs w:val="21"/>
          <w:highlight w:val="none"/>
          <w:u w:val="single"/>
        </w:rPr>
        <w:t>西安市长安区农村合作经济经营管理站</w:t>
      </w:r>
    </w:p>
    <w:p>
      <w:pPr>
        <w:spacing w:line="44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u w:val="single"/>
        </w:rPr>
        <w:t xml:space="preserve">(供应商名称) </w:t>
      </w:r>
      <w:r>
        <w:rPr>
          <w:rFonts w:hint="eastAsia" w:ascii="宋体" w:hAnsi="宋体" w:cs="宋体"/>
          <w:color w:val="auto"/>
          <w:kern w:val="0"/>
          <w:szCs w:val="21"/>
          <w:highlight w:val="none"/>
        </w:rPr>
        <w:t>按中华人民共和国法律于</w:t>
      </w:r>
      <w:r>
        <w:rPr>
          <w:rFonts w:hint="eastAsia" w:ascii="宋体" w:hAnsi="宋体" w:cs="宋体"/>
          <w:color w:val="auto"/>
          <w:kern w:val="0"/>
          <w:szCs w:val="21"/>
          <w:highlight w:val="none"/>
          <w:u w:val="single"/>
        </w:rPr>
        <w:t>（     年   月   日）</w:t>
      </w:r>
      <w:r>
        <w:rPr>
          <w:rFonts w:hint="eastAsia" w:ascii="宋体" w:hAnsi="宋体" w:cs="宋体"/>
          <w:color w:val="auto"/>
          <w:kern w:val="0"/>
          <w:szCs w:val="21"/>
          <w:highlight w:val="none"/>
        </w:rPr>
        <w:t>成立。</w:t>
      </w:r>
      <w:r>
        <w:rPr>
          <w:rFonts w:hint="eastAsia" w:ascii="宋体" w:hAnsi="宋体" w:cs="宋体"/>
          <w:color w:val="auto"/>
          <w:kern w:val="0"/>
          <w:szCs w:val="21"/>
          <w:highlight w:val="none"/>
          <w:u w:val="single"/>
        </w:rPr>
        <w:t xml:space="preserve"> (法定代表人姓名)</w:t>
      </w:r>
      <w:r>
        <w:rPr>
          <w:rFonts w:hint="eastAsia" w:ascii="宋体" w:hAnsi="宋体" w:cs="宋体"/>
          <w:color w:val="auto"/>
          <w:kern w:val="0"/>
          <w:szCs w:val="21"/>
          <w:highlight w:val="none"/>
        </w:rPr>
        <w:t>特授权</w:t>
      </w:r>
      <w:r>
        <w:rPr>
          <w:rFonts w:hint="eastAsia" w:ascii="宋体" w:hAnsi="宋体" w:cs="宋体"/>
          <w:color w:val="auto"/>
          <w:kern w:val="0"/>
          <w:szCs w:val="21"/>
          <w:highlight w:val="none"/>
          <w:u w:val="single"/>
        </w:rPr>
        <w:t>（被授权人姓名）</w:t>
      </w:r>
      <w:r>
        <w:rPr>
          <w:rFonts w:hint="eastAsia" w:ascii="宋体" w:hAnsi="宋体" w:cs="宋体"/>
          <w:color w:val="auto"/>
          <w:kern w:val="0"/>
          <w:szCs w:val="21"/>
          <w:highlight w:val="none"/>
        </w:rPr>
        <w:t xml:space="preserve">代表我公司全权办理针对本次政府采购 </w:t>
      </w:r>
      <w:r>
        <w:rPr>
          <w:rFonts w:hint="eastAsia" w:ascii="宋体" w:hAnsi="宋体" w:cs="宋体"/>
          <w:color w:val="auto"/>
          <w:kern w:val="0"/>
          <w:szCs w:val="21"/>
          <w:highlight w:val="none"/>
          <w:u w:val="single"/>
        </w:rPr>
        <w:t>（磋商项目名称和项目编号）</w:t>
      </w:r>
      <w:r>
        <w:rPr>
          <w:rFonts w:hint="eastAsia" w:ascii="宋体" w:hAnsi="宋体" w:cs="宋体"/>
          <w:color w:val="auto"/>
          <w:kern w:val="0"/>
          <w:szCs w:val="21"/>
          <w:highlight w:val="none"/>
        </w:rPr>
        <w:t>项目的磋商、签约等具体工作，并签署全部有关的文件、协议及合同。</w:t>
      </w:r>
    </w:p>
    <w:p>
      <w:pPr>
        <w:spacing w:line="44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我公司对被授权人的签名负全部责任。</w:t>
      </w:r>
    </w:p>
    <w:p>
      <w:pPr>
        <w:spacing w:line="44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本授权书</w:t>
      </w:r>
      <w:r>
        <w:rPr>
          <w:rFonts w:hint="eastAsia" w:ascii="宋体" w:hAnsi="宋体" w:cs="宋体"/>
          <w:color w:val="auto"/>
          <w:kern w:val="0"/>
          <w:szCs w:val="21"/>
          <w:highlight w:val="none"/>
          <w:u w:val="single"/>
        </w:rPr>
        <w:t>自签署之日起至磋商响应文件递交截止日期后90天止</w:t>
      </w:r>
      <w:r>
        <w:rPr>
          <w:rFonts w:hint="eastAsia" w:ascii="宋体" w:hAnsi="宋体" w:cs="宋体"/>
          <w:color w:val="auto"/>
          <w:kern w:val="0"/>
          <w:szCs w:val="21"/>
          <w:highlight w:val="none"/>
        </w:rPr>
        <w:t>，特此证明。</w:t>
      </w:r>
    </w:p>
    <w:p>
      <w:pPr>
        <w:spacing w:line="440" w:lineRule="exact"/>
        <w:ind w:firstLine="420" w:firstLineChars="200"/>
        <w:jc w:val="left"/>
        <w:rPr>
          <w:rFonts w:ascii="宋体" w:hAnsi="宋体" w:cs="宋体"/>
          <w:color w:val="auto"/>
          <w:kern w:val="0"/>
          <w:szCs w:val="21"/>
          <w:highlight w:val="none"/>
        </w:rPr>
      </w:pPr>
    </w:p>
    <w:tbl>
      <w:tblPr>
        <w:tblStyle w:val="43"/>
        <w:tblW w:w="7889" w:type="dxa"/>
        <w:tblInd w:w="633" w:type="dxa"/>
        <w:tblLayout w:type="fixed"/>
        <w:tblCellMar>
          <w:top w:w="0" w:type="dxa"/>
          <w:left w:w="108" w:type="dxa"/>
          <w:bottom w:w="0" w:type="dxa"/>
          <w:right w:w="108" w:type="dxa"/>
        </w:tblCellMar>
      </w:tblPr>
      <w:tblGrid>
        <w:gridCol w:w="4045"/>
        <w:gridCol w:w="3844"/>
      </w:tblGrid>
      <w:tr>
        <w:tblPrEx>
          <w:tblCellMar>
            <w:top w:w="0" w:type="dxa"/>
            <w:left w:w="108" w:type="dxa"/>
            <w:bottom w:w="0" w:type="dxa"/>
            <w:right w:w="108" w:type="dxa"/>
          </w:tblCellMar>
        </w:tblPrEx>
        <w:trPr>
          <w:trHeight w:val="600" w:hRule="atLeast"/>
        </w:trPr>
        <w:tc>
          <w:tcPr>
            <w:tcW w:w="4045" w:type="dxa"/>
          </w:tcPr>
          <w:p>
            <w:pPr>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被授权人（签字或盖章）：</w:t>
            </w:r>
          </w:p>
        </w:tc>
        <w:tc>
          <w:tcPr>
            <w:tcW w:w="3844" w:type="dxa"/>
          </w:tcPr>
          <w:p>
            <w:pPr>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法定代表人（签字或盖章）：</w:t>
            </w:r>
          </w:p>
        </w:tc>
      </w:tr>
      <w:tr>
        <w:tblPrEx>
          <w:tblCellMar>
            <w:top w:w="0" w:type="dxa"/>
            <w:left w:w="108" w:type="dxa"/>
            <w:bottom w:w="0" w:type="dxa"/>
            <w:right w:w="108" w:type="dxa"/>
          </w:tblCellMar>
        </w:tblPrEx>
        <w:trPr>
          <w:trHeight w:val="600" w:hRule="atLeast"/>
        </w:trPr>
        <w:tc>
          <w:tcPr>
            <w:tcW w:w="4045" w:type="dxa"/>
          </w:tcPr>
          <w:p>
            <w:pPr>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职务：</w:t>
            </w:r>
          </w:p>
        </w:tc>
        <w:tc>
          <w:tcPr>
            <w:tcW w:w="3844" w:type="dxa"/>
          </w:tcPr>
          <w:p>
            <w:pPr>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职务：</w:t>
            </w:r>
          </w:p>
        </w:tc>
      </w:tr>
      <w:tr>
        <w:tblPrEx>
          <w:tblCellMar>
            <w:top w:w="0" w:type="dxa"/>
            <w:left w:w="108" w:type="dxa"/>
            <w:bottom w:w="0" w:type="dxa"/>
            <w:right w:w="108" w:type="dxa"/>
          </w:tblCellMar>
        </w:tblPrEx>
        <w:trPr>
          <w:trHeight w:val="600" w:hRule="atLeast"/>
        </w:trPr>
        <w:tc>
          <w:tcPr>
            <w:tcW w:w="4045" w:type="dxa"/>
          </w:tcPr>
          <w:p>
            <w:pPr>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所在部门：</w:t>
            </w:r>
          </w:p>
        </w:tc>
        <w:tc>
          <w:tcPr>
            <w:tcW w:w="3844" w:type="dxa"/>
          </w:tcPr>
          <w:p>
            <w:pPr>
              <w:spacing w:line="440" w:lineRule="exact"/>
              <w:jc w:val="left"/>
              <w:rPr>
                <w:rFonts w:ascii="宋体" w:hAnsi="宋体" w:cs="宋体"/>
                <w:color w:val="auto"/>
                <w:kern w:val="0"/>
                <w:szCs w:val="21"/>
                <w:highlight w:val="none"/>
              </w:rPr>
            </w:pPr>
          </w:p>
        </w:tc>
      </w:tr>
    </w:tbl>
    <w:p>
      <w:pPr>
        <w:spacing w:line="440" w:lineRule="exact"/>
        <w:ind w:firstLine="480" w:firstLineChars="200"/>
        <w:jc w:val="left"/>
        <w:rPr>
          <w:rFonts w:ascii="宋体" w:hAnsi="宋体" w:cs="宋体"/>
          <w:color w:val="auto"/>
          <w:kern w:val="0"/>
          <w:sz w:val="24"/>
          <w:highlight w:val="none"/>
        </w:rPr>
      </w:pPr>
    </w:p>
    <w:p>
      <w:pPr>
        <w:spacing w:line="440" w:lineRule="exact"/>
        <w:ind w:firstLine="436" w:firstLineChars="200"/>
        <w:jc w:val="left"/>
        <w:rPr>
          <w:rFonts w:ascii="宋体" w:hAnsi="宋体" w:cs="宋体"/>
          <w:color w:val="auto"/>
          <w:kern w:val="0"/>
          <w:szCs w:val="21"/>
          <w:highlight w:val="none"/>
        </w:rPr>
      </w:pPr>
      <w:r>
        <w:rPr>
          <w:rFonts w:hint="eastAsia" w:ascii="宋体" w:hAnsi="宋体" w:cs="宋体"/>
          <w:color w:val="auto"/>
          <w:spacing w:val="4"/>
          <w:szCs w:val="21"/>
          <w:highlight w:val="none"/>
        </w:rPr>
        <w:t>附：法定代表人、被授权人身份证复印件正反面。</w:t>
      </w:r>
    </w:p>
    <w:p>
      <w:pPr>
        <w:spacing w:line="440" w:lineRule="exact"/>
        <w:ind w:firstLine="480" w:firstLineChars="200"/>
        <w:jc w:val="left"/>
        <w:rPr>
          <w:rFonts w:ascii="宋体" w:hAnsi="宋体" w:cs="宋体"/>
          <w:color w:val="auto"/>
          <w:kern w:val="0"/>
          <w:sz w:val="24"/>
          <w:szCs w:val="30"/>
          <w:highlight w:val="none"/>
        </w:rPr>
      </w:pPr>
    </w:p>
    <w:p>
      <w:pPr>
        <w:spacing w:line="440" w:lineRule="exact"/>
        <w:ind w:firstLine="480" w:firstLineChars="200"/>
        <w:jc w:val="left"/>
        <w:rPr>
          <w:rFonts w:ascii="宋体" w:hAnsi="宋体" w:cs="宋体"/>
          <w:color w:val="auto"/>
          <w:kern w:val="0"/>
          <w:sz w:val="24"/>
          <w:szCs w:val="30"/>
          <w:highlight w:val="none"/>
        </w:rPr>
      </w:pPr>
    </w:p>
    <w:p>
      <w:pPr>
        <w:spacing w:line="440" w:lineRule="exact"/>
        <w:ind w:firstLine="480" w:firstLineChars="200"/>
        <w:jc w:val="left"/>
        <w:rPr>
          <w:rFonts w:ascii="宋体" w:hAnsi="宋体" w:cs="宋体"/>
          <w:color w:val="auto"/>
          <w:kern w:val="0"/>
          <w:sz w:val="24"/>
          <w:szCs w:val="30"/>
          <w:highlight w:val="none"/>
        </w:rPr>
      </w:pPr>
    </w:p>
    <w:p>
      <w:pPr>
        <w:spacing w:line="440" w:lineRule="exact"/>
        <w:ind w:firstLine="480" w:firstLineChars="200"/>
        <w:jc w:val="left"/>
        <w:rPr>
          <w:rFonts w:ascii="宋体" w:hAnsi="宋体" w:cs="宋体"/>
          <w:color w:val="auto"/>
          <w:kern w:val="0"/>
          <w:sz w:val="24"/>
          <w:highlight w:val="none"/>
        </w:rPr>
      </w:pPr>
    </w:p>
    <w:p>
      <w:pPr>
        <w:spacing w:line="440" w:lineRule="exact"/>
        <w:ind w:firstLine="360" w:firstLineChars="150"/>
        <w:rPr>
          <w:rFonts w:ascii="宋体" w:hAnsi="宋体" w:cs="宋体"/>
          <w:color w:val="auto"/>
          <w:kern w:val="0"/>
          <w:sz w:val="24"/>
          <w:highlight w:val="none"/>
        </w:rPr>
      </w:pPr>
    </w:p>
    <w:p>
      <w:pPr>
        <w:spacing w:line="480" w:lineRule="auto"/>
        <w:ind w:right="210"/>
        <w:jc w:val="right"/>
        <w:rPr>
          <w:rFonts w:ascii="宋体" w:hAnsi="宋体" w:cs="宋体"/>
          <w:color w:val="auto"/>
          <w:kern w:val="0"/>
          <w:szCs w:val="21"/>
          <w:highlight w:val="none"/>
        </w:rPr>
      </w:pPr>
      <w:r>
        <w:rPr>
          <w:rFonts w:hint="eastAsia" w:ascii="宋体" w:hAnsi="宋体" w:cs="宋体"/>
          <w:color w:val="auto"/>
          <w:kern w:val="0"/>
          <w:szCs w:val="21"/>
          <w:highlight w:val="none"/>
        </w:rPr>
        <w:t>供应商名称：（公章）</w:t>
      </w:r>
    </w:p>
    <w:p>
      <w:pPr>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 xml:space="preserve">                                                           年  月  日</w:t>
      </w:r>
    </w:p>
    <w:p>
      <w:pPr>
        <w:spacing w:line="440" w:lineRule="exact"/>
        <w:ind w:firstLine="480" w:firstLineChars="200"/>
        <w:rPr>
          <w:rFonts w:ascii="宋体" w:hAnsi="宋体" w:cs="宋体"/>
          <w:color w:val="auto"/>
          <w:kern w:val="0"/>
          <w:sz w:val="24"/>
          <w:highlight w:val="none"/>
        </w:rPr>
      </w:pPr>
    </w:p>
    <w:p>
      <w:pPr>
        <w:spacing w:line="440" w:lineRule="exact"/>
        <w:ind w:firstLine="510"/>
        <w:rPr>
          <w:rFonts w:ascii="宋体" w:hAnsi="宋体" w:cs="宋体"/>
          <w:color w:val="auto"/>
          <w:kern w:val="0"/>
          <w:sz w:val="24"/>
          <w:szCs w:val="30"/>
          <w:highlight w:val="none"/>
        </w:rPr>
      </w:pPr>
    </w:p>
    <w:p>
      <w:pPr>
        <w:spacing w:line="440" w:lineRule="exact"/>
        <w:rPr>
          <w:rFonts w:ascii="宋体" w:hAnsi="宋体" w:cs="宋体"/>
          <w:color w:val="auto"/>
          <w:kern w:val="0"/>
          <w:szCs w:val="21"/>
          <w:highlight w:val="none"/>
        </w:rPr>
      </w:pPr>
    </w:p>
    <w:p>
      <w:pPr>
        <w:spacing w:line="440" w:lineRule="exact"/>
        <w:rPr>
          <w:rFonts w:ascii="宋体" w:hAnsi="宋体" w:cs="宋体"/>
          <w:color w:val="auto"/>
          <w:spacing w:val="4"/>
          <w:szCs w:val="21"/>
          <w:highlight w:val="none"/>
        </w:rPr>
      </w:pPr>
      <w:r>
        <w:rPr>
          <w:rFonts w:hint="eastAsia" w:ascii="宋体" w:hAnsi="宋体" w:cs="宋体"/>
          <w:color w:val="auto"/>
          <w:spacing w:val="4"/>
          <w:szCs w:val="21"/>
          <w:highlight w:val="none"/>
        </w:rPr>
        <w:t>注：1、身份证信息不全的授权书无效。</w:t>
      </w:r>
    </w:p>
    <w:p>
      <w:pPr>
        <w:spacing w:line="440" w:lineRule="exact"/>
        <w:ind w:firstLine="436" w:firstLineChars="200"/>
        <w:rPr>
          <w:rFonts w:ascii="宋体" w:hAnsi="宋体" w:cs="宋体"/>
          <w:color w:val="auto"/>
          <w:kern w:val="0"/>
          <w:szCs w:val="21"/>
          <w:highlight w:val="none"/>
          <w:u w:val="single"/>
        </w:rPr>
      </w:pPr>
      <w:r>
        <w:rPr>
          <w:rFonts w:hint="eastAsia" w:ascii="宋体" w:hAnsi="宋体" w:cs="宋体"/>
          <w:color w:val="auto"/>
          <w:spacing w:val="4"/>
          <w:szCs w:val="21"/>
          <w:highlight w:val="none"/>
        </w:rPr>
        <w:t>2、</w:t>
      </w:r>
      <w:r>
        <w:rPr>
          <w:rFonts w:hint="eastAsia" w:ascii="宋体" w:hAnsi="宋体" w:cs="宋体"/>
          <w:color w:val="auto"/>
          <w:szCs w:val="21"/>
          <w:highlight w:val="none"/>
        </w:rPr>
        <w:t>如果由供应商的法定代表人亲自签署磋商响应文件，则不需提交法人代表授权书。</w:t>
      </w:r>
    </w:p>
    <w:p>
      <w:pPr>
        <w:spacing w:line="440" w:lineRule="exact"/>
        <w:jc w:val="center"/>
        <w:rPr>
          <w:rFonts w:ascii="宋体" w:hAnsi="宋体" w:cs="宋体"/>
          <w:b/>
          <w:color w:val="auto"/>
          <w:kern w:val="0"/>
          <w:sz w:val="28"/>
          <w:szCs w:val="28"/>
          <w:highlight w:val="none"/>
        </w:rPr>
      </w:pPr>
      <w:r>
        <w:rPr>
          <w:rFonts w:hint="eastAsia" w:ascii="宋体" w:hAnsi="宋体" w:cs="宋体"/>
          <w:b/>
          <w:color w:val="auto"/>
          <w:kern w:val="0"/>
          <w:sz w:val="36"/>
          <w:szCs w:val="36"/>
          <w:highlight w:val="none"/>
        </w:rPr>
        <w:br w:type="page"/>
      </w:r>
      <w:r>
        <w:rPr>
          <w:rFonts w:hint="eastAsia" w:ascii="宋体" w:hAnsi="宋体" w:cs="宋体"/>
          <w:b/>
          <w:color w:val="auto"/>
          <w:kern w:val="0"/>
          <w:sz w:val="28"/>
          <w:szCs w:val="28"/>
          <w:highlight w:val="none"/>
        </w:rPr>
        <w:t>二、陕西省政府采购供应商</w:t>
      </w:r>
    </w:p>
    <w:p>
      <w:pPr>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拒绝政府采购领域商业贿赂承诺书</w:t>
      </w:r>
    </w:p>
    <w:p>
      <w:pPr>
        <w:widowControl/>
        <w:spacing w:line="408" w:lineRule="auto"/>
        <w:ind w:left="239" w:leftChars="114" w:firstLine="470" w:firstLineChars="196"/>
        <w:jc w:val="left"/>
        <w:rPr>
          <w:rFonts w:ascii="宋体" w:hAnsi="宋体" w:cs="宋体"/>
          <w:color w:val="auto"/>
          <w:kern w:val="0"/>
          <w:sz w:val="24"/>
          <w:highlight w:val="none"/>
        </w:rPr>
      </w:pPr>
    </w:p>
    <w:p>
      <w:pPr>
        <w:widowControl/>
        <w:spacing w:line="408" w:lineRule="auto"/>
        <w:ind w:left="239" w:leftChars="114"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为响应党中央、国务院关于治理政府采购领域商业贿赂行为的号召，我公司在此庄严承诺：</w:t>
      </w:r>
    </w:p>
    <w:p>
      <w:pPr>
        <w:widowControl/>
        <w:spacing w:line="408" w:lineRule="auto"/>
        <w:ind w:left="239" w:leftChars="114"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1、在参与政府采购活动中遵纪守法、诚信经营、公平竞标。</w:t>
      </w:r>
    </w:p>
    <w:p>
      <w:pPr>
        <w:widowControl/>
        <w:spacing w:line="408" w:lineRule="auto"/>
        <w:ind w:left="239" w:leftChars="114"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2、不向政府采购人、采购代理机构和政府采购评审专家进行任何形式的商业贿赂以谋取交易机会。</w:t>
      </w:r>
    </w:p>
    <w:p>
      <w:pPr>
        <w:widowControl/>
        <w:spacing w:line="408" w:lineRule="auto"/>
        <w:ind w:left="239" w:leftChars="114"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3、不向政府采购代理机构和采购人提供虚假资质文件或采用虚假应标方式参与政府采购市场竞争并谋取成交、成交。</w:t>
      </w:r>
    </w:p>
    <w:p>
      <w:pPr>
        <w:widowControl/>
        <w:spacing w:line="408" w:lineRule="auto"/>
        <w:ind w:left="239" w:leftChars="114"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4、不采取“围标、陪标”等商业欺诈手段获得政府采购定单。</w:t>
      </w:r>
    </w:p>
    <w:p>
      <w:pPr>
        <w:widowControl/>
        <w:spacing w:line="408" w:lineRule="auto"/>
        <w:ind w:left="239" w:leftChars="114"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5、不采取不正当手段诋毁、排挤其他供应商。</w:t>
      </w:r>
    </w:p>
    <w:p>
      <w:pPr>
        <w:widowControl/>
        <w:spacing w:line="408" w:lineRule="auto"/>
        <w:ind w:left="239" w:leftChars="114"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6、不在提供商品和服务时“偷梁换柱、以次充好”损害采购人的合法权益。</w:t>
      </w:r>
    </w:p>
    <w:p>
      <w:pPr>
        <w:widowControl/>
        <w:spacing w:line="408" w:lineRule="auto"/>
        <w:ind w:left="239" w:leftChars="114"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7、不与采购人、采购代理机构政府采购评审专家或其它供应商恶意串通，进行质疑和投诉，维护政府采购市场秩序。</w:t>
      </w:r>
    </w:p>
    <w:p>
      <w:pPr>
        <w:widowControl/>
        <w:spacing w:line="408" w:lineRule="auto"/>
        <w:ind w:left="239" w:leftChars="114"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8、尊重和接受政府采购监督管理部门的监督和政府采购代理机构磋商采购要求，承担因违约行为给采购人造成的损失。</w:t>
      </w:r>
    </w:p>
    <w:p>
      <w:pPr>
        <w:widowControl/>
        <w:spacing w:line="408" w:lineRule="auto"/>
        <w:ind w:left="239" w:leftChars="114"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9、不发生其他有悖于政府采购公开、公平、公正和诚信原则的行为。</w:t>
      </w:r>
    </w:p>
    <w:p>
      <w:pPr>
        <w:pStyle w:val="60"/>
        <w:rPr>
          <w:color w:val="auto"/>
          <w:highlight w:val="none"/>
          <w:lang w:eastAsia="zh-CN"/>
        </w:rPr>
      </w:pPr>
    </w:p>
    <w:p>
      <w:pPr>
        <w:spacing w:before="240" w:beforeLines="100" w:after="120" w:afterLines="50" w:line="360" w:lineRule="auto"/>
        <w:ind w:firstLine="3255" w:firstLineChars="1550"/>
        <w:jc w:val="left"/>
        <w:rPr>
          <w:rFonts w:ascii="宋体" w:hAnsi="宋体" w:cs="宋体"/>
          <w:color w:val="auto"/>
          <w:kern w:val="0"/>
          <w:szCs w:val="21"/>
          <w:highlight w:val="none"/>
        </w:rPr>
      </w:pPr>
      <w:r>
        <w:rPr>
          <w:rFonts w:hint="eastAsia" w:ascii="宋体" w:hAnsi="宋体" w:cs="宋体"/>
          <w:color w:val="auto"/>
          <w:kern w:val="0"/>
          <w:szCs w:val="21"/>
          <w:highlight w:val="none"/>
        </w:rPr>
        <w:t>供应商名称（盖章）：</w:t>
      </w:r>
    </w:p>
    <w:p>
      <w:pPr>
        <w:spacing w:before="240" w:beforeLines="100" w:after="120" w:afterLines="50" w:line="360" w:lineRule="auto"/>
        <w:ind w:firstLine="3255" w:firstLineChars="1550"/>
        <w:jc w:val="left"/>
        <w:rPr>
          <w:rFonts w:ascii="宋体" w:hAnsi="宋体" w:cs="宋体"/>
          <w:color w:val="auto"/>
          <w:kern w:val="0"/>
          <w:szCs w:val="21"/>
          <w:highlight w:val="none"/>
        </w:rPr>
      </w:pPr>
      <w:r>
        <w:rPr>
          <w:rFonts w:hint="eastAsia" w:ascii="宋体" w:hAnsi="宋体" w:cs="宋体"/>
          <w:color w:val="auto"/>
          <w:kern w:val="0"/>
          <w:szCs w:val="21"/>
          <w:highlight w:val="none"/>
        </w:rPr>
        <w:t>法定代表人或被授权人（签字或盖章）：</w:t>
      </w:r>
    </w:p>
    <w:p>
      <w:pPr>
        <w:spacing w:before="240" w:beforeLines="100" w:after="120" w:afterLines="50" w:line="360" w:lineRule="auto"/>
        <w:ind w:firstLine="3255" w:firstLineChars="1550"/>
        <w:jc w:val="center"/>
        <w:rPr>
          <w:rFonts w:ascii="宋体" w:hAnsi="宋体" w:cs="宋体"/>
          <w:b/>
          <w:color w:val="auto"/>
          <w:kern w:val="0"/>
          <w:sz w:val="28"/>
          <w:szCs w:val="28"/>
          <w:highlight w:val="none"/>
        </w:rPr>
      </w:pPr>
      <w:r>
        <w:rPr>
          <w:rFonts w:hint="eastAsia" w:ascii="宋体" w:hAnsi="宋体" w:cs="宋体"/>
          <w:color w:val="auto"/>
          <w:kern w:val="0"/>
          <w:szCs w:val="21"/>
          <w:highlight w:val="none"/>
        </w:rPr>
        <w:t>年月日</w:t>
      </w:r>
      <w:r>
        <w:rPr>
          <w:rFonts w:hint="eastAsia" w:ascii="宋体" w:hAnsi="宋体" w:cs="宋体"/>
          <w:color w:val="auto"/>
          <w:kern w:val="0"/>
          <w:sz w:val="24"/>
          <w:highlight w:val="none"/>
        </w:rPr>
        <w:br w:type="page"/>
      </w:r>
      <w:r>
        <w:rPr>
          <w:rFonts w:hint="eastAsia" w:ascii="宋体" w:hAnsi="宋体" w:cs="宋体"/>
          <w:b/>
          <w:color w:val="auto"/>
          <w:kern w:val="0"/>
          <w:sz w:val="28"/>
          <w:szCs w:val="28"/>
          <w:highlight w:val="none"/>
        </w:rPr>
        <w:t>三、证明文件</w:t>
      </w:r>
    </w:p>
    <w:p>
      <w:pPr>
        <w:spacing w:before="240" w:line="440" w:lineRule="exact"/>
        <w:ind w:left="1"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资格证明文件</w:t>
      </w:r>
    </w:p>
    <w:p>
      <w:pPr>
        <w:spacing w:line="360" w:lineRule="exact"/>
        <w:rPr>
          <w:rFonts w:ascii="宋体" w:hAnsi="宋体" w:cs="宋体"/>
          <w:b/>
          <w:bCs/>
          <w:color w:val="auto"/>
          <w:kern w:val="0"/>
          <w:szCs w:val="21"/>
          <w:highlight w:val="none"/>
        </w:rPr>
      </w:pPr>
      <w:r>
        <w:rPr>
          <w:rFonts w:hint="eastAsia" w:ascii="宋体" w:hAnsi="宋体" w:cs="宋体"/>
          <w:b/>
          <w:bCs/>
          <w:color w:val="auto"/>
          <w:kern w:val="0"/>
          <w:szCs w:val="21"/>
          <w:highlight w:val="none"/>
        </w:rPr>
        <w:t>（一）具有独立承担民事责任的能力。</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提供注册登记凭证（营业执照、其他组织经营的合法凭证，自然人的提供身份证明文件）。</w:t>
      </w:r>
    </w:p>
    <w:p>
      <w:pPr>
        <w:spacing w:line="360" w:lineRule="exact"/>
        <w:rPr>
          <w:rFonts w:ascii="宋体" w:hAnsi="宋体" w:cs="宋体"/>
          <w:b/>
          <w:bCs/>
          <w:color w:val="auto"/>
          <w:kern w:val="0"/>
          <w:szCs w:val="21"/>
          <w:highlight w:val="none"/>
        </w:rPr>
      </w:pPr>
      <w:r>
        <w:rPr>
          <w:rFonts w:hint="eastAsia" w:ascii="宋体" w:hAnsi="宋体" w:cs="宋体"/>
          <w:b/>
          <w:bCs/>
          <w:color w:val="auto"/>
          <w:kern w:val="0"/>
          <w:szCs w:val="21"/>
          <w:highlight w:val="none"/>
        </w:rPr>
        <w:t>（二）具有良好的商业信誉和健全的财务会计制度。</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提供经审计的财务报告（包括四表一注，即资产负债表、利润表、现金流量表、所有者权益变动表及其附注），事业法人提供部门决算报告；</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/或在开标日期前六个月内其开户银行出具的资信证明；</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/或财政部门认可的政府采购专业担保机构出具的投标担保函；</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/或表明具有良好的商业信誉和健全的财务会计制度的诚信声明（详见附件1）；</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以上四种形式的资料提供任何一种即可。</w:t>
      </w:r>
    </w:p>
    <w:p>
      <w:pPr>
        <w:spacing w:line="360" w:lineRule="exact"/>
        <w:rPr>
          <w:rFonts w:ascii="宋体" w:hAnsi="宋体" w:cs="宋体"/>
          <w:b/>
          <w:bCs/>
          <w:color w:val="auto"/>
          <w:kern w:val="0"/>
          <w:szCs w:val="21"/>
          <w:highlight w:val="none"/>
        </w:rPr>
      </w:pPr>
      <w:r>
        <w:rPr>
          <w:rFonts w:hint="eastAsia" w:ascii="宋体" w:hAnsi="宋体" w:cs="宋体"/>
          <w:b/>
          <w:bCs/>
          <w:color w:val="auto"/>
          <w:kern w:val="0"/>
          <w:szCs w:val="21"/>
          <w:highlight w:val="none"/>
        </w:rPr>
        <w:t>（三）具有履行合同所必需的设备和专业技术能力。</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提供声明文件（详见附件1）。</w:t>
      </w:r>
    </w:p>
    <w:p>
      <w:pPr>
        <w:spacing w:line="360" w:lineRule="exact"/>
        <w:rPr>
          <w:rFonts w:ascii="宋体" w:hAnsi="宋体" w:cs="宋体"/>
          <w:b/>
          <w:bCs/>
          <w:color w:val="auto"/>
          <w:kern w:val="0"/>
          <w:szCs w:val="21"/>
          <w:highlight w:val="none"/>
        </w:rPr>
      </w:pPr>
      <w:r>
        <w:rPr>
          <w:rFonts w:hint="eastAsia" w:ascii="宋体" w:hAnsi="宋体" w:cs="宋体"/>
          <w:b/>
          <w:bCs/>
          <w:color w:val="auto"/>
          <w:kern w:val="0"/>
          <w:szCs w:val="21"/>
          <w:highlight w:val="none"/>
        </w:rPr>
        <w:t>（四）具有依法缴纳税收的良好记录。</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提供缴费所属日期为投标截止时间前12个月内任一月份（投标截止时间当月不计入）的增值税（或所得税）缴费凭据或税务机关出具的完税证明/在法规范围内不需提供的应出具书面说明和证明文件；</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/或具有依法缴纳税收的诚信声明（详见附件1）；</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以上二种形式的资料提供任何一种即可。</w:t>
      </w:r>
    </w:p>
    <w:p>
      <w:pPr>
        <w:spacing w:line="360" w:lineRule="exact"/>
        <w:rPr>
          <w:rFonts w:ascii="宋体" w:hAnsi="宋体" w:cs="宋体"/>
          <w:color w:val="auto"/>
          <w:kern w:val="0"/>
          <w:szCs w:val="21"/>
          <w:highlight w:val="none"/>
        </w:rPr>
      </w:pPr>
      <w:r>
        <w:rPr>
          <w:rFonts w:hint="eastAsia" w:ascii="宋体" w:hAnsi="宋体" w:cs="宋体"/>
          <w:b/>
          <w:bCs/>
          <w:color w:val="auto"/>
          <w:kern w:val="0"/>
          <w:szCs w:val="21"/>
          <w:highlight w:val="none"/>
        </w:rPr>
        <w:t>（五）具有依法缴纳社会保障资金的良好记录</w:t>
      </w:r>
      <w:r>
        <w:rPr>
          <w:rFonts w:hint="eastAsia" w:ascii="宋体" w:hAnsi="宋体" w:cs="宋体"/>
          <w:color w:val="auto"/>
          <w:kern w:val="0"/>
          <w:szCs w:val="21"/>
          <w:highlight w:val="none"/>
        </w:rPr>
        <w:t>。</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提供缴费所属日期为投标截止时间前12个月内任一月份（投标截止时间当月不计入）的缴费凭据或社保机关出具的缴费证明/在法规范围内不需提供的应出具书面说明和证明文件；</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/或具有依法缴纳社会保障资金的缴纳记录的诚信声明（详见附件1）；</w:t>
      </w:r>
    </w:p>
    <w:p>
      <w:pPr>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以上二种形式的资料提供任何一种即可。</w:t>
      </w:r>
    </w:p>
    <w:p>
      <w:pPr>
        <w:spacing w:line="360" w:lineRule="exact"/>
        <w:rPr>
          <w:rFonts w:ascii="宋体" w:hAnsi="宋体" w:cs="宋体"/>
          <w:color w:val="auto"/>
          <w:szCs w:val="21"/>
          <w:highlight w:val="none"/>
        </w:rPr>
      </w:pPr>
      <w:r>
        <w:rPr>
          <w:rFonts w:hint="eastAsia" w:ascii="宋体" w:hAnsi="宋体" w:cs="宋体"/>
          <w:b/>
          <w:bCs/>
          <w:color w:val="auto"/>
          <w:kern w:val="0"/>
          <w:szCs w:val="21"/>
          <w:highlight w:val="none"/>
        </w:rPr>
        <w:t>（六）参加政府采购活动前3年内在经营活动中没有重大违法记录的书面声明</w:t>
      </w:r>
      <w:r>
        <w:rPr>
          <w:rFonts w:hint="eastAsia" w:ascii="宋体" w:hAnsi="宋体" w:cs="宋体"/>
          <w:color w:val="auto"/>
          <w:kern w:val="0"/>
          <w:szCs w:val="21"/>
          <w:highlight w:val="none"/>
        </w:rPr>
        <w:t>（详见附件2）。</w:t>
      </w:r>
    </w:p>
    <w:p>
      <w:pPr>
        <w:rPr>
          <w:color w:val="auto"/>
          <w:highlight w:val="none"/>
        </w:rPr>
      </w:pPr>
      <w:r>
        <w:rPr>
          <w:rFonts w:hint="eastAsia" w:ascii="宋体" w:hAnsi="宋体" w:cs="宋体"/>
          <w:b/>
          <w:bCs/>
          <w:color w:val="auto"/>
          <w:kern w:val="0"/>
          <w:szCs w:val="21"/>
          <w:highlight w:val="none"/>
        </w:rPr>
        <w:t>（</w:t>
      </w:r>
      <w:r>
        <w:rPr>
          <w:rFonts w:hint="eastAsia" w:ascii="宋体" w:hAnsi="宋体" w:cs="宋体"/>
          <w:b/>
          <w:bCs/>
          <w:color w:val="auto"/>
          <w:kern w:val="0"/>
          <w:szCs w:val="21"/>
          <w:highlight w:val="none"/>
          <w:lang w:eastAsia="zh-CN"/>
        </w:rPr>
        <w:t>七</w:t>
      </w:r>
      <w:r>
        <w:rPr>
          <w:rFonts w:hint="eastAsia" w:ascii="宋体" w:hAnsi="宋体" w:cs="宋体"/>
          <w:b/>
          <w:bCs/>
          <w:color w:val="auto"/>
          <w:kern w:val="0"/>
          <w:szCs w:val="21"/>
          <w:highlight w:val="none"/>
        </w:rPr>
        <w:t>）供应商须具备建筑装修装饰工程专业承包二级（含二级）及以上资质，同时具有有效的安全生产许可证；拟派项目经理具有本企业注册的建筑工程专业二级及以上（含二级）注册建造师资格证书及安全生产考核合格证（建安B证）,且未担任其他在建工程的项目经理</w:t>
      </w:r>
      <w:r>
        <w:rPr>
          <w:rFonts w:hint="eastAsia" w:ascii="宋体" w:hAnsi="宋体" w:cs="宋体"/>
          <w:color w:val="auto"/>
          <w:kern w:val="0"/>
          <w:szCs w:val="21"/>
          <w:highlight w:val="none"/>
          <w:lang w:eastAsia="zh-CN"/>
        </w:rPr>
        <w:t>（详见附件</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w:t>
      </w:r>
    </w:p>
    <w:p>
      <w:pPr>
        <w:spacing w:line="440" w:lineRule="exact"/>
        <w:ind w:left="315" w:hanging="315" w:hangingChars="150"/>
        <w:rPr>
          <w:rFonts w:ascii="宋体" w:hAnsi="宋体" w:cs="宋体"/>
          <w:color w:val="auto"/>
          <w:kern w:val="0"/>
          <w:szCs w:val="21"/>
          <w:highlight w:val="none"/>
        </w:rPr>
      </w:pPr>
    </w:p>
    <w:p>
      <w:pPr>
        <w:spacing w:line="440" w:lineRule="exact"/>
        <w:ind w:left="315" w:hanging="315" w:hangingChars="150"/>
        <w:rPr>
          <w:rFonts w:ascii="宋体" w:hAnsi="宋体" w:cs="宋体"/>
          <w:color w:val="auto"/>
          <w:kern w:val="0"/>
          <w:szCs w:val="21"/>
          <w:highlight w:val="none"/>
        </w:rPr>
      </w:pPr>
    </w:p>
    <w:p>
      <w:pPr>
        <w:spacing w:line="440" w:lineRule="exact"/>
        <w:ind w:left="315" w:hanging="315" w:hangingChars="150"/>
        <w:rPr>
          <w:rFonts w:ascii="宋体" w:hAnsi="宋体" w:cs="宋体"/>
          <w:color w:val="auto"/>
          <w:kern w:val="0"/>
          <w:szCs w:val="21"/>
          <w:highlight w:val="none"/>
        </w:rPr>
      </w:pPr>
    </w:p>
    <w:p>
      <w:pPr>
        <w:widowControl/>
        <w:jc w:val="left"/>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br w:type="page"/>
      </w:r>
    </w:p>
    <w:p>
      <w:pPr>
        <w:spacing w:line="360" w:lineRule="auto"/>
        <w:jc w:val="left"/>
        <w:rPr>
          <w:rFonts w:ascii="宋体" w:hAnsi="宋体"/>
          <w:b/>
          <w:color w:val="auto"/>
          <w:szCs w:val="21"/>
          <w:highlight w:val="none"/>
        </w:rPr>
      </w:pPr>
      <w:r>
        <w:rPr>
          <w:rFonts w:hint="eastAsia" w:ascii="宋体" w:hAnsi="宋体"/>
          <w:b/>
          <w:color w:val="auto"/>
          <w:szCs w:val="21"/>
          <w:highlight w:val="none"/>
        </w:rPr>
        <w:t>附件1：</w:t>
      </w:r>
    </w:p>
    <w:p>
      <w:pPr>
        <w:spacing w:line="360" w:lineRule="auto"/>
        <w:ind w:left="1"/>
        <w:jc w:val="center"/>
        <w:rPr>
          <w:rFonts w:ascii="宋体" w:hAnsi="宋体"/>
          <w:b/>
          <w:color w:val="auto"/>
          <w:sz w:val="22"/>
          <w:szCs w:val="22"/>
          <w:highlight w:val="none"/>
        </w:rPr>
      </w:pPr>
      <w:r>
        <w:rPr>
          <w:rFonts w:hint="eastAsia" w:ascii="宋体" w:hAnsi="宋体"/>
          <w:b/>
          <w:color w:val="auto"/>
          <w:sz w:val="22"/>
          <w:szCs w:val="22"/>
          <w:highlight w:val="none"/>
        </w:rPr>
        <w:t>诚信声明</w:t>
      </w:r>
    </w:p>
    <w:p>
      <w:pPr>
        <w:spacing w:line="360" w:lineRule="auto"/>
        <w:rPr>
          <w:rFonts w:ascii="宋体" w:hAnsi="宋体"/>
          <w:color w:val="auto"/>
          <w:spacing w:val="4"/>
          <w:szCs w:val="21"/>
          <w:highlight w:val="none"/>
          <w:u w:val="single"/>
        </w:rPr>
      </w:pPr>
    </w:p>
    <w:p>
      <w:pPr>
        <w:spacing w:line="480" w:lineRule="auto"/>
        <w:jc w:val="left"/>
        <w:rPr>
          <w:rFonts w:ascii="宋体" w:hAnsi="宋体"/>
          <w:color w:val="auto"/>
          <w:spacing w:val="4"/>
          <w:szCs w:val="21"/>
          <w:highlight w:val="none"/>
          <w:u w:val="single"/>
        </w:rPr>
      </w:pPr>
      <w:r>
        <w:rPr>
          <w:rFonts w:hint="eastAsia" w:ascii="宋体" w:hAnsi="宋体"/>
          <w:color w:val="auto"/>
          <w:spacing w:val="4"/>
          <w:szCs w:val="21"/>
          <w:highlight w:val="none"/>
        </w:rPr>
        <w:t>致：</w:t>
      </w:r>
      <w:r>
        <w:rPr>
          <w:rFonts w:hint="eastAsia" w:ascii="宋体" w:hAnsi="宋体"/>
          <w:color w:val="auto"/>
          <w:spacing w:val="4"/>
          <w:szCs w:val="21"/>
          <w:highlight w:val="none"/>
          <w:u w:val="single"/>
        </w:rPr>
        <w:t>（采购</w:t>
      </w:r>
      <w:r>
        <w:rPr>
          <w:rFonts w:hint="eastAsia" w:ascii="宋体" w:hAnsi="宋体"/>
          <w:color w:val="auto"/>
          <w:spacing w:val="4"/>
          <w:szCs w:val="21"/>
          <w:highlight w:val="none"/>
          <w:u w:val="single"/>
          <w:lang w:eastAsia="zh-CN"/>
        </w:rPr>
        <w:t>人</w:t>
      </w:r>
      <w:r>
        <w:rPr>
          <w:rFonts w:hint="eastAsia" w:ascii="宋体" w:hAnsi="宋体"/>
          <w:color w:val="auto"/>
          <w:spacing w:val="4"/>
          <w:szCs w:val="21"/>
          <w:highlight w:val="none"/>
          <w:u w:val="single"/>
        </w:rPr>
        <w:t>名称）、（采购代理机构名称）</w:t>
      </w:r>
    </w:p>
    <w:p>
      <w:pPr>
        <w:spacing w:line="480" w:lineRule="auto"/>
        <w:jc w:val="left"/>
        <w:rPr>
          <w:rFonts w:ascii="宋体" w:hAnsi="宋体"/>
          <w:color w:val="auto"/>
          <w:spacing w:val="4"/>
          <w:szCs w:val="21"/>
          <w:highlight w:val="none"/>
        </w:rPr>
      </w:pPr>
      <w:r>
        <w:rPr>
          <w:rFonts w:hint="eastAsia" w:ascii="宋体" w:hAnsi="宋体"/>
          <w:color w:val="auto"/>
          <w:spacing w:val="4"/>
          <w:szCs w:val="21"/>
          <w:highlight w:val="none"/>
        </w:rPr>
        <w:t>项目名称：</w:t>
      </w:r>
    </w:p>
    <w:p>
      <w:pPr>
        <w:spacing w:line="480" w:lineRule="auto"/>
        <w:jc w:val="left"/>
        <w:rPr>
          <w:rFonts w:ascii="宋体" w:hAnsi="宋体"/>
          <w:color w:val="auto"/>
          <w:spacing w:val="4"/>
          <w:szCs w:val="21"/>
          <w:highlight w:val="none"/>
          <w:u w:val="single"/>
        </w:rPr>
      </w:pPr>
      <w:r>
        <w:rPr>
          <w:rFonts w:hint="eastAsia" w:ascii="宋体" w:hAnsi="宋体"/>
          <w:color w:val="auto"/>
          <w:spacing w:val="4"/>
          <w:szCs w:val="21"/>
          <w:highlight w:val="none"/>
        </w:rPr>
        <w:t>项目编号：</w:t>
      </w:r>
    </w:p>
    <w:p>
      <w:pPr>
        <w:spacing w:line="480" w:lineRule="auto"/>
        <w:jc w:val="left"/>
        <w:rPr>
          <w:rFonts w:ascii="宋体" w:hAnsi="宋体"/>
          <w:color w:val="auto"/>
          <w:spacing w:val="4"/>
          <w:szCs w:val="21"/>
          <w:highlight w:val="none"/>
          <w:u w:val="single"/>
        </w:rPr>
      </w:pPr>
    </w:p>
    <w:p>
      <w:pPr>
        <w:spacing w:line="480" w:lineRule="auto"/>
        <w:ind w:firstLine="436" w:firstLineChars="200"/>
        <w:jc w:val="left"/>
        <w:rPr>
          <w:rFonts w:ascii="宋体" w:hAnsi="宋体"/>
          <w:color w:val="auto"/>
          <w:spacing w:val="4"/>
          <w:szCs w:val="21"/>
          <w:highlight w:val="none"/>
          <w:u w:val="single"/>
        </w:rPr>
      </w:pPr>
      <w:r>
        <w:rPr>
          <w:rFonts w:hint="eastAsia" w:ascii="宋体" w:hAnsi="宋体"/>
          <w:color w:val="auto"/>
          <w:spacing w:val="4"/>
          <w:szCs w:val="21"/>
          <w:highlight w:val="none"/>
          <w:u w:val="single"/>
        </w:rPr>
        <w:t>（供应商名称）郑重声明，我公司具有良好的商业信誉和健全的财务会计制度，具有履行合同所必需的设备和专业技术能力，有依法缴纳税收和社会保障资金的良好记录，在合同签订前后随时愿意提供相关证明材料，符合《政府采购法》规定的供应商资格条件。我方对以上声明负全部法律责任。</w:t>
      </w:r>
    </w:p>
    <w:p>
      <w:pPr>
        <w:spacing w:line="480" w:lineRule="auto"/>
        <w:ind w:firstLine="436" w:firstLineChars="200"/>
        <w:jc w:val="left"/>
        <w:rPr>
          <w:rFonts w:ascii="宋体" w:hAnsi="宋体"/>
          <w:color w:val="auto"/>
          <w:spacing w:val="4"/>
          <w:szCs w:val="21"/>
          <w:highlight w:val="none"/>
          <w:u w:val="single"/>
        </w:rPr>
      </w:pPr>
      <w:r>
        <w:rPr>
          <w:rFonts w:hint="eastAsia" w:ascii="宋体" w:hAnsi="宋体"/>
          <w:color w:val="auto"/>
          <w:spacing w:val="4"/>
          <w:szCs w:val="21"/>
          <w:highlight w:val="none"/>
          <w:u w:val="single"/>
        </w:rPr>
        <w:t>特此声明。</w:t>
      </w:r>
    </w:p>
    <w:p>
      <w:pPr>
        <w:spacing w:line="480" w:lineRule="auto"/>
        <w:jc w:val="left"/>
        <w:rPr>
          <w:rFonts w:ascii="宋体" w:hAnsi="宋体"/>
          <w:color w:val="auto"/>
          <w:spacing w:val="4"/>
          <w:szCs w:val="21"/>
          <w:highlight w:val="none"/>
          <w:u w:val="single"/>
        </w:rPr>
      </w:pPr>
    </w:p>
    <w:p>
      <w:pPr>
        <w:pStyle w:val="2"/>
        <w:rPr>
          <w:color w:val="auto"/>
          <w:highlight w:val="none"/>
        </w:rPr>
      </w:pPr>
    </w:p>
    <w:p>
      <w:pPr>
        <w:spacing w:before="240" w:beforeLines="100" w:after="120" w:afterLines="50" w:line="360" w:lineRule="auto"/>
        <w:ind w:firstLine="3255" w:firstLineChars="1550"/>
        <w:jc w:val="left"/>
        <w:rPr>
          <w:rFonts w:ascii="宋体" w:hAnsi="宋体" w:cs="宋体"/>
          <w:color w:val="auto"/>
          <w:kern w:val="0"/>
          <w:szCs w:val="21"/>
          <w:highlight w:val="none"/>
        </w:rPr>
      </w:pPr>
      <w:r>
        <w:rPr>
          <w:rFonts w:hint="eastAsia" w:ascii="宋体" w:hAnsi="宋体" w:cs="宋体"/>
          <w:color w:val="auto"/>
          <w:kern w:val="0"/>
          <w:szCs w:val="21"/>
          <w:highlight w:val="none"/>
        </w:rPr>
        <w:t>供应商名称（盖章）：</w:t>
      </w:r>
    </w:p>
    <w:p>
      <w:pPr>
        <w:spacing w:before="240" w:beforeLines="100" w:after="120" w:afterLines="50" w:line="360" w:lineRule="auto"/>
        <w:ind w:firstLine="3255" w:firstLineChars="1550"/>
        <w:jc w:val="left"/>
        <w:rPr>
          <w:rFonts w:ascii="宋体" w:hAnsi="宋体" w:cs="宋体"/>
          <w:color w:val="auto"/>
          <w:kern w:val="0"/>
          <w:szCs w:val="21"/>
          <w:highlight w:val="none"/>
        </w:rPr>
      </w:pPr>
      <w:r>
        <w:rPr>
          <w:rFonts w:hint="eastAsia" w:ascii="宋体" w:hAnsi="宋体" w:cs="宋体"/>
          <w:color w:val="auto"/>
          <w:kern w:val="0"/>
          <w:szCs w:val="21"/>
          <w:highlight w:val="none"/>
        </w:rPr>
        <w:t>法定代表人或被授权人（签字或盖章）：</w:t>
      </w:r>
    </w:p>
    <w:p>
      <w:pPr>
        <w:spacing w:before="240" w:beforeLines="100" w:after="120" w:afterLines="50" w:line="360" w:lineRule="auto"/>
        <w:ind w:firstLine="4095" w:firstLineChars="1950"/>
        <w:jc w:val="left"/>
        <w:rPr>
          <w:rFonts w:ascii="宋体" w:hAnsi="宋体" w:cs="宋体"/>
          <w:color w:val="auto"/>
          <w:kern w:val="0"/>
          <w:szCs w:val="21"/>
          <w:highlight w:val="none"/>
        </w:rPr>
      </w:pPr>
      <w:r>
        <w:rPr>
          <w:rFonts w:hint="eastAsia" w:ascii="宋体" w:hAnsi="宋体" w:cs="宋体"/>
          <w:color w:val="auto"/>
          <w:kern w:val="0"/>
          <w:szCs w:val="21"/>
          <w:highlight w:val="none"/>
        </w:rPr>
        <w:t>年  月  日</w:t>
      </w:r>
    </w:p>
    <w:p>
      <w:pPr>
        <w:spacing w:before="240" w:beforeLines="100" w:after="120" w:afterLines="50" w:line="360" w:lineRule="auto"/>
        <w:ind w:firstLine="3255" w:firstLineChars="1550"/>
        <w:jc w:val="left"/>
        <w:rPr>
          <w:rFonts w:ascii="宋体" w:hAnsi="宋体" w:cs="宋体"/>
          <w:color w:val="auto"/>
          <w:kern w:val="0"/>
          <w:szCs w:val="21"/>
          <w:highlight w:val="none"/>
        </w:rPr>
      </w:pPr>
    </w:p>
    <w:p>
      <w:pPr>
        <w:spacing w:line="360" w:lineRule="auto"/>
        <w:jc w:val="left"/>
        <w:rPr>
          <w:rFonts w:ascii="方正仿宋_GBK" w:hAnsi="宋体" w:eastAsia="方正仿宋_GBK"/>
          <w:color w:val="auto"/>
          <w:szCs w:val="21"/>
          <w:highlight w:val="none"/>
        </w:rPr>
      </w:pPr>
    </w:p>
    <w:p>
      <w:pPr>
        <w:spacing w:line="360" w:lineRule="auto"/>
        <w:jc w:val="left"/>
        <w:rPr>
          <w:rFonts w:ascii="宋体" w:hAnsi="宋体" w:cs="宋体"/>
          <w:color w:val="auto"/>
          <w:kern w:val="0"/>
          <w:szCs w:val="21"/>
          <w:highlight w:val="none"/>
        </w:rPr>
      </w:pPr>
      <w:r>
        <w:rPr>
          <w:rFonts w:hint="eastAsia" w:ascii="宋体" w:hAnsi="宋体"/>
          <w:b/>
          <w:bCs/>
          <w:color w:val="auto"/>
          <w:spacing w:val="4"/>
          <w:szCs w:val="21"/>
          <w:highlight w:val="none"/>
        </w:rPr>
        <w:t>备注：</w:t>
      </w:r>
      <w:r>
        <w:rPr>
          <w:rFonts w:hint="eastAsia" w:ascii="宋体" w:hAnsi="宋体" w:cs="宋体"/>
          <w:color w:val="auto"/>
          <w:kern w:val="0"/>
          <w:szCs w:val="21"/>
          <w:highlight w:val="none"/>
        </w:rPr>
        <w:t>履行合同所必需的设备和专业技术能力声明文件、具有良好的商业信誉和健全的财务会计制度、依法缴纳税收的诚信声明、依法缴纳社会保障资金的缴纳记录的诚信声明提供附件1诚信声明即可。</w:t>
      </w:r>
    </w:p>
    <w:p>
      <w:pPr>
        <w:spacing w:line="360" w:lineRule="auto"/>
        <w:ind w:left="1"/>
        <w:jc w:val="center"/>
        <w:rPr>
          <w:rFonts w:ascii="宋体" w:hAnsi="宋体"/>
          <w:b/>
          <w:color w:val="auto"/>
          <w:sz w:val="36"/>
          <w:szCs w:val="36"/>
          <w:highlight w:val="none"/>
        </w:rPr>
      </w:pPr>
      <w:r>
        <w:rPr>
          <w:rFonts w:ascii="宋体" w:hAnsi="宋体"/>
          <w:b/>
          <w:color w:val="auto"/>
          <w:szCs w:val="21"/>
          <w:highlight w:val="none"/>
        </w:rPr>
        <w:br w:type="page"/>
      </w:r>
    </w:p>
    <w:p>
      <w:pPr>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附件2：</w:t>
      </w:r>
    </w:p>
    <w:p>
      <w:pPr>
        <w:pStyle w:val="29"/>
        <w:rPr>
          <w:color w:val="auto"/>
          <w:highlight w:val="none"/>
        </w:rPr>
      </w:pPr>
    </w:p>
    <w:p>
      <w:pPr>
        <w:spacing w:line="360" w:lineRule="auto"/>
        <w:ind w:left="1"/>
        <w:jc w:val="center"/>
        <w:rPr>
          <w:rFonts w:ascii="宋体" w:hAnsi="宋体"/>
          <w:b/>
          <w:color w:val="auto"/>
          <w:sz w:val="22"/>
          <w:szCs w:val="22"/>
          <w:highlight w:val="none"/>
        </w:rPr>
      </w:pPr>
      <w:r>
        <w:rPr>
          <w:rFonts w:hint="eastAsia" w:ascii="宋体" w:hAnsi="宋体"/>
          <w:b/>
          <w:color w:val="auto"/>
          <w:sz w:val="22"/>
          <w:szCs w:val="22"/>
          <w:highlight w:val="none"/>
        </w:rPr>
        <w:t>供应商无重大违法记录的书面声明格式</w:t>
      </w:r>
    </w:p>
    <w:p>
      <w:pPr>
        <w:spacing w:line="360" w:lineRule="auto"/>
        <w:rPr>
          <w:rFonts w:ascii="宋体"/>
          <w:b/>
          <w:color w:val="auto"/>
          <w:spacing w:val="4"/>
          <w:szCs w:val="21"/>
          <w:highlight w:val="none"/>
          <w:u w:val="single"/>
        </w:rPr>
      </w:pPr>
    </w:p>
    <w:p>
      <w:pPr>
        <w:spacing w:line="480" w:lineRule="auto"/>
        <w:jc w:val="left"/>
        <w:rPr>
          <w:rFonts w:ascii="宋体"/>
          <w:color w:val="auto"/>
          <w:spacing w:val="4"/>
          <w:szCs w:val="21"/>
          <w:highlight w:val="none"/>
          <w:u w:val="single"/>
        </w:rPr>
      </w:pPr>
      <w:r>
        <w:rPr>
          <w:rFonts w:hint="eastAsia" w:ascii="宋体" w:hAnsi="宋体"/>
          <w:color w:val="auto"/>
          <w:spacing w:val="4"/>
          <w:szCs w:val="21"/>
          <w:highlight w:val="none"/>
          <w:u w:val="single"/>
        </w:rPr>
        <w:t>致：（采购机构名称）、（采购代理机构名称）</w:t>
      </w:r>
    </w:p>
    <w:p>
      <w:pPr>
        <w:spacing w:line="480" w:lineRule="auto"/>
        <w:ind w:firstLine="436" w:firstLineChars="200"/>
        <w:jc w:val="left"/>
        <w:rPr>
          <w:rFonts w:ascii="宋体"/>
          <w:color w:val="auto"/>
          <w:spacing w:val="4"/>
          <w:szCs w:val="21"/>
          <w:highlight w:val="none"/>
          <w:u w:val="single"/>
        </w:rPr>
      </w:pPr>
      <w:r>
        <w:rPr>
          <w:rFonts w:hint="eastAsia" w:ascii="宋体"/>
          <w:color w:val="auto"/>
          <w:spacing w:val="4"/>
          <w:szCs w:val="21"/>
          <w:highlight w:val="none"/>
          <w:u w:val="single"/>
        </w:rPr>
        <w:t>（供应商名称）</w:t>
      </w:r>
      <w:r>
        <w:rPr>
          <w:rFonts w:hint="eastAsia" w:ascii="宋体"/>
          <w:color w:val="auto"/>
          <w:spacing w:val="4"/>
          <w:szCs w:val="21"/>
          <w:highlight w:val="none"/>
        </w:rPr>
        <w:t>为在中华人民共和国境内合法注册并经营的机构。在此郑重声明，我公司在参与本次政府采购活动前3年内在经营活动中没有重大违法记录。</w:t>
      </w:r>
    </w:p>
    <w:p>
      <w:pPr>
        <w:spacing w:before="240" w:beforeLines="100" w:after="120" w:afterLines="50" w:line="480" w:lineRule="auto"/>
        <w:ind w:firstLine="170"/>
        <w:jc w:val="left"/>
        <w:rPr>
          <w:rFonts w:ascii="宋体"/>
          <w:color w:val="auto"/>
          <w:spacing w:val="4"/>
          <w:szCs w:val="21"/>
          <w:highlight w:val="none"/>
        </w:rPr>
      </w:pPr>
    </w:p>
    <w:p>
      <w:pPr>
        <w:spacing w:before="240" w:beforeLines="100" w:after="120" w:afterLines="50" w:line="360" w:lineRule="auto"/>
        <w:ind w:firstLine="170"/>
        <w:rPr>
          <w:rFonts w:ascii="宋体"/>
          <w:color w:val="auto"/>
          <w:spacing w:val="4"/>
          <w:szCs w:val="21"/>
          <w:highlight w:val="none"/>
        </w:rPr>
      </w:pPr>
    </w:p>
    <w:p>
      <w:pPr>
        <w:spacing w:before="240" w:beforeLines="100" w:after="120" w:afterLines="50" w:line="360" w:lineRule="auto"/>
        <w:ind w:firstLine="170"/>
        <w:rPr>
          <w:rFonts w:ascii="宋体"/>
          <w:color w:val="auto"/>
          <w:spacing w:val="4"/>
          <w:szCs w:val="21"/>
          <w:highlight w:val="none"/>
        </w:rPr>
      </w:pPr>
    </w:p>
    <w:p>
      <w:pPr>
        <w:spacing w:before="240" w:beforeLines="100" w:after="120" w:afterLines="50" w:line="360" w:lineRule="auto"/>
        <w:ind w:firstLine="3255" w:firstLineChars="1550"/>
        <w:jc w:val="left"/>
        <w:rPr>
          <w:rFonts w:ascii="宋体" w:hAnsi="宋体" w:cs="宋体"/>
          <w:color w:val="auto"/>
          <w:kern w:val="0"/>
          <w:szCs w:val="21"/>
          <w:highlight w:val="none"/>
        </w:rPr>
      </w:pPr>
      <w:r>
        <w:rPr>
          <w:rFonts w:hint="eastAsia" w:ascii="宋体" w:hAnsi="宋体" w:cs="宋体"/>
          <w:color w:val="auto"/>
          <w:kern w:val="0"/>
          <w:szCs w:val="21"/>
          <w:highlight w:val="none"/>
        </w:rPr>
        <w:t>供应商名称（盖章）：</w:t>
      </w:r>
    </w:p>
    <w:p>
      <w:pPr>
        <w:spacing w:before="240" w:beforeLines="100" w:after="120" w:afterLines="50" w:line="360" w:lineRule="auto"/>
        <w:ind w:firstLine="3255" w:firstLineChars="1550"/>
        <w:jc w:val="left"/>
        <w:rPr>
          <w:rFonts w:ascii="宋体" w:hAnsi="宋体" w:cs="宋体"/>
          <w:color w:val="auto"/>
          <w:kern w:val="0"/>
          <w:szCs w:val="21"/>
          <w:highlight w:val="none"/>
        </w:rPr>
      </w:pPr>
      <w:r>
        <w:rPr>
          <w:rFonts w:hint="eastAsia" w:ascii="宋体" w:hAnsi="宋体" w:cs="宋体"/>
          <w:color w:val="auto"/>
          <w:kern w:val="0"/>
          <w:szCs w:val="21"/>
          <w:highlight w:val="none"/>
        </w:rPr>
        <w:t>法定代表人或被授权人（签字或盖章）：</w:t>
      </w:r>
    </w:p>
    <w:p>
      <w:pPr>
        <w:spacing w:before="240" w:beforeLines="100" w:after="120" w:afterLines="50" w:line="360" w:lineRule="auto"/>
        <w:ind w:firstLine="4095" w:firstLineChars="1950"/>
        <w:jc w:val="left"/>
        <w:rPr>
          <w:rFonts w:ascii="宋体" w:hAnsi="宋体" w:cs="宋体"/>
          <w:color w:val="auto"/>
          <w:kern w:val="0"/>
          <w:szCs w:val="21"/>
          <w:highlight w:val="none"/>
        </w:rPr>
      </w:pPr>
      <w:r>
        <w:rPr>
          <w:rFonts w:hint="eastAsia" w:ascii="宋体" w:hAnsi="宋体" w:cs="宋体"/>
          <w:color w:val="auto"/>
          <w:kern w:val="0"/>
          <w:szCs w:val="21"/>
          <w:highlight w:val="none"/>
        </w:rPr>
        <w:t>年  月  日</w:t>
      </w:r>
    </w:p>
    <w:p>
      <w:pPr>
        <w:spacing w:before="240" w:beforeLines="100" w:after="120" w:afterLines="50" w:line="360" w:lineRule="auto"/>
        <w:ind w:firstLine="3255" w:firstLineChars="1550"/>
        <w:jc w:val="left"/>
        <w:rPr>
          <w:rFonts w:ascii="宋体" w:hAnsi="宋体" w:cs="宋体"/>
          <w:color w:val="auto"/>
          <w:kern w:val="0"/>
          <w:szCs w:val="21"/>
          <w:highlight w:val="none"/>
        </w:rPr>
      </w:pPr>
      <w:r>
        <w:rPr>
          <w:rFonts w:hint="eastAsia" w:ascii="宋体" w:hAnsi="宋体" w:cs="宋体"/>
          <w:color w:val="auto"/>
          <w:kern w:val="0"/>
          <w:szCs w:val="21"/>
          <w:highlight w:val="none"/>
        </w:rPr>
        <w:br w:type="page"/>
      </w:r>
    </w:p>
    <w:p>
      <w:pPr>
        <w:spacing w:line="588" w:lineRule="exact"/>
        <w:rPr>
          <w:rFonts w:hint="eastAsia" w:ascii="宋体" w:hAnsi="宋体"/>
          <w:b/>
          <w:color w:val="auto"/>
          <w:szCs w:val="21"/>
          <w:highlight w:val="none"/>
        </w:rPr>
      </w:pPr>
      <w:r>
        <w:rPr>
          <w:rFonts w:hint="eastAsia" w:ascii="宋体" w:hAnsi="宋体"/>
          <w:b/>
          <w:color w:val="auto"/>
          <w:szCs w:val="21"/>
          <w:highlight w:val="none"/>
        </w:rPr>
        <w:t>附件</w:t>
      </w:r>
      <w:r>
        <w:rPr>
          <w:rFonts w:hint="eastAsia" w:ascii="宋体" w:hAnsi="宋体"/>
          <w:b/>
          <w:color w:val="auto"/>
          <w:szCs w:val="21"/>
          <w:highlight w:val="none"/>
          <w:lang w:val="en-US" w:eastAsia="zh-CN"/>
        </w:rPr>
        <w:t>3</w:t>
      </w:r>
      <w:r>
        <w:rPr>
          <w:rFonts w:hint="eastAsia" w:ascii="宋体" w:hAnsi="宋体"/>
          <w:b/>
          <w:color w:val="auto"/>
          <w:szCs w:val="21"/>
          <w:highlight w:val="none"/>
        </w:rPr>
        <w:t>：</w:t>
      </w:r>
    </w:p>
    <w:p>
      <w:pPr>
        <w:pStyle w:val="37"/>
        <w:rPr>
          <w:color w:val="auto"/>
          <w:highlight w:val="none"/>
        </w:rPr>
      </w:pPr>
    </w:p>
    <w:p>
      <w:pPr>
        <w:spacing w:before="240" w:beforeLines="100" w:after="240" w:afterLines="100"/>
        <w:jc w:val="center"/>
        <w:rPr>
          <w:rFonts w:hint="eastAsia" w:ascii="宋体" w:hAnsi="宋体"/>
          <w:b/>
          <w:color w:val="auto"/>
          <w:sz w:val="22"/>
          <w:szCs w:val="22"/>
          <w:highlight w:val="none"/>
        </w:rPr>
      </w:pPr>
      <w:r>
        <w:rPr>
          <w:rFonts w:hint="eastAsia" w:ascii="宋体" w:hAnsi="宋体"/>
          <w:b/>
          <w:color w:val="auto"/>
          <w:sz w:val="22"/>
          <w:szCs w:val="22"/>
          <w:highlight w:val="none"/>
        </w:rPr>
        <w:t>承诺书</w:t>
      </w:r>
    </w:p>
    <w:p>
      <w:pPr>
        <w:spacing w:after="240" w:afterLines="100" w:line="480" w:lineRule="exact"/>
        <w:rPr>
          <w:rFonts w:hint="eastAsia"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w:t>
      </w:r>
      <w:r>
        <w:rPr>
          <w:rFonts w:hint="eastAsia" w:ascii="宋体" w:hAnsi="宋体"/>
          <w:color w:val="auto"/>
          <w:szCs w:val="21"/>
          <w:highlight w:val="none"/>
          <w:lang w:eastAsia="zh-CN"/>
        </w:rPr>
        <w:t>采购人</w:t>
      </w:r>
      <w:r>
        <w:rPr>
          <w:rFonts w:hint="eastAsia" w:ascii="宋体" w:hAnsi="宋体"/>
          <w:color w:val="auto"/>
          <w:szCs w:val="21"/>
          <w:highlight w:val="none"/>
        </w:rPr>
        <w:t>名称）：</w:t>
      </w:r>
    </w:p>
    <w:p>
      <w:pPr>
        <w:spacing w:line="4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我方在此声明，我方拟派往</w:t>
      </w:r>
      <w:r>
        <w:rPr>
          <w:rFonts w:hint="eastAsia" w:ascii="宋体" w:hAnsi="宋体"/>
          <w:color w:val="auto"/>
          <w:szCs w:val="21"/>
          <w:highlight w:val="none"/>
          <w:u w:val="single"/>
        </w:rPr>
        <w:t xml:space="preserve">   （项目名称）   </w:t>
      </w:r>
      <w:r>
        <w:rPr>
          <w:rFonts w:hint="eastAsia" w:ascii="宋体" w:hAnsi="宋体"/>
          <w:color w:val="auto"/>
          <w:szCs w:val="21"/>
          <w:highlight w:val="none"/>
        </w:rPr>
        <w:t>（以下简称“本工程”）的项目经理</w:t>
      </w:r>
      <w:r>
        <w:rPr>
          <w:rFonts w:hint="eastAsia" w:ascii="宋体" w:hAnsi="宋体"/>
          <w:color w:val="auto"/>
          <w:szCs w:val="21"/>
          <w:highlight w:val="none"/>
          <w:u w:val="single"/>
        </w:rPr>
        <w:t xml:space="preserve">           </w:t>
      </w:r>
      <w:r>
        <w:rPr>
          <w:rFonts w:hint="eastAsia" w:ascii="宋体" w:hAnsi="宋体"/>
          <w:color w:val="auto"/>
          <w:szCs w:val="21"/>
          <w:highlight w:val="none"/>
        </w:rPr>
        <w:t>（项目经理姓名）现阶段没有担任任何在施建设工程项目的项目经理。</w:t>
      </w:r>
    </w:p>
    <w:p>
      <w:pPr>
        <w:spacing w:line="4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我方保证本次</w:t>
      </w:r>
      <w:r>
        <w:rPr>
          <w:rFonts w:hint="eastAsia" w:ascii="宋体" w:hAnsi="宋体"/>
          <w:color w:val="auto"/>
          <w:szCs w:val="21"/>
          <w:highlight w:val="none"/>
          <w:lang w:eastAsia="zh-CN"/>
        </w:rPr>
        <w:t>响应</w:t>
      </w:r>
      <w:r>
        <w:rPr>
          <w:rFonts w:hint="eastAsia" w:ascii="宋体" w:hAnsi="宋体"/>
          <w:color w:val="auto"/>
          <w:szCs w:val="21"/>
          <w:highlight w:val="none"/>
        </w:rPr>
        <w:t>所有内容和资料均真实、有效、准确，并愿意承担因我方就此弄虚作假所引起的一切法律后果。</w:t>
      </w:r>
    </w:p>
    <w:p>
      <w:pPr>
        <w:spacing w:line="440" w:lineRule="exact"/>
        <w:ind w:firstLine="420" w:firstLineChars="200"/>
        <w:rPr>
          <w:rFonts w:hint="eastAsia" w:ascii="宋体" w:hAnsi="宋体"/>
          <w:color w:val="auto"/>
          <w:szCs w:val="21"/>
          <w:highlight w:val="none"/>
        </w:rPr>
      </w:pPr>
    </w:p>
    <w:p>
      <w:pPr>
        <w:spacing w:line="440" w:lineRule="exact"/>
        <w:ind w:firstLine="420" w:firstLineChars="200"/>
        <w:rPr>
          <w:rFonts w:hint="eastAsia" w:ascii="宋体" w:hAnsi="宋体"/>
          <w:color w:val="auto"/>
          <w:szCs w:val="21"/>
          <w:highlight w:val="none"/>
        </w:rPr>
      </w:pPr>
    </w:p>
    <w:p>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特此承诺</w:t>
      </w:r>
    </w:p>
    <w:p>
      <w:pPr>
        <w:spacing w:line="440" w:lineRule="exact"/>
        <w:ind w:firstLine="420" w:firstLineChars="200"/>
        <w:rPr>
          <w:rFonts w:hint="eastAsia" w:ascii="宋体" w:hAnsi="宋体"/>
          <w:color w:val="auto"/>
          <w:szCs w:val="21"/>
          <w:highlight w:val="none"/>
        </w:rPr>
      </w:pPr>
    </w:p>
    <w:p>
      <w:pPr>
        <w:spacing w:line="440" w:lineRule="exact"/>
        <w:ind w:firstLine="480" w:firstLineChars="200"/>
        <w:rPr>
          <w:rFonts w:hint="eastAsia" w:ascii="宋体" w:hAnsi="宋体"/>
          <w:color w:val="auto"/>
          <w:sz w:val="24"/>
          <w:highlight w:val="none"/>
        </w:rPr>
      </w:pPr>
    </w:p>
    <w:p>
      <w:pPr>
        <w:spacing w:line="440" w:lineRule="exact"/>
        <w:ind w:firstLine="480" w:firstLineChars="200"/>
        <w:rPr>
          <w:rFonts w:hint="eastAsia" w:ascii="宋体" w:hAnsi="宋体"/>
          <w:color w:val="auto"/>
          <w:sz w:val="24"/>
          <w:highlight w:val="none"/>
        </w:rPr>
      </w:pPr>
    </w:p>
    <w:p>
      <w:pPr>
        <w:spacing w:line="440" w:lineRule="exact"/>
        <w:ind w:firstLine="480" w:firstLineChars="200"/>
        <w:rPr>
          <w:rFonts w:hint="eastAsia" w:ascii="宋体" w:hAnsi="宋体"/>
          <w:color w:val="auto"/>
          <w:sz w:val="24"/>
          <w:highlight w:val="none"/>
        </w:rPr>
      </w:pPr>
    </w:p>
    <w:p>
      <w:pPr>
        <w:spacing w:before="240" w:beforeLines="100" w:after="120" w:afterLines="50" w:line="360" w:lineRule="auto"/>
        <w:ind w:firstLine="3255" w:firstLineChars="1550"/>
        <w:jc w:val="left"/>
        <w:rPr>
          <w:rFonts w:ascii="宋体" w:hAnsi="宋体" w:cs="宋体"/>
          <w:color w:val="auto"/>
          <w:kern w:val="0"/>
          <w:szCs w:val="21"/>
          <w:highlight w:val="none"/>
        </w:rPr>
      </w:pPr>
      <w:r>
        <w:rPr>
          <w:rFonts w:hint="eastAsia" w:ascii="宋体" w:hAnsi="宋体" w:cs="宋体"/>
          <w:color w:val="auto"/>
          <w:kern w:val="0"/>
          <w:szCs w:val="21"/>
          <w:highlight w:val="none"/>
        </w:rPr>
        <w:t>供应商名称（盖章）：</w:t>
      </w:r>
    </w:p>
    <w:p>
      <w:pPr>
        <w:spacing w:before="240" w:beforeLines="100" w:after="120" w:afterLines="50" w:line="360" w:lineRule="auto"/>
        <w:ind w:firstLine="3255" w:firstLineChars="1550"/>
        <w:jc w:val="left"/>
        <w:rPr>
          <w:rFonts w:ascii="宋体" w:hAnsi="宋体" w:cs="宋体"/>
          <w:color w:val="auto"/>
          <w:kern w:val="0"/>
          <w:szCs w:val="21"/>
          <w:highlight w:val="none"/>
        </w:rPr>
      </w:pPr>
      <w:r>
        <w:rPr>
          <w:rFonts w:hint="eastAsia" w:ascii="宋体" w:hAnsi="宋体" w:cs="宋体"/>
          <w:color w:val="auto"/>
          <w:kern w:val="0"/>
          <w:szCs w:val="21"/>
          <w:highlight w:val="none"/>
        </w:rPr>
        <w:t>法定代表人或被授权人（签字或盖章）：</w:t>
      </w:r>
    </w:p>
    <w:p>
      <w:pPr>
        <w:spacing w:before="240" w:beforeLines="100" w:after="120" w:afterLines="50" w:line="360" w:lineRule="auto"/>
        <w:ind w:firstLine="4095" w:firstLineChars="1950"/>
        <w:jc w:val="left"/>
        <w:rPr>
          <w:rFonts w:ascii="宋体" w:hAnsi="宋体" w:cs="宋体"/>
          <w:color w:val="auto"/>
          <w:kern w:val="0"/>
          <w:szCs w:val="21"/>
          <w:highlight w:val="none"/>
        </w:rPr>
      </w:pPr>
      <w:r>
        <w:rPr>
          <w:rFonts w:hint="eastAsia" w:ascii="宋体" w:hAnsi="宋体" w:cs="宋体"/>
          <w:color w:val="auto"/>
          <w:kern w:val="0"/>
          <w:szCs w:val="21"/>
          <w:highlight w:val="none"/>
        </w:rPr>
        <w:t>年  月  日</w:t>
      </w:r>
    </w:p>
    <w:p>
      <w:pPr>
        <w:widowControl/>
        <w:jc w:val="left"/>
        <w:rPr>
          <w:rFonts w:ascii="宋体" w:hAnsi="宋体" w:cs="宋体"/>
          <w:b/>
          <w:color w:val="auto"/>
          <w:kern w:val="0"/>
          <w:sz w:val="28"/>
          <w:szCs w:val="28"/>
          <w:highlight w:val="none"/>
        </w:rPr>
      </w:pPr>
    </w:p>
    <w:p>
      <w:pPr>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br w:type="page"/>
      </w:r>
    </w:p>
    <w:p>
      <w:pPr>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附件</w:t>
      </w:r>
      <w:r>
        <w:rPr>
          <w:rFonts w:hint="eastAsia" w:ascii="宋体" w:hAnsi="宋体" w:cs="宋体"/>
          <w:b/>
          <w:color w:val="auto"/>
          <w:szCs w:val="21"/>
          <w:highlight w:val="none"/>
          <w:lang w:val="en-US" w:eastAsia="zh-CN"/>
        </w:rPr>
        <w:t>4</w:t>
      </w:r>
      <w:r>
        <w:rPr>
          <w:rFonts w:hint="eastAsia" w:ascii="宋体" w:hAnsi="宋体" w:cs="宋体"/>
          <w:b/>
          <w:color w:val="auto"/>
          <w:szCs w:val="21"/>
          <w:highlight w:val="none"/>
        </w:rPr>
        <w:t>：</w:t>
      </w:r>
    </w:p>
    <w:p>
      <w:pPr>
        <w:spacing w:line="360" w:lineRule="auto"/>
        <w:ind w:left="1"/>
        <w:jc w:val="center"/>
        <w:rPr>
          <w:rFonts w:ascii="宋体" w:hAnsi="宋体" w:cs="宋体"/>
          <w:b/>
          <w:color w:val="auto"/>
          <w:szCs w:val="21"/>
          <w:highlight w:val="none"/>
        </w:rPr>
      </w:pPr>
    </w:p>
    <w:p>
      <w:pPr>
        <w:spacing w:line="360" w:lineRule="auto"/>
        <w:jc w:val="center"/>
        <w:rPr>
          <w:rFonts w:ascii="宋体" w:hAnsi="宋体" w:cs="宋体"/>
          <w:b/>
          <w:color w:val="auto"/>
          <w:sz w:val="22"/>
          <w:szCs w:val="22"/>
          <w:highlight w:val="none"/>
        </w:rPr>
      </w:pPr>
      <w:r>
        <w:rPr>
          <w:rFonts w:hint="eastAsia" w:ascii="宋体" w:hAnsi="宋体" w:cs="宋体"/>
          <w:b/>
          <w:color w:val="auto"/>
          <w:sz w:val="22"/>
          <w:szCs w:val="22"/>
          <w:highlight w:val="none"/>
        </w:rPr>
        <w:t>中小企业声明函（工程）</w:t>
      </w:r>
    </w:p>
    <w:p>
      <w:pPr>
        <w:spacing w:line="360" w:lineRule="auto"/>
        <w:jc w:val="center"/>
        <w:rPr>
          <w:rFonts w:ascii="宋体" w:hAnsi="宋体" w:cs="宋体"/>
          <w:b/>
          <w:color w:val="auto"/>
          <w:szCs w:val="21"/>
          <w:highlight w:val="none"/>
        </w:rPr>
      </w:pPr>
    </w:p>
    <w:p>
      <w:pPr>
        <w:spacing w:line="360" w:lineRule="auto"/>
        <w:ind w:firstLine="436" w:firstLineChars="200"/>
        <w:jc w:val="left"/>
        <w:rPr>
          <w:rFonts w:ascii="宋体" w:hAnsi="宋体"/>
          <w:color w:val="auto"/>
          <w:spacing w:val="4"/>
          <w:szCs w:val="21"/>
          <w:highlight w:val="none"/>
        </w:rPr>
      </w:pPr>
      <w:r>
        <w:rPr>
          <w:rFonts w:hint="eastAsia" w:ascii="宋体" w:hAnsi="宋体"/>
          <w:color w:val="auto"/>
          <w:spacing w:val="4"/>
          <w:szCs w:val="21"/>
          <w:highlight w:val="none"/>
        </w:rPr>
        <w:t>本公司（联合体）郑重声明，根据《政府采购促进中小企业发展管理办法》（财库﹝2020﹞46号）的规定，本公司（联合体）参加</w:t>
      </w:r>
      <w:r>
        <w:rPr>
          <w:rFonts w:hint="eastAsia" w:ascii="宋体" w:hAnsi="宋体"/>
          <w:i/>
          <w:color w:val="auto"/>
          <w:spacing w:val="4"/>
          <w:szCs w:val="21"/>
          <w:highlight w:val="none"/>
          <w:u w:val="single"/>
        </w:rPr>
        <w:t>（单位名称）</w:t>
      </w:r>
      <w:r>
        <w:rPr>
          <w:rFonts w:hint="eastAsia" w:ascii="宋体" w:hAnsi="宋体"/>
          <w:color w:val="auto"/>
          <w:spacing w:val="4"/>
          <w:szCs w:val="21"/>
          <w:highlight w:val="none"/>
        </w:rPr>
        <w:t>的</w:t>
      </w:r>
      <w:r>
        <w:rPr>
          <w:rFonts w:hint="eastAsia" w:ascii="宋体" w:hAnsi="宋体"/>
          <w:i/>
          <w:color w:val="auto"/>
          <w:spacing w:val="4"/>
          <w:szCs w:val="21"/>
          <w:highlight w:val="none"/>
          <w:u w:val="single"/>
        </w:rPr>
        <w:t>（项目名称）</w:t>
      </w:r>
      <w:r>
        <w:rPr>
          <w:rFonts w:hint="eastAsia" w:ascii="宋体" w:hAnsi="宋体"/>
          <w:color w:val="auto"/>
          <w:spacing w:val="4"/>
          <w:szCs w:val="21"/>
          <w:highlight w:val="none"/>
        </w:rPr>
        <w:t xml:space="preserve">采购活动，工程的施工单位全部由符合政策要求的中小企业承接）。相关企业（含联合体中的中小企业、签订分包意向协议的中小企业）的具体情况如下： </w:t>
      </w:r>
    </w:p>
    <w:p>
      <w:pPr>
        <w:spacing w:line="360" w:lineRule="auto"/>
        <w:ind w:firstLine="436" w:firstLineChars="200"/>
        <w:jc w:val="left"/>
        <w:rPr>
          <w:rFonts w:ascii="宋体" w:hAnsi="宋体"/>
          <w:color w:val="auto"/>
          <w:spacing w:val="4"/>
          <w:szCs w:val="21"/>
          <w:highlight w:val="none"/>
        </w:rPr>
      </w:pPr>
      <w:r>
        <w:rPr>
          <w:rFonts w:hint="eastAsia" w:ascii="宋体" w:hAnsi="宋体"/>
          <w:color w:val="auto"/>
          <w:spacing w:val="4"/>
          <w:szCs w:val="21"/>
          <w:highlight w:val="none"/>
        </w:rPr>
        <w:t>1.</w:t>
      </w:r>
      <w:r>
        <w:rPr>
          <w:rFonts w:hint="eastAsia" w:ascii="宋体" w:hAnsi="宋体"/>
          <w:i/>
          <w:color w:val="auto"/>
          <w:spacing w:val="4"/>
          <w:szCs w:val="21"/>
          <w:highlight w:val="none"/>
          <w:u w:val="single"/>
        </w:rPr>
        <w:t>（标的名称）</w:t>
      </w:r>
      <w:r>
        <w:rPr>
          <w:rFonts w:hint="eastAsia" w:ascii="宋体" w:hAnsi="宋体"/>
          <w:color w:val="auto"/>
          <w:spacing w:val="4"/>
          <w:szCs w:val="21"/>
          <w:highlight w:val="none"/>
        </w:rPr>
        <w:t>，属于</w:t>
      </w:r>
      <w:r>
        <w:rPr>
          <w:rFonts w:hint="eastAsia" w:ascii="宋体" w:hAnsi="宋体"/>
          <w:b/>
          <w:bCs/>
          <w:color w:val="auto"/>
          <w:spacing w:val="4"/>
          <w:szCs w:val="21"/>
          <w:highlight w:val="none"/>
          <w:u w:val="single"/>
        </w:rPr>
        <w:t>建筑业</w:t>
      </w:r>
      <w:r>
        <w:rPr>
          <w:rFonts w:hint="eastAsia" w:ascii="宋体" w:hAnsi="宋体"/>
          <w:i/>
          <w:color w:val="auto"/>
          <w:spacing w:val="4"/>
          <w:szCs w:val="21"/>
          <w:highlight w:val="none"/>
          <w:u w:val="single"/>
        </w:rPr>
        <w:t>（采购文件中明确的所属行业）</w:t>
      </w:r>
      <w:r>
        <w:rPr>
          <w:rFonts w:hint="eastAsia" w:ascii="宋体" w:hAnsi="宋体"/>
          <w:color w:val="auto"/>
          <w:spacing w:val="4"/>
          <w:szCs w:val="21"/>
          <w:highlight w:val="none"/>
        </w:rPr>
        <w:t>；承建（承接）企业为</w:t>
      </w:r>
      <w:r>
        <w:rPr>
          <w:rFonts w:hint="eastAsia" w:ascii="宋体" w:hAnsi="宋体"/>
          <w:i/>
          <w:color w:val="auto"/>
          <w:spacing w:val="4"/>
          <w:szCs w:val="21"/>
          <w:highlight w:val="none"/>
          <w:u w:val="single"/>
        </w:rPr>
        <w:t>（企业名称）</w:t>
      </w:r>
      <w:r>
        <w:rPr>
          <w:rFonts w:hint="eastAsia" w:ascii="宋体" w:hAnsi="宋体"/>
          <w:color w:val="auto"/>
          <w:spacing w:val="4"/>
          <w:szCs w:val="21"/>
          <w:highlight w:val="none"/>
        </w:rPr>
        <w:t>，从业人员</w:t>
      </w:r>
      <w:r>
        <w:rPr>
          <w:rFonts w:hint="eastAsia" w:ascii="宋体" w:hAnsi="宋体"/>
          <w:color w:val="auto"/>
          <w:spacing w:val="4"/>
          <w:szCs w:val="21"/>
          <w:highlight w:val="none"/>
          <w:u w:val="single"/>
        </w:rPr>
        <w:t xml:space="preserve">    </w:t>
      </w:r>
      <w:r>
        <w:rPr>
          <w:rFonts w:hint="eastAsia" w:ascii="宋体" w:hAnsi="宋体"/>
          <w:color w:val="auto"/>
          <w:spacing w:val="4"/>
          <w:szCs w:val="21"/>
          <w:highlight w:val="none"/>
        </w:rPr>
        <w:t>人，营业收入为</w:t>
      </w:r>
      <w:r>
        <w:rPr>
          <w:rFonts w:hint="eastAsia" w:ascii="宋体" w:hAnsi="宋体"/>
          <w:color w:val="auto"/>
          <w:spacing w:val="4"/>
          <w:szCs w:val="21"/>
          <w:highlight w:val="none"/>
          <w:u w:val="single"/>
        </w:rPr>
        <w:t xml:space="preserve">    </w:t>
      </w:r>
      <w:r>
        <w:rPr>
          <w:rFonts w:hint="eastAsia" w:ascii="宋体" w:hAnsi="宋体"/>
          <w:color w:val="auto"/>
          <w:spacing w:val="4"/>
          <w:szCs w:val="21"/>
          <w:highlight w:val="none"/>
        </w:rPr>
        <w:t>万元，资产总额为</w:t>
      </w:r>
      <w:r>
        <w:rPr>
          <w:rFonts w:hint="eastAsia" w:ascii="宋体" w:hAnsi="宋体"/>
          <w:color w:val="auto"/>
          <w:spacing w:val="4"/>
          <w:szCs w:val="21"/>
          <w:highlight w:val="none"/>
          <w:u w:val="single"/>
        </w:rPr>
        <w:t xml:space="preserve">  </w:t>
      </w:r>
      <w:r>
        <w:rPr>
          <w:rFonts w:hint="eastAsia" w:ascii="宋体" w:hAnsi="宋体"/>
          <w:color w:val="auto"/>
          <w:spacing w:val="4"/>
          <w:szCs w:val="21"/>
          <w:highlight w:val="none"/>
        </w:rPr>
        <w:t>万元，属于</w:t>
      </w:r>
      <w:r>
        <w:rPr>
          <w:rFonts w:hint="eastAsia" w:ascii="宋体" w:hAnsi="宋体"/>
          <w:i/>
          <w:color w:val="auto"/>
          <w:spacing w:val="4"/>
          <w:szCs w:val="21"/>
          <w:highlight w:val="none"/>
          <w:u w:val="single"/>
        </w:rPr>
        <w:t>（中型企业、小型企业、微型企业）</w:t>
      </w:r>
      <w:r>
        <w:rPr>
          <w:rFonts w:hint="eastAsia" w:ascii="宋体" w:hAnsi="宋体"/>
          <w:color w:val="auto"/>
          <w:spacing w:val="4"/>
          <w:szCs w:val="21"/>
          <w:highlight w:val="none"/>
        </w:rPr>
        <w:t xml:space="preserve">； </w:t>
      </w:r>
    </w:p>
    <w:p>
      <w:pPr>
        <w:spacing w:line="360" w:lineRule="auto"/>
        <w:ind w:firstLine="436" w:firstLineChars="200"/>
        <w:jc w:val="left"/>
        <w:rPr>
          <w:rFonts w:ascii="宋体" w:hAnsi="宋体"/>
          <w:color w:val="auto"/>
          <w:spacing w:val="4"/>
          <w:szCs w:val="21"/>
          <w:highlight w:val="none"/>
        </w:rPr>
      </w:pPr>
      <w:r>
        <w:rPr>
          <w:rFonts w:hint="eastAsia" w:ascii="宋体" w:hAnsi="宋体"/>
          <w:color w:val="auto"/>
          <w:spacing w:val="4"/>
          <w:szCs w:val="21"/>
          <w:highlight w:val="none"/>
        </w:rPr>
        <w:t>2.</w:t>
      </w:r>
      <w:r>
        <w:rPr>
          <w:rFonts w:hint="eastAsia" w:ascii="宋体" w:hAnsi="宋体"/>
          <w:i/>
          <w:color w:val="auto"/>
          <w:spacing w:val="4"/>
          <w:szCs w:val="21"/>
          <w:highlight w:val="none"/>
          <w:u w:val="single"/>
        </w:rPr>
        <w:t>（标的名称）</w:t>
      </w:r>
      <w:r>
        <w:rPr>
          <w:rFonts w:hint="eastAsia" w:ascii="宋体" w:hAnsi="宋体"/>
          <w:color w:val="auto"/>
          <w:spacing w:val="4"/>
          <w:szCs w:val="21"/>
          <w:highlight w:val="none"/>
        </w:rPr>
        <w:t>，属于</w:t>
      </w:r>
      <w:r>
        <w:rPr>
          <w:rFonts w:hint="eastAsia" w:ascii="宋体" w:hAnsi="宋体"/>
          <w:b/>
          <w:bCs/>
          <w:color w:val="auto"/>
          <w:spacing w:val="4"/>
          <w:szCs w:val="21"/>
          <w:highlight w:val="none"/>
          <w:u w:val="single"/>
        </w:rPr>
        <w:t>建筑业</w:t>
      </w:r>
      <w:r>
        <w:rPr>
          <w:rFonts w:hint="eastAsia" w:ascii="宋体" w:hAnsi="宋体"/>
          <w:i/>
          <w:iCs/>
          <w:color w:val="auto"/>
          <w:spacing w:val="4"/>
          <w:szCs w:val="21"/>
          <w:highlight w:val="none"/>
          <w:u w:val="single"/>
        </w:rPr>
        <w:t>（采购文件中明确的所属行业）</w:t>
      </w:r>
      <w:r>
        <w:rPr>
          <w:rFonts w:hint="eastAsia" w:ascii="宋体" w:hAnsi="宋体"/>
          <w:color w:val="auto"/>
          <w:spacing w:val="4"/>
          <w:szCs w:val="21"/>
          <w:highlight w:val="none"/>
        </w:rPr>
        <w:t>；承建（承接）企业为</w:t>
      </w:r>
      <w:r>
        <w:rPr>
          <w:rFonts w:hint="eastAsia" w:ascii="宋体" w:hAnsi="宋体"/>
          <w:i/>
          <w:color w:val="auto"/>
          <w:spacing w:val="4"/>
          <w:szCs w:val="21"/>
          <w:highlight w:val="none"/>
          <w:u w:val="single"/>
        </w:rPr>
        <w:t>（企业名称）</w:t>
      </w:r>
      <w:r>
        <w:rPr>
          <w:rFonts w:hint="eastAsia" w:ascii="宋体" w:hAnsi="宋体"/>
          <w:color w:val="auto"/>
          <w:spacing w:val="4"/>
          <w:szCs w:val="21"/>
          <w:highlight w:val="none"/>
        </w:rPr>
        <w:t>，从业人员</w:t>
      </w:r>
      <w:r>
        <w:rPr>
          <w:rFonts w:hint="eastAsia" w:ascii="宋体" w:hAnsi="宋体"/>
          <w:color w:val="auto"/>
          <w:spacing w:val="4"/>
          <w:szCs w:val="21"/>
          <w:highlight w:val="none"/>
          <w:u w:val="single"/>
        </w:rPr>
        <w:t xml:space="preserve">    </w:t>
      </w:r>
      <w:r>
        <w:rPr>
          <w:rFonts w:hint="eastAsia" w:ascii="宋体" w:hAnsi="宋体"/>
          <w:color w:val="auto"/>
          <w:spacing w:val="4"/>
          <w:szCs w:val="21"/>
          <w:highlight w:val="none"/>
        </w:rPr>
        <w:t>人，营业收入为</w:t>
      </w:r>
      <w:r>
        <w:rPr>
          <w:rFonts w:hint="eastAsia" w:ascii="宋体" w:hAnsi="宋体"/>
          <w:color w:val="auto"/>
          <w:spacing w:val="4"/>
          <w:szCs w:val="21"/>
          <w:highlight w:val="none"/>
          <w:u w:val="single"/>
        </w:rPr>
        <w:t xml:space="preserve">    </w:t>
      </w:r>
      <w:r>
        <w:rPr>
          <w:rFonts w:hint="eastAsia" w:ascii="宋体" w:hAnsi="宋体"/>
          <w:color w:val="auto"/>
          <w:spacing w:val="4"/>
          <w:szCs w:val="21"/>
          <w:highlight w:val="none"/>
        </w:rPr>
        <w:t>万元，资产总额为</w:t>
      </w:r>
      <w:r>
        <w:rPr>
          <w:rFonts w:hint="eastAsia" w:ascii="宋体" w:hAnsi="宋体"/>
          <w:color w:val="auto"/>
          <w:spacing w:val="4"/>
          <w:szCs w:val="21"/>
          <w:highlight w:val="none"/>
          <w:u w:val="single"/>
        </w:rPr>
        <w:t xml:space="preserve">   </w:t>
      </w:r>
      <w:r>
        <w:rPr>
          <w:rFonts w:hint="eastAsia" w:ascii="宋体" w:hAnsi="宋体"/>
          <w:color w:val="auto"/>
          <w:spacing w:val="4"/>
          <w:szCs w:val="21"/>
          <w:highlight w:val="none"/>
        </w:rPr>
        <w:t>万元，属于</w:t>
      </w:r>
      <w:r>
        <w:rPr>
          <w:rFonts w:hint="eastAsia" w:ascii="宋体" w:hAnsi="宋体"/>
          <w:i/>
          <w:color w:val="auto"/>
          <w:spacing w:val="4"/>
          <w:szCs w:val="21"/>
          <w:highlight w:val="none"/>
          <w:u w:val="single"/>
        </w:rPr>
        <w:t>（中型企业、小型企业、微型企业）</w:t>
      </w:r>
      <w:r>
        <w:rPr>
          <w:rFonts w:hint="eastAsia" w:ascii="宋体" w:hAnsi="宋体"/>
          <w:color w:val="auto"/>
          <w:spacing w:val="4"/>
          <w:szCs w:val="21"/>
          <w:highlight w:val="none"/>
        </w:rPr>
        <w:t xml:space="preserve">； </w:t>
      </w:r>
    </w:p>
    <w:p>
      <w:pPr>
        <w:spacing w:line="360" w:lineRule="auto"/>
        <w:ind w:firstLine="436" w:firstLineChars="200"/>
        <w:jc w:val="left"/>
        <w:rPr>
          <w:rFonts w:ascii="宋体" w:hAnsi="宋体"/>
          <w:color w:val="auto"/>
          <w:spacing w:val="4"/>
          <w:szCs w:val="21"/>
          <w:highlight w:val="none"/>
        </w:rPr>
      </w:pPr>
      <w:r>
        <w:rPr>
          <w:rFonts w:hint="eastAsia" w:ascii="宋体" w:hAnsi="宋体"/>
          <w:color w:val="auto"/>
          <w:spacing w:val="4"/>
          <w:szCs w:val="21"/>
          <w:highlight w:val="none"/>
        </w:rPr>
        <w:t xml:space="preserve">…… </w:t>
      </w:r>
    </w:p>
    <w:p>
      <w:pPr>
        <w:spacing w:line="360" w:lineRule="auto"/>
        <w:ind w:firstLine="436" w:firstLineChars="200"/>
        <w:jc w:val="left"/>
        <w:rPr>
          <w:rFonts w:ascii="宋体" w:hAnsi="宋体"/>
          <w:color w:val="auto"/>
          <w:spacing w:val="4"/>
          <w:szCs w:val="21"/>
          <w:highlight w:val="none"/>
        </w:rPr>
      </w:pPr>
      <w:r>
        <w:rPr>
          <w:rFonts w:hint="eastAsia" w:ascii="宋体" w:hAnsi="宋体"/>
          <w:color w:val="auto"/>
          <w:spacing w:val="4"/>
          <w:szCs w:val="21"/>
          <w:highlight w:val="none"/>
        </w:rPr>
        <w:t xml:space="preserve">以上企业，不属于大企业的分支机构，不存在控股股东为大企业的情形，也不存在与大企业的负责人为同一人的情形。 </w:t>
      </w:r>
    </w:p>
    <w:p>
      <w:pPr>
        <w:spacing w:line="360" w:lineRule="auto"/>
        <w:ind w:firstLine="436" w:firstLineChars="200"/>
        <w:jc w:val="left"/>
        <w:rPr>
          <w:rFonts w:ascii="宋体" w:hAnsi="宋体" w:cs="宋体"/>
          <w:color w:val="auto"/>
          <w:spacing w:val="4"/>
          <w:szCs w:val="21"/>
          <w:highlight w:val="none"/>
        </w:rPr>
      </w:pPr>
      <w:r>
        <w:rPr>
          <w:rFonts w:hint="eastAsia" w:ascii="宋体" w:hAnsi="宋体"/>
          <w:color w:val="auto"/>
          <w:spacing w:val="4"/>
          <w:szCs w:val="21"/>
          <w:highlight w:val="none"/>
        </w:rPr>
        <w:t xml:space="preserve">本企业对上述声明内容的真实性负责。如有虚假，将依法承担相应责任。 </w:t>
      </w:r>
    </w:p>
    <w:p>
      <w:pPr>
        <w:spacing w:line="440" w:lineRule="exact"/>
        <w:ind w:firstLine="360" w:firstLineChars="150"/>
        <w:rPr>
          <w:rFonts w:ascii="宋体" w:hAnsi="宋体" w:cs="宋体"/>
          <w:color w:val="auto"/>
          <w:kern w:val="0"/>
          <w:sz w:val="24"/>
          <w:highlight w:val="none"/>
        </w:rPr>
      </w:pPr>
    </w:p>
    <w:p>
      <w:pPr>
        <w:pStyle w:val="2"/>
        <w:rPr>
          <w:rFonts w:ascii="宋体" w:hAnsi="宋体" w:cs="宋体"/>
          <w:color w:val="auto"/>
          <w:highlight w:val="none"/>
        </w:rPr>
      </w:pPr>
    </w:p>
    <w:p>
      <w:pPr>
        <w:rPr>
          <w:rFonts w:ascii="宋体" w:hAnsi="宋体" w:cs="宋体"/>
          <w:color w:val="auto"/>
          <w:kern w:val="0"/>
          <w:sz w:val="24"/>
          <w:highlight w:val="none"/>
        </w:rPr>
      </w:pPr>
    </w:p>
    <w:p>
      <w:pPr>
        <w:pStyle w:val="2"/>
        <w:rPr>
          <w:rFonts w:ascii="宋体" w:hAnsi="宋体" w:cs="宋体"/>
          <w:color w:val="auto"/>
          <w:highlight w:val="none"/>
        </w:rPr>
      </w:pPr>
    </w:p>
    <w:p>
      <w:pPr>
        <w:rPr>
          <w:rFonts w:ascii="宋体" w:hAnsi="宋体" w:cs="宋体"/>
          <w:color w:val="auto"/>
          <w:kern w:val="0"/>
          <w:sz w:val="24"/>
          <w:highlight w:val="none"/>
        </w:rPr>
      </w:pPr>
    </w:p>
    <w:p>
      <w:pPr>
        <w:pStyle w:val="2"/>
        <w:rPr>
          <w:color w:val="auto"/>
          <w:highlight w:val="none"/>
        </w:rPr>
      </w:pPr>
    </w:p>
    <w:p>
      <w:pPr>
        <w:rPr>
          <w:color w:val="auto"/>
          <w:highlight w:val="none"/>
        </w:rPr>
      </w:pPr>
    </w:p>
    <w:p>
      <w:pPr>
        <w:spacing w:line="480" w:lineRule="auto"/>
        <w:ind w:right="210" w:firstLine="6090" w:firstLineChars="2900"/>
        <w:rPr>
          <w:rFonts w:ascii="宋体" w:hAnsi="宋体" w:cs="宋体"/>
          <w:color w:val="auto"/>
          <w:kern w:val="0"/>
          <w:szCs w:val="21"/>
          <w:highlight w:val="none"/>
        </w:rPr>
      </w:pPr>
      <w:r>
        <w:rPr>
          <w:rFonts w:hint="eastAsia" w:ascii="宋体" w:hAnsi="宋体" w:cs="宋体"/>
          <w:color w:val="auto"/>
          <w:kern w:val="0"/>
          <w:szCs w:val="21"/>
          <w:highlight w:val="none"/>
        </w:rPr>
        <w:t>供应商名称：（公章）</w:t>
      </w:r>
    </w:p>
    <w:p>
      <w:pPr>
        <w:spacing w:line="440" w:lineRule="exact"/>
        <w:ind w:firstLine="6720" w:firstLineChars="3200"/>
        <w:rPr>
          <w:rFonts w:ascii="宋体" w:hAnsi="宋体" w:cs="宋体"/>
          <w:color w:val="auto"/>
          <w:kern w:val="0"/>
          <w:szCs w:val="21"/>
          <w:highlight w:val="none"/>
        </w:rPr>
      </w:pPr>
      <w:r>
        <w:rPr>
          <w:rFonts w:hint="eastAsia" w:ascii="宋体" w:hAnsi="宋体" w:cs="宋体"/>
          <w:color w:val="auto"/>
          <w:kern w:val="0"/>
          <w:szCs w:val="21"/>
          <w:highlight w:val="none"/>
        </w:rPr>
        <w:t>年  月  日</w:t>
      </w:r>
    </w:p>
    <w:p>
      <w:pPr>
        <w:spacing w:line="360" w:lineRule="auto"/>
        <w:jc w:val="left"/>
        <w:rPr>
          <w:rFonts w:ascii="仿宋_GB2312" w:eastAsia="仿宋_GB2312"/>
          <w:color w:val="auto"/>
          <w:szCs w:val="21"/>
          <w:highlight w:val="none"/>
        </w:rPr>
      </w:pPr>
    </w:p>
    <w:p>
      <w:pPr>
        <w:spacing w:line="360" w:lineRule="auto"/>
        <w:ind w:firstLine="3675" w:firstLineChars="1750"/>
        <w:jc w:val="left"/>
        <w:rPr>
          <w:rFonts w:ascii="仿宋_GB2312" w:eastAsia="仿宋_GB2312"/>
          <w:color w:val="auto"/>
          <w:szCs w:val="21"/>
          <w:highlight w:val="none"/>
        </w:rPr>
      </w:pPr>
    </w:p>
    <w:p>
      <w:pPr>
        <w:rPr>
          <w:rFonts w:ascii="宋体" w:hAnsi="宋体"/>
          <w:b/>
          <w:color w:val="auto"/>
          <w:sz w:val="24"/>
          <w:highlight w:val="none"/>
        </w:rPr>
      </w:pPr>
      <w:bookmarkStart w:id="99" w:name="OLE_LINK13"/>
      <w:bookmarkStart w:id="100" w:name="OLE_LINK14"/>
      <w:r>
        <w:rPr>
          <w:rFonts w:hint="eastAsia" w:ascii="宋体" w:hAnsi="宋体"/>
          <w:b/>
          <w:color w:val="auto"/>
          <w:sz w:val="24"/>
          <w:highlight w:val="none"/>
        </w:rPr>
        <w:t>注：从业人员、营业收入、资产总额填报上一年度数据，无上一年度数据的新成立企业可不填报。</w:t>
      </w:r>
    </w:p>
    <w:p>
      <w:pPr>
        <w:ind w:firstLine="482" w:firstLineChars="200"/>
        <w:rPr>
          <w:rFonts w:ascii="宋体" w:hAnsi="宋体"/>
          <w:b/>
          <w:color w:val="auto"/>
          <w:sz w:val="30"/>
          <w:szCs w:val="30"/>
          <w:highlight w:val="none"/>
        </w:rPr>
      </w:pPr>
      <w:r>
        <w:rPr>
          <w:rFonts w:hint="eastAsia" w:ascii="宋体" w:hAnsi="宋体"/>
          <w:b/>
          <w:color w:val="auto"/>
          <w:sz w:val="24"/>
          <w:highlight w:val="none"/>
        </w:rPr>
        <w:t>非中小企业，无须附此表，否则由此产生的一切不利后果由供应商自行承担。</w:t>
      </w:r>
      <w:r>
        <w:rPr>
          <w:rFonts w:hint="eastAsia" w:ascii="宋体" w:hAnsi="宋体"/>
          <w:b/>
          <w:color w:val="auto"/>
          <w:sz w:val="30"/>
          <w:szCs w:val="30"/>
          <w:highlight w:val="none"/>
        </w:rPr>
        <w:br w:type="page"/>
      </w:r>
    </w:p>
    <w:p>
      <w:pPr>
        <w:spacing w:line="588" w:lineRule="exact"/>
        <w:rPr>
          <w:rFonts w:ascii="宋体" w:hAnsi="宋体"/>
          <w:b/>
          <w:color w:val="auto"/>
          <w:szCs w:val="21"/>
          <w:highlight w:val="none"/>
        </w:rPr>
      </w:pPr>
      <w:r>
        <w:rPr>
          <w:rFonts w:hint="eastAsia" w:ascii="宋体" w:hAnsi="宋体"/>
          <w:b/>
          <w:color w:val="auto"/>
          <w:szCs w:val="21"/>
          <w:highlight w:val="none"/>
        </w:rPr>
        <w:t>附件</w:t>
      </w:r>
      <w:r>
        <w:rPr>
          <w:rFonts w:hint="eastAsia" w:ascii="宋体" w:hAnsi="宋体"/>
          <w:b/>
          <w:color w:val="auto"/>
          <w:szCs w:val="21"/>
          <w:highlight w:val="none"/>
          <w:lang w:val="en-US" w:eastAsia="zh-CN"/>
        </w:rPr>
        <w:t>5</w:t>
      </w:r>
      <w:r>
        <w:rPr>
          <w:rFonts w:hint="eastAsia" w:ascii="宋体" w:hAnsi="宋体"/>
          <w:b/>
          <w:color w:val="auto"/>
          <w:szCs w:val="21"/>
          <w:highlight w:val="none"/>
        </w:rPr>
        <w:t>：</w:t>
      </w:r>
    </w:p>
    <w:p>
      <w:pPr>
        <w:spacing w:line="588" w:lineRule="exact"/>
        <w:rPr>
          <w:rFonts w:ascii="宋体" w:hAnsi="宋体"/>
          <w:b/>
          <w:color w:val="auto"/>
          <w:szCs w:val="21"/>
          <w:highlight w:val="none"/>
        </w:rPr>
      </w:pPr>
    </w:p>
    <w:p>
      <w:pPr>
        <w:spacing w:line="360" w:lineRule="auto"/>
        <w:jc w:val="center"/>
        <w:rPr>
          <w:rFonts w:ascii="宋体" w:hAnsi="宋体"/>
          <w:b/>
          <w:color w:val="auto"/>
          <w:sz w:val="22"/>
          <w:szCs w:val="22"/>
          <w:highlight w:val="none"/>
        </w:rPr>
      </w:pPr>
      <w:r>
        <w:rPr>
          <w:rFonts w:hint="eastAsia" w:ascii="宋体" w:hAnsi="宋体"/>
          <w:b/>
          <w:color w:val="auto"/>
          <w:sz w:val="22"/>
          <w:szCs w:val="22"/>
          <w:highlight w:val="none"/>
        </w:rPr>
        <w:t>残疾人福利性单位声明函</w:t>
      </w:r>
    </w:p>
    <w:bookmarkEnd w:id="99"/>
    <w:bookmarkEnd w:id="100"/>
    <w:p>
      <w:pPr>
        <w:spacing w:line="588" w:lineRule="exact"/>
        <w:rPr>
          <w:rFonts w:ascii="仿宋_GB2312" w:eastAsia="仿宋_GB2312"/>
          <w:b/>
          <w:color w:val="auto"/>
          <w:spacing w:val="6"/>
          <w:szCs w:val="21"/>
          <w:highlight w:val="none"/>
        </w:rPr>
      </w:pPr>
    </w:p>
    <w:p>
      <w:pPr>
        <w:spacing w:line="360" w:lineRule="auto"/>
        <w:ind w:firstLine="436" w:firstLineChars="200"/>
        <w:jc w:val="left"/>
        <w:rPr>
          <w:rFonts w:ascii="宋体" w:hAnsi="宋体"/>
          <w:color w:val="auto"/>
          <w:spacing w:val="4"/>
          <w:szCs w:val="21"/>
          <w:highlight w:val="none"/>
        </w:rPr>
      </w:pPr>
      <w:r>
        <w:rPr>
          <w:rFonts w:hint="eastAsia" w:ascii="宋体" w:hAnsi="宋体"/>
          <w:color w:val="auto"/>
          <w:spacing w:val="4"/>
          <w:szCs w:val="21"/>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olor w:val="auto"/>
          <w:spacing w:val="4"/>
          <w:szCs w:val="21"/>
          <w:highlight w:val="none"/>
          <w:u w:val="single"/>
        </w:rPr>
        <w:t xml:space="preserve">                        </w:t>
      </w:r>
      <w:r>
        <w:rPr>
          <w:rFonts w:hint="eastAsia" w:ascii="宋体" w:hAnsi="宋体"/>
          <w:color w:val="auto"/>
          <w:spacing w:val="4"/>
          <w:szCs w:val="21"/>
          <w:highlight w:val="none"/>
        </w:rPr>
        <w:t>单位的</w:t>
      </w:r>
      <w:r>
        <w:rPr>
          <w:rFonts w:hint="eastAsia" w:ascii="宋体" w:hAnsi="宋体"/>
          <w:color w:val="auto"/>
          <w:spacing w:val="4"/>
          <w:szCs w:val="21"/>
          <w:highlight w:val="none"/>
          <w:u w:val="single"/>
        </w:rPr>
        <w:t xml:space="preserve">                   </w:t>
      </w:r>
      <w:r>
        <w:rPr>
          <w:rFonts w:hint="eastAsia" w:ascii="宋体" w:hAnsi="宋体"/>
          <w:color w:val="auto"/>
          <w:spacing w:val="4"/>
          <w:szCs w:val="21"/>
          <w:highlight w:val="none"/>
        </w:rPr>
        <w:t>项目采购活动提供服务。</w:t>
      </w:r>
    </w:p>
    <w:p>
      <w:pPr>
        <w:spacing w:line="360" w:lineRule="auto"/>
        <w:ind w:firstLine="436" w:firstLineChars="200"/>
        <w:jc w:val="left"/>
        <w:rPr>
          <w:rFonts w:ascii="宋体" w:hAnsi="宋体"/>
          <w:color w:val="auto"/>
          <w:spacing w:val="4"/>
          <w:szCs w:val="21"/>
          <w:highlight w:val="none"/>
        </w:rPr>
      </w:pPr>
      <w:r>
        <w:rPr>
          <w:rFonts w:hint="eastAsia" w:ascii="宋体" w:hAnsi="宋体"/>
          <w:color w:val="auto"/>
          <w:spacing w:val="4"/>
          <w:szCs w:val="21"/>
          <w:highlight w:val="none"/>
        </w:rPr>
        <w:t>本单位对上述声明的真实性负责。如有虚假，将依法承担相应责任。</w:t>
      </w:r>
    </w:p>
    <w:p>
      <w:pPr>
        <w:spacing w:line="360" w:lineRule="auto"/>
        <w:ind w:firstLine="436" w:firstLineChars="200"/>
        <w:jc w:val="left"/>
        <w:rPr>
          <w:rFonts w:ascii="宋体" w:hAnsi="宋体"/>
          <w:color w:val="auto"/>
          <w:spacing w:val="4"/>
          <w:szCs w:val="21"/>
          <w:highlight w:val="none"/>
        </w:rPr>
      </w:pPr>
    </w:p>
    <w:p>
      <w:pPr>
        <w:pStyle w:val="2"/>
        <w:rPr>
          <w:rFonts w:ascii="宋体" w:hAnsi="宋体"/>
          <w:color w:val="auto"/>
          <w:spacing w:val="4"/>
          <w:szCs w:val="21"/>
          <w:highlight w:val="none"/>
        </w:rPr>
      </w:pPr>
    </w:p>
    <w:p>
      <w:pPr>
        <w:rPr>
          <w:rFonts w:ascii="宋体" w:hAnsi="宋体"/>
          <w:color w:val="auto"/>
          <w:spacing w:val="4"/>
          <w:szCs w:val="21"/>
          <w:highlight w:val="none"/>
        </w:rPr>
      </w:pPr>
    </w:p>
    <w:p>
      <w:pPr>
        <w:pStyle w:val="2"/>
        <w:rPr>
          <w:rFonts w:ascii="宋体" w:hAnsi="宋体"/>
          <w:color w:val="auto"/>
          <w:spacing w:val="4"/>
          <w:szCs w:val="21"/>
          <w:highlight w:val="none"/>
        </w:rPr>
      </w:pPr>
    </w:p>
    <w:p>
      <w:pPr>
        <w:rPr>
          <w:rFonts w:ascii="宋体" w:hAnsi="宋体"/>
          <w:color w:val="auto"/>
          <w:spacing w:val="4"/>
          <w:szCs w:val="21"/>
          <w:highlight w:val="none"/>
        </w:rPr>
      </w:pPr>
    </w:p>
    <w:p>
      <w:pPr>
        <w:pStyle w:val="2"/>
        <w:rPr>
          <w:rFonts w:ascii="宋体" w:hAnsi="宋体"/>
          <w:color w:val="auto"/>
          <w:spacing w:val="4"/>
          <w:szCs w:val="21"/>
          <w:highlight w:val="none"/>
        </w:rPr>
      </w:pPr>
    </w:p>
    <w:p>
      <w:pPr>
        <w:rPr>
          <w:rFonts w:ascii="宋体" w:hAnsi="宋体"/>
          <w:color w:val="auto"/>
          <w:spacing w:val="4"/>
          <w:szCs w:val="21"/>
          <w:highlight w:val="none"/>
        </w:rPr>
      </w:pPr>
    </w:p>
    <w:p>
      <w:pPr>
        <w:pStyle w:val="2"/>
        <w:rPr>
          <w:rFonts w:ascii="宋体" w:hAnsi="宋体"/>
          <w:color w:val="auto"/>
          <w:spacing w:val="4"/>
          <w:szCs w:val="21"/>
          <w:highlight w:val="none"/>
        </w:rPr>
      </w:pPr>
    </w:p>
    <w:p>
      <w:pPr>
        <w:rPr>
          <w:rFonts w:ascii="宋体" w:hAnsi="宋体"/>
          <w:color w:val="auto"/>
          <w:spacing w:val="4"/>
          <w:szCs w:val="21"/>
          <w:highlight w:val="none"/>
        </w:rPr>
      </w:pPr>
    </w:p>
    <w:p>
      <w:pPr>
        <w:pStyle w:val="2"/>
        <w:rPr>
          <w:color w:val="auto"/>
          <w:highlight w:val="none"/>
        </w:rPr>
      </w:pPr>
    </w:p>
    <w:p>
      <w:pPr>
        <w:spacing w:line="440" w:lineRule="exact"/>
        <w:ind w:firstLine="360" w:firstLineChars="150"/>
        <w:rPr>
          <w:rFonts w:ascii="宋体" w:hAnsi="宋体" w:cs="宋体"/>
          <w:color w:val="auto"/>
          <w:kern w:val="0"/>
          <w:sz w:val="24"/>
          <w:highlight w:val="none"/>
        </w:rPr>
      </w:pPr>
    </w:p>
    <w:p>
      <w:pPr>
        <w:spacing w:line="480" w:lineRule="auto"/>
        <w:ind w:right="210"/>
        <w:jc w:val="center"/>
        <w:rPr>
          <w:rFonts w:ascii="宋体" w:hAnsi="宋体" w:cs="宋体"/>
          <w:color w:val="auto"/>
          <w:kern w:val="0"/>
          <w:szCs w:val="21"/>
          <w:highlight w:val="none"/>
        </w:rPr>
      </w:pPr>
      <w:r>
        <w:rPr>
          <w:rFonts w:hint="eastAsia" w:ascii="宋体" w:hAnsi="宋体" w:cs="宋体"/>
          <w:color w:val="auto"/>
          <w:kern w:val="0"/>
          <w:szCs w:val="21"/>
          <w:highlight w:val="none"/>
        </w:rPr>
        <w:t>供应商名称：（公章）</w:t>
      </w:r>
    </w:p>
    <w:p>
      <w:pPr>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年  月  日</w:t>
      </w:r>
    </w:p>
    <w:p>
      <w:pPr>
        <w:rPr>
          <w:color w:val="auto"/>
          <w:szCs w:val="21"/>
          <w:highlight w:val="none"/>
        </w:rPr>
      </w:pPr>
    </w:p>
    <w:p>
      <w:pPr>
        <w:spacing w:line="360" w:lineRule="auto"/>
        <w:jc w:val="left"/>
        <w:rPr>
          <w:rFonts w:ascii="宋体" w:hAnsi="宋体"/>
          <w:color w:val="auto"/>
          <w:szCs w:val="21"/>
          <w:highlight w:val="none"/>
        </w:rPr>
      </w:pPr>
    </w:p>
    <w:p>
      <w:pPr>
        <w:rPr>
          <w:rFonts w:ascii="宋体" w:hAnsi="宋体"/>
          <w:b/>
          <w:color w:val="auto"/>
          <w:szCs w:val="21"/>
          <w:highlight w:val="none"/>
        </w:rPr>
      </w:pPr>
    </w:p>
    <w:p>
      <w:pPr>
        <w:rPr>
          <w:rFonts w:ascii="宋体" w:hAnsi="宋体"/>
          <w:b/>
          <w:color w:val="auto"/>
          <w:szCs w:val="21"/>
          <w:highlight w:val="none"/>
        </w:rPr>
      </w:pPr>
    </w:p>
    <w:p>
      <w:pPr>
        <w:rPr>
          <w:rFonts w:ascii="宋体" w:hAnsi="宋体" w:cs="宋体"/>
          <w:color w:val="auto"/>
          <w:kern w:val="0"/>
          <w:sz w:val="24"/>
          <w:highlight w:val="none"/>
        </w:rPr>
      </w:pPr>
      <w:r>
        <w:rPr>
          <w:rFonts w:hint="eastAsia" w:ascii="宋体" w:hAnsi="宋体"/>
          <w:b/>
          <w:color w:val="auto"/>
          <w:sz w:val="24"/>
          <w:highlight w:val="none"/>
        </w:rPr>
        <w:t>注：非残疾人福利性单位，无须附此表，否则由此产生的一切不利后果由供应商自行承担。</w:t>
      </w:r>
      <w:r>
        <w:rPr>
          <w:rFonts w:ascii="宋体" w:hAnsi="宋体"/>
          <w:b/>
          <w:color w:val="auto"/>
          <w:szCs w:val="21"/>
          <w:highlight w:val="none"/>
        </w:rPr>
        <w:br w:type="page"/>
      </w:r>
    </w:p>
    <w:p>
      <w:pPr>
        <w:spacing w:line="440" w:lineRule="exact"/>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四、磋商报价函</w:t>
      </w:r>
    </w:p>
    <w:p>
      <w:pPr>
        <w:spacing w:line="440" w:lineRule="exact"/>
        <w:jc w:val="center"/>
        <w:rPr>
          <w:rFonts w:ascii="宋体" w:hAnsi="宋体" w:cs="宋体"/>
          <w:color w:val="auto"/>
          <w:kern w:val="0"/>
          <w:sz w:val="28"/>
          <w:szCs w:val="28"/>
          <w:highlight w:val="none"/>
        </w:rPr>
      </w:pPr>
    </w:p>
    <w:p>
      <w:pPr>
        <w:spacing w:line="480" w:lineRule="exact"/>
        <w:rPr>
          <w:rFonts w:ascii="宋体" w:hAnsi="宋体" w:cs="宋体"/>
          <w:color w:val="auto"/>
          <w:kern w:val="0"/>
          <w:szCs w:val="21"/>
          <w:highlight w:val="none"/>
        </w:rPr>
      </w:pPr>
      <w:r>
        <w:rPr>
          <w:rFonts w:hint="eastAsia" w:ascii="宋体" w:hAnsi="宋体" w:cs="宋体"/>
          <w:color w:val="auto"/>
          <w:kern w:val="0"/>
          <w:szCs w:val="21"/>
          <w:highlight w:val="none"/>
        </w:rPr>
        <w:t>致：西安市长安区农村合作经济经营管理站</w:t>
      </w:r>
    </w:p>
    <w:p>
      <w:pPr>
        <w:spacing w:line="4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根据贵方为</w:t>
      </w:r>
      <w:r>
        <w:rPr>
          <w:rFonts w:hint="eastAsia" w:ascii="宋体" w:hAnsi="宋体" w:cs="宋体"/>
          <w:color w:val="auto"/>
          <w:kern w:val="0"/>
          <w:szCs w:val="21"/>
          <w:highlight w:val="none"/>
          <w:u w:val="single"/>
        </w:rPr>
        <w:t>（项目名称）(项目编号)</w:t>
      </w:r>
      <w:r>
        <w:rPr>
          <w:rFonts w:hint="eastAsia" w:ascii="宋体" w:hAnsi="宋体" w:cs="宋体"/>
          <w:color w:val="auto"/>
          <w:kern w:val="0"/>
          <w:szCs w:val="21"/>
          <w:highlight w:val="none"/>
        </w:rPr>
        <w:t>项目的竞争性磋商邀请，签字代表</w:t>
      </w:r>
      <w:r>
        <w:rPr>
          <w:rFonts w:hint="eastAsia" w:ascii="宋体" w:hAnsi="宋体" w:cs="宋体"/>
          <w:color w:val="auto"/>
          <w:kern w:val="0"/>
          <w:szCs w:val="21"/>
          <w:highlight w:val="none"/>
          <w:u w:val="single"/>
        </w:rPr>
        <w:t xml:space="preserve">  （姓名、职务）  </w:t>
      </w:r>
      <w:r>
        <w:rPr>
          <w:rFonts w:hint="eastAsia" w:ascii="宋体" w:hAnsi="宋体" w:cs="宋体"/>
          <w:color w:val="auto"/>
          <w:kern w:val="0"/>
          <w:szCs w:val="21"/>
          <w:highlight w:val="none"/>
        </w:rPr>
        <w:t>经正式授权并代表供应商</w:t>
      </w:r>
      <w:r>
        <w:rPr>
          <w:rFonts w:hint="eastAsia" w:ascii="宋体" w:hAnsi="宋体" w:cs="宋体"/>
          <w:color w:val="auto"/>
          <w:kern w:val="0"/>
          <w:szCs w:val="21"/>
          <w:highlight w:val="none"/>
          <w:u w:val="single"/>
        </w:rPr>
        <w:t xml:space="preserve"> (供应商名称、地址) </w:t>
      </w:r>
      <w:r>
        <w:rPr>
          <w:rFonts w:hint="eastAsia" w:ascii="宋体" w:hAnsi="宋体" w:cs="宋体"/>
          <w:color w:val="auto"/>
          <w:kern w:val="0"/>
          <w:szCs w:val="21"/>
          <w:highlight w:val="none"/>
        </w:rPr>
        <w:t>提交下述响应文件正本一份及副本份。</w:t>
      </w:r>
    </w:p>
    <w:p>
      <w:pPr>
        <w:spacing w:line="480" w:lineRule="exact"/>
        <w:ind w:left="545" w:leftChars="251" w:hanging="18" w:hangingChars="9"/>
        <w:rPr>
          <w:rFonts w:ascii="宋体" w:hAnsi="宋体" w:cs="宋体"/>
          <w:color w:val="auto"/>
          <w:kern w:val="0"/>
          <w:szCs w:val="21"/>
          <w:highlight w:val="none"/>
        </w:rPr>
      </w:pPr>
      <w:r>
        <w:rPr>
          <w:rFonts w:hint="eastAsia" w:ascii="宋体" w:hAnsi="宋体" w:cs="宋体"/>
          <w:color w:val="auto"/>
          <w:kern w:val="0"/>
          <w:szCs w:val="21"/>
          <w:highlight w:val="none"/>
        </w:rPr>
        <w:t>我方承诺如下：</w:t>
      </w:r>
    </w:p>
    <w:p>
      <w:pPr>
        <w:numPr>
          <w:ilvl w:val="0"/>
          <w:numId w:val="5"/>
        </w:numPr>
        <w:tabs>
          <w:tab w:val="left" w:pos="2160"/>
        </w:tabs>
        <w:spacing w:line="480" w:lineRule="exact"/>
        <w:ind w:left="360"/>
        <w:rPr>
          <w:rFonts w:ascii="宋体" w:hAnsi="宋体" w:cs="宋体"/>
          <w:color w:val="auto"/>
          <w:kern w:val="0"/>
          <w:szCs w:val="21"/>
          <w:highlight w:val="none"/>
        </w:rPr>
      </w:pPr>
      <w:r>
        <w:rPr>
          <w:rFonts w:hint="eastAsia" w:ascii="宋体" w:hAnsi="宋体" w:cs="宋体"/>
          <w:color w:val="auto"/>
          <w:kern w:val="0"/>
          <w:szCs w:val="21"/>
          <w:highlight w:val="none"/>
        </w:rPr>
        <w:t>磋商总报价详见《磋商报价表》。</w:t>
      </w:r>
    </w:p>
    <w:p>
      <w:pPr>
        <w:numPr>
          <w:ilvl w:val="0"/>
          <w:numId w:val="5"/>
        </w:numPr>
        <w:tabs>
          <w:tab w:val="left" w:pos="2160"/>
        </w:tabs>
        <w:spacing w:line="480" w:lineRule="exact"/>
        <w:ind w:firstLine="315" w:firstLineChars="150"/>
        <w:rPr>
          <w:rFonts w:ascii="宋体" w:hAnsi="宋体" w:cs="宋体"/>
          <w:color w:val="auto"/>
          <w:kern w:val="0"/>
          <w:szCs w:val="21"/>
          <w:highlight w:val="none"/>
        </w:rPr>
      </w:pPr>
      <w:r>
        <w:rPr>
          <w:rFonts w:hint="eastAsia" w:ascii="宋体" w:hAnsi="宋体" w:cs="宋体"/>
          <w:color w:val="auto"/>
          <w:kern w:val="0"/>
          <w:szCs w:val="21"/>
          <w:highlight w:val="none"/>
        </w:rPr>
        <w:t>如果成交，我们根据磋商文件的规定，履行合同的责任和义务。</w:t>
      </w:r>
    </w:p>
    <w:p>
      <w:pPr>
        <w:tabs>
          <w:tab w:val="left" w:pos="2160"/>
        </w:tabs>
        <w:spacing w:line="480" w:lineRule="exact"/>
        <w:ind w:firstLine="315" w:firstLineChars="150"/>
        <w:rPr>
          <w:rFonts w:ascii="宋体" w:hAnsi="宋体" w:cs="宋体"/>
          <w:color w:val="auto"/>
          <w:kern w:val="0"/>
          <w:szCs w:val="21"/>
          <w:highlight w:val="none"/>
        </w:rPr>
      </w:pPr>
      <w:r>
        <w:rPr>
          <w:rFonts w:hint="eastAsia" w:ascii="宋体" w:hAnsi="宋体" w:cs="宋体"/>
          <w:color w:val="auto"/>
          <w:kern w:val="0"/>
          <w:szCs w:val="21"/>
          <w:highlight w:val="none"/>
        </w:rPr>
        <w:t>（3）我们已详细阅读和审核全部磋商文件（含修改部分，如有的话），及有关附件，我们知道必须放弃提出含糊不清或误解的问题的权利。</w:t>
      </w:r>
    </w:p>
    <w:p>
      <w:pPr>
        <w:tabs>
          <w:tab w:val="left" w:pos="2160"/>
        </w:tabs>
        <w:spacing w:line="480" w:lineRule="exact"/>
        <w:ind w:firstLine="315" w:firstLineChars="150"/>
        <w:rPr>
          <w:rFonts w:ascii="宋体" w:hAnsi="宋体" w:cs="宋体"/>
          <w:color w:val="auto"/>
          <w:kern w:val="0"/>
          <w:szCs w:val="21"/>
          <w:highlight w:val="none"/>
        </w:rPr>
      </w:pPr>
      <w:r>
        <w:rPr>
          <w:rFonts w:hint="eastAsia" w:ascii="宋体" w:hAnsi="宋体" w:cs="宋体"/>
          <w:color w:val="auto"/>
          <w:kern w:val="0"/>
          <w:szCs w:val="21"/>
          <w:highlight w:val="none"/>
        </w:rPr>
        <w:t>（4）我们同意在磋商报价有效期内（自磋商之日起</w:t>
      </w:r>
      <w:r>
        <w:rPr>
          <w:rFonts w:hint="eastAsia" w:ascii="宋体" w:hAnsi="宋体" w:cs="宋体"/>
          <w:color w:val="auto"/>
          <w:kern w:val="0"/>
          <w:szCs w:val="21"/>
          <w:highlight w:val="none"/>
          <w:u w:val="single"/>
        </w:rPr>
        <w:t xml:space="preserve">  90  </w:t>
      </w:r>
      <w:r>
        <w:rPr>
          <w:rFonts w:hint="eastAsia" w:ascii="宋体" w:hAnsi="宋体" w:cs="宋体"/>
          <w:color w:val="auto"/>
          <w:kern w:val="0"/>
          <w:szCs w:val="21"/>
          <w:highlight w:val="none"/>
        </w:rPr>
        <w:t>天内），本磋商报价书对我方具有约束力。</w:t>
      </w:r>
    </w:p>
    <w:p>
      <w:pPr>
        <w:tabs>
          <w:tab w:val="left" w:pos="2160"/>
        </w:tabs>
        <w:spacing w:line="480" w:lineRule="exact"/>
        <w:ind w:firstLine="315" w:firstLineChars="150"/>
        <w:rPr>
          <w:rFonts w:ascii="宋体" w:hAnsi="宋体" w:cs="宋体"/>
          <w:color w:val="auto"/>
          <w:kern w:val="0"/>
          <w:szCs w:val="21"/>
          <w:highlight w:val="none"/>
        </w:rPr>
      </w:pPr>
      <w:r>
        <w:rPr>
          <w:rFonts w:hint="eastAsia" w:ascii="宋体" w:hAnsi="宋体" w:cs="宋体"/>
          <w:color w:val="auto"/>
          <w:kern w:val="0"/>
          <w:szCs w:val="21"/>
          <w:highlight w:val="none"/>
        </w:rPr>
        <w:t xml:space="preserve">（5）同意提供贵方可能另外要求的与本磋商报价有关的任何证据和资料。 </w:t>
      </w:r>
    </w:p>
    <w:p>
      <w:pPr>
        <w:tabs>
          <w:tab w:val="left" w:pos="2160"/>
        </w:tabs>
        <w:spacing w:line="480" w:lineRule="exact"/>
        <w:ind w:firstLine="315" w:firstLineChars="150"/>
        <w:rPr>
          <w:rFonts w:ascii="宋体" w:hAnsi="宋体" w:cs="宋体"/>
          <w:color w:val="auto"/>
          <w:kern w:val="0"/>
          <w:szCs w:val="21"/>
          <w:highlight w:val="none"/>
        </w:rPr>
      </w:pPr>
      <w:r>
        <w:rPr>
          <w:rFonts w:hint="eastAsia" w:ascii="宋体" w:hAnsi="宋体" w:cs="宋体"/>
          <w:color w:val="auto"/>
          <w:kern w:val="0"/>
          <w:szCs w:val="21"/>
          <w:highlight w:val="none"/>
        </w:rPr>
        <w:t>（6）我们同意，如果成交，向西北（陕西）国际招标有限公司交纳采购代理服务费。</w:t>
      </w:r>
    </w:p>
    <w:p>
      <w:pPr>
        <w:tabs>
          <w:tab w:val="left" w:pos="2160"/>
        </w:tabs>
        <w:spacing w:line="480" w:lineRule="exact"/>
        <w:ind w:firstLine="315" w:firstLineChars="150"/>
        <w:rPr>
          <w:rFonts w:ascii="宋体" w:hAnsi="宋体" w:cs="宋体"/>
          <w:color w:val="auto"/>
          <w:kern w:val="0"/>
          <w:szCs w:val="21"/>
          <w:highlight w:val="none"/>
        </w:rPr>
      </w:pPr>
      <w:r>
        <w:rPr>
          <w:rFonts w:hint="eastAsia" w:ascii="宋体" w:hAnsi="宋体" w:cs="宋体"/>
          <w:color w:val="auto"/>
          <w:kern w:val="0"/>
          <w:szCs w:val="21"/>
          <w:highlight w:val="none"/>
        </w:rPr>
        <w:t>（7）与本磋商响应有关的一切正式信函请寄：</w:t>
      </w:r>
    </w:p>
    <w:p>
      <w:pPr>
        <w:spacing w:line="480" w:lineRule="exact"/>
        <w:ind w:firstLine="420" w:firstLineChars="200"/>
        <w:rPr>
          <w:rFonts w:ascii="宋体" w:hAnsi="宋体" w:cs="宋体"/>
          <w:color w:val="auto"/>
          <w:kern w:val="0"/>
          <w:szCs w:val="21"/>
          <w:highlight w:val="none"/>
        </w:rPr>
      </w:pPr>
    </w:p>
    <w:p>
      <w:pPr>
        <w:spacing w:line="4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地  址：                        邮政编码：</w:t>
      </w:r>
    </w:p>
    <w:p>
      <w:pPr>
        <w:spacing w:line="4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电话/传真：                     电子邮件：</w:t>
      </w:r>
    </w:p>
    <w:p>
      <w:pPr>
        <w:spacing w:line="440" w:lineRule="exact"/>
        <w:rPr>
          <w:rFonts w:ascii="宋体" w:hAnsi="宋体" w:cs="宋体"/>
          <w:color w:val="auto"/>
          <w:kern w:val="0"/>
          <w:szCs w:val="21"/>
          <w:highlight w:val="none"/>
        </w:rPr>
      </w:pPr>
    </w:p>
    <w:p>
      <w:pPr>
        <w:pStyle w:val="2"/>
        <w:rPr>
          <w:rFonts w:ascii="宋体" w:hAnsi="宋体" w:cs="宋体"/>
          <w:color w:val="auto"/>
          <w:szCs w:val="21"/>
          <w:highlight w:val="none"/>
        </w:rPr>
      </w:pPr>
    </w:p>
    <w:p>
      <w:pPr>
        <w:rPr>
          <w:rFonts w:ascii="宋体" w:hAnsi="宋体" w:cs="宋体"/>
          <w:color w:val="auto"/>
          <w:kern w:val="0"/>
          <w:szCs w:val="21"/>
          <w:highlight w:val="none"/>
        </w:rPr>
      </w:pPr>
    </w:p>
    <w:p>
      <w:pPr>
        <w:pStyle w:val="2"/>
        <w:rPr>
          <w:color w:val="auto"/>
          <w:highlight w:val="none"/>
        </w:rPr>
      </w:pPr>
    </w:p>
    <w:p>
      <w:pPr>
        <w:spacing w:before="240" w:beforeLines="100" w:after="120" w:afterLines="50" w:line="360" w:lineRule="auto"/>
        <w:ind w:firstLine="3255" w:firstLineChars="1550"/>
        <w:jc w:val="left"/>
        <w:rPr>
          <w:rFonts w:ascii="宋体" w:hAnsi="宋体" w:cs="宋体"/>
          <w:color w:val="auto"/>
          <w:kern w:val="0"/>
          <w:szCs w:val="21"/>
          <w:highlight w:val="none"/>
        </w:rPr>
      </w:pPr>
      <w:r>
        <w:rPr>
          <w:rFonts w:hint="eastAsia" w:ascii="宋体" w:hAnsi="宋体" w:cs="宋体"/>
          <w:color w:val="auto"/>
          <w:kern w:val="0"/>
          <w:szCs w:val="21"/>
          <w:highlight w:val="none"/>
        </w:rPr>
        <w:t>供应商名称（盖章）：</w:t>
      </w:r>
    </w:p>
    <w:p>
      <w:pPr>
        <w:spacing w:before="240" w:beforeLines="100" w:after="120" w:afterLines="50" w:line="360" w:lineRule="auto"/>
        <w:ind w:firstLine="3255" w:firstLineChars="1550"/>
        <w:jc w:val="left"/>
        <w:rPr>
          <w:rFonts w:ascii="宋体" w:hAnsi="宋体" w:cs="宋体"/>
          <w:color w:val="auto"/>
          <w:kern w:val="0"/>
          <w:szCs w:val="21"/>
          <w:highlight w:val="none"/>
        </w:rPr>
      </w:pPr>
      <w:r>
        <w:rPr>
          <w:rFonts w:hint="eastAsia" w:ascii="宋体" w:hAnsi="宋体" w:cs="宋体"/>
          <w:color w:val="auto"/>
          <w:kern w:val="0"/>
          <w:szCs w:val="21"/>
          <w:highlight w:val="none"/>
        </w:rPr>
        <w:t>法定代表人或被授权人（签字或盖章）：</w:t>
      </w:r>
    </w:p>
    <w:p>
      <w:pPr>
        <w:spacing w:line="480" w:lineRule="auto"/>
        <w:jc w:val="center"/>
        <w:rPr>
          <w:rFonts w:ascii="宋体" w:hAnsi="宋体" w:cs="宋体"/>
          <w:b/>
          <w:bCs/>
          <w:color w:val="auto"/>
          <w:kern w:val="0"/>
          <w:sz w:val="28"/>
          <w:szCs w:val="28"/>
          <w:highlight w:val="none"/>
        </w:rPr>
      </w:pPr>
      <w:r>
        <w:rPr>
          <w:rFonts w:hint="eastAsia" w:ascii="宋体" w:hAnsi="宋体" w:cs="宋体"/>
          <w:color w:val="auto"/>
          <w:kern w:val="0"/>
          <w:szCs w:val="21"/>
          <w:highlight w:val="none"/>
        </w:rPr>
        <w:t xml:space="preserve">   年  月  日</w:t>
      </w:r>
      <w:r>
        <w:rPr>
          <w:rFonts w:hint="eastAsia" w:ascii="宋体" w:hAnsi="宋体" w:cs="宋体"/>
          <w:color w:val="auto"/>
          <w:kern w:val="0"/>
          <w:sz w:val="24"/>
          <w:highlight w:val="none"/>
        </w:rPr>
        <w:br w:type="page"/>
      </w:r>
      <w:r>
        <w:rPr>
          <w:rFonts w:hint="eastAsia" w:ascii="宋体" w:hAnsi="宋体" w:cs="宋体"/>
          <w:b/>
          <w:bCs/>
          <w:color w:val="auto"/>
          <w:kern w:val="0"/>
          <w:sz w:val="28"/>
          <w:szCs w:val="28"/>
          <w:highlight w:val="none"/>
        </w:rPr>
        <w:t>五、（1）磋商报价表</w:t>
      </w:r>
    </w:p>
    <w:p>
      <w:pPr>
        <w:ind w:firstLine="207" w:firstLineChars="99"/>
        <w:rPr>
          <w:rFonts w:ascii="宋体" w:hAnsi="宋体" w:cs="宋体"/>
          <w:color w:val="auto"/>
          <w:kern w:val="0"/>
          <w:szCs w:val="21"/>
          <w:highlight w:val="none"/>
        </w:rPr>
      </w:pPr>
      <w:r>
        <w:rPr>
          <w:rFonts w:hint="eastAsia" w:ascii="宋体" w:hAnsi="宋体" w:cs="宋体"/>
          <w:color w:val="auto"/>
          <w:kern w:val="0"/>
          <w:szCs w:val="21"/>
          <w:highlight w:val="none"/>
        </w:rPr>
        <w:t xml:space="preserve">供应商名称：                                    </w:t>
      </w:r>
    </w:p>
    <w:p>
      <w:pPr>
        <w:ind w:firstLine="207" w:firstLineChars="99"/>
        <w:rPr>
          <w:rFonts w:ascii="宋体" w:hAnsi="宋体" w:cs="宋体"/>
          <w:color w:val="auto"/>
          <w:kern w:val="0"/>
          <w:szCs w:val="21"/>
          <w:highlight w:val="none"/>
        </w:rPr>
      </w:pPr>
      <w:r>
        <w:rPr>
          <w:rFonts w:hint="eastAsia" w:ascii="宋体" w:hAnsi="宋体" w:cs="宋体"/>
          <w:color w:val="auto"/>
          <w:kern w:val="0"/>
          <w:szCs w:val="21"/>
          <w:highlight w:val="none"/>
        </w:rPr>
        <w:t>项目名称：</w:t>
      </w:r>
    </w:p>
    <w:tbl>
      <w:tblPr>
        <w:tblStyle w:val="43"/>
        <w:tblW w:w="8520" w:type="dxa"/>
        <w:jc w:val="center"/>
        <w:tblLayout w:type="fixed"/>
        <w:tblCellMar>
          <w:top w:w="0" w:type="dxa"/>
          <w:left w:w="108" w:type="dxa"/>
          <w:bottom w:w="0" w:type="dxa"/>
          <w:right w:w="108" w:type="dxa"/>
        </w:tblCellMar>
      </w:tblPr>
      <w:tblGrid>
        <w:gridCol w:w="2631"/>
        <w:gridCol w:w="5889"/>
      </w:tblGrid>
      <w:tr>
        <w:tblPrEx>
          <w:tblCellMar>
            <w:top w:w="0" w:type="dxa"/>
            <w:left w:w="108" w:type="dxa"/>
            <w:bottom w:w="0" w:type="dxa"/>
            <w:right w:w="108" w:type="dxa"/>
          </w:tblCellMar>
        </w:tblPrEx>
        <w:trPr>
          <w:trHeight w:val="2212" w:hRule="atLeast"/>
          <w:jc w:val="center"/>
        </w:trPr>
        <w:tc>
          <w:tcPr>
            <w:tcW w:w="2631" w:type="dxa"/>
            <w:tcBorders>
              <w:top w:val="single" w:color="auto" w:sz="6" w:space="0"/>
              <w:left w:val="single" w:color="auto" w:sz="6" w:space="0"/>
              <w:bottom w:val="nil"/>
              <w:right w:val="single" w:color="auto" w:sz="6" w:space="0"/>
            </w:tcBorders>
            <w:vAlign w:val="center"/>
          </w:tcPr>
          <w:p>
            <w:pPr>
              <w:tabs>
                <w:tab w:val="left" w:pos="0"/>
                <w:tab w:val="left" w:pos="720"/>
                <w:tab w:val="left" w:pos="1440"/>
                <w:tab w:val="left" w:pos="2160"/>
                <w:tab w:val="left" w:pos="2880"/>
                <w:tab w:val="left" w:pos="3600"/>
                <w:tab w:val="left" w:pos="4320"/>
              </w:tabs>
              <w:autoSpaceDE w:val="0"/>
              <w:autoSpaceDN w:val="0"/>
              <w:spacing w:line="360" w:lineRule="auto"/>
              <w:ind w:left="108"/>
              <w:jc w:val="center"/>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磋商总报价（元）</w:t>
            </w:r>
          </w:p>
        </w:tc>
        <w:tc>
          <w:tcPr>
            <w:tcW w:w="5889" w:type="dxa"/>
            <w:tcBorders>
              <w:top w:val="single" w:color="auto" w:sz="6" w:space="0"/>
              <w:left w:val="single" w:color="auto" w:sz="6" w:space="0"/>
              <w:bottom w:val="single" w:color="auto" w:sz="4" w:space="0"/>
              <w:right w:val="single" w:color="auto" w:sz="6" w:space="0"/>
            </w:tcBorders>
            <w:vAlign w:val="center"/>
          </w:tcPr>
          <w:p>
            <w:pPr>
              <w:tabs>
                <w:tab w:val="left" w:pos="0"/>
                <w:tab w:val="left" w:pos="720"/>
                <w:tab w:val="left" w:pos="1440"/>
                <w:tab w:val="left" w:pos="2160"/>
                <w:tab w:val="left" w:pos="2880"/>
                <w:tab w:val="left" w:pos="3600"/>
                <w:tab w:val="left" w:pos="4320"/>
              </w:tabs>
              <w:autoSpaceDE w:val="0"/>
              <w:autoSpaceDN w:val="0"/>
              <w:spacing w:before="120" w:beforeLines="50" w:line="360" w:lineRule="auto"/>
              <w:rPr>
                <w:rFonts w:ascii="宋体" w:hAnsi="宋体" w:cs="宋体"/>
                <w:color w:val="auto"/>
                <w:kern w:val="0"/>
                <w:szCs w:val="21"/>
                <w:highlight w:val="none"/>
                <w:u w:val="single"/>
                <w:lang w:val="zh-CN"/>
              </w:rPr>
            </w:pPr>
            <w:r>
              <w:rPr>
                <w:rFonts w:hint="eastAsia" w:ascii="宋体" w:hAnsi="宋体" w:cs="宋体"/>
                <w:color w:val="auto"/>
                <w:kern w:val="0"/>
                <w:szCs w:val="21"/>
                <w:highlight w:val="none"/>
                <w:lang w:val="zh-CN"/>
              </w:rPr>
              <w:t>小写：</w:t>
            </w:r>
          </w:p>
          <w:p>
            <w:pPr>
              <w:spacing w:before="120" w:beforeLines="50" w:line="360" w:lineRule="auto"/>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大写：</w:t>
            </w:r>
          </w:p>
          <w:p>
            <w:pPr>
              <w:spacing w:before="120" w:beforeLines="50" w:line="360" w:lineRule="auto"/>
              <w:rPr>
                <w:rFonts w:ascii="宋体" w:hAnsi="宋体" w:cs="宋体"/>
                <w:color w:val="auto"/>
                <w:kern w:val="0"/>
                <w:szCs w:val="21"/>
                <w:highlight w:val="none"/>
                <w:lang w:val="zh-CN"/>
              </w:rPr>
            </w:pPr>
            <w:r>
              <w:rPr>
                <w:rFonts w:hint="eastAsia" w:ascii="宋体" w:hAnsi="宋体" w:cs="宋体"/>
                <w:color w:val="auto"/>
                <w:kern w:val="0"/>
                <w:szCs w:val="21"/>
                <w:highlight w:val="none"/>
              </w:rPr>
              <w:t>注：小数点后保留两位。</w:t>
            </w:r>
          </w:p>
        </w:tc>
      </w:tr>
      <w:tr>
        <w:tblPrEx>
          <w:tblCellMar>
            <w:top w:w="0" w:type="dxa"/>
            <w:left w:w="108" w:type="dxa"/>
            <w:bottom w:w="0" w:type="dxa"/>
            <w:right w:w="108" w:type="dxa"/>
          </w:tblCellMar>
        </w:tblPrEx>
        <w:trPr>
          <w:trHeight w:val="960" w:hRule="atLeast"/>
          <w:jc w:val="center"/>
        </w:trPr>
        <w:tc>
          <w:tcPr>
            <w:tcW w:w="2631" w:type="dxa"/>
            <w:tcBorders>
              <w:top w:val="single" w:color="auto" w:sz="6" w:space="0"/>
              <w:left w:val="single" w:color="auto" w:sz="6" w:space="0"/>
              <w:bottom w:val="nil"/>
              <w:right w:val="single" w:color="auto" w:sz="6" w:space="0"/>
            </w:tcBorders>
            <w:vAlign w:val="center"/>
          </w:tcPr>
          <w:p>
            <w:pPr>
              <w:tabs>
                <w:tab w:val="left" w:pos="0"/>
                <w:tab w:val="left" w:pos="720"/>
                <w:tab w:val="left" w:pos="1440"/>
                <w:tab w:val="left" w:pos="2160"/>
                <w:tab w:val="left" w:pos="2880"/>
                <w:tab w:val="left" w:pos="3600"/>
                <w:tab w:val="left" w:pos="4320"/>
              </w:tabs>
              <w:autoSpaceDE w:val="0"/>
              <w:autoSpaceDN w:val="0"/>
              <w:spacing w:line="360" w:lineRule="auto"/>
              <w:ind w:left="108"/>
              <w:jc w:val="center"/>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计划工期</w:t>
            </w:r>
          </w:p>
        </w:tc>
        <w:tc>
          <w:tcPr>
            <w:tcW w:w="5889" w:type="dxa"/>
            <w:tcBorders>
              <w:top w:val="single" w:color="auto" w:sz="6" w:space="0"/>
              <w:left w:val="single" w:color="auto" w:sz="6" w:space="0"/>
              <w:bottom w:val="single" w:color="auto" w:sz="4" w:space="0"/>
              <w:right w:val="single" w:color="auto" w:sz="6" w:space="0"/>
            </w:tcBorders>
            <w:vAlign w:val="center"/>
          </w:tcPr>
          <w:p>
            <w:pPr>
              <w:tabs>
                <w:tab w:val="left" w:pos="0"/>
                <w:tab w:val="left" w:pos="720"/>
                <w:tab w:val="left" w:pos="1440"/>
                <w:tab w:val="left" w:pos="2160"/>
                <w:tab w:val="left" w:pos="2880"/>
                <w:tab w:val="left" w:pos="3600"/>
                <w:tab w:val="left" w:pos="4320"/>
              </w:tabs>
              <w:autoSpaceDE w:val="0"/>
              <w:autoSpaceDN w:val="0"/>
              <w:spacing w:line="360" w:lineRule="auto"/>
              <w:rPr>
                <w:rFonts w:ascii="宋体" w:hAnsi="宋体" w:cs="宋体"/>
                <w:color w:val="auto"/>
                <w:kern w:val="0"/>
                <w:szCs w:val="21"/>
                <w:highlight w:val="none"/>
                <w:lang w:val="zh-CN"/>
              </w:rPr>
            </w:pPr>
            <w:r>
              <w:rPr>
                <w:rFonts w:hint="eastAsia" w:ascii="宋体" w:hAnsi="宋体" w:cs="宋体"/>
                <w:color w:val="auto"/>
                <w:kern w:val="0"/>
                <w:szCs w:val="21"/>
                <w:highlight w:val="none"/>
                <w:lang w:val="en-US" w:eastAsia="zh-CN"/>
              </w:rPr>
              <w:t>60个日历天</w:t>
            </w:r>
            <w:r>
              <w:rPr>
                <w:rFonts w:hint="eastAsia" w:ascii="宋体" w:hAnsi="宋体" w:cs="宋体"/>
                <w:color w:val="auto"/>
                <w:kern w:val="0"/>
                <w:szCs w:val="21"/>
                <w:highlight w:val="none"/>
              </w:rPr>
              <w:t>（具体开工日期以采购人通知为准）</w:t>
            </w:r>
          </w:p>
        </w:tc>
      </w:tr>
      <w:tr>
        <w:tblPrEx>
          <w:tblCellMar>
            <w:top w:w="0" w:type="dxa"/>
            <w:left w:w="108" w:type="dxa"/>
            <w:bottom w:w="0" w:type="dxa"/>
            <w:right w:w="108" w:type="dxa"/>
          </w:tblCellMar>
        </w:tblPrEx>
        <w:trPr>
          <w:trHeight w:val="859" w:hRule="atLeast"/>
          <w:jc w:val="center"/>
        </w:trPr>
        <w:tc>
          <w:tcPr>
            <w:tcW w:w="2631" w:type="dxa"/>
            <w:tcBorders>
              <w:top w:val="single" w:color="auto" w:sz="6" w:space="0"/>
              <w:left w:val="single" w:color="auto" w:sz="6" w:space="0"/>
              <w:bottom w:val="nil"/>
              <w:right w:val="single" w:color="auto" w:sz="6" w:space="0"/>
            </w:tcBorders>
            <w:vAlign w:val="center"/>
          </w:tcPr>
          <w:p>
            <w:pPr>
              <w:tabs>
                <w:tab w:val="left" w:pos="0"/>
                <w:tab w:val="left" w:pos="720"/>
                <w:tab w:val="left" w:pos="1440"/>
                <w:tab w:val="left" w:pos="2160"/>
                <w:tab w:val="left" w:pos="2880"/>
                <w:tab w:val="left" w:pos="3600"/>
                <w:tab w:val="left" w:pos="4320"/>
              </w:tabs>
              <w:autoSpaceDE w:val="0"/>
              <w:autoSpaceDN w:val="0"/>
              <w:spacing w:line="360" w:lineRule="auto"/>
              <w:ind w:left="108"/>
              <w:jc w:val="center"/>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质量要求</w:t>
            </w:r>
          </w:p>
        </w:tc>
        <w:tc>
          <w:tcPr>
            <w:tcW w:w="5889" w:type="dxa"/>
            <w:tcBorders>
              <w:top w:val="single" w:color="auto" w:sz="6" w:space="0"/>
              <w:left w:val="single" w:color="auto" w:sz="6" w:space="0"/>
              <w:bottom w:val="single" w:color="auto" w:sz="4" w:space="0"/>
              <w:right w:val="single" w:color="auto" w:sz="6" w:space="0"/>
            </w:tcBorders>
            <w:vAlign w:val="center"/>
          </w:tcPr>
          <w:p>
            <w:pPr>
              <w:tabs>
                <w:tab w:val="left" w:pos="0"/>
                <w:tab w:val="left" w:pos="720"/>
                <w:tab w:val="left" w:pos="1440"/>
                <w:tab w:val="left" w:pos="2160"/>
                <w:tab w:val="left" w:pos="2880"/>
                <w:tab w:val="left" w:pos="3600"/>
                <w:tab w:val="left" w:pos="4320"/>
              </w:tabs>
              <w:autoSpaceDE w:val="0"/>
              <w:autoSpaceDN w:val="0"/>
              <w:spacing w:line="360" w:lineRule="auto"/>
              <w:rPr>
                <w:rFonts w:ascii="宋体" w:hAnsi="宋体" w:cs="宋体"/>
                <w:color w:val="auto"/>
                <w:kern w:val="0"/>
                <w:szCs w:val="21"/>
                <w:highlight w:val="none"/>
              </w:rPr>
            </w:pPr>
            <w:r>
              <w:rPr>
                <w:rFonts w:hint="eastAsia" w:asciiTheme="minorEastAsia" w:hAnsiTheme="minorEastAsia" w:eastAsiaTheme="minorEastAsia" w:cstheme="minorEastAsia"/>
                <w:color w:val="auto"/>
                <w:kern w:val="0"/>
                <w:highlight w:val="none"/>
              </w:rPr>
              <w:t>达到国家现行行业施工验收规范“合格”标准</w:t>
            </w:r>
          </w:p>
        </w:tc>
      </w:tr>
      <w:tr>
        <w:tblPrEx>
          <w:tblCellMar>
            <w:top w:w="0" w:type="dxa"/>
            <w:left w:w="108" w:type="dxa"/>
            <w:bottom w:w="0" w:type="dxa"/>
            <w:right w:w="108" w:type="dxa"/>
          </w:tblCellMar>
        </w:tblPrEx>
        <w:trPr>
          <w:trHeight w:val="789" w:hRule="atLeast"/>
          <w:jc w:val="center"/>
        </w:trPr>
        <w:tc>
          <w:tcPr>
            <w:tcW w:w="2631" w:type="dxa"/>
            <w:tcBorders>
              <w:top w:val="single" w:color="auto" w:sz="6" w:space="0"/>
              <w:left w:val="single" w:color="auto" w:sz="6" w:space="0"/>
              <w:bottom w:val="single" w:color="auto" w:sz="6" w:space="0"/>
              <w:right w:val="single" w:color="auto" w:sz="6" w:space="0"/>
            </w:tcBorders>
            <w:vAlign w:val="center"/>
          </w:tcPr>
          <w:p>
            <w:pPr>
              <w:tabs>
                <w:tab w:val="left" w:pos="0"/>
                <w:tab w:val="left" w:pos="720"/>
                <w:tab w:val="left" w:pos="1440"/>
                <w:tab w:val="left" w:pos="2160"/>
                <w:tab w:val="left" w:pos="2880"/>
                <w:tab w:val="left" w:pos="3600"/>
                <w:tab w:val="left" w:pos="4320"/>
              </w:tabs>
              <w:autoSpaceDE w:val="0"/>
              <w:autoSpaceDN w:val="0"/>
              <w:spacing w:line="360" w:lineRule="auto"/>
              <w:ind w:left="108"/>
              <w:jc w:val="center"/>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磋商文件规定的实质性要求和条件响应情况</w:t>
            </w:r>
          </w:p>
        </w:tc>
        <w:tc>
          <w:tcPr>
            <w:tcW w:w="5889" w:type="dxa"/>
            <w:tcBorders>
              <w:top w:val="single" w:color="auto" w:sz="6" w:space="0"/>
              <w:left w:val="single" w:color="auto" w:sz="6" w:space="0"/>
              <w:bottom w:val="single" w:color="auto" w:sz="6" w:space="0"/>
              <w:right w:val="single" w:color="auto" w:sz="6" w:space="0"/>
            </w:tcBorders>
          </w:tcPr>
          <w:p>
            <w:pPr>
              <w:tabs>
                <w:tab w:val="left" w:pos="0"/>
                <w:tab w:val="left" w:pos="720"/>
                <w:tab w:val="left" w:pos="1440"/>
                <w:tab w:val="left" w:pos="2160"/>
                <w:tab w:val="left" w:pos="2880"/>
                <w:tab w:val="left" w:pos="3600"/>
                <w:tab w:val="left" w:pos="4320"/>
              </w:tabs>
              <w:autoSpaceDE w:val="0"/>
              <w:autoSpaceDN w:val="0"/>
              <w:spacing w:line="360" w:lineRule="auto"/>
              <w:rPr>
                <w:rFonts w:ascii="宋体" w:hAnsi="宋体" w:cs="宋体"/>
                <w:b/>
                <w:color w:val="auto"/>
                <w:szCs w:val="21"/>
                <w:highlight w:val="none"/>
              </w:rPr>
            </w:pPr>
          </w:p>
          <w:p>
            <w:pPr>
              <w:tabs>
                <w:tab w:val="left" w:pos="0"/>
                <w:tab w:val="left" w:pos="720"/>
                <w:tab w:val="left" w:pos="1440"/>
                <w:tab w:val="left" w:pos="2160"/>
                <w:tab w:val="left" w:pos="2880"/>
                <w:tab w:val="left" w:pos="3600"/>
                <w:tab w:val="left" w:pos="4320"/>
              </w:tabs>
              <w:autoSpaceDE w:val="0"/>
              <w:autoSpaceDN w:val="0"/>
              <w:spacing w:line="360" w:lineRule="auto"/>
              <w:rPr>
                <w:rFonts w:ascii="宋体" w:hAnsi="宋体" w:cs="宋体"/>
                <w:color w:val="auto"/>
                <w:kern w:val="0"/>
                <w:szCs w:val="21"/>
                <w:highlight w:val="none"/>
                <w:lang w:val="zh-CN"/>
              </w:rPr>
            </w:pPr>
            <w:r>
              <w:rPr>
                <w:rFonts w:hint="eastAsia" w:ascii="宋体" w:hAnsi="宋体" w:cs="宋体"/>
                <w:b/>
                <w:color w:val="auto"/>
                <w:szCs w:val="21"/>
                <w:highlight w:val="none"/>
              </w:rPr>
              <w:t>备注：</w:t>
            </w:r>
            <w:r>
              <w:rPr>
                <w:rFonts w:hint="eastAsia" w:ascii="宋体" w:hAnsi="宋体" w:cs="宋体"/>
                <w:color w:val="auto"/>
                <w:szCs w:val="21"/>
                <w:highlight w:val="none"/>
              </w:rPr>
              <w:t>供应商应承诺是否响应磋商文件中规定的实质性要求和条件，并在此基础上，可做出其他有利于采购人的承诺。如供应商不承诺完全响应磋商文件中规定的实质性要求和条件，应对不响应部分的内容予以具体说明。如供应商不填写实质性要求和条件的响应情况，则视为供应商承诺完全响应磋商文件中规定的实质性要求和条件。</w:t>
            </w:r>
          </w:p>
        </w:tc>
      </w:tr>
    </w:tbl>
    <w:p>
      <w:pPr>
        <w:rPr>
          <w:rFonts w:ascii="宋体" w:hAnsi="宋体" w:cs="宋体"/>
          <w:color w:val="auto"/>
          <w:kern w:val="0"/>
          <w:szCs w:val="21"/>
          <w:highlight w:val="none"/>
        </w:rPr>
      </w:pPr>
    </w:p>
    <w:p>
      <w:pPr>
        <w:rPr>
          <w:rFonts w:ascii="宋体" w:hAnsi="宋体" w:cs="宋体"/>
          <w:color w:val="auto"/>
          <w:kern w:val="0"/>
          <w:szCs w:val="21"/>
          <w:highlight w:val="none"/>
        </w:rPr>
      </w:pPr>
    </w:p>
    <w:p>
      <w:pPr>
        <w:spacing w:before="240" w:beforeLines="100" w:after="120" w:afterLines="50" w:line="360" w:lineRule="auto"/>
        <w:ind w:firstLine="3255" w:firstLineChars="1550"/>
        <w:jc w:val="left"/>
        <w:rPr>
          <w:rFonts w:ascii="宋体" w:hAnsi="宋体" w:cs="宋体"/>
          <w:color w:val="auto"/>
          <w:kern w:val="0"/>
          <w:szCs w:val="21"/>
          <w:highlight w:val="none"/>
        </w:rPr>
      </w:pPr>
      <w:r>
        <w:rPr>
          <w:rFonts w:hint="eastAsia" w:ascii="宋体" w:hAnsi="宋体" w:cs="宋体"/>
          <w:color w:val="auto"/>
          <w:kern w:val="0"/>
          <w:szCs w:val="21"/>
          <w:highlight w:val="none"/>
        </w:rPr>
        <w:t>供应商名称（盖章）：</w:t>
      </w:r>
    </w:p>
    <w:p>
      <w:pPr>
        <w:spacing w:before="240" w:beforeLines="100" w:after="120" w:afterLines="50" w:line="360" w:lineRule="auto"/>
        <w:ind w:firstLine="3255" w:firstLineChars="1550"/>
        <w:jc w:val="left"/>
        <w:rPr>
          <w:rFonts w:ascii="宋体" w:hAnsi="宋体" w:cs="宋体"/>
          <w:color w:val="auto"/>
          <w:kern w:val="0"/>
          <w:szCs w:val="21"/>
          <w:highlight w:val="none"/>
        </w:rPr>
      </w:pPr>
      <w:r>
        <w:rPr>
          <w:rFonts w:hint="eastAsia" w:ascii="宋体" w:hAnsi="宋体" w:cs="宋体"/>
          <w:color w:val="auto"/>
          <w:kern w:val="0"/>
          <w:szCs w:val="21"/>
          <w:highlight w:val="none"/>
        </w:rPr>
        <w:t>法定代表人或被授权人（签字或盖章）：</w:t>
      </w:r>
    </w:p>
    <w:p>
      <w:pPr>
        <w:spacing w:before="240" w:beforeLines="100" w:after="120" w:afterLines="50" w:line="360" w:lineRule="auto"/>
        <w:ind w:firstLine="4095" w:firstLineChars="1950"/>
        <w:jc w:val="left"/>
        <w:rPr>
          <w:rFonts w:ascii="宋体" w:hAnsi="宋体" w:cs="宋体"/>
          <w:color w:val="auto"/>
          <w:kern w:val="0"/>
          <w:szCs w:val="21"/>
          <w:highlight w:val="none"/>
        </w:rPr>
      </w:pPr>
      <w:r>
        <w:rPr>
          <w:rFonts w:hint="eastAsia" w:ascii="宋体" w:hAnsi="宋体" w:cs="宋体"/>
          <w:color w:val="auto"/>
          <w:kern w:val="0"/>
          <w:szCs w:val="21"/>
          <w:highlight w:val="none"/>
        </w:rPr>
        <w:t>年  月  日</w:t>
      </w:r>
    </w:p>
    <w:p>
      <w:pPr>
        <w:rPr>
          <w:rFonts w:ascii="宋体" w:hAnsi="宋体" w:cs="宋体"/>
          <w:color w:val="auto"/>
          <w:kern w:val="0"/>
          <w:szCs w:val="21"/>
          <w:highlight w:val="none"/>
        </w:rPr>
      </w:pPr>
      <w:r>
        <w:rPr>
          <w:rFonts w:hint="eastAsia" w:ascii="宋体" w:hAnsi="宋体" w:cs="宋体"/>
          <w:color w:val="auto"/>
          <w:kern w:val="0"/>
          <w:sz w:val="24"/>
          <w:highlight w:val="none"/>
        </w:rPr>
        <w:br w:type="page"/>
      </w:r>
    </w:p>
    <w:p>
      <w:pPr>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（2）已标价工程量清单</w:t>
      </w:r>
    </w:p>
    <w:p>
      <w:pPr>
        <w:spacing w:line="360" w:lineRule="auto"/>
        <w:ind w:firstLine="422" w:firstLineChars="200"/>
        <w:rPr>
          <w:rFonts w:hint="eastAsia" w:ascii="宋体" w:hAnsi="宋体" w:cs="宋体"/>
          <w:b/>
          <w:color w:val="auto"/>
          <w:szCs w:val="21"/>
          <w:highlight w:val="none"/>
        </w:rPr>
      </w:pPr>
    </w:p>
    <w:p>
      <w:pPr>
        <w:spacing w:line="360" w:lineRule="auto"/>
        <w:ind w:firstLine="422" w:firstLineChars="200"/>
        <w:rPr>
          <w:rFonts w:ascii="宋体" w:hAnsi="宋体" w:cs="宋体"/>
          <w:color w:val="auto"/>
          <w:kern w:val="0"/>
          <w:szCs w:val="21"/>
          <w:highlight w:val="none"/>
        </w:rPr>
      </w:pPr>
      <w:r>
        <w:rPr>
          <w:rFonts w:hint="eastAsia" w:ascii="宋体" w:hAnsi="宋体" w:cs="宋体"/>
          <w:b/>
          <w:color w:val="auto"/>
          <w:szCs w:val="21"/>
          <w:highlight w:val="none"/>
        </w:rPr>
        <w:t>说明：</w:t>
      </w:r>
      <w:r>
        <w:rPr>
          <w:rFonts w:hint="eastAsia" w:ascii="宋体" w:hAnsi="宋体" w:cs="宋体"/>
          <w:color w:val="auto"/>
          <w:szCs w:val="21"/>
          <w:highlight w:val="none"/>
        </w:rPr>
        <w:t>已标价工程量清单按第五章“采购内容及技术规范”中的相关工程量清单表格式填写。构成合同文件的已标价工程量清单包括但不限于投标报价汇总表，单位工程造价汇总表，分部分项工程量清单计价表，措施项目清单计价表，规费、税金项目清单计价表，主要材料价格表（表格样式以</w:t>
      </w:r>
      <w:r>
        <w:rPr>
          <w:rFonts w:hint="eastAsia" w:ascii="宋体" w:hAnsi="宋体" w:cs="宋体"/>
          <w:color w:val="auto"/>
          <w:szCs w:val="21"/>
          <w:highlight w:val="none"/>
          <w:u w:val="single"/>
        </w:rPr>
        <w:t xml:space="preserve"> 广联达 </w:t>
      </w:r>
      <w:r>
        <w:rPr>
          <w:rFonts w:hint="eastAsia" w:ascii="宋体" w:hAnsi="宋体" w:cs="宋体"/>
          <w:color w:val="auto"/>
          <w:szCs w:val="21"/>
          <w:highlight w:val="none"/>
        </w:rPr>
        <w:t>软件生成格式为准）。</w:t>
      </w:r>
      <w:r>
        <w:rPr>
          <w:rFonts w:hint="eastAsia" w:ascii="宋体" w:hAnsi="宋体" w:cs="宋体"/>
          <w:color w:val="auto"/>
          <w:kern w:val="0"/>
          <w:sz w:val="24"/>
          <w:highlight w:val="none"/>
        </w:rPr>
        <w:br w:type="page"/>
      </w:r>
    </w:p>
    <w:p>
      <w:pPr>
        <w:spacing w:before="240" w:beforeLines="100" w:after="120" w:afterLines="50" w:line="360" w:lineRule="auto"/>
        <w:ind w:firstLine="3626" w:firstLineChars="129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六、技术方案</w:t>
      </w:r>
    </w:p>
    <w:p>
      <w:pPr>
        <w:spacing w:line="360" w:lineRule="auto"/>
        <w:ind w:firstLine="422" w:firstLineChars="200"/>
        <w:rPr>
          <w:rFonts w:ascii="宋体" w:hAnsi="宋体" w:cs="宋体"/>
          <w:b/>
          <w:color w:val="auto"/>
          <w:kern w:val="0"/>
          <w:szCs w:val="21"/>
          <w:highlight w:val="none"/>
        </w:rPr>
      </w:pPr>
      <w:bookmarkStart w:id="101" w:name="_Toc16838281"/>
      <w:r>
        <w:rPr>
          <w:rFonts w:hint="eastAsia" w:ascii="宋体" w:hAnsi="宋体" w:cs="宋体"/>
          <w:b/>
          <w:color w:val="auto"/>
          <w:kern w:val="0"/>
          <w:szCs w:val="21"/>
          <w:highlight w:val="none"/>
        </w:rPr>
        <w:t>包括但不限于以下内容：</w:t>
      </w:r>
    </w:p>
    <w:bookmarkEnd w:id="101"/>
    <w:p>
      <w:pPr>
        <w:pStyle w:val="162"/>
        <w:numPr>
          <w:ilvl w:val="0"/>
          <w:numId w:val="6"/>
        </w:numPr>
        <w:adjustRightInd w:val="0"/>
        <w:snapToGrid w:val="0"/>
        <w:spacing w:line="360" w:lineRule="auto"/>
        <w:ind w:left="1140" w:firstLineChars="0"/>
        <w:rPr>
          <w:rFonts w:ascii="宋体" w:hAnsi="宋体" w:cs="宋体"/>
          <w:color w:val="auto"/>
          <w:kern w:val="0"/>
          <w:szCs w:val="21"/>
          <w:highlight w:val="none"/>
        </w:rPr>
      </w:pPr>
      <w:bookmarkStart w:id="102" w:name="_Toc16838285"/>
      <w:r>
        <w:rPr>
          <w:rFonts w:hint="eastAsia" w:ascii="宋体" w:hAnsi="宋体" w:cs="宋体"/>
          <w:color w:val="auto"/>
          <w:kern w:val="0"/>
          <w:szCs w:val="21"/>
          <w:highlight w:val="none"/>
        </w:rPr>
        <w:t>确保工程质量的技术组织措施</w:t>
      </w:r>
    </w:p>
    <w:p>
      <w:pPr>
        <w:pStyle w:val="162"/>
        <w:numPr>
          <w:ilvl w:val="0"/>
          <w:numId w:val="6"/>
        </w:numPr>
        <w:adjustRightInd w:val="0"/>
        <w:snapToGrid w:val="0"/>
        <w:spacing w:line="360" w:lineRule="auto"/>
        <w:ind w:left="1140" w:firstLineChars="0"/>
        <w:rPr>
          <w:rFonts w:ascii="宋体" w:hAnsi="宋体" w:cs="宋体"/>
          <w:color w:val="auto"/>
          <w:kern w:val="0"/>
          <w:szCs w:val="21"/>
          <w:highlight w:val="none"/>
        </w:rPr>
      </w:pPr>
      <w:r>
        <w:rPr>
          <w:rFonts w:hint="eastAsia" w:ascii="宋体" w:hAnsi="宋体" w:cs="宋体"/>
          <w:color w:val="auto"/>
          <w:kern w:val="0"/>
          <w:szCs w:val="21"/>
          <w:highlight w:val="none"/>
        </w:rPr>
        <w:t>确保安全生产的技术组织措施</w:t>
      </w:r>
    </w:p>
    <w:p>
      <w:pPr>
        <w:pStyle w:val="162"/>
        <w:numPr>
          <w:ilvl w:val="0"/>
          <w:numId w:val="6"/>
        </w:numPr>
        <w:adjustRightInd w:val="0"/>
        <w:snapToGrid w:val="0"/>
        <w:spacing w:line="360" w:lineRule="auto"/>
        <w:ind w:left="1140" w:firstLineChars="0"/>
        <w:rPr>
          <w:rFonts w:ascii="宋体" w:hAnsi="宋体" w:cs="宋体"/>
          <w:color w:val="auto"/>
          <w:kern w:val="0"/>
          <w:szCs w:val="21"/>
          <w:highlight w:val="none"/>
        </w:rPr>
      </w:pPr>
      <w:r>
        <w:rPr>
          <w:rFonts w:hint="eastAsia" w:ascii="宋体" w:hAnsi="宋体" w:cs="宋体"/>
          <w:color w:val="auto"/>
          <w:kern w:val="0"/>
          <w:szCs w:val="21"/>
          <w:highlight w:val="none"/>
        </w:rPr>
        <w:t>确保文明施工的技术组织措施及环境保护措施</w:t>
      </w:r>
    </w:p>
    <w:p>
      <w:pPr>
        <w:pStyle w:val="162"/>
        <w:numPr>
          <w:ilvl w:val="0"/>
          <w:numId w:val="6"/>
        </w:numPr>
        <w:adjustRightInd w:val="0"/>
        <w:snapToGrid w:val="0"/>
        <w:spacing w:line="360" w:lineRule="auto"/>
        <w:ind w:left="1140" w:firstLineChars="0"/>
        <w:rPr>
          <w:rFonts w:ascii="宋体" w:hAnsi="宋体" w:cs="宋体"/>
          <w:color w:val="auto"/>
          <w:kern w:val="0"/>
          <w:szCs w:val="21"/>
          <w:highlight w:val="none"/>
        </w:rPr>
      </w:pPr>
      <w:r>
        <w:rPr>
          <w:rFonts w:hint="eastAsia" w:ascii="宋体" w:hAnsi="宋体" w:cs="宋体"/>
          <w:color w:val="auto"/>
          <w:kern w:val="0"/>
          <w:szCs w:val="21"/>
          <w:highlight w:val="none"/>
        </w:rPr>
        <w:t>确保工期的技术组织措施</w:t>
      </w:r>
    </w:p>
    <w:p>
      <w:pPr>
        <w:pStyle w:val="162"/>
        <w:numPr>
          <w:ilvl w:val="0"/>
          <w:numId w:val="6"/>
        </w:numPr>
        <w:adjustRightInd w:val="0"/>
        <w:snapToGrid w:val="0"/>
        <w:spacing w:line="360" w:lineRule="auto"/>
        <w:ind w:left="1140" w:firstLineChars="0"/>
        <w:rPr>
          <w:rFonts w:ascii="宋体" w:hAnsi="宋体" w:cs="宋体"/>
          <w:color w:val="auto"/>
          <w:kern w:val="0"/>
          <w:szCs w:val="21"/>
          <w:highlight w:val="none"/>
        </w:rPr>
      </w:pPr>
      <w:r>
        <w:rPr>
          <w:rFonts w:hint="eastAsia" w:ascii="宋体" w:hAnsi="宋体" w:cs="宋体"/>
          <w:color w:val="auto"/>
          <w:kern w:val="0"/>
          <w:szCs w:val="21"/>
          <w:highlight w:val="none"/>
        </w:rPr>
        <w:t>项目经理部组成人员（格式详见附表一）</w:t>
      </w:r>
    </w:p>
    <w:p>
      <w:pPr>
        <w:pStyle w:val="162"/>
        <w:numPr>
          <w:ilvl w:val="0"/>
          <w:numId w:val="6"/>
        </w:numPr>
        <w:adjustRightInd w:val="0"/>
        <w:snapToGrid w:val="0"/>
        <w:spacing w:line="360" w:lineRule="auto"/>
        <w:ind w:left="1140" w:firstLineChars="0"/>
        <w:rPr>
          <w:rFonts w:ascii="宋体" w:hAnsi="宋体" w:cs="宋体"/>
          <w:color w:val="auto"/>
          <w:kern w:val="0"/>
          <w:szCs w:val="21"/>
          <w:highlight w:val="none"/>
        </w:rPr>
      </w:pPr>
      <w:r>
        <w:rPr>
          <w:rFonts w:hint="eastAsia" w:ascii="宋体" w:hAnsi="宋体" w:cs="宋体"/>
          <w:color w:val="auto"/>
          <w:kern w:val="0"/>
          <w:szCs w:val="21"/>
          <w:highlight w:val="none"/>
        </w:rPr>
        <w:t>主要机械配备和材料投入计划（格式详见附表二）</w:t>
      </w:r>
    </w:p>
    <w:p>
      <w:pPr>
        <w:pStyle w:val="162"/>
        <w:numPr>
          <w:ilvl w:val="0"/>
          <w:numId w:val="6"/>
        </w:numPr>
        <w:adjustRightInd w:val="0"/>
        <w:snapToGrid w:val="0"/>
        <w:spacing w:line="360" w:lineRule="auto"/>
        <w:ind w:left="1140" w:firstLineChars="0"/>
        <w:rPr>
          <w:rFonts w:ascii="宋体" w:hAnsi="宋体" w:cs="宋体"/>
          <w:color w:val="auto"/>
          <w:kern w:val="0"/>
          <w:szCs w:val="21"/>
          <w:highlight w:val="none"/>
        </w:rPr>
      </w:pPr>
      <w:r>
        <w:rPr>
          <w:rFonts w:hint="eastAsia" w:ascii="宋体" w:hAnsi="宋体" w:cs="宋体"/>
          <w:color w:val="auto"/>
          <w:kern w:val="0"/>
          <w:szCs w:val="21"/>
          <w:highlight w:val="none"/>
        </w:rPr>
        <w:t>类似项目业绩（格式详见附表三）</w:t>
      </w:r>
    </w:p>
    <w:p>
      <w:pPr>
        <w:spacing w:line="360" w:lineRule="auto"/>
        <w:rPr>
          <w:rFonts w:ascii="宋体" w:hAnsi="宋体" w:cs="宋体"/>
          <w:color w:val="auto"/>
          <w:szCs w:val="21"/>
          <w:highlight w:val="none"/>
        </w:rPr>
      </w:pPr>
      <w:r>
        <w:rPr>
          <w:rFonts w:hint="eastAsia" w:ascii="宋体" w:hAnsi="宋体" w:cs="宋体"/>
          <w:color w:val="auto"/>
          <w:szCs w:val="21"/>
          <w:highlight w:val="none"/>
        </w:rPr>
        <w:br w:type="page"/>
      </w:r>
    </w:p>
    <w:p>
      <w:pPr>
        <w:spacing w:line="500" w:lineRule="exact"/>
        <w:rPr>
          <w:rFonts w:asciiTheme="minorEastAsia" w:hAnsiTheme="minorEastAsia" w:eastAsiaTheme="minorEastAsia" w:cstheme="minorEastAsia"/>
          <w:b/>
          <w:color w:val="auto"/>
          <w:kern w:val="0"/>
          <w:szCs w:val="21"/>
          <w:highlight w:val="none"/>
        </w:rPr>
      </w:pPr>
      <w:bookmarkStart w:id="103" w:name="_Toc2715"/>
      <w:bookmarkStart w:id="104" w:name="_Hlk64980512"/>
      <w:r>
        <w:rPr>
          <w:rFonts w:hint="eastAsia" w:ascii="宋体" w:hAnsi="宋体"/>
          <w:b/>
          <w:bCs/>
          <w:color w:val="auto"/>
          <w:sz w:val="24"/>
          <w:highlight w:val="none"/>
        </w:rPr>
        <w:t>附表一：</w:t>
      </w:r>
      <w:r>
        <w:rPr>
          <w:rFonts w:hint="eastAsia" w:asciiTheme="minorEastAsia" w:hAnsiTheme="minorEastAsia" w:eastAsiaTheme="minorEastAsia" w:cstheme="minorEastAsia"/>
          <w:b/>
          <w:color w:val="auto"/>
          <w:kern w:val="0"/>
          <w:szCs w:val="21"/>
          <w:highlight w:val="none"/>
        </w:rPr>
        <w:t>项目组织机构</w:t>
      </w:r>
    </w:p>
    <w:p>
      <w:pPr>
        <w:spacing w:after="240" w:afterLines="100" w:line="420" w:lineRule="exact"/>
        <w:jc w:val="center"/>
        <w:rPr>
          <w:rFonts w:asciiTheme="minorEastAsia" w:hAnsiTheme="minorEastAsia" w:eastAsiaTheme="minorEastAsia" w:cstheme="minorEastAsia"/>
          <w:b/>
          <w:color w:val="auto"/>
          <w:kern w:val="0"/>
          <w:szCs w:val="21"/>
          <w:highlight w:val="none"/>
        </w:rPr>
      </w:pPr>
      <w:r>
        <w:rPr>
          <w:rFonts w:hint="eastAsia" w:asciiTheme="minorEastAsia" w:hAnsiTheme="minorEastAsia" w:eastAsiaTheme="minorEastAsia" w:cstheme="minorEastAsia"/>
          <w:b/>
          <w:color w:val="auto"/>
          <w:kern w:val="0"/>
          <w:szCs w:val="21"/>
          <w:highlight w:val="none"/>
        </w:rPr>
        <w:t>（一）项目管理机构组成表</w:t>
      </w:r>
    </w:p>
    <w:tbl>
      <w:tblPr>
        <w:tblStyle w:val="43"/>
        <w:tblW w:w="90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720"/>
        <w:gridCol w:w="876"/>
        <w:gridCol w:w="1356"/>
        <w:gridCol w:w="771"/>
        <w:gridCol w:w="788"/>
        <w:gridCol w:w="850"/>
        <w:gridCol w:w="2127"/>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Merge w:val="restart"/>
            <w:vAlign w:val="center"/>
          </w:tcPr>
          <w:p>
            <w:pPr>
              <w:jc w:val="center"/>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职务</w:t>
            </w:r>
          </w:p>
        </w:tc>
        <w:tc>
          <w:tcPr>
            <w:tcW w:w="720" w:type="dxa"/>
            <w:vMerge w:val="restart"/>
            <w:vAlign w:val="center"/>
          </w:tcPr>
          <w:p>
            <w:pPr>
              <w:jc w:val="center"/>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姓名</w:t>
            </w:r>
          </w:p>
        </w:tc>
        <w:tc>
          <w:tcPr>
            <w:tcW w:w="876" w:type="dxa"/>
            <w:vMerge w:val="restart"/>
            <w:vAlign w:val="center"/>
          </w:tcPr>
          <w:p>
            <w:pPr>
              <w:jc w:val="center"/>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职称</w:t>
            </w:r>
          </w:p>
        </w:tc>
        <w:tc>
          <w:tcPr>
            <w:tcW w:w="5892" w:type="dxa"/>
            <w:gridSpan w:val="5"/>
            <w:vAlign w:val="center"/>
          </w:tcPr>
          <w:p>
            <w:pPr>
              <w:jc w:val="center"/>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执业或职业资格证明</w:t>
            </w:r>
          </w:p>
        </w:tc>
        <w:tc>
          <w:tcPr>
            <w:tcW w:w="708" w:type="dxa"/>
            <w:vMerge w:val="restart"/>
            <w:vAlign w:val="center"/>
          </w:tcPr>
          <w:p>
            <w:pPr>
              <w:jc w:val="center"/>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Merge w:val="continue"/>
            <w:vAlign w:val="center"/>
          </w:tcPr>
          <w:p>
            <w:pPr>
              <w:jc w:val="center"/>
              <w:rPr>
                <w:rFonts w:asciiTheme="minorEastAsia" w:hAnsiTheme="minorEastAsia" w:eastAsiaTheme="minorEastAsia" w:cstheme="minorEastAsia"/>
                <w:color w:val="auto"/>
                <w:kern w:val="0"/>
                <w:szCs w:val="21"/>
                <w:highlight w:val="none"/>
              </w:rPr>
            </w:pPr>
          </w:p>
        </w:tc>
        <w:tc>
          <w:tcPr>
            <w:tcW w:w="720" w:type="dxa"/>
            <w:vMerge w:val="continue"/>
            <w:vAlign w:val="center"/>
          </w:tcPr>
          <w:p>
            <w:pPr>
              <w:jc w:val="center"/>
              <w:rPr>
                <w:rFonts w:asciiTheme="minorEastAsia" w:hAnsiTheme="minorEastAsia" w:eastAsiaTheme="minorEastAsia" w:cstheme="minorEastAsia"/>
                <w:color w:val="auto"/>
                <w:kern w:val="0"/>
                <w:szCs w:val="21"/>
                <w:highlight w:val="none"/>
              </w:rPr>
            </w:pPr>
          </w:p>
        </w:tc>
        <w:tc>
          <w:tcPr>
            <w:tcW w:w="876" w:type="dxa"/>
            <w:vMerge w:val="continue"/>
            <w:vAlign w:val="center"/>
          </w:tcPr>
          <w:p>
            <w:pPr>
              <w:jc w:val="center"/>
              <w:rPr>
                <w:rFonts w:asciiTheme="minorEastAsia" w:hAnsiTheme="minorEastAsia" w:eastAsiaTheme="minorEastAsia" w:cstheme="minorEastAsia"/>
                <w:color w:val="auto"/>
                <w:kern w:val="0"/>
                <w:szCs w:val="21"/>
                <w:highlight w:val="none"/>
              </w:rPr>
            </w:pPr>
          </w:p>
        </w:tc>
        <w:tc>
          <w:tcPr>
            <w:tcW w:w="1356" w:type="dxa"/>
            <w:vAlign w:val="center"/>
          </w:tcPr>
          <w:p>
            <w:pPr>
              <w:jc w:val="center"/>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证书名称</w:t>
            </w:r>
          </w:p>
        </w:tc>
        <w:tc>
          <w:tcPr>
            <w:tcW w:w="771" w:type="dxa"/>
            <w:vAlign w:val="center"/>
          </w:tcPr>
          <w:p>
            <w:pPr>
              <w:jc w:val="center"/>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级别</w:t>
            </w:r>
          </w:p>
        </w:tc>
        <w:tc>
          <w:tcPr>
            <w:tcW w:w="788" w:type="dxa"/>
            <w:vAlign w:val="center"/>
          </w:tcPr>
          <w:p>
            <w:pPr>
              <w:jc w:val="center"/>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证号</w:t>
            </w:r>
          </w:p>
        </w:tc>
        <w:tc>
          <w:tcPr>
            <w:tcW w:w="850" w:type="dxa"/>
            <w:vAlign w:val="center"/>
          </w:tcPr>
          <w:p>
            <w:pPr>
              <w:jc w:val="center"/>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专业</w:t>
            </w:r>
          </w:p>
        </w:tc>
        <w:tc>
          <w:tcPr>
            <w:tcW w:w="2127" w:type="dxa"/>
            <w:vAlign w:val="center"/>
          </w:tcPr>
          <w:p>
            <w:pPr>
              <w:jc w:val="center"/>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近年同类工程经历</w:t>
            </w:r>
          </w:p>
        </w:tc>
        <w:tc>
          <w:tcPr>
            <w:tcW w:w="708" w:type="dxa"/>
            <w:vMerge w:val="continue"/>
            <w:vAlign w:val="center"/>
          </w:tcPr>
          <w:p>
            <w:pPr>
              <w:jc w:val="center"/>
              <w:rPr>
                <w:rFonts w:asciiTheme="minorEastAsia" w:hAnsiTheme="minorEastAsia" w:eastAsiaTheme="minorEastAsia" w:cstheme="minorEastAsia"/>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jc w:val="center"/>
              <w:rPr>
                <w:rFonts w:asciiTheme="minorEastAsia" w:hAnsiTheme="minorEastAsia" w:eastAsiaTheme="minorEastAsia" w:cstheme="minorEastAsia"/>
                <w:color w:val="auto"/>
                <w:kern w:val="0"/>
                <w:szCs w:val="21"/>
                <w:highlight w:val="none"/>
              </w:rPr>
            </w:pPr>
          </w:p>
        </w:tc>
        <w:tc>
          <w:tcPr>
            <w:tcW w:w="720" w:type="dxa"/>
            <w:vAlign w:val="center"/>
          </w:tcPr>
          <w:p>
            <w:pPr>
              <w:jc w:val="center"/>
              <w:rPr>
                <w:rFonts w:asciiTheme="minorEastAsia" w:hAnsiTheme="minorEastAsia" w:eastAsiaTheme="minorEastAsia" w:cstheme="minorEastAsia"/>
                <w:color w:val="auto"/>
                <w:kern w:val="0"/>
                <w:szCs w:val="21"/>
                <w:highlight w:val="none"/>
              </w:rPr>
            </w:pPr>
          </w:p>
        </w:tc>
        <w:tc>
          <w:tcPr>
            <w:tcW w:w="876" w:type="dxa"/>
            <w:vAlign w:val="center"/>
          </w:tcPr>
          <w:p>
            <w:pPr>
              <w:jc w:val="center"/>
              <w:rPr>
                <w:rFonts w:asciiTheme="minorEastAsia" w:hAnsiTheme="minorEastAsia" w:eastAsiaTheme="minorEastAsia" w:cstheme="minorEastAsia"/>
                <w:color w:val="auto"/>
                <w:kern w:val="0"/>
                <w:szCs w:val="21"/>
                <w:highlight w:val="none"/>
              </w:rPr>
            </w:pPr>
          </w:p>
        </w:tc>
        <w:tc>
          <w:tcPr>
            <w:tcW w:w="1356" w:type="dxa"/>
            <w:vAlign w:val="center"/>
          </w:tcPr>
          <w:p>
            <w:pPr>
              <w:jc w:val="center"/>
              <w:rPr>
                <w:rFonts w:asciiTheme="minorEastAsia" w:hAnsiTheme="minorEastAsia" w:eastAsiaTheme="minorEastAsia" w:cstheme="minorEastAsia"/>
                <w:color w:val="auto"/>
                <w:kern w:val="0"/>
                <w:szCs w:val="21"/>
                <w:highlight w:val="none"/>
              </w:rPr>
            </w:pPr>
          </w:p>
        </w:tc>
        <w:tc>
          <w:tcPr>
            <w:tcW w:w="771" w:type="dxa"/>
            <w:vAlign w:val="center"/>
          </w:tcPr>
          <w:p>
            <w:pPr>
              <w:jc w:val="center"/>
              <w:rPr>
                <w:rFonts w:asciiTheme="minorEastAsia" w:hAnsiTheme="minorEastAsia" w:eastAsiaTheme="minorEastAsia" w:cstheme="minorEastAsia"/>
                <w:color w:val="auto"/>
                <w:kern w:val="0"/>
                <w:szCs w:val="21"/>
                <w:highlight w:val="none"/>
              </w:rPr>
            </w:pPr>
          </w:p>
        </w:tc>
        <w:tc>
          <w:tcPr>
            <w:tcW w:w="788" w:type="dxa"/>
            <w:vAlign w:val="center"/>
          </w:tcPr>
          <w:p>
            <w:pPr>
              <w:jc w:val="center"/>
              <w:rPr>
                <w:rFonts w:asciiTheme="minorEastAsia" w:hAnsiTheme="minorEastAsia" w:eastAsiaTheme="minorEastAsia" w:cstheme="minorEastAsia"/>
                <w:color w:val="auto"/>
                <w:kern w:val="0"/>
                <w:szCs w:val="21"/>
                <w:highlight w:val="none"/>
              </w:rPr>
            </w:pPr>
          </w:p>
        </w:tc>
        <w:tc>
          <w:tcPr>
            <w:tcW w:w="850" w:type="dxa"/>
            <w:vAlign w:val="center"/>
          </w:tcPr>
          <w:p>
            <w:pPr>
              <w:jc w:val="center"/>
              <w:rPr>
                <w:rFonts w:asciiTheme="minorEastAsia" w:hAnsiTheme="minorEastAsia" w:eastAsiaTheme="minorEastAsia" w:cstheme="minorEastAsia"/>
                <w:color w:val="auto"/>
                <w:kern w:val="0"/>
                <w:szCs w:val="21"/>
                <w:highlight w:val="none"/>
              </w:rPr>
            </w:pPr>
          </w:p>
        </w:tc>
        <w:tc>
          <w:tcPr>
            <w:tcW w:w="2127" w:type="dxa"/>
            <w:vAlign w:val="center"/>
          </w:tcPr>
          <w:p>
            <w:pPr>
              <w:jc w:val="center"/>
              <w:rPr>
                <w:rFonts w:asciiTheme="minorEastAsia" w:hAnsiTheme="minorEastAsia" w:eastAsiaTheme="minorEastAsia" w:cstheme="minorEastAsia"/>
                <w:color w:val="auto"/>
                <w:kern w:val="0"/>
                <w:szCs w:val="21"/>
                <w:highlight w:val="none"/>
              </w:rPr>
            </w:pPr>
          </w:p>
        </w:tc>
        <w:tc>
          <w:tcPr>
            <w:tcW w:w="708" w:type="dxa"/>
            <w:vAlign w:val="center"/>
          </w:tcPr>
          <w:p>
            <w:pPr>
              <w:jc w:val="center"/>
              <w:rPr>
                <w:rFonts w:asciiTheme="minorEastAsia" w:hAnsiTheme="minorEastAsia" w:eastAsiaTheme="minorEastAsia" w:cstheme="minorEastAsia"/>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jc w:val="center"/>
              <w:rPr>
                <w:rFonts w:asciiTheme="minorEastAsia" w:hAnsiTheme="minorEastAsia" w:eastAsiaTheme="minorEastAsia" w:cstheme="minorEastAsia"/>
                <w:color w:val="auto"/>
                <w:kern w:val="0"/>
                <w:szCs w:val="21"/>
                <w:highlight w:val="none"/>
              </w:rPr>
            </w:pPr>
          </w:p>
        </w:tc>
        <w:tc>
          <w:tcPr>
            <w:tcW w:w="720" w:type="dxa"/>
            <w:vAlign w:val="center"/>
          </w:tcPr>
          <w:p>
            <w:pPr>
              <w:jc w:val="center"/>
              <w:rPr>
                <w:rFonts w:asciiTheme="minorEastAsia" w:hAnsiTheme="minorEastAsia" w:eastAsiaTheme="minorEastAsia" w:cstheme="minorEastAsia"/>
                <w:color w:val="auto"/>
                <w:kern w:val="0"/>
                <w:szCs w:val="21"/>
                <w:highlight w:val="none"/>
              </w:rPr>
            </w:pPr>
          </w:p>
        </w:tc>
        <w:tc>
          <w:tcPr>
            <w:tcW w:w="876" w:type="dxa"/>
            <w:vAlign w:val="center"/>
          </w:tcPr>
          <w:p>
            <w:pPr>
              <w:jc w:val="center"/>
              <w:rPr>
                <w:rFonts w:asciiTheme="minorEastAsia" w:hAnsiTheme="minorEastAsia" w:eastAsiaTheme="minorEastAsia" w:cstheme="minorEastAsia"/>
                <w:color w:val="auto"/>
                <w:kern w:val="0"/>
                <w:szCs w:val="21"/>
                <w:highlight w:val="none"/>
              </w:rPr>
            </w:pPr>
          </w:p>
        </w:tc>
        <w:tc>
          <w:tcPr>
            <w:tcW w:w="1356" w:type="dxa"/>
            <w:vAlign w:val="center"/>
          </w:tcPr>
          <w:p>
            <w:pPr>
              <w:jc w:val="center"/>
              <w:rPr>
                <w:rFonts w:asciiTheme="minorEastAsia" w:hAnsiTheme="minorEastAsia" w:eastAsiaTheme="minorEastAsia" w:cstheme="minorEastAsia"/>
                <w:color w:val="auto"/>
                <w:kern w:val="0"/>
                <w:szCs w:val="21"/>
                <w:highlight w:val="none"/>
              </w:rPr>
            </w:pPr>
          </w:p>
        </w:tc>
        <w:tc>
          <w:tcPr>
            <w:tcW w:w="771" w:type="dxa"/>
            <w:vAlign w:val="center"/>
          </w:tcPr>
          <w:p>
            <w:pPr>
              <w:jc w:val="center"/>
              <w:rPr>
                <w:rFonts w:asciiTheme="minorEastAsia" w:hAnsiTheme="minorEastAsia" w:eastAsiaTheme="minorEastAsia" w:cstheme="minorEastAsia"/>
                <w:color w:val="auto"/>
                <w:kern w:val="0"/>
                <w:szCs w:val="21"/>
                <w:highlight w:val="none"/>
              </w:rPr>
            </w:pPr>
          </w:p>
        </w:tc>
        <w:tc>
          <w:tcPr>
            <w:tcW w:w="788" w:type="dxa"/>
            <w:vAlign w:val="center"/>
          </w:tcPr>
          <w:p>
            <w:pPr>
              <w:jc w:val="center"/>
              <w:rPr>
                <w:rFonts w:asciiTheme="minorEastAsia" w:hAnsiTheme="minorEastAsia" w:eastAsiaTheme="minorEastAsia" w:cstheme="minorEastAsia"/>
                <w:color w:val="auto"/>
                <w:kern w:val="0"/>
                <w:szCs w:val="21"/>
                <w:highlight w:val="none"/>
              </w:rPr>
            </w:pPr>
          </w:p>
        </w:tc>
        <w:tc>
          <w:tcPr>
            <w:tcW w:w="850" w:type="dxa"/>
            <w:vAlign w:val="center"/>
          </w:tcPr>
          <w:p>
            <w:pPr>
              <w:jc w:val="center"/>
              <w:rPr>
                <w:rFonts w:asciiTheme="minorEastAsia" w:hAnsiTheme="minorEastAsia" w:eastAsiaTheme="minorEastAsia" w:cstheme="minorEastAsia"/>
                <w:color w:val="auto"/>
                <w:kern w:val="0"/>
                <w:szCs w:val="21"/>
                <w:highlight w:val="none"/>
              </w:rPr>
            </w:pPr>
          </w:p>
        </w:tc>
        <w:tc>
          <w:tcPr>
            <w:tcW w:w="2127" w:type="dxa"/>
            <w:vAlign w:val="center"/>
          </w:tcPr>
          <w:p>
            <w:pPr>
              <w:jc w:val="center"/>
              <w:rPr>
                <w:rFonts w:asciiTheme="minorEastAsia" w:hAnsiTheme="minorEastAsia" w:eastAsiaTheme="minorEastAsia" w:cstheme="minorEastAsia"/>
                <w:color w:val="auto"/>
                <w:kern w:val="0"/>
                <w:szCs w:val="21"/>
                <w:highlight w:val="none"/>
              </w:rPr>
            </w:pPr>
          </w:p>
        </w:tc>
        <w:tc>
          <w:tcPr>
            <w:tcW w:w="708" w:type="dxa"/>
            <w:vAlign w:val="center"/>
          </w:tcPr>
          <w:p>
            <w:pPr>
              <w:jc w:val="center"/>
              <w:rPr>
                <w:rFonts w:asciiTheme="minorEastAsia" w:hAnsiTheme="minorEastAsia" w:eastAsiaTheme="minorEastAsia" w:cstheme="minorEastAsia"/>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jc w:val="center"/>
              <w:rPr>
                <w:rFonts w:asciiTheme="minorEastAsia" w:hAnsiTheme="minorEastAsia" w:eastAsiaTheme="minorEastAsia" w:cstheme="minorEastAsia"/>
                <w:color w:val="auto"/>
                <w:kern w:val="0"/>
                <w:szCs w:val="21"/>
                <w:highlight w:val="none"/>
              </w:rPr>
            </w:pPr>
          </w:p>
        </w:tc>
        <w:tc>
          <w:tcPr>
            <w:tcW w:w="720" w:type="dxa"/>
            <w:vAlign w:val="center"/>
          </w:tcPr>
          <w:p>
            <w:pPr>
              <w:jc w:val="center"/>
              <w:rPr>
                <w:rFonts w:asciiTheme="minorEastAsia" w:hAnsiTheme="minorEastAsia" w:eastAsiaTheme="minorEastAsia" w:cstheme="minorEastAsia"/>
                <w:color w:val="auto"/>
                <w:kern w:val="0"/>
                <w:szCs w:val="21"/>
                <w:highlight w:val="none"/>
              </w:rPr>
            </w:pPr>
          </w:p>
        </w:tc>
        <w:tc>
          <w:tcPr>
            <w:tcW w:w="876" w:type="dxa"/>
            <w:vAlign w:val="center"/>
          </w:tcPr>
          <w:p>
            <w:pPr>
              <w:jc w:val="center"/>
              <w:rPr>
                <w:rFonts w:asciiTheme="minorEastAsia" w:hAnsiTheme="minorEastAsia" w:eastAsiaTheme="minorEastAsia" w:cstheme="minorEastAsia"/>
                <w:color w:val="auto"/>
                <w:kern w:val="0"/>
                <w:szCs w:val="21"/>
                <w:highlight w:val="none"/>
              </w:rPr>
            </w:pPr>
          </w:p>
        </w:tc>
        <w:tc>
          <w:tcPr>
            <w:tcW w:w="1356" w:type="dxa"/>
            <w:vAlign w:val="center"/>
          </w:tcPr>
          <w:p>
            <w:pPr>
              <w:jc w:val="center"/>
              <w:rPr>
                <w:rFonts w:asciiTheme="minorEastAsia" w:hAnsiTheme="minorEastAsia" w:eastAsiaTheme="minorEastAsia" w:cstheme="minorEastAsia"/>
                <w:color w:val="auto"/>
                <w:kern w:val="0"/>
                <w:szCs w:val="21"/>
                <w:highlight w:val="none"/>
              </w:rPr>
            </w:pPr>
          </w:p>
        </w:tc>
        <w:tc>
          <w:tcPr>
            <w:tcW w:w="771" w:type="dxa"/>
            <w:vAlign w:val="center"/>
          </w:tcPr>
          <w:p>
            <w:pPr>
              <w:jc w:val="center"/>
              <w:rPr>
                <w:rFonts w:asciiTheme="minorEastAsia" w:hAnsiTheme="minorEastAsia" w:eastAsiaTheme="minorEastAsia" w:cstheme="minorEastAsia"/>
                <w:color w:val="auto"/>
                <w:kern w:val="0"/>
                <w:szCs w:val="21"/>
                <w:highlight w:val="none"/>
              </w:rPr>
            </w:pPr>
          </w:p>
        </w:tc>
        <w:tc>
          <w:tcPr>
            <w:tcW w:w="788" w:type="dxa"/>
            <w:vAlign w:val="center"/>
          </w:tcPr>
          <w:p>
            <w:pPr>
              <w:jc w:val="center"/>
              <w:rPr>
                <w:rFonts w:asciiTheme="minorEastAsia" w:hAnsiTheme="minorEastAsia" w:eastAsiaTheme="minorEastAsia" w:cstheme="minorEastAsia"/>
                <w:color w:val="auto"/>
                <w:kern w:val="0"/>
                <w:szCs w:val="21"/>
                <w:highlight w:val="none"/>
              </w:rPr>
            </w:pPr>
          </w:p>
        </w:tc>
        <w:tc>
          <w:tcPr>
            <w:tcW w:w="850" w:type="dxa"/>
            <w:vAlign w:val="center"/>
          </w:tcPr>
          <w:p>
            <w:pPr>
              <w:jc w:val="center"/>
              <w:rPr>
                <w:rFonts w:asciiTheme="minorEastAsia" w:hAnsiTheme="minorEastAsia" w:eastAsiaTheme="minorEastAsia" w:cstheme="minorEastAsia"/>
                <w:color w:val="auto"/>
                <w:kern w:val="0"/>
                <w:szCs w:val="21"/>
                <w:highlight w:val="none"/>
              </w:rPr>
            </w:pPr>
          </w:p>
        </w:tc>
        <w:tc>
          <w:tcPr>
            <w:tcW w:w="2127" w:type="dxa"/>
            <w:vAlign w:val="center"/>
          </w:tcPr>
          <w:p>
            <w:pPr>
              <w:jc w:val="center"/>
              <w:rPr>
                <w:rFonts w:asciiTheme="minorEastAsia" w:hAnsiTheme="minorEastAsia" w:eastAsiaTheme="minorEastAsia" w:cstheme="minorEastAsia"/>
                <w:color w:val="auto"/>
                <w:kern w:val="0"/>
                <w:szCs w:val="21"/>
                <w:highlight w:val="none"/>
              </w:rPr>
            </w:pPr>
          </w:p>
        </w:tc>
        <w:tc>
          <w:tcPr>
            <w:tcW w:w="708" w:type="dxa"/>
            <w:vAlign w:val="center"/>
          </w:tcPr>
          <w:p>
            <w:pPr>
              <w:jc w:val="center"/>
              <w:rPr>
                <w:rFonts w:asciiTheme="minorEastAsia" w:hAnsiTheme="minorEastAsia" w:eastAsiaTheme="minorEastAsia" w:cstheme="minorEastAsia"/>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jc w:val="center"/>
              <w:rPr>
                <w:rFonts w:asciiTheme="minorEastAsia" w:hAnsiTheme="minorEastAsia" w:eastAsiaTheme="minorEastAsia" w:cstheme="minorEastAsia"/>
                <w:color w:val="auto"/>
                <w:kern w:val="0"/>
                <w:szCs w:val="21"/>
                <w:highlight w:val="none"/>
              </w:rPr>
            </w:pPr>
          </w:p>
        </w:tc>
        <w:tc>
          <w:tcPr>
            <w:tcW w:w="720" w:type="dxa"/>
            <w:vAlign w:val="center"/>
          </w:tcPr>
          <w:p>
            <w:pPr>
              <w:jc w:val="center"/>
              <w:rPr>
                <w:rFonts w:asciiTheme="minorEastAsia" w:hAnsiTheme="minorEastAsia" w:eastAsiaTheme="minorEastAsia" w:cstheme="minorEastAsia"/>
                <w:color w:val="auto"/>
                <w:kern w:val="0"/>
                <w:szCs w:val="21"/>
                <w:highlight w:val="none"/>
              </w:rPr>
            </w:pPr>
          </w:p>
        </w:tc>
        <w:tc>
          <w:tcPr>
            <w:tcW w:w="876" w:type="dxa"/>
            <w:vAlign w:val="center"/>
          </w:tcPr>
          <w:p>
            <w:pPr>
              <w:jc w:val="center"/>
              <w:rPr>
                <w:rFonts w:asciiTheme="minorEastAsia" w:hAnsiTheme="minorEastAsia" w:eastAsiaTheme="minorEastAsia" w:cstheme="minorEastAsia"/>
                <w:color w:val="auto"/>
                <w:kern w:val="0"/>
                <w:szCs w:val="21"/>
                <w:highlight w:val="none"/>
              </w:rPr>
            </w:pPr>
          </w:p>
        </w:tc>
        <w:tc>
          <w:tcPr>
            <w:tcW w:w="1356" w:type="dxa"/>
            <w:vAlign w:val="center"/>
          </w:tcPr>
          <w:p>
            <w:pPr>
              <w:jc w:val="center"/>
              <w:rPr>
                <w:rFonts w:asciiTheme="minorEastAsia" w:hAnsiTheme="minorEastAsia" w:eastAsiaTheme="minorEastAsia" w:cstheme="minorEastAsia"/>
                <w:color w:val="auto"/>
                <w:kern w:val="0"/>
                <w:szCs w:val="21"/>
                <w:highlight w:val="none"/>
              </w:rPr>
            </w:pPr>
          </w:p>
        </w:tc>
        <w:tc>
          <w:tcPr>
            <w:tcW w:w="771" w:type="dxa"/>
            <w:vAlign w:val="center"/>
          </w:tcPr>
          <w:p>
            <w:pPr>
              <w:jc w:val="center"/>
              <w:rPr>
                <w:rFonts w:asciiTheme="minorEastAsia" w:hAnsiTheme="minorEastAsia" w:eastAsiaTheme="minorEastAsia" w:cstheme="minorEastAsia"/>
                <w:color w:val="auto"/>
                <w:kern w:val="0"/>
                <w:szCs w:val="21"/>
                <w:highlight w:val="none"/>
              </w:rPr>
            </w:pPr>
          </w:p>
        </w:tc>
        <w:tc>
          <w:tcPr>
            <w:tcW w:w="788" w:type="dxa"/>
            <w:vAlign w:val="center"/>
          </w:tcPr>
          <w:p>
            <w:pPr>
              <w:jc w:val="center"/>
              <w:rPr>
                <w:rFonts w:asciiTheme="minorEastAsia" w:hAnsiTheme="minorEastAsia" w:eastAsiaTheme="minorEastAsia" w:cstheme="minorEastAsia"/>
                <w:color w:val="auto"/>
                <w:kern w:val="0"/>
                <w:szCs w:val="21"/>
                <w:highlight w:val="none"/>
              </w:rPr>
            </w:pPr>
          </w:p>
        </w:tc>
        <w:tc>
          <w:tcPr>
            <w:tcW w:w="850" w:type="dxa"/>
            <w:vAlign w:val="center"/>
          </w:tcPr>
          <w:p>
            <w:pPr>
              <w:jc w:val="center"/>
              <w:rPr>
                <w:rFonts w:asciiTheme="minorEastAsia" w:hAnsiTheme="minorEastAsia" w:eastAsiaTheme="minorEastAsia" w:cstheme="minorEastAsia"/>
                <w:color w:val="auto"/>
                <w:kern w:val="0"/>
                <w:szCs w:val="21"/>
                <w:highlight w:val="none"/>
              </w:rPr>
            </w:pPr>
          </w:p>
        </w:tc>
        <w:tc>
          <w:tcPr>
            <w:tcW w:w="2127" w:type="dxa"/>
            <w:vAlign w:val="center"/>
          </w:tcPr>
          <w:p>
            <w:pPr>
              <w:jc w:val="center"/>
              <w:rPr>
                <w:rFonts w:asciiTheme="minorEastAsia" w:hAnsiTheme="minorEastAsia" w:eastAsiaTheme="minorEastAsia" w:cstheme="minorEastAsia"/>
                <w:color w:val="auto"/>
                <w:kern w:val="0"/>
                <w:szCs w:val="21"/>
                <w:highlight w:val="none"/>
              </w:rPr>
            </w:pPr>
          </w:p>
        </w:tc>
        <w:tc>
          <w:tcPr>
            <w:tcW w:w="708" w:type="dxa"/>
            <w:vAlign w:val="center"/>
          </w:tcPr>
          <w:p>
            <w:pPr>
              <w:jc w:val="center"/>
              <w:rPr>
                <w:rFonts w:asciiTheme="minorEastAsia" w:hAnsiTheme="minorEastAsia" w:eastAsiaTheme="minorEastAsia" w:cstheme="minorEastAsia"/>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jc w:val="center"/>
              <w:rPr>
                <w:rFonts w:asciiTheme="minorEastAsia" w:hAnsiTheme="minorEastAsia" w:eastAsiaTheme="minorEastAsia" w:cstheme="minorEastAsia"/>
                <w:color w:val="auto"/>
                <w:kern w:val="0"/>
                <w:szCs w:val="21"/>
                <w:highlight w:val="none"/>
              </w:rPr>
            </w:pPr>
          </w:p>
        </w:tc>
        <w:tc>
          <w:tcPr>
            <w:tcW w:w="720" w:type="dxa"/>
            <w:vAlign w:val="center"/>
          </w:tcPr>
          <w:p>
            <w:pPr>
              <w:jc w:val="center"/>
              <w:rPr>
                <w:rFonts w:asciiTheme="minorEastAsia" w:hAnsiTheme="minorEastAsia" w:eastAsiaTheme="minorEastAsia" w:cstheme="minorEastAsia"/>
                <w:color w:val="auto"/>
                <w:kern w:val="0"/>
                <w:szCs w:val="21"/>
                <w:highlight w:val="none"/>
              </w:rPr>
            </w:pPr>
          </w:p>
        </w:tc>
        <w:tc>
          <w:tcPr>
            <w:tcW w:w="876" w:type="dxa"/>
            <w:vAlign w:val="center"/>
          </w:tcPr>
          <w:p>
            <w:pPr>
              <w:jc w:val="center"/>
              <w:rPr>
                <w:rFonts w:asciiTheme="minorEastAsia" w:hAnsiTheme="minorEastAsia" w:eastAsiaTheme="minorEastAsia" w:cstheme="minorEastAsia"/>
                <w:color w:val="auto"/>
                <w:kern w:val="0"/>
                <w:szCs w:val="21"/>
                <w:highlight w:val="none"/>
              </w:rPr>
            </w:pPr>
          </w:p>
        </w:tc>
        <w:tc>
          <w:tcPr>
            <w:tcW w:w="1356" w:type="dxa"/>
            <w:vAlign w:val="center"/>
          </w:tcPr>
          <w:p>
            <w:pPr>
              <w:jc w:val="center"/>
              <w:rPr>
                <w:rFonts w:asciiTheme="minorEastAsia" w:hAnsiTheme="minorEastAsia" w:eastAsiaTheme="minorEastAsia" w:cstheme="minorEastAsia"/>
                <w:color w:val="auto"/>
                <w:kern w:val="0"/>
                <w:szCs w:val="21"/>
                <w:highlight w:val="none"/>
              </w:rPr>
            </w:pPr>
          </w:p>
        </w:tc>
        <w:tc>
          <w:tcPr>
            <w:tcW w:w="771" w:type="dxa"/>
            <w:vAlign w:val="center"/>
          </w:tcPr>
          <w:p>
            <w:pPr>
              <w:jc w:val="center"/>
              <w:rPr>
                <w:rFonts w:asciiTheme="minorEastAsia" w:hAnsiTheme="minorEastAsia" w:eastAsiaTheme="minorEastAsia" w:cstheme="minorEastAsia"/>
                <w:color w:val="auto"/>
                <w:kern w:val="0"/>
                <w:szCs w:val="21"/>
                <w:highlight w:val="none"/>
              </w:rPr>
            </w:pPr>
          </w:p>
        </w:tc>
        <w:tc>
          <w:tcPr>
            <w:tcW w:w="788" w:type="dxa"/>
            <w:vAlign w:val="center"/>
          </w:tcPr>
          <w:p>
            <w:pPr>
              <w:jc w:val="center"/>
              <w:rPr>
                <w:rFonts w:asciiTheme="minorEastAsia" w:hAnsiTheme="minorEastAsia" w:eastAsiaTheme="minorEastAsia" w:cstheme="minorEastAsia"/>
                <w:color w:val="auto"/>
                <w:kern w:val="0"/>
                <w:szCs w:val="21"/>
                <w:highlight w:val="none"/>
              </w:rPr>
            </w:pPr>
          </w:p>
        </w:tc>
        <w:tc>
          <w:tcPr>
            <w:tcW w:w="850" w:type="dxa"/>
            <w:vAlign w:val="center"/>
          </w:tcPr>
          <w:p>
            <w:pPr>
              <w:jc w:val="center"/>
              <w:rPr>
                <w:rFonts w:asciiTheme="minorEastAsia" w:hAnsiTheme="minorEastAsia" w:eastAsiaTheme="minorEastAsia" w:cstheme="minorEastAsia"/>
                <w:color w:val="auto"/>
                <w:kern w:val="0"/>
                <w:szCs w:val="21"/>
                <w:highlight w:val="none"/>
              </w:rPr>
            </w:pPr>
          </w:p>
        </w:tc>
        <w:tc>
          <w:tcPr>
            <w:tcW w:w="2127" w:type="dxa"/>
            <w:vAlign w:val="center"/>
          </w:tcPr>
          <w:p>
            <w:pPr>
              <w:jc w:val="center"/>
              <w:rPr>
                <w:rFonts w:asciiTheme="minorEastAsia" w:hAnsiTheme="minorEastAsia" w:eastAsiaTheme="minorEastAsia" w:cstheme="minorEastAsia"/>
                <w:color w:val="auto"/>
                <w:kern w:val="0"/>
                <w:szCs w:val="21"/>
                <w:highlight w:val="none"/>
              </w:rPr>
            </w:pPr>
          </w:p>
        </w:tc>
        <w:tc>
          <w:tcPr>
            <w:tcW w:w="708" w:type="dxa"/>
            <w:vAlign w:val="center"/>
          </w:tcPr>
          <w:p>
            <w:pPr>
              <w:jc w:val="center"/>
              <w:rPr>
                <w:rFonts w:asciiTheme="minorEastAsia" w:hAnsiTheme="minorEastAsia" w:eastAsiaTheme="minorEastAsia" w:cstheme="minorEastAsia"/>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jc w:val="center"/>
              <w:rPr>
                <w:rFonts w:asciiTheme="minorEastAsia" w:hAnsiTheme="minorEastAsia" w:eastAsiaTheme="minorEastAsia" w:cstheme="minorEastAsia"/>
                <w:color w:val="auto"/>
                <w:kern w:val="0"/>
                <w:szCs w:val="21"/>
                <w:highlight w:val="none"/>
              </w:rPr>
            </w:pPr>
          </w:p>
        </w:tc>
        <w:tc>
          <w:tcPr>
            <w:tcW w:w="720" w:type="dxa"/>
            <w:vAlign w:val="center"/>
          </w:tcPr>
          <w:p>
            <w:pPr>
              <w:jc w:val="center"/>
              <w:rPr>
                <w:rFonts w:asciiTheme="minorEastAsia" w:hAnsiTheme="minorEastAsia" w:eastAsiaTheme="minorEastAsia" w:cstheme="minorEastAsia"/>
                <w:color w:val="auto"/>
                <w:kern w:val="0"/>
                <w:szCs w:val="21"/>
                <w:highlight w:val="none"/>
              </w:rPr>
            </w:pPr>
          </w:p>
        </w:tc>
        <w:tc>
          <w:tcPr>
            <w:tcW w:w="876" w:type="dxa"/>
            <w:vAlign w:val="center"/>
          </w:tcPr>
          <w:p>
            <w:pPr>
              <w:jc w:val="center"/>
              <w:rPr>
                <w:rFonts w:asciiTheme="minorEastAsia" w:hAnsiTheme="minorEastAsia" w:eastAsiaTheme="minorEastAsia" w:cstheme="minorEastAsia"/>
                <w:color w:val="auto"/>
                <w:kern w:val="0"/>
                <w:szCs w:val="21"/>
                <w:highlight w:val="none"/>
              </w:rPr>
            </w:pPr>
          </w:p>
        </w:tc>
        <w:tc>
          <w:tcPr>
            <w:tcW w:w="1356" w:type="dxa"/>
            <w:vAlign w:val="center"/>
          </w:tcPr>
          <w:p>
            <w:pPr>
              <w:jc w:val="center"/>
              <w:rPr>
                <w:rFonts w:asciiTheme="minorEastAsia" w:hAnsiTheme="minorEastAsia" w:eastAsiaTheme="minorEastAsia" w:cstheme="minorEastAsia"/>
                <w:color w:val="auto"/>
                <w:kern w:val="0"/>
                <w:szCs w:val="21"/>
                <w:highlight w:val="none"/>
              </w:rPr>
            </w:pPr>
          </w:p>
        </w:tc>
        <w:tc>
          <w:tcPr>
            <w:tcW w:w="771" w:type="dxa"/>
            <w:vAlign w:val="center"/>
          </w:tcPr>
          <w:p>
            <w:pPr>
              <w:jc w:val="center"/>
              <w:rPr>
                <w:rFonts w:asciiTheme="minorEastAsia" w:hAnsiTheme="minorEastAsia" w:eastAsiaTheme="minorEastAsia" w:cstheme="minorEastAsia"/>
                <w:color w:val="auto"/>
                <w:kern w:val="0"/>
                <w:szCs w:val="21"/>
                <w:highlight w:val="none"/>
              </w:rPr>
            </w:pPr>
          </w:p>
        </w:tc>
        <w:tc>
          <w:tcPr>
            <w:tcW w:w="788" w:type="dxa"/>
            <w:vAlign w:val="center"/>
          </w:tcPr>
          <w:p>
            <w:pPr>
              <w:jc w:val="center"/>
              <w:rPr>
                <w:rFonts w:asciiTheme="minorEastAsia" w:hAnsiTheme="minorEastAsia" w:eastAsiaTheme="minorEastAsia" w:cstheme="minorEastAsia"/>
                <w:color w:val="auto"/>
                <w:kern w:val="0"/>
                <w:szCs w:val="21"/>
                <w:highlight w:val="none"/>
              </w:rPr>
            </w:pPr>
          </w:p>
        </w:tc>
        <w:tc>
          <w:tcPr>
            <w:tcW w:w="850" w:type="dxa"/>
            <w:vAlign w:val="center"/>
          </w:tcPr>
          <w:p>
            <w:pPr>
              <w:jc w:val="center"/>
              <w:rPr>
                <w:rFonts w:asciiTheme="minorEastAsia" w:hAnsiTheme="minorEastAsia" w:eastAsiaTheme="minorEastAsia" w:cstheme="minorEastAsia"/>
                <w:color w:val="auto"/>
                <w:kern w:val="0"/>
                <w:szCs w:val="21"/>
                <w:highlight w:val="none"/>
              </w:rPr>
            </w:pPr>
          </w:p>
        </w:tc>
        <w:tc>
          <w:tcPr>
            <w:tcW w:w="2127" w:type="dxa"/>
            <w:vAlign w:val="center"/>
          </w:tcPr>
          <w:p>
            <w:pPr>
              <w:jc w:val="center"/>
              <w:rPr>
                <w:rFonts w:asciiTheme="minorEastAsia" w:hAnsiTheme="minorEastAsia" w:eastAsiaTheme="minorEastAsia" w:cstheme="minorEastAsia"/>
                <w:color w:val="auto"/>
                <w:kern w:val="0"/>
                <w:szCs w:val="21"/>
                <w:highlight w:val="none"/>
              </w:rPr>
            </w:pPr>
          </w:p>
        </w:tc>
        <w:tc>
          <w:tcPr>
            <w:tcW w:w="708" w:type="dxa"/>
            <w:vAlign w:val="center"/>
          </w:tcPr>
          <w:p>
            <w:pPr>
              <w:jc w:val="center"/>
              <w:rPr>
                <w:rFonts w:asciiTheme="minorEastAsia" w:hAnsiTheme="minorEastAsia" w:eastAsiaTheme="minorEastAsia" w:cstheme="minorEastAsia"/>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jc w:val="center"/>
              <w:rPr>
                <w:rFonts w:asciiTheme="minorEastAsia" w:hAnsiTheme="minorEastAsia" w:eastAsiaTheme="minorEastAsia" w:cstheme="minorEastAsia"/>
                <w:color w:val="auto"/>
                <w:kern w:val="0"/>
                <w:szCs w:val="21"/>
                <w:highlight w:val="none"/>
              </w:rPr>
            </w:pPr>
          </w:p>
        </w:tc>
        <w:tc>
          <w:tcPr>
            <w:tcW w:w="720" w:type="dxa"/>
            <w:vAlign w:val="center"/>
          </w:tcPr>
          <w:p>
            <w:pPr>
              <w:jc w:val="center"/>
              <w:rPr>
                <w:rFonts w:asciiTheme="minorEastAsia" w:hAnsiTheme="minorEastAsia" w:eastAsiaTheme="minorEastAsia" w:cstheme="minorEastAsia"/>
                <w:color w:val="auto"/>
                <w:kern w:val="0"/>
                <w:szCs w:val="21"/>
                <w:highlight w:val="none"/>
              </w:rPr>
            </w:pPr>
          </w:p>
        </w:tc>
        <w:tc>
          <w:tcPr>
            <w:tcW w:w="876" w:type="dxa"/>
            <w:vAlign w:val="center"/>
          </w:tcPr>
          <w:p>
            <w:pPr>
              <w:jc w:val="center"/>
              <w:rPr>
                <w:rFonts w:asciiTheme="minorEastAsia" w:hAnsiTheme="minorEastAsia" w:eastAsiaTheme="minorEastAsia" w:cstheme="minorEastAsia"/>
                <w:color w:val="auto"/>
                <w:kern w:val="0"/>
                <w:szCs w:val="21"/>
                <w:highlight w:val="none"/>
              </w:rPr>
            </w:pPr>
          </w:p>
        </w:tc>
        <w:tc>
          <w:tcPr>
            <w:tcW w:w="1356" w:type="dxa"/>
            <w:vAlign w:val="center"/>
          </w:tcPr>
          <w:p>
            <w:pPr>
              <w:jc w:val="center"/>
              <w:rPr>
                <w:rFonts w:asciiTheme="minorEastAsia" w:hAnsiTheme="minorEastAsia" w:eastAsiaTheme="minorEastAsia" w:cstheme="minorEastAsia"/>
                <w:color w:val="auto"/>
                <w:kern w:val="0"/>
                <w:szCs w:val="21"/>
                <w:highlight w:val="none"/>
              </w:rPr>
            </w:pPr>
          </w:p>
        </w:tc>
        <w:tc>
          <w:tcPr>
            <w:tcW w:w="771" w:type="dxa"/>
            <w:vAlign w:val="center"/>
          </w:tcPr>
          <w:p>
            <w:pPr>
              <w:jc w:val="center"/>
              <w:rPr>
                <w:rFonts w:asciiTheme="minorEastAsia" w:hAnsiTheme="minorEastAsia" w:eastAsiaTheme="minorEastAsia" w:cstheme="minorEastAsia"/>
                <w:color w:val="auto"/>
                <w:kern w:val="0"/>
                <w:szCs w:val="21"/>
                <w:highlight w:val="none"/>
              </w:rPr>
            </w:pPr>
          </w:p>
        </w:tc>
        <w:tc>
          <w:tcPr>
            <w:tcW w:w="788" w:type="dxa"/>
            <w:vAlign w:val="center"/>
          </w:tcPr>
          <w:p>
            <w:pPr>
              <w:jc w:val="center"/>
              <w:rPr>
                <w:rFonts w:asciiTheme="minorEastAsia" w:hAnsiTheme="minorEastAsia" w:eastAsiaTheme="minorEastAsia" w:cstheme="minorEastAsia"/>
                <w:color w:val="auto"/>
                <w:kern w:val="0"/>
                <w:szCs w:val="21"/>
                <w:highlight w:val="none"/>
              </w:rPr>
            </w:pPr>
          </w:p>
        </w:tc>
        <w:tc>
          <w:tcPr>
            <w:tcW w:w="850" w:type="dxa"/>
            <w:vAlign w:val="center"/>
          </w:tcPr>
          <w:p>
            <w:pPr>
              <w:jc w:val="center"/>
              <w:rPr>
                <w:rFonts w:asciiTheme="minorEastAsia" w:hAnsiTheme="minorEastAsia" w:eastAsiaTheme="minorEastAsia" w:cstheme="minorEastAsia"/>
                <w:color w:val="auto"/>
                <w:kern w:val="0"/>
                <w:szCs w:val="21"/>
                <w:highlight w:val="none"/>
              </w:rPr>
            </w:pPr>
          </w:p>
        </w:tc>
        <w:tc>
          <w:tcPr>
            <w:tcW w:w="2127" w:type="dxa"/>
            <w:vAlign w:val="center"/>
          </w:tcPr>
          <w:p>
            <w:pPr>
              <w:jc w:val="center"/>
              <w:rPr>
                <w:rFonts w:asciiTheme="minorEastAsia" w:hAnsiTheme="minorEastAsia" w:eastAsiaTheme="minorEastAsia" w:cstheme="minorEastAsia"/>
                <w:color w:val="auto"/>
                <w:kern w:val="0"/>
                <w:szCs w:val="21"/>
                <w:highlight w:val="none"/>
              </w:rPr>
            </w:pPr>
          </w:p>
        </w:tc>
        <w:tc>
          <w:tcPr>
            <w:tcW w:w="708" w:type="dxa"/>
            <w:vAlign w:val="center"/>
          </w:tcPr>
          <w:p>
            <w:pPr>
              <w:jc w:val="center"/>
              <w:rPr>
                <w:rFonts w:asciiTheme="minorEastAsia" w:hAnsiTheme="minorEastAsia" w:eastAsiaTheme="minorEastAsia" w:cstheme="minorEastAsia"/>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jc w:val="center"/>
              <w:rPr>
                <w:rFonts w:asciiTheme="minorEastAsia" w:hAnsiTheme="minorEastAsia" w:eastAsiaTheme="minorEastAsia" w:cstheme="minorEastAsia"/>
                <w:color w:val="auto"/>
                <w:kern w:val="0"/>
                <w:szCs w:val="21"/>
                <w:highlight w:val="none"/>
              </w:rPr>
            </w:pPr>
          </w:p>
        </w:tc>
        <w:tc>
          <w:tcPr>
            <w:tcW w:w="720" w:type="dxa"/>
            <w:vAlign w:val="center"/>
          </w:tcPr>
          <w:p>
            <w:pPr>
              <w:jc w:val="center"/>
              <w:rPr>
                <w:rFonts w:asciiTheme="minorEastAsia" w:hAnsiTheme="minorEastAsia" w:eastAsiaTheme="minorEastAsia" w:cstheme="minorEastAsia"/>
                <w:color w:val="auto"/>
                <w:kern w:val="0"/>
                <w:szCs w:val="21"/>
                <w:highlight w:val="none"/>
              </w:rPr>
            </w:pPr>
          </w:p>
        </w:tc>
        <w:tc>
          <w:tcPr>
            <w:tcW w:w="876" w:type="dxa"/>
            <w:vAlign w:val="center"/>
          </w:tcPr>
          <w:p>
            <w:pPr>
              <w:jc w:val="center"/>
              <w:rPr>
                <w:rFonts w:asciiTheme="minorEastAsia" w:hAnsiTheme="minorEastAsia" w:eastAsiaTheme="minorEastAsia" w:cstheme="minorEastAsia"/>
                <w:color w:val="auto"/>
                <w:kern w:val="0"/>
                <w:szCs w:val="21"/>
                <w:highlight w:val="none"/>
              </w:rPr>
            </w:pPr>
          </w:p>
        </w:tc>
        <w:tc>
          <w:tcPr>
            <w:tcW w:w="1356" w:type="dxa"/>
            <w:vAlign w:val="center"/>
          </w:tcPr>
          <w:p>
            <w:pPr>
              <w:jc w:val="center"/>
              <w:rPr>
                <w:rFonts w:asciiTheme="minorEastAsia" w:hAnsiTheme="minorEastAsia" w:eastAsiaTheme="minorEastAsia" w:cstheme="minorEastAsia"/>
                <w:color w:val="auto"/>
                <w:kern w:val="0"/>
                <w:szCs w:val="21"/>
                <w:highlight w:val="none"/>
              </w:rPr>
            </w:pPr>
          </w:p>
        </w:tc>
        <w:tc>
          <w:tcPr>
            <w:tcW w:w="771" w:type="dxa"/>
            <w:vAlign w:val="center"/>
          </w:tcPr>
          <w:p>
            <w:pPr>
              <w:jc w:val="center"/>
              <w:rPr>
                <w:rFonts w:asciiTheme="minorEastAsia" w:hAnsiTheme="minorEastAsia" w:eastAsiaTheme="minorEastAsia" w:cstheme="minorEastAsia"/>
                <w:color w:val="auto"/>
                <w:kern w:val="0"/>
                <w:szCs w:val="21"/>
                <w:highlight w:val="none"/>
              </w:rPr>
            </w:pPr>
          </w:p>
        </w:tc>
        <w:tc>
          <w:tcPr>
            <w:tcW w:w="788" w:type="dxa"/>
            <w:vAlign w:val="center"/>
          </w:tcPr>
          <w:p>
            <w:pPr>
              <w:jc w:val="center"/>
              <w:rPr>
                <w:rFonts w:asciiTheme="minorEastAsia" w:hAnsiTheme="minorEastAsia" w:eastAsiaTheme="minorEastAsia" w:cstheme="minorEastAsia"/>
                <w:color w:val="auto"/>
                <w:kern w:val="0"/>
                <w:szCs w:val="21"/>
                <w:highlight w:val="none"/>
              </w:rPr>
            </w:pPr>
          </w:p>
        </w:tc>
        <w:tc>
          <w:tcPr>
            <w:tcW w:w="850" w:type="dxa"/>
            <w:vAlign w:val="center"/>
          </w:tcPr>
          <w:p>
            <w:pPr>
              <w:jc w:val="center"/>
              <w:rPr>
                <w:rFonts w:asciiTheme="minorEastAsia" w:hAnsiTheme="minorEastAsia" w:eastAsiaTheme="minorEastAsia" w:cstheme="minorEastAsia"/>
                <w:color w:val="auto"/>
                <w:kern w:val="0"/>
                <w:szCs w:val="21"/>
                <w:highlight w:val="none"/>
              </w:rPr>
            </w:pPr>
          </w:p>
        </w:tc>
        <w:tc>
          <w:tcPr>
            <w:tcW w:w="2127" w:type="dxa"/>
            <w:vAlign w:val="center"/>
          </w:tcPr>
          <w:p>
            <w:pPr>
              <w:jc w:val="center"/>
              <w:rPr>
                <w:rFonts w:asciiTheme="minorEastAsia" w:hAnsiTheme="minorEastAsia" w:eastAsiaTheme="minorEastAsia" w:cstheme="minorEastAsia"/>
                <w:color w:val="auto"/>
                <w:kern w:val="0"/>
                <w:szCs w:val="21"/>
                <w:highlight w:val="none"/>
              </w:rPr>
            </w:pPr>
          </w:p>
        </w:tc>
        <w:tc>
          <w:tcPr>
            <w:tcW w:w="708" w:type="dxa"/>
            <w:vAlign w:val="center"/>
          </w:tcPr>
          <w:p>
            <w:pPr>
              <w:jc w:val="center"/>
              <w:rPr>
                <w:rFonts w:asciiTheme="minorEastAsia" w:hAnsiTheme="minorEastAsia" w:eastAsiaTheme="minorEastAsia" w:cstheme="minorEastAsia"/>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jc w:val="center"/>
              <w:rPr>
                <w:rFonts w:asciiTheme="minorEastAsia" w:hAnsiTheme="minorEastAsia" w:eastAsiaTheme="minorEastAsia" w:cstheme="minorEastAsia"/>
                <w:color w:val="auto"/>
                <w:kern w:val="0"/>
                <w:szCs w:val="21"/>
                <w:highlight w:val="none"/>
              </w:rPr>
            </w:pPr>
          </w:p>
        </w:tc>
        <w:tc>
          <w:tcPr>
            <w:tcW w:w="720" w:type="dxa"/>
            <w:vAlign w:val="center"/>
          </w:tcPr>
          <w:p>
            <w:pPr>
              <w:jc w:val="center"/>
              <w:rPr>
                <w:rFonts w:asciiTheme="minorEastAsia" w:hAnsiTheme="minorEastAsia" w:eastAsiaTheme="minorEastAsia" w:cstheme="minorEastAsia"/>
                <w:color w:val="auto"/>
                <w:kern w:val="0"/>
                <w:szCs w:val="21"/>
                <w:highlight w:val="none"/>
              </w:rPr>
            </w:pPr>
          </w:p>
        </w:tc>
        <w:tc>
          <w:tcPr>
            <w:tcW w:w="876" w:type="dxa"/>
            <w:vAlign w:val="center"/>
          </w:tcPr>
          <w:p>
            <w:pPr>
              <w:jc w:val="center"/>
              <w:rPr>
                <w:rFonts w:asciiTheme="minorEastAsia" w:hAnsiTheme="minorEastAsia" w:eastAsiaTheme="minorEastAsia" w:cstheme="minorEastAsia"/>
                <w:color w:val="auto"/>
                <w:kern w:val="0"/>
                <w:szCs w:val="21"/>
                <w:highlight w:val="none"/>
              </w:rPr>
            </w:pPr>
          </w:p>
        </w:tc>
        <w:tc>
          <w:tcPr>
            <w:tcW w:w="1356" w:type="dxa"/>
            <w:vAlign w:val="center"/>
          </w:tcPr>
          <w:p>
            <w:pPr>
              <w:jc w:val="center"/>
              <w:rPr>
                <w:rFonts w:asciiTheme="minorEastAsia" w:hAnsiTheme="minorEastAsia" w:eastAsiaTheme="minorEastAsia" w:cstheme="minorEastAsia"/>
                <w:color w:val="auto"/>
                <w:kern w:val="0"/>
                <w:szCs w:val="21"/>
                <w:highlight w:val="none"/>
              </w:rPr>
            </w:pPr>
          </w:p>
        </w:tc>
        <w:tc>
          <w:tcPr>
            <w:tcW w:w="771" w:type="dxa"/>
            <w:vAlign w:val="center"/>
          </w:tcPr>
          <w:p>
            <w:pPr>
              <w:jc w:val="center"/>
              <w:rPr>
                <w:rFonts w:asciiTheme="minorEastAsia" w:hAnsiTheme="minorEastAsia" w:eastAsiaTheme="minorEastAsia" w:cstheme="minorEastAsia"/>
                <w:color w:val="auto"/>
                <w:kern w:val="0"/>
                <w:szCs w:val="21"/>
                <w:highlight w:val="none"/>
              </w:rPr>
            </w:pPr>
          </w:p>
        </w:tc>
        <w:tc>
          <w:tcPr>
            <w:tcW w:w="788" w:type="dxa"/>
            <w:vAlign w:val="center"/>
          </w:tcPr>
          <w:p>
            <w:pPr>
              <w:jc w:val="center"/>
              <w:rPr>
                <w:rFonts w:asciiTheme="minorEastAsia" w:hAnsiTheme="minorEastAsia" w:eastAsiaTheme="minorEastAsia" w:cstheme="minorEastAsia"/>
                <w:color w:val="auto"/>
                <w:kern w:val="0"/>
                <w:szCs w:val="21"/>
                <w:highlight w:val="none"/>
              </w:rPr>
            </w:pPr>
          </w:p>
        </w:tc>
        <w:tc>
          <w:tcPr>
            <w:tcW w:w="850" w:type="dxa"/>
            <w:vAlign w:val="center"/>
          </w:tcPr>
          <w:p>
            <w:pPr>
              <w:jc w:val="center"/>
              <w:rPr>
                <w:rFonts w:asciiTheme="minorEastAsia" w:hAnsiTheme="minorEastAsia" w:eastAsiaTheme="minorEastAsia" w:cstheme="minorEastAsia"/>
                <w:color w:val="auto"/>
                <w:kern w:val="0"/>
                <w:szCs w:val="21"/>
                <w:highlight w:val="none"/>
              </w:rPr>
            </w:pPr>
          </w:p>
        </w:tc>
        <w:tc>
          <w:tcPr>
            <w:tcW w:w="2127" w:type="dxa"/>
            <w:vAlign w:val="center"/>
          </w:tcPr>
          <w:p>
            <w:pPr>
              <w:jc w:val="center"/>
              <w:rPr>
                <w:rFonts w:asciiTheme="minorEastAsia" w:hAnsiTheme="minorEastAsia" w:eastAsiaTheme="minorEastAsia" w:cstheme="minorEastAsia"/>
                <w:color w:val="auto"/>
                <w:kern w:val="0"/>
                <w:szCs w:val="21"/>
                <w:highlight w:val="none"/>
              </w:rPr>
            </w:pPr>
          </w:p>
        </w:tc>
        <w:tc>
          <w:tcPr>
            <w:tcW w:w="708" w:type="dxa"/>
            <w:vAlign w:val="center"/>
          </w:tcPr>
          <w:p>
            <w:pPr>
              <w:jc w:val="center"/>
              <w:rPr>
                <w:rFonts w:asciiTheme="minorEastAsia" w:hAnsiTheme="minorEastAsia" w:eastAsiaTheme="minorEastAsia" w:cstheme="minorEastAsia"/>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jc w:val="center"/>
              <w:rPr>
                <w:rFonts w:asciiTheme="minorEastAsia" w:hAnsiTheme="minorEastAsia" w:eastAsiaTheme="minorEastAsia" w:cstheme="minorEastAsia"/>
                <w:color w:val="auto"/>
                <w:kern w:val="0"/>
                <w:szCs w:val="21"/>
                <w:highlight w:val="none"/>
              </w:rPr>
            </w:pPr>
          </w:p>
        </w:tc>
        <w:tc>
          <w:tcPr>
            <w:tcW w:w="720" w:type="dxa"/>
            <w:vAlign w:val="center"/>
          </w:tcPr>
          <w:p>
            <w:pPr>
              <w:jc w:val="center"/>
              <w:rPr>
                <w:rFonts w:asciiTheme="minorEastAsia" w:hAnsiTheme="minorEastAsia" w:eastAsiaTheme="minorEastAsia" w:cstheme="minorEastAsia"/>
                <w:color w:val="auto"/>
                <w:kern w:val="0"/>
                <w:szCs w:val="21"/>
                <w:highlight w:val="none"/>
              </w:rPr>
            </w:pPr>
          </w:p>
        </w:tc>
        <w:tc>
          <w:tcPr>
            <w:tcW w:w="876" w:type="dxa"/>
            <w:vAlign w:val="center"/>
          </w:tcPr>
          <w:p>
            <w:pPr>
              <w:jc w:val="center"/>
              <w:rPr>
                <w:rFonts w:asciiTheme="minorEastAsia" w:hAnsiTheme="minorEastAsia" w:eastAsiaTheme="minorEastAsia" w:cstheme="minorEastAsia"/>
                <w:color w:val="auto"/>
                <w:kern w:val="0"/>
                <w:szCs w:val="21"/>
                <w:highlight w:val="none"/>
              </w:rPr>
            </w:pPr>
          </w:p>
        </w:tc>
        <w:tc>
          <w:tcPr>
            <w:tcW w:w="1356" w:type="dxa"/>
            <w:vAlign w:val="center"/>
          </w:tcPr>
          <w:p>
            <w:pPr>
              <w:jc w:val="center"/>
              <w:rPr>
                <w:rFonts w:asciiTheme="minorEastAsia" w:hAnsiTheme="minorEastAsia" w:eastAsiaTheme="minorEastAsia" w:cstheme="minorEastAsia"/>
                <w:color w:val="auto"/>
                <w:kern w:val="0"/>
                <w:szCs w:val="21"/>
                <w:highlight w:val="none"/>
              </w:rPr>
            </w:pPr>
          </w:p>
        </w:tc>
        <w:tc>
          <w:tcPr>
            <w:tcW w:w="771" w:type="dxa"/>
            <w:vAlign w:val="center"/>
          </w:tcPr>
          <w:p>
            <w:pPr>
              <w:jc w:val="center"/>
              <w:rPr>
                <w:rFonts w:asciiTheme="minorEastAsia" w:hAnsiTheme="minorEastAsia" w:eastAsiaTheme="minorEastAsia" w:cstheme="minorEastAsia"/>
                <w:color w:val="auto"/>
                <w:kern w:val="0"/>
                <w:szCs w:val="21"/>
                <w:highlight w:val="none"/>
              </w:rPr>
            </w:pPr>
          </w:p>
        </w:tc>
        <w:tc>
          <w:tcPr>
            <w:tcW w:w="788" w:type="dxa"/>
            <w:vAlign w:val="center"/>
          </w:tcPr>
          <w:p>
            <w:pPr>
              <w:jc w:val="center"/>
              <w:rPr>
                <w:rFonts w:asciiTheme="minorEastAsia" w:hAnsiTheme="minorEastAsia" w:eastAsiaTheme="minorEastAsia" w:cstheme="minorEastAsia"/>
                <w:color w:val="auto"/>
                <w:kern w:val="0"/>
                <w:szCs w:val="21"/>
                <w:highlight w:val="none"/>
              </w:rPr>
            </w:pPr>
          </w:p>
        </w:tc>
        <w:tc>
          <w:tcPr>
            <w:tcW w:w="850" w:type="dxa"/>
            <w:vAlign w:val="center"/>
          </w:tcPr>
          <w:p>
            <w:pPr>
              <w:jc w:val="center"/>
              <w:rPr>
                <w:rFonts w:asciiTheme="minorEastAsia" w:hAnsiTheme="minorEastAsia" w:eastAsiaTheme="minorEastAsia" w:cstheme="minorEastAsia"/>
                <w:color w:val="auto"/>
                <w:kern w:val="0"/>
                <w:szCs w:val="21"/>
                <w:highlight w:val="none"/>
              </w:rPr>
            </w:pPr>
          </w:p>
        </w:tc>
        <w:tc>
          <w:tcPr>
            <w:tcW w:w="2127" w:type="dxa"/>
            <w:vAlign w:val="center"/>
          </w:tcPr>
          <w:p>
            <w:pPr>
              <w:jc w:val="center"/>
              <w:rPr>
                <w:rFonts w:asciiTheme="minorEastAsia" w:hAnsiTheme="minorEastAsia" w:eastAsiaTheme="minorEastAsia" w:cstheme="minorEastAsia"/>
                <w:color w:val="auto"/>
                <w:kern w:val="0"/>
                <w:szCs w:val="21"/>
                <w:highlight w:val="none"/>
              </w:rPr>
            </w:pPr>
          </w:p>
        </w:tc>
        <w:tc>
          <w:tcPr>
            <w:tcW w:w="708" w:type="dxa"/>
            <w:vAlign w:val="center"/>
          </w:tcPr>
          <w:p>
            <w:pPr>
              <w:jc w:val="center"/>
              <w:rPr>
                <w:rFonts w:asciiTheme="minorEastAsia" w:hAnsiTheme="minorEastAsia" w:eastAsiaTheme="minorEastAsia" w:cstheme="minorEastAsia"/>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jc w:val="center"/>
              <w:rPr>
                <w:rFonts w:asciiTheme="minorEastAsia" w:hAnsiTheme="minorEastAsia" w:eastAsiaTheme="minorEastAsia" w:cstheme="minorEastAsia"/>
                <w:color w:val="auto"/>
                <w:kern w:val="0"/>
                <w:szCs w:val="21"/>
                <w:highlight w:val="none"/>
              </w:rPr>
            </w:pPr>
          </w:p>
        </w:tc>
        <w:tc>
          <w:tcPr>
            <w:tcW w:w="720" w:type="dxa"/>
            <w:vAlign w:val="center"/>
          </w:tcPr>
          <w:p>
            <w:pPr>
              <w:jc w:val="center"/>
              <w:rPr>
                <w:rFonts w:asciiTheme="minorEastAsia" w:hAnsiTheme="minorEastAsia" w:eastAsiaTheme="minorEastAsia" w:cstheme="minorEastAsia"/>
                <w:color w:val="auto"/>
                <w:kern w:val="0"/>
                <w:szCs w:val="21"/>
                <w:highlight w:val="none"/>
              </w:rPr>
            </w:pPr>
          </w:p>
        </w:tc>
        <w:tc>
          <w:tcPr>
            <w:tcW w:w="876" w:type="dxa"/>
            <w:vAlign w:val="center"/>
          </w:tcPr>
          <w:p>
            <w:pPr>
              <w:jc w:val="center"/>
              <w:rPr>
                <w:rFonts w:asciiTheme="minorEastAsia" w:hAnsiTheme="minorEastAsia" w:eastAsiaTheme="minorEastAsia" w:cstheme="minorEastAsia"/>
                <w:color w:val="auto"/>
                <w:kern w:val="0"/>
                <w:szCs w:val="21"/>
                <w:highlight w:val="none"/>
              </w:rPr>
            </w:pPr>
          </w:p>
        </w:tc>
        <w:tc>
          <w:tcPr>
            <w:tcW w:w="1356" w:type="dxa"/>
            <w:vAlign w:val="center"/>
          </w:tcPr>
          <w:p>
            <w:pPr>
              <w:jc w:val="center"/>
              <w:rPr>
                <w:rFonts w:asciiTheme="minorEastAsia" w:hAnsiTheme="minorEastAsia" w:eastAsiaTheme="minorEastAsia" w:cstheme="minorEastAsia"/>
                <w:color w:val="auto"/>
                <w:kern w:val="0"/>
                <w:szCs w:val="21"/>
                <w:highlight w:val="none"/>
              </w:rPr>
            </w:pPr>
          </w:p>
        </w:tc>
        <w:tc>
          <w:tcPr>
            <w:tcW w:w="771" w:type="dxa"/>
            <w:vAlign w:val="center"/>
          </w:tcPr>
          <w:p>
            <w:pPr>
              <w:jc w:val="center"/>
              <w:rPr>
                <w:rFonts w:asciiTheme="minorEastAsia" w:hAnsiTheme="minorEastAsia" w:eastAsiaTheme="minorEastAsia" w:cstheme="minorEastAsia"/>
                <w:color w:val="auto"/>
                <w:kern w:val="0"/>
                <w:szCs w:val="21"/>
                <w:highlight w:val="none"/>
              </w:rPr>
            </w:pPr>
          </w:p>
        </w:tc>
        <w:tc>
          <w:tcPr>
            <w:tcW w:w="788" w:type="dxa"/>
            <w:vAlign w:val="center"/>
          </w:tcPr>
          <w:p>
            <w:pPr>
              <w:jc w:val="center"/>
              <w:rPr>
                <w:rFonts w:asciiTheme="minorEastAsia" w:hAnsiTheme="minorEastAsia" w:eastAsiaTheme="minorEastAsia" w:cstheme="minorEastAsia"/>
                <w:color w:val="auto"/>
                <w:kern w:val="0"/>
                <w:szCs w:val="21"/>
                <w:highlight w:val="none"/>
              </w:rPr>
            </w:pPr>
          </w:p>
        </w:tc>
        <w:tc>
          <w:tcPr>
            <w:tcW w:w="850" w:type="dxa"/>
            <w:vAlign w:val="center"/>
          </w:tcPr>
          <w:p>
            <w:pPr>
              <w:jc w:val="center"/>
              <w:rPr>
                <w:rFonts w:asciiTheme="minorEastAsia" w:hAnsiTheme="minorEastAsia" w:eastAsiaTheme="minorEastAsia" w:cstheme="minorEastAsia"/>
                <w:color w:val="auto"/>
                <w:kern w:val="0"/>
                <w:szCs w:val="21"/>
                <w:highlight w:val="none"/>
              </w:rPr>
            </w:pPr>
          </w:p>
        </w:tc>
        <w:tc>
          <w:tcPr>
            <w:tcW w:w="2127" w:type="dxa"/>
            <w:vAlign w:val="center"/>
          </w:tcPr>
          <w:p>
            <w:pPr>
              <w:jc w:val="center"/>
              <w:rPr>
                <w:rFonts w:asciiTheme="minorEastAsia" w:hAnsiTheme="minorEastAsia" w:eastAsiaTheme="minorEastAsia" w:cstheme="minorEastAsia"/>
                <w:color w:val="auto"/>
                <w:kern w:val="0"/>
                <w:szCs w:val="21"/>
                <w:highlight w:val="none"/>
              </w:rPr>
            </w:pPr>
          </w:p>
        </w:tc>
        <w:tc>
          <w:tcPr>
            <w:tcW w:w="708" w:type="dxa"/>
            <w:vAlign w:val="center"/>
          </w:tcPr>
          <w:p>
            <w:pPr>
              <w:jc w:val="center"/>
              <w:rPr>
                <w:rFonts w:asciiTheme="minorEastAsia" w:hAnsiTheme="minorEastAsia" w:eastAsiaTheme="minorEastAsia" w:cstheme="minorEastAsia"/>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jc w:val="center"/>
              <w:rPr>
                <w:rFonts w:asciiTheme="minorEastAsia" w:hAnsiTheme="minorEastAsia" w:eastAsiaTheme="minorEastAsia" w:cstheme="minorEastAsia"/>
                <w:color w:val="auto"/>
                <w:kern w:val="0"/>
                <w:szCs w:val="21"/>
                <w:highlight w:val="none"/>
              </w:rPr>
            </w:pPr>
          </w:p>
        </w:tc>
        <w:tc>
          <w:tcPr>
            <w:tcW w:w="720" w:type="dxa"/>
            <w:vAlign w:val="center"/>
          </w:tcPr>
          <w:p>
            <w:pPr>
              <w:jc w:val="center"/>
              <w:rPr>
                <w:rFonts w:asciiTheme="minorEastAsia" w:hAnsiTheme="minorEastAsia" w:eastAsiaTheme="minorEastAsia" w:cstheme="minorEastAsia"/>
                <w:color w:val="auto"/>
                <w:kern w:val="0"/>
                <w:szCs w:val="21"/>
                <w:highlight w:val="none"/>
              </w:rPr>
            </w:pPr>
          </w:p>
        </w:tc>
        <w:tc>
          <w:tcPr>
            <w:tcW w:w="876" w:type="dxa"/>
            <w:vAlign w:val="center"/>
          </w:tcPr>
          <w:p>
            <w:pPr>
              <w:jc w:val="center"/>
              <w:rPr>
                <w:rFonts w:asciiTheme="minorEastAsia" w:hAnsiTheme="minorEastAsia" w:eastAsiaTheme="minorEastAsia" w:cstheme="minorEastAsia"/>
                <w:color w:val="auto"/>
                <w:kern w:val="0"/>
                <w:szCs w:val="21"/>
                <w:highlight w:val="none"/>
              </w:rPr>
            </w:pPr>
          </w:p>
        </w:tc>
        <w:tc>
          <w:tcPr>
            <w:tcW w:w="1356" w:type="dxa"/>
            <w:vAlign w:val="center"/>
          </w:tcPr>
          <w:p>
            <w:pPr>
              <w:jc w:val="center"/>
              <w:rPr>
                <w:rFonts w:asciiTheme="minorEastAsia" w:hAnsiTheme="minorEastAsia" w:eastAsiaTheme="minorEastAsia" w:cstheme="minorEastAsia"/>
                <w:color w:val="auto"/>
                <w:kern w:val="0"/>
                <w:szCs w:val="21"/>
                <w:highlight w:val="none"/>
              </w:rPr>
            </w:pPr>
          </w:p>
        </w:tc>
        <w:tc>
          <w:tcPr>
            <w:tcW w:w="771" w:type="dxa"/>
            <w:vAlign w:val="center"/>
          </w:tcPr>
          <w:p>
            <w:pPr>
              <w:jc w:val="center"/>
              <w:rPr>
                <w:rFonts w:asciiTheme="minorEastAsia" w:hAnsiTheme="minorEastAsia" w:eastAsiaTheme="minorEastAsia" w:cstheme="minorEastAsia"/>
                <w:color w:val="auto"/>
                <w:kern w:val="0"/>
                <w:szCs w:val="21"/>
                <w:highlight w:val="none"/>
              </w:rPr>
            </w:pPr>
          </w:p>
        </w:tc>
        <w:tc>
          <w:tcPr>
            <w:tcW w:w="788" w:type="dxa"/>
            <w:vAlign w:val="center"/>
          </w:tcPr>
          <w:p>
            <w:pPr>
              <w:jc w:val="center"/>
              <w:rPr>
                <w:rFonts w:asciiTheme="minorEastAsia" w:hAnsiTheme="minorEastAsia" w:eastAsiaTheme="minorEastAsia" w:cstheme="minorEastAsia"/>
                <w:color w:val="auto"/>
                <w:kern w:val="0"/>
                <w:szCs w:val="21"/>
                <w:highlight w:val="none"/>
              </w:rPr>
            </w:pPr>
          </w:p>
        </w:tc>
        <w:tc>
          <w:tcPr>
            <w:tcW w:w="850" w:type="dxa"/>
            <w:vAlign w:val="center"/>
          </w:tcPr>
          <w:p>
            <w:pPr>
              <w:jc w:val="center"/>
              <w:rPr>
                <w:rFonts w:asciiTheme="minorEastAsia" w:hAnsiTheme="minorEastAsia" w:eastAsiaTheme="minorEastAsia" w:cstheme="minorEastAsia"/>
                <w:color w:val="auto"/>
                <w:kern w:val="0"/>
                <w:szCs w:val="21"/>
                <w:highlight w:val="none"/>
              </w:rPr>
            </w:pPr>
          </w:p>
        </w:tc>
        <w:tc>
          <w:tcPr>
            <w:tcW w:w="2127" w:type="dxa"/>
            <w:vAlign w:val="center"/>
          </w:tcPr>
          <w:p>
            <w:pPr>
              <w:jc w:val="center"/>
              <w:rPr>
                <w:rFonts w:asciiTheme="minorEastAsia" w:hAnsiTheme="minorEastAsia" w:eastAsiaTheme="minorEastAsia" w:cstheme="minorEastAsia"/>
                <w:color w:val="auto"/>
                <w:kern w:val="0"/>
                <w:szCs w:val="21"/>
                <w:highlight w:val="none"/>
              </w:rPr>
            </w:pPr>
          </w:p>
        </w:tc>
        <w:tc>
          <w:tcPr>
            <w:tcW w:w="708" w:type="dxa"/>
            <w:vAlign w:val="center"/>
          </w:tcPr>
          <w:p>
            <w:pPr>
              <w:jc w:val="center"/>
              <w:rPr>
                <w:rFonts w:asciiTheme="minorEastAsia" w:hAnsiTheme="minorEastAsia" w:eastAsiaTheme="minorEastAsia" w:cstheme="minorEastAsia"/>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jc w:val="center"/>
              <w:rPr>
                <w:rFonts w:asciiTheme="minorEastAsia" w:hAnsiTheme="minorEastAsia" w:eastAsiaTheme="minorEastAsia" w:cstheme="minorEastAsia"/>
                <w:color w:val="auto"/>
                <w:kern w:val="0"/>
                <w:szCs w:val="21"/>
                <w:highlight w:val="none"/>
              </w:rPr>
            </w:pPr>
          </w:p>
        </w:tc>
        <w:tc>
          <w:tcPr>
            <w:tcW w:w="720" w:type="dxa"/>
            <w:vAlign w:val="center"/>
          </w:tcPr>
          <w:p>
            <w:pPr>
              <w:jc w:val="center"/>
              <w:rPr>
                <w:rFonts w:asciiTheme="minorEastAsia" w:hAnsiTheme="minorEastAsia" w:eastAsiaTheme="minorEastAsia" w:cstheme="minorEastAsia"/>
                <w:color w:val="auto"/>
                <w:kern w:val="0"/>
                <w:szCs w:val="21"/>
                <w:highlight w:val="none"/>
              </w:rPr>
            </w:pPr>
          </w:p>
        </w:tc>
        <w:tc>
          <w:tcPr>
            <w:tcW w:w="876" w:type="dxa"/>
            <w:vAlign w:val="center"/>
          </w:tcPr>
          <w:p>
            <w:pPr>
              <w:jc w:val="center"/>
              <w:rPr>
                <w:rFonts w:asciiTheme="minorEastAsia" w:hAnsiTheme="minorEastAsia" w:eastAsiaTheme="minorEastAsia" w:cstheme="minorEastAsia"/>
                <w:color w:val="auto"/>
                <w:kern w:val="0"/>
                <w:szCs w:val="21"/>
                <w:highlight w:val="none"/>
              </w:rPr>
            </w:pPr>
          </w:p>
        </w:tc>
        <w:tc>
          <w:tcPr>
            <w:tcW w:w="1356" w:type="dxa"/>
            <w:vAlign w:val="center"/>
          </w:tcPr>
          <w:p>
            <w:pPr>
              <w:jc w:val="center"/>
              <w:rPr>
                <w:rFonts w:asciiTheme="minorEastAsia" w:hAnsiTheme="minorEastAsia" w:eastAsiaTheme="minorEastAsia" w:cstheme="minorEastAsia"/>
                <w:color w:val="auto"/>
                <w:kern w:val="0"/>
                <w:szCs w:val="21"/>
                <w:highlight w:val="none"/>
              </w:rPr>
            </w:pPr>
          </w:p>
        </w:tc>
        <w:tc>
          <w:tcPr>
            <w:tcW w:w="771" w:type="dxa"/>
            <w:vAlign w:val="center"/>
          </w:tcPr>
          <w:p>
            <w:pPr>
              <w:jc w:val="center"/>
              <w:rPr>
                <w:rFonts w:asciiTheme="minorEastAsia" w:hAnsiTheme="minorEastAsia" w:eastAsiaTheme="minorEastAsia" w:cstheme="minorEastAsia"/>
                <w:color w:val="auto"/>
                <w:kern w:val="0"/>
                <w:szCs w:val="21"/>
                <w:highlight w:val="none"/>
              </w:rPr>
            </w:pPr>
          </w:p>
        </w:tc>
        <w:tc>
          <w:tcPr>
            <w:tcW w:w="788" w:type="dxa"/>
            <w:vAlign w:val="center"/>
          </w:tcPr>
          <w:p>
            <w:pPr>
              <w:jc w:val="center"/>
              <w:rPr>
                <w:rFonts w:asciiTheme="minorEastAsia" w:hAnsiTheme="minorEastAsia" w:eastAsiaTheme="minorEastAsia" w:cstheme="minorEastAsia"/>
                <w:color w:val="auto"/>
                <w:kern w:val="0"/>
                <w:szCs w:val="21"/>
                <w:highlight w:val="none"/>
              </w:rPr>
            </w:pPr>
          </w:p>
        </w:tc>
        <w:tc>
          <w:tcPr>
            <w:tcW w:w="850" w:type="dxa"/>
            <w:vAlign w:val="center"/>
          </w:tcPr>
          <w:p>
            <w:pPr>
              <w:jc w:val="center"/>
              <w:rPr>
                <w:rFonts w:asciiTheme="minorEastAsia" w:hAnsiTheme="minorEastAsia" w:eastAsiaTheme="minorEastAsia" w:cstheme="minorEastAsia"/>
                <w:color w:val="auto"/>
                <w:kern w:val="0"/>
                <w:szCs w:val="21"/>
                <w:highlight w:val="none"/>
              </w:rPr>
            </w:pPr>
          </w:p>
        </w:tc>
        <w:tc>
          <w:tcPr>
            <w:tcW w:w="2127" w:type="dxa"/>
            <w:vAlign w:val="center"/>
          </w:tcPr>
          <w:p>
            <w:pPr>
              <w:jc w:val="center"/>
              <w:rPr>
                <w:rFonts w:asciiTheme="minorEastAsia" w:hAnsiTheme="minorEastAsia" w:eastAsiaTheme="minorEastAsia" w:cstheme="minorEastAsia"/>
                <w:color w:val="auto"/>
                <w:kern w:val="0"/>
                <w:szCs w:val="21"/>
                <w:highlight w:val="none"/>
              </w:rPr>
            </w:pPr>
          </w:p>
        </w:tc>
        <w:tc>
          <w:tcPr>
            <w:tcW w:w="708" w:type="dxa"/>
            <w:vAlign w:val="center"/>
          </w:tcPr>
          <w:p>
            <w:pPr>
              <w:jc w:val="center"/>
              <w:rPr>
                <w:rFonts w:asciiTheme="minorEastAsia" w:hAnsiTheme="minorEastAsia" w:eastAsiaTheme="minorEastAsia" w:cstheme="minorEastAsia"/>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jc w:val="center"/>
              <w:rPr>
                <w:rFonts w:asciiTheme="minorEastAsia" w:hAnsiTheme="minorEastAsia" w:eastAsiaTheme="minorEastAsia" w:cstheme="minorEastAsia"/>
                <w:color w:val="auto"/>
                <w:kern w:val="0"/>
                <w:szCs w:val="21"/>
                <w:highlight w:val="none"/>
              </w:rPr>
            </w:pPr>
          </w:p>
        </w:tc>
        <w:tc>
          <w:tcPr>
            <w:tcW w:w="720" w:type="dxa"/>
            <w:vAlign w:val="center"/>
          </w:tcPr>
          <w:p>
            <w:pPr>
              <w:jc w:val="center"/>
              <w:rPr>
                <w:rFonts w:asciiTheme="minorEastAsia" w:hAnsiTheme="minorEastAsia" w:eastAsiaTheme="minorEastAsia" w:cstheme="minorEastAsia"/>
                <w:color w:val="auto"/>
                <w:kern w:val="0"/>
                <w:szCs w:val="21"/>
                <w:highlight w:val="none"/>
              </w:rPr>
            </w:pPr>
          </w:p>
        </w:tc>
        <w:tc>
          <w:tcPr>
            <w:tcW w:w="876" w:type="dxa"/>
            <w:vAlign w:val="center"/>
          </w:tcPr>
          <w:p>
            <w:pPr>
              <w:jc w:val="center"/>
              <w:rPr>
                <w:rFonts w:asciiTheme="minorEastAsia" w:hAnsiTheme="minorEastAsia" w:eastAsiaTheme="minorEastAsia" w:cstheme="minorEastAsia"/>
                <w:color w:val="auto"/>
                <w:kern w:val="0"/>
                <w:szCs w:val="21"/>
                <w:highlight w:val="none"/>
              </w:rPr>
            </w:pPr>
          </w:p>
        </w:tc>
        <w:tc>
          <w:tcPr>
            <w:tcW w:w="1356" w:type="dxa"/>
            <w:vAlign w:val="center"/>
          </w:tcPr>
          <w:p>
            <w:pPr>
              <w:jc w:val="center"/>
              <w:rPr>
                <w:rFonts w:asciiTheme="minorEastAsia" w:hAnsiTheme="minorEastAsia" w:eastAsiaTheme="minorEastAsia" w:cstheme="minorEastAsia"/>
                <w:color w:val="auto"/>
                <w:kern w:val="0"/>
                <w:szCs w:val="21"/>
                <w:highlight w:val="none"/>
              </w:rPr>
            </w:pPr>
          </w:p>
        </w:tc>
        <w:tc>
          <w:tcPr>
            <w:tcW w:w="771" w:type="dxa"/>
            <w:vAlign w:val="center"/>
          </w:tcPr>
          <w:p>
            <w:pPr>
              <w:jc w:val="center"/>
              <w:rPr>
                <w:rFonts w:asciiTheme="minorEastAsia" w:hAnsiTheme="minorEastAsia" w:eastAsiaTheme="minorEastAsia" w:cstheme="minorEastAsia"/>
                <w:color w:val="auto"/>
                <w:kern w:val="0"/>
                <w:szCs w:val="21"/>
                <w:highlight w:val="none"/>
              </w:rPr>
            </w:pPr>
          </w:p>
        </w:tc>
        <w:tc>
          <w:tcPr>
            <w:tcW w:w="788" w:type="dxa"/>
            <w:vAlign w:val="center"/>
          </w:tcPr>
          <w:p>
            <w:pPr>
              <w:jc w:val="center"/>
              <w:rPr>
                <w:rFonts w:asciiTheme="minorEastAsia" w:hAnsiTheme="minorEastAsia" w:eastAsiaTheme="minorEastAsia" w:cstheme="minorEastAsia"/>
                <w:color w:val="auto"/>
                <w:kern w:val="0"/>
                <w:szCs w:val="21"/>
                <w:highlight w:val="none"/>
              </w:rPr>
            </w:pPr>
          </w:p>
        </w:tc>
        <w:tc>
          <w:tcPr>
            <w:tcW w:w="850" w:type="dxa"/>
            <w:vAlign w:val="center"/>
          </w:tcPr>
          <w:p>
            <w:pPr>
              <w:jc w:val="center"/>
              <w:rPr>
                <w:rFonts w:asciiTheme="minorEastAsia" w:hAnsiTheme="minorEastAsia" w:eastAsiaTheme="minorEastAsia" w:cstheme="minorEastAsia"/>
                <w:color w:val="auto"/>
                <w:kern w:val="0"/>
                <w:szCs w:val="21"/>
                <w:highlight w:val="none"/>
              </w:rPr>
            </w:pPr>
          </w:p>
        </w:tc>
        <w:tc>
          <w:tcPr>
            <w:tcW w:w="2127" w:type="dxa"/>
            <w:vAlign w:val="center"/>
          </w:tcPr>
          <w:p>
            <w:pPr>
              <w:jc w:val="center"/>
              <w:rPr>
                <w:rFonts w:asciiTheme="minorEastAsia" w:hAnsiTheme="minorEastAsia" w:eastAsiaTheme="minorEastAsia" w:cstheme="minorEastAsia"/>
                <w:color w:val="auto"/>
                <w:kern w:val="0"/>
                <w:szCs w:val="21"/>
                <w:highlight w:val="none"/>
              </w:rPr>
            </w:pPr>
          </w:p>
        </w:tc>
        <w:tc>
          <w:tcPr>
            <w:tcW w:w="708" w:type="dxa"/>
            <w:vAlign w:val="center"/>
          </w:tcPr>
          <w:p>
            <w:pPr>
              <w:jc w:val="center"/>
              <w:rPr>
                <w:rFonts w:asciiTheme="minorEastAsia" w:hAnsiTheme="minorEastAsia" w:eastAsiaTheme="minorEastAsia" w:cstheme="minorEastAsia"/>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jc w:val="center"/>
              <w:rPr>
                <w:rFonts w:asciiTheme="minorEastAsia" w:hAnsiTheme="minorEastAsia" w:eastAsiaTheme="minorEastAsia" w:cstheme="minorEastAsia"/>
                <w:color w:val="auto"/>
                <w:kern w:val="0"/>
                <w:szCs w:val="21"/>
                <w:highlight w:val="none"/>
              </w:rPr>
            </w:pPr>
          </w:p>
        </w:tc>
        <w:tc>
          <w:tcPr>
            <w:tcW w:w="720" w:type="dxa"/>
            <w:vAlign w:val="center"/>
          </w:tcPr>
          <w:p>
            <w:pPr>
              <w:jc w:val="center"/>
              <w:rPr>
                <w:rFonts w:asciiTheme="minorEastAsia" w:hAnsiTheme="minorEastAsia" w:eastAsiaTheme="minorEastAsia" w:cstheme="minorEastAsia"/>
                <w:color w:val="auto"/>
                <w:kern w:val="0"/>
                <w:szCs w:val="21"/>
                <w:highlight w:val="none"/>
              </w:rPr>
            </w:pPr>
          </w:p>
        </w:tc>
        <w:tc>
          <w:tcPr>
            <w:tcW w:w="876" w:type="dxa"/>
            <w:vAlign w:val="center"/>
          </w:tcPr>
          <w:p>
            <w:pPr>
              <w:jc w:val="center"/>
              <w:rPr>
                <w:rFonts w:asciiTheme="minorEastAsia" w:hAnsiTheme="minorEastAsia" w:eastAsiaTheme="minorEastAsia" w:cstheme="minorEastAsia"/>
                <w:color w:val="auto"/>
                <w:kern w:val="0"/>
                <w:szCs w:val="21"/>
                <w:highlight w:val="none"/>
              </w:rPr>
            </w:pPr>
          </w:p>
        </w:tc>
        <w:tc>
          <w:tcPr>
            <w:tcW w:w="1356" w:type="dxa"/>
            <w:vAlign w:val="center"/>
          </w:tcPr>
          <w:p>
            <w:pPr>
              <w:jc w:val="center"/>
              <w:rPr>
                <w:rFonts w:asciiTheme="minorEastAsia" w:hAnsiTheme="minorEastAsia" w:eastAsiaTheme="minorEastAsia" w:cstheme="minorEastAsia"/>
                <w:color w:val="auto"/>
                <w:kern w:val="0"/>
                <w:szCs w:val="21"/>
                <w:highlight w:val="none"/>
              </w:rPr>
            </w:pPr>
          </w:p>
        </w:tc>
        <w:tc>
          <w:tcPr>
            <w:tcW w:w="771" w:type="dxa"/>
            <w:vAlign w:val="center"/>
          </w:tcPr>
          <w:p>
            <w:pPr>
              <w:jc w:val="center"/>
              <w:rPr>
                <w:rFonts w:asciiTheme="minorEastAsia" w:hAnsiTheme="minorEastAsia" w:eastAsiaTheme="minorEastAsia" w:cstheme="minorEastAsia"/>
                <w:color w:val="auto"/>
                <w:kern w:val="0"/>
                <w:szCs w:val="21"/>
                <w:highlight w:val="none"/>
              </w:rPr>
            </w:pPr>
          </w:p>
        </w:tc>
        <w:tc>
          <w:tcPr>
            <w:tcW w:w="788" w:type="dxa"/>
            <w:vAlign w:val="center"/>
          </w:tcPr>
          <w:p>
            <w:pPr>
              <w:jc w:val="center"/>
              <w:rPr>
                <w:rFonts w:asciiTheme="minorEastAsia" w:hAnsiTheme="minorEastAsia" w:eastAsiaTheme="minorEastAsia" w:cstheme="minorEastAsia"/>
                <w:color w:val="auto"/>
                <w:kern w:val="0"/>
                <w:szCs w:val="21"/>
                <w:highlight w:val="none"/>
              </w:rPr>
            </w:pPr>
          </w:p>
        </w:tc>
        <w:tc>
          <w:tcPr>
            <w:tcW w:w="850" w:type="dxa"/>
            <w:vAlign w:val="center"/>
          </w:tcPr>
          <w:p>
            <w:pPr>
              <w:jc w:val="center"/>
              <w:rPr>
                <w:rFonts w:asciiTheme="minorEastAsia" w:hAnsiTheme="minorEastAsia" w:eastAsiaTheme="minorEastAsia" w:cstheme="minorEastAsia"/>
                <w:color w:val="auto"/>
                <w:kern w:val="0"/>
                <w:szCs w:val="21"/>
                <w:highlight w:val="none"/>
              </w:rPr>
            </w:pPr>
          </w:p>
        </w:tc>
        <w:tc>
          <w:tcPr>
            <w:tcW w:w="2127" w:type="dxa"/>
            <w:vAlign w:val="center"/>
          </w:tcPr>
          <w:p>
            <w:pPr>
              <w:jc w:val="center"/>
              <w:rPr>
                <w:rFonts w:asciiTheme="minorEastAsia" w:hAnsiTheme="minorEastAsia" w:eastAsiaTheme="minorEastAsia" w:cstheme="minorEastAsia"/>
                <w:color w:val="auto"/>
                <w:kern w:val="0"/>
                <w:szCs w:val="21"/>
                <w:highlight w:val="none"/>
              </w:rPr>
            </w:pPr>
          </w:p>
        </w:tc>
        <w:tc>
          <w:tcPr>
            <w:tcW w:w="708" w:type="dxa"/>
            <w:vAlign w:val="center"/>
          </w:tcPr>
          <w:p>
            <w:pPr>
              <w:jc w:val="center"/>
              <w:rPr>
                <w:rFonts w:asciiTheme="minorEastAsia" w:hAnsiTheme="minorEastAsia" w:eastAsiaTheme="minorEastAsia" w:cstheme="minorEastAsia"/>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jc w:val="center"/>
              <w:rPr>
                <w:rFonts w:asciiTheme="minorEastAsia" w:hAnsiTheme="minorEastAsia" w:eastAsiaTheme="minorEastAsia" w:cstheme="minorEastAsia"/>
                <w:color w:val="auto"/>
                <w:kern w:val="0"/>
                <w:szCs w:val="21"/>
                <w:highlight w:val="none"/>
              </w:rPr>
            </w:pPr>
          </w:p>
        </w:tc>
        <w:tc>
          <w:tcPr>
            <w:tcW w:w="720" w:type="dxa"/>
            <w:vAlign w:val="center"/>
          </w:tcPr>
          <w:p>
            <w:pPr>
              <w:jc w:val="center"/>
              <w:rPr>
                <w:rFonts w:asciiTheme="minorEastAsia" w:hAnsiTheme="minorEastAsia" w:eastAsiaTheme="minorEastAsia" w:cstheme="minorEastAsia"/>
                <w:color w:val="auto"/>
                <w:kern w:val="0"/>
                <w:szCs w:val="21"/>
                <w:highlight w:val="none"/>
              </w:rPr>
            </w:pPr>
          </w:p>
        </w:tc>
        <w:tc>
          <w:tcPr>
            <w:tcW w:w="876" w:type="dxa"/>
            <w:vAlign w:val="center"/>
          </w:tcPr>
          <w:p>
            <w:pPr>
              <w:jc w:val="center"/>
              <w:rPr>
                <w:rFonts w:asciiTheme="minorEastAsia" w:hAnsiTheme="minorEastAsia" w:eastAsiaTheme="minorEastAsia" w:cstheme="minorEastAsia"/>
                <w:color w:val="auto"/>
                <w:kern w:val="0"/>
                <w:szCs w:val="21"/>
                <w:highlight w:val="none"/>
              </w:rPr>
            </w:pPr>
          </w:p>
        </w:tc>
        <w:tc>
          <w:tcPr>
            <w:tcW w:w="1356" w:type="dxa"/>
            <w:vAlign w:val="center"/>
          </w:tcPr>
          <w:p>
            <w:pPr>
              <w:jc w:val="center"/>
              <w:rPr>
                <w:rFonts w:asciiTheme="minorEastAsia" w:hAnsiTheme="minorEastAsia" w:eastAsiaTheme="minorEastAsia" w:cstheme="minorEastAsia"/>
                <w:color w:val="auto"/>
                <w:kern w:val="0"/>
                <w:szCs w:val="21"/>
                <w:highlight w:val="none"/>
              </w:rPr>
            </w:pPr>
          </w:p>
        </w:tc>
        <w:tc>
          <w:tcPr>
            <w:tcW w:w="771" w:type="dxa"/>
            <w:vAlign w:val="center"/>
          </w:tcPr>
          <w:p>
            <w:pPr>
              <w:jc w:val="center"/>
              <w:rPr>
                <w:rFonts w:asciiTheme="minorEastAsia" w:hAnsiTheme="minorEastAsia" w:eastAsiaTheme="minorEastAsia" w:cstheme="minorEastAsia"/>
                <w:color w:val="auto"/>
                <w:kern w:val="0"/>
                <w:szCs w:val="21"/>
                <w:highlight w:val="none"/>
              </w:rPr>
            </w:pPr>
          </w:p>
        </w:tc>
        <w:tc>
          <w:tcPr>
            <w:tcW w:w="788" w:type="dxa"/>
            <w:vAlign w:val="center"/>
          </w:tcPr>
          <w:p>
            <w:pPr>
              <w:jc w:val="center"/>
              <w:rPr>
                <w:rFonts w:asciiTheme="minorEastAsia" w:hAnsiTheme="minorEastAsia" w:eastAsiaTheme="minorEastAsia" w:cstheme="minorEastAsia"/>
                <w:color w:val="auto"/>
                <w:kern w:val="0"/>
                <w:szCs w:val="21"/>
                <w:highlight w:val="none"/>
              </w:rPr>
            </w:pPr>
          </w:p>
        </w:tc>
        <w:tc>
          <w:tcPr>
            <w:tcW w:w="850" w:type="dxa"/>
            <w:vAlign w:val="center"/>
          </w:tcPr>
          <w:p>
            <w:pPr>
              <w:jc w:val="center"/>
              <w:rPr>
                <w:rFonts w:asciiTheme="minorEastAsia" w:hAnsiTheme="minorEastAsia" w:eastAsiaTheme="minorEastAsia" w:cstheme="minorEastAsia"/>
                <w:color w:val="auto"/>
                <w:kern w:val="0"/>
                <w:szCs w:val="21"/>
                <w:highlight w:val="none"/>
              </w:rPr>
            </w:pPr>
          </w:p>
        </w:tc>
        <w:tc>
          <w:tcPr>
            <w:tcW w:w="2127" w:type="dxa"/>
            <w:vAlign w:val="center"/>
          </w:tcPr>
          <w:p>
            <w:pPr>
              <w:jc w:val="center"/>
              <w:rPr>
                <w:rFonts w:asciiTheme="minorEastAsia" w:hAnsiTheme="minorEastAsia" w:eastAsiaTheme="minorEastAsia" w:cstheme="minorEastAsia"/>
                <w:color w:val="auto"/>
                <w:kern w:val="0"/>
                <w:szCs w:val="21"/>
                <w:highlight w:val="none"/>
              </w:rPr>
            </w:pPr>
          </w:p>
        </w:tc>
        <w:tc>
          <w:tcPr>
            <w:tcW w:w="708" w:type="dxa"/>
            <w:vAlign w:val="center"/>
          </w:tcPr>
          <w:p>
            <w:pPr>
              <w:jc w:val="center"/>
              <w:rPr>
                <w:rFonts w:asciiTheme="minorEastAsia" w:hAnsiTheme="minorEastAsia" w:eastAsiaTheme="minorEastAsia" w:cstheme="minorEastAsia"/>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jc w:val="center"/>
              <w:rPr>
                <w:rFonts w:asciiTheme="minorEastAsia" w:hAnsiTheme="minorEastAsia" w:eastAsiaTheme="minorEastAsia" w:cstheme="minorEastAsia"/>
                <w:color w:val="auto"/>
                <w:kern w:val="0"/>
                <w:szCs w:val="21"/>
                <w:highlight w:val="none"/>
              </w:rPr>
            </w:pPr>
          </w:p>
        </w:tc>
        <w:tc>
          <w:tcPr>
            <w:tcW w:w="720" w:type="dxa"/>
            <w:vAlign w:val="center"/>
          </w:tcPr>
          <w:p>
            <w:pPr>
              <w:jc w:val="center"/>
              <w:rPr>
                <w:rFonts w:asciiTheme="minorEastAsia" w:hAnsiTheme="minorEastAsia" w:eastAsiaTheme="minorEastAsia" w:cstheme="minorEastAsia"/>
                <w:color w:val="auto"/>
                <w:kern w:val="0"/>
                <w:szCs w:val="21"/>
                <w:highlight w:val="none"/>
              </w:rPr>
            </w:pPr>
          </w:p>
        </w:tc>
        <w:tc>
          <w:tcPr>
            <w:tcW w:w="876" w:type="dxa"/>
            <w:vAlign w:val="center"/>
          </w:tcPr>
          <w:p>
            <w:pPr>
              <w:jc w:val="center"/>
              <w:rPr>
                <w:rFonts w:asciiTheme="minorEastAsia" w:hAnsiTheme="minorEastAsia" w:eastAsiaTheme="minorEastAsia" w:cstheme="minorEastAsia"/>
                <w:color w:val="auto"/>
                <w:kern w:val="0"/>
                <w:szCs w:val="21"/>
                <w:highlight w:val="none"/>
              </w:rPr>
            </w:pPr>
          </w:p>
        </w:tc>
        <w:tc>
          <w:tcPr>
            <w:tcW w:w="1356" w:type="dxa"/>
            <w:vAlign w:val="center"/>
          </w:tcPr>
          <w:p>
            <w:pPr>
              <w:jc w:val="center"/>
              <w:rPr>
                <w:rFonts w:asciiTheme="minorEastAsia" w:hAnsiTheme="minorEastAsia" w:eastAsiaTheme="minorEastAsia" w:cstheme="minorEastAsia"/>
                <w:color w:val="auto"/>
                <w:kern w:val="0"/>
                <w:szCs w:val="21"/>
                <w:highlight w:val="none"/>
              </w:rPr>
            </w:pPr>
          </w:p>
        </w:tc>
        <w:tc>
          <w:tcPr>
            <w:tcW w:w="771" w:type="dxa"/>
            <w:vAlign w:val="center"/>
          </w:tcPr>
          <w:p>
            <w:pPr>
              <w:jc w:val="center"/>
              <w:rPr>
                <w:rFonts w:asciiTheme="minorEastAsia" w:hAnsiTheme="minorEastAsia" w:eastAsiaTheme="minorEastAsia" w:cstheme="minorEastAsia"/>
                <w:color w:val="auto"/>
                <w:kern w:val="0"/>
                <w:szCs w:val="21"/>
                <w:highlight w:val="none"/>
              </w:rPr>
            </w:pPr>
          </w:p>
        </w:tc>
        <w:tc>
          <w:tcPr>
            <w:tcW w:w="788" w:type="dxa"/>
            <w:vAlign w:val="center"/>
          </w:tcPr>
          <w:p>
            <w:pPr>
              <w:jc w:val="center"/>
              <w:rPr>
                <w:rFonts w:asciiTheme="minorEastAsia" w:hAnsiTheme="minorEastAsia" w:eastAsiaTheme="minorEastAsia" w:cstheme="minorEastAsia"/>
                <w:color w:val="auto"/>
                <w:kern w:val="0"/>
                <w:szCs w:val="21"/>
                <w:highlight w:val="none"/>
              </w:rPr>
            </w:pPr>
          </w:p>
        </w:tc>
        <w:tc>
          <w:tcPr>
            <w:tcW w:w="850" w:type="dxa"/>
            <w:vAlign w:val="center"/>
          </w:tcPr>
          <w:p>
            <w:pPr>
              <w:jc w:val="center"/>
              <w:rPr>
                <w:rFonts w:asciiTheme="minorEastAsia" w:hAnsiTheme="minorEastAsia" w:eastAsiaTheme="minorEastAsia" w:cstheme="minorEastAsia"/>
                <w:color w:val="auto"/>
                <w:kern w:val="0"/>
                <w:szCs w:val="21"/>
                <w:highlight w:val="none"/>
              </w:rPr>
            </w:pPr>
          </w:p>
        </w:tc>
        <w:tc>
          <w:tcPr>
            <w:tcW w:w="2127" w:type="dxa"/>
            <w:vAlign w:val="center"/>
          </w:tcPr>
          <w:p>
            <w:pPr>
              <w:jc w:val="center"/>
              <w:rPr>
                <w:rFonts w:asciiTheme="minorEastAsia" w:hAnsiTheme="minorEastAsia" w:eastAsiaTheme="minorEastAsia" w:cstheme="minorEastAsia"/>
                <w:color w:val="auto"/>
                <w:kern w:val="0"/>
                <w:szCs w:val="21"/>
                <w:highlight w:val="none"/>
              </w:rPr>
            </w:pPr>
          </w:p>
        </w:tc>
        <w:tc>
          <w:tcPr>
            <w:tcW w:w="708" w:type="dxa"/>
            <w:vAlign w:val="center"/>
          </w:tcPr>
          <w:p>
            <w:pPr>
              <w:jc w:val="center"/>
              <w:rPr>
                <w:rFonts w:asciiTheme="minorEastAsia" w:hAnsiTheme="minorEastAsia" w:eastAsiaTheme="minorEastAsia" w:cstheme="minorEastAsia"/>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jc w:val="center"/>
              <w:rPr>
                <w:rFonts w:asciiTheme="minorEastAsia" w:hAnsiTheme="minorEastAsia" w:eastAsiaTheme="minorEastAsia" w:cstheme="minorEastAsia"/>
                <w:color w:val="auto"/>
                <w:kern w:val="0"/>
                <w:szCs w:val="21"/>
                <w:highlight w:val="none"/>
              </w:rPr>
            </w:pPr>
          </w:p>
        </w:tc>
        <w:tc>
          <w:tcPr>
            <w:tcW w:w="720" w:type="dxa"/>
            <w:vAlign w:val="center"/>
          </w:tcPr>
          <w:p>
            <w:pPr>
              <w:jc w:val="center"/>
              <w:rPr>
                <w:rFonts w:asciiTheme="minorEastAsia" w:hAnsiTheme="minorEastAsia" w:eastAsiaTheme="minorEastAsia" w:cstheme="minorEastAsia"/>
                <w:color w:val="auto"/>
                <w:kern w:val="0"/>
                <w:szCs w:val="21"/>
                <w:highlight w:val="none"/>
              </w:rPr>
            </w:pPr>
          </w:p>
        </w:tc>
        <w:tc>
          <w:tcPr>
            <w:tcW w:w="876" w:type="dxa"/>
            <w:vAlign w:val="center"/>
          </w:tcPr>
          <w:p>
            <w:pPr>
              <w:jc w:val="center"/>
              <w:rPr>
                <w:rFonts w:asciiTheme="minorEastAsia" w:hAnsiTheme="minorEastAsia" w:eastAsiaTheme="minorEastAsia" w:cstheme="minorEastAsia"/>
                <w:color w:val="auto"/>
                <w:kern w:val="0"/>
                <w:szCs w:val="21"/>
                <w:highlight w:val="none"/>
              </w:rPr>
            </w:pPr>
          </w:p>
        </w:tc>
        <w:tc>
          <w:tcPr>
            <w:tcW w:w="1356" w:type="dxa"/>
            <w:vAlign w:val="center"/>
          </w:tcPr>
          <w:p>
            <w:pPr>
              <w:jc w:val="center"/>
              <w:rPr>
                <w:rFonts w:asciiTheme="minorEastAsia" w:hAnsiTheme="minorEastAsia" w:eastAsiaTheme="minorEastAsia" w:cstheme="minorEastAsia"/>
                <w:color w:val="auto"/>
                <w:kern w:val="0"/>
                <w:szCs w:val="21"/>
                <w:highlight w:val="none"/>
              </w:rPr>
            </w:pPr>
          </w:p>
        </w:tc>
        <w:tc>
          <w:tcPr>
            <w:tcW w:w="771" w:type="dxa"/>
            <w:vAlign w:val="center"/>
          </w:tcPr>
          <w:p>
            <w:pPr>
              <w:jc w:val="center"/>
              <w:rPr>
                <w:rFonts w:asciiTheme="minorEastAsia" w:hAnsiTheme="minorEastAsia" w:eastAsiaTheme="minorEastAsia" w:cstheme="minorEastAsia"/>
                <w:color w:val="auto"/>
                <w:kern w:val="0"/>
                <w:szCs w:val="21"/>
                <w:highlight w:val="none"/>
              </w:rPr>
            </w:pPr>
          </w:p>
        </w:tc>
        <w:tc>
          <w:tcPr>
            <w:tcW w:w="788" w:type="dxa"/>
            <w:vAlign w:val="center"/>
          </w:tcPr>
          <w:p>
            <w:pPr>
              <w:jc w:val="center"/>
              <w:rPr>
                <w:rFonts w:asciiTheme="minorEastAsia" w:hAnsiTheme="minorEastAsia" w:eastAsiaTheme="minorEastAsia" w:cstheme="minorEastAsia"/>
                <w:color w:val="auto"/>
                <w:kern w:val="0"/>
                <w:szCs w:val="21"/>
                <w:highlight w:val="none"/>
              </w:rPr>
            </w:pPr>
          </w:p>
        </w:tc>
        <w:tc>
          <w:tcPr>
            <w:tcW w:w="850" w:type="dxa"/>
            <w:vAlign w:val="center"/>
          </w:tcPr>
          <w:p>
            <w:pPr>
              <w:jc w:val="center"/>
              <w:rPr>
                <w:rFonts w:asciiTheme="minorEastAsia" w:hAnsiTheme="minorEastAsia" w:eastAsiaTheme="minorEastAsia" w:cstheme="minorEastAsia"/>
                <w:color w:val="auto"/>
                <w:kern w:val="0"/>
                <w:szCs w:val="21"/>
                <w:highlight w:val="none"/>
              </w:rPr>
            </w:pPr>
          </w:p>
        </w:tc>
        <w:tc>
          <w:tcPr>
            <w:tcW w:w="2127" w:type="dxa"/>
            <w:vAlign w:val="center"/>
          </w:tcPr>
          <w:p>
            <w:pPr>
              <w:jc w:val="center"/>
              <w:rPr>
                <w:rFonts w:asciiTheme="minorEastAsia" w:hAnsiTheme="minorEastAsia" w:eastAsiaTheme="minorEastAsia" w:cstheme="minorEastAsia"/>
                <w:color w:val="auto"/>
                <w:kern w:val="0"/>
                <w:szCs w:val="21"/>
                <w:highlight w:val="none"/>
              </w:rPr>
            </w:pPr>
          </w:p>
        </w:tc>
        <w:tc>
          <w:tcPr>
            <w:tcW w:w="708" w:type="dxa"/>
            <w:vAlign w:val="center"/>
          </w:tcPr>
          <w:p>
            <w:pPr>
              <w:jc w:val="center"/>
              <w:rPr>
                <w:rFonts w:asciiTheme="minorEastAsia" w:hAnsiTheme="minorEastAsia" w:eastAsiaTheme="minorEastAsia" w:cstheme="minorEastAsia"/>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jc w:val="center"/>
              <w:rPr>
                <w:rFonts w:asciiTheme="minorEastAsia" w:hAnsiTheme="minorEastAsia" w:eastAsiaTheme="minorEastAsia" w:cstheme="minorEastAsia"/>
                <w:color w:val="auto"/>
                <w:kern w:val="0"/>
                <w:szCs w:val="21"/>
                <w:highlight w:val="none"/>
              </w:rPr>
            </w:pPr>
          </w:p>
        </w:tc>
        <w:tc>
          <w:tcPr>
            <w:tcW w:w="720" w:type="dxa"/>
            <w:vAlign w:val="center"/>
          </w:tcPr>
          <w:p>
            <w:pPr>
              <w:jc w:val="center"/>
              <w:rPr>
                <w:rFonts w:asciiTheme="minorEastAsia" w:hAnsiTheme="minorEastAsia" w:eastAsiaTheme="minorEastAsia" w:cstheme="minorEastAsia"/>
                <w:color w:val="auto"/>
                <w:kern w:val="0"/>
                <w:szCs w:val="21"/>
                <w:highlight w:val="none"/>
              </w:rPr>
            </w:pPr>
          </w:p>
        </w:tc>
        <w:tc>
          <w:tcPr>
            <w:tcW w:w="876" w:type="dxa"/>
            <w:vAlign w:val="center"/>
          </w:tcPr>
          <w:p>
            <w:pPr>
              <w:jc w:val="center"/>
              <w:rPr>
                <w:rFonts w:asciiTheme="minorEastAsia" w:hAnsiTheme="minorEastAsia" w:eastAsiaTheme="minorEastAsia" w:cstheme="minorEastAsia"/>
                <w:color w:val="auto"/>
                <w:kern w:val="0"/>
                <w:szCs w:val="21"/>
                <w:highlight w:val="none"/>
              </w:rPr>
            </w:pPr>
          </w:p>
        </w:tc>
        <w:tc>
          <w:tcPr>
            <w:tcW w:w="1356" w:type="dxa"/>
            <w:vAlign w:val="center"/>
          </w:tcPr>
          <w:p>
            <w:pPr>
              <w:jc w:val="center"/>
              <w:rPr>
                <w:rFonts w:asciiTheme="minorEastAsia" w:hAnsiTheme="minorEastAsia" w:eastAsiaTheme="minorEastAsia" w:cstheme="minorEastAsia"/>
                <w:color w:val="auto"/>
                <w:kern w:val="0"/>
                <w:szCs w:val="21"/>
                <w:highlight w:val="none"/>
              </w:rPr>
            </w:pPr>
          </w:p>
        </w:tc>
        <w:tc>
          <w:tcPr>
            <w:tcW w:w="771" w:type="dxa"/>
            <w:vAlign w:val="center"/>
          </w:tcPr>
          <w:p>
            <w:pPr>
              <w:jc w:val="center"/>
              <w:rPr>
                <w:rFonts w:asciiTheme="minorEastAsia" w:hAnsiTheme="minorEastAsia" w:eastAsiaTheme="minorEastAsia" w:cstheme="minorEastAsia"/>
                <w:color w:val="auto"/>
                <w:kern w:val="0"/>
                <w:szCs w:val="21"/>
                <w:highlight w:val="none"/>
              </w:rPr>
            </w:pPr>
          </w:p>
        </w:tc>
        <w:tc>
          <w:tcPr>
            <w:tcW w:w="788" w:type="dxa"/>
            <w:vAlign w:val="center"/>
          </w:tcPr>
          <w:p>
            <w:pPr>
              <w:jc w:val="center"/>
              <w:rPr>
                <w:rFonts w:asciiTheme="minorEastAsia" w:hAnsiTheme="minorEastAsia" w:eastAsiaTheme="minorEastAsia" w:cstheme="minorEastAsia"/>
                <w:color w:val="auto"/>
                <w:kern w:val="0"/>
                <w:szCs w:val="21"/>
                <w:highlight w:val="none"/>
              </w:rPr>
            </w:pPr>
          </w:p>
        </w:tc>
        <w:tc>
          <w:tcPr>
            <w:tcW w:w="850" w:type="dxa"/>
            <w:vAlign w:val="center"/>
          </w:tcPr>
          <w:p>
            <w:pPr>
              <w:jc w:val="center"/>
              <w:rPr>
                <w:rFonts w:asciiTheme="minorEastAsia" w:hAnsiTheme="minorEastAsia" w:eastAsiaTheme="minorEastAsia" w:cstheme="minorEastAsia"/>
                <w:color w:val="auto"/>
                <w:kern w:val="0"/>
                <w:szCs w:val="21"/>
                <w:highlight w:val="none"/>
              </w:rPr>
            </w:pPr>
          </w:p>
        </w:tc>
        <w:tc>
          <w:tcPr>
            <w:tcW w:w="2127" w:type="dxa"/>
            <w:vAlign w:val="center"/>
          </w:tcPr>
          <w:p>
            <w:pPr>
              <w:jc w:val="center"/>
              <w:rPr>
                <w:rFonts w:asciiTheme="minorEastAsia" w:hAnsiTheme="minorEastAsia" w:eastAsiaTheme="minorEastAsia" w:cstheme="minorEastAsia"/>
                <w:color w:val="auto"/>
                <w:kern w:val="0"/>
                <w:szCs w:val="21"/>
                <w:highlight w:val="none"/>
              </w:rPr>
            </w:pPr>
          </w:p>
        </w:tc>
        <w:tc>
          <w:tcPr>
            <w:tcW w:w="708" w:type="dxa"/>
            <w:vAlign w:val="center"/>
          </w:tcPr>
          <w:p>
            <w:pPr>
              <w:jc w:val="center"/>
              <w:rPr>
                <w:rFonts w:asciiTheme="minorEastAsia" w:hAnsiTheme="minorEastAsia" w:eastAsiaTheme="minorEastAsia" w:cstheme="minorEastAsia"/>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jc w:val="center"/>
              <w:rPr>
                <w:rFonts w:asciiTheme="minorEastAsia" w:hAnsiTheme="minorEastAsia" w:eastAsiaTheme="minorEastAsia" w:cstheme="minorEastAsia"/>
                <w:color w:val="auto"/>
                <w:kern w:val="0"/>
                <w:szCs w:val="21"/>
                <w:highlight w:val="none"/>
              </w:rPr>
            </w:pPr>
          </w:p>
        </w:tc>
        <w:tc>
          <w:tcPr>
            <w:tcW w:w="720" w:type="dxa"/>
            <w:vAlign w:val="center"/>
          </w:tcPr>
          <w:p>
            <w:pPr>
              <w:jc w:val="center"/>
              <w:rPr>
                <w:rFonts w:asciiTheme="minorEastAsia" w:hAnsiTheme="minorEastAsia" w:eastAsiaTheme="minorEastAsia" w:cstheme="minorEastAsia"/>
                <w:color w:val="auto"/>
                <w:kern w:val="0"/>
                <w:szCs w:val="21"/>
                <w:highlight w:val="none"/>
              </w:rPr>
            </w:pPr>
          </w:p>
        </w:tc>
        <w:tc>
          <w:tcPr>
            <w:tcW w:w="876" w:type="dxa"/>
            <w:vAlign w:val="center"/>
          </w:tcPr>
          <w:p>
            <w:pPr>
              <w:jc w:val="center"/>
              <w:rPr>
                <w:rFonts w:asciiTheme="minorEastAsia" w:hAnsiTheme="minorEastAsia" w:eastAsiaTheme="minorEastAsia" w:cstheme="minorEastAsia"/>
                <w:color w:val="auto"/>
                <w:kern w:val="0"/>
                <w:szCs w:val="21"/>
                <w:highlight w:val="none"/>
              </w:rPr>
            </w:pPr>
          </w:p>
        </w:tc>
        <w:tc>
          <w:tcPr>
            <w:tcW w:w="1356" w:type="dxa"/>
            <w:vAlign w:val="center"/>
          </w:tcPr>
          <w:p>
            <w:pPr>
              <w:jc w:val="center"/>
              <w:rPr>
                <w:rFonts w:asciiTheme="minorEastAsia" w:hAnsiTheme="minorEastAsia" w:eastAsiaTheme="minorEastAsia" w:cstheme="minorEastAsia"/>
                <w:color w:val="auto"/>
                <w:kern w:val="0"/>
                <w:szCs w:val="21"/>
                <w:highlight w:val="none"/>
              </w:rPr>
            </w:pPr>
          </w:p>
        </w:tc>
        <w:tc>
          <w:tcPr>
            <w:tcW w:w="771" w:type="dxa"/>
            <w:vAlign w:val="center"/>
          </w:tcPr>
          <w:p>
            <w:pPr>
              <w:jc w:val="center"/>
              <w:rPr>
                <w:rFonts w:asciiTheme="minorEastAsia" w:hAnsiTheme="minorEastAsia" w:eastAsiaTheme="minorEastAsia" w:cstheme="minorEastAsia"/>
                <w:color w:val="auto"/>
                <w:kern w:val="0"/>
                <w:szCs w:val="21"/>
                <w:highlight w:val="none"/>
              </w:rPr>
            </w:pPr>
          </w:p>
        </w:tc>
        <w:tc>
          <w:tcPr>
            <w:tcW w:w="788" w:type="dxa"/>
            <w:vAlign w:val="center"/>
          </w:tcPr>
          <w:p>
            <w:pPr>
              <w:jc w:val="center"/>
              <w:rPr>
                <w:rFonts w:asciiTheme="minorEastAsia" w:hAnsiTheme="minorEastAsia" w:eastAsiaTheme="minorEastAsia" w:cstheme="minorEastAsia"/>
                <w:color w:val="auto"/>
                <w:kern w:val="0"/>
                <w:szCs w:val="21"/>
                <w:highlight w:val="none"/>
              </w:rPr>
            </w:pPr>
          </w:p>
        </w:tc>
        <w:tc>
          <w:tcPr>
            <w:tcW w:w="850" w:type="dxa"/>
            <w:vAlign w:val="center"/>
          </w:tcPr>
          <w:p>
            <w:pPr>
              <w:jc w:val="center"/>
              <w:rPr>
                <w:rFonts w:asciiTheme="minorEastAsia" w:hAnsiTheme="minorEastAsia" w:eastAsiaTheme="minorEastAsia" w:cstheme="minorEastAsia"/>
                <w:color w:val="auto"/>
                <w:kern w:val="0"/>
                <w:szCs w:val="21"/>
                <w:highlight w:val="none"/>
              </w:rPr>
            </w:pPr>
          </w:p>
        </w:tc>
        <w:tc>
          <w:tcPr>
            <w:tcW w:w="2127" w:type="dxa"/>
            <w:vAlign w:val="center"/>
          </w:tcPr>
          <w:p>
            <w:pPr>
              <w:jc w:val="center"/>
              <w:rPr>
                <w:rFonts w:asciiTheme="minorEastAsia" w:hAnsiTheme="minorEastAsia" w:eastAsiaTheme="minorEastAsia" w:cstheme="minorEastAsia"/>
                <w:color w:val="auto"/>
                <w:kern w:val="0"/>
                <w:szCs w:val="21"/>
                <w:highlight w:val="none"/>
              </w:rPr>
            </w:pPr>
          </w:p>
        </w:tc>
        <w:tc>
          <w:tcPr>
            <w:tcW w:w="708" w:type="dxa"/>
            <w:vAlign w:val="center"/>
          </w:tcPr>
          <w:p>
            <w:pPr>
              <w:jc w:val="center"/>
              <w:rPr>
                <w:rFonts w:asciiTheme="minorEastAsia" w:hAnsiTheme="minorEastAsia" w:eastAsiaTheme="minorEastAsia" w:cstheme="minorEastAsia"/>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jc w:val="center"/>
              <w:rPr>
                <w:rFonts w:asciiTheme="minorEastAsia" w:hAnsiTheme="minorEastAsia" w:eastAsiaTheme="minorEastAsia" w:cstheme="minorEastAsia"/>
                <w:color w:val="auto"/>
                <w:kern w:val="0"/>
                <w:szCs w:val="21"/>
                <w:highlight w:val="none"/>
              </w:rPr>
            </w:pPr>
          </w:p>
        </w:tc>
        <w:tc>
          <w:tcPr>
            <w:tcW w:w="720" w:type="dxa"/>
            <w:vAlign w:val="center"/>
          </w:tcPr>
          <w:p>
            <w:pPr>
              <w:jc w:val="center"/>
              <w:rPr>
                <w:rFonts w:asciiTheme="minorEastAsia" w:hAnsiTheme="minorEastAsia" w:eastAsiaTheme="minorEastAsia" w:cstheme="minorEastAsia"/>
                <w:color w:val="auto"/>
                <w:kern w:val="0"/>
                <w:szCs w:val="21"/>
                <w:highlight w:val="none"/>
              </w:rPr>
            </w:pPr>
          </w:p>
        </w:tc>
        <w:tc>
          <w:tcPr>
            <w:tcW w:w="876" w:type="dxa"/>
            <w:vAlign w:val="center"/>
          </w:tcPr>
          <w:p>
            <w:pPr>
              <w:jc w:val="center"/>
              <w:rPr>
                <w:rFonts w:asciiTheme="minorEastAsia" w:hAnsiTheme="minorEastAsia" w:eastAsiaTheme="minorEastAsia" w:cstheme="minorEastAsia"/>
                <w:color w:val="auto"/>
                <w:kern w:val="0"/>
                <w:szCs w:val="21"/>
                <w:highlight w:val="none"/>
              </w:rPr>
            </w:pPr>
          </w:p>
        </w:tc>
        <w:tc>
          <w:tcPr>
            <w:tcW w:w="1356" w:type="dxa"/>
            <w:vAlign w:val="center"/>
          </w:tcPr>
          <w:p>
            <w:pPr>
              <w:jc w:val="center"/>
              <w:rPr>
                <w:rFonts w:asciiTheme="minorEastAsia" w:hAnsiTheme="minorEastAsia" w:eastAsiaTheme="minorEastAsia" w:cstheme="minorEastAsia"/>
                <w:color w:val="auto"/>
                <w:kern w:val="0"/>
                <w:szCs w:val="21"/>
                <w:highlight w:val="none"/>
              </w:rPr>
            </w:pPr>
          </w:p>
        </w:tc>
        <w:tc>
          <w:tcPr>
            <w:tcW w:w="771" w:type="dxa"/>
            <w:vAlign w:val="center"/>
          </w:tcPr>
          <w:p>
            <w:pPr>
              <w:jc w:val="center"/>
              <w:rPr>
                <w:rFonts w:asciiTheme="minorEastAsia" w:hAnsiTheme="minorEastAsia" w:eastAsiaTheme="minorEastAsia" w:cstheme="minorEastAsia"/>
                <w:color w:val="auto"/>
                <w:kern w:val="0"/>
                <w:szCs w:val="21"/>
                <w:highlight w:val="none"/>
              </w:rPr>
            </w:pPr>
          </w:p>
        </w:tc>
        <w:tc>
          <w:tcPr>
            <w:tcW w:w="788" w:type="dxa"/>
            <w:vAlign w:val="center"/>
          </w:tcPr>
          <w:p>
            <w:pPr>
              <w:jc w:val="center"/>
              <w:rPr>
                <w:rFonts w:asciiTheme="minorEastAsia" w:hAnsiTheme="minorEastAsia" w:eastAsiaTheme="minorEastAsia" w:cstheme="minorEastAsia"/>
                <w:color w:val="auto"/>
                <w:kern w:val="0"/>
                <w:szCs w:val="21"/>
                <w:highlight w:val="none"/>
              </w:rPr>
            </w:pPr>
          </w:p>
        </w:tc>
        <w:tc>
          <w:tcPr>
            <w:tcW w:w="850" w:type="dxa"/>
            <w:vAlign w:val="center"/>
          </w:tcPr>
          <w:p>
            <w:pPr>
              <w:jc w:val="center"/>
              <w:rPr>
                <w:rFonts w:asciiTheme="minorEastAsia" w:hAnsiTheme="minorEastAsia" w:eastAsiaTheme="minorEastAsia" w:cstheme="minorEastAsia"/>
                <w:color w:val="auto"/>
                <w:kern w:val="0"/>
                <w:szCs w:val="21"/>
                <w:highlight w:val="none"/>
              </w:rPr>
            </w:pPr>
          </w:p>
        </w:tc>
        <w:tc>
          <w:tcPr>
            <w:tcW w:w="2127" w:type="dxa"/>
            <w:vAlign w:val="center"/>
          </w:tcPr>
          <w:p>
            <w:pPr>
              <w:jc w:val="center"/>
              <w:rPr>
                <w:rFonts w:asciiTheme="minorEastAsia" w:hAnsiTheme="minorEastAsia" w:eastAsiaTheme="minorEastAsia" w:cstheme="minorEastAsia"/>
                <w:color w:val="auto"/>
                <w:kern w:val="0"/>
                <w:szCs w:val="21"/>
                <w:highlight w:val="none"/>
              </w:rPr>
            </w:pPr>
          </w:p>
        </w:tc>
        <w:tc>
          <w:tcPr>
            <w:tcW w:w="708" w:type="dxa"/>
            <w:vAlign w:val="center"/>
          </w:tcPr>
          <w:p>
            <w:pPr>
              <w:jc w:val="center"/>
              <w:rPr>
                <w:rFonts w:asciiTheme="minorEastAsia" w:hAnsiTheme="minorEastAsia" w:eastAsiaTheme="minorEastAsia" w:cstheme="minorEastAsia"/>
                <w:color w:val="auto"/>
                <w:kern w:val="0"/>
                <w:szCs w:val="21"/>
                <w:highlight w:val="none"/>
              </w:rPr>
            </w:pPr>
          </w:p>
        </w:tc>
      </w:tr>
    </w:tbl>
    <w:p>
      <w:pPr>
        <w:spacing w:line="480" w:lineRule="auto"/>
        <w:ind w:firstLine="422" w:firstLineChars="200"/>
        <w:jc w:val="left"/>
        <w:rPr>
          <w:rFonts w:ascii="宋体" w:hAnsi="宋体"/>
          <w:b/>
          <w:color w:val="auto"/>
          <w:szCs w:val="21"/>
          <w:highlight w:val="none"/>
        </w:rPr>
      </w:pPr>
    </w:p>
    <w:p>
      <w:pPr>
        <w:spacing w:line="480" w:lineRule="auto"/>
        <w:ind w:firstLine="422" w:firstLineChars="200"/>
        <w:rPr>
          <w:rFonts w:ascii="宋体" w:hAnsi="宋体"/>
          <w:b/>
          <w:color w:val="auto"/>
          <w:szCs w:val="21"/>
          <w:highlight w:val="none"/>
        </w:rPr>
      </w:pPr>
      <w:r>
        <w:rPr>
          <w:rFonts w:hint="eastAsia" w:ascii="宋体" w:hAnsi="宋体"/>
          <w:b/>
          <w:color w:val="auto"/>
          <w:szCs w:val="21"/>
          <w:highlight w:val="none"/>
        </w:rPr>
        <w:t>备注：人员应附身份证、职称证、资格证（如有）、学历证等复印件。</w:t>
      </w:r>
    </w:p>
    <w:p>
      <w:pPr>
        <w:spacing w:before="120" w:beforeLines="50" w:after="240" w:afterLines="100" w:line="440" w:lineRule="exact"/>
        <w:jc w:val="center"/>
        <w:rPr>
          <w:rFonts w:asciiTheme="minorEastAsia" w:hAnsiTheme="minorEastAsia" w:eastAsiaTheme="minorEastAsia" w:cstheme="minorEastAsia"/>
          <w:b/>
          <w:color w:val="auto"/>
          <w:szCs w:val="21"/>
          <w:highlight w:val="none"/>
        </w:rPr>
      </w:pPr>
      <w:r>
        <w:rPr>
          <w:rFonts w:hint="eastAsia"/>
          <w:b/>
          <w:color w:val="auto"/>
          <w:sz w:val="30"/>
          <w:szCs w:val="30"/>
          <w:highlight w:val="none"/>
        </w:rPr>
        <w:br w:type="page"/>
      </w:r>
      <w:r>
        <w:rPr>
          <w:rFonts w:hint="eastAsia" w:asciiTheme="minorEastAsia" w:hAnsiTheme="minorEastAsia" w:eastAsiaTheme="minorEastAsia" w:cstheme="minorEastAsia"/>
          <w:b/>
          <w:color w:val="auto"/>
          <w:kern w:val="0"/>
          <w:szCs w:val="21"/>
          <w:highlight w:val="none"/>
        </w:rPr>
        <w:t>（二）</w:t>
      </w:r>
      <w:r>
        <w:rPr>
          <w:rFonts w:hint="eastAsia" w:asciiTheme="minorEastAsia" w:hAnsiTheme="minorEastAsia" w:eastAsiaTheme="minorEastAsia" w:cstheme="minorEastAsia"/>
          <w:b/>
          <w:color w:val="auto"/>
          <w:szCs w:val="21"/>
          <w:highlight w:val="none"/>
        </w:rPr>
        <w:t>主要人员简历表</w:t>
      </w:r>
    </w:p>
    <w:p>
      <w:pPr>
        <w:spacing w:before="120" w:beforeLines="50" w:after="240" w:afterLines="100" w:line="440" w:lineRule="exact"/>
        <w:rPr>
          <w:rFonts w:asciiTheme="minorEastAsia" w:hAnsiTheme="minorEastAsia" w:eastAsiaTheme="minorEastAsia" w:cstheme="minorEastAsia"/>
          <w:b/>
          <w:color w:val="auto"/>
          <w:kern w:val="0"/>
          <w:sz w:val="28"/>
          <w:szCs w:val="28"/>
          <w:highlight w:val="none"/>
        </w:rPr>
      </w:pPr>
      <w:r>
        <w:rPr>
          <w:rFonts w:hint="eastAsia" w:asciiTheme="minorEastAsia" w:hAnsiTheme="minorEastAsia" w:eastAsiaTheme="minorEastAsia" w:cstheme="minorEastAsia"/>
          <w:b/>
          <w:color w:val="auto"/>
          <w:szCs w:val="21"/>
          <w:highlight w:val="none"/>
        </w:rPr>
        <w:t>附1：项目经理简历表</w:t>
      </w:r>
    </w:p>
    <w:p>
      <w:pPr>
        <w:spacing w:before="120" w:beforeLines="50" w:after="240" w:afterLines="100" w:line="440" w:lineRule="exact"/>
        <w:ind w:firstLine="525" w:firstLineChars="25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szCs w:val="21"/>
          <w:highlight w:val="none"/>
        </w:rPr>
        <w:t>项目经理附注册证书、安全考核合格证等。</w:t>
      </w:r>
    </w:p>
    <w:tbl>
      <w:tblPr>
        <w:tblStyle w:val="43"/>
        <w:tblW w:w="86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1035"/>
        <w:gridCol w:w="1134"/>
        <w:gridCol w:w="1275"/>
        <w:gridCol w:w="1843"/>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9" w:type="dxa"/>
            <w:vAlign w:val="center"/>
          </w:tcPr>
          <w:p>
            <w:pPr>
              <w:spacing w:line="36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姓名</w:t>
            </w:r>
          </w:p>
        </w:tc>
        <w:tc>
          <w:tcPr>
            <w:tcW w:w="1035" w:type="dxa"/>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c>
          <w:tcPr>
            <w:tcW w:w="1134" w:type="dxa"/>
            <w:vAlign w:val="center"/>
          </w:tcPr>
          <w:p>
            <w:pPr>
              <w:spacing w:line="360" w:lineRule="exact"/>
              <w:ind w:hanging="18"/>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年龄</w:t>
            </w:r>
          </w:p>
        </w:tc>
        <w:tc>
          <w:tcPr>
            <w:tcW w:w="1275" w:type="dxa"/>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c>
          <w:tcPr>
            <w:tcW w:w="1843" w:type="dxa"/>
            <w:vAlign w:val="center"/>
          </w:tcPr>
          <w:p>
            <w:pPr>
              <w:spacing w:line="360" w:lineRule="exact"/>
              <w:ind w:hanging="42"/>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学历</w:t>
            </w:r>
          </w:p>
        </w:tc>
        <w:tc>
          <w:tcPr>
            <w:tcW w:w="2126" w:type="dxa"/>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9" w:type="dxa"/>
            <w:vAlign w:val="center"/>
          </w:tcPr>
          <w:p>
            <w:pPr>
              <w:spacing w:line="36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职称</w:t>
            </w:r>
          </w:p>
        </w:tc>
        <w:tc>
          <w:tcPr>
            <w:tcW w:w="1035" w:type="dxa"/>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c>
          <w:tcPr>
            <w:tcW w:w="1134" w:type="dxa"/>
            <w:vAlign w:val="center"/>
          </w:tcPr>
          <w:p>
            <w:pPr>
              <w:spacing w:line="360" w:lineRule="exact"/>
              <w:ind w:hanging="18"/>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职务</w:t>
            </w:r>
          </w:p>
        </w:tc>
        <w:tc>
          <w:tcPr>
            <w:tcW w:w="1275" w:type="dxa"/>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c>
          <w:tcPr>
            <w:tcW w:w="1843" w:type="dxa"/>
            <w:vAlign w:val="center"/>
          </w:tcPr>
          <w:p>
            <w:pPr>
              <w:spacing w:line="36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拟在项目任职</w:t>
            </w:r>
          </w:p>
        </w:tc>
        <w:tc>
          <w:tcPr>
            <w:tcW w:w="2126" w:type="dxa"/>
            <w:vAlign w:val="center"/>
          </w:tcPr>
          <w:p>
            <w:pPr>
              <w:spacing w:line="360" w:lineRule="exact"/>
              <w:ind w:hanging="18"/>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9" w:type="dxa"/>
            <w:vAlign w:val="center"/>
          </w:tcPr>
          <w:p>
            <w:pPr>
              <w:spacing w:line="360" w:lineRule="exact"/>
              <w:ind w:firstLine="58"/>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毕业学校</w:t>
            </w:r>
          </w:p>
        </w:tc>
        <w:tc>
          <w:tcPr>
            <w:tcW w:w="7413" w:type="dxa"/>
            <w:gridSpan w:val="5"/>
            <w:vAlign w:val="center"/>
          </w:tcPr>
          <w:p>
            <w:pPr>
              <w:spacing w:line="360" w:lineRule="exact"/>
              <w:ind w:firstLine="840" w:firstLineChars="4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82" w:type="dxa"/>
            <w:gridSpan w:val="6"/>
            <w:vAlign w:val="center"/>
          </w:tcPr>
          <w:p>
            <w:pPr>
              <w:spacing w:line="36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9" w:type="dxa"/>
            <w:vAlign w:val="center"/>
          </w:tcPr>
          <w:p>
            <w:pPr>
              <w:spacing w:line="36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时间</w:t>
            </w:r>
          </w:p>
        </w:tc>
        <w:tc>
          <w:tcPr>
            <w:tcW w:w="3444" w:type="dxa"/>
            <w:gridSpan w:val="3"/>
            <w:vAlign w:val="center"/>
          </w:tcPr>
          <w:p>
            <w:pPr>
              <w:spacing w:line="36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参加过的类似项目名称</w:t>
            </w:r>
          </w:p>
        </w:tc>
        <w:tc>
          <w:tcPr>
            <w:tcW w:w="1843" w:type="dxa"/>
            <w:vAlign w:val="center"/>
          </w:tcPr>
          <w:p>
            <w:pPr>
              <w:spacing w:line="360" w:lineRule="exact"/>
              <w:ind w:firstLine="25"/>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项目概况说明</w:t>
            </w:r>
          </w:p>
        </w:tc>
        <w:tc>
          <w:tcPr>
            <w:tcW w:w="2126" w:type="dxa"/>
            <w:vAlign w:val="center"/>
          </w:tcPr>
          <w:p>
            <w:pPr>
              <w:spacing w:line="360" w:lineRule="exact"/>
              <w:ind w:hanging="18"/>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69" w:type="dxa"/>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c>
          <w:tcPr>
            <w:tcW w:w="3444" w:type="dxa"/>
            <w:gridSpan w:val="3"/>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c>
          <w:tcPr>
            <w:tcW w:w="1843" w:type="dxa"/>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c>
          <w:tcPr>
            <w:tcW w:w="2126" w:type="dxa"/>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69" w:type="dxa"/>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c>
          <w:tcPr>
            <w:tcW w:w="3444" w:type="dxa"/>
            <w:gridSpan w:val="3"/>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c>
          <w:tcPr>
            <w:tcW w:w="1843" w:type="dxa"/>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c>
          <w:tcPr>
            <w:tcW w:w="2126" w:type="dxa"/>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69" w:type="dxa"/>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c>
          <w:tcPr>
            <w:tcW w:w="3444" w:type="dxa"/>
            <w:gridSpan w:val="3"/>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c>
          <w:tcPr>
            <w:tcW w:w="1843" w:type="dxa"/>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c>
          <w:tcPr>
            <w:tcW w:w="2126" w:type="dxa"/>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69" w:type="dxa"/>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c>
          <w:tcPr>
            <w:tcW w:w="3444" w:type="dxa"/>
            <w:gridSpan w:val="3"/>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c>
          <w:tcPr>
            <w:tcW w:w="1843" w:type="dxa"/>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c>
          <w:tcPr>
            <w:tcW w:w="2126" w:type="dxa"/>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69" w:type="dxa"/>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c>
          <w:tcPr>
            <w:tcW w:w="3444" w:type="dxa"/>
            <w:gridSpan w:val="3"/>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c>
          <w:tcPr>
            <w:tcW w:w="1843" w:type="dxa"/>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c>
          <w:tcPr>
            <w:tcW w:w="2126" w:type="dxa"/>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69" w:type="dxa"/>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c>
          <w:tcPr>
            <w:tcW w:w="3444" w:type="dxa"/>
            <w:gridSpan w:val="3"/>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c>
          <w:tcPr>
            <w:tcW w:w="1843" w:type="dxa"/>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c>
          <w:tcPr>
            <w:tcW w:w="2126" w:type="dxa"/>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69" w:type="dxa"/>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c>
          <w:tcPr>
            <w:tcW w:w="3444" w:type="dxa"/>
            <w:gridSpan w:val="3"/>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c>
          <w:tcPr>
            <w:tcW w:w="1843" w:type="dxa"/>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c>
          <w:tcPr>
            <w:tcW w:w="2126" w:type="dxa"/>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69" w:type="dxa"/>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c>
          <w:tcPr>
            <w:tcW w:w="3444" w:type="dxa"/>
            <w:gridSpan w:val="3"/>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c>
          <w:tcPr>
            <w:tcW w:w="1843" w:type="dxa"/>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c>
          <w:tcPr>
            <w:tcW w:w="2126" w:type="dxa"/>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69" w:type="dxa"/>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c>
          <w:tcPr>
            <w:tcW w:w="3444" w:type="dxa"/>
            <w:gridSpan w:val="3"/>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c>
          <w:tcPr>
            <w:tcW w:w="1843" w:type="dxa"/>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c>
          <w:tcPr>
            <w:tcW w:w="2126" w:type="dxa"/>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69" w:type="dxa"/>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c>
          <w:tcPr>
            <w:tcW w:w="3444" w:type="dxa"/>
            <w:gridSpan w:val="3"/>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c>
          <w:tcPr>
            <w:tcW w:w="1843" w:type="dxa"/>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c>
          <w:tcPr>
            <w:tcW w:w="2126" w:type="dxa"/>
            <w:vAlign w:val="center"/>
          </w:tcPr>
          <w:p>
            <w:pPr>
              <w:spacing w:line="360" w:lineRule="exact"/>
              <w:ind w:firstLine="843"/>
              <w:jc w:val="center"/>
              <w:rPr>
                <w:rFonts w:asciiTheme="minorEastAsia" w:hAnsiTheme="minorEastAsia" w:eastAsiaTheme="minorEastAsia" w:cstheme="minorEastAsia"/>
                <w:color w:val="auto"/>
                <w:szCs w:val="21"/>
                <w:highlight w:val="none"/>
              </w:rPr>
            </w:pPr>
          </w:p>
        </w:tc>
      </w:tr>
    </w:tbl>
    <w:p>
      <w:pPr>
        <w:spacing w:line="360" w:lineRule="auto"/>
        <w:ind w:firstLine="210" w:firstLineChars="100"/>
        <w:rPr>
          <w:rFonts w:asciiTheme="minorEastAsia" w:hAnsiTheme="minorEastAsia" w:eastAsiaTheme="minorEastAsia" w:cstheme="minorEastAsia"/>
          <w:bCs/>
          <w:color w:val="auto"/>
          <w:kern w:val="0"/>
          <w:szCs w:val="21"/>
          <w:highlight w:val="none"/>
        </w:rPr>
      </w:pPr>
    </w:p>
    <w:p>
      <w:pPr>
        <w:spacing w:line="360" w:lineRule="auto"/>
        <w:ind w:firstLine="211" w:firstLineChars="100"/>
        <w:rPr>
          <w:rFonts w:asciiTheme="minorEastAsia" w:hAnsiTheme="minorEastAsia" w:eastAsiaTheme="minorEastAsia" w:cstheme="minorEastAsia"/>
          <w:b/>
          <w:color w:val="auto"/>
          <w:kern w:val="0"/>
          <w:szCs w:val="21"/>
          <w:highlight w:val="none"/>
        </w:rPr>
      </w:pPr>
      <w:r>
        <w:rPr>
          <w:rFonts w:hint="eastAsia" w:asciiTheme="minorEastAsia" w:hAnsiTheme="minorEastAsia" w:eastAsiaTheme="minorEastAsia" w:cstheme="minorEastAsia"/>
          <w:b/>
          <w:color w:val="auto"/>
          <w:szCs w:val="21"/>
          <w:highlight w:val="none"/>
        </w:rPr>
        <w:br w:type="page"/>
      </w:r>
      <w:r>
        <w:rPr>
          <w:rFonts w:hint="eastAsia" w:asciiTheme="minorEastAsia" w:hAnsiTheme="minorEastAsia" w:eastAsiaTheme="minorEastAsia" w:cstheme="minorEastAsia"/>
          <w:b/>
          <w:color w:val="auto"/>
          <w:szCs w:val="21"/>
          <w:highlight w:val="none"/>
        </w:rPr>
        <w:t>附2：</w:t>
      </w:r>
      <w:r>
        <w:rPr>
          <w:rFonts w:hint="eastAsia" w:asciiTheme="minorEastAsia" w:hAnsiTheme="minorEastAsia" w:eastAsiaTheme="minorEastAsia" w:cstheme="minorEastAsia"/>
          <w:b/>
          <w:color w:val="auto"/>
          <w:kern w:val="0"/>
          <w:szCs w:val="21"/>
          <w:highlight w:val="none"/>
        </w:rPr>
        <w:t>主要项目管理人员简历表</w:t>
      </w:r>
    </w:p>
    <w:p>
      <w:pPr>
        <w:spacing w:line="42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主要项目管理人员指项目副经理、技术负责人、专职安全生产管理人员等岗位人员。</w:t>
      </w:r>
    </w:p>
    <w:tbl>
      <w:tblPr>
        <w:tblStyle w:val="43"/>
        <w:tblW w:w="8472"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6"/>
        <w:gridCol w:w="4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1" w:hRule="atLeast"/>
        </w:trPr>
        <w:tc>
          <w:tcPr>
            <w:tcW w:w="8472" w:type="dxa"/>
            <w:gridSpan w:val="2"/>
            <w:vAlign w:val="center"/>
          </w:tcPr>
          <w:p>
            <w:pPr>
              <w:ind w:firstLine="210" w:firstLineChars="1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岗位名称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4236" w:type="dxa"/>
            <w:vAlign w:val="center"/>
          </w:tcPr>
          <w:p>
            <w:pPr>
              <w:ind w:firstLine="210" w:firstLineChars="1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姓    名</w:t>
            </w:r>
          </w:p>
        </w:tc>
        <w:tc>
          <w:tcPr>
            <w:tcW w:w="4236" w:type="dxa"/>
            <w:vAlign w:val="center"/>
          </w:tcPr>
          <w:p>
            <w:pPr>
              <w:ind w:firstLine="210" w:firstLineChars="1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年    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4236" w:type="dxa"/>
            <w:vAlign w:val="center"/>
          </w:tcPr>
          <w:p>
            <w:pPr>
              <w:ind w:firstLine="210" w:firstLineChars="1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性    别</w:t>
            </w:r>
          </w:p>
        </w:tc>
        <w:tc>
          <w:tcPr>
            <w:tcW w:w="4236" w:type="dxa"/>
            <w:vAlign w:val="center"/>
          </w:tcPr>
          <w:p>
            <w:pPr>
              <w:ind w:firstLine="210" w:firstLineChars="1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毕业学校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4236" w:type="dxa"/>
            <w:vAlign w:val="center"/>
          </w:tcPr>
          <w:p>
            <w:pPr>
              <w:ind w:firstLine="210" w:firstLineChars="1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学历和专业</w:t>
            </w:r>
          </w:p>
        </w:tc>
        <w:tc>
          <w:tcPr>
            <w:tcW w:w="4236" w:type="dxa"/>
            <w:vAlign w:val="center"/>
          </w:tcPr>
          <w:p>
            <w:pPr>
              <w:ind w:firstLine="210" w:firstLineChars="1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毕业时间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4236" w:type="dxa"/>
            <w:vAlign w:val="center"/>
          </w:tcPr>
          <w:p>
            <w:pPr>
              <w:ind w:firstLine="210" w:firstLineChars="1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拥有的执业资格</w:t>
            </w:r>
          </w:p>
        </w:tc>
        <w:tc>
          <w:tcPr>
            <w:tcW w:w="4236" w:type="dxa"/>
            <w:vAlign w:val="center"/>
          </w:tcPr>
          <w:p>
            <w:pPr>
              <w:ind w:firstLine="210" w:firstLineChars="1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专业职称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4236" w:type="dxa"/>
            <w:vAlign w:val="center"/>
          </w:tcPr>
          <w:p>
            <w:pPr>
              <w:ind w:firstLine="210" w:firstLineChars="1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执业资格证书编号</w:t>
            </w:r>
          </w:p>
        </w:tc>
        <w:tc>
          <w:tcPr>
            <w:tcW w:w="4236" w:type="dxa"/>
            <w:vAlign w:val="center"/>
          </w:tcPr>
          <w:p>
            <w:pPr>
              <w:ind w:firstLine="210" w:firstLineChars="1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工作年限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3" w:hRule="atLeast"/>
        </w:trPr>
        <w:tc>
          <w:tcPr>
            <w:tcW w:w="8472" w:type="dxa"/>
            <w:gridSpan w:val="2"/>
            <w:vAlign w:val="center"/>
          </w:tcPr>
          <w:p>
            <w:pPr>
              <w:ind w:firstLine="210" w:firstLineChars="1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主</w:t>
            </w:r>
          </w:p>
          <w:p>
            <w:pPr>
              <w:ind w:firstLine="210" w:firstLineChars="1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要</w:t>
            </w:r>
          </w:p>
          <w:p>
            <w:pPr>
              <w:ind w:firstLine="210" w:firstLineChars="1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工</w:t>
            </w:r>
          </w:p>
          <w:p>
            <w:pPr>
              <w:ind w:firstLine="210" w:firstLineChars="1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作</w:t>
            </w:r>
          </w:p>
          <w:p>
            <w:pPr>
              <w:ind w:firstLine="210" w:firstLineChars="1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业</w:t>
            </w:r>
          </w:p>
          <w:p>
            <w:pPr>
              <w:ind w:firstLine="210" w:firstLineChars="1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绩</w:t>
            </w:r>
          </w:p>
          <w:p>
            <w:pPr>
              <w:ind w:firstLine="210" w:firstLineChars="1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及</w:t>
            </w:r>
          </w:p>
          <w:p>
            <w:pPr>
              <w:ind w:firstLine="210" w:firstLineChars="1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担</w:t>
            </w:r>
          </w:p>
          <w:p>
            <w:pPr>
              <w:ind w:firstLine="210" w:firstLineChars="1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任</w:t>
            </w:r>
          </w:p>
          <w:p>
            <w:pPr>
              <w:ind w:firstLine="210" w:firstLineChars="1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的</w:t>
            </w:r>
          </w:p>
          <w:p>
            <w:pPr>
              <w:ind w:firstLine="210" w:firstLineChars="1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主</w:t>
            </w:r>
          </w:p>
          <w:p>
            <w:pPr>
              <w:ind w:firstLine="210" w:firstLineChars="1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要</w:t>
            </w:r>
          </w:p>
          <w:p>
            <w:pPr>
              <w:ind w:firstLine="210" w:firstLineChars="1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工</w:t>
            </w:r>
          </w:p>
          <w:p>
            <w:pPr>
              <w:ind w:firstLine="210" w:firstLineChars="1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作</w:t>
            </w:r>
          </w:p>
        </w:tc>
      </w:tr>
    </w:tbl>
    <w:p>
      <w:pPr>
        <w:spacing w:line="440" w:lineRule="exact"/>
        <w:ind w:firstLine="480" w:firstLineChars="200"/>
        <w:rPr>
          <w:rFonts w:asciiTheme="minorEastAsia" w:hAnsiTheme="minorEastAsia" w:eastAsiaTheme="minorEastAsia" w:cstheme="minorEastAsia"/>
          <w:color w:val="auto"/>
          <w:kern w:val="0"/>
          <w:sz w:val="24"/>
          <w:highlight w:val="none"/>
        </w:rPr>
      </w:pPr>
    </w:p>
    <w:p>
      <w:pPr>
        <w:spacing w:line="480" w:lineRule="auto"/>
        <w:jc w:val="center"/>
        <w:rPr>
          <w:rFonts w:ascii="宋体" w:hAnsi="宋体"/>
          <w:b/>
          <w:bCs/>
          <w:color w:val="auto"/>
          <w:sz w:val="24"/>
          <w:highlight w:val="none"/>
        </w:rPr>
      </w:pPr>
      <w:r>
        <w:rPr>
          <w:rFonts w:hint="eastAsia" w:asciiTheme="minorEastAsia" w:hAnsiTheme="minorEastAsia" w:eastAsiaTheme="minorEastAsia" w:cstheme="minorEastAsia"/>
          <w:color w:val="auto"/>
          <w:kern w:val="0"/>
          <w:sz w:val="24"/>
          <w:highlight w:val="none"/>
        </w:rPr>
        <w:br w:type="page"/>
      </w:r>
      <w:r>
        <w:rPr>
          <w:rFonts w:hint="eastAsia" w:ascii="宋体" w:hAnsi="宋体"/>
          <w:b/>
          <w:bCs/>
          <w:color w:val="auto"/>
          <w:sz w:val="24"/>
          <w:highlight w:val="none"/>
        </w:rPr>
        <w:t>附表二：拟投入的机械、材料一览表</w:t>
      </w:r>
    </w:p>
    <w:tbl>
      <w:tblPr>
        <w:tblStyle w:val="43"/>
        <w:tblW w:w="895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4"/>
        <w:gridCol w:w="2121"/>
        <w:gridCol w:w="1379"/>
        <w:gridCol w:w="963"/>
        <w:gridCol w:w="2273"/>
        <w:gridCol w:w="14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94" w:type="dxa"/>
            <w:vAlign w:val="center"/>
          </w:tcPr>
          <w:p>
            <w:pPr>
              <w:pStyle w:val="13"/>
              <w:ind w:firstLine="0"/>
              <w:jc w:val="center"/>
              <w:rPr>
                <w:rFonts w:ascii="宋体" w:hAnsi="宋体"/>
                <w:b/>
                <w:color w:val="auto"/>
                <w:szCs w:val="24"/>
                <w:highlight w:val="none"/>
              </w:rPr>
            </w:pPr>
            <w:r>
              <w:rPr>
                <w:rFonts w:hint="eastAsia" w:ascii="宋体" w:hAnsi="宋体"/>
                <w:b/>
                <w:color w:val="auto"/>
                <w:szCs w:val="24"/>
                <w:highlight w:val="none"/>
              </w:rPr>
              <w:t>序号</w:t>
            </w:r>
          </w:p>
        </w:tc>
        <w:tc>
          <w:tcPr>
            <w:tcW w:w="2121" w:type="dxa"/>
            <w:vAlign w:val="center"/>
          </w:tcPr>
          <w:p>
            <w:pPr>
              <w:pStyle w:val="13"/>
              <w:ind w:firstLine="0"/>
              <w:jc w:val="center"/>
              <w:rPr>
                <w:rFonts w:ascii="宋体" w:hAnsi="宋体"/>
                <w:b/>
                <w:color w:val="auto"/>
                <w:szCs w:val="24"/>
                <w:highlight w:val="none"/>
              </w:rPr>
            </w:pPr>
            <w:r>
              <w:rPr>
                <w:rFonts w:hint="eastAsia" w:ascii="宋体" w:hAnsi="宋体"/>
                <w:b/>
                <w:color w:val="auto"/>
                <w:szCs w:val="24"/>
                <w:highlight w:val="none"/>
              </w:rPr>
              <w:t>机械、材料名称</w:t>
            </w:r>
          </w:p>
        </w:tc>
        <w:tc>
          <w:tcPr>
            <w:tcW w:w="1379" w:type="dxa"/>
            <w:vAlign w:val="center"/>
          </w:tcPr>
          <w:p>
            <w:pPr>
              <w:pStyle w:val="13"/>
              <w:ind w:firstLine="0"/>
              <w:jc w:val="center"/>
              <w:rPr>
                <w:rFonts w:ascii="宋体" w:hAnsi="宋体"/>
                <w:b/>
                <w:color w:val="auto"/>
                <w:szCs w:val="24"/>
                <w:highlight w:val="none"/>
              </w:rPr>
            </w:pPr>
            <w:r>
              <w:rPr>
                <w:rFonts w:hint="eastAsia" w:ascii="宋体" w:hAnsi="宋体"/>
                <w:b/>
                <w:color w:val="auto"/>
                <w:szCs w:val="24"/>
                <w:highlight w:val="none"/>
              </w:rPr>
              <w:t>型号规格</w:t>
            </w:r>
          </w:p>
        </w:tc>
        <w:tc>
          <w:tcPr>
            <w:tcW w:w="963" w:type="dxa"/>
            <w:vAlign w:val="center"/>
          </w:tcPr>
          <w:p>
            <w:pPr>
              <w:pStyle w:val="13"/>
              <w:ind w:firstLine="0"/>
              <w:jc w:val="center"/>
              <w:rPr>
                <w:rFonts w:ascii="宋体" w:hAnsi="宋体"/>
                <w:b/>
                <w:color w:val="auto"/>
                <w:szCs w:val="24"/>
                <w:highlight w:val="none"/>
              </w:rPr>
            </w:pPr>
            <w:r>
              <w:rPr>
                <w:rFonts w:hint="eastAsia" w:ascii="宋体" w:hAnsi="宋体"/>
                <w:b/>
                <w:color w:val="auto"/>
                <w:szCs w:val="24"/>
                <w:highlight w:val="none"/>
              </w:rPr>
              <w:t>数量</w:t>
            </w:r>
          </w:p>
        </w:tc>
        <w:tc>
          <w:tcPr>
            <w:tcW w:w="2273" w:type="dxa"/>
            <w:vAlign w:val="center"/>
          </w:tcPr>
          <w:p>
            <w:pPr>
              <w:pStyle w:val="13"/>
              <w:ind w:firstLine="0"/>
              <w:jc w:val="center"/>
              <w:rPr>
                <w:rFonts w:ascii="宋体" w:hAnsi="宋体"/>
                <w:b/>
                <w:color w:val="auto"/>
                <w:szCs w:val="24"/>
                <w:highlight w:val="none"/>
              </w:rPr>
            </w:pPr>
            <w:r>
              <w:rPr>
                <w:rFonts w:hint="eastAsia" w:ascii="宋体" w:hAnsi="宋体"/>
                <w:b/>
                <w:color w:val="auto"/>
                <w:szCs w:val="24"/>
                <w:highlight w:val="none"/>
              </w:rPr>
              <w:t>用途</w:t>
            </w:r>
          </w:p>
        </w:tc>
        <w:tc>
          <w:tcPr>
            <w:tcW w:w="1427" w:type="dxa"/>
            <w:vAlign w:val="center"/>
          </w:tcPr>
          <w:p>
            <w:pPr>
              <w:pStyle w:val="13"/>
              <w:ind w:firstLine="0"/>
              <w:jc w:val="center"/>
              <w:rPr>
                <w:rFonts w:ascii="宋体" w:hAnsi="宋体"/>
                <w:b/>
                <w:color w:val="auto"/>
                <w:szCs w:val="24"/>
                <w:highlight w:val="none"/>
              </w:rPr>
            </w:pPr>
            <w:r>
              <w:rPr>
                <w:rFonts w:hint="eastAsia" w:ascii="宋体" w:hAnsi="宋体"/>
                <w:b/>
                <w:color w:val="auto"/>
                <w:szCs w:val="24"/>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94" w:type="dxa"/>
            <w:vAlign w:val="center"/>
          </w:tcPr>
          <w:p>
            <w:pPr>
              <w:pStyle w:val="13"/>
              <w:ind w:firstLine="0"/>
              <w:jc w:val="center"/>
              <w:rPr>
                <w:rFonts w:ascii="宋体" w:hAnsi="宋体" w:cs="宋体"/>
                <w:color w:val="auto"/>
                <w:kern w:val="2"/>
                <w:szCs w:val="24"/>
                <w:highlight w:val="none"/>
              </w:rPr>
            </w:pPr>
            <w:r>
              <w:rPr>
                <w:rFonts w:hint="eastAsia" w:ascii="宋体" w:hAnsi="宋体" w:cs="宋体"/>
                <w:bCs/>
                <w:color w:val="auto"/>
                <w:kern w:val="2"/>
                <w:szCs w:val="24"/>
                <w:highlight w:val="none"/>
              </w:rPr>
              <w:t>1</w:t>
            </w:r>
          </w:p>
        </w:tc>
        <w:tc>
          <w:tcPr>
            <w:tcW w:w="2121" w:type="dxa"/>
            <w:vAlign w:val="center"/>
          </w:tcPr>
          <w:p>
            <w:pPr>
              <w:jc w:val="center"/>
              <w:rPr>
                <w:rFonts w:ascii="宋体" w:hAnsi="宋体" w:cs="宋体"/>
                <w:color w:val="auto"/>
                <w:sz w:val="24"/>
                <w:highlight w:val="none"/>
              </w:rPr>
            </w:pPr>
          </w:p>
        </w:tc>
        <w:tc>
          <w:tcPr>
            <w:tcW w:w="1379" w:type="dxa"/>
            <w:vAlign w:val="center"/>
          </w:tcPr>
          <w:p>
            <w:pPr>
              <w:pStyle w:val="13"/>
              <w:ind w:firstLine="0"/>
              <w:jc w:val="center"/>
              <w:rPr>
                <w:rFonts w:ascii="宋体" w:hAnsi="宋体" w:cs="宋体"/>
                <w:color w:val="auto"/>
                <w:kern w:val="2"/>
                <w:szCs w:val="24"/>
                <w:highlight w:val="none"/>
              </w:rPr>
            </w:pPr>
          </w:p>
        </w:tc>
        <w:tc>
          <w:tcPr>
            <w:tcW w:w="963" w:type="dxa"/>
            <w:vAlign w:val="center"/>
          </w:tcPr>
          <w:p>
            <w:pPr>
              <w:pStyle w:val="13"/>
              <w:ind w:firstLine="0"/>
              <w:jc w:val="center"/>
              <w:rPr>
                <w:rFonts w:ascii="宋体" w:hAnsi="宋体" w:cs="宋体"/>
                <w:color w:val="auto"/>
                <w:kern w:val="2"/>
                <w:szCs w:val="24"/>
                <w:highlight w:val="none"/>
              </w:rPr>
            </w:pPr>
          </w:p>
        </w:tc>
        <w:tc>
          <w:tcPr>
            <w:tcW w:w="2273" w:type="dxa"/>
            <w:vAlign w:val="center"/>
          </w:tcPr>
          <w:p>
            <w:pPr>
              <w:pStyle w:val="13"/>
              <w:ind w:firstLine="0"/>
              <w:jc w:val="center"/>
              <w:rPr>
                <w:rFonts w:ascii="宋体" w:hAnsi="宋体" w:cs="宋体"/>
                <w:color w:val="auto"/>
                <w:kern w:val="2"/>
                <w:szCs w:val="24"/>
                <w:highlight w:val="none"/>
              </w:rPr>
            </w:pPr>
          </w:p>
        </w:tc>
        <w:tc>
          <w:tcPr>
            <w:tcW w:w="1427" w:type="dxa"/>
            <w:vAlign w:val="center"/>
          </w:tcPr>
          <w:p>
            <w:pPr>
              <w:pStyle w:val="13"/>
              <w:ind w:firstLine="0"/>
              <w:jc w:val="center"/>
              <w:rPr>
                <w:rFonts w:ascii="宋体" w:hAnsi="宋体" w:cs="宋体"/>
                <w:color w:val="auto"/>
                <w:kern w:val="2"/>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94" w:type="dxa"/>
            <w:vAlign w:val="center"/>
          </w:tcPr>
          <w:p>
            <w:pPr>
              <w:pStyle w:val="13"/>
              <w:spacing w:line="240" w:lineRule="auto"/>
              <w:ind w:firstLine="0"/>
              <w:jc w:val="center"/>
              <w:textAlignment w:val="auto"/>
              <w:rPr>
                <w:rFonts w:ascii="宋体" w:hAnsi="宋体" w:cs="宋体"/>
                <w:color w:val="auto"/>
                <w:kern w:val="2"/>
                <w:szCs w:val="24"/>
                <w:highlight w:val="none"/>
              </w:rPr>
            </w:pPr>
            <w:r>
              <w:rPr>
                <w:rFonts w:hint="eastAsia" w:ascii="宋体" w:hAnsi="宋体" w:cs="宋体"/>
                <w:color w:val="auto"/>
                <w:kern w:val="2"/>
                <w:szCs w:val="24"/>
                <w:highlight w:val="none"/>
              </w:rPr>
              <w:t>4</w:t>
            </w:r>
          </w:p>
        </w:tc>
        <w:tc>
          <w:tcPr>
            <w:tcW w:w="2121" w:type="dxa"/>
            <w:vAlign w:val="center"/>
          </w:tcPr>
          <w:p>
            <w:pPr>
              <w:jc w:val="center"/>
              <w:rPr>
                <w:rFonts w:ascii="宋体" w:hAnsi="宋体" w:cs="宋体"/>
                <w:color w:val="auto"/>
                <w:sz w:val="24"/>
                <w:highlight w:val="none"/>
              </w:rPr>
            </w:pPr>
          </w:p>
        </w:tc>
        <w:tc>
          <w:tcPr>
            <w:tcW w:w="1379"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963"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2273"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1427" w:type="dxa"/>
            <w:vAlign w:val="center"/>
          </w:tcPr>
          <w:p>
            <w:pPr>
              <w:pStyle w:val="13"/>
              <w:ind w:firstLine="0"/>
              <w:jc w:val="center"/>
              <w:rPr>
                <w:rFonts w:ascii="宋体" w:hAnsi="宋体" w:cs="宋体"/>
                <w:color w:val="auto"/>
                <w:kern w:val="2"/>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94" w:type="dxa"/>
            <w:vAlign w:val="center"/>
          </w:tcPr>
          <w:p>
            <w:pPr>
              <w:pStyle w:val="13"/>
              <w:spacing w:line="240" w:lineRule="auto"/>
              <w:ind w:firstLine="0"/>
              <w:jc w:val="center"/>
              <w:textAlignment w:val="auto"/>
              <w:rPr>
                <w:rFonts w:ascii="宋体" w:hAnsi="宋体" w:cs="宋体"/>
                <w:color w:val="auto"/>
                <w:kern w:val="2"/>
                <w:szCs w:val="24"/>
                <w:highlight w:val="none"/>
              </w:rPr>
            </w:pPr>
            <w:r>
              <w:rPr>
                <w:rFonts w:hint="eastAsia" w:ascii="宋体" w:hAnsi="宋体" w:cs="宋体"/>
                <w:color w:val="auto"/>
                <w:kern w:val="2"/>
                <w:szCs w:val="24"/>
                <w:highlight w:val="none"/>
              </w:rPr>
              <w:t>5</w:t>
            </w:r>
          </w:p>
        </w:tc>
        <w:tc>
          <w:tcPr>
            <w:tcW w:w="2121" w:type="dxa"/>
            <w:vAlign w:val="center"/>
          </w:tcPr>
          <w:p>
            <w:pPr>
              <w:jc w:val="center"/>
              <w:rPr>
                <w:rFonts w:ascii="宋体" w:hAnsi="宋体" w:cs="宋体"/>
                <w:color w:val="auto"/>
                <w:sz w:val="24"/>
                <w:highlight w:val="none"/>
              </w:rPr>
            </w:pPr>
          </w:p>
        </w:tc>
        <w:tc>
          <w:tcPr>
            <w:tcW w:w="1379"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963"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2273"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1427" w:type="dxa"/>
            <w:vAlign w:val="center"/>
          </w:tcPr>
          <w:p>
            <w:pPr>
              <w:pStyle w:val="13"/>
              <w:ind w:firstLine="0"/>
              <w:jc w:val="center"/>
              <w:rPr>
                <w:rFonts w:ascii="宋体" w:hAnsi="宋体" w:cs="宋体"/>
                <w:color w:val="auto"/>
                <w:kern w:val="2"/>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94" w:type="dxa"/>
            <w:vAlign w:val="center"/>
          </w:tcPr>
          <w:p>
            <w:pPr>
              <w:pStyle w:val="13"/>
              <w:spacing w:line="240" w:lineRule="auto"/>
              <w:ind w:firstLine="0"/>
              <w:jc w:val="center"/>
              <w:textAlignment w:val="auto"/>
              <w:rPr>
                <w:rFonts w:ascii="宋体" w:hAnsi="宋体" w:cs="宋体"/>
                <w:color w:val="auto"/>
                <w:kern w:val="2"/>
                <w:szCs w:val="24"/>
                <w:highlight w:val="none"/>
              </w:rPr>
            </w:pPr>
            <w:r>
              <w:rPr>
                <w:rFonts w:hint="eastAsia" w:ascii="宋体" w:hAnsi="宋体" w:cs="宋体"/>
                <w:color w:val="auto"/>
                <w:kern w:val="2"/>
                <w:szCs w:val="24"/>
                <w:highlight w:val="none"/>
              </w:rPr>
              <w:t>6</w:t>
            </w:r>
          </w:p>
        </w:tc>
        <w:tc>
          <w:tcPr>
            <w:tcW w:w="2121" w:type="dxa"/>
            <w:vAlign w:val="center"/>
          </w:tcPr>
          <w:p>
            <w:pPr>
              <w:jc w:val="center"/>
              <w:rPr>
                <w:rFonts w:ascii="宋体" w:hAnsi="宋体" w:cs="宋体"/>
                <w:color w:val="auto"/>
                <w:sz w:val="24"/>
                <w:highlight w:val="none"/>
              </w:rPr>
            </w:pPr>
          </w:p>
        </w:tc>
        <w:tc>
          <w:tcPr>
            <w:tcW w:w="1379"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963"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2273"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1427" w:type="dxa"/>
            <w:vAlign w:val="center"/>
          </w:tcPr>
          <w:p>
            <w:pPr>
              <w:pStyle w:val="13"/>
              <w:ind w:firstLine="0"/>
              <w:jc w:val="center"/>
              <w:rPr>
                <w:rFonts w:ascii="宋体" w:hAnsi="宋体" w:cs="宋体"/>
                <w:color w:val="auto"/>
                <w:kern w:val="2"/>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94" w:type="dxa"/>
            <w:vAlign w:val="center"/>
          </w:tcPr>
          <w:p>
            <w:pPr>
              <w:pStyle w:val="13"/>
              <w:spacing w:line="240" w:lineRule="auto"/>
              <w:ind w:firstLine="0"/>
              <w:jc w:val="center"/>
              <w:textAlignment w:val="auto"/>
              <w:rPr>
                <w:rFonts w:ascii="宋体" w:hAnsi="宋体" w:cs="宋体"/>
                <w:color w:val="auto"/>
                <w:kern w:val="2"/>
                <w:szCs w:val="24"/>
                <w:highlight w:val="none"/>
              </w:rPr>
            </w:pPr>
            <w:r>
              <w:rPr>
                <w:rFonts w:hint="eastAsia" w:ascii="宋体" w:hAnsi="宋体" w:cs="宋体"/>
                <w:color w:val="auto"/>
                <w:kern w:val="2"/>
                <w:szCs w:val="24"/>
                <w:highlight w:val="none"/>
              </w:rPr>
              <w:t>7</w:t>
            </w:r>
          </w:p>
        </w:tc>
        <w:tc>
          <w:tcPr>
            <w:tcW w:w="2121" w:type="dxa"/>
            <w:vAlign w:val="center"/>
          </w:tcPr>
          <w:p>
            <w:pPr>
              <w:jc w:val="center"/>
              <w:rPr>
                <w:rFonts w:ascii="宋体" w:hAnsi="宋体" w:cs="宋体"/>
                <w:color w:val="auto"/>
                <w:sz w:val="24"/>
                <w:highlight w:val="none"/>
              </w:rPr>
            </w:pPr>
          </w:p>
        </w:tc>
        <w:tc>
          <w:tcPr>
            <w:tcW w:w="1379"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963"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2273"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1427" w:type="dxa"/>
            <w:vAlign w:val="center"/>
          </w:tcPr>
          <w:p>
            <w:pPr>
              <w:pStyle w:val="13"/>
              <w:ind w:firstLine="0"/>
              <w:jc w:val="center"/>
              <w:rPr>
                <w:rFonts w:ascii="宋体" w:hAnsi="宋体" w:cs="宋体"/>
                <w:color w:val="auto"/>
                <w:kern w:val="2"/>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94" w:type="dxa"/>
            <w:vAlign w:val="center"/>
          </w:tcPr>
          <w:p>
            <w:pPr>
              <w:pStyle w:val="13"/>
              <w:spacing w:line="240" w:lineRule="auto"/>
              <w:ind w:firstLine="0"/>
              <w:jc w:val="center"/>
              <w:textAlignment w:val="auto"/>
              <w:rPr>
                <w:rFonts w:ascii="宋体" w:hAnsi="宋体" w:cs="宋体"/>
                <w:color w:val="auto"/>
                <w:kern w:val="2"/>
                <w:szCs w:val="24"/>
                <w:highlight w:val="none"/>
              </w:rPr>
            </w:pPr>
            <w:r>
              <w:rPr>
                <w:rFonts w:hint="eastAsia" w:ascii="宋体" w:hAnsi="宋体" w:cs="宋体"/>
                <w:color w:val="auto"/>
                <w:kern w:val="2"/>
                <w:szCs w:val="24"/>
                <w:highlight w:val="none"/>
              </w:rPr>
              <w:t>8</w:t>
            </w:r>
          </w:p>
        </w:tc>
        <w:tc>
          <w:tcPr>
            <w:tcW w:w="2121" w:type="dxa"/>
            <w:vAlign w:val="center"/>
          </w:tcPr>
          <w:p>
            <w:pPr>
              <w:jc w:val="center"/>
              <w:rPr>
                <w:rFonts w:ascii="宋体" w:hAnsi="宋体" w:cs="宋体"/>
                <w:color w:val="auto"/>
                <w:sz w:val="24"/>
                <w:highlight w:val="none"/>
              </w:rPr>
            </w:pPr>
          </w:p>
        </w:tc>
        <w:tc>
          <w:tcPr>
            <w:tcW w:w="1379"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963"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2273"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1427" w:type="dxa"/>
            <w:vAlign w:val="center"/>
          </w:tcPr>
          <w:p>
            <w:pPr>
              <w:pStyle w:val="13"/>
              <w:ind w:firstLine="0"/>
              <w:jc w:val="center"/>
              <w:rPr>
                <w:rFonts w:ascii="宋体" w:hAnsi="宋体" w:cs="宋体"/>
                <w:color w:val="auto"/>
                <w:kern w:val="2"/>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94" w:type="dxa"/>
            <w:vAlign w:val="center"/>
          </w:tcPr>
          <w:p>
            <w:pPr>
              <w:pStyle w:val="13"/>
              <w:spacing w:line="240" w:lineRule="auto"/>
              <w:ind w:firstLine="0"/>
              <w:jc w:val="center"/>
              <w:textAlignment w:val="auto"/>
              <w:rPr>
                <w:rFonts w:ascii="宋体" w:hAnsi="宋体" w:cs="宋体"/>
                <w:color w:val="auto"/>
                <w:kern w:val="2"/>
                <w:szCs w:val="24"/>
                <w:highlight w:val="none"/>
              </w:rPr>
            </w:pPr>
            <w:r>
              <w:rPr>
                <w:rFonts w:hint="eastAsia" w:ascii="宋体" w:hAnsi="宋体" w:cs="宋体"/>
                <w:color w:val="auto"/>
                <w:kern w:val="2"/>
                <w:szCs w:val="24"/>
                <w:highlight w:val="none"/>
              </w:rPr>
              <w:t>9</w:t>
            </w:r>
          </w:p>
        </w:tc>
        <w:tc>
          <w:tcPr>
            <w:tcW w:w="2121" w:type="dxa"/>
            <w:vAlign w:val="center"/>
          </w:tcPr>
          <w:p>
            <w:pPr>
              <w:jc w:val="center"/>
              <w:rPr>
                <w:rFonts w:ascii="宋体" w:hAnsi="宋体" w:cs="宋体"/>
                <w:color w:val="auto"/>
                <w:sz w:val="24"/>
                <w:highlight w:val="none"/>
              </w:rPr>
            </w:pPr>
          </w:p>
        </w:tc>
        <w:tc>
          <w:tcPr>
            <w:tcW w:w="1379"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963"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2273"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1427" w:type="dxa"/>
            <w:vAlign w:val="center"/>
          </w:tcPr>
          <w:p>
            <w:pPr>
              <w:pStyle w:val="13"/>
              <w:ind w:firstLine="0"/>
              <w:jc w:val="center"/>
              <w:rPr>
                <w:rFonts w:ascii="宋体" w:hAnsi="宋体" w:cs="宋体"/>
                <w:color w:val="auto"/>
                <w:kern w:val="2"/>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94" w:type="dxa"/>
            <w:vAlign w:val="center"/>
          </w:tcPr>
          <w:p>
            <w:pPr>
              <w:pStyle w:val="13"/>
              <w:spacing w:line="240" w:lineRule="auto"/>
              <w:ind w:firstLine="0"/>
              <w:jc w:val="center"/>
              <w:textAlignment w:val="auto"/>
              <w:rPr>
                <w:rFonts w:ascii="宋体" w:hAnsi="宋体" w:cs="宋体"/>
                <w:color w:val="auto"/>
                <w:kern w:val="2"/>
                <w:szCs w:val="24"/>
                <w:highlight w:val="none"/>
              </w:rPr>
            </w:pPr>
            <w:r>
              <w:rPr>
                <w:rFonts w:hint="eastAsia" w:ascii="宋体" w:hAnsi="宋体" w:cs="宋体"/>
                <w:color w:val="auto"/>
                <w:kern w:val="2"/>
                <w:szCs w:val="24"/>
                <w:highlight w:val="none"/>
              </w:rPr>
              <w:t>10</w:t>
            </w:r>
          </w:p>
        </w:tc>
        <w:tc>
          <w:tcPr>
            <w:tcW w:w="2121" w:type="dxa"/>
            <w:vAlign w:val="center"/>
          </w:tcPr>
          <w:p>
            <w:pPr>
              <w:jc w:val="center"/>
              <w:rPr>
                <w:rFonts w:ascii="宋体" w:hAnsi="宋体" w:cs="宋体"/>
                <w:color w:val="auto"/>
                <w:sz w:val="24"/>
                <w:highlight w:val="none"/>
              </w:rPr>
            </w:pPr>
          </w:p>
        </w:tc>
        <w:tc>
          <w:tcPr>
            <w:tcW w:w="1379"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963"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2273"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1427" w:type="dxa"/>
            <w:vAlign w:val="center"/>
          </w:tcPr>
          <w:p>
            <w:pPr>
              <w:pStyle w:val="13"/>
              <w:ind w:firstLine="0"/>
              <w:jc w:val="center"/>
              <w:rPr>
                <w:rFonts w:ascii="宋体" w:hAnsi="宋体" w:cs="宋体"/>
                <w:color w:val="auto"/>
                <w:kern w:val="2"/>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94" w:type="dxa"/>
            <w:vAlign w:val="center"/>
          </w:tcPr>
          <w:p>
            <w:pPr>
              <w:pStyle w:val="13"/>
              <w:spacing w:line="240" w:lineRule="auto"/>
              <w:ind w:firstLine="0"/>
              <w:jc w:val="center"/>
              <w:textAlignment w:val="auto"/>
              <w:rPr>
                <w:rFonts w:ascii="宋体" w:hAnsi="宋体" w:cs="宋体"/>
                <w:color w:val="auto"/>
                <w:kern w:val="2"/>
                <w:szCs w:val="24"/>
                <w:highlight w:val="none"/>
              </w:rPr>
            </w:pPr>
            <w:r>
              <w:rPr>
                <w:rFonts w:hint="eastAsia" w:ascii="宋体" w:hAnsi="宋体" w:cs="宋体"/>
                <w:color w:val="auto"/>
                <w:kern w:val="2"/>
                <w:szCs w:val="24"/>
                <w:highlight w:val="none"/>
              </w:rPr>
              <w:t>11</w:t>
            </w:r>
          </w:p>
        </w:tc>
        <w:tc>
          <w:tcPr>
            <w:tcW w:w="2121" w:type="dxa"/>
            <w:vAlign w:val="center"/>
          </w:tcPr>
          <w:p>
            <w:pPr>
              <w:jc w:val="center"/>
              <w:rPr>
                <w:rFonts w:ascii="宋体" w:hAnsi="宋体" w:cs="宋体"/>
                <w:color w:val="auto"/>
                <w:sz w:val="24"/>
                <w:highlight w:val="none"/>
              </w:rPr>
            </w:pPr>
          </w:p>
        </w:tc>
        <w:tc>
          <w:tcPr>
            <w:tcW w:w="1379"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963"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2273"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1427" w:type="dxa"/>
            <w:vAlign w:val="center"/>
          </w:tcPr>
          <w:p>
            <w:pPr>
              <w:pStyle w:val="13"/>
              <w:ind w:firstLine="0"/>
              <w:jc w:val="center"/>
              <w:rPr>
                <w:rFonts w:ascii="宋体" w:hAnsi="宋体" w:cs="宋体"/>
                <w:color w:val="auto"/>
                <w:kern w:val="2"/>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94" w:type="dxa"/>
            <w:vAlign w:val="center"/>
          </w:tcPr>
          <w:p>
            <w:pPr>
              <w:pStyle w:val="13"/>
              <w:spacing w:line="240" w:lineRule="auto"/>
              <w:ind w:firstLine="0"/>
              <w:jc w:val="center"/>
              <w:textAlignment w:val="auto"/>
              <w:rPr>
                <w:rFonts w:ascii="宋体" w:hAnsi="宋体" w:cs="宋体"/>
                <w:color w:val="auto"/>
                <w:kern w:val="2"/>
                <w:szCs w:val="24"/>
                <w:highlight w:val="none"/>
              </w:rPr>
            </w:pPr>
            <w:r>
              <w:rPr>
                <w:rFonts w:hint="eastAsia" w:ascii="宋体" w:hAnsi="宋体" w:cs="宋体"/>
                <w:color w:val="auto"/>
                <w:kern w:val="2"/>
                <w:szCs w:val="24"/>
                <w:highlight w:val="none"/>
              </w:rPr>
              <w:t>12</w:t>
            </w:r>
          </w:p>
        </w:tc>
        <w:tc>
          <w:tcPr>
            <w:tcW w:w="2121" w:type="dxa"/>
            <w:vAlign w:val="center"/>
          </w:tcPr>
          <w:p>
            <w:pPr>
              <w:jc w:val="center"/>
              <w:rPr>
                <w:rFonts w:ascii="宋体" w:hAnsi="宋体" w:cs="宋体"/>
                <w:color w:val="auto"/>
                <w:sz w:val="24"/>
                <w:highlight w:val="none"/>
              </w:rPr>
            </w:pPr>
          </w:p>
        </w:tc>
        <w:tc>
          <w:tcPr>
            <w:tcW w:w="1379"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963"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2273"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1427" w:type="dxa"/>
            <w:vAlign w:val="center"/>
          </w:tcPr>
          <w:p>
            <w:pPr>
              <w:pStyle w:val="13"/>
              <w:ind w:firstLine="0"/>
              <w:jc w:val="center"/>
              <w:rPr>
                <w:rFonts w:ascii="宋体" w:hAnsi="宋体" w:cs="宋体"/>
                <w:color w:val="auto"/>
                <w:kern w:val="2"/>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94" w:type="dxa"/>
            <w:vAlign w:val="center"/>
          </w:tcPr>
          <w:p>
            <w:pPr>
              <w:pStyle w:val="13"/>
              <w:spacing w:line="240" w:lineRule="auto"/>
              <w:ind w:firstLine="0"/>
              <w:jc w:val="center"/>
              <w:textAlignment w:val="auto"/>
              <w:rPr>
                <w:rFonts w:ascii="宋体" w:hAnsi="宋体" w:cs="宋体"/>
                <w:color w:val="auto"/>
                <w:kern w:val="2"/>
                <w:szCs w:val="24"/>
                <w:highlight w:val="none"/>
              </w:rPr>
            </w:pPr>
            <w:r>
              <w:rPr>
                <w:rFonts w:hint="eastAsia" w:ascii="宋体" w:hAnsi="宋体" w:cs="宋体"/>
                <w:color w:val="auto"/>
                <w:kern w:val="2"/>
                <w:szCs w:val="24"/>
                <w:highlight w:val="none"/>
              </w:rPr>
              <w:t>13</w:t>
            </w:r>
          </w:p>
        </w:tc>
        <w:tc>
          <w:tcPr>
            <w:tcW w:w="2121" w:type="dxa"/>
            <w:vAlign w:val="center"/>
          </w:tcPr>
          <w:p>
            <w:pPr>
              <w:jc w:val="center"/>
              <w:rPr>
                <w:rFonts w:ascii="宋体" w:hAnsi="宋体" w:cs="宋体"/>
                <w:color w:val="auto"/>
                <w:sz w:val="24"/>
                <w:highlight w:val="none"/>
              </w:rPr>
            </w:pPr>
          </w:p>
        </w:tc>
        <w:tc>
          <w:tcPr>
            <w:tcW w:w="1379"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963"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2273"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1427" w:type="dxa"/>
            <w:vAlign w:val="center"/>
          </w:tcPr>
          <w:p>
            <w:pPr>
              <w:pStyle w:val="13"/>
              <w:ind w:firstLine="0"/>
              <w:jc w:val="center"/>
              <w:rPr>
                <w:rFonts w:ascii="宋体" w:hAnsi="宋体" w:cs="宋体"/>
                <w:color w:val="auto"/>
                <w:kern w:val="2"/>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94" w:type="dxa"/>
            <w:vAlign w:val="center"/>
          </w:tcPr>
          <w:p>
            <w:pPr>
              <w:pStyle w:val="13"/>
              <w:spacing w:line="240" w:lineRule="auto"/>
              <w:ind w:firstLine="0"/>
              <w:jc w:val="center"/>
              <w:textAlignment w:val="auto"/>
              <w:rPr>
                <w:rFonts w:ascii="宋体" w:hAnsi="宋体" w:cs="宋体"/>
                <w:color w:val="auto"/>
                <w:kern w:val="2"/>
                <w:szCs w:val="24"/>
                <w:highlight w:val="none"/>
              </w:rPr>
            </w:pPr>
            <w:r>
              <w:rPr>
                <w:rFonts w:hint="eastAsia" w:ascii="宋体" w:hAnsi="宋体" w:cs="宋体"/>
                <w:color w:val="auto"/>
                <w:kern w:val="2"/>
                <w:szCs w:val="24"/>
                <w:highlight w:val="none"/>
              </w:rPr>
              <w:t>14</w:t>
            </w:r>
          </w:p>
        </w:tc>
        <w:tc>
          <w:tcPr>
            <w:tcW w:w="2121" w:type="dxa"/>
            <w:vAlign w:val="center"/>
          </w:tcPr>
          <w:p>
            <w:pPr>
              <w:jc w:val="center"/>
              <w:rPr>
                <w:rFonts w:ascii="宋体" w:hAnsi="宋体" w:cs="宋体"/>
                <w:color w:val="auto"/>
                <w:sz w:val="24"/>
                <w:highlight w:val="none"/>
              </w:rPr>
            </w:pPr>
          </w:p>
        </w:tc>
        <w:tc>
          <w:tcPr>
            <w:tcW w:w="1379"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963"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2273"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1427" w:type="dxa"/>
            <w:vAlign w:val="center"/>
          </w:tcPr>
          <w:p>
            <w:pPr>
              <w:pStyle w:val="13"/>
              <w:ind w:firstLine="0"/>
              <w:jc w:val="center"/>
              <w:rPr>
                <w:rFonts w:ascii="宋体" w:hAnsi="宋体" w:cs="宋体"/>
                <w:color w:val="auto"/>
                <w:kern w:val="2"/>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94" w:type="dxa"/>
            <w:vAlign w:val="center"/>
          </w:tcPr>
          <w:p>
            <w:pPr>
              <w:pStyle w:val="13"/>
              <w:spacing w:line="240" w:lineRule="auto"/>
              <w:ind w:firstLine="0"/>
              <w:jc w:val="center"/>
              <w:textAlignment w:val="auto"/>
              <w:rPr>
                <w:rFonts w:ascii="宋体" w:hAnsi="宋体" w:cs="宋体"/>
                <w:color w:val="auto"/>
                <w:kern w:val="2"/>
                <w:szCs w:val="24"/>
                <w:highlight w:val="none"/>
              </w:rPr>
            </w:pPr>
            <w:r>
              <w:rPr>
                <w:rFonts w:hint="eastAsia" w:ascii="宋体" w:hAnsi="宋体" w:cs="宋体"/>
                <w:color w:val="auto"/>
                <w:kern w:val="2"/>
                <w:szCs w:val="24"/>
                <w:highlight w:val="none"/>
              </w:rPr>
              <w:t>15</w:t>
            </w:r>
          </w:p>
        </w:tc>
        <w:tc>
          <w:tcPr>
            <w:tcW w:w="2121" w:type="dxa"/>
            <w:vAlign w:val="center"/>
          </w:tcPr>
          <w:p>
            <w:pPr>
              <w:jc w:val="center"/>
              <w:rPr>
                <w:rFonts w:ascii="宋体" w:hAnsi="宋体" w:cs="宋体"/>
                <w:color w:val="auto"/>
                <w:sz w:val="24"/>
                <w:highlight w:val="none"/>
              </w:rPr>
            </w:pPr>
          </w:p>
        </w:tc>
        <w:tc>
          <w:tcPr>
            <w:tcW w:w="1379"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963"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2273"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1427" w:type="dxa"/>
            <w:vAlign w:val="center"/>
          </w:tcPr>
          <w:p>
            <w:pPr>
              <w:pStyle w:val="13"/>
              <w:ind w:firstLine="0"/>
              <w:jc w:val="center"/>
              <w:rPr>
                <w:rFonts w:ascii="宋体" w:hAnsi="宋体" w:cs="宋体"/>
                <w:color w:val="auto"/>
                <w:kern w:val="2"/>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94" w:type="dxa"/>
            <w:vAlign w:val="center"/>
          </w:tcPr>
          <w:p>
            <w:pPr>
              <w:pStyle w:val="13"/>
              <w:spacing w:line="240" w:lineRule="auto"/>
              <w:ind w:firstLine="0"/>
              <w:jc w:val="center"/>
              <w:textAlignment w:val="auto"/>
              <w:rPr>
                <w:rFonts w:ascii="宋体" w:hAnsi="宋体" w:cs="宋体"/>
                <w:color w:val="auto"/>
                <w:kern w:val="2"/>
                <w:szCs w:val="24"/>
                <w:highlight w:val="none"/>
              </w:rPr>
            </w:pPr>
            <w:r>
              <w:rPr>
                <w:rFonts w:hint="eastAsia" w:ascii="宋体" w:hAnsi="宋体" w:cs="宋体"/>
                <w:color w:val="auto"/>
                <w:kern w:val="2"/>
                <w:szCs w:val="24"/>
                <w:highlight w:val="none"/>
              </w:rPr>
              <w:t>16</w:t>
            </w:r>
          </w:p>
        </w:tc>
        <w:tc>
          <w:tcPr>
            <w:tcW w:w="2121" w:type="dxa"/>
            <w:vAlign w:val="center"/>
          </w:tcPr>
          <w:p>
            <w:pPr>
              <w:jc w:val="center"/>
              <w:rPr>
                <w:rFonts w:ascii="宋体" w:hAnsi="宋体" w:cs="宋体"/>
                <w:color w:val="auto"/>
                <w:sz w:val="24"/>
                <w:highlight w:val="none"/>
              </w:rPr>
            </w:pPr>
          </w:p>
        </w:tc>
        <w:tc>
          <w:tcPr>
            <w:tcW w:w="1379"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963"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2273"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1427" w:type="dxa"/>
            <w:vAlign w:val="center"/>
          </w:tcPr>
          <w:p>
            <w:pPr>
              <w:pStyle w:val="13"/>
              <w:ind w:firstLine="0"/>
              <w:jc w:val="center"/>
              <w:rPr>
                <w:rFonts w:ascii="宋体" w:hAnsi="宋体" w:cs="宋体"/>
                <w:color w:val="auto"/>
                <w:kern w:val="2"/>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94" w:type="dxa"/>
            <w:vAlign w:val="center"/>
          </w:tcPr>
          <w:p>
            <w:pPr>
              <w:pStyle w:val="13"/>
              <w:spacing w:line="240" w:lineRule="auto"/>
              <w:ind w:firstLine="0"/>
              <w:jc w:val="center"/>
              <w:textAlignment w:val="auto"/>
              <w:rPr>
                <w:rFonts w:ascii="宋体" w:hAnsi="宋体" w:cs="宋体"/>
                <w:color w:val="auto"/>
                <w:kern w:val="2"/>
                <w:szCs w:val="24"/>
                <w:highlight w:val="none"/>
              </w:rPr>
            </w:pPr>
            <w:r>
              <w:rPr>
                <w:rFonts w:hint="eastAsia" w:ascii="宋体" w:hAnsi="宋体" w:cs="宋体"/>
                <w:color w:val="auto"/>
                <w:kern w:val="2"/>
                <w:szCs w:val="24"/>
                <w:highlight w:val="none"/>
              </w:rPr>
              <w:t>17</w:t>
            </w:r>
          </w:p>
        </w:tc>
        <w:tc>
          <w:tcPr>
            <w:tcW w:w="2121" w:type="dxa"/>
            <w:vAlign w:val="center"/>
          </w:tcPr>
          <w:p>
            <w:pPr>
              <w:jc w:val="center"/>
              <w:rPr>
                <w:rFonts w:ascii="宋体" w:hAnsi="宋体" w:cs="宋体"/>
                <w:color w:val="auto"/>
                <w:sz w:val="24"/>
                <w:highlight w:val="none"/>
              </w:rPr>
            </w:pPr>
          </w:p>
        </w:tc>
        <w:tc>
          <w:tcPr>
            <w:tcW w:w="1379"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963"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2273"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1427" w:type="dxa"/>
            <w:vAlign w:val="center"/>
          </w:tcPr>
          <w:p>
            <w:pPr>
              <w:pStyle w:val="13"/>
              <w:ind w:firstLine="0"/>
              <w:jc w:val="center"/>
              <w:rPr>
                <w:rFonts w:ascii="宋体" w:hAnsi="宋体" w:cs="宋体"/>
                <w:color w:val="auto"/>
                <w:kern w:val="2"/>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94" w:type="dxa"/>
            <w:vAlign w:val="center"/>
          </w:tcPr>
          <w:p>
            <w:pPr>
              <w:pStyle w:val="13"/>
              <w:spacing w:line="240" w:lineRule="auto"/>
              <w:ind w:firstLine="0"/>
              <w:jc w:val="center"/>
              <w:textAlignment w:val="auto"/>
              <w:rPr>
                <w:rFonts w:ascii="宋体" w:hAnsi="宋体" w:cs="宋体"/>
                <w:color w:val="auto"/>
                <w:kern w:val="2"/>
                <w:szCs w:val="24"/>
                <w:highlight w:val="none"/>
              </w:rPr>
            </w:pPr>
            <w:r>
              <w:rPr>
                <w:rFonts w:hint="eastAsia" w:ascii="宋体" w:hAnsi="宋体" w:cs="宋体"/>
                <w:color w:val="auto"/>
                <w:kern w:val="2"/>
                <w:szCs w:val="24"/>
                <w:highlight w:val="none"/>
              </w:rPr>
              <w:t>18</w:t>
            </w:r>
          </w:p>
        </w:tc>
        <w:tc>
          <w:tcPr>
            <w:tcW w:w="2121" w:type="dxa"/>
            <w:vAlign w:val="center"/>
          </w:tcPr>
          <w:p>
            <w:pPr>
              <w:jc w:val="center"/>
              <w:rPr>
                <w:rFonts w:ascii="宋体" w:hAnsi="宋体" w:cs="宋体"/>
                <w:color w:val="auto"/>
                <w:sz w:val="24"/>
                <w:highlight w:val="none"/>
              </w:rPr>
            </w:pPr>
          </w:p>
        </w:tc>
        <w:tc>
          <w:tcPr>
            <w:tcW w:w="1379"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963"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2273"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1427" w:type="dxa"/>
            <w:vAlign w:val="center"/>
          </w:tcPr>
          <w:p>
            <w:pPr>
              <w:pStyle w:val="13"/>
              <w:ind w:firstLine="0"/>
              <w:jc w:val="center"/>
              <w:rPr>
                <w:rFonts w:ascii="宋体" w:hAnsi="宋体" w:cs="宋体"/>
                <w:color w:val="auto"/>
                <w:kern w:val="2"/>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94" w:type="dxa"/>
            <w:vAlign w:val="center"/>
          </w:tcPr>
          <w:p>
            <w:pPr>
              <w:pStyle w:val="13"/>
              <w:spacing w:line="240" w:lineRule="auto"/>
              <w:ind w:firstLine="0"/>
              <w:jc w:val="center"/>
              <w:textAlignment w:val="auto"/>
              <w:rPr>
                <w:rFonts w:ascii="宋体" w:hAnsi="宋体" w:cs="宋体"/>
                <w:color w:val="auto"/>
                <w:kern w:val="2"/>
                <w:szCs w:val="24"/>
                <w:highlight w:val="none"/>
              </w:rPr>
            </w:pPr>
            <w:r>
              <w:rPr>
                <w:rFonts w:hint="eastAsia" w:ascii="宋体" w:hAnsi="宋体" w:cs="宋体"/>
                <w:color w:val="auto"/>
                <w:kern w:val="2"/>
                <w:szCs w:val="24"/>
                <w:highlight w:val="none"/>
              </w:rPr>
              <w:t>19</w:t>
            </w:r>
          </w:p>
        </w:tc>
        <w:tc>
          <w:tcPr>
            <w:tcW w:w="2121" w:type="dxa"/>
            <w:vAlign w:val="center"/>
          </w:tcPr>
          <w:p>
            <w:pPr>
              <w:adjustRightInd w:val="0"/>
              <w:snapToGrid w:val="0"/>
              <w:jc w:val="center"/>
              <w:rPr>
                <w:rFonts w:ascii="宋体" w:hAnsi="宋体" w:cs="宋体"/>
                <w:color w:val="auto"/>
                <w:sz w:val="24"/>
                <w:highlight w:val="none"/>
              </w:rPr>
            </w:pPr>
          </w:p>
        </w:tc>
        <w:tc>
          <w:tcPr>
            <w:tcW w:w="1379"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963"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2273"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1427" w:type="dxa"/>
            <w:vAlign w:val="center"/>
          </w:tcPr>
          <w:p>
            <w:pPr>
              <w:pStyle w:val="13"/>
              <w:ind w:firstLine="0"/>
              <w:jc w:val="center"/>
              <w:rPr>
                <w:rFonts w:ascii="宋体" w:hAnsi="宋体" w:cs="宋体"/>
                <w:color w:val="auto"/>
                <w:kern w:val="2"/>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94" w:type="dxa"/>
            <w:vAlign w:val="center"/>
          </w:tcPr>
          <w:p>
            <w:pPr>
              <w:pStyle w:val="13"/>
              <w:spacing w:line="240" w:lineRule="auto"/>
              <w:ind w:firstLine="0"/>
              <w:jc w:val="center"/>
              <w:textAlignment w:val="auto"/>
              <w:rPr>
                <w:rFonts w:ascii="宋体" w:hAnsi="宋体" w:cs="宋体"/>
                <w:color w:val="auto"/>
                <w:kern w:val="2"/>
                <w:szCs w:val="24"/>
                <w:highlight w:val="none"/>
              </w:rPr>
            </w:pPr>
            <w:r>
              <w:rPr>
                <w:rFonts w:hint="eastAsia" w:ascii="宋体" w:hAnsi="宋体" w:cs="宋体"/>
                <w:color w:val="auto"/>
                <w:kern w:val="2"/>
                <w:szCs w:val="24"/>
                <w:highlight w:val="none"/>
              </w:rPr>
              <w:t>20</w:t>
            </w:r>
          </w:p>
        </w:tc>
        <w:tc>
          <w:tcPr>
            <w:tcW w:w="2121" w:type="dxa"/>
            <w:vAlign w:val="center"/>
          </w:tcPr>
          <w:p>
            <w:pPr>
              <w:adjustRightInd w:val="0"/>
              <w:snapToGrid w:val="0"/>
              <w:jc w:val="center"/>
              <w:rPr>
                <w:rFonts w:ascii="宋体" w:hAnsi="宋体" w:cs="宋体"/>
                <w:color w:val="auto"/>
                <w:sz w:val="24"/>
                <w:highlight w:val="none"/>
              </w:rPr>
            </w:pPr>
          </w:p>
        </w:tc>
        <w:tc>
          <w:tcPr>
            <w:tcW w:w="1379"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963"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2273"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1427" w:type="dxa"/>
            <w:vAlign w:val="center"/>
          </w:tcPr>
          <w:p>
            <w:pPr>
              <w:pStyle w:val="13"/>
              <w:ind w:firstLine="0"/>
              <w:jc w:val="center"/>
              <w:rPr>
                <w:rFonts w:ascii="宋体" w:hAnsi="宋体" w:cs="宋体"/>
                <w:color w:val="auto"/>
                <w:kern w:val="2"/>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94" w:type="dxa"/>
            <w:vAlign w:val="center"/>
          </w:tcPr>
          <w:p>
            <w:pPr>
              <w:pStyle w:val="13"/>
              <w:spacing w:line="240" w:lineRule="auto"/>
              <w:ind w:firstLine="0"/>
              <w:jc w:val="center"/>
              <w:textAlignment w:val="auto"/>
              <w:rPr>
                <w:rFonts w:ascii="宋体" w:hAnsi="宋体" w:cs="宋体"/>
                <w:color w:val="auto"/>
                <w:kern w:val="2"/>
                <w:szCs w:val="24"/>
                <w:highlight w:val="none"/>
              </w:rPr>
            </w:pPr>
            <w:r>
              <w:rPr>
                <w:rFonts w:hint="eastAsia" w:ascii="宋体" w:hAnsi="宋体" w:cs="宋体"/>
                <w:color w:val="auto"/>
                <w:kern w:val="2"/>
                <w:szCs w:val="24"/>
                <w:highlight w:val="none"/>
              </w:rPr>
              <w:t>21</w:t>
            </w:r>
          </w:p>
        </w:tc>
        <w:tc>
          <w:tcPr>
            <w:tcW w:w="2121" w:type="dxa"/>
            <w:vAlign w:val="center"/>
          </w:tcPr>
          <w:p>
            <w:pPr>
              <w:adjustRightInd w:val="0"/>
              <w:snapToGrid w:val="0"/>
              <w:jc w:val="center"/>
              <w:rPr>
                <w:rFonts w:ascii="宋体" w:hAnsi="宋体" w:cs="宋体"/>
                <w:color w:val="auto"/>
                <w:sz w:val="24"/>
                <w:highlight w:val="none"/>
              </w:rPr>
            </w:pPr>
          </w:p>
        </w:tc>
        <w:tc>
          <w:tcPr>
            <w:tcW w:w="1379"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963"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2273" w:type="dxa"/>
            <w:vAlign w:val="center"/>
          </w:tcPr>
          <w:p>
            <w:pPr>
              <w:pStyle w:val="13"/>
              <w:spacing w:line="240" w:lineRule="auto"/>
              <w:ind w:firstLine="0"/>
              <w:jc w:val="center"/>
              <w:textAlignment w:val="auto"/>
              <w:rPr>
                <w:rFonts w:ascii="宋体" w:hAnsi="宋体" w:cs="宋体"/>
                <w:color w:val="auto"/>
                <w:kern w:val="2"/>
                <w:szCs w:val="24"/>
                <w:highlight w:val="none"/>
              </w:rPr>
            </w:pPr>
          </w:p>
        </w:tc>
        <w:tc>
          <w:tcPr>
            <w:tcW w:w="1427" w:type="dxa"/>
            <w:vAlign w:val="center"/>
          </w:tcPr>
          <w:p>
            <w:pPr>
              <w:pStyle w:val="13"/>
              <w:ind w:firstLine="0"/>
              <w:jc w:val="center"/>
              <w:rPr>
                <w:rFonts w:ascii="宋体" w:hAnsi="宋体" w:cs="宋体"/>
                <w:color w:val="auto"/>
                <w:kern w:val="2"/>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94" w:type="dxa"/>
            <w:vAlign w:val="center"/>
          </w:tcPr>
          <w:p>
            <w:pPr>
              <w:pStyle w:val="13"/>
              <w:spacing w:line="240" w:lineRule="auto"/>
              <w:ind w:firstLine="0"/>
              <w:jc w:val="center"/>
              <w:textAlignment w:val="auto"/>
              <w:rPr>
                <w:rFonts w:ascii="宋体" w:hAnsi="宋体" w:cs="宋体"/>
                <w:color w:val="auto"/>
                <w:kern w:val="2"/>
                <w:szCs w:val="24"/>
                <w:highlight w:val="none"/>
              </w:rPr>
            </w:pPr>
            <w:r>
              <w:rPr>
                <w:rFonts w:hint="eastAsia" w:ascii="宋体" w:hAnsi="宋体" w:cs="宋体"/>
                <w:color w:val="auto"/>
                <w:kern w:val="2"/>
                <w:szCs w:val="24"/>
                <w:highlight w:val="none"/>
              </w:rPr>
              <w:t>……</w:t>
            </w:r>
          </w:p>
        </w:tc>
        <w:tc>
          <w:tcPr>
            <w:tcW w:w="2121" w:type="dxa"/>
            <w:vAlign w:val="center"/>
          </w:tcPr>
          <w:p>
            <w:pPr>
              <w:adjustRightInd w:val="0"/>
              <w:snapToGrid w:val="0"/>
              <w:jc w:val="center"/>
              <w:rPr>
                <w:rFonts w:ascii="宋体" w:hAnsi="宋体" w:cs="宋体"/>
                <w:color w:val="auto"/>
                <w:sz w:val="24"/>
                <w:highlight w:val="none"/>
              </w:rPr>
            </w:pPr>
            <w:r>
              <w:rPr>
                <w:rFonts w:hint="eastAsia" w:ascii="宋体" w:hAnsi="宋体" w:cs="宋体"/>
                <w:color w:val="auto"/>
                <w:sz w:val="24"/>
                <w:highlight w:val="none"/>
              </w:rPr>
              <w:t>……</w:t>
            </w:r>
          </w:p>
        </w:tc>
        <w:tc>
          <w:tcPr>
            <w:tcW w:w="1379" w:type="dxa"/>
            <w:vAlign w:val="center"/>
          </w:tcPr>
          <w:p>
            <w:pPr>
              <w:pStyle w:val="13"/>
              <w:spacing w:line="240" w:lineRule="auto"/>
              <w:ind w:firstLine="0"/>
              <w:jc w:val="center"/>
              <w:textAlignment w:val="auto"/>
              <w:rPr>
                <w:rFonts w:ascii="宋体" w:hAnsi="宋体" w:cs="宋体"/>
                <w:color w:val="auto"/>
                <w:kern w:val="2"/>
                <w:szCs w:val="24"/>
                <w:highlight w:val="none"/>
              </w:rPr>
            </w:pPr>
            <w:r>
              <w:rPr>
                <w:rFonts w:hint="eastAsia" w:ascii="宋体" w:hAnsi="宋体" w:cs="宋体"/>
                <w:color w:val="auto"/>
                <w:kern w:val="2"/>
                <w:szCs w:val="24"/>
                <w:highlight w:val="none"/>
              </w:rPr>
              <w:t>……</w:t>
            </w:r>
          </w:p>
        </w:tc>
        <w:tc>
          <w:tcPr>
            <w:tcW w:w="963" w:type="dxa"/>
            <w:vAlign w:val="center"/>
          </w:tcPr>
          <w:p>
            <w:pPr>
              <w:pStyle w:val="13"/>
              <w:spacing w:line="240" w:lineRule="auto"/>
              <w:ind w:firstLine="0"/>
              <w:jc w:val="center"/>
              <w:textAlignment w:val="auto"/>
              <w:rPr>
                <w:rFonts w:ascii="宋体" w:hAnsi="宋体" w:cs="宋体"/>
                <w:color w:val="auto"/>
                <w:kern w:val="2"/>
                <w:szCs w:val="24"/>
                <w:highlight w:val="none"/>
              </w:rPr>
            </w:pPr>
            <w:r>
              <w:rPr>
                <w:rFonts w:hint="eastAsia" w:ascii="宋体" w:hAnsi="宋体" w:cs="宋体"/>
                <w:color w:val="auto"/>
                <w:kern w:val="2"/>
                <w:szCs w:val="24"/>
                <w:highlight w:val="none"/>
              </w:rPr>
              <w:t>……</w:t>
            </w:r>
          </w:p>
        </w:tc>
        <w:tc>
          <w:tcPr>
            <w:tcW w:w="2273" w:type="dxa"/>
            <w:vAlign w:val="center"/>
          </w:tcPr>
          <w:p>
            <w:pPr>
              <w:pStyle w:val="13"/>
              <w:spacing w:line="240" w:lineRule="auto"/>
              <w:ind w:firstLine="0"/>
              <w:jc w:val="center"/>
              <w:textAlignment w:val="auto"/>
              <w:rPr>
                <w:rFonts w:ascii="宋体" w:hAnsi="宋体" w:cs="宋体"/>
                <w:color w:val="auto"/>
                <w:kern w:val="2"/>
                <w:szCs w:val="24"/>
                <w:highlight w:val="none"/>
              </w:rPr>
            </w:pPr>
            <w:r>
              <w:rPr>
                <w:rFonts w:hint="eastAsia" w:ascii="宋体" w:hAnsi="宋体" w:cs="宋体"/>
                <w:color w:val="auto"/>
                <w:kern w:val="2"/>
                <w:szCs w:val="24"/>
                <w:highlight w:val="none"/>
              </w:rPr>
              <w:t>……</w:t>
            </w:r>
          </w:p>
        </w:tc>
        <w:tc>
          <w:tcPr>
            <w:tcW w:w="1427" w:type="dxa"/>
            <w:vAlign w:val="center"/>
          </w:tcPr>
          <w:p>
            <w:pPr>
              <w:pStyle w:val="13"/>
              <w:ind w:firstLine="0"/>
              <w:jc w:val="center"/>
              <w:rPr>
                <w:rFonts w:ascii="宋体" w:hAnsi="宋体" w:cs="宋体"/>
                <w:color w:val="auto"/>
                <w:kern w:val="2"/>
                <w:szCs w:val="24"/>
                <w:highlight w:val="none"/>
              </w:rPr>
            </w:pPr>
            <w:r>
              <w:rPr>
                <w:rFonts w:hint="eastAsia" w:ascii="宋体" w:hAnsi="宋体" w:cs="宋体"/>
                <w:color w:val="auto"/>
                <w:kern w:val="2"/>
                <w:szCs w:val="24"/>
                <w:highlight w:val="none"/>
              </w:rPr>
              <w:t>……</w:t>
            </w:r>
          </w:p>
        </w:tc>
      </w:tr>
    </w:tbl>
    <w:p>
      <w:pPr>
        <w:spacing w:line="480" w:lineRule="auto"/>
        <w:jc w:val="center"/>
        <w:rPr>
          <w:rFonts w:ascii="宋体" w:hAnsi="宋体"/>
          <w:b/>
          <w:bCs/>
          <w:color w:val="auto"/>
          <w:sz w:val="24"/>
          <w:highlight w:val="none"/>
        </w:rPr>
      </w:pPr>
      <w:r>
        <w:rPr>
          <w:rStyle w:val="84"/>
          <w:rFonts w:hint="eastAsia"/>
          <w:color w:val="auto"/>
          <w:highlight w:val="none"/>
        </w:rPr>
        <w:br w:type="page"/>
      </w:r>
      <w:r>
        <w:rPr>
          <w:rFonts w:hint="eastAsia" w:ascii="宋体" w:hAnsi="宋体"/>
          <w:b/>
          <w:bCs/>
          <w:color w:val="auto"/>
          <w:sz w:val="24"/>
          <w:highlight w:val="none"/>
        </w:rPr>
        <w:t>附表三：供应商类似项目业绩一览表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3336"/>
        <w:gridCol w:w="1561"/>
        <w:gridCol w:w="1561"/>
        <w:gridCol w:w="1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029" w:type="dxa"/>
            <w:vAlign w:val="center"/>
          </w:tcPr>
          <w:p>
            <w:pPr>
              <w:topLinePunct/>
              <w:spacing w:line="440" w:lineRule="exact"/>
              <w:jc w:val="center"/>
              <w:rPr>
                <w:rFonts w:ascii="宋体" w:hAnsi="宋体"/>
                <w:b/>
                <w:bCs/>
                <w:color w:val="auto"/>
                <w:szCs w:val="21"/>
                <w:highlight w:val="none"/>
              </w:rPr>
            </w:pPr>
            <w:r>
              <w:rPr>
                <w:rFonts w:hint="eastAsia" w:ascii="宋体" w:hAnsi="宋体"/>
                <w:b/>
                <w:bCs/>
                <w:color w:val="auto"/>
                <w:szCs w:val="21"/>
                <w:highlight w:val="none"/>
              </w:rPr>
              <w:t>序号</w:t>
            </w:r>
          </w:p>
        </w:tc>
        <w:tc>
          <w:tcPr>
            <w:tcW w:w="3336" w:type="dxa"/>
            <w:vAlign w:val="center"/>
          </w:tcPr>
          <w:p>
            <w:pPr>
              <w:topLinePunct/>
              <w:spacing w:line="440" w:lineRule="exact"/>
              <w:jc w:val="center"/>
              <w:rPr>
                <w:rFonts w:ascii="宋体" w:hAnsi="宋体"/>
                <w:b/>
                <w:bCs/>
                <w:color w:val="auto"/>
                <w:szCs w:val="21"/>
                <w:highlight w:val="none"/>
              </w:rPr>
            </w:pPr>
            <w:r>
              <w:rPr>
                <w:rFonts w:hint="eastAsia" w:ascii="宋体" w:hAnsi="宋体"/>
                <w:b/>
                <w:bCs/>
                <w:color w:val="auto"/>
                <w:szCs w:val="21"/>
                <w:highlight w:val="none"/>
              </w:rPr>
              <w:t>项目名称</w:t>
            </w:r>
          </w:p>
        </w:tc>
        <w:tc>
          <w:tcPr>
            <w:tcW w:w="1561" w:type="dxa"/>
            <w:vAlign w:val="center"/>
          </w:tcPr>
          <w:p>
            <w:pPr>
              <w:topLinePunct/>
              <w:spacing w:line="440" w:lineRule="exact"/>
              <w:jc w:val="center"/>
              <w:rPr>
                <w:rFonts w:ascii="宋体" w:hAnsi="宋体"/>
                <w:b/>
                <w:bCs/>
                <w:color w:val="auto"/>
                <w:szCs w:val="21"/>
                <w:highlight w:val="none"/>
              </w:rPr>
            </w:pPr>
            <w:r>
              <w:rPr>
                <w:rFonts w:hint="eastAsia" w:ascii="宋体" w:hAnsi="宋体"/>
                <w:b/>
                <w:bCs/>
                <w:color w:val="auto"/>
                <w:szCs w:val="21"/>
                <w:highlight w:val="none"/>
              </w:rPr>
              <w:t>项目所在地</w:t>
            </w:r>
          </w:p>
        </w:tc>
        <w:tc>
          <w:tcPr>
            <w:tcW w:w="1561" w:type="dxa"/>
            <w:vAlign w:val="center"/>
          </w:tcPr>
          <w:p>
            <w:pPr>
              <w:topLinePunct/>
              <w:spacing w:line="440" w:lineRule="exact"/>
              <w:jc w:val="center"/>
              <w:rPr>
                <w:rFonts w:ascii="宋体" w:hAnsi="宋体"/>
                <w:b/>
                <w:bCs/>
                <w:color w:val="auto"/>
                <w:szCs w:val="21"/>
                <w:highlight w:val="none"/>
              </w:rPr>
            </w:pPr>
            <w:r>
              <w:rPr>
                <w:rFonts w:hint="eastAsia" w:ascii="宋体" w:hAnsi="宋体"/>
                <w:b/>
                <w:bCs/>
                <w:color w:val="auto"/>
                <w:szCs w:val="21"/>
                <w:highlight w:val="none"/>
              </w:rPr>
              <w:t>发包人名称</w:t>
            </w:r>
          </w:p>
        </w:tc>
        <w:tc>
          <w:tcPr>
            <w:tcW w:w="1441" w:type="dxa"/>
            <w:vAlign w:val="center"/>
          </w:tcPr>
          <w:p>
            <w:pPr>
              <w:topLinePunct/>
              <w:spacing w:line="440" w:lineRule="exact"/>
              <w:jc w:val="center"/>
              <w:rPr>
                <w:rFonts w:ascii="宋体" w:hAnsi="宋体"/>
                <w:b/>
                <w:bCs/>
                <w:color w:val="auto"/>
                <w:szCs w:val="21"/>
                <w:highlight w:val="none"/>
              </w:rPr>
            </w:pPr>
            <w:r>
              <w:rPr>
                <w:rFonts w:hint="eastAsia" w:ascii="宋体" w:hAnsi="宋体"/>
                <w:b/>
                <w:bCs/>
                <w:color w:val="auto"/>
                <w:szCs w:val="21"/>
                <w:highlight w:val="none"/>
              </w:rPr>
              <w:t>合同价格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029" w:type="dxa"/>
            <w:vAlign w:val="center"/>
          </w:tcPr>
          <w:p>
            <w:pPr>
              <w:topLinePunct/>
              <w:spacing w:line="440" w:lineRule="exact"/>
              <w:jc w:val="center"/>
              <w:rPr>
                <w:rFonts w:ascii="宋体" w:hAnsi="宋体"/>
                <w:color w:val="auto"/>
                <w:szCs w:val="21"/>
                <w:highlight w:val="none"/>
              </w:rPr>
            </w:pPr>
          </w:p>
        </w:tc>
        <w:tc>
          <w:tcPr>
            <w:tcW w:w="3336" w:type="dxa"/>
          </w:tcPr>
          <w:p>
            <w:pPr>
              <w:topLinePunct/>
              <w:spacing w:line="440" w:lineRule="exact"/>
              <w:rPr>
                <w:rFonts w:ascii="宋体" w:hAnsi="宋体"/>
                <w:color w:val="auto"/>
                <w:szCs w:val="21"/>
                <w:highlight w:val="none"/>
              </w:rPr>
            </w:pPr>
          </w:p>
        </w:tc>
        <w:tc>
          <w:tcPr>
            <w:tcW w:w="1561" w:type="dxa"/>
          </w:tcPr>
          <w:p>
            <w:pPr>
              <w:topLinePunct/>
              <w:spacing w:line="440" w:lineRule="exact"/>
              <w:rPr>
                <w:rFonts w:ascii="宋体" w:hAnsi="宋体"/>
                <w:color w:val="auto"/>
                <w:szCs w:val="21"/>
                <w:highlight w:val="none"/>
              </w:rPr>
            </w:pPr>
          </w:p>
        </w:tc>
        <w:tc>
          <w:tcPr>
            <w:tcW w:w="1561" w:type="dxa"/>
          </w:tcPr>
          <w:p>
            <w:pPr>
              <w:topLinePunct/>
              <w:spacing w:line="440" w:lineRule="exact"/>
              <w:rPr>
                <w:rFonts w:ascii="宋体" w:hAnsi="宋体"/>
                <w:color w:val="auto"/>
                <w:szCs w:val="21"/>
                <w:highlight w:val="none"/>
              </w:rPr>
            </w:pPr>
          </w:p>
        </w:tc>
        <w:tc>
          <w:tcPr>
            <w:tcW w:w="1441" w:type="dxa"/>
          </w:tcPr>
          <w:p>
            <w:pPr>
              <w:topLinePunct/>
              <w:spacing w:line="440" w:lineRule="exac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029" w:type="dxa"/>
            <w:vAlign w:val="center"/>
          </w:tcPr>
          <w:p>
            <w:pPr>
              <w:topLinePunct/>
              <w:spacing w:line="440" w:lineRule="exact"/>
              <w:jc w:val="center"/>
              <w:rPr>
                <w:rFonts w:ascii="宋体" w:hAnsi="宋体"/>
                <w:color w:val="auto"/>
                <w:szCs w:val="21"/>
                <w:highlight w:val="none"/>
              </w:rPr>
            </w:pPr>
          </w:p>
        </w:tc>
        <w:tc>
          <w:tcPr>
            <w:tcW w:w="3336" w:type="dxa"/>
          </w:tcPr>
          <w:p>
            <w:pPr>
              <w:topLinePunct/>
              <w:spacing w:line="440" w:lineRule="exact"/>
              <w:rPr>
                <w:rFonts w:ascii="宋体" w:hAnsi="宋体"/>
                <w:color w:val="auto"/>
                <w:szCs w:val="21"/>
                <w:highlight w:val="none"/>
              </w:rPr>
            </w:pPr>
          </w:p>
        </w:tc>
        <w:tc>
          <w:tcPr>
            <w:tcW w:w="1561" w:type="dxa"/>
          </w:tcPr>
          <w:p>
            <w:pPr>
              <w:topLinePunct/>
              <w:spacing w:line="440" w:lineRule="exact"/>
              <w:rPr>
                <w:rFonts w:ascii="宋体" w:hAnsi="宋体"/>
                <w:color w:val="auto"/>
                <w:szCs w:val="21"/>
                <w:highlight w:val="none"/>
              </w:rPr>
            </w:pPr>
          </w:p>
        </w:tc>
        <w:tc>
          <w:tcPr>
            <w:tcW w:w="1561" w:type="dxa"/>
          </w:tcPr>
          <w:p>
            <w:pPr>
              <w:topLinePunct/>
              <w:spacing w:line="440" w:lineRule="exact"/>
              <w:rPr>
                <w:rFonts w:ascii="宋体" w:hAnsi="宋体"/>
                <w:color w:val="auto"/>
                <w:szCs w:val="21"/>
                <w:highlight w:val="none"/>
              </w:rPr>
            </w:pPr>
          </w:p>
        </w:tc>
        <w:tc>
          <w:tcPr>
            <w:tcW w:w="1441" w:type="dxa"/>
          </w:tcPr>
          <w:p>
            <w:pPr>
              <w:topLinePunct/>
              <w:spacing w:line="440" w:lineRule="exac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1029" w:type="dxa"/>
            <w:vAlign w:val="center"/>
          </w:tcPr>
          <w:p>
            <w:pPr>
              <w:topLinePunct/>
              <w:spacing w:line="440" w:lineRule="exact"/>
              <w:jc w:val="center"/>
              <w:rPr>
                <w:rFonts w:ascii="宋体" w:hAnsi="宋体"/>
                <w:color w:val="auto"/>
                <w:szCs w:val="21"/>
                <w:highlight w:val="none"/>
              </w:rPr>
            </w:pPr>
          </w:p>
        </w:tc>
        <w:tc>
          <w:tcPr>
            <w:tcW w:w="3336" w:type="dxa"/>
          </w:tcPr>
          <w:p>
            <w:pPr>
              <w:topLinePunct/>
              <w:spacing w:line="440" w:lineRule="exact"/>
              <w:rPr>
                <w:rFonts w:ascii="宋体" w:hAnsi="宋体"/>
                <w:color w:val="auto"/>
                <w:szCs w:val="21"/>
                <w:highlight w:val="none"/>
              </w:rPr>
            </w:pPr>
          </w:p>
        </w:tc>
        <w:tc>
          <w:tcPr>
            <w:tcW w:w="1561" w:type="dxa"/>
          </w:tcPr>
          <w:p>
            <w:pPr>
              <w:topLinePunct/>
              <w:spacing w:line="440" w:lineRule="exact"/>
              <w:rPr>
                <w:rFonts w:ascii="宋体" w:hAnsi="宋体"/>
                <w:color w:val="auto"/>
                <w:szCs w:val="21"/>
                <w:highlight w:val="none"/>
              </w:rPr>
            </w:pPr>
          </w:p>
        </w:tc>
        <w:tc>
          <w:tcPr>
            <w:tcW w:w="1561" w:type="dxa"/>
          </w:tcPr>
          <w:p>
            <w:pPr>
              <w:topLinePunct/>
              <w:spacing w:line="440" w:lineRule="exact"/>
              <w:rPr>
                <w:rFonts w:ascii="宋体" w:hAnsi="宋体"/>
                <w:color w:val="auto"/>
                <w:szCs w:val="21"/>
                <w:highlight w:val="none"/>
              </w:rPr>
            </w:pPr>
          </w:p>
        </w:tc>
        <w:tc>
          <w:tcPr>
            <w:tcW w:w="1441" w:type="dxa"/>
          </w:tcPr>
          <w:p>
            <w:pPr>
              <w:topLinePunct/>
              <w:spacing w:line="440" w:lineRule="exac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029" w:type="dxa"/>
            <w:vAlign w:val="center"/>
          </w:tcPr>
          <w:p>
            <w:pPr>
              <w:topLinePunct/>
              <w:spacing w:line="440" w:lineRule="exact"/>
              <w:jc w:val="center"/>
              <w:rPr>
                <w:rFonts w:ascii="宋体" w:hAnsi="宋体"/>
                <w:color w:val="auto"/>
                <w:szCs w:val="21"/>
                <w:highlight w:val="none"/>
              </w:rPr>
            </w:pPr>
          </w:p>
        </w:tc>
        <w:tc>
          <w:tcPr>
            <w:tcW w:w="3336" w:type="dxa"/>
          </w:tcPr>
          <w:p>
            <w:pPr>
              <w:topLinePunct/>
              <w:spacing w:line="440" w:lineRule="exact"/>
              <w:rPr>
                <w:rFonts w:ascii="宋体" w:hAnsi="宋体"/>
                <w:color w:val="auto"/>
                <w:szCs w:val="21"/>
                <w:highlight w:val="none"/>
              </w:rPr>
            </w:pPr>
          </w:p>
        </w:tc>
        <w:tc>
          <w:tcPr>
            <w:tcW w:w="1561" w:type="dxa"/>
          </w:tcPr>
          <w:p>
            <w:pPr>
              <w:topLinePunct/>
              <w:spacing w:line="440" w:lineRule="exact"/>
              <w:rPr>
                <w:rFonts w:ascii="宋体" w:hAnsi="宋体"/>
                <w:color w:val="auto"/>
                <w:szCs w:val="21"/>
                <w:highlight w:val="none"/>
              </w:rPr>
            </w:pPr>
          </w:p>
        </w:tc>
        <w:tc>
          <w:tcPr>
            <w:tcW w:w="1561" w:type="dxa"/>
          </w:tcPr>
          <w:p>
            <w:pPr>
              <w:topLinePunct/>
              <w:spacing w:line="440" w:lineRule="exact"/>
              <w:rPr>
                <w:rFonts w:ascii="宋体" w:hAnsi="宋体"/>
                <w:color w:val="auto"/>
                <w:szCs w:val="21"/>
                <w:highlight w:val="none"/>
              </w:rPr>
            </w:pPr>
          </w:p>
        </w:tc>
        <w:tc>
          <w:tcPr>
            <w:tcW w:w="1441" w:type="dxa"/>
          </w:tcPr>
          <w:p>
            <w:pPr>
              <w:topLinePunct/>
              <w:spacing w:line="440" w:lineRule="exac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029" w:type="dxa"/>
            <w:vAlign w:val="center"/>
          </w:tcPr>
          <w:p>
            <w:pPr>
              <w:topLinePunct/>
              <w:spacing w:line="440" w:lineRule="exact"/>
              <w:jc w:val="center"/>
              <w:rPr>
                <w:rFonts w:ascii="宋体" w:hAnsi="宋体"/>
                <w:color w:val="auto"/>
                <w:szCs w:val="21"/>
                <w:highlight w:val="none"/>
              </w:rPr>
            </w:pPr>
          </w:p>
        </w:tc>
        <w:tc>
          <w:tcPr>
            <w:tcW w:w="3336" w:type="dxa"/>
          </w:tcPr>
          <w:p>
            <w:pPr>
              <w:topLinePunct/>
              <w:spacing w:line="440" w:lineRule="exact"/>
              <w:rPr>
                <w:rFonts w:ascii="宋体" w:hAnsi="宋体"/>
                <w:color w:val="auto"/>
                <w:szCs w:val="21"/>
                <w:highlight w:val="none"/>
              </w:rPr>
            </w:pPr>
          </w:p>
        </w:tc>
        <w:tc>
          <w:tcPr>
            <w:tcW w:w="1561" w:type="dxa"/>
          </w:tcPr>
          <w:p>
            <w:pPr>
              <w:topLinePunct/>
              <w:spacing w:line="440" w:lineRule="exact"/>
              <w:rPr>
                <w:rFonts w:ascii="宋体" w:hAnsi="宋体"/>
                <w:color w:val="auto"/>
                <w:szCs w:val="21"/>
                <w:highlight w:val="none"/>
              </w:rPr>
            </w:pPr>
          </w:p>
        </w:tc>
        <w:tc>
          <w:tcPr>
            <w:tcW w:w="1561" w:type="dxa"/>
          </w:tcPr>
          <w:p>
            <w:pPr>
              <w:topLinePunct/>
              <w:spacing w:line="440" w:lineRule="exact"/>
              <w:rPr>
                <w:rFonts w:ascii="宋体" w:hAnsi="宋体"/>
                <w:color w:val="auto"/>
                <w:szCs w:val="21"/>
                <w:highlight w:val="none"/>
              </w:rPr>
            </w:pPr>
          </w:p>
        </w:tc>
        <w:tc>
          <w:tcPr>
            <w:tcW w:w="1441" w:type="dxa"/>
          </w:tcPr>
          <w:p>
            <w:pPr>
              <w:topLinePunct/>
              <w:spacing w:line="440" w:lineRule="exac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029" w:type="dxa"/>
            <w:vAlign w:val="center"/>
          </w:tcPr>
          <w:p>
            <w:pPr>
              <w:topLinePunct/>
              <w:spacing w:line="440" w:lineRule="exact"/>
              <w:jc w:val="center"/>
              <w:rPr>
                <w:rFonts w:ascii="宋体" w:hAnsi="宋体"/>
                <w:color w:val="auto"/>
                <w:szCs w:val="21"/>
                <w:highlight w:val="none"/>
              </w:rPr>
            </w:pPr>
          </w:p>
        </w:tc>
        <w:tc>
          <w:tcPr>
            <w:tcW w:w="3336" w:type="dxa"/>
          </w:tcPr>
          <w:p>
            <w:pPr>
              <w:topLinePunct/>
              <w:spacing w:line="440" w:lineRule="exact"/>
              <w:rPr>
                <w:rFonts w:ascii="宋体" w:hAnsi="宋体"/>
                <w:color w:val="auto"/>
                <w:szCs w:val="21"/>
                <w:highlight w:val="none"/>
              </w:rPr>
            </w:pPr>
          </w:p>
        </w:tc>
        <w:tc>
          <w:tcPr>
            <w:tcW w:w="1561" w:type="dxa"/>
          </w:tcPr>
          <w:p>
            <w:pPr>
              <w:topLinePunct/>
              <w:spacing w:line="440" w:lineRule="exact"/>
              <w:rPr>
                <w:rFonts w:ascii="宋体" w:hAnsi="宋体"/>
                <w:color w:val="auto"/>
                <w:szCs w:val="21"/>
                <w:highlight w:val="none"/>
              </w:rPr>
            </w:pPr>
          </w:p>
        </w:tc>
        <w:tc>
          <w:tcPr>
            <w:tcW w:w="1561" w:type="dxa"/>
          </w:tcPr>
          <w:p>
            <w:pPr>
              <w:topLinePunct/>
              <w:spacing w:line="440" w:lineRule="exact"/>
              <w:rPr>
                <w:rFonts w:ascii="宋体" w:hAnsi="宋体"/>
                <w:color w:val="auto"/>
                <w:szCs w:val="21"/>
                <w:highlight w:val="none"/>
              </w:rPr>
            </w:pPr>
          </w:p>
        </w:tc>
        <w:tc>
          <w:tcPr>
            <w:tcW w:w="1441" w:type="dxa"/>
          </w:tcPr>
          <w:p>
            <w:pPr>
              <w:topLinePunct/>
              <w:spacing w:line="440" w:lineRule="exac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029" w:type="dxa"/>
            <w:vAlign w:val="center"/>
          </w:tcPr>
          <w:p>
            <w:pPr>
              <w:topLinePunct/>
              <w:spacing w:line="440" w:lineRule="exact"/>
              <w:jc w:val="center"/>
              <w:rPr>
                <w:rFonts w:ascii="宋体" w:hAnsi="宋体"/>
                <w:color w:val="auto"/>
                <w:szCs w:val="21"/>
                <w:highlight w:val="none"/>
              </w:rPr>
            </w:pPr>
          </w:p>
        </w:tc>
        <w:tc>
          <w:tcPr>
            <w:tcW w:w="3336" w:type="dxa"/>
          </w:tcPr>
          <w:p>
            <w:pPr>
              <w:topLinePunct/>
              <w:spacing w:line="440" w:lineRule="exact"/>
              <w:rPr>
                <w:rFonts w:ascii="宋体" w:hAnsi="宋体"/>
                <w:color w:val="auto"/>
                <w:szCs w:val="21"/>
                <w:highlight w:val="none"/>
              </w:rPr>
            </w:pPr>
          </w:p>
        </w:tc>
        <w:tc>
          <w:tcPr>
            <w:tcW w:w="1561" w:type="dxa"/>
          </w:tcPr>
          <w:p>
            <w:pPr>
              <w:topLinePunct/>
              <w:spacing w:line="440" w:lineRule="exact"/>
              <w:rPr>
                <w:rFonts w:ascii="宋体" w:hAnsi="宋体"/>
                <w:color w:val="auto"/>
                <w:szCs w:val="21"/>
                <w:highlight w:val="none"/>
              </w:rPr>
            </w:pPr>
          </w:p>
        </w:tc>
        <w:tc>
          <w:tcPr>
            <w:tcW w:w="1561" w:type="dxa"/>
          </w:tcPr>
          <w:p>
            <w:pPr>
              <w:topLinePunct/>
              <w:spacing w:line="440" w:lineRule="exact"/>
              <w:rPr>
                <w:rFonts w:ascii="宋体" w:hAnsi="宋体"/>
                <w:color w:val="auto"/>
                <w:szCs w:val="21"/>
                <w:highlight w:val="none"/>
              </w:rPr>
            </w:pPr>
          </w:p>
        </w:tc>
        <w:tc>
          <w:tcPr>
            <w:tcW w:w="1441" w:type="dxa"/>
          </w:tcPr>
          <w:p>
            <w:pPr>
              <w:topLinePunct/>
              <w:spacing w:line="440" w:lineRule="exac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029" w:type="dxa"/>
            <w:vAlign w:val="center"/>
          </w:tcPr>
          <w:p>
            <w:pPr>
              <w:topLinePunct/>
              <w:spacing w:line="440" w:lineRule="exact"/>
              <w:jc w:val="center"/>
              <w:rPr>
                <w:rFonts w:ascii="宋体" w:hAnsi="宋体"/>
                <w:color w:val="auto"/>
                <w:szCs w:val="21"/>
                <w:highlight w:val="none"/>
              </w:rPr>
            </w:pPr>
          </w:p>
        </w:tc>
        <w:tc>
          <w:tcPr>
            <w:tcW w:w="3336" w:type="dxa"/>
          </w:tcPr>
          <w:p>
            <w:pPr>
              <w:topLinePunct/>
              <w:spacing w:line="440" w:lineRule="exact"/>
              <w:rPr>
                <w:rFonts w:ascii="宋体" w:hAnsi="宋体"/>
                <w:color w:val="auto"/>
                <w:szCs w:val="21"/>
                <w:highlight w:val="none"/>
              </w:rPr>
            </w:pPr>
          </w:p>
        </w:tc>
        <w:tc>
          <w:tcPr>
            <w:tcW w:w="1561" w:type="dxa"/>
          </w:tcPr>
          <w:p>
            <w:pPr>
              <w:topLinePunct/>
              <w:spacing w:line="440" w:lineRule="exact"/>
              <w:rPr>
                <w:rFonts w:ascii="宋体" w:hAnsi="宋体"/>
                <w:color w:val="auto"/>
                <w:szCs w:val="21"/>
                <w:highlight w:val="none"/>
              </w:rPr>
            </w:pPr>
          </w:p>
        </w:tc>
        <w:tc>
          <w:tcPr>
            <w:tcW w:w="1561" w:type="dxa"/>
          </w:tcPr>
          <w:p>
            <w:pPr>
              <w:topLinePunct/>
              <w:spacing w:line="440" w:lineRule="exact"/>
              <w:rPr>
                <w:rFonts w:ascii="宋体" w:hAnsi="宋体"/>
                <w:color w:val="auto"/>
                <w:szCs w:val="21"/>
                <w:highlight w:val="none"/>
              </w:rPr>
            </w:pPr>
          </w:p>
        </w:tc>
        <w:tc>
          <w:tcPr>
            <w:tcW w:w="1441" w:type="dxa"/>
          </w:tcPr>
          <w:p>
            <w:pPr>
              <w:topLinePunct/>
              <w:spacing w:line="440" w:lineRule="exac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029" w:type="dxa"/>
            <w:vAlign w:val="center"/>
          </w:tcPr>
          <w:p>
            <w:pPr>
              <w:topLinePunct/>
              <w:spacing w:line="440" w:lineRule="exact"/>
              <w:jc w:val="center"/>
              <w:rPr>
                <w:rFonts w:ascii="宋体" w:hAnsi="宋体"/>
                <w:color w:val="auto"/>
                <w:szCs w:val="21"/>
                <w:highlight w:val="none"/>
              </w:rPr>
            </w:pPr>
          </w:p>
        </w:tc>
        <w:tc>
          <w:tcPr>
            <w:tcW w:w="3336" w:type="dxa"/>
          </w:tcPr>
          <w:p>
            <w:pPr>
              <w:topLinePunct/>
              <w:spacing w:line="440" w:lineRule="exact"/>
              <w:rPr>
                <w:rFonts w:ascii="宋体" w:hAnsi="宋体"/>
                <w:color w:val="auto"/>
                <w:szCs w:val="21"/>
                <w:highlight w:val="none"/>
              </w:rPr>
            </w:pPr>
          </w:p>
        </w:tc>
        <w:tc>
          <w:tcPr>
            <w:tcW w:w="1561" w:type="dxa"/>
          </w:tcPr>
          <w:p>
            <w:pPr>
              <w:topLinePunct/>
              <w:spacing w:line="440" w:lineRule="exact"/>
              <w:rPr>
                <w:rFonts w:ascii="宋体" w:hAnsi="宋体"/>
                <w:color w:val="auto"/>
                <w:szCs w:val="21"/>
                <w:highlight w:val="none"/>
              </w:rPr>
            </w:pPr>
          </w:p>
        </w:tc>
        <w:tc>
          <w:tcPr>
            <w:tcW w:w="1561" w:type="dxa"/>
          </w:tcPr>
          <w:p>
            <w:pPr>
              <w:topLinePunct/>
              <w:spacing w:line="440" w:lineRule="exact"/>
              <w:rPr>
                <w:rFonts w:ascii="宋体" w:hAnsi="宋体"/>
                <w:color w:val="auto"/>
                <w:szCs w:val="21"/>
                <w:highlight w:val="none"/>
              </w:rPr>
            </w:pPr>
          </w:p>
        </w:tc>
        <w:tc>
          <w:tcPr>
            <w:tcW w:w="1441" w:type="dxa"/>
          </w:tcPr>
          <w:p>
            <w:pPr>
              <w:topLinePunct/>
              <w:spacing w:line="440" w:lineRule="exac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029" w:type="dxa"/>
            <w:vAlign w:val="center"/>
          </w:tcPr>
          <w:p>
            <w:pPr>
              <w:topLinePunct/>
              <w:spacing w:line="440" w:lineRule="exact"/>
              <w:jc w:val="center"/>
              <w:rPr>
                <w:rFonts w:ascii="宋体" w:hAnsi="宋体"/>
                <w:color w:val="auto"/>
                <w:szCs w:val="21"/>
                <w:highlight w:val="none"/>
              </w:rPr>
            </w:pPr>
          </w:p>
        </w:tc>
        <w:tc>
          <w:tcPr>
            <w:tcW w:w="3336" w:type="dxa"/>
          </w:tcPr>
          <w:p>
            <w:pPr>
              <w:topLinePunct/>
              <w:spacing w:line="440" w:lineRule="exact"/>
              <w:rPr>
                <w:rFonts w:ascii="宋体" w:hAnsi="宋体"/>
                <w:color w:val="auto"/>
                <w:szCs w:val="21"/>
                <w:highlight w:val="none"/>
              </w:rPr>
            </w:pPr>
          </w:p>
        </w:tc>
        <w:tc>
          <w:tcPr>
            <w:tcW w:w="1561" w:type="dxa"/>
          </w:tcPr>
          <w:p>
            <w:pPr>
              <w:topLinePunct/>
              <w:spacing w:line="440" w:lineRule="exact"/>
              <w:rPr>
                <w:rFonts w:ascii="宋体" w:hAnsi="宋体"/>
                <w:color w:val="auto"/>
                <w:szCs w:val="21"/>
                <w:highlight w:val="none"/>
              </w:rPr>
            </w:pPr>
          </w:p>
        </w:tc>
        <w:tc>
          <w:tcPr>
            <w:tcW w:w="1561" w:type="dxa"/>
          </w:tcPr>
          <w:p>
            <w:pPr>
              <w:topLinePunct/>
              <w:spacing w:line="440" w:lineRule="exact"/>
              <w:rPr>
                <w:rFonts w:ascii="宋体" w:hAnsi="宋体"/>
                <w:color w:val="auto"/>
                <w:szCs w:val="21"/>
                <w:highlight w:val="none"/>
              </w:rPr>
            </w:pPr>
          </w:p>
        </w:tc>
        <w:tc>
          <w:tcPr>
            <w:tcW w:w="1441" w:type="dxa"/>
          </w:tcPr>
          <w:p>
            <w:pPr>
              <w:topLinePunct/>
              <w:spacing w:line="440" w:lineRule="exac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029" w:type="dxa"/>
            <w:vAlign w:val="center"/>
          </w:tcPr>
          <w:p>
            <w:pPr>
              <w:topLinePunct/>
              <w:spacing w:line="440" w:lineRule="exact"/>
              <w:jc w:val="center"/>
              <w:rPr>
                <w:rFonts w:ascii="宋体" w:hAnsi="宋体"/>
                <w:color w:val="auto"/>
                <w:szCs w:val="21"/>
                <w:highlight w:val="none"/>
              </w:rPr>
            </w:pPr>
          </w:p>
        </w:tc>
        <w:tc>
          <w:tcPr>
            <w:tcW w:w="3336" w:type="dxa"/>
          </w:tcPr>
          <w:p>
            <w:pPr>
              <w:topLinePunct/>
              <w:spacing w:line="440" w:lineRule="exact"/>
              <w:rPr>
                <w:rFonts w:ascii="宋体" w:hAnsi="宋体"/>
                <w:color w:val="auto"/>
                <w:szCs w:val="21"/>
                <w:highlight w:val="none"/>
              </w:rPr>
            </w:pPr>
          </w:p>
        </w:tc>
        <w:tc>
          <w:tcPr>
            <w:tcW w:w="1561" w:type="dxa"/>
          </w:tcPr>
          <w:p>
            <w:pPr>
              <w:topLinePunct/>
              <w:spacing w:line="440" w:lineRule="exact"/>
              <w:rPr>
                <w:rFonts w:ascii="宋体" w:hAnsi="宋体"/>
                <w:color w:val="auto"/>
                <w:szCs w:val="21"/>
                <w:highlight w:val="none"/>
              </w:rPr>
            </w:pPr>
          </w:p>
        </w:tc>
        <w:tc>
          <w:tcPr>
            <w:tcW w:w="1561" w:type="dxa"/>
          </w:tcPr>
          <w:p>
            <w:pPr>
              <w:topLinePunct/>
              <w:spacing w:line="440" w:lineRule="exact"/>
              <w:rPr>
                <w:rFonts w:ascii="宋体" w:hAnsi="宋体"/>
                <w:color w:val="auto"/>
                <w:szCs w:val="21"/>
                <w:highlight w:val="none"/>
              </w:rPr>
            </w:pPr>
          </w:p>
        </w:tc>
        <w:tc>
          <w:tcPr>
            <w:tcW w:w="1441" w:type="dxa"/>
          </w:tcPr>
          <w:p>
            <w:pPr>
              <w:topLinePunct/>
              <w:spacing w:line="440" w:lineRule="exac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029" w:type="dxa"/>
            <w:vAlign w:val="center"/>
          </w:tcPr>
          <w:p>
            <w:pPr>
              <w:topLinePunct/>
              <w:spacing w:line="440" w:lineRule="exact"/>
              <w:jc w:val="center"/>
              <w:rPr>
                <w:rFonts w:ascii="宋体" w:hAnsi="宋体"/>
                <w:color w:val="auto"/>
                <w:szCs w:val="21"/>
                <w:highlight w:val="none"/>
              </w:rPr>
            </w:pPr>
          </w:p>
        </w:tc>
        <w:tc>
          <w:tcPr>
            <w:tcW w:w="3336" w:type="dxa"/>
          </w:tcPr>
          <w:p>
            <w:pPr>
              <w:topLinePunct/>
              <w:spacing w:line="440" w:lineRule="exact"/>
              <w:rPr>
                <w:rFonts w:ascii="宋体" w:hAnsi="宋体"/>
                <w:color w:val="auto"/>
                <w:szCs w:val="21"/>
                <w:highlight w:val="none"/>
              </w:rPr>
            </w:pPr>
          </w:p>
        </w:tc>
        <w:tc>
          <w:tcPr>
            <w:tcW w:w="1561" w:type="dxa"/>
          </w:tcPr>
          <w:p>
            <w:pPr>
              <w:topLinePunct/>
              <w:spacing w:line="440" w:lineRule="exact"/>
              <w:rPr>
                <w:rFonts w:ascii="宋体" w:hAnsi="宋体"/>
                <w:color w:val="auto"/>
                <w:szCs w:val="21"/>
                <w:highlight w:val="none"/>
              </w:rPr>
            </w:pPr>
          </w:p>
        </w:tc>
        <w:tc>
          <w:tcPr>
            <w:tcW w:w="1561" w:type="dxa"/>
          </w:tcPr>
          <w:p>
            <w:pPr>
              <w:topLinePunct/>
              <w:spacing w:line="440" w:lineRule="exact"/>
              <w:rPr>
                <w:rFonts w:ascii="宋体" w:hAnsi="宋体"/>
                <w:color w:val="auto"/>
                <w:szCs w:val="21"/>
                <w:highlight w:val="none"/>
              </w:rPr>
            </w:pPr>
          </w:p>
        </w:tc>
        <w:tc>
          <w:tcPr>
            <w:tcW w:w="1441" w:type="dxa"/>
          </w:tcPr>
          <w:p>
            <w:pPr>
              <w:topLinePunct/>
              <w:spacing w:line="440" w:lineRule="exact"/>
              <w:rPr>
                <w:rFonts w:ascii="宋体" w:hAnsi="宋体"/>
                <w:color w:val="auto"/>
                <w:szCs w:val="21"/>
                <w:highlight w:val="none"/>
              </w:rPr>
            </w:pPr>
          </w:p>
        </w:tc>
      </w:tr>
    </w:tbl>
    <w:p>
      <w:pPr>
        <w:spacing w:line="280" w:lineRule="exact"/>
        <w:jc w:val="left"/>
        <w:rPr>
          <w:rFonts w:ascii="宋体" w:hAnsi="宋体"/>
          <w:color w:val="auto"/>
          <w:szCs w:val="21"/>
          <w:highlight w:val="none"/>
        </w:rPr>
      </w:pPr>
    </w:p>
    <w:p>
      <w:pPr>
        <w:rPr>
          <w:b/>
          <w:bCs/>
          <w:color w:val="auto"/>
          <w:highlight w:val="none"/>
        </w:rPr>
      </w:pPr>
      <w:r>
        <w:rPr>
          <w:rFonts w:hint="eastAsia"/>
          <w:b/>
          <w:bCs/>
          <w:color w:val="auto"/>
          <w:highlight w:val="none"/>
        </w:rPr>
        <w:t>注：后附供应商类似项目业绩，以加盖公章的合同协议书或成交（中标）通知书复印件为准。</w:t>
      </w:r>
    </w:p>
    <w:p>
      <w:pPr>
        <w:rPr>
          <w:rFonts w:ascii="宋体" w:hAnsi="宋体"/>
          <w:color w:val="auto"/>
          <w:szCs w:val="21"/>
          <w:highlight w:val="none"/>
        </w:rPr>
      </w:pPr>
      <w:r>
        <w:rPr>
          <w:rFonts w:hint="eastAsia" w:ascii="宋体" w:hAnsi="宋体"/>
          <w:color w:val="auto"/>
          <w:szCs w:val="21"/>
          <w:highlight w:val="none"/>
        </w:rPr>
        <w:br w:type="page"/>
      </w:r>
    </w:p>
    <w:p>
      <w:pPr>
        <w:pStyle w:val="3"/>
        <w:rPr>
          <w:rFonts w:ascii="宋体" w:hAnsi="宋体" w:cs="宋体"/>
          <w:color w:val="auto"/>
          <w:highlight w:val="none"/>
        </w:rPr>
      </w:pPr>
      <w:bookmarkStart w:id="105" w:name="_Toc3333"/>
      <w:r>
        <w:rPr>
          <w:rFonts w:hint="eastAsia" w:ascii="宋体" w:hAnsi="宋体" w:cs="宋体"/>
          <w:color w:val="auto"/>
          <w:highlight w:val="none"/>
        </w:rPr>
        <w:t>第五章  采购内容及技术规范</w:t>
      </w:r>
      <w:bookmarkEnd w:id="103"/>
      <w:bookmarkEnd w:id="105"/>
    </w:p>
    <w:bookmarkEnd w:id="102"/>
    <w:bookmarkEnd w:id="104"/>
    <w:p>
      <w:pPr>
        <w:spacing w:line="360" w:lineRule="auto"/>
        <w:rPr>
          <w:rFonts w:ascii="宋体" w:hAnsi="宋体" w:cs="宋体"/>
          <w:b/>
          <w:bCs/>
          <w:color w:val="auto"/>
          <w:kern w:val="0"/>
          <w:szCs w:val="21"/>
          <w:highlight w:val="none"/>
        </w:rPr>
      </w:pPr>
      <w:r>
        <w:rPr>
          <w:rFonts w:hint="eastAsia" w:ascii="宋体" w:hAnsi="宋体" w:cs="宋体"/>
          <w:b/>
          <w:bCs/>
          <w:color w:val="auto"/>
          <w:kern w:val="0"/>
          <w:szCs w:val="21"/>
          <w:highlight w:val="none"/>
        </w:rPr>
        <w:t>一、项目基本情况</w:t>
      </w:r>
    </w:p>
    <w:p>
      <w:pPr>
        <w:spacing w:line="360" w:lineRule="auto"/>
        <w:ind w:firstLine="420" w:firstLineChars="200"/>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项目名称：</w:t>
      </w:r>
      <w:r>
        <w:rPr>
          <w:rFonts w:hint="eastAsia" w:ascii="宋体" w:hAnsi="宋体" w:cs="宋体"/>
          <w:color w:val="auto"/>
          <w:kern w:val="0"/>
          <w:szCs w:val="21"/>
          <w:highlight w:val="none"/>
          <w:lang w:eastAsia="zh-CN"/>
        </w:rPr>
        <w:t>上王村农家乐产业发展提升项目</w:t>
      </w:r>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项目地点：西安市长安区滦镇街道上王村</w:t>
      </w:r>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质量要求：达到国家现行行业施工验收规范“合格”标准</w:t>
      </w:r>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lang w:eastAsia="zh-CN"/>
        </w:rPr>
        <w:t>计划</w:t>
      </w:r>
      <w:r>
        <w:rPr>
          <w:rFonts w:hint="eastAsia" w:ascii="宋体" w:hAnsi="宋体" w:cs="宋体"/>
          <w:color w:val="auto"/>
          <w:kern w:val="0"/>
          <w:szCs w:val="21"/>
          <w:highlight w:val="none"/>
        </w:rPr>
        <w:t>工期：</w:t>
      </w:r>
      <w:r>
        <w:rPr>
          <w:rFonts w:hint="eastAsia" w:ascii="宋体" w:hAnsi="宋体" w:cs="宋体"/>
          <w:color w:val="auto"/>
          <w:kern w:val="0"/>
          <w:szCs w:val="21"/>
          <w:highlight w:val="none"/>
          <w:lang w:val="en-US" w:eastAsia="zh-CN"/>
        </w:rPr>
        <w:t>60个日历天</w:t>
      </w:r>
      <w:r>
        <w:rPr>
          <w:rFonts w:hint="eastAsia" w:ascii="宋体" w:hAnsi="宋体" w:cs="宋体"/>
          <w:color w:val="auto"/>
          <w:kern w:val="0"/>
          <w:szCs w:val="21"/>
          <w:highlight w:val="none"/>
        </w:rPr>
        <w:t>（具体开工日期以采购人通知为准）</w:t>
      </w:r>
    </w:p>
    <w:p>
      <w:pPr>
        <w:spacing w:line="360" w:lineRule="auto"/>
        <w:rPr>
          <w:rFonts w:ascii="宋体" w:hAnsi="宋体" w:cs="宋体"/>
          <w:b/>
          <w:bCs/>
          <w:color w:val="auto"/>
          <w:kern w:val="0"/>
          <w:szCs w:val="21"/>
          <w:highlight w:val="none"/>
        </w:rPr>
      </w:pPr>
      <w:r>
        <w:rPr>
          <w:rFonts w:hint="eastAsia" w:ascii="宋体" w:hAnsi="宋体" w:cs="宋体"/>
          <w:b/>
          <w:bCs/>
          <w:color w:val="auto"/>
          <w:kern w:val="0"/>
          <w:szCs w:val="21"/>
          <w:highlight w:val="none"/>
        </w:rPr>
        <w:t>二、项目建设内容</w:t>
      </w:r>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该项目内容主要是建设农产品展销中心及游客中心</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设置游客直饮水点和消防点，具体如下：</w:t>
      </w:r>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一）建设农产品展销中心及游客中心：设计装修打造集农产品展销和游客服务为一体的接待中心约150平方米。制作展示柜架柜台，设置品牌形象墙、LED显示屏、展示灯箱和灯光，购置现场直播等设备；购置游客休憩桌椅等设施设备。</w:t>
      </w:r>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eastAsia="zh-CN"/>
        </w:rPr>
        <w:t>二</w:t>
      </w:r>
      <w:r>
        <w:rPr>
          <w:rFonts w:hint="eastAsia" w:ascii="宋体" w:hAnsi="宋体" w:cs="宋体"/>
          <w:color w:val="auto"/>
          <w:kern w:val="0"/>
          <w:szCs w:val="21"/>
          <w:highlight w:val="none"/>
        </w:rPr>
        <w:t>）设置游客直饮水点和消防点：在游客服务中心及游客集中区域建设纯净直饮水点和消防物资点各6处，解决游客饮水问题，确保消防安全。</w:t>
      </w:r>
    </w:p>
    <w:p>
      <w:pPr>
        <w:spacing w:line="360" w:lineRule="auto"/>
        <w:rPr>
          <w:rFonts w:ascii="宋体" w:hAnsi="宋体" w:cs="宋体"/>
          <w:b/>
          <w:bCs/>
          <w:color w:val="auto"/>
          <w:highlight w:val="none"/>
        </w:rPr>
      </w:pPr>
      <w:r>
        <w:rPr>
          <w:rFonts w:hint="eastAsia" w:ascii="宋体" w:hAnsi="宋体" w:cs="宋体"/>
          <w:b/>
          <w:bCs/>
          <w:color w:val="auto"/>
          <w:kern w:val="0"/>
          <w:szCs w:val="21"/>
          <w:highlight w:val="none"/>
        </w:rPr>
        <w:t>三、</w:t>
      </w:r>
      <w:r>
        <w:rPr>
          <w:rFonts w:hint="eastAsia" w:ascii="宋体" w:hAnsi="宋体" w:cs="宋体"/>
          <w:b/>
          <w:bCs/>
          <w:color w:val="auto"/>
          <w:highlight w:val="none"/>
        </w:rPr>
        <w:t>技术规范：</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本工程的施工过程和成果必须符合国家有关工程建设标准强制性条文和国家或有关部门关于工程施工方面现行的标准、规范、规程、定额、办法、示例，以及陕西省关于工程施工方面的文件、规定。</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承包人在施工过程中使用或参考上述标准、规范以外的技术标准、规范时，应征得业主或业主指定代表人的同意。</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在施工过程中，如果国家或有关部门颁布了新的技术标准或规范，则承包人应采用新的标准或规范进行施工。</w:t>
      </w:r>
    </w:p>
    <w:p>
      <w:pPr>
        <w:spacing w:line="360" w:lineRule="auto"/>
        <w:rPr>
          <w:rFonts w:ascii="宋体" w:hAnsi="宋体" w:cs="宋体"/>
          <w:b/>
          <w:bCs/>
          <w:color w:val="auto"/>
          <w:highlight w:val="none"/>
        </w:rPr>
      </w:pPr>
      <w:r>
        <w:rPr>
          <w:rFonts w:hint="eastAsia" w:ascii="宋体" w:hAnsi="宋体" w:cs="宋体"/>
          <w:b/>
          <w:bCs/>
          <w:color w:val="auto"/>
          <w:highlight w:val="none"/>
        </w:rPr>
        <w:t>四、工程量清单及编制说明（另册）</w:t>
      </w:r>
    </w:p>
    <w:p>
      <w:pPr>
        <w:spacing w:line="360" w:lineRule="auto"/>
        <w:rPr>
          <w:rFonts w:ascii="宋体" w:hAnsi="宋体" w:cs="宋体"/>
          <w:color w:val="auto"/>
          <w:highlight w:val="none"/>
        </w:rPr>
      </w:pPr>
      <w:r>
        <w:rPr>
          <w:rFonts w:hint="eastAsia" w:ascii="宋体" w:hAnsi="宋体" w:cs="宋体"/>
          <w:b/>
          <w:bCs/>
          <w:color w:val="auto"/>
          <w:highlight w:val="none"/>
        </w:rPr>
        <w:t>五、图纸电子版（另册）</w:t>
      </w:r>
      <w:r>
        <w:rPr>
          <w:rFonts w:hint="eastAsia" w:ascii="宋体" w:hAnsi="宋体" w:cs="宋体"/>
          <w:color w:val="auto"/>
          <w:highlight w:val="none"/>
        </w:rPr>
        <w:br w:type="page"/>
      </w:r>
    </w:p>
    <w:p>
      <w:pPr>
        <w:pStyle w:val="3"/>
        <w:rPr>
          <w:rFonts w:ascii="宋体" w:hAnsi="宋体" w:cs="宋体"/>
          <w:color w:val="auto"/>
          <w:highlight w:val="none"/>
        </w:rPr>
      </w:pPr>
      <w:bookmarkStart w:id="106" w:name="_Toc3885"/>
      <w:bookmarkStart w:id="107" w:name="_Toc12011"/>
      <w:r>
        <w:rPr>
          <w:rFonts w:hint="eastAsia" w:ascii="宋体" w:hAnsi="宋体" w:cs="宋体"/>
          <w:color w:val="auto"/>
          <w:highlight w:val="none"/>
        </w:rPr>
        <w:t>第六章  评审方法</w:t>
      </w:r>
      <w:bookmarkEnd w:id="106"/>
      <w:bookmarkEnd w:id="107"/>
    </w:p>
    <w:p>
      <w:pPr>
        <w:tabs>
          <w:tab w:val="left" w:pos="360"/>
        </w:tabs>
        <w:spacing w:line="360" w:lineRule="auto"/>
        <w:rPr>
          <w:rFonts w:ascii="宋体" w:hAnsi="宋体" w:cs="宋体"/>
          <w:b/>
          <w:color w:val="auto"/>
          <w:spacing w:val="4"/>
          <w:szCs w:val="21"/>
          <w:highlight w:val="none"/>
        </w:rPr>
      </w:pPr>
      <w:r>
        <w:rPr>
          <w:rFonts w:hint="eastAsia" w:ascii="宋体" w:hAnsi="宋体" w:cs="宋体"/>
          <w:b/>
          <w:color w:val="auto"/>
          <w:spacing w:val="4"/>
          <w:szCs w:val="21"/>
          <w:highlight w:val="none"/>
        </w:rPr>
        <w:t>一．评审方法</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按照《中华人民共和国政府采购法》、《中华人民共和国政府采购法实施条例》、《政府采购竞争性磋商采购方式管理暂行办法》财库〔2014〕214号文件的规定，竞争性磋商小组采用综合评分法对提交最后报价的供应商的响应文件和最后报价进行综合评分，按照评审得分由高到低顺序推荐3名成交候选供应商。</w:t>
      </w:r>
    </w:p>
    <w:p>
      <w:pPr>
        <w:autoSpaceDE w:val="0"/>
        <w:autoSpaceDN w:val="0"/>
        <w:adjustRightInd w:val="0"/>
        <w:spacing w:line="360" w:lineRule="auto"/>
        <w:ind w:right="6"/>
        <w:jc w:val="left"/>
        <w:rPr>
          <w:rFonts w:ascii="宋体" w:hAnsi="宋体" w:cs="宋体"/>
          <w:b/>
          <w:bCs/>
          <w:color w:val="auto"/>
          <w:szCs w:val="21"/>
          <w:highlight w:val="none"/>
        </w:rPr>
      </w:pPr>
      <w:r>
        <w:rPr>
          <w:rFonts w:hint="eastAsia" w:ascii="宋体" w:hAnsi="宋体" w:cs="宋体"/>
          <w:b/>
          <w:bCs/>
          <w:color w:val="auto"/>
          <w:szCs w:val="21"/>
          <w:highlight w:val="none"/>
        </w:rPr>
        <w:t>二．评审程序</w:t>
      </w:r>
    </w:p>
    <w:p>
      <w:pPr>
        <w:autoSpaceDE w:val="0"/>
        <w:autoSpaceDN w:val="0"/>
        <w:adjustRightInd w:val="0"/>
        <w:spacing w:line="360" w:lineRule="auto"/>
        <w:ind w:right="6"/>
        <w:jc w:val="left"/>
        <w:rPr>
          <w:rFonts w:ascii="宋体" w:hAnsi="宋体" w:cs="宋体"/>
          <w:color w:val="auto"/>
          <w:szCs w:val="21"/>
          <w:highlight w:val="none"/>
        </w:rPr>
      </w:pPr>
      <w:r>
        <w:rPr>
          <w:rFonts w:hint="eastAsia" w:ascii="宋体" w:hAnsi="宋体" w:cs="宋体"/>
          <w:color w:val="auto"/>
          <w:szCs w:val="21"/>
          <w:highlight w:val="none"/>
        </w:rPr>
        <w:t>1、响应文件审查</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审查分为资格性检查和符合性检查。分别按照以下内容对磋商响应文件进行检查，一项不合格即按照无效响应处理。</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响应文件审查合格的为实质性响应磋商文件要求的供应商。</w:t>
      </w:r>
    </w:p>
    <w:p>
      <w:pPr>
        <w:autoSpaceDE w:val="0"/>
        <w:autoSpaceDN w:val="0"/>
        <w:adjustRightInd w:val="0"/>
        <w:spacing w:line="360" w:lineRule="auto"/>
        <w:ind w:right="6"/>
        <w:jc w:val="left"/>
        <w:rPr>
          <w:rFonts w:ascii="宋体" w:hAnsi="宋体" w:cs="宋体"/>
          <w:color w:val="auto"/>
          <w:szCs w:val="21"/>
          <w:highlight w:val="none"/>
        </w:rPr>
      </w:pPr>
    </w:p>
    <w:p>
      <w:pPr>
        <w:autoSpaceDE w:val="0"/>
        <w:autoSpaceDN w:val="0"/>
        <w:adjustRightInd w:val="0"/>
        <w:spacing w:line="360" w:lineRule="auto"/>
        <w:ind w:right="6"/>
        <w:jc w:val="left"/>
        <w:rPr>
          <w:rFonts w:ascii="宋体" w:hAnsi="宋体" w:cs="宋体"/>
          <w:color w:val="auto"/>
          <w:szCs w:val="21"/>
          <w:highlight w:val="none"/>
        </w:rPr>
      </w:pPr>
      <w:r>
        <w:rPr>
          <w:rFonts w:hint="eastAsia" w:ascii="宋体" w:hAnsi="宋体" w:cs="宋体"/>
          <w:color w:val="auto"/>
          <w:szCs w:val="21"/>
          <w:highlight w:val="none"/>
        </w:rPr>
        <w:t>1.1资格性检查</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1.1.1提交的资格证明文件是否符合国家法律法规和磋商文件的要求。并且齐全、真实、有效。</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1.1.2是否按照磋商文件的要求提交了足额有效的磋商保证金（如有要求）。</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1.1.3在“信用中国”网站（www.creditchina.gov.cn）和“中国政府采购网”（www.ccgp.gov.cn）对供应商信用信息进行查询，如果供应商被查实在磋商截止时间前已列入失信被执行人、重大税收违法案件当事人名单、政府采购严重违法失信行为记录名单，其磋商响应为无效。</w:t>
      </w:r>
    </w:p>
    <w:p>
      <w:pPr>
        <w:autoSpaceDE w:val="0"/>
        <w:autoSpaceDN w:val="0"/>
        <w:adjustRightInd w:val="0"/>
        <w:spacing w:line="360" w:lineRule="auto"/>
        <w:ind w:right="6"/>
        <w:jc w:val="left"/>
        <w:rPr>
          <w:rFonts w:ascii="宋体" w:hAnsi="宋体" w:cs="宋体"/>
          <w:color w:val="auto"/>
          <w:szCs w:val="21"/>
          <w:highlight w:val="none"/>
        </w:rPr>
      </w:pPr>
    </w:p>
    <w:p>
      <w:pPr>
        <w:autoSpaceDE w:val="0"/>
        <w:autoSpaceDN w:val="0"/>
        <w:adjustRightInd w:val="0"/>
        <w:spacing w:line="360" w:lineRule="auto"/>
        <w:ind w:right="6"/>
        <w:jc w:val="left"/>
        <w:rPr>
          <w:rFonts w:ascii="宋体" w:hAnsi="宋体" w:cs="宋体"/>
          <w:color w:val="auto"/>
          <w:szCs w:val="21"/>
          <w:highlight w:val="none"/>
        </w:rPr>
      </w:pPr>
      <w:r>
        <w:rPr>
          <w:rFonts w:hint="eastAsia" w:ascii="宋体" w:hAnsi="宋体" w:cs="宋体"/>
          <w:color w:val="auto"/>
          <w:szCs w:val="21"/>
          <w:highlight w:val="none"/>
        </w:rPr>
        <w:t>1.2符合性检查</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1.2.1磋商响应文件的完整性审查。</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1.2.1.1磋商响应文件是否按照磋商文件要求的格式编写；</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1.2.1.2磋商报价内容是否有重大缺漏项。</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1.2.2磋商响应文件的有效性审查。</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1.2.2.1磋商响应文件的签署、加盖印章是否有效；提供的各种证明文件、数据、资料是否有效。</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1.2.3磋商响应文件的响应性审查。</w:t>
      </w:r>
    </w:p>
    <w:p>
      <w:pPr>
        <w:autoSpaceDE w:val="0"/>
        <w:autoSpaceDN w:val="0"/>
        <w:adjustRightInd w:val="0"/>
        <w:spacing w:line="360" w:lineRule="auto"/>
        <w:ind w:right="6" w:firstLine="420" w:firstLineChars="200"/>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1.2.3.1磋商报价是否超过采购预算；已标价工程量清单</w:t>
      </w:r>
      <w:r>
        <w:rPr>
          <w:rFonts w:hint="eastAsia" w:ascii="宋体" w:hAnsi="宋体" w:cs="宋体"/>
          <w:color w:val="auto"/>
          <w:szCs w:val="21"/>
          <w:highlight w:val="none"/>
          <w:lang w:eastAsia="zh-CN"/>
        </w:rPr>
        <w:t>是否</w:t>
      </w:r>
      <w:r>
        <w:rPr>
          <w:rFonts w:hint="eastAsia" w:ascii="宋体" w:hAnsi="宋体" w:cs="宋体"/>
          <w:color w:val="auto"/>
          <w:szCs w:val="21"/>
          <w:highlight w:val="none"/>
        </w:rPr>
        <w:t>符合“工程量清单”给出的子目编码、子目名称、子目特征、计量单位和工程量</w:t>
      </w:r>
      <w:r>
        <w:rPr>
          <w:rFonts w:hint="eastAsia" w:ascii="宋体" w:hAnsi="宋体" w:cs="宋体"/>
          <w:color w:val="auto"/>
          <w:szCs w:val="21"/>
          <w:highlight w:val="none"/>
          <w:lang w:eastAsia="zh-CN"/>
        </w:rPr>
        <w:t>；</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1.2.3.2磋商报价是否低于成本价，涉嫌不正当竞争；（如果评委会认为某磋商报价明显不合理或者低于成本，应当要求其在规定期限内提供书面文件予以解释说明，并提交相关证明材料。）</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1.2.3.3磋商报价有效期是否符合磋商文件的要求；</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1.2.3.4响应文件内容是否符合国家法律法规，没有重大偏离；</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1.2.3.5对磋商文件中规定的要求是否做出了实质性响应。</w:t>
      </w:r>
    </w:p>
    <w:p>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1.2.</w:t>
      </w:r>
      <w:r>
        <w:rPr>
          <w:rFonts w:hint="eastAsia" w:ascii="宋体" w:hAnsi="宋体" w:cs="宋体"/>
          <w:color w:val="auto"/>
          <w:kern w:val="0"/>
          <w:szCs w:val="21"/>
          <w:highlight w:val="none"/>
          <w:lang w:val="en-US" w:eastAsia="zh-CN"/>
        </w:rPr>
        <w:t>4</w:t>
      </w:r>
      <w:r>
        <w:rPr>
          <w:rFonts w:hint="eastAsia" w:ascii="宋体" w:hAnsi="宋体" w:cs="宋体"/>
          <w:color w:val="auto"/>
          <w:kern w:val="0"/>
          <w:szCs w:val="21"/>
          <w:highlight w:val="none"/>
        </w:rPr>
        <w:t>本项目专门面向中小企业采购（监狱企业及残疾人企业视为小、微企业）。</w:t>
      </w:r>
    </w:p>
    <w:p>
      <w:pPr>
        <w:autoSpaceDE w:val="0"/>
        <w:autoSpaceDN w:val="0"/>
        <w:adjustRightInd w:val="0"/>
        <w:spacing w:line="360" w:lineRule="auto"/>
        <w:ind w:right="6"/>
        <w:jc w:val="left"/>
        <w:rPr>
          <w:rFonts w:ascii="宋体" w:hAnsi="宋体" w:cs="宋体"/>
          <w:color w:val="auto"/>
          <w:szCs w:val="21"/>
          <w:highlight w:val="none"/>
        </w:rPr>
      </w:pPr>
      <w:r>
        <w:rPr>
          <w:rFonts w:hint="eastAsia" w:ascii="宋体" w:hAnsi="宋体" w:cs="宋体"/>
          <w:color w:val="auto"/>
          <w:szCs w:val="21"/>
          <w:highlight w:val="none"/>
        </w:rPr>
        <w:t>2、澄清有关问题</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磋商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autoSpaceDE w:val="0"/>
        <w:autoSpaceDN w:val="0"/>
        <w:adjustRightInd w:val="0"/>
        <w:spacing w:line="360" w:lineRule="auto"/>
        <w:ind w:right="6"/>
        <w:jc w:val="left"/>
        <w:rPr>
          <w:rFonts w:ascii="宋体" w:hAnsi="宋体" w:cs="宋体"/>
          <w:color w:val="auto"/>
          <w:szCs w:val="21"/>
          <w:highlight w:val="none"/>
        </w:rPr>
      </w:pPr>
      <w:r>
        <w:rPr>
          <w:rFonts w:hint="eastAsia" w:ascii="宋体" w:hAnsi="宋体" w:cs="宋体"/>
          <w:color w:val="auto"/>
          <w:szCs w:val="21"/>
          <w:highlight w:val="none"/>
        </w:rPr>
        <w:t>3、磋商小组所有成员集中与实质性响应磋商文件要求的供应商分别进行磋商。</w:t>
      </w:r>
    </w:p>
    <w:p>
      <w:pPr>
        <w:autoSpaceDE w:val="0"/>
        <w:autoSpaceDN w:val="0"/>
        <w:adjustRightInd w:val="0"/>
        <w:spacing w:line="360" w:lineRule="auto"/>
        <w:ind w:right="6"/>
        <w:jc w:val="left"/>
        <w:rPr>
          <w:rFonts w:ascii="宋体" w:hAnsi="宋体" w:cs="宋体"/>
          <w:color w:val="auto"/>
          <w:szCs w:val="21"/>
          <w:highlight w:val="none"/>
        </w:rPr>
      </w:pPr>
      <w:r>
        <w:rPr>
          <w:rFonts w:hint="eastAsia" w:ascii="宋体" w:hAnsi="宋体" w:cs="宋体"/>
          <w:color w:val="auto"/>
          <w:szCs w:val="21"/>
          <w:highlight w:val="none"/>
        </w:rPr>
        <w:t>4、政策性价格优惠折扣规定</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4.1经初审并磋商之后，对于所有满足磋商文件全部实质性要求并按照规定提交了最终报价的响应文件，按照以下规则进行评审价格的确定。</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4.2对于符合政策性优惠的，其评标价按照以下规则进行计算调整。</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4.2.1符合（财库〔2020〕46号）文件规定的小微企业单位的评标价计算规则：</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4.2.1.1对符合规定的小型和微型企业（非联合体磋商）报价给予4%的扣除，用扣除后的价格参加评审。</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其评审价=最终报价*（1-4%）</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4.2.1.2对于联合协议或者分包意向协议约定小微企业的合同份额占到合同总金额30%以上的（须在联合协议或分包意向协议中明确监狱企业的合同份额，否则评审时不予给予价格扣除），对联合体或者大中型企业的报价给予2%的扣除，用扣除后的价格参加评审。</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其评审价=最终报价*（1-2%）</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4.2.1.3确认为小微企业（含小型、微型企业，下同）磋商的，应当同时符合以下条件：</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4.2.1.3.1符合国务院有关部门根据企业从业人员、营业收入、资产总额等指标制定的中小企业划型标准（工信部联企业〔2011〕300号）；</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4.2.1.3.2在服务采购项目中，服务由中小企业承接，即提供服务的人员为中小企业依照《中华人民共和国劳动合同法》订立劳动合同的从业人员。 </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4.2.1.3.3磋商时须提供按照（财库〔2020〕46号）文件附件格式填写的《中小企业声明函（工程）》。</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4.2.2符合（财库〔2017〕141号）文件规定的残疾人福利性单位的评标价计算规则：</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4.2.2.1在政府采购活动中，残疾人福利性单位视同小型、微型企业，享受预留份额、评审中价格扣除等促进中小企业发展的政府采购政策。向残疾人福利性单位采购的金额，计入面向中小企业采购的统计数据。报价给予4%的扣除，用扣除后的价格参加评审。</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其评审价=最终报价*（1-4%）</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4.2.2.2对于联合协议或者分包意向协议约定残疾人福利性单位的合同份额占到合同总金额30%以上的（须在联合协议或分包意向协议中明确监狱企业的合同份额，否则评审时不予给予价格扣除），对联合体或者大中型企业的报价给予2%的扣除，用扣除后的价格参加评审。</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其评审价=最终报价*（1-2%）</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4.2.2.3确认为残疾人福利性单位磋商的，应当同时符合以下条件：</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4.2.2.3.1符合（财库〔2017〕141号）文件相关规定。</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4.2.2.3.2磋商时提供本单位的服务，或者提供其他残疾人福利性单位承担的服务。</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4.2.2.3.3供应商须提供按照（财库〔2017〕141号）文件附件格式填写的《残疾人福利性单位声明函》。</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4.2.3符合（财库〔2014〕68号）文件规定的监狱企业的评审价计算规则：</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4.2.3.1在政府采购活动中，监狱企业视同小型、微型企业，享受预留份额、评审中价格扣除等政府采购促进中小企业发展的政府采购政策。向监狱企业采购的金额，计入面向中小企业采购的统计数据。报价给予4%的扣除，用扣除后的价格参加评审。</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其评审价=最终报价*（1-4%）</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4.2.3.2对于联合协议或者分包意向协议约定监狱企业的合同份额占到合同总金额30%以上的（须在联合协议或分包意向协议中明确监狱企业的合同份额，否则评审时不予给予价格扣除），对联合体或者大中型企业的报价给予2%的扣除，用扣除后的价格参加评审。</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其评审价=最终报价*（1-2%）</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4.2.3.3确认为监狱企业磋商的，应当同时符合以下条件：</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4.2.3.3.1符合（财库〔2014〕68号）文件相关规定。</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4.2.3.3.2磋商时提供本单位的服务，或者提供其他监狱企业承担的服务。</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4.2.3.3.3供应商须提供由省级以上监狱管理局、戒毒管理局（含新疆生产建设兵团）出具的属于监狱企业的证明文件。</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4.2.4符合节能产品文件规定的加分规则：</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4.2.4.1磋商服务涉及提供的所有磋商产品进入“节能产品政府采购品目清单”（相关证书的颁发机构应来自《参与实施政府采购节能产品认证机构名录》）的予以加分，具体评审标准及分值见《评审因素量化赋分表》；（不是所有磋商产品的不享受此项优惠）。</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4.2.5符合环境标志产品文件规定的加分规则：</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4.2.5.1磋商服务涉及提供的所有磋商产品进入“环境标志产品政府采购品目清单”（相关证书的颁发机构应来自《参与实施政府采购环境标志产品认证机构名录》）的予以加分，具体评审标准及分值见《评审因素量化赋分表》；（不是所有磋商产品的不享受此项优惠）。    </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4.3评审价的计算：</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4.3.1供应商为非联合体的情况：</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小型企业，其评审价=最终报价*（1-4%）；</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微型企业，其评审价=最终报价*（1-4%）；</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监狱企业，其评审价=最终报价*（1-4%）；</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残疾人福利性单位，其评审价=最终报价*（1-4%）。</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4.3.2供应商为联合体且联合协议或者分包意向协议中约定小型、微型企业的协议合同金额占到联合体协议合同总金额30％以上的，按照以下规则进行评审价计算：</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与小型企业联合或分包的，其评审价=最终报价*（1-2%）；</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与微型企业联合或分包的，其评审价=最终报价*（1-2%）；</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与监狱企业联合或分包的，其评审价=最终报价*（1-2%）；</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与残疾人福利性单位联合或分包的，其评审价=最终报价*（1-2%）。</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4.4对于不享受以上政策性优惠价格调整的，其评审价=供应商提交的最终报价。</w:t>
      </w:r>
    </w:p>
    <w:p>
      <w:pPr>
        <w:autoSpaceDE w:val="0"/>
        <w:autoSpaceDN w:val="0"/>
        <w:adjustRightInd w:val="0"/>
        <w:spacing w:line="360" w:lineRule="auto"/>
        <w:ind w:right="6"/>
        <w:jc w:val="left"/>
        <w:rPr>
          <w:rFonts w:ascii="宋体" w:hAnsi="宋体" w:cs="宋体"/>
          <w:color w:val="auto"/>
          <w:szCs w:val="21"/>
          <w:highlight w:val="none"/>
        </w:rPr>
      </w:pPr>
      <w:r>
        <w:rPr>
          <w:rFonts w:hint="eastAsia" w:ascii="宋体" w:hAnsi="宋体" w:cs="宋体"/>
          <w:color w:val="auto"/>
          <w:szCs w:val="21"/>
          <w:highlight w:val="none"/>
        </w:rPr>
        <w:t>5、比较与评价：</w:t>
      </w:r>
    </w:p>
    <w:p>
      <w:pPr>
        <w:autoSpaceDE w:val="0"/>
        <w:autoSpaceDN w:val="0"/>
        <w:adjustRightInd w:val="0"/>
        <w:spacing w:line="360" w:lineRule="auto"/>
        <w:ind w:right="6" w:firstLine="420" w:firstLineChars="200"/>
        <w:jc w:val="left"/>
        <w:rPr>
          <w:rFonts w:ascii="宋体" w:hAnsi="宋体" w:cs="宋体"/>
          <w:color w:val="auto"/>
          <w:szCs w:val="21"/>
          <w:highlight w:val="none"/>
        </w:rPr>
      </w:pPr>
      <w:r>
        <w:rPr>
          <w:rFonts w:hint="eastAsia" w:ascii="宋体" w:hAnsi="宋体" w:cs="宋体"/>
          <w:color w:val="auto"/>
          <w:szCs w:val="21"/>
          <w:highlight w:val="none"/>
        </w:rPr>
        <w:t>经初审并磋商之后，对于所有满足磋商文件全部实质性要求并按照规定提交了最终报价的响应文件，由竞争性磋商小组各成员按照下列《评审因素及量化指标分解表》规定的内容独立进行综合比较，评价打分。</w:t>
      </w:r>
    </w:p>
    <w:p>
      <w:pPr>
        <w:autoSpaceDE w:val="0"/>
        <w:autoSpaceDN w:val="0"/>
        <w:adjustRightInd w:val="0"/>
        <w:spacing w:line="360" w:lineRule="auto"/>
        <w:ind w:right="6"/>
        <w:jc w:val="left"/>
        <w:rPr>
          <w:rFonts w:ascii="宋体" w:hAnsi="宋体" w:cs="宋体"/>
          <w:color w:val="auto"/>
          <w:szCs w:val="21"/>
          <w:highlight w:val="none"/>
        </w:rPr>
      </w:pPr>
      <w:r>
        <w:rPr>
          <w:rFonts w:hint="eastAsia" w:ascii="宋体" w:hAnsi="宋体" w:cs="宋体"/>
          <w:color w:val="auto"/>
          <w:szCs w:val="21"/>
          <w:highlight w:val="none"/>
        </w:rPr>
        <w:t>6、推荐成交候选供应商名单</w:t>
      </w:r>
    </w:p>
    <w:p>
      <w:pPr>
        <w:autoSpaceDE w:val="0"/>
        <w:autoSpaceDN w:val="0"/>
        <w:adjustRightInd w:val="0"/>
        <w:spacing w:line="360" w:lineRule="auto"/>
        <w:ind w:right="6" w:firstLine="420" w:firstLineChars="200"/>
        <w:jc w:val="left"/>
        <w:rPr>
          <w:rFonts w:ascii="宋体" w:hAnsi="宋体" w:cs="宋体"/>
          <w:b/>
          <w:color w:val="auto"/>
          <w:kern w:val="0"/>
          <w:sz w:val="28"/>
          <w:szCs w:val="28"/>
          <w:highlight w:val="none"/>
        </w:rPr>
      </w:pPr>
      <w:r>
        <w:rPr>
          <w:rFonts w:hint="eastAsia" w:ascii="宋体" w:hAnsi="宋体" w:cs="宋体"/>
          <w:color w:val="auto"/>
          <w:szCs w:val="21"/>
          <w:highlight w:val="none"/>
        </w:rPr>
        <w:t>汇总磋商小组成员对每个供应商的综合得分，每个包按照评审得分由高到低顺序推荐3名成交候选供应商。</w:t>
      </w:r>
      <w:r>
        <w:rPr>
          <w:rFonts w:hint="eastAsia" w:ascii="宋体" w:hAnsi="宋体" w:cs="宋体"/>
          <w:color w:val="auto"/>
          <w:szCs w:val="21"/>
          <w:highlight w:val="none"/>
        </w:rPr>
        <w:br w:type="page"/>
      </w:r>
      <w:r>
        <w:rPr>
          <w:rFonts w:hint="eastAsia" w:ascii="宋体" w:hAnsi="宋体" w:cs="宋体"/>
          <w:b/>
          <w:color w:val="auto"/>
          <w:kern w:val="0"/>
          <w:sz w:val="28"/>
          <w:szCs w:val="28"/>
          <w:highlight w:val="none"/>
        </w:rPr>
        <w:t>评审因素量化赋分表</w:t>
      </w:r>
    </w:p>
    <w:bookmarkEnd w:id="81"/>
    <w:tbl>
      <w:tblPr>
        <w:tblStyle w:val="43"/>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934"/>
        <w:gridCol w:w="2387"/>
        <w:gridCol w:w="5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trPr>
        <w:tc>
          <w:tcPr>
            <w:tcW w:w="615" w:type="dxa"/>
            <w:vAlign w:val="center"/>
          </w:tcPr>
          <w:p>
            <w:pPr>
              <w:pStyle w:val="26"/>
              <w:spacing w:line="360" w:lineRule="exact"/>
              <w:ind w:left="5250"/>
              <w:jc w:val="center"/>
              <w:rPr>
                <w:rFonts w:ascii="宋体" w:hAnsi="宋体" w:cs="宋体"/>
                <w:bCs/>
                <w:color w:val="auto"/>
                <w:szCs w:val="21"/>
                <w:highlight w:val="none"/>
              </w:rPr>
            </w:pPr>
            <w:r>
              <w:rPr>
                <w:rFonts w:hint="eastAsia" w:ascii="宋体" w:hAnsi="宋体" w:cs="宋体"/>
                <w:bCs/>
                <w:color w:val="auto"/>
                <w:szCs w:val="21"/>
                <w:highlight w:val="none"/>
              </w:rPr>
              <w:t>类别</w:t>
            </w:r>
          </w:p>
        </w:tc>
        <w:tc>
          <w:tcPr>
            <w:tcW w:w="934" w:type="dxa"/>
            <w:vAlign w:val="center"/>
          </w:tcPr>
          <w:p>
            <w:pPr>
              <w:spacing w:line="360" w:lineRule="exact"/>
              <w:jc w:val="center"/>
              <w:rPr>
                <w:rFonts w:ascii="宋体" w:hAnsi="宋体" w:cs="宋体"/>
                <w:bCs/>
                <w:color w:val="auto"/>
                <w:szCs w:val="21"/>
                <w:highlight w:val="none"/>
              </w:rPr>
            </w:pPr>
            <w:r>
              <w:rPr>
                <w:rFonts w:hint="eastAsia" w:ascii="宋体" w:hAnsi="宋体" w:cs="宋体"/>
                <w:bCs/>
                <w:color w:val="auto"/>
                <w:szCs w:val="21"/>
                <w:highlight w:val="none"/>
              </w:rPr>
              <w:t>序号</w:t>
            </w:r>
          </w:p>
        </w:tc>
        <w:tc>
          <w:tcPr>
            <w:tcW w:w="2387" w:type="dxa"/>
            <w:vAlign w:val="center"/>
          </w:tcPr>
          <w:p>
            <w:pPr>
              <w:spacing w:line="360" w:lineRule="exact"/>
              <w:jc w:val="center"/>
              <w:rPr>
                <w:rFonts w:ascii="宋体" w:hAnsi="宋体" w:cs="宋体"/>
                <w:bCs/>
                <w:color w:val="auto"/>
                <w:szCs w:val="21"/>
                <w:highlight w:val="none"/>
              </w:rPr>
            </w:pPr>
            <w:r>
              <w:rPr>
                <w:rFonts w:hint="eastAsia" w:ascii="宋体" w:hAnsi="宋体" w:cs="宋体"/>
                <w:bCs/>
                <w:color w:val="auto"/>
                <w:szCs w:val="21"/>
                <w:highlight w:val="none"/>
              </w:rPr>
              <w:t>评审要素及分值</w:t>
            </w:r>
          </w:p>
        </w:tc>
        <w:tc>
          <w:tcPr>
            <w:tcW w:w="5005" w:type="dxa"/>
            <w:vAlign w:val="center"/>
          </w:tcPr>
          <w:p>
            <w:pPr>
              <w:spacing w:line="360" w:lineRule="exact"/>
              <w:jc w:val="center"/>
              <w:rPr>
                <w:rFonts w:ascii="宋体" w:hAnsi="宋体" w:cs="宋体"/>
                <w:bCs/>
                <w:color w:val="auto"/>
                <w:szCs w:val="21"/>
                <w:highlight w:val="none"/>
              </w:rPr>
            </w:pPr>
            <w:r>
              <w:rPr>
                <w:rFonts w:hint="eastAsia" w:ascii="宋体" w:hAnsi="宋体" w:cs="宋体"/>
                <w:bCs/>
                <w:color w:val="auto"/>
                <w:szCs w:val="21"/>
                <w:highlight w:val="none"/>
              </w:rPr>
              <w:t>赋分标准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615" w:type="dxa"/>
            <w:vMerge w:val="restart"/>
            <w:vAlign w:val="center"/>
          </w:tcPr>
          <w:p>
            <w:pPr>
              <w:spacing w:line="360" w:lineRule="exact"/>
              <w:rPr>
                <w:rFonts w:ascii="宋体" w:hAnsi="宋体" w:cs="宋体"/>
                <w:color w:val="auto"/>
                <w:szCs w:val="21"/>
                <w:highlight w:val="none"/>
              </w:rPr>
            </w:pPr>
            <w:r>
              <w:rPr>
                <w:rFonts w:hint="eastAsia" w:ascii="宋体" w:hAnsi="宋体" w:cs="宋体"/>
                <w:color w:val="auto"/>
                <w:szCs w:val="21"/>
                <w:highlight w:val="none"/>
              </w:rPr>
              <w:t>技术</w:t>
            </w:r>
            <w:r>
              <w:rPr>
                <w:rFonts w:hint="eastAsia" w:ascii="宋体" w:hAnsi="宋体" w:cs="宋体"/>
                <w:color w:val="auto"/>
                <w:szCs w:val="21"/>
                <w:highlight w:val="none"/>
                <w:lang w:val="en-US" w:eastAsia="zh-CN"/>
              </w:rPr>
              <w:t>70</w:t>
            </w:r>
            <w:r>
              <w:rPr>
                <w:rFonts w:hint="eastAsia" w:ascii="宋体" w:hAnsi="宋体" w:cs="宋体"/>
                <w:color w:val="auto"/>
                <w:szCs w:val="21"/>
                <w:highlight w:val="none"/>
              </w:rPr>
              <w:t>分</w:t>
            </w:r>
          </w:p>
          <w:p>
            <w:pPr>
              <w:pStyle w:val="26"/>
              <w:spacing w:line="360" w:lineRule="exact"/>
              <w:ind w:left="5250"/>
              <w:jc w:val="center"/>
              <w:rPr>
                <w:rFonts w:ascii="宋体" w:hAnsi="宋体" w:cs="宋体"/>
                <w:bCs/>
                <w:color w:val="auto"/>
                <w:szCs w:val="21"/>
                <w:highlight w:val="none"/>
              </w:rPr>
            </w:pPr>
            <w:r>
              <w:rPr>
                <w:rFonts w:hint="eastAsia" w:ascii="宋体" w:hAnsi="宋体" w:cs="宋体"/>
                <w:color w:val="auto"/>
                <w:szCs w:val="21"/>
                <w:highlight w:val="none"/>
              </w:rPr>
              <w:t>70分</w:t>
            </w:r>
          </w:p>
        </w:tc>
        <w:tc>
          <w:tcPr>
            <w:tcW w:w="934" w:type="dxa"/>
            <w:vAlign w:val="center"/>
          </w:tcPr>
          <w:p>
            <w:pPr>
              <w:spacing w:line="360" w:lineRule="exact"/>
              <w:jc w:val="center"/>
              <w:rPr>
                <w:rFonts w:ascii="宋体" w:hAnsi="宋体" w:cs="宋体"/>
                <w:bCs/>
                <w:color w:val="auto"/>
                <w:szCs w:val="21"/>
                <w:highlight w:val="none"/>
              </w:rPr>
            </w:pPr>
            <w:r>
              <w:rPr>
                <w:rFonts w:hint="eastAsia" w:ascii="宋体" w:hAnsi="宋体" w:cs="宋体"/>
                <w:bCs/>
                <w:color w:val="auto"/>
                <w:szCs w:val="21"/>
                <w:highlight w:val="none"/>
              </w:rPr>
              <w:t>1</w:t>
            </w:r>
          </w:p>
        </w:tc>
        <w:tc>
          <w:tcPr>
            <w:tcW w:w="2387" w:type="dxa"/>
            <w:vAlign w:val="center"/>
          </w:tcPr>
          <w:p>
            <w:pPr>
              <w:spacing w:line="360" w:lineRule="exact"/>
              <w:ind w:right="-107" w:rightChars="-51"/>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确保工程质量的技术组织措施</w:t>
            </w:r>
          </w:p>
          <w:p>
            <w:pPr>
              <w:spacing w:line="360" w:lineRule="exact"/>
              <w:ind w:right="-107" w:rightChars="-51"/>
              <w:jc w:val="center"/>
              <w:rPr>
                <w:rFonts w:ascii="宋体" w:hAnsi="宋体" w:cs="宋体"/>
                <w:bCs/>
                <w:color w:val="auto"/>
                <w:szCs w:val="21"/>
                <w:highlight w:val="none"/>
              </w:rPr>
            </w:pPr>
            <w:r>
              <w:rPr>
                <w:rFonts w:hint="eastAsia" w:asciiTheme="minorEastAsia" w:hAnsiTheme="minorEastAsia" w:eastAsiaTheme="minorEastAsia" w:cstheme="minorEastAsia"/>
                <w:color w:val="auto"/>
                <w:szCs w:val="21"/>
                <w:highlight w:val="none"/>
              </w:rPr>
              <w:t>（</w:t>
            </w:r>
            <w:r>
              <w:rPr>
                <w:rFonts w:hint="eastAsia" w:ascii="宋体" w:hAnsi="宋体"/>
                <w:color w:val="auto"/>
                <w:szCs w:val="21"/>
                <w:highlight w:val="none"/>
              </w:rPr>
              <w:t>满分</w:t>
            </w:r>
            <w:r>
              <w:rPr>
                <w:rFonts w:hint="eastAsia" w:asciiTheme="minorEastAsia" w:hAnsiTheme="minorEastAsia" w:eastAsiaTheme="minorEastAsia" w:cstheme="minorEastAsia"/>
                <w:color w:val="auto"/>
                <w:szCs w:val="21"/>
                <w:highlight w:val="none"/>
                <w:lang w:val="en-US" w:eastAsia="zh-CN"/>
              </w:rPr>
              <w:t>8</w:t>
            </w:r>
            <w:r>
              <w:rPr>
                <w:rFonts w:hint="eastAsia" w:asciiTheme="minorEastAsia" w:hAnsiTheme="minorEastAsia" w:eastAsiaTheme="minorEastAsia" w:cstheme="minorEastAsia"/>
                <w:color w:val="auto"/>
                <w:szCs w:val="21"/>
                <w:highlight w:val="none"/>
              </w:rPr>
              <w:t>分）</w:t>
            </w:r>
          </w:p>
        </w:tc>
        <w:tc>
          <w:tcPr>
            <w:tcW w:w="5005" w:type="dxa"/>
            <w:vAlign w:val="center"/>
          </w:tcPr>
          <w:p>
            <w:pPr>
              <w:spacing w:line="36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1.确保工程质量体系相对完善、科学，保障措施有针对性，且合理可行</w:t>
            </w:r>
            <w:r>
              <w:rPr>
                <w:rFonts w:hint="eastAsia" w:ascii="宋体" w:hAnsi="宋体"/>
                <w:color w:val="auto"/>
                <w:szCs w:val="21"/>
                <w:highlight w:val="none"/>
              </w:rPr>
              <w:t>的得</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lang w:val="en-US" w:eastAsia="zh-CN"/>
              </w:rPr>
              <w:t>4</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lang w:val="en-US" w:eastAsia="zh-CN"/>
              </w:rPr>
              <w:t>8</w:t>
            </w:r>
            <w:r>
              <w:rPr>
                <w:rFonts w:hint="eastAsia" w:asciiTheme="minorEastAsia" w:hAnsiTheme="minorEastAsia" w:eastAsiaTheme="minorEastAsia" w:cstheme="minorEastAsia"/>
                <w:color w:val="auto"/>
                <w:szCs w:val="21"/>
                <w:highlight w:val="none"/>
              </w:rPr>
              <w:t>]分；</w:t>
            </w:r>
          </w:p>
          <w:p>
            <w:pPr>
              <w:spacing w:line="360" w:lineRule="exact"/>
              <w:rPr>
                <w:rFonts w:ascii="宋体" w:hAnsi="宋体" w:cs="宋体"/>
                <w:bCs/>
                <w:color w:val="auto"/>
                <w:szCs w:val="21"/>
                <w:highlight w:val="none"/>
              </w:rPr>
            </w:pPr>
            <w:r>
              <w:rPr>
                <w:rFonts w:hint="eastAsia" w:asciiTheme="minorEastAsia" w:hAnsiTheme="minorEastAsia" w:eastAsiaTheme="minorEastAsia" w:cstheme="minorEastAsia"/>
                <w:color w:val="auto"/>
                <w:szCs w:val="21"/>
                <w:highlight w:val="none"/>
              </w:rPr>
              <w:t>2确保工程质量体系较完整，有一定保障措施</w:t>
            </w:r>
            <w:r>
              <w:rPr>
                <w:rFonts w:hint="eastAsia" w:ascii="宋体" w:hAnsi="宋体"/>
                <w:color w:val="auto"/>
                <w:szCs w:val="21"/>
                <w:highlight w:val="none"/>
              </w:rPr>
              <w:t>的得</w:t>
            </w:r>
            <w:r>
              <w:rPr>
                <w:rFonts w:hint="eastAsia" w:asciiTheme="minorEastAsia" w:hAnsiTheme="minorEastAsia" w:eastAsiaTheme="minorEastAsia" w:cstheme="minorEastAsia"/>
                <w:color w:val="auto"/>
                <w:szCs w:val="21"/>
                <w:highlight w:val="none"/>
              </w:rPr>
              <w:t>[0，</w:t>
            </w:r>
            <w:r>
              <w:rPr>
                <w:rFonts w:hint="eastAsia" w:asciiTheme="minorEastAsia" w:hAnsiTheme="minorEastAsia" w:eastAsiaTheme="minorEastAsia" w:cstheme="minorEastAsia"/>
                <w:color w:val="auto"/>
                <w:szCs w:val="21"/>
                <w:highlight w:val="none"/>
                <w:lang w:val="en-US" w:eastAsia="zh-CN"/>
              </w:rPr>
              <w:t>4</w:t>
            </w:r>
            <w:r>
              <w:rPr>
                <w:rFonts w:hint="eastAsia" w:asciiTheme="minorEastAsia" w:hAnsiTheme="minorEastAsia" w:eastAsiaTheme="minorEastAsia" w:cstheme="minorEastAsia"/>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15" w:type="dxa"/>
            <w:vMerge w:val="continue"/>
            <w:vAlign w:val="center"/>
          </w:tcPr>
          <w:p>
            <w:pPr>
              <w:spacing w:line="360" w:lineRule="exact"/>
              <w:rPr>
                <w:rFonts w:ascii="宋体" w:hAnsi="宋体" w:cs="宋体"/>
                <w:color w:val="auto"/>
                <w:szCs w:val="21"/>
                <w:highlight w:val="none"/>
              </w:rPr>
            </w:pPr>
          </w:p>
        </w:tc>
        <w:tc>
          <w:tcPr>
            <w:tcW w:w="934" w:type="dxa"/>
            <w:vAlign w:val="center"/>
          </w:tcPr>
          <w:p>
            <w:pPr>
              <w:spacing w:line="360" w:lineRule="exact"/>
              <w:jc w:val="center"/>
              <w:rPr>
                <w:rFonts w:ascii="宋体" w:hAnsi="宋体" w:cs="宋体"/>
                <w:bCs/>
                <w:color w:val="auto"/>
                <w:szCs w:val="21"/>
                <w:highlight w:val="none"/>
              </w:rPr>
            </w:pPr>
            <w:r>
              <w:rPr>
                <w:rFonts w:hint="eastAsia" w:ascii="宋体" w:hAnsi="宋体" w:cs="宋体"/>
                <w:bCs/>
                <w:color w:val="auto"/>
                <w:szCs w:val="21"/>
                <w:highlight w:val="none"/>
              </w:rPr>
              <w:t>2</w:t>
            </w:r>
          </w:p>
        </w:tc>
        <w:tc>
          <w:tcPr>
            <w:tcW w:w="2387" w:type="dxa"/>
            <w:vAlign w:val="center"/>
          </w:tcPr>
          <w:p>
            <w:pPr>
              <w:spacing w:line="360" w:lineRule="exact"/>
              <w:ind w:right="-107" w:rightChars="-51"/>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确保安全生产的技术组织措施</w:t>
            </w:r>
          </w:p>
          <w:p>
            <w:pPr>
              <w:spacing w:line="360" w:lineRule="exact"/>
              <w:ind w:right="-107" w:rightChars="-51"/>
              <w:jc w:val="center"/>
              <w:rPr>
                <w:rFonts w:ascii="宋体" w:hAnsi="宋体" w:cs="宋体"/>
                <w:color w:val="auto"/>
                <w:szCs w:val="21"/>
                <w:highlight w:val="none"/>
              </w:rPr>
            </w:pPr>
            <w:r>
              <w:rPr>
                <w:rFonts w:hint="eastAsia" w:asciiTheme="minorEastAsia" w:hAnsiTheme="minorEastAsia" w:eastAsiaTheme="minorEastAsia" w:cstheme="minorEastAsia"/>
                <w:color w:val="auto"/>
                <w:szCs w:val="21"/>
                <w:highlight w:val="none"/>
              </w:rPr>
              <w:t>（</w:t>
            </w:r>
            <w:r>
              <w:rPr>
                <w:rFonts w:hint="eastAsia" w:ascii="宋体" w:hAnsi="宋体"/>
                <w:color w:val="auto"/>
                <w:szCs w:val="21"/>
                <w:highlight w:val="none"/>
              </w:rPr>
              <w:t>满分</w:t>
            </w:r>
            <w:r>
              <w:rPr>
                <w:rFonts w:hint="eastAsia" w:asciiTheme="minorEastAsia" w:hAnsiTheme="minorEastAsia" w:eastAsiaTheme="minorEastAsia" w:cstheme="minorEastAsia"/>
                <w:color w:val="auto"/>
                <w:szCs w:val="21"/>
                <w:highlight w:val="none"/>
                <w:lang w:val="en-US" w:eastAsia="zh-CN"/>
              </w:rPr>
              <w:t>8</w:t>
            </w:r>
            <w:r>
              <w:rPr>
                <w:rFonts w:hint="eastAsia" w:asciiTheme="minorEastAsia" w:hAnsiTheme="minorEastAsia" w:eastAsiaTheme="minorEastAsia" w:cstheme="minorEastAsia"/>
                <w:color w:val="auto"/>
                <w:szCs w:val="21"/>
                <w:highlight w:val="none"/>
              </w:rPr>
              <w:t>分）</w:t>
            </w:r>
          </w:p>
        </w:tc>
        <w:tc>
          <w:tcPr>
            <w:tcW w:w="5005" w:type="dxa"/>
            <w:vAlign w:val="center"/>
          </w:tcPr>
          <w:p>
            <w:pPr>
              <w:spacing w:line="36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1.确保安全生产体系相对完善、科学，保障措施有针对性，且合理可行</w:t>
            </w:r>
            <w:r>
              <w:rPr>
                <w:rFonts w:hint="eastAsia" w:ascii="宋体" w:hAnsi="宋体"/>
                <w:color w:val="auto"/>
                <w:szCs w:val="21"/>
                <w:highlight w:val="none"/>
              </w:rPr>
              <w:t>的得</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lang w:val="en-US" w:eastAsia="zh-CN"/>
              </w:rPr>
              <w:t>4</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lang w:val="en-US" w:eastAsia="zh-CN"/>
              </w:rPr>
              <w:t>8</w:t>
            </w:r>
            <w:r>
              <w:rPr>
                <w:rFonts w:hint="eastAsia" w:asciiTheme="minorEastAsia" w:hAnsiTheme="minorEastAsia" w:eastAsiaTheme="minorEastAsia" w:cstheme="minorEastAsia"/>
                <w:color w:val="auto"/>
                <w:szCs w:val="21"/>
                <w:highlight w:val="none"/>
              </w:rPr>
              <w:t>]分；</w:t>
            </w:r>
          </w:p>
          <w:p>
            <w:pPr>
              <w:spacing w:line="360" w:lineRule="exact"/>
              <w:rPr>
                <w:rFonts w:ascii="宋体" w:hAnsi="宋体" w:cs="宋体"/>
                <w:bCs/>
                <w:color w:val="auto"/>
                <w:szCs w:val="21"/>
                <w:highlight w:val="none"/>
              </w:rPr>
            </w:pPr>
            <w:r>
              <w:rPr>
                <w:rFonts w:hint="eastAsia" w:asciiTheme="minorEastAsia" w:hAnsiTheme="minorEastAsia" w:eastAsiaTheme="minorEastAsia" w:cstheme="minorEastAsia"/>
                <w:color w:val="auto"/>
                <w:szCs w:val="21"/>
                <w:highlight w:val="none"/>
              </w:rPr>
              <w:t>2确保安全生产体系较完整，有一定保障措施</w:t>
            </w:r>
            <w:r>
              <w:rPr>
                <w:rFonts w:hint="eastAsia" w:ascii="宋体" w:hAnsi="宋体"/>
                <w:color w:val="auto"/>
                <w:szCs w:val="21"/>
                <w:highlight w:val="none"/>
              </w:rPr>
              <w:t>的得</w:t>
            </w:r>
            <w:r>
              <w:rPr>
                <w:rFonts w:hint="eastAsia" w:asciiTheme="minorEastAsia" w:hAnsiTheme="minorEastAsia" w:eastAsiaTheme="minorEastAsia" w:cstheme="minorEastAsia"/>
                <w:color w:val="auto"/>
                <w:szCs w:val="21"/>
                <w:highlight w:val="none"/>
              </w:rPr>
              <w:t>[0，</w:t>
            </w:r>
            <w:r>
              <w:rPr>
                <w:rFonts w:hint="eastAsia" w:asciiTheme="minorEastAsia" w:hAnsiTheme="minorEastAsia" w:eastAsiaTheme="minorEastAsia" w:cstheme="minorEastAsia"/>
                <w:color w:val="auto"/>
                <w:szCs w:val="21"/>
                <w:highlight w:val="none"/>
                <w:lang w:val="en-US" w:eastAsia="zh-CN"/>
              </w:rPr>
              <w:t>4</w:t>
            </w:r>
            <w:r>
              <w:rPr>
                <w:rFonts w:hint="eastAsia" w:asciiTheme="minorEastAsia" w:hAnsiTheme="minorEastAsia" w:eastAsiaTheme="minorEastAsia" w:cstheme="minorEastAsia"/>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15" w:type="dxa"/>
            <w:vMerge w:val="continue"/>
            <w:vAlign w:val="center"/>
          </w:tcPr>
          <w:p>
            <w:pPr>
              <w:spacing w:line="360" w:lineRule="exact"/>
              <w:rPr>
                <w:rFonts w:ascii="宋体" w:hAnsi="宋体" w:cs="宋体"/>
                <w:color w:val="auto"/>
                <w:szCs w:val="21"/>
                <w:highlight w:val="none"/>
              </w:rPr>
            </w:pPr>
          </w:p>
        </w:tc>
        <w:tc>
          <w:tcPr>
            <w:tcW w:w="934" w:type="dxa"/>
            <w:vAlign w:val="center"/>
          </w:tcPr>
          <w:p>
            <w:pPr>
              <w:spacing w:line="360" w:lineRule="exact"/>
              <w:jc w:val="center"/>
              <w:rPr>
                <w:rFonts w:ascii="宋体" w:hAnsi="宋体" w:cs="宋体"/>
                <w:bCs/>
                <w:color w:val="auto"/>
                <w:szCs w:val="21"/>
                <w:highlight w:val="none"/>
              </w:rPr>
            </w:pPr>
            <w:r>
              <w:rPr>
                <w:rFonts w:hint="eastAsia" w:ascii="宋体" w:hAnsi="宋体" w:cs="宋体"/>
                <w:bCs/>
                <w:color w:val="auto"/>
                <w:szCs w:val="21"/>
                <w:highlight w:val="none"/>
              </w:rPr>
              <w:t>3</w:t>
            </w:r>
          </w:p>
        </w:tc>
        <w:tc>
          <w:tcPr>
            <w:tcW w:w="2387" w:type="dxa"/>
            <w:vAlign w:val="center"/>
          </w:tcPr>
          <w:p>
            <w:pPr>
              <w:spacing w:line="360" w:lineRule="exact"/>
              <w:ind w:right="-107" w:rightChars="-51"/>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确保文明施工的技术组织措施及环境保护措施</w:t>
            </w:r>
          </w:p>
          <w:p>
            <w:pPr>
              <w:spacing w:line="360" w:lineRule="exact"/>
              <w:ind w:right="-107" w:rightChars="-51"/>
              <w:jc w:val="center"/>
              <w:rPr>
                <w:rFonts w:ascii="宋体" w:hAnsi="宋体"/>
                <w:color w:val="auto"/>
                <w:szCs w:val="21"/>
                <w:highlight w:val="none"/>
              </w:rPr>
            </w:pPr>
            <w:r>
              <w:rPr>
                <w:rFonts w:hint="eastAsia" w:asciiTheme="minorEastAsia" w:hAnsiTheme="minorEastAsia" w:eastAsiaTheme="minorEastAsia" w:cstheme="minorEastAsia"/>
                <w:color w:val="auto"/>
                <w:szCs w:val="21"/>
                <w:highlight w:val="none"/>
              </w:rPr>
              <w:t>（</w:t>
            </w:r>
            <w:r>
              <w:rPr>
                <w:rFonts w:hint="eastAsia" w:ascii="宋体" w:hAnsi="宋体"/>
                <w:color w:val="auto"/>
                <w:szCs w:val="21"/>
                <w:highlight w:val="none"/>
              </w:rPr>
              <w:t>满分</w:t>
            </w:r>
            <w:r>
              <w:rPr>
                <w:rFonts w:hint="eastAsia" w:asciiTheme="minorEastAsia" w:hAnsiTheme="minorEastAsia" w:eastAsiaTheme="minorEastAsia" w:cstheme="minorEastAsia"/>
                <w:color w:val="auto"/>
                <w:szCs w:val="21"/>
                <w:highlight w:val="none"/>
                <w:lang w:val="en-US" w:eastAsia="zh-CN"/>
              </w:rPr>
              <w:t>8</w:t>
            </w:r>
            <w:r>
              <w:rPr>
                <w:rFonts w:hint="eastAsia" w:asciiTheme="minorEastAsia" w:hAnsiTheme="minorEastAsia" w:eastAsiaTheme="minorEastAsia" w:cstheme="minorEastAsia"/>
                <w:color w:val="auto"/>
                <w:szCs w:val="21"/>
                <w:highlight w:val="none"/>
              </w:rPr>
              <w:t>分）</w:t>
            </w:r>
          </w:p>
        </w:tc>
        <w:tc>
          <w:tcPr>
            <w:tcW w:w="5005" w:type="dxa"/>
            <w:vAlign w:val="center"/>
          </w:tcPr>
          <w:p>
            <w:pPr>
              <w:spacing w:line="36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1.现场安全文明及环境保护措施相对完善、科学，有针对性，且合理可行</w:t>
            </w:r>
            <w:r>
              <w:rPr>
                <w:rFonts w:hint="eastAsia" w:ascii="宋体" w:hAnsi="宋体"/>
                <w:color w:val="auto"/>
                <w:szCs w:val="21"/>
                <w:highlight w:val="none"/>
              </w:rPr>
              <w:t>的得</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lang w:val="en-US" w:eastAsia="zh-CN"/>
              </w:rPr>
              <w:t>4</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lang w:val="en-US" w:eastAsia="zh-CN"/>
              </w:rPr>
              <w:t>8</w:t>
            </w:r>
            <w:r>
              <w:rPr>
                <w:rFonts w:hint="eastAsia" w:asciiTheme="minorEastAsia" w:hAnsiTheme="minorEastAsia" w:eastAsiaTheme="minorEastAsia" w:cstheme="minorEastAsia"/>
                <w:color w:val="auto"/>
                <w:szCs w:val="21"/>
                <w:highlight w:val="none"/>
              </w:rPr>
              <w:t>]分；</w:t>
            </w:r>
          </w:p>
          <w:p>
            <w:pPr>
              <w:spacing w:line="360" w:lineRule="exact"/>
              <w:rPr>
                <w:rFonts w:ascii="宋体" w:hAnsi="宋体"/>
                <w:color w:val="auto"/>
                <w:szCs w:val="21"/>
                <w:highlight w:val="none"/>
              </w:rPr>
            </w:pPr>
            <w:r>
              <w:rPr>
                <w:rFonts w:hint="eastAsia" w:asciiTheme="minorEastAsia" w:hAnsiTheme="minorEastAsia" w:eastAsiaTheme="minorEastAsia" w:cstheme="minorEastAsia"/>
                <w:color w:val="auto"/>
                <w:szCs w:val="21"/>
                <w:highlight w:val="none"/>
              </w:rPr>
              <w:t>2现场安全文明及环境保护措施较为完整，有一定保证措施</w:t>
            </w:r>
            <w:r>
              <w:rPr>
                <w:rFonts w:hint="eastAsia" w:ascii="宋体" w:hAnsi="宋体"/>
                <w:color w:val="auto"/>
                <w:szCs w:val="21"/>
                <w:highlight w:val="none"/>
              </w:rPr>
              <w:t>的得</w:t>
            </w:r>
            <w:r>
              <w:rPr>
                <w:rFonts w:hint="eastAsia" w:asciiTheme="minorEastAsia" w:hAnsiTheme="minorEastAsia" w:eastAsiaTheme="minorEastAsia" w:cstheme="minorEastAsia"/>
                <w:color w:val="auto"/>
                <w:szCs w:val="21"/>
                <w:highlight w:val="none"/>
              </w:rPr>
              <w:t>[0，</w:t>
            </w:r>
            <w:r>
              <w:rPr>
                <w:rFonts w:hint="eastAsia" w:asciiTheme="minorEastAsia" w:hAnsiTheme="minorEastAsia" w:eastAsiaTheme="minorEastAsia" w:cstheme="minorEastAsia"/>
                <w:color w:val="auto"/>
                <w:szCs w:val="21"/>
                <w:highlight w:val="none"/>
                <w:lang w:val="en-US" w:eastAsia="zh-CN"/>
              </w:rPr>
              <w:t>4</w:t>
            </w:r>
            <w:r>
              <w:rPr>
                <w:rFonts w:hint="eastAsia" w:asciiTheme="minorEastAsia" w:hAnsiTheme="minorEastAsia" w:eastAsiaTheme="minorEastAsia" w:cstheme="minorEastAsia"/>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5" w:hRule="atLeast"/>
        </w:trPr>
        <w:tc>
          <w:tcPr>
            <w:tcW w:w="615" w:type="dxa"/>
            <w:vMerge w:val="continue"/>
            <w:vAlign w:val="center"/>
          </w:tcPr>
          <w:p>
            <w:pPr>
              <w:spacing w:line="360" w:lineRule="exact"/>
              <w:rPr>
                <w:rFonts w:ascii="宋体" w:hAnsi="宋体" w:cs="宋体"/>
                <w:color w:val="auto"/>
                <w:szCs w:val="21"/>
                <w:highlight w:val="none"/>
              </w:rPr>
            </w:pPr>
          </w:p>
        </w:tc>
        <w:tc>
          <w:tcPr>
            <w:tcW w:w="934" w:type="dxa"/>
            <w:vAlign w:val="center"/>
          </w:tcPr>
          <w:p>
            <w:pPr>
              <w:spacing w:line="360" w:lineRule="exact"/>
              <w:jc w:val="center"/>
              <w:rPr>
                <w:rFonts w:ascii="宋体" w:hAnsi="宋体" w:cs="宋体"/>
                <w:bCs/>
                <w:color w:val="auto"/>
                <w:szCs w:val="21"/>
                <w:highlight w:val="none"/>
              </w:rPr>
            </w:pPr>
            <w:r>
              <w:rPr>
                <w:rFonts w:hint="eastAsia" w:ascii="宋体" w:hAnsi="宋体" w:cs="宋体"/>
                <w:bCs/>
                <w:color w:val="auto"/>
                <w:szCs w:val="21"/>
                <w:highlight w:val="none"/>
              </w:rPr>
              <w:t>4</w:t>
            </w:r>
          </w:p>
        </w:tc>
        <w:tc>
          <w:tcPr>
            <w:tcW w:w="2387" w:type="dxa"/>
            <w:vAlign w:val="center"/>
          </w:tcPr>
          <w:p>
            <w:pPr>
              <w:spacing w:line="360" w:lineRule="exact"/>
              <w:ind w:right="-107" w:rightChars="-51"/>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确保工期的技术组织措施</w:t>
            </w:r>
          </w:p>
          <w:p>
            <w:pPr>
              <w:spacing w:line="360" w:lineRule="exact"/>
              <w:ind w:right="-107" w:rightChars="-51"/>
              <w:jc w:val="center"/>
              <w:rPr>
                <w:rFonts w:ascii="宋体" w:hAnsi="宋体"/>
                <w:color w:val="auto"/>
                <w:szCs w:val="21"/>
                <w:highlight w:val="none"/>
              </w:rPr>
            </w:pPr>
            <w:r>
              <w:rPr>
                <w:rFonts w:hint="eastAsia" w:asciiTheme="minorEastAsia" w:hAnsiTheme="minorEastAsia" w:eastAsiaTheme="minorEastAsia" w:cstheme="minorEastAsia"/>
                <w:color w:val="auto"/>
                <w:szCs w:val="21"/>
                <w:highlight w:val="none"/>
              </w:rPr>
              <w:t>（</w:t>
            </w:r>
            <w:r>
              <w:rPr>
                <w:rFonts w:hint="eastAsia" w:ascii="宋体" w:hAnsi="宋体"/>
                <w:color w:val="auto"/>
                <w:szCs w:val="21"/>
                <w:highlight w:val="none"/>
              </w:rPr>
              <w:t>满分</w:t>
            </w:r>
            <w:r>
              <w:rPr>
                <w:rFonts w:hint="eastAsia" w:asciiTheme="minorEastAsia" w:hAnsiTheme="minorEastAsia" w:eastAsiaTheme="minorEastAsia" w:cstheme="minorEastAsia"/>
                <w:color w:val="auto"/>
                <w:szCs w:val="21"/>
                <w:highlight w:val="none"/>
                <w:lang w:val="en-US" w:eastAsia="zh-CN"/>
              </w:rPr>
              <w:t>8</w:t>
            </w:r>
            <w:r>
              <w:rPr>
                <w:rFonts w:hint="eastAsia" w:asciiTheme="minorEastAsia" w:hAnsiTheme="minorEastAsia" w:eastAsiaTheme="minorEastAsia" w:cstheme="minorEastAsia"/>
                <w:color w:val="auto"/>
                <w:szCs w:val="21"/>
                <w:highlight w:val="none"/>
              </w:rPr>
              <w:t>分）</w:t>
            </w:r>
          </w:p>
        </w:tc>
        <w:tc>
          <w:tcPr>
            <w:tcW w:w="5005" w:type="dxa"/>
            <w:vAlign w:val="center"/>
          </w:tcPr>
          <w:p>
            <w:pPr>
              <w:spacing w:line="36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1.工程进度安排详细、合理，工期保证措施完全符合项目实际，具有针对性，且科学可行的得[</w:t>
            </w:r>
            <w:r>
              <w:rPr>
                <w:rFonts w:hint="eastAsia" w:asciiTheme="minorEastAsia" w:hAnsiTheme="minorEastAsia" w:eastAsiaTheme="minorEastAsia" w:cstheme="minorEastAsia"/>
                <w:color w:val="auto"/>
                <w:szCs w:val="21"/>
                <w:highlight w:val="none"/>
                <w:lang w:val="en-US" w:eastAsia="zh-CN"/>
              </w:rPr>
              <w:t>4</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lang w:val="en-US" w:eastAsia="zh-CN"/>
              </w:rPr>
              <w:t>8</w:t>
            </w:r>
            <w:r>
              <w:rPr>
                <w:rFonts w:hint="eastAsia" w:asciiTheme="minorEastAsia" w:hAnsiTheme="minorEastAsia" w:eastAsiaTheme="minorEastAsia" w:cstheme="minorEastAsia"/>
                <w:color w:val="auto"/>
                <w:szCs w:val="21"/>
                <w:highlight w:val="none"/>
              </w:rPr>
              <w:t>]分；</w:t>
            </w:r>
          </w:p>
          <w:p>
            <w:pPr>
              <w:spacing w:line="360" w:lineRule="exact"/>
              <w:rPr>
                <w:rFonts w:ascii="宋体" w:hAnsi="宋体"/>
                <w:color w:val="auto"/>
                <w:szCs w:val="21"/>
                <w:highlight w:val="none"/>
              </w:rPr>
            </w:pPr>
            <w:r>
              <w:rPr>
                <w:rFonts w:hint="eastAsia" w:asciiTheme="minorEastAsia" w:hAnsiTheme="minorEastAsia" w:eastAsiaTheme="minorEastAsia" w:cstheme="minorEastAsia"/>
                <w:color w:val="auto"/>
                <w:szCs w:val="21"/>
                <w:highlight w:val="none"/>
              </w:rPr>
              <w:t>2.工程进度安排详细、合理，工期保证措施符合项目较有针对性，且具有一定可行性的得[0，</w:t>
            </w:r>
            <w:r>
              <w:rPr>
                <w:rFonts w:hint="eastAsia" w:asciiTheme="minorEastAsia" w:hAnsiTheme="minorEastAsia" w:eastAsiaTheme="minorEastAsia" w:cstheme="minorEastAsia"/>
                <w:color w:val="auto"/>
                <w:szCs w:val="21"/>
                <w:highlight w:val="none"/>
                <w:lang w:val="en-US" w:eastAsia="zh-CN"/>
              </w:rPr>
              <w:t>4</w:t>
            </w:r>
            <w:r>
              <w:rPr>
                <w:rFonts w:hint="eastAsia" w:asciiTheme="minorEastAsia" w:hAnsiTheme="minorEastAsia" w:eastAsiaTheme="minorEastAsia" w:cstheme="minorEastAsia"/>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5" w:hRule="atLeast"/>
        </w:trPr>
        <w:tc>
          <w:tcPr>
            <w:tcW w:w="615" w:type="dxa"/>
            <w:vMerge w:val="continue"/>
            <w:vAlign w:val="center"/>
          </w:tcPr>
          <w:p>
            <w:pPr>
              <w:spacing w:line="360" w:lineRule="exact"/>
              <w:rPr>
                <w:rFonts w:ascii="宋体" w:hAnsi="宋体" w:cs="宋体"/>
                <w:color w:val="auto"/>
                <w:szCs w:val="21"/>
                <w:highlight w:val="none"/>
              </w:rPr>
            </w:pPr>
          </w:p>
        </w:tc>
        <w:tc>
          <w:tcPr>
            <w:tcW w:w="934" w:type="dxa"/>
            <w:vAlign w:val="center"/>
          </w:tcPr>
          <w:p>
            <w:pPr>
              <w:spacing w:line="360" w:lineRule="exact"/>
              <w:jc w:val="center"/>
              <w:rPr>
                <w:rFonts w:ascii="宋体" w:hAnsi="宋体" w:cs="宋体"/>
                <w:bCs/>
                <w:color w:val="auto"/>
                <w:szCs w:val="21"/>
                <w:highlight w:val="none"/>
              </w:rPr>
            </w:pPr>
            <w:r>
              <w:rPr>
                <w:rFonts w:hint="eastAsia" w:ascii="宋体" w:hAnsi="宋体" w:cs="宋体"/>
                <w:bCs/>
                <w:color w:val="auto"/>
                <w:szCs w:val="21"/>
                <w:highlight w:val="none"/>
              </w:rPr>
              <w:t>5</w:t>
            </w:r>
          </w:p>
        </w:tc>
        <w:tc>
          <w:tcPr>
            <w:tcW w:w="2387" w:type="dxa"/>
            <w:vAlign w:val="center"/>
          </w:tcPr>
          <w:p>
            <w:pPr>
              <w:spacing w:line="360" w:lineRule="exact"/>
              <w:ind w:right="-107" w:rightChars="-51"/>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项目经理部组成人员</w:t>
            </w:r>
          </w:p>
          <w:p>
            <w:pPr>
              <w:spacing w:line="360" w:lineRule="exact"/>
              <w:ind w:right="-107" w:rightChars="-51"/>
              <w:jc w:val="center"/>
              <w:rPr>
                <w:rFonts w:ascii="宋体" w:hAnsi="宋体"/>
                <w:color w:val="auto"/>
                <w:szCs w:val="21"/>
                <w:highlight w:val="none"/>
                <w:lang w:val="zh-TW" w:eastAsia="zh-TW"/>
              </w:rPr>
            </w:pPr>
            <w:r>
              <w:rPr>
                <w:rFonts w:hint="eastAsia" w:asciiTheme="minorEastAsia" w:hAnsiTheme="minorEastAsia" w:eastAsiaTheme="minorEastAsia" w:cstheme="minorEastAsia"/>
                <w:color w:val="auto"/>
                <w:szCs w:val="21"/>
                <w:highlight w:val="none"/>
              </w:rPr>
              <w:t>（</w:t>
            </w:r>
            <w:r>
              <w:rPr>
                <w:rFonts w:hint="eastAsia" w:ascii="宋体" w:hAnsi="宋体"/>
                <w:color w:val="auto"/>
                <w:szCs w:val="21"/>
                <w:highlight w:val="none"/>
              </w:rPr>
              <w:t>满分</w:t>
            </w:r>
            <w:r>
              <w:rPr>
                <w:rFonts w:hint="eastAsia" w:asciiTheme="minorEastAsia" w:hAnsiTheme="minorEastAsia" w:eastAsiaTheme="minorEastAsia" w:cstheme="minorEastAsia"/>
                <w:color w:val="auto"/>
                <w:szCs w:val="21"/>
                <w:highlight w:val="none"/>
                <w:lang w:val="en-US" w:eastAsia="zh-CN"/>
              </w:rPr>
              <w:t>12</w:t>
            </w:r>
            <w:r>
              <w:rPr>
                <w:rFonts w:hint="eastAsia" w:asciiTheme="minorEastAsia" w:hAnsiTheme="minorEastAsia" w:eastAsiaTheme="minorEastAsia" w:cstheme="minorEastAsia"/>
                <w:color w:val="auto"/>
                <w:szCs w:val="21"/>
                <w:highlight w:val="none"/>
              </w:rPr>
              <w:t>分）</w:t>
            </w:r>
          </w:p>
        </w:tc>
        <w:tc>
          <w:tcPr>
            <w:tcW w:w="5005" w:type="dxa"/>
            <w:vAlign w:val="center"/>
          </w:tcPr>
          <w:p>
            <w:pPr>
              <w:spacing w:line="36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1.项目部人员配备齐全充足，岗位安排合理，人员分工明确，</w:t>
            </w:r>
            <w:r>
              <w:rPr>
                <w:rFonts w:hint="eastAsia" w:ascii="宋体" w:hAnsi="宋体"/>
                <w:color w:val="auto"/>
                <w:szCs w:val="21"/>
                <w:highlight w:val="none"/>
              </w:rPr>
              <w:t>满足项目需求的得[</w:t>
            </w:r>
            <w:r>
              <w:rPr>
                <w:rFonts w:hint="eastAsia" w:ascii="宋体" w:hAnsi="宋体"/>
                <w:color w:val="auto"/>
                <w:szCs w:val="21"/>
                <w:highlight w:val="none"/>
                <w:lang w:val="en-US" w:eastAsia="zh-CN"/>
              </w:rPr>
              <w:t>8</w:t>
            </w:r>
            <w:r>
              <w:rPr>
                <w:rFonts w:hint="eastAsia" w:ascii="宋体" w:hAnsi="宋体"/>
                <w:color w:val="auto"/>
                <w:szCs w:val="21"/>
                <w:highlight w:val="none"/>
              </w:rPr>
              <w:t>,1</w:t>
            </w:r>
            <w:r>
              <w:rPr>
                <w:rFonts w:hint="eastAsia" w:ascii="宋体" w:hAnsi="宋体"/>
                <w:color w:val="auto"/>
                <w:szCs w:val="21"/>
                <w:highlight w:val="none"/>
                <w:lang w:val="en-US" w:eastAsia="zh-CN"/>
              </w:rPr>
              <w:t>2</w:t>
            </w:r>
            <w:r>
              <w:rPr>
                <w:rFonts w:hint="eastAsia" w:ascii="宋体" w:hAnsi="宋体"/>
                <w:color w:val="auto"/>
                <w:szCs w:val="21"/>
                <w:highlight w:val="none"/>
              </w:rPr>
              <w:t>]；</w:t>
            </w:r>
          </w:p>
          <w:p>
            <w:pPr>
              <w:spacing w:line="36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2.项目部人员配备较为齐全，岗位安排较为合理，能够</w:t>
            </w:r>
            <w:r>
              <w:rPr>
                <w:rFonts w:hint="eastAsia" w:ascii="宋体" w:hAnsi="宋体"/>
                <w:color w:val="auto"/>
                <w:szCs w:val="21"/>
                <w:highlight w:val="none"/>
              </w:rPr>
              <w:t>满足项目需求的得[</w:t>
            </w:r>
            <w:r>
              <w:rPr>
                <w:rFonts w:hint="eastAsia" w:ascii="宋体" w:hAnsi="宋体"/>
                <w:color w:val="auto"/>
                <w:szCs w:val="21"/>
                <w:highlight w:val="none"/>
                <w:lang w:val="en-US"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8</w:t>
            </w:r>
            <w:r>
              <w:rPr>
                <w:rFonts w:hint="eastAsia" w:ascii="宋体" w:hAnsi="宋体"/>
                <w:color w:val="auto"/>
                <w:szCs w:val="21"/>
                <w:highlight w:val="none"/>
              </w:rPr>
              <w:t>）；</w:t>
            </w:r>
          </w:p>
          <w:p>
            <w:pPr>
              <w:spacing w:line="360" w:lineRule="exact"/>
              <w:rPr>
                <w:rFonts w:ascii="宋体" w:hAnsi="宋体"/>
                <w:color w:val="auto"/>
                <w:szCs w:val="21"/>
                <w:highlight w:val="none"/>
              </w:rPr>
            </w:pPr>
            <w:r>
              <w:rPr>
                <w:rFonts w:hint="eastAsia" w:asciiTheme="minorEastAsia" w:hAnsiTheme="minorEastAsia" w:eastAsiaTheme="minorEastAsia" w:cstheme="minorEastAsia"/>
                <w:color w:val="auto"/>
                <w:szCs w:val="21"/>
                <w:highlight w:val="none"/>
              </w:rPr>
              <w:t>3.项目部人员配备基本齐全，人员职责基本明确</w:t>
            </w:r>
            <w:r>
              <w:rPr>
                <w:rFonts w:hint="eastAsia" w:ascii="宋体" w:hAnsi="宋体"/>
                <w:color w:val="auto"/>
                <w:szCs w:val="21"/>
                <w:highlight w:val="none"/>
              </w:rPr>
              <w:t>的得，基本满足项目需求[0,</w:t>
            </w:r>
            <w:r>
              <w:rPr>
                <w:rFonts w:hint="eastAsia" w:ascii="宋体" w:hAnsi="宋体"/>
                <w:color w:val="auto"/>
                <w:szCs w:val="21"/>
                <w:highlight w:val="none"/>
                <w:lang w:val="en-US" w:eastAsia="zh-CN"/>
              </w:rPr>
              <w:t>4</w:t>
            </w:r>
            <w:r>
              <w:rPr>
                <w:rFonts w:hint="eastAsia" w:ascii="宋体" w:hAnsi="宋体"/>
                <w:color w:val="auto"/>
                <w:szCs w:val="21"/>
                <w:highlight w:val="none"/>
              </w:rPr>
              <w:t>）</w:t>
            </w:r>
            <w:r>
              <w:rPr>
                <w:rFonts w:hint="eastAsia" w:asciiTheme="minorEastAsia" w:hAnsiTheme="minorEastAsia" w:eastAsiaTheme="minorEastAsia" w:cstheme="minorEastAsia"/>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5" w:hRule="atLeast"/>
        </w:trPr>
        <w:tc>
          <w:tcPr>
            <w:tcW w:w="615" w:type="dxa"/>
            <w:vMerge w:val="continue"/>
            <w:vAlign w:val="center"/>
          </w:tcPr>
          <w:p>
            <w:pPr>
              <w:spacing w:line="360" w:lineRule="exact"/>
              <w:rPr>
                <w:rFonts w:ascii="宋体" w:hAnsi="宋体" w:cs="宋体"/>
                <w:color w:val="auto"/>
                <w:szCs w:val="21"/>
                <w:highlight w:val="none"/>
              </w:rPr>
            </w:pPr>
          </w:p>
        </w:tc>
        <w:tc>
          <w:tcPr>
            <w:tcW w:w="934" w:type="dxa"/>
            <w:vAlign w:val="center"/>
          </w:tcPr>
          <w:p>
            <w:pPr>
              <w:spacing w:line="360" w:lineRule="exact"/>
              <w:jc w:val="center"/>
              <w:rPr>
                <w:rFonts w:ascii="宋体" w:hAnsi="宋体" w:cs="宋体"/>
                <w:bCs/>
                <w:color w:val="auto"/>
                <w:szCs w:val="21"/>
                <w:highlight w:val="none"/>
              </w:rPr>
            </w:pPr>
            <w:r>
              <w:rPr>
                <w:rFonts w:hint="eastAsia" w:ascii="宋体" w:hAnsi="宋体" w:cs="宋体"/>
                <w:bCs/>
                <w:color w:val="auto"/>
                <w:szCs w:val="21"/>
                <w:highlight w:val="none"/>
              </w:rPr>
              <w:t>6</w:t>
            </w:r>
          </w:p>
        </w:tc>
        <w:tc>
          <w:tcPr>
            <w:tcW w:w="2387" w:type="dxa"/>
            <w:vAlign w:val="center"/>
          </w:tcPr>
          <w:p>
            <w:pPr>
              <w:spacing w:line="360" w:lineRule="exact"/>
              <w:ind w:right="-107" w:rightChars="-51"/>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主要机械配备和材料投入计划</w:t>
            </w:r>
          </w:p>
          <w:p>
            <w:pPr>
              <w:spacing w:line="360" w:lineRule="exact"/>
              <w:ind w:right="-107" w:rightChars="-51"/>
              <w:jc w:val="center"/>
              <w:rPr>
                <w:rFonts w:ascii="宋体" w:hAnsi="宋体"/>
                <w:color w:val="auto"/>
                <w:szCs w:val="21"/>
                <w:highlight w:val="none"/>
                <w:lang w:val="zh-TW" w:eastAsia="zh-TW"/>
              </w:rPr>
            </w:pPr>
            <w:r>
              <w:rPr>
                <w:rFonts w:hint="eastAsia" w:asciiTheme="minorEastAsia" w:hAnsiTheme="minorEastAsia" w:eastAsiaTheme="minorEastAsia" w:cstheme="minorEastAsia"/>
                <w:color w:val="auto"/>
                <w:szCs w:val="21"/>
                <w:highlight w:val="none"/>
              </w:rPr>
              <w:t>（</w:t>
            </w:r>
            <w:r>
              <w:rPr>
                <w:rFonts w:hint="eastAsia" w:ascii="宋体" w:hAnsi="宋体"/>
                <w:color w:val="auto"/>
                <w:szCs w:val="21"/>
                <w:highlight w:val="none"/>
              </w:rPr>
              <w:t>满分</w:t>
            </w:r>
            <w:r>
              <w:rPr>
                <w:rFonts w:hint="eastAsia" w:asciiTheme="minorEastAsia" w:hAnsiTheme="minorEastAsia" w:eastAsiaTheme="minorEastAsia" w:cstheme="minorEastAsia"/>
                <w:color w:val="auto"/>
                <w:szCs w:val="21"/>
                <w:highlight w:val="none"/>
                <w:lang w:val="en-US" w:eastAsia="zh-CN"/>
              </w:rPr>
              <w:t>12</w:t>
            </w:r>
            <w:r>
              <w:rPr>
                <w:rFonts w:hint="eastAsia" w:asciiTheme="minorEastAsia" w:hAnsiTheme="minorEastAsia" w:eastAsiaTheme="minorEastAsia" w:cstheme="minorEastAsia"/>
                <w:color w:val="auto"/>
                <w:szCs w:val="21"/>
                <w:highlight w:val="none"/>
              </w:rPr>
              <w:t>分）</w:t>
            </w:r>
          </w:p>
        </w:tc>
        <w:tc>
          <w:tcPr>
            <w:tcW w:w="5005" w:type="dxa"/>
            <w:vAlign w:val="center"/>
          </w:tcPr>
          <w:p>
            <w:pPr>
              <w:adjustRightInd w:val="0"/>
              <w:snapToGrid w:val="0"/>
              <w:spacing w:line="276" w:lineRule="auto"/>
              <w:rPr>
                <w:rFonts w:ascii="宋体" w:hAnsi="宋体"/>
                <w:color w:val="auto"/>
                <w:szCs w:val="21"/>
                <w:highlight w:val="none"/>
              </w:rPr>
            </w:pPr>
            <w:r>
              <w:rPr>
                <w:rFonts w:hint="eastAsia" w:ascii="宋体" w:hAnsi="宋体"/>
                <w:color w:val="auto"/>
                <w:szCs w:val="21"/>
                <w:highlight w:val="none"/>
              </w:rPr>
              <w:t>1.所投入机械、材料符合项目实际需求，种类齐全、数量充足，完全满足工作需要的得[</w:t>
            </w:r>
            <w:r>
              <w:rPr>
                <w:rFonts w:hint="eastAsia" w:ascii="宋体" w:hAnsi="宋体"/>
                <w:color w:val="auto"/>
                <w:szCs w:val="21"/>
                <w:highlight w:val="none"/>
                <w:lang w:val="en-US" w:eastAsia="zh-CN"/>
              </w:rPr>
              <w:t>8</w:t>
            </w:r>
            <w:r>
              <w:rPr>
                <w:rFonts w:hint="eastAsia" w:ascii="宋体" w:hAnsi="宋体"/>
                <w:color w:val="auto"/>
                <w:szCs w:val="21"/>
                <w:highlight w:val="none"/>
              </w:rPr>
              <w:t>,</w:t>
            </w:r>
            <w:r>
              <w:rPr>
                <w:rFonts w:hint="eastAsia" w:ascii="宋体" w:hAnsi="宋体"/>
                <w:color w:val="auto"/>
                <w:szCs w:val="21"/>
                <w:highlight w:val="none"/>
                <w:lang w:val="en-US" w:eastAsia="zh-CN"/>
              </w:rPr>
              <w:t>12</w:t>
            </w:r>
            <w:r>
              <w:rPr>
                <w:rFonts w:hint="eastAsia" w:ascii="宋体" w:hAnsi="宋体"/>
                <w:color w:val="auto"/>
                <w:szCs w:val="21"/>
                <w:highlight w:val="none"/>
              </w:rPr>
              <w:t>]；</w:t>
            </w:r>
          </w:p>
          <w:p>
            <w:pPr>
              <w:adjustRightInd w:val="0"/>
              <w:snapToGrid w:val="0"/>
              <w:spacing w:line="276" w:lineRule="auto"/>
              <w:rPr>
                <w:rFonts w:ascii="宋体" w:hAnsi="宋体"/>
                <w:color w:val="auto"/>
                <w:szCs w:val="21"/>
                <w:highlight w:val="none"/>
              </w:rPr>
            </w:pPr>
            <w:r>
              <w:rPr>
                <w:rFonts w:hint="eastAsia" w:ascii="宋体" w:hAnsi="宋体"/>
                <w:color w:val="auto"/>
                <w:szCs w:val="21"/>
                <w:highlight w:val="none"/>
              </w:rPr>
              <w:t>2.所投入机械、材料基本符合项目实际需求，种类及数量能够满足工作需要的得[</w:t>
            </w:r>
            <w:r>
              <w:rPr>
                <w:rFonts w:hint="eastAsia" w:ascii="宋体" w:hAnsi="宋体"/>
                <w:color w:val="auto"/>
                <w:szCs w:val="21"/>
                <w:highlight w:val="none"/>
                <w:lang w:val="en-US"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8</w:t>
            </w:r>
            <w:r>
              <w:rPr>
                <w:rFonts w:hint="eastAsia" w:ascii="宋体" w:hAnsi="宋体"/>
                <w:color w:val="auto"/>
                <w:szCs w:val="21"/>
                <w:highlight w:val="none"/>
              </w:rPr>
              <w:t>）；</w:t>
            </w:r>
          </w:p>
          <w:p>
            <w:pPr>
              <w:spacing w:line="360" w:lineRule="exact"/>
              <w:ind w:right="34" w:rightChars="16"/>
              <w:jc w:val="left"/>
              <w:rPr>
                <w:rFonts w:ascii="宋体" w:hAnsi="宋体"/>
                <w:color w:val="auto"/>
                <w:szCs w:val="21"/>
                <w:highlight w:val="none"/>
              </w:rPr>
            </w:pPr>
            <w:r>
              <w:rPr>
                <w:rFonts w:hint="eastAsia" w:ascii="宋体" w:hAnsi="宋体"/>
                <w:color w:val="auto"/>
                <w:szCs w:val="21"/>
                <w:highlight w:val="none"/>
              </w:rPr>
              <w:t>3.所投入机械、材料部分符合项目特点及性质，基本满足项目实际需求的得[0,</w:t>
            </w:r>
            <w:r>
              <w:rPr>
                <w:rFonts w:hint="eastAsia" w:ascii="宋体" w:hAnsi="宋体"/>
                <w:color w:val="auto"/>
                <w:szCs w:val="21"/>
                <w:highlight w:val="none"/>
                <w:lang w:val="en-US" w:eastAsia="zh-CN"/>
              </w:rPr>
              <w:t>4</w:t>
            </w:r>
            <w:r>
              <w:rPr>
                <w:rFonts w:hint="eastAsia" w:ascii="宋体" w:hAnsi="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8" w:hRule="atLeast"/>
        </w:trPr>
        <w:tc>
          <w:tcPr>
            <w:tcW w:w="615" w:type="dxa"/>
            <w:vMerge w:val="continue"/>
            <w:vAlign w:val="center"/>
          </w:tcPr>
          <w:p>
            <w:pPr>
              <w:spacing w:line="360" w:lineRule="exact"/>
              <w:rPr>
                <w:rFonts w:ascii="宋体" w:hAnsi="宋体" w:cs="宋体"/>
                <w:color w:val="auto"/>
                <w:szCs w:val="21"/>
                <w:highlight w:val="none"/>
              </w:rPr>
            </w:pPr>
          </w:p>
        </w:tc>
        <w:tc>
          <w:tcPr>
            <w:tcW w:w="934" w:type="dxa"/>
            <w:vAlign w:val="center"/>
          </w:tcPr>
          <w:p>
            <w:pPr>
              <w:spacing w:line="360" w:lineRule="exact"/>
              <w:jc w:val="center"/>
              <w:rPr>
                <w:rFonts w:ascii="宋体" w:hAnsi="宋体" w:cs="宋体"/>
                <w:bCs/>
                <w:color w:val="auto"/>
                <w:szCs w:val="21"/>
                <w:highlight w:val="none"/>
              </w:rPr>
            </w:pPr>
            <w:r>
              <w:rPr>
                <w:rFonts w:hint="eastAsia" w:ascii="宋体" w:hAnsi="宋体" w:cs="宋体"/>
                <w:bCs/>
                <w:color w:val="auto"/>
                <w:szCs w:val="21"/>
                <w:highlight w:val="none"/>
              </w:rPr>
              <w:t>7</w:t>
            </w:r>
          </w:p>
        </w:tc>
        <w:tc>
          <w:tcPr>
            <w:tcW w:w="2387" w:type="dxa"/>
            <w:vAlign w:val="center"/>
          </w:tcPr>
          <w:p>
            <w:pPr>
              <w:adjustRightInd w:val="0"/>
              <w:snapToGrid w:val="0"/>
              <w:spacing w:line="276" w:lineRule="auto"/>
              <w:jc w:val="center"/>
              <w:rPr>
                <w:rFonts w:ascii="宋体" w:hAnsi="宋体"/>
                <w:color w:val="auto"/>
                <w:szCs w:val="21"/>
                <w:highlight w:val="none"/>
              </w:rPr>
            </w:pPr>
            <w:r>
              <w:rPr>
                <w:rFonts w:hint="eastAsia" w:ascii="宋体" w:hAnsi="宋体"/>
                <w:color w:val="auto"/>
                <w:szCs w:val="21"/>
                <w:highlight w:val="none"/>
              </w:rPr>
              <w:t>类似项目业绩</w:t>
            </w:r>
          </w:p>
          <w:p>
            <w:pPr>
              <w:adjustRightInd w:val="0"/>
              <w:snapToGrid w:val="0"/>
              <w:spacing w:line="276" w:lineRule="auto"/>
              <w:jc w:val="center"/>
              <w:rPr>
                <w:rFonts w:ascii="宋体" w:hAnsi="宋体" w:cs="宋体"/>
                <w:color w:val="auto"/>
                <w:szCs w:val="21"/>
                <w:highlight w:val="none"/>
              </w:rPr>
            </w:pPr>
            <w:r>
              <w:rPr>
                <w:rFonts w:hint="eastAsia" w:ascii="宋体" w:hAnsi="宋体"/>
                <w:color w:val="auto"/>
                <w:szCs w:val="21"/>
                <w:highlight w:val="none"/>
              </w:rPr>
              <w:t>（满分</w:t>
            </w:r>
            <w:r>
              <w:rPr>
                <w:rFonts w:hint="eastAsia" w:ascii="宋体" w:hAnsi="宋体"/>
                <w:color w:val="auto"/>
                <w:szCs w:val="21"/>
                <w:highlight w:val="none"/>
                <w:lang w:val="en-US" w:eastAsia="zh-CN"/>
              </w:rPr>
              <w:t>14</w:t>
            </w:r>
            <w:r>
              <w:rPr>
                <w:rFonts w:hint="eastAsia" w:ascii="宋体" w:hAnsi="宋体"/>
                <w:color w:val="auto"/>
                <w:szCs w:val="21"/>
                <w:highlight w:val="none"/>
              </w:rPr>
              <w:t>分）</w:t>
            </w:r>
          </w:p>
        </w:tc>
        <w:tc>
          <w:tcPr>
            <w:tcW w:w="5005" w:type="dxa"/>
            <w:vAlign w:val="center"/>
          </w:tcPr>
          <w:p>
            <w:pPr>
              <w:adjustRightInd w:val="0"/>
              <w:snapToGrid w:val="0"/>
              <w:spacing w:line="276" w:lineRule="auto"/>
              <w:rPr>
                <w:rFonts w:ascii="宋体" w:hAnsi="宋体"/>
                <w:color w:val="auto"/>
                <w:szCs w:val="21"/>
                <w:highlight w:val="none"/>
              </w:rPr>
            </w:pPr>
            <w:r>
              <w:rPr>
                <w:rFonts w:hint="eastAsia" w:ascii="宋体" w:hAnsi="宋体"/>
                <w:color w:val="auto"/>
                <w:szCs w:val="21"/>
                <w:highlight w:val="none"/>
              </w:rPr>
              <w:t>近三年（2020年1月1日至今）类似项目业绩，每具有一个得</w:t>
            </w:r>
            <w:r>
              <w:rPr>
                <w:rFonts w:hint="eastAsia" w:ascii="宋体" w:hAnsi="宋体"/>
                <w:color w:val="auto"/>
                <w:szCs w:val="21"/>
                <w:highlight w:val="none"/>
                <w:lang w:val="en-US" w:eastAsia="zh-CN"/>
              </w:rPr>
              <w:t>3.5</w:t>
            </w:r>
            <w:r>
              <w:rPr>
                <w:rFonts w:hint="eastAsia" w:ascii="宋体" w:hAnsi="宋体"/>
                <w:color w:val="auto"/>
                <w:szCs w:val="21"/>
                <w:highlight w:val="none"/>
              </w:rPr>
              <w:t>分，满分</w:t>
            </w:r>
            <w:r>
              <w:rPr>
                <w:rFonts w:hint="eastAsia" w:ascii="宋体" w:hAnsi="宋体"/>
                <w:color w:val="auto"/>
                <w:szCs w:val="21"/>
                <w:highlight w:val="none"/>
                <w:lang w:val="en-US" w:eastAsia="zh-CN"/>
              </w:rPr>
              <w:t>14</w:t>
            </w:r>
            <w:r>
              <w:rPr>
                <w:rFonts w:hint="eastAsia" w:ascii="宋体" w:hAnsi="宋体"/>
                <w:color w:val="auto"/>
                <w:szCs w:val="21"/>
                <w:highlight w:val="none"/>
              </w:rPr>
              <w:t>分。</w:t>
            </w:r>
          </w:p>
          <w:p>
            <w:pPr>
              <w:adjustRightInd w:val="0"/>
              <w:snapToGrid w:val="0"/>
              <w:spacing w:line="276" w:lineRule="auto"/>
              <w:rPr>
                <w:rFonts w:ascii="宋体" w:hAnsi="宋体" w:cs="宋体"/>
                <w:color w:val="auto"/>
                <w:szCs w:val="21"/>
                <w:highlight w:val="none"/>
              </w:rPr>
            </w:pPr>
            <w:r>
              <w:rPr>
                <w:rFonts w:hint="eastAsia" w:ascii="宋体" w:hAnsi="宋体"/>
                <w:color w:val="auto"/>
                <w:szCs w:val="21"/>
                <w:highlight w:val="none"/>
              </w:rPr>
              <w:t>注：以响应文件中加盖公章的合同协议书或成交（中标）通知书复印件为准。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615" w:type="dxa"/>
            <w:vMerge w:val="continue"/>
            <w:vAlign w:val="center"/>
          </w:tcPr>
          <w:p>
            <w:pPr>
              <w:spacing w:line="360" w:lineRule="exact"/>
              <w:rPr>
                <w:rFonts w:ascii="宋体" w:hAnsi="宋体" w:cs="宋体"/>
                <w:color w:val="auto"/>
                <w:szCs w:val="21"/>
                <w:highlight w:val="none"/>
              </w:rPr>
            </w:pPr>
          </w:p>
        </w:tc>
        <w:tc>
          <w:tcPr>
            <w:tcW w:w="8326" w:type="dxa"/>
            <w:gridSpan w:val="3"/>
            <w:vAlign w:val="center"/>
          </w:tcPr>
          <w:p>
            <w:pPr>
              <w:spacing w:line="360" w:lineRule="exact"/>
              <w:ind w:right="-107" w:rightChars="-51"/>
              <w:jc w:val="left"/>
              <w:rPr>
                <w:rFonts w:ascii="宋体" w:hAnsi="宋体" w:cs="宋体"/>
                <w:color w:val="auto"/>
                <w:szCs w:val="21"/>
                <w:highlight w:val="none"/>
              </w:rPr>
            </w:pPr>
            <w:r>
              <w:rPr>
                <w:rFonts w:hint="eastAsia" w:ascii="宋体" w:hAnsi="宋体" w:cs="宋体"/>
                <w:color w:val="auto"/>
                <w:szCs w:val="21"/>
                <w:highlight w:val="none"/>
              </w:rPr>
              <w:t>有严重错误或漏项，该项得0分。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5" w:hRule="atLeast"/>
        </w:trPr>
        <w:tc>
          <w:tcPr>
            <w:tcW w:w="615" w:type="dxa"/>
            <w:vAlign w:val="center"/>
          </w:tcPr>
          <w:p>
            <w:pPr>
              <w:spacing w:line="360" w:lineRule="exact"/>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商务</w:t>
            </w:r>
            <w:r>
              <w:rPr>
                <w:rFonts w:hint="eastAsia" w:ascii="宋体" w:hAnsi="宋体" w:cs="宋体"/>
                <w:color w:val="auto"/>
                <w:szCs w:val="21"/>
                <w:highlight w:val="none"/>
                <w:lang w:val="en-US" w:eastAsia="zh-CN"/>
              </w:rPr>
              <w:t>30分</w:t>
            </w:r>
          </w:p>
        </w:tc>
        <w:tc>
          <w:tcPr>
            <w:tcW w:w="934" w:type="dxa"/>
            <w:vAlign w:val="center"/>
          </w:tcPr>
          <w:p>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387" w:type="dxa"/>
            <w:vAlign w:val="center"/>
          </w:tcPr>
          <w:p>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磋商总报价</w:t>
            </w:r>
          </w:p>
          <w:p>
            <w:pPr>
              <w:widowControl/>
              <w:spacing w:line="360" w:lineRule="exact"/>
              <w:ind w:left="15" w:leftChars="6" w:hanging="2"/>
              <w:jc w:val="center"/>
              <w:rPr>
                <w:rFonts w:ascii="宋体" w:hAnsi="宋体" w:cs="宋体"/>
                <w:color w:val="auto"/>
                <w:szCs w:val="21"/>
                <w:highlight w:val="none"/>
              </w:rPr>
            </w:pPr>
            <w:r>
              <w:rPr>
                <w:rFonts w:hint="eastAsia" w:ascii="宋体" w:hAnsi="宋体" w:cs="宋体"/>
                <w:color w:val="auto"/>
                <w:szCs w:val="21"/>
                <w:highlight w:val="none"/>
              </w:rPr>
              <w:t>（满分</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0分）</w:t>
            </w:r>
          </w:p>
        </w:tc>
        <w:tc>
          <w:tcPr>
            <w:tcW w:w="5005" w:type="dxa"/>
            <w:vAlign w:val="center"/>
          </w:tcPr>
          <w:p>
            <w:pPr>
              <w:spacing w:line="360" w:lineRule="exact"/>
              <w:ind w:left="10" w:hanging="10" w:hangingChars="5"/>
              <w:jc w:val="left"/>
              <w:rPr>
                <w:rFonts w:ascii="宋体" w:hAnsi="宋体" w:cs="宋体"/>
                <w:color w:val="auto"/>
                <w:szCs w:val="21"/>
                <w:highlight w:val="none"/>
              </w:rPr>
            </w:pPr>
            <w:r>
              <w:rPr>
                <w:rFonts w:hint="eastAsia" w:ascii="宋体" w:hAnsi="宋体" w:cs="宋体"/>
                <w:color w:val="auto"/>
                <w:szCs w:val="21"/>
                <w:highlight w:val="none"/>
              </w:rPr>
              <w:t>1、磋商报价得分=（磋商基准价/最后磋商评审价）×</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0</w:t>
            </w:r>
          </w:p>
          <w:p>
            <w:pPr>
              <w:spacing w:line="360" w:lineRule="exact"/>
              <w:ind w:left="10" w:hanging="10" w:hangingChars="5"/>
              <w:jc w:val="left"/>
              <w:rPr>
                <w:rFonts w:ascii="宋体" w:hAnsi="宋体" w:cs="宋体"/>
                <w:color w:val="auto"/>
                <w:szCs w:val="21"/>
                <w:highlight w:val="none"/>
              </w:rPr>
            </w:pPr>
            <w:r>
              <w:rPr>
                <w:rFonts w:hint="eastAsia" w:ascii="宋体" w:hAnsi="宋体" w:cs="宋体"/>
                <w:color w:val="auto"/>
                <w:szCs w:val="21"/>
                <w:highlight w:val="none"/>
              </w:rPr>
              <w:t>磋商基准价=各供应商的最</w:t>
            </w:r>
            <w:r>
              <w:rPr>
                <w:rFonts w:hint="eastAsia" w:ascii="宋体" w:hAnsi="宋体" w:cs="宋体"/>
                <w:color w:val="auto"/>
                <w:szCs w:val="21"/>
                <w:highlight w:val="none"/>
                <w:lang w:eastAsia="zh-CN"/>
              </w:rPr>
              <w:t>终</w:t>
            </w:r>
            <w:r>
              <w:rPr>
                <w:rFonts w:hint="eastAsia" w:ascii="宋体" w:hAnsi="宋体" w:cs="宋体"/>
                <w:color w:val="auto"/>
                <w:szCs w:val="21"/>
                <w:highlight w:val="none"/>
              </w:rPr>
              <w:t>报价中经评审的最低价。</w:t>
            </w:r>
          </w:p>
          <w:p>
            <w:pPr>
              <w:spacing w:line="360" w:lineRule="exact"/>
              <w:ind w:left="10" w:hanging="10" w:hangingChars="5"/>
              <w:jc w:val="left"/>
              <w:rPr>
                <w:rFonts w:ascii="宋体" w:hAnsi="宋体" w:cs="宋体"/>
                <w:color w:val="auto"/>
                <w:szCs w:val="21"/>
                <w:highlight w:val="none"/>
              </w:rPr>
            </w:pPr>
            <w:r>
              <w:rPr>
                <w:rFonts w:hint="eastAsia" w:ascii="宋体" w:hAnsi="宋体" w:cs="宋体"/>
                <w:color w:val="auto"/>
                <w:szCs w:val="21"/>
                <w:highlight w:val="none"/>
              </w:rPr>
              <w:t>2、超出采购预算的报价为无效报价。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0" w:hRule="atLeast"/>
        </w:trPr>
        <w:tc>
          <w:tcPr>
            <w:tcW w:w="8941" w:type="dxa"/>
            <w:gridSpan w:val="4"/>
            <w:vAlign w:val="center"/>
          </w:tcPr>
          <w:p>
            <w:pPr>
              <w:spacing w:line="360" w:lineRule="exact"/>
              <w:rPr>
                <w:rFonts w:ascii="宋体" w:hAnsi="宋体" w:cs="宋体"/>
                <w:color w:val="auto"/>
                <w:szCs w:val="21"/>
                <w:highlight w:val="none"/>
              </w:rPr>
            </w:pPr>
            <w:r>
              <w:rPr>
                <w:rFonts w:hint="eastAsia" w:ascii="宋体" w:hAnsi="宋体" w:cs="宋体"/>
                <w:color w:val="auto"/>
                <w:szCs w:val="21"/>
                <w:highlight w:val="none"/>
              </w:rPr>
              <w:t>1）磋商小组各成员独立打分。</w:t>
            </w:r>
          </w:p>
          <w:p>
            <w:pPr>
              <w:spacing w:line="360" w:lineRule="exact"/>
              <w:rPr>
                <w:rFonts w:ascii="宋体" w:hAnsi="宋体" w:cs="宋体"/>
                <w:color w:val="auto"/>
                <w:szCs w:val="21"/>
                <w:highlight w:val="none"/>
              </w:rPr>
            </w:pPr>
            <w:r>
              <w:rPr>
                <w:rFonts w:hint="eastAsia" w:ascii="宋体" w:hAnsi="宋体" w:cs="宋体"/>
                <w:color w:val="auto"/>
                <w:szCs w:val="21"/>
                <w:highlight w:val="none"/>
              </w:rPr>
              <w:t>2）个人打分超过得分界限或未按本表规定赋分时，该打分无效，不计入汇总分。</w:t>
            </w:r>
          </w:p>
          <w:p>
            <w:pPr>
              <w:spacing w:line="360" w:lineRule="exact"/>
              <w:ind w:left="315" w:hanging="315" w:hangingChars="150"/>
              <w:rPr>
                <w:rFonts w:ascii="宋体" w:hAnsi="宋体" w:cs="宋体"/>
                <w:color w:val="auto"/>
                <w:szCs w:val="21"/>
                <w:highlight w:val="none"/>
              </w:rPr>
            </w:pPr>
            <w:r>
              <w:rPr>
                <w:rFonts w:hint="eastAsia" w:ascii="宋体" w:hAnsi="宋体" w:cs="宋体"/>
                <w:color w:val="auto"/>
                <w:szCs w:val="21"/>
                <w:highlight w:val="none"/>
              </w:rPr>
              <w:t>3）若出现综合得分相同的，按最终报价得分由高到低顺序排列名次；得分且最终报价相同的，按技术指标得分顺序排列名次。</w:t>
            </w:r>
          </w:p>
          <w:p>
            <w:pPr>
              <w:spacing w:line="360" w:lineRule="exact"/>
              <w:rPr>
                <w:rFonts w:ascii="宋体" w:hAnsi="宋体" w:cs="宋体"/>
                <w:color w:val="auto"/>
                <w:szCs w:val="21"/>
                <w:highlight w:val="none"/>
              </w:rPr>
            </w:pPr>
            <w:r>
              <w:rPr>
                <w:rFonts w:hint="eastAsia" w:ascii="宋体" w:hAnsi="宋体" w:cs="宋体"/>
                <w:color w:val="auto"/>
                <w:szCs w:val="21"/>
                <w:highlight w:val="none"/>
              </w:rPr>
              <w:t>4）各种计算采用插入法，最终结果数字保留二位小数，第三位“四舍五入”。</w:t>
            </w:r>
          </w:p>
        </w:tc>
      </w:tr>
    </w:tbl>
    <w:p>
      <w:pPr>
        <w:spacing w:line="360" w:lineRule="auto"/>
        <w:rPr>
          <w:rFonts w:ascii="宋体" w:hAnsi="宋体" w:cs="宋体"/>
          <w:color w:val="auto"/>
          <w:kern w:val="0"/>
          <w:highlight w:val="none"/>
        </w:rPr>
      </w:pPr>
    </w:p>
    <w:sectPr>
      <w:headerReference r:id="rId3" w:type="default"/>
      <w:footerReference r:id="rId4" w:type="default"/>
      <w:pgSz w:w="12240" w:h="15840"/>
      <w:pgMar w:top="1440" w:right="1576" w:bottom="1440" w:left="1576" w:header="851" w:footer="992" w:gutter="0"/>
      <w:pgNumType w:fmt="decimal"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5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细黑">
    <w:panose1 w:val="02010600040101010101"/>
    <w:charset w:val="86"/>
    <w:family w:val="auto"/>
    <w:pitch w:val="default"/>
    <w:sig w:usb0="00000287" w:usb1="080F0000" w:usb2="00000000" w:usb3="00000000" w:csb0="0004009F" w:csb1="DFD70000"/>
  </w:font>
  <w:font w:name="Arial Unicode MS">
    <w:panose1 w:val="020B0604020202020204"/>
    <w:charset w:val="86"/>
    <w:family w:val="swiss"/>
    <w:pitch w:val="default"/>
    <w:sig w:usb0="FFFFFFFF" w:usb1="E9FFFFFF" w:usb2="0000003F" w:usb3="00000000" w:csb0="603F01FF" w:csb1="FFFF0000"/>
  </w:font>
  <w:font w:name="Cambria">
    <w:panose1 w:val="02040503050406030204"/>
    <w:charset w:val="00"/>
    <w:family w:val="roman"/>
    <w:pitch w:val="default"/>
    <w:sig w:usb0="E00002FF" w:usb1="400004FF" w:usb2="00000000" w:usb3="00000000" w:csb0="2000019F" w:csb1="00000000"/>
  </w:font>
  <w:font w:name="MS Sans Serif">
    <w:altName w:val="Consolas"/>
    <w:panose1 w:val="020B0500000000000000"/>
    <w:charset w:val="00"/>
    <w:family w:val="decorative"/>
    <w:pitch w:val="default"/>
    <w:sig w:usb0="00000000" w:usb1="00000000" w:usb2="00000000" w:usb3="00000000" w:csb0="00000001" w:csb1="00000000"/>
  </w:font>
  <w:font w:name="仿宋_GB2312">
    <w:altName w:val="仿宋"/>
    <w:panose1 w:val="00000000000000000000"/>
    <w:charset w:val="86"/>
    <w:family w:val="modern"/>
    <w:pitch w:val="default"/>
    <w:sig w:usb0="00000000" w:usb1="0000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Consolas">
    <w:panose1 w:val="020B0609020204030204"/>
    <w:charset w:val="00"/>
    <w:family w:val="modern"/>
    <w:pitch w:val="default"/>
    <w:sig w:usb0="E10002FF" w:usb1="4000FCFF" w:usb2="00000009" w:usb3="00000000" w:csb0="6000019F" w:csb1="DFD7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Black">
    <w:panose1 w:val="020B0A04020102020204"/>
    <w:charset w:val="00"/>
    <w:family w:val="swiss"/>
    <w:pitch w:val="default"/>
    <w:sig w:usb0="00000287" w:usb1="00000000" w:usb2="00000000" w:usb3="00000000" w:csb0="2000009F" w:csb1="DFD70000"/>
  </w:font>
  <w:font w:name="Ђˎ̥">
    <w:altName w:val="Tahoma"/>
    <w:panose1 w:val="00000000000000000000"/>
    <w:charset w:val="00"/>
    <w:family w:val="auto"/>
    <w:pitch w:val="default"/>
    <w:sig w:usb0="00000000" w:usb1="00000000" w:usb2="00000000" w:usb3="00000000" w:csb0="00040001" w:csb1="00000000"/>
  </w:font>
  <w:font w:name="宋?">
    <w:altName w:val="Times New Roman"/>
    <w:panose1 w:val="00000000000000000000"/>
    <w:charset w:val="00"/>
    <w:family w:val="auto"/>
    <w:pitch w:val="default"/>
    <w:sig w:usb0="00000000" w:usb1="00000000" w:usb2="00000000" w:usb3="00000000" w:csb0="00000001" w:csb1="00000000"/>
  </w:font>
  <w:font w:name="Microsoft YaHei UI">
    <w:altName w:val="宋体"/>
    <w:panose1 w:val="020B0503020204020204"/>
    <w:charset w:val="86"/>
    <w:family w:val="swiss"/>
    <w:pitch w:val="default"/>
    <w:sig w:usb0="00000000" w:usb1="00000000" w:usb2="00000016" w:usb3="00000000" w:csb0="0004001F" w:csb1="00000000"/>
  </w:font>
  <w:font w:name="Calibri Light">
    <w:panose1 w:val="020F0302020204030204"/>
    <w:charset w:val="00"/>
    <w:family w:val="swiss"/>
    <w:pitch w:val="default"/>
    <w:sig w:usb0="A00002EF" w:usb1="4000207B" w:usb2="00000000" w:usb3="00000000" w:csb0="2000019F" w:csb1="00000000"/>
  </w:font>
  <w:font w:name="楷体">
    <w:panose1 w:val="02010609060101010101"/>
    <w:charset w:val="86"/>
    <w:family w:val="modern"/>
    <w:pitch w:val="default"/>
    <w:sig w:usb0="800002BF" w:usb1="38CF7CFA" w:usb2="00000016" w:usb3="00000000" w:csb0="00040001" w:csb1="00000000"/>
  </w:font>
  <w:font w:name="方正仿宋_GBK">
    <w:altName w:val="微软雅黑"/>
    <w:panose1 w:val="00000000000000000000"/>
    <w:charset w:val="86"/>
    <w:family w:val="script"/>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top w:val="dashDotStroked" w:color="auto" w:sz="24" w:space="1"/>
        <w:left w:val="none" w:color="auto" w:sz="0" w:space="4"/>
        <w:bottom w:val="none" w:color="auto" w:sz="0" w:space="1"/>
        <w:right w:val="none" w:color="auto" w:sz="0" w:space="4"/>
      </w:pBdr>
    </w:pPr>
    <w:r>
      <w:rPr>
        <w:sz w:val="18"/>
      </w:rPr>
      <w:pict>
        <v:shape id="_x0000_s2051" o:spid="_x0000_s2051" o:spt="202" type="#_x0000_t202" style="position:absolute;left:0pt;margin-top:0pt;height:144pt;width:144pt;mso-position-horizontal:right;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29"/>
                </w:pPr>
                <w:r>
                  <w:fldChar w:fldCharType="begin"/>
                </w:r>
                <w:r>
                  <w:instrText xml:space="preserve"> PAGE  \* MERGEFORMAT </w:instrText>
                </w:r>
                <w:r>
                  <w:fldChar w:fldCharType="separate"/>
                </w:r>
                <w:r>
                  <w:t>1</w:t>
                </w:r>
                <w:r>
                  <w:fldChar w:fldCharType="end"/>
                </w:r>
              </w:p>
            </w:txbxContent>
          </v:textbox>
        </v:shape>
      </w:pict>
    </w:r>
    <w:r>
      <w:rPr>
        <w:rFonts w:hint="eastAsia"/>
      </w:rPr>
      <w:t>西北（陕西）国际招标有限公司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thinThickSmallGap" w:color="auto" w:sz="24" w:space="1"/>
      </w:pBdr>
      <w:rPr>
        <w:rFonts w:ascii="宋体" w:hAnsi="宋体"/>
        <w:b/>
        <w:szCs w:val="21"/>
      </w:rPr>
    </w:pPr>
    <w:r>
      <w:rPr>
        <w:rFonts w:hint="eastAsia" w:ascii="宋体" w:hAnsi="宋体"/>
        <w:b/>
        <w:sz w:val="18"/>
        <w:szCs w:val="18"/>
        <w:lang w:eastAsia="zh-CN"/>
      </w:rPr>
      <w:t>上王村农家乐产业发展提升项目</w:t>
    </w:r>
    <w:r>
      <w:rPr>
        <w:rFonts w:hint="eastAsia" w:ascii="宋体" w:hAnsi="宋体"/>
        <w:b/>
        <w:sz w:val="18"/>
        <w:szCs w:val="18"/>
      </w:rPr>
      <w:t xml:space="preserve">               </w:t>
    </w:r>
    <w:r>
      <w:rPr>
        <w:rFonts w:hint="eastAsia" w:ascii="宋体" w:hAnsi="宋体"/>
        <w:b/>
        <w:sz w:val="18"/>
        <w:szCs w:val="18"/>
        <w:lang w:val="en-US" w:eastAsia="zh-CN"/>
      </w:rPr>
      <w:t xml:space="preserve">  </w:t>
    </w:r>
    <w:r>
      <w:rPr>
        <w:rFonts w:hint="eastAsia" w:ascii="宋体" w:hAnsi="宋体"/>
        <w:b/>
        <w:sz w:val="18"/>
        <w:szCs w:val="18"/>
      </w:rPr>
      <w:t xml:space="preserve">             </w:t>
    </w:r>
    <w:r>
      <w:rPr>
        <w:rFonts w:hint="eastAsia" w:ascii="宋体" w:hAnsi="宋体"/>
        <w:b/>
        <w:sz w:val="18"/>
        <w:szCs w:val="18"/>
        <w:lang w:val="en-US" w:eastAsia="zh-CN"/>
      </w:rPr>
      <w:t xml:space="preserve">  </w:t>
    </w:r>
    <w:r>
      <w:rPr>
        <w:rFonts w:hint="eastAsia" w:ascii="宋体" w:hAnsi="宋体"/>
        <w:b/>
        <w:sz w:val="18"/>
        <w:szCs w:val="18"/>
      </w:rPr>
      <w:t xml:space="preserve">    </w:t>
    </w:r>
    <w:r>
      <w:rPr>
        <w:rFonts w:hint="eastAsia" w:ascii="宋体" w:hAnsi="宋体"/>
        <w:b/>
        <w:sz w:val="18"/>
        <w:szCs w:val="18"/>
        <w:lang w:val="en-US" w:eastAsia="zh-CN"/>
      </w:rPr>
      <w:t xml:space="preserve">           </w:t>
    </w:r>
    <w:r>
      <w:rPr>
        <w:rFonts w:hint="eastAsia" w:ascii="宋体" w:hAnsi="宋体"/>
        <w:b/>
        <w:sz w:val="18"/>
        <w:szCs w:val="18"/>
      </w:rPr>
      <w:t xml:space="preserve">          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248E1C"/>
    <w:multiLevelType w:val="singleLevel"/>
    <w:tmpl w:val="B6248E1C"/>
    <w:lvl w:ilvl="0" w:tentative="0">
      <w:start w:val="2"/>
      <w:numFmt w:val="decimal"/>
      <w:suff w:val="nothing"/>
      <w:lvlText w:val="%1、"/>
      <w:lvlJc w:val="left"/>
    </w:lvl>
  </w:abstractNum>
  <w:abstractNum w:abstractNumId="1">
    <w:nsid w:val="E9A33739"/>
    <w:multiLevelType w:val="singleLevel"/>
    <w:tmpl w:val="E9A33739"/>
    <w:lvl w:ilvl="0" w:tentative="0">
      <w:start w:val="7"/>
      <w:numFmt w:val="chineseCounting"/>
      <w:suff w:val="nothing"/>
      <w:lvlText w:val="%1、"/>
      <w:lvlJc w:val="left"/>
      <w:rPr>
        <w:rFonts w:hint="eastAsia"/>
      </w:rPr>
    </w:lvl>
  </w:abstractNum>
  <w:abstractNum w:abstractNumId="2">
    <w:nsid w:val="F4F57BB5"/>
    <w:multiLevelType w:val="singleLevel"/>
    <w:tmpl w:val="F4F57BB5"/>
    <w:lvl w:ilvl="0" w:tentative="0">
      <w:start w:val="2"/>
      <w:numFmt w:val="decimal"/>
      <w:suff w:val="nothing"/>
      <w:lvlText w:val="%1、"/>
      <w:lvlJc w:val="left"/>
    </w:lvl>
  </w:abstractNum>
  <w:abstractNum w:abstractNumId="3">
    <w:nsid w:val="08F96439"/>
    <w:multiLevelType w:val="multilevel"/>
    <w:tmpl w:val="08F96439"/>
    <w:lvl w:ilvl="0" w:tentative="0">
      <w:start w:val="1"/>
      <w:numFmt w:val="japaneseCounting"/>
      <w:lvlText w:val="%1、"/>
      <w:lvlJc w:val="left"/>
      <w:pPr>
        <w:ind w:left="865" w:hanging="450"/>
      </w:pPr>
      <w:rPr>
        <w:rFonts w:hint="default"/>
      </w:rPr>
    </w:lvl>
    <w:lvl w:ilvl="1" w:tentative="0">
      <w:start w:val="1"/>
      <w:numFmt w:val="lowerLetter"/>
      <w:lvlText w:val="%2)"/>
      <w:lvlJc w:val="left"/>
      <w:pPr>
        <w:ind w:left="1255" w:hanging="420"/>
      </w:pPr>
    </w:lvl>
    <w:lvl w:ilvl="2" w:tentative="0">
      <w:start w:val="1"/>
      <w:numFmt w:val="lowerRoman"/>
      <w:lvlText w:val="%3."/>
      <w:lvlJc w:val="right"/>
      <w:pPr>
        <w:ind w:left="1675" w:hanging="420"/>
      </w:pPr>
    </w:lvl>
    <w:lvl w:ilvl="3" w:tentative="0">
      <w:start w:val="1"/>
      <w:numFmt w:val="decimal"/>
      <w:lvlText w:val="%4."/>
      <w:lvlJc w:val="left"/>
      <w:pPr>
        <w:ind w:left="2095" w:hanging="420"/>
      </w:pPr>
    </w:lvl>
    <w:lvl w:ilvl="4" w:tentative="0">
      <w:start w:val="1"/>
      <w:numFmt w:val="lowerLetter"/>
      <w:lvlText w:val="%5)"/>
      <w:lvlJc w:val="left"/>
      <w:pPr>
        <w:ind w:left="2515" w:hanging="420"/>
      </w:pPr>
    </w:lvl>
    <w:lvl w:ilvl="5" w:tentative="0">
      <w:start w:val="1"/>
      <w:numFmt w:val="lowerRoman"/>
      <w:lvlText w:val="%6."/>
      <w:lvlJc w:val="right"/>
      <w:pPr>
        <w:ind w:left="2935" w:hanging="420"/>
      </w:pPr>
    </w:lvl>
    <w:lvl w:ilvl="6" w:tentative="0">
      <w:start w:val="1"/>
      <w:numFmt w:val="decimal"/>
      <w:lvlText w:val="%7."/>
      <w:lvlJc w:val="left"/>
      <w:pPr>
        <w:ind w:left="3355" w:hanging="420"/>
      </w:pPr>
    </w:lvl>
    <w:lvl w:ilvl="7" w:tentative="0">
      <w:start w:val="1"/>
      <w:numFmt w:val="lowerLetter"/>
      <w:lvlText w:val="%8)"/>
      <w:lvlJc w:val="left"/>
      <w:pPr>
        <w:ind w:left="3775" w:hanging="420"/>
      </w:pPr>
    </w:lvl>
    <w:lvl w:ilvl="8" w:tentative="0">
      <w:start w:val="1"/>
      <w:numFmt w:val="lowerRoman"/>
      <w:lvlText w:val="%9."/>
      <w:lvlJc w:val="right"/>
      <w:pPr>
        <w:ind w:left="4195" w:hanging="420"/>
      </w:pPr>
    </w:lvl>
  </w:abstractNum>
  <w:abstractNum w:abstractNumId="4">
    <w:nsid w:val="543E24D3"/>
    <w:multiLevelType w:val="multilevel"/>
    <w:tmpl w:val="543E24D3"/>
    <w:lvl w:ilvl="0" w:tentative="0">
      <w:start w:val="1"/>
      <w:numFmt w:val="decimal"/>
      <w:lvlText w:val="（%1）"/>
      <w:lvlJc w:val="left"/>
      <w:pPr>
        <w:ind w:left="1142" w:hanging="720"/>
      </w:pPr>
      <w:rPr>
        <w:rFonts w:hint="default"/>
        <w:b/>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5">
    <w:nsid w:val="5A1FC88D"/>
    <w:multiLevelType w:val="singleLevel"/>
    <w:tmpl w:val="5A1FC88D"/>
    <w:lvl w:ilvl="0" w:tentative="0">
      <w:start w:val="1"/>
      <w:numFmt w:val="decimal"/>
      <w:suff w:val="nothing"/>
      <w:lvlText w:val="（%1）"/>
      <w:lvlJc w:val="left"/>
      <w:rPr>
        <w:rFonts w:ascii="宋体" w:hAnsi="宋体" w:eastAsia="宋体" w:cs="Times New Roman"/>
      </w:rPr>
    </w:lvl>
  </w:abstractNum>
  <w:num w:numId="1">
    <w:abstractNumId w:val="1"/>
  </w:num>
  <w:num w:numId="2">
    <w:abstractNumId w:val="2"/>
  </w:num>
  <w:num w:numId="3">
    <w:abstractNumId w:val="0"/>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DA5ZTEzNGFhM2M5MDQ4ZWFiNTJkM2E1ZjU3ZDVmYjYifQ=="/>
  </w:docVars>
  <w:rsids>
    <w:rsidRoot w:val="006C772F"/>
    <w:rsid w:val="000013B6"/>
    <w:rsid w:val="00001614"/>
    <w:rsid w:val="00002E53"/>
    <w:rsid w:val="00003E59"/>
    <w:rsid w:val="00003F80"/>
    <w:rsid w:val="000053B3"/>
    <w:rsid w:val="000054AC"/>
    <w:rsid w:val="00007531"/>
    <w:rsid w:val="000079AB"/>
    <w:rsid w:val="00011615"/>
    <w:rsid w:val="00012FB0"/>
    <w:rsid w:val="00016281"/>
    <w:rsid w:val="0001794D"/>
    <w:rsid w:val="00021538"/>
    <w:rsid w:val="00021EA0"/>
    <w:rsid w:val="00023FE6"/>
    <w:rsid w:val="00024085"/>
    <w:rsid w:val="000247EC"/>
    <w:rsid w:val="00025905"/>
    <w:rsid w:val="00027F77"/>
    <w:rsid w:val="00035D5D"/>
    <w:rsid w:val="0003604B"/>
    <w:rsid w:val="00036713"/>
    <w:rsid w:val="00036DFC"/>
    <w:rsid w:val="000376AD"/>
    <w:rsid w:val="0004351D"/>
    <w:rsid w:val="000440B4"/>
    <w:rsid w:val="00044658"/>
    <w:rsid w:val="000451D8"/>
    <w:rsid w:val="0004549C"/>
    <w:rsid w:val="0005055D"/>
    <w:rsid w:val="000507BB"/>
    <w:rsid w:val="000508DE"/>
    <w:rsid w:val="0005237A"/>
    <w:rsid w:val="000534B1"/>
    <w:rsid w:val="00053ED2"/>
    <w:rsid w:val="00055342"/>
    <w:rsid w:val="00055468"/>
    <w:rsid w:val="00055AC6"/>
    <w:rsid w:val="0005640D"/>
    <w:rsid w:val="00057531"/>
    <w:rsid w:val="000601BA"/>
    <w:rsid w:val="00060635"/>
    <w:rsid w:val="00060900"/>
    <w:rsid w:val="0006104B"/>
    <w:rsid w:val="000615C3"/>
    <w:rsid w:val="0006172B"/>
    <w:rsid w:val="00063105"/>
    <w:rsid w:val="00064B4A"/>
    <w:rsid w:val="000650FC"/>
    <w:rsid w:val="00067342"/>
    <w:rsid w:val="00067CF4"/>
    <w:rsid w:val="00070F62"/>
    <w:rsid w:val="00071CBE"/>
    <w:rsid w:val="000722F8"/>
    <w:rsid w:val="00072866"/>
    <w:rsid w:val="00075493"/>
    <w:rsid w:val="00075E22"/>
    <w:rsid w:val="00075ED4"/>
    <w:rsid w:val="00076451"/>
    <w:rsid w:val="00076724"/>
    <w:rsid w:val="0007716E"/>
    <w:rsid w:val="0007754A"/>
    <w:rsid w:val="00077647"/>
    <w:rsid w:val="000816F2"/>
    <w:rsid w:val="0008361B"/>
    <w:rsid w:val="00085BA4"/>
    <w:rsid w:val="000862A0"/>
    <w:rsid w:val="000873F1"/>
    <w:rsid w:val="00091739"/>
    <w:rsid w:val="0009199E"/>
    <w:rsid w:val="00091C74"/>
    <w:rsid w:val="00092194"/>
    <w:rsid w:val="0009243F"/>
    <w:rsid w:val="00092AC0"/>
    <w:rsid w:val="00093808"/>
    <w:rsid w:val="00094097"/>
    <w:rsid w:val="00094D28"/>
    <w:rsid w:val="00094DE2"/>
    <w:rsid w:val="0009502B"/>
    <w:rsid w:val="00096E4C"/>
    <w:rsid w:val="000A08B8"/>
    <w:rsid w:val="000A21DA"/>
    <w:rsid w:val="000A291D"/>
    <w:rsid w:val="000A2E8F"/>
    <w:rsid w:val="000A3364"/>
    <w:rsid w:val="000A39F1"/>
    <w:rsid w:val="000A3D4B"/>
    <w:rsid w:val="000A645B"/>
    <w:rsid w:val="000B024A"/>
    <w:rsid w:val="000B030A"/>
    <w:rsid w:val="000B2082"/>
    <w:rsid w:val="000B21B2"/>
    <w:rsid w:val="000B2BC3"/>
    <w:rsid w:val="000B3A91"/>
    <w:rsid w:val="000B44F8"/>
    <w:rsid w:val="000B4755"/>
    <w:rsid w:val="000B4B9A"/>
    <w:rsid w:val="000C327D"/>
    <w:rsid w:val="000C4807"/>
    <w:rsid w:val="000C596F"/>
    <w:rsid w:val="000D05DC"/>
    <w:rsid w:val="000D3A0E"/>
    <w:rsid w:val="000D3EA1"/>
    <w:rsid w:val="000D3F5F"/>
    <w:rsid w:val="000D65C2"/>
    <w:rsid w:val="000E00F4"/>
    <w:rsid w:val="000E2499"/>
    <w:rsid w:val="000E4BA4"/>
    <w:rsid w:val="000E5C78"/>
    <w:rsid w:val="000E794A"/>
    <w:rsid w:val="000E7C8C"/>
    <w:rsid w:val="000E7CC3"/>
    <w:rsid w:val="000F00A6"/>
    <w:rsid w:val="000F0E93"/>
    <w:rsid w:val="000F1082"/>
    <w:rsid w:val="000F1C13"/>
    <w:rsid w:val="000F4D5D"/>
    <w:rsid w:val="000F7545"/>
    <w:rsid w:val="000F7FCE"/>
    <w:rsid w:val="00101A1F"/>
    <w:rsid w:val="00101E47"/>
    <w:rsid w:val="001037AB"/>
    <w:rsid w:val="00103A3F"/>
    <w:rsid w:val="00103A68"/>
    <w:rsid w:val="00104DA5"/>
    <w:rsid w:val="00107F5B"/>
    <w:rsid w:val="00110369"/>
    <w:rsid w:val="00110E3F"/>
    <w:rsid w:val="001125A7"/>
    <w:rsid w:val="001125BF"/>
    <w:rsid w:val="00112672"/>
    <w:rsid w:val="00112B0E"/>
    <w:rsid w:val="00112CDC"/>
    <w:rsid w:val="001130BB"/>
    <w:rsid w:val="00113C4C"/>
    <w:rsid w:val="00113DFA"/>
    <w:rsid w:val="00115577"/>
    <w:rsid w:val="001167F6"/>
    <w:rsid w:val="001173FE"/>
    <w:rsid w:val="001175AC"/>
    <w:rsid w:val="001211E5"/>
    <w:rsid w:val="0012267B"/>
    <w:rsid w:val="001230F1"/>
    <w:rsid w:val="00123BD3"/>
    <w:rsid w:val="00123D7F"/>
    <w:rsid w:val="00124346"/>
    <w:rsid w:val="00124A8A"/>
    <w:rsid w:val="00124BB5"/>
    <w:rsid w:val="00124BD1"/>
    <w:rsid w:val="00125641"/>
    <w:rsid w:val="0012678F"/>
    <w:rsid w:val="00130147"/>
    <w:rsid w:val="00130E5D"/>
    <w:rsid w:val="001328B3"/>
    <w:rsid w:val="001337DD"/>
    <w:rsid w:val="0014155E"/>
    <w:rsid w:val="00141C0B"/>
    <w:rsid w:val="00143AEC"/>
    <w:rsid w:val="001441C9"/>
    <w:rsid w:val="00144885"/>
    <w:rsid w:val="00145436"/>
    <w:rsid w:val="001457E3"/>
    <w:rsid w:val="00146E33"/>
    <w:rsid w:val="0015198D"/>
    <w:rsid w:val="00152FE8"/>
    <w:rsid w:val="00152FFA"/>
    <w:rsid w:val="00156084"/>
    <w:rsid w:val="00156B3E"/>
    <w:rsid w:val="00157518"/>
    <w:rsid w:val="001610D1"/>
    <w:rsid w:val="00162087"/>
    <w:rsid w:val="0017068A"/>
    <w:rsid w:val="00171958"/>
    <w:rsid w:val="00173829"/>
    <w:rsid w:val="001741F1"/>
    <w:rsid w:val="00174A5E"/>
    <w:rsid w:val="00176349"/>
    <w:rsid w:val="00176772"/>
    <w:rsid w:val="001776E4"/>
    <w:rsid w:val="001800DB"/>
    <w:rsid w:val="001801A2"/>
    <w:rsid w:val="001801C7"/>
    <w:rsid w:val="001803EB"/>
    <w:rsid w:val="00181C92"/>
    <w:rsid w:val="001830A0"/>
    <w:rsid w:val="00185223"/>
    <w:rsid w:val="00185AE2"/>
    <w:rsid w:val="00187406"/>
    <w:rsid w:val="00187B7E"/>
    <w:rsid w:val="00187F41"/>
    <w:rsid w:val="00190A0C"/>
    <w:rsid w:val="00191D7D"/>
    <w:rsid w:val="001938C1"/>
    <w:rsid w:val="00193AD8"/>
    <w:rsid w:val="0019669F"/>
    <w:rsid w:val="00196F16"/>
    <w:rsid w:val="00197E7A"/>
    <w:rsid w:val="001A005D"/>
    <w:rsid w:val="001A3D1B"/>
    <w:rsid w:val="001A5014"/>
    <w:rsid w:val="001A55AF"/>
    <w:rsid w:val="001A5669"/>
    <w:rsid w:val="001A6E16"/>
    <w:rsid w:val="001B1DF7"/>
    <w:rsid w:val="001B1F87"/>
    <w:rsid w:val="001B4F22"/>
    <w:rsid w:val="001B5EF9"/>
    <w:rsid w:val="001B7687"/>
    <w:rsid w:val="001B7BA7"/>
    <w:rsid w:val="001C0E87"/>
    <w:rsid w:val="001C32E3"/>
    <w:rsid w:val="001C3D1D"/>
    <w:rsid w:val="001C44AF"/>
    <w:rsid w:val="001C45C1"/>
    <w:rsid w:val="001C4781"/>
    <w:rsid w:val="001C485F"/>
    <w:rsid w:val="001C5A84"/>
    <w:rsid w:val="001C78EE"/>
    <w:rsid w:val="001C7BC5"/>
    <w:rsid w:val="001D170B"/>
    <w:rsid w:val="001D34AE"/>
    <w:rsid w:val="001D3F0D"/>
    <w:rsid w:val="001D410E"/>
    <w:rsid w:val="001D5AF3"/>
    <w:rsid w:val="001D5DC4"/>
    <w:rsid w:val="001D66FC"/>
    <w:rsid w:val="001E0322"/>
    <w:rsid w:val="001E15B6"/>
    <w:rsid w:val="001E181B"/>
    <w:rsid w:val="001E2562"/>
    <w:rsid w:val="001E40A8"/>
    <w:rsid w:val="001E592E"/>
    <w:rsid w:val="001E5E65"/>
    <w:rsid w:val="001E5F21"/>
    <w:rsid w:val="001E6826"/>
    <w:rsid w:val="001E7945"/>
    <w:rsid w:val="001E7D57"/>
    <w:rsid w:val="001F2071"/>
    <w:rsid w:val="001F24F2"/>
    <w:rsid w:val="001F3A9F"/>
    <w:rsid w:val="001F4E4B"/>
    <w:rsid w:val="001F5364"/>
    <w:rsid w:val="002002C8"/>
    <w:rsid w:val="002006F5"/>
    <w:rsid w:val="002007B8"/>
    <w:rsid w:val="00200C8F"/>
    <w:rsid w:val="00201937"/>
    <w:rsid w:val="00201CE4"/>
    <w:rsid w:val="00202216"/>
    <w:rsid w:val="0020683D"/>
    <w:rsid w:val="00206B39"/>
    <w:rsid w:val="0021166E"/>
    <w:rsid w:val="0021383E"/>
    <w:rsid w:val="00213AEC"/>
    <w:rsid w:val="002157F3"/>
    <w:rsid w:val="00215D45"/>
    <w:rsid w:val="00216C96"/>
    <w:rsid w:val="00216DDB"/>
    <w:rsid w:val="00217397"/>
    <w:rsid w:val="00221AA7"/>
    <w:rsid w:val="002222A8"/>
    <w:rsid w:val="00222A02"/>
    <w:rsid w:val="00224C84"/>
    <w:rsid w:val="002264EB"/>
    <w:rsid w:val="002277FE"/>
    <w:rsid w:val="00231DBC"/>
    <w:rsid w:val="002325C2"/>
    <w:rsid w:val="00232C8C"/>
    <w:rsid w:val="00233FC4"/>
    <w:rsid w:val="00234469"/>
    <w:rsid w:val="0023508C"/>
    <w:rsid w:val="00236378"/>
    <w:rsid w:val="00237419"/>
    <w:rsid w:val="00240823"/>
    <w:rsid w:val="00240B9C"/>
    <w:rsid w:val="00242642"/>
    <w:rsid w:val="002435F6"/>
    <w:rsid w:val="002446F0"/>
    <w:rsid w:val="0024504D"/>
    <w:rsid w:val="00245276"/>
    <w:rsid w:val="00245F66"/>
    <w:rsid w:val="002465D5"/>
    <w:rsid w:val="00246E0B"/>
    <w:rsid w:val="00247480"/>
    <w:rsid w:val="0025099A"/>
    <w:rsid w:val="002509E5"/>
    <w:rsid w:val="00250E52"/>
    <w:rsid w:val="002535D8"/>
    <w:rsid w:val="00253891"/>
    <w:rsid w:val="00254742"/>
    <w:rsid w:val="00256DF3"/>
    <w:rsid w:val="00260461"/>
    <w:rsid w:val="00260AEA"/>
    <w:rsid w:val="00262932"/>
    <w:rsid w:val="00262C00"/>
    <w:rsid w:val="00263ECB"/>
    <w:rsid w:val="0026472C"/>
    <w:rsid w:val="00264AE4"/>
    <w:rsid w:val="00267757"/>
    <w:rsid w:val="002719A3"/>
    <w:rsid w:val="0027264C"/>
    <w:rsid w:val="00272A16"/>
    <w:rsid w:val="00272ECB"/>
    <w:rsid w:val="00273D99"/>
    <w:rsid w:val="002743CF"/>
    <w:rsid w:val="00276208"/>
    <w:rsid w:val="00276AAA"/>
    <w:rsid w:val="00277DF9"/>
    <w:rsid w:val="00277E86"/>
    <w:rsid w:val="00280384"/>
    <w:rsid w:val="00280702"/>
    <w:rsid w:val="00280E16"/>
    <w:rsid w:val="00281339"/>
    <w:rsid w:val="00282263"/>
    <w:rsid w:val="00283547"/>
    <w:rsid w:val="00286735"/>
    <w:rsid w:val="00286BF4"/>
    <w:rsid w:val="00291BCF"/>
    <w:rsid w:val="00291D31"/>
    <w:rsid w:val="00292350"/>
    <w:rsid w:val="00294B56"/>
    <w:rsid w:val="00296CC3"/>
    <w:rsid w:val="002A1704"/>
    <w:rsid w:val="002A3095"/>
    <w:rsid w:val="002A459B"/>
    <w:rsid w:val="002A541F"/>
    <w:rsid w:val="002A6142"/>
    <w:rsid w:val="002A70D0"/>
    <w:rsid w:val="002A762D"/>
    <w:rsid w:val="002B1D4E"/>
    <w:rsid w:val="002B3B20"/>
    <w:rsid w:val="002B538E"/>
    <w:rsid w:val="002B59A4"/>
    <w:rsid w:val="002B6A78"/>
    <w:rsid w:val="002B7897"/>
    <w:rsid w:val="002C13EF"/>
    <w:rsid w:val="002C1409"/>
    <w:rsid w:val="002C1D80"/>
    <w:rsid w:val="002C1EEF"/>
    <w:rsid w:val="002C1FFD"/>
    <w:rsid w:val="002C2896"/>
    <w:rsid w:val="002C29D7"/>
    <w:rsid w:val="002C3A6B"/>
    <w:rsid w:val="002C3CB3"/>
    <w:rsid w:val="002C4CC5"/>
    <w:rsid w:val="002C72A1"/>
    <w:rsid w:val="002C789E"/>
    <w:rsid w:val="002C7BE2"/>
    <w:rsid w:val="002C7D92"/>
    <w:rsid w:val="002D2351"/>
    <w:rsid w:val="002D2B02"/>
    <w:rsid w:val="002D3FF7"/>
    <w:rsid w:val="002D40AC"/>
    <w:rsid w:val="002D5C94"/>
    <w:rsid w:val="002D5FA1"/>
    <w:rsid w:val="002D6579"/>
    <w:rsid w:val="002D68D6"/>
    <w:rsid w:val="002D70E3"/>
    <w:rsid w:val="002E204A"/>
    <w:rsid w:val="002E218E"/>
    <w:rsid w:val="002E22FB"/>
    <w:rsid w:val="002E274D"/>
    <w:rsid w:val="002E2A83"/>
    <w:rsid w:val="002E5258"/>
    <w:rsid w:val="002E5525"/>
    <w:rsid w:val="002F14FD"/>
    <w:rsid w:val="002F16C8"/>
    <w:rsid w:val="002F1731"/>
    <w:rsid w:val="002F180F"/>
    <w:rsid w:val="002F25AC"/>
    <w:rsid w:val="002F26B8"/>
    <w:rsid w:val="002F593E"/>
    <w:rsid w:val="002F594F"/>
    <w:rsid w:val="003018FF"/>
    <w:rsid w:val="00302ADF"/>
    <w:rsid w:val="00303204"/>
    <w:rsid w:val="0030502E"/>
    <w:rsid w:val="00310859"/>
    <w:rsid w:val="00310A4B"/>
    <w:rsid w:val="00313D64"/>
    <w:rsid w:val="00314059"/>
    <w:rsid w:val="003142A8"/>
    <w:rsid w:val="00314D86"/>
    <w:rsid w:val="00317324"/>
    <w:rsid w:val="00317645"/>
    <w:rsid w:val="00322BA4"/>
    <w:rsid w:val="00323089"/>
    <w:rsid w:val="00323690"/>
    <w:rsid w:val="00323EDA"/>
    <w:rsid w:val="00324E45"/>
    <w:rsid w:val="00325CB2"/>
    <w:rsid w:val="00330AC0"/>
    <w:rsid w:val="00331D93"/>
    <w:rsid w:val="00332307"/>
    <w:rsid w:val="00332FCC"/>
    <w:rsid w:val="003331B2"/>
    <w:rsid w:val="00333343"/>
    <w:rsid w:val="00335B62"/>
    <w:rsid w:val="00335C25"/>
    <w:rsid w:val="00336634"/>
    <w:rsid w:val="00340047"/>
    <w:rsid w:val="0034078D"/>
    <w:rsid w:val="00341D23"/>
    <w:rsid w:val="00342191"/>
    <w:rsid w:val="00343565"/>
    <w:rsid w:val="00344656"/>
    <w:rsid w:val="00344B60"/>
    <w:rsid w:val="00345ADD"/>
    <w:rsid w:val="0034696B"/>
    <w:rsid w:val="0035070A"/>
    <w:rsid w:val="00350CB3"/>
    <w:rsid w:val="00351B14"/>
    <w:rsid w:val="00351BA6"/>
    <w:rsid w:val="00354989"/>
    <w:rsid w:val="00355E14"/>
    <w:rsid w:val="00356320"/>
    <w:rsid w:val="003572C1"/>
    <w:rsid w:val="00357CBA"/>
    <w:rsid w:val="00357F2B"/>
    <w:rsid w:val="003601DC"/>
    <w:rsid w:val="003632A6"/>
    <w:rsid w:val="00364126"/>
    <w:rsid w:val="00366323"/>
    <w:rsid w:val="00366681"/>
    <w:rsid w:val="00367C1A"/>
    <w:rsid w:val="00367E99"/>
    <w:rsid w:val="003708C8"/>
    <w:rsid w:val="003719D5"/>
    <w:rsid w:val="00373C36"/>
    <w:rsid w:val="003752B2"/>
    <w:rsid w:val="003755EB"/>
    <w:rsid w:val="003761C0"/>
    <w:rsid w:val="003774B4"/>
    <w:rsid w:val="00377A2A"/>
    <w:rsid w:val="003803A6"/>
    <w:rsid w:val="00381894"/>
    <w:rsid w:val="00383EAB"/>
    <w:rsid w:val="0038494F"/>
    <w:rsid w:val="003858C6"/>
    <w:rsid w:val="00386AE8"/>
    <w:rsid w:val="0038795E"/>
    <w:rsid w:val="00391AF6"/>
    <w:rsid w:val="003929C3"/>
    <w:rsid w:val="00392EDB"/>
    <w:rsid w:val="00393B46"/>
    <w:rsid w:val="00395025"/>
    <w:rsid w:val="00395878"/>
    <w:rsid w:val="003966AA"/>
    <w:rsid w:val="00396CBB"/>
    <w:rsid w:val="00396DCC"/>
    <w:rsid w:val="003970CE"/>
    <w:rsid w:val="003A0274"/>
    <w:rsid w:val="003A0348"/>
    <w:rsid w:val="003A0542"/>
    <w:rsid w:val="003A267F"/>
    <w:rsid w:val="003A37A8"/>
    <w:rsid w:val="003A5F4B"/>
    <w:rsid w:val="003B05BA"/>
    <w:rsid w:val="003B0F51"/>
    <w:rsid w:val="003B10CF"/>
    <w:rsid w:val="003B2187"/>
    <w:rsid w:val="003B50C1"/>
    <w:rsid w:val="003B56FD"/>
    <w:rsid w:val="003B5CFB"/>
    <w:rsid w:val="003B6973"/>
    <w:rsid w:val="003C1A12"/>
    <w:rsid w:val="003C2C15"/>
    <w:rsid w:val="003C2CE3"/>
    <w:rsid w:val="003C2E12"/>
    <w:rsid w:val="003C4A92"/>
    <w:rsid w:val="003C68E1"/>
    <w:rsid w:val="003C6C59"/>
    <w:rsid w:val="003C7424"/>
    <w:rsid w:val="003C7B0C"/>
    <w:rsid w:val="003D09FD"/>
    <w:rsid w:val="003D1E12"/>
    <w:rsid w:val="003D77D5"/>
    <w:rsid w:val="003E00BE"/>
    <w:rsid w:val="003E1C3F"/>
    <w:rsid w:val="003E42A1"/>
    <w:rsid w:val="003E5371"/>
    <w:rsid w:val="003E5483"/>
    <w:rsid w:val="003F0FEA"/>
    <w:rsid w:val="003F12CB"/>
    <w:rsid w:val="003F5A37"/>
    <w:rsid w:val="003F761B"/>
    <w:rsid w:val="003F7C77"/>
    <w:rsid w:val="0040186E"/>
    <w:rsid w:val="0040279A"/>
    <w:rsid w:val="0040305A"/>
    <w:rsid w:val="004058AD"/>
    <w:rsid w:val="00406978"/>
    <w:rsid w:val="00407E28"/>
    <w:rsid w:val="0041022A"/>
    <w:rsid w:val="004104EF"/>
    <w:rsid w:val="00410706"/>
    <w:rsid w:val="00411DC9"/>
    <w:rsid w:val="004122E3"/>
    <w:rsid w:val="0041249C"/>
    <w:rsid w:val="00414408"/>
    <w:rsid w:val="00415F5F"/>
    <w:rsid w:val="004160EC"/>
    <w:rsid w:val="004169CB"/>
    <w:rsid w:val="00420EF7"/>
    <w:rsid w:val="00421014"/>
    <w:rsid w:val="004234D5"/>
    <w:rsid w:val="00426567"/>
    <w:rsid w:val="004303CD"/>
    <w:rsid w:val="004306A0"/>
    <w:rsid w:val="00433AC6"/>
    <w:rsid w:val="00434787"/>
    <w:rsid w:val="004348F1"/>
    <w:rsid w:val="004351C9"/>
    <w:rsid w:val="0043669F"/>
    <w:rsid w:val="00436E5A"/>
    <w:rsid w:val="004374F2"/>
    <w:rsid w:val="00441BC3"/>
    <w:rsid w:val="00441E5C"/>
    <w:rsid w:val="00442A29"/>
    <w:rsid w:val="004439B5"/>
    <w:rsid w:val="00443DB7"/>
    <w:rsid w:val="00444008"/>
    <w:rsid w:val="0044597B"/>
    <w:rsid w:val="0045473D"/>
    <w:rsid w:val="00454E68"/>
    <w:rsid w:val="00457DBE"/>
    <w:rsid w:val="00460B71"/>
    <w:rsid w:val="00461B9B"/>
    <w:rsid w:val="00462209"/>
    <w:rsid w:val="004636BE"/>
    <w:rsid w:val="004636C4"/>
    <w:rsid w:val="00463E5E"/>
    <w:rsid w:val="0046424D"/>
    <w:rsid w:val="00465E9B"/>
    <w:rsid w:val="0046610A"/>
    <w:rsid w:val="004662AD"/>
    <w:rsid w:val="00466514"/>
    <w:rsid w:val="00467A73"/>
    <w:rsid w:val="004718F4"/>
    <w:rsid w:val="00473DD3"/>
    <w:rsid w:val="00474284"/>
    <w:rsid w:val="00474777"/>
    <w:rsid w:val="004749CB"/>
    <w:rsid w:val="00475307"/>
    <w:rsid w:val="004763CF"/>
    <w:rsid w:val="0047661B"/>
    <w:rsid w:val="00476862"/>
    <w:rsid w:val="00477859"/>
    <w:rsid w:val="00480552"/>
    <w:rsid w:val="004813FC"/>
    <w:rsid w:val="00481A99"/>
    <w:rsid w:val="00482178"/>
    <w:rsid w:val="00484934"/>
    <w:rsid w:val="00484AE4"/>
    <w:rsid w:val="00484C46"/>
    <w:rsid w:val="00484FB4"/>
    <w:rsid w:val="00487A3C"/>
    <w:rsid w:val="00490B68"/>
    <w:rsid w:val="00490C68"/>
    <w:rsid w:val="00494E88"/>
    <w:rsid w:val="004957E4"/>
    <w:rsid w:val="004A0478"/>
    <w:rsid w:val="004A04A4"/>
    <w:rsid w:val="004A07C3"/>
    <w:rsid w:val="004A1DE1"/>
    <w:rsid w:val="004A35A6"/>
    <w:rsid w:val="004A3B37"/>
    <w:rsid w:val="004A4DC7"/>
    <w:rsid w:val="004A4F0D"/>
    <w:rsid w:val="004A5CE9"/>
    <w:rsid w:val="004A6D17"/>
    <w:rsid w:val="004A75B6"/>
    <w:rsid w:val="004A7B56"/>
    <w:rsid w:val="004A7F9B"/>
    <w:rsid w:val="004B1835"/>
    <w:rsid w:val="004B1EF7"/>
    <w:rsid w:val="004B3B54"/>
    <w:rsid w:val="004B634A"/>
    <w:rsid w:val="004B689A"/>
    <w:rsid w:val="004C0800"/>
    <w:rsid w:val="004C0B7C"/>
    <w:rsid w:val="004C1280"/>
    <w:rsid w:val="004C37B0"/>
    <w:rsid w:val="004C4522"/>
    <w:rsid w:val="004C4631"/>
    <w:rsid w:val="004C571E"/>
    <w:rsid w:val="004C76FB"/>
    <w:rsid w:val="004D0EE9"/>
    <w:rsid w:val="004D1436"/>
    <w:rsid w:val="004D52D8"/>
    <w:rsid w:val="004D6350"/>
    <w:rsid w:val="004E03BE"/>
    <w:rsid w:val="004E0938"/>
    <w:rsid w:val="004E3B43"/>
    <w:rsid w:val="004E3BC9"/>
    <w:rsid w:val="004E68CA"/>
    <w:rsid w:val="004E7EE4"/>
    <w:rsid w:val="004F0F80"/>
    <w:rsid w:val="004F2568"/>
    <w:rsid w:val="004F3FEE"/>
    <w:rsid w:val="004F4C81"/>
    <w:rsid w:val="004F6B59"/>
    <w:rsid w:val="004F7BC8"/>
    <w:rsid w:val="004F7C33"/>
    <w:rsid w:val="00501E34"/>
    <w:rsid w:val="00503786"/>
    <w:rsid w:val="005037B5"/>
    <w:rsid w:val="0050736C"/>
    <w:rsid w:val="00514E86"/>
    <w:rsid w:val="005153BD"/>
    <w:rsid w:val="00515DF1"/>
    <w:rsid w:val="00516307"/>
    <w:rsid w:val="00516548"/>
    <w:rsid w:val="00516570"/>
    <w:rsid w:val="0051725D"/>
    <w:rsid w:val="005203CF"/>
    <w:rsid w:val="005209FE"/>
    <w:rsid w:val="005250C0"/>
    <w:rsid w:val="005275AF"/>
    <w:rsid w:val="00527913"/>
    <w:rsid w:val="00530CF7"/>
    <w:rsid w:val="0053221E"/>
    <w:rsid w:val="00534C53"/>
    <w:rsid w:val="005402E3"/>
    <w:rsid w:val="005406B9"/>
    <w:rsid w:val="00541094"/>
    <w:rsid w:val="00542B61"/>
    <w:rsid w:val="00543620"/>
    <w:rsid w:val="005437F5"/>
    <w:rsid w:val="00546062"/>
    <w:rsid w:val="005471F2"/>
    <w:rsid w:val="00551B9B"/>
    <w:rsid w:val="00552524"/>
    <w:rsid w:val="00552655"/>
    <w:rsid w:val="00552711"/>
    <w:rsid w:val="0055469E"/>
    <w:rsid w:val="00555C22"/>
    <w:rsid w:val="00555F31"/>
    <w:rsid w:val="005561B7"/>
    <w:rsid w:val="00561D00"/>
    <w:rsid w:val="0056249D"/>
    <w:rsid w:val="005630D8"/>
    <w:rsid w:val="00564738"/>
    <w:rsid w:val="00564F65"/>
    <w:rsid w:val="00565A30"/>
    <w:rsid w:val="00570312"/>
    <w:rsid w:val="0057076A"/>
    <w:rsid w:val="00570EC4"/>
    <w:rsid w:val="00573A18"/>
    <w:rsid w:val="00573B03"/>
    <w:rsid w:val="00573FAB"/>
    <w:rsid w:val="0057470E"/>
    <w:rsid w:val="00574F30"/>
    <w:rsid w:val="0057511D"/>
    <w:rsid w:val="005754F1"/>
    <w:rsid w:val="00575C74"/>
    <w:rsid w:val="005764F1"/>
    <w:rsid w:val="0057696B"/>
    <w:rsid w:val="00576FC0"/>
    <w:rsid w:val="00580A22"/>
    <w:rsid w:val="00580DAA"/>
    <w:rsid w:val="00581D60"/>
    <w:rsid w:val="00581D73"/>
    <w:rsid w:val="00584CE5"/>
    <w:rsid w:val="0058520B"/>
    <w:rsid w:val="005871E0"/>
    <w:rsid w:val="00587B88"/>
    <w:rsid w:val="00587E9C"/>
    <w:rsid w:val="005913AD"/>
    <w:rsid w:val="005939E6"/>
    <w:rsid w:val="00593E09"/>
    <w:rsid w:val="00593F53"/>
    <w:rsid w:val="00594A99"/>
    <w:rsid w:val="00596710"/>
    <w:rsid w:val="00596901"/>
    <w:rsid w:val="00597F3D"/>
    <w:rsid w:val="005A1961"/>
    <w:rsid w:val="005A19AA"/>
    <w:rsid w:val="005A1A0B"/>
    <w:rsid w:val="005A1A42"/>
    <w:rsid w:val="005A3E17"/>
    <w:rsid w:val="005A41A1"/>
    <w:rsid w:val="005A4AE8"/>
    <w:rsid w:val="005B1EE7"/>
    <w:rsid w:val="005B31C7"/>
    <w:rsid w:val="005B33BB"/>
    <w:rsid w:val="005B3607"/>
    <w:rsid w:val="005B56A0"/>
    <w:rsid w:val="005C0F96"/>
    <w:rsid w:val="005C1D35"/>
    <w:rsid w:val="005C1F35"/>
    <w:rsid w:val="005C2034"/>
    <w:rsid w:val="005D11CC"/>
    <w:rsid w:val="005D1F0F"/>
    <w:rsid w:val="005D3905"/>
    <w:rsid w:val="005D3962"/>
    <w:rsid w:val="005D49F3"/>
    <w:rsid w:val="005D4E13"/>
    <w:rsid w:val="005D68C5"/>
    <w:rsid w:val="005D7917"/>
    <w:rsid w:val="005E078E"/>
    <w:rsid w:val="005E0FD0"/>
    <w:rsid w:val="005E0FEA"/>
    <w:rsid w:val="005E50C0"/>
    <w:rsid w:val="005E5942"/>
    <w:rsid w:val="005E5DA8"/>
    <w:rsid w:val="005E6163"/>
    <w:rsid w:val="005F0B9B"/>
    <w:rsid w:val="005F0D50"/>
    <w:rsid w:val="005F1106"/>
    <w:rsid w:val="005F2DB3"/>
    <w:rsid w:val="005F36DC"/>
    <w:rsid w:val="005F4F3D"/>
    <w:rsid w:val="005F669B"/>
    <w:rsid w:val="005F7C04"/>
    <w:rsid w:val="005F7CE6"/>
    <w:rsid w:val="006006F4"/>
    <w:rsid w:val="006051A7"/>
    <w:rsid w:val="00605388"/>
    <w:rsid w:val="0060599E"/>
    <w:rsid w:val="0060658E"/>
    <w:rsid w:val="006077C9"/>
    <w:rsid w:val="00607A3B"/>
    <w:rsid w:val="00607ECD"/>
    <w:rsid w:val="00610D74"/>
    <w:rsid w:val="0061346D"/>
    <w:rsid w:val="006178C2"/>
    <w:rsid w:val="006232D1"/>
    <w:rsid w:val="00624207"/>
    <w:rsid w:val="006256B3"/>
    <w:rsid w:val="00626115"/>
    <w:rsid w:val="006273F1"/>
    <w:rsid w:val="006312AE"/>
    <w:rsid w:val="0063227B"/>
    <w:rsid w:val="006332D9"/>
    <w:rsid w:val="0063525F"/>
    <w:rsid w:val="006355EC"/>
    <w:rsid w:val="00636ADA"/>
    <w:rsid w:val="00637AA6"/>
    <w:rsid w:val="00637DFD"/>
    <w:rsid w:val="0064217A"/>
    <w:rsid w:val="00642818"/>
    <w:rsid w:val="00644035"/>
    <w:rsid w:val="00644920"/>
    <w:rsid w:val="006464F1"/>
    <w:rsid w:val="00647673"/>
    <w:rsid w:val="00647688"/>
    <w:rsid w:val="00647C99"/>
    <w:rsid w:val="0065004C"/>
    <w:rsid w:val="0065023B"/>
    <w:rsid w:val="00650771"/>
    <w:rsid w:val="006515A6"/>
    <w:rsid w:val="00656E46"/>
    <w:rsid w:val="00657B71"/>
    <w:rsid w:val="00657BD7"/>
    <w:rsid w:val="00661709"/>
    <w:rsid w:val="00661DC6"/>
    <w:rsid w:val="00661E64"/>
    <w:rsid w:val="006639A9"/>
    <w:rsid w:val="00671120"/>
    <w:rsid w:val="00672025"/>
    <w:rsid w:val="0067442F"/>
    <w:rsid w:val="00674861"/>
    <w:rsid w:val="00674D37"/>
    <w:rsid w:val="00676F0F"/>
    <w:rsid w:val="00677BE1"/>
    <w:rsid w:val="006802D8"/>
    <w:rsid w:val="00682690"/>
    <w:rsid w:val="00682D1B"/>
    <w:rsid w:val="006835EB"/>
    <w:rsid w:val="006849FF"/>
    <w:rsid w:val="006860F7"/>
    <w:rsid w:val="00686757"/>
    <w:rsid w:val="00686D87"/>
    <w:rsid w:val="006903E6"/>
    <w:rsid w:val="006910A5"/>
    <w:rsid w:val="0069270B"/>
    <w:rsid w:val="006946B4"/>
    <w:rsid w:val="00695D8C"/>
    <w:rsid w:val="006A01D7"/>
    <w:rsid w:val="006A1014"/>
    <w:rsid w:val="006A1C4B"/>
    <w:rsid w:val="006A21BC"/>
    <w:rsid w:val="006A2279"/>
    <w:rsid w:val="006A7BC6"/>
    <w:rsid w:val="006B1535"/>
    <w:rsid w:val="006B2AA1"/>
    <w:rsid w:val="006B3E95"/>
    <w:rsid w:val="006B488A"/>
    <w:rsid w:val="006C08B4"/>
    <w:rsid w:val="006C2737"/>
    <w:rsid w:val="006C52AA"/>
    <w:rsid w:val="006C617C"/>
    <w:rsid w:val="006C7376"/>
    <w:rsid w:val="006C74F3"/>
    <w:rsid w:val="006C7672"/>
    <w:rsid w:val="006C772F"/>
    <w:rsid w:val="006C77EB"/>
    <w:rsid w:val="006D0529"/>
    <w:rsid w:val="006D3FE9"/>
    <w:rsid w:val="006D4BE9"/>
    <w:rsid w:val="006D79AC"/>
    <w:rsid w:val="006E1810"/>
    <w:rsid w:val="006E34CD"/>
    <w:rsid w:val="006E3ABB"/>
    <w:rsid w:val="006E4BBA"/>
    <w:rsid w:val="006F552F"/>
    <w:rsid w:val="006F5DB1"/>
    <w:rsid w:val="00700968"/>
    <w:rsid w:val="00700F68"/>
    <w:rsid w:val="00703C61"/>
    <w:rsid w:val="007048D4"/>
    <w:rsid w:val="0070496D"/>
    <w:rsid w:val="00704B24"/>
    <w:rsid w:val="00706FF5"/>
    <w:rsid w:val="007074C5"/>
    <w:rsid w:val="00707F22"/>
    <w:rsid w:val="00710A94"/>
    <w:rsid w:val="007117BE"/>
    <w:rsid w:val="00711DDA"/>
    <w:rsid w:val="00711F16"/>
    <w:rsid w:val="007131D3"/>
    <w:rsid w:val="0071795D"/>
    <w:rsid w:val="00720042"/>
    <w:rsid w:val="00720AD1"/>
    <w:rsid w:val="00722BDF"/>
    <w:rsid w:val="00722E76"/>
    <w:rsid w:val="00723142"/>
    <w:rsid w:val="0072457E"/>
    <w:rsid w:val="00730E6D"/>
    <w:rsid w:val="00733794"/>
    <w:rsid w:val="00734BFB"/>
    <w:rsid w:val="007373F7"/>
    <w:rsid w:val="007377BC"/>
    <w:rsid w:val="007377DA"/>
    <w:rsid w:val="00740676"/>
    <w:rsid w:val="00740CAF"/>
    <w:rsid w:val="0074163B"/>
    <w:rsid w:val="0074206F"/>
    <w:rsid w:val="00742D59"/>
    <w:rsid w:val="00743F18"/>
    <w:rsid w:val="0074425E"/>
    <w:rsid w:val="00744B19"/>
    <w:rsid w:val="00744BF4"/>
    <w:rsid w:val="00745858"/>
    <w:rsid w:val="0075063E"/>
    <w:rsid w:val="00751B49"/>
    <w:rsid w:val="00756552"/>
    <w:rsid w:val="00756A5A"/>
    <w:rsid w:val="007572C2"/>
    <w:rsid w:val="007615C4"/>
    <w:rsid w:val="007658F5"/>
    <w:rsid w:val="0077005A"/>
    <w:rsid w:val="00772812"/>
    <w:rsid w:val="00772B13"/>
    <w:rsid w:val="007759E8"/>
    <w:rsid w:val="00775A76"/>
    <w:rsid w:val="00776A88"/>
    <w:rsid w:val="00777301"/>
    <w:rsid w:val="00777D92"/>
    <w:rsid w:val="00782A0D"/>
    <w:rsid w:val="00785A4D"/>
    <w:rsid w:val="007865D3"/>
    <w:rsid w:val="00787CB3"/>
    <w:rsid w:val="00790852"/>
    <w:rsid w:val="007919A3"/>
    <w:rsid w:val="00797E64"/>
    <w:rsid w:val="007A05D5"/>
    <w:rsid w:val="007A06AA"/>
    <w:rsid w:val="007A122C"/>
    <w:rsid w:val="007A2B1A"/>
    <w:rsid w:val="007A4430"/>
    <w:rsid w:val="007A4617"/>
    <w:rsid w:val="007A4D1B"/>
    <w:rsid w:val="007B37C2"/>
    <w:rsid w:val="007B40C1"/>
    <w:rsid w:val="007B4856"/>
    <w:rsid w:val="007B59A4"/>
    <w:rsid w:val="007B5F11"/>
    <w:rsid w:val="007B6953"/>
    <w:rsid w:val="007B6FEF"/>
    <w:rsid w:val="007B7F1B"/>
    <w:rsid w:val="007C0397"/>
    <w:rsid w:val="007C3F65"/>
    <w:rsid w:val="007C797E"/>
    <w:rsid w:val="007D1FAE"/>
    <w:rsid w:val="007D318D"/>
    <w:rsid w:val="007D34CB"/>
    <w:rsid w:val="007D3F26"/>
    <w:rsid w:val="007D4C63"/>
    <w:rsid w:val="007D4D73"/>
    <w:rsid w:val="007D500C"/>
    <w:rsid w:val="007D5647"/>
    <w:rsid w:val="007D748E"/>
    <w:rsid w:val="007E14E0"/>
    <w:rsid w:val="007E26B6"/>
    <w:rsid w:val="007E2F77"/>
    <w:rsid w:val="007E32D8"/>
    <w:rsid w:val="007E34B2"/>
    <w:rsid w:val="007E399E"/>
    <w:rsid w:val="007E5F59"/>
    <w:rsid w:val="007E60A9"/>
    <w:rsid w:val="007E6D8E"/>
    <w:rsid w:val="007E7230"/>
    <w:rsid w:val="007F1178"/>
    <w:rsid w:val="007F2F69"/>
    <w:rsid w:val="007F365E"/>
    <w:rsid w:val="007F3DE4"/>
    <w:rsid w:val="007F535F"/>
    <w:rsid w:val="007F6304"/>
    <w:rsid w:val="007F6CC9"/>
    <w:rsid w:val="00800593"/>
    <w:rsid w:val="00800851"/>
    <w:rsid w:val="00801156"/>
    <w:rsid w:val="0080116B"/>
    <w:rsid w:val="00804322"/>
    <w:rsid w:val="00804B0B"/>
    <w:rsid w:val="00806EC0"/>
    <w:rsid w:val="00810F09"/>
    <w:rsid w:val="0081130A"/>
    <w:rsid w:val="00811EF2"/>
    <w:rsid w:val="008122B6"/>
    <w:rsid w:val="00813584"/>
    <w:rsid w:val="00816904"/>
    <w:rsid w:val="008175AB"/>
    <w:rsid w:val="00820558"/>
    <w:rsid w:val="00820FC3"/>
    <w:rsid w:val="0082142E"/>
    <w:rsid w:val="008220B4"/>
    <w:rsid w:val="008347F8"/>
    <w:rsid w:val="00835E41"/>
    <w:rsid w:val="00835F9C"/>
    <w:rsid w:val="008366BD"/>
    <w:rsid w:val="008371ED"/>
    <w:rsid w:val="00837A4B"/>
    <w:rsid w:val="00840F78"/>
    <w:rsid w:val="0084132A"/>
    <w:rsid w:val="0084159C"/>
    <w:rsid w:val="0084233F"/>
    <w:rsid w:val="00843191"/>
    <w:rsid w:val="0084382B"/>
    <w:rsid w:val="008463AC"/>
    <w:rsid w:val="00846907"/>
    <w:rsid w:val="0085183E"/>
    <w:rsid w:val="0085485E"/>
    <w:rsid w:val="00855F0F"/>
    <w:rsid w:val="00856751"/>
    <w:rsid w:val="0085694C"/>
    <w:rsid w:val="008570CD"/>
    <w:rsid w:val="00857BF3"/>
    <w:rsid w:val="0086012F"/>
    <w:rsid w:val="00860178"/>
    <w:rsid w:val="00860A45"/>
    <w:rsid w:val="00861978"/>
    <w:rsid w:val="00861AFD"/>
    <w:rsid w:val="00863DB7"/>
    <w:rsid w:val="00863FB9"/>
    <w:rsid w:val="00865E62"/>
    <w:rsid w:val="00866495"/>
    <w:rsid w:val="0086712C"/>
    <w:rsid w:val="00867F1E"/>
    <w:rsid w:val="0087221E"/>
    <w:rsid w:val="0087275C"/>
    <w:rsid w:val="00873716"/>
    <w:rsid w:val="008755D6"/>
    <w:rsid w:val="00877732"/>
    <w:rsid w:val="008805BC"/>
    <w:rsid w:val="00881A7F"/>
    <w:rsid w:val="00882E1A"/>
    <w:rsid w:val="00882F93"/>
    <w:rsid w:val="008833D8"/>
    <w:rsid w:val="00883472"/>
    <w:rsid w:val="00884071"/>
    <w:rsid w:val="008851A3"/>
    <w:rsid w:val="0088545D"/>
    <w:rsid w:val="00887FE2"/>
    <w:rsid w:val="008900FD"/>
    <w:rsid w:val="00890B36"/>
    <w:rsid w:val="00890B4A"/>
    <w:rsid w:val="00894E66"/>
    <w:rsid w:val="00895247"/>
    <w:rsid w:val="00896273"/>
    <w:rsid w:val="00896551"/>
    <w:rsid w:val="00896BC1"/>
    <w:rsid w:val="00897236"/>
    <w:rsid w:val="00897A30"/>
    <w:rsid w:val="00897BEA"/>
    <w:rsid w:val="00897F47"/>
    <w:rsid w:val="008A0555"/>
    <w:rsid w:val="008A149E"/>
    <w:rsid w:val="008A1B07"/>
    <w:rsid w:val="008A2A75"/>
    <w:rsid w:val="008A3065"/>
    <w:rsid w:val="008A41E5"/>
    <w:rsid w:val="008A4461"/>
    <w:rsid w:val="008A4A83"/>
    <w:rsid w:val="008A4B5C"/>
    <w:rsid w:val="008A5180"/>
    <w:rsid w:val="008A6D8F"/>
    <w:rsid w:val="008B3A14"/>
    <w:rsid w:val="008B3B7F"/>
    <w:rsid w:val="008B44E1"/>
    <w:rsid w:val="008B47C3"/>
    <w:rsid w:val="008B6E46"/>
    <w:rsid w:val="008B7EE3"/>
    <w:rsid w:val="008C2DDC"/>
    <w:rsid w:val="008C53C7"/>
    <w:rsid w:val="008D03C2"/>
    <w:rsid w:val="008D047B"/>
    <w:rsid w:val="008D06B9"/>
    <w:rsid w:val="008D1AF2"/>
    <w:rsid w:val="008D1F97"/>
    <w:rsid w:val="008D2862"/>
    <w:rsid w:val="008D2BE6"/>
    <w:rsid w:val="008D3603"/>
    <w:rsid w:val="008D391F"/>
    <w:rsid w:val="008D41A6"/>
    <w:rsid w:val="008D4382"/>
    <w:rsid w:val="008D530A"/>
    <w:rsid w:val="008D7B1C"/>
    <w:rsid w:val="008D7C6F"/>
    <w:rsid w:val="008E0120"/>
    <w:rsid w:val="008E074C"/>
    <w:rsid w:val="008E1C98"/>
    <w:rsid w:val="008E26CA"/>
    <w:rsid w:val="008E5C81"/>
    <w:rsid w:val="008E6B3A"/>
    <w:rsid w:val="008F0FCA"/>
    <w:rsid w:val="008F1F1D"/>
    <w:rsid w:val="008F262F"/>
    <w:rsid w:val="008F38FB"/>
    <w:rsid w:val="008F3FF1"/>
    <w:rsid w:val="008F5118"/>
    <w:rsid w:val="008F71D4"/>
    <w:rsid w:val="008F7668"/>
    <w:rsid w:val="008F7E6C"/>
    <w:rsid w:val="009018D7"/>
    <w:rsid w:val="009028F9"/>
    <w:rsid w:val="00903A56"/>
    <w:rsid w:val="009044BF"/>
    <w:rsid w:val="00905C93"/>
    <w:rsid w:val="00907B88"/>
    <w:rsid w:val="009104CB"/>
    <w:rsid w:val="00910E44"/>
    <w:rsid w:val="0091227F"/>
    <w:rsid w:val="00912E75"/>
    <w:rsid w:val="009141E2"/>
    <w:rsid w:val="00914917"/>
    <w:rsid w:val="0091527C"/>
    <w:rsid w:val="0091527F"/>
    <w:rsid w:val="00916D45"/>
    <w:rsid w:val="00917D07"/>
    <w:rsid w:val="009205F4"/>
    <w:rsid w:val="009232D6"/>
    <w:rsid w:val="009271AB"/>
    <w:rsid w:val="0093103B"/>
    <w:rsid w:val="0093128A"/>
    <w:rsid w:val="00932EA8"/>
    <w:rsid w:val="009338A7"/>
    <w:rsid w:val="00933F00"/>
    <w:rsid w:val="009359C7"/>
    <w:rsid w:val="0093669D"/>
    <w:rsid w:val="00936897"/>
    <w:rsid w:val="00937CAD"/>
    <w:rsid w:val="00940391"/>
    <w:rsid w:val="00940745"/>
    <w:rsid w:val="00940A78"/>
    <w:rsid w:val="0094113A"/>
    <w:rsid w:val="00941C21"/>
    <w:rsid w:val="009464F3"/>
    <w:rsid w:val="00946C48"/>
    <w:rsid w:val="00950175"/>
    <w:rsid w:val="009520C0"/>
    <w:rsid w:val="009537ED"/>
    <w:rsid w:val="00953EEA"/>
    <w:rsid w:val="00954423"/>
    <w:rsid w:val="00955AFF"/>
    <w:rsid w:val="00955F51"/>
    <w:rsid w:val="00962F54"/>
    <w:rsid w:val="009637BE"/>
    <w:rsid w:val="00966CB8"/>
    <w:rsid w:val="0097190F"/>
    <w:rsid w:val="00971AB1"/>
    <w:rsid w:val="00972309"/>
    <w:rsid w:val="00973216"/>
    <w:rsid w:val="00975065"/>
    <w:rsid w:val="009751DB"/>
    <w:rsid w:val="009759CA"/>
    <w:rsid w:val="00976CFC"/>
    <w:rsid w:val="00980BCA"/>
    <w:rsid w:val="009853FE"/>
    <w:rsid w:val="00985C4B"/>
    <w:rsid w:val="00985D70"/>
    <w:rsid w:val="009860AF"/>
    <w:rsid w:val="00986F0B"/>
    <w:rsid w:val="00987C0A"/>
    <w:rsid w:val="00990705"/>
    <w:rsid w:val="009921E1"/>
    <w:rsid w:val="00992DFD"/>
    <w:rsid w:val="0099312E"/>
    <w:rsid w:val="009950C3"/>
    <w:rsid w:val="00997244"/>
    <w:rsid w:val="00997575"/>
    <w:rsid w:val="009A1AD4"/>
    <w:rsid w:val="009A2E97"/>
    <w:rsid w:val="009A3179"/>
    <w:rsid w:val="009A3E6D"/>
    <w:rsid w:val="009A6416"/>
    <w:rsid w:val="009B010D"/>
    <w:rsid w:val="009B0B5B"/>
    <w:rsid w:val="009B0D6C"/>
    <w:rsid w:val="009B35CD"/>
    <w:rsid w:val="009B5537"/>
    <w:rsid w:val="009C005D"/>
    <w:rsid w:val="009C17F5"/>
    <w:rsid w:val="009C30E2"/>
    <w:rsid w:val="009C3BF5"/>
    <w:rsid w:val="009C3F06"/>
    <w:rsid w:val="009C4CD6"/>
    <w:rsid w:val="009C596E"/>
    <w:rsid w:val="009C5E89"/>
    <w:rsid w:val="009C653C"/>
    <w:rsid w:val="009C6606"/>
    <w:rsid w:val="009C6F40"/>
    <w:rsid w:val="009D13D1"/>
    <w:rsid w:val="009D14AC"/>
    <w:rsid w:val="009D3E57"/>
    <w:rsid w:val="009D4B5A"/>
    <w:rsid w:val="009D595F"/>
    <w:rsid w:val="009D609F"/>
    <w:rsid w:val="009D65C4"/>
    <w:rsid w:val="009E142F"/>
    <w:rsid w:val="009E15B9"/>
    <w:rsid w:val="009E1A54"/>
    <w:rsid w:val="009E1C9C"/>
    <w:rsid w:val="009E2877"/>
    <w:rsid w:val="009E5AB0"/>
    <w:rsid w:val="009E670E"/>
    <w:rsid w:val="009E7152"/>
    <w:rsid w:val="009F10F6"/>
    <w:rsid w:val="009F1581"/>
    <w:rsid w:val="009F324B"/>
    <w:rsid w:val="009F364F"/>
    <w:rsid w:val="009F4BCE"/>
    <w:rsid w:val="009F73E7"/>
    <w:rsid w:val="009F77DC"/>
    <w:rsid w:val="009F7873"/>
    <w:rsid w:val="00A00A7E"/>
    <w:rsid w:val="00A00C56"/>
    <w:rsid w:val="00A026E7"/>
    <w:rsid w:val="00A03461"/>
    <w:rsid w:val="00A03CD7"/>
    <w:rsid w:val="00A06C78"/>
    <w:rsid w:val="00A20597"/>
    <w:rsid w:val="00A2094F"/>
    <w:rsid w:val="00A20989"/>
    <w:rsid w:val="00A20AFC"/>
    <w:rsid w:val="00A217D9"/>
    <w:rsid w:val="00A21DE9"/>
    <w:rsid w:val="00A22A35"/>
    <w:rsid w:val="00A24ED4"/>
    <w:rsid w:val="00A25064"/>
    <w:rsid w:val="00A254B6"/>
    <w:rsid w:val="00A25C77"/>
    <w:rsid w:val="00A279F8"/>
    <w:rsid w:val="00A31F0F"/>
    <w:rsid w:val="00A323CC"/>
    <w:rsid w:val="00A32DD0"/>
    <w:rsid w:val="00A33749"/>
    <w:rsid w:val="00A36070"/>
    <w:rsid w:val="00A36195"/>
    <w:rsid w:val="00A37B17"/>
    <w:rsid w:val="00A44E5C"/>
    <w:rsid w:val="00A456E4"/>
    <w:rsid w:val="00A458F8"/>
    <w:rsid w:val="00A5065D"/>
    <w:rsid w:val="00A53B9E"/>
    <w:rsid w:val="00A53E83"/>
    <w:rsid w:val="00A55015"/>
    <w:rsid w:val="00A56257"/>
    <w:rsid w:val="00A577E7"/>
    <w:rsid w:val="00A57CA1"/>
    <w:rsid w:val="00A60A63"/>
    <w:rsid w:val="00A61523"/>
    <w:rsid w:val="00A61D95"/>
    <w:rsid w:val="00A61EFE"/>
    <w:rsid w:val="00A62425"/>
    <w:rsid w:val="00A62837"/>
    <w:rsid w:val="00A63B15"/>
    <w:rsid w:val="00A6556B"/>
    <w:rsid w:val="00A65AAF"/>
    <w:rsid w:val="00A65FBA"/>
    <w:rsid w:val="00A66028"/>
    <w:rsid w:val="00A66B09"/>
    <w:rsid w:val="00A67DE7"/>
    <w:rsid w:val="00A70CE1"/>
    <w:rsid w:val="00A70F72"/>
    <w:rsid w:val="00A71F62"/>
    <w:rsid w:val="00A7329F"/>
    <w:rsid w:val="00A73953"/>
    <w:rsid w:val="00A73A51"/>
    <w:rsid w:val="00A73DD9"/>
    <w:rsid w:val="00A73E94"/>
    <w:rsid w:val="00A75BD4"/>
    <w:rsid w:val="00A8045A"/>
    <w:rsid w:val="00A804EA"/>
    <w:rsid w:val="00A80744"/>
    <w:rsid w:val="00A8429F"/>
    <w:rsid w:val="00A85F8D"/>
    <w:rsid w:val="00A905BD"/>
    <w:rsid w:val="00A919ED"/>
    <w:rsid w:val="00A93506"/>
    <w:rsid w:val="00A944FB"/>
    <w:rsid w:val="00A95000"/>
    <w:rsid w:val="00A9617B"/>
    <w:rsid w:val="00A96BD8"/>
    <w:rsid w:val="00A96F3D"/>
    <w:rsid w:val="00A9774C"/>
    <w:rsid w:val="00AA15FF"/>
    <w:rsid w:val="00AA2874"/>
    <w:rsid w:val="00AA3002"/>
    <w:rsid w:val="00AA352A"/>
    <w:rsid w:val="00AB038B"/>
    <w:rsid w:val="00AB0935"/>
    <w:rsid w:val="00AB0CE9"/>
    <w:rsid w:val="00AB118D"/>
    <w:rsid w:val="00AB49B5"/>
    <w:rsid w:val="00AB4D19"/>
    <w:rsid w:val="00AB4EDC"/>
    <w:rsid w:val="00AB5C08"/>
    <w:rsid w:val="00AB5E8A"/>
    <w:rsid w:val="00AB6228"/>
    <w:rsid w:val="00AB6972"/>
    <w:rsid w:val="00AB6F9C"/>
    <w:rsid w:val="00AB7664"/>
    <w:rsid w:val="00AC03D3"/>
    <w:rsid w:val="00AC149C"/>
    <w:rsid w:val="00AC53D3"/>
    <w:rsid w:val="00AD061B"/>
    <w:rsid w:val="00AD3BEF"/>
    <w:rsid w:val="00AD3DA7"/>
    <w:rsid w:val="00AD3E9B"/>
    <w:rsid w:val="00AD5936"/>
    <w:rsid w:val="00AD5A2E"/>
    <w:rsid w:val="00AD70EE"/>
    <w:rsid w:val="00AD7984"/>
    <w:rsid w:val="00AE064A"/>
    <w:rsid w:val="00AE125F"/>
    <w:rsid w:val="00AE1B7B"/>
    <w:rsid w:val="00AE1E36"/>
    <w:rsid w:val="00AE3363"/>
    <w:rsid w:val="00AE568D"/>
    <w:rsid w:val="00AE6CB9"/>
    <w:rsid w:val="00AF04EA"/>
    <w:rsid w:val="00AF4180"/>
    <w:rsid w:val="00AF4A0E"/>
    <w:rsid w:val="00AF6930"/>
    <w:rsid w:val="00AF6A10"/>
    <w:rsid w:val="00AF6B2B"/>
    <w:rsid w:val="00B005D3"/>
    <w:rsid w:val="00B00E0D"/>
    <w:rsid w:val="00B00EC1"/>
    <w:rsid w:val="00B01EF4"/>
    <w:rsid w:val="00B01FAB"/>
    <w:rsid w:val="00B02F8D"/>
    <w:rsid w:val="00B039DF"/>
    <w:rsid w:val="00B03DDB"/>
    <w:rsid w:val="00B04367"/>
    <w:rsid w:val="00B04C40"/>
    <w:rsid w:val="00B04C68"/>
    <w:rsid w:val="00B05E56"/>
    <w:rsid w:val="00B06320"/>
    <w:rsid w:val="00B07EA3"/>
    <w:rsid w:val="00B108D0"/>
    <w:rsid w:val="00B10984"/>
    <w:rsid w:val="00B121A5"/>
    <w:rsid w:val="00B12419"/>
    <w:rsid w:val="00B133E5"/>
    <w:rsid w:val="00B137DD"/>
    <w:rsid w:val="00B158A8"/>
    <w:rsid w:val="00B17616"/>
    <w:rsid w:val="00B17AE2"/>
    <w:rsid w:val="00B17B06"/>
    <w:rsid w:val="00B17BF8"/>
    <w:rsid w:val="00B212A0"/>
    <w:rsid w:val="00B21CD0"/>
    <w:rsid w:val="00B227D9"/>
    <w:rsid w:val="00B24456"/>
    <w:rsid w:val="00B272B0"/>
    <w:rsid w:val="00B2796C"/>
    <w:rsid w:val="00B30256"/>
    <w:rsid w:val="00B309E3"/>
    <w:rsid w:val="00B339FE"/>
    <w:rsid w:val="00B34839"/>
    <w:rsid w:val="00B35ACA"/>
    <w:rsid w:val="00B36DE7"/>
    <w:rsid w:val="00B370CC"/>
    <w:rsid w:val="00B37112"/>
    <w:rsid w:val="00B37E2B"/>
    <w:rsid w:val="00B41AF3"/>
    <w:rsid w:val="00B42BA7"/>
    <w:rsid w:val="00B42D6E"/>
    <w:rsid w:val="00B4629F"/>
    <w:rsid w:val="00B468E9"/>
    <w:rsid w:val="00B477A8"/>
    <w:rsid w:val="00B503E0"/>
    <w:rsid w:val="00B5074E"/>
    <w:rsid w:val="00B50912"/>
    <w:rsid w:val="00B5156F"/>
    <w:rsid w:val="00B54E5D"/>
    <w:rsid w:val="00B56528"/>
    <w:rsid w:val="00B5653B"/>
    <w:rsid w:val="00B571D5"/>
    <w:rsid w:val="00B577EA"/>
    <w:rsid w:val="00B6607D"/>
    <w:rsid w:val="00B674D2"/>
    <w:rsid w:val="00B6767D"/>
    <w:rsid w:val="00B67699"/>
    <w:rsid w:val="00B70049"/>
    <w:rsid w:val="00B70A22"/>
    <w:rsid w:val="00B70DD5"/>
    <w:rsid w:val="00B712EB"/>
    <w:rsid w:val="00B71E62"/>
    <w:rsid w:val="00B73387"/>
    <w:rsid w:val="00B73E28"/>
    <w:rsid w:val="00B73F45"/>
    <w:rsid w:val="00B74E4F"/>
    <w:rsid w:val="00B75A6C"/>
    <w:rsid w:val="00B75E9C"/>
    <w:rsid w:val="00B76EAE"/>
    <w:rsid w:val="00B770B7"/>
    <w:rsid w:val="00B8129C"/>
    <w:rsid w:val="00B822BD"/>
    <w:rsid w:val="00B82E2E"/>
    <w:rsid w:val="00B82FF5"/>
    <w:rsid w:val="00B837C5"/>
    <w:rsid w:val="00B83E25"/>
    <w:rsid w:val="00B86893"/>
    <w:rsid w:val="00B87477"/>
    <w:rsid w:val="00B91F48"/>
    <w:rsid w:val="00B928A0"/>
    <w:rsid w:val="00B930FC"/>
    <w:rsid w:val="00B94026"/>
    <w:rsid w:val="00B945EB"/>
    <w:rsid w:val="00B94CFF"/>
    <w:rsid w:val="00B94D40"/>
    <w:rsid w:val="00B9674B"/>
    <w:rsid w:val="00B96C71"/>
    <w:rsid w:val="00B97A76"/>
    <w:rsid w:val="00B97AFF"/>
    <w:rsid w:val="00BA11CF"/>
    <w:rsid w:val="00BA244E"/>
    <w:rsid w:val="00BA3430"/>
    <w:rsid w:val="00BA39BA"/>
    <w:rsid w:val="00BA3FFC"/>
    <w:rsid w:val="00BA5250"/>
    <w:rsid w:val="00BA73F6"/>
    <w:rsid w:val="00BB1107"/>
    <w:rsid w:val="00BB2F88"/>
    <w:rsid w:val="00BB331D"/>
    <w:rsid w:val="00BB5F13"/>
    <w:rsid w:val="00BB5F55"/>
    <w:rsid w:val="00BC011C"/>
    <w:rsid w:val="00BC157D"/>
    <w:rsid w:val="00BC20F1"/>
    <w:rsid w:val="00BC27EB"/>
    <w:rsid w:val="00BC372F"/>
    <w:rsid w:val="00BC7157"/>
    <w:rsid w:val="00BC72BD"/>
    <w:rsid w:val="00BC7468"/>
    <w:rsid w:val="00BD00BF"/>
    <w:rsid w:val="00BD04A0"/>
    <w:rsid w:val="00BD06A2"/>
    <w:rsid w:val="00BD37B6"/>
    <w:rsid w:val="00BD4C14"/>
    <w:rsid w:val="00BD50B5"/>
    <w:rsid w:val="00BD5C53"/>
    <w:rsid w:val="00BD7E3D"/>
    <w:rsid w:val="00BE07BB"/>
    <w:rsid w:val="00BE114B"/>
    <w:rsid w:val="00BE16B8"/>
    <w:rsid w:val="00BE4EF6"/>
    <w:rsid w:val="00BE767D"/>
    <w:rsid w:val="00BE7A12"/>
    <w:rsid w:val="00BF07D3"/>
    <w:rsid w:val="00BF18DB"/>
    <w:rsid w:val="00BF2D5F"/>
    <w:rsid w:val="00BF575C"/>
    <w:rsid w:val="00BF6F16"/>
    <w:rsid w:val="00BF7136"/>
    <w:rsid w:val="00C00249"/>
    <w:rsid w:val="00C0130B"/>
    <w:rsid w:val="00C0191E"/>
    <w:rsid w:val="00C03F65"/>
    <w:rsid w:val="00C0430C"/>
    <w:rsid w:val="00C0465D"/>
    <w:rsid w:val="00C0578E"/>
    <w:rsid w:val="00C0605F"/>
    <w:rsid w:val="00C063CB"/>
    <w:rsid w:val="00C074C7"/>
    <w:rsid w:val="00C10CD9"/>
    <w:rsid w:val="00C10CE3"/>
    <w:rsid w:val="00C12146"/>
    <w:rsid w:val="00C12364"/>
    <w:rsid w:val="00C124E8"/>
    <w:rsid w:val="00C125A6"/>
    <w:rsid w:val="00C1457B"/>
    <w:rsid w:val="00C14EE7"/>
    <w:rsid w:val="00C154BB"/>
    <w:rsid w:val="00C22D88"/>
    <w:rsid w:val="00C24471"/>
    <w:rsid w:val="00C25B37"/>
    <w:rsid w:val="00C2674B"/>
    <w:rsid w:val="00C26913"/>
    <w:rsid w:val="00C30380"/>
    <w:rsid w:val="00C30A50"/>
    <w:rsid w:val="00C313DF"/>
    <w:rsid w:val="00C3423D"/>
    <w:rsid w:val="00C34802"/>
    <w:rsid w:val="00C36B8B"/>
    <w:rsid w:val="00C3763A"/>
    <w:rsid w:val="00C41D9D"/>
    <w:rsid w:val="00C42D9A"/>
    <w:rsid w:val="00C42E6B"/>
    <w:rsid w:val="00C450C6"/>
    <w:rsid w:val="00C45A3D"/>
    <w:rsid w:val="00C45D02"/>
    <w:rsid w:val="00C46263"/>
    <w:rsid w:val="00C46D57"/>
    <w:rsid w:val="00C509DF"/>
    <w:rsid w:val="00C558A6"/>
    <w:rsid w:val="00C56275"/>
    <w:rsid w:val="00C569FF"/>
    <w:rsid w:val="00C57694"/>
    <w:rsid w:val="00C627DB"/>
    <w:rsid w:val="00C65EB9"/>
    <w:rsid w:val="00C6667E"/>
    <w:rsid w:val="00C66C71"/>
    <w:rsid w:val="00C67B02"/>
    <w:rsid w:val="00C70F24"/>
    <w:rsid w:val="00C71118"/>
    <w:rsid w:val="00C712E3"/>
    <w:rsid w:val="00C72E40"/>
    <w:rsid w:val="00C72F85"/>
    <w:rsid w:val="00C73589"/>
    <w:rsid w:val="00C7538B"/>
    <w:rsid w:val="00C76359"/>
    <w:rsid w:val="00C777FD"/>
    <w:rsid w:val="00C77E44"/>
    <w:rsid w:val="00C814A2"/>
    <w:rsid w:val="00C83F65"/>
    <w:rsid w:val="00C85418"/>
    <w:rsid w:val="00C861A9"/>
    <w:rsid w:val="00C86718"/>
    <w:rsid w:val="00C873E5"/>
    <w:rsid w:val="00C901D9"/>
    <w:rsid w:val="00C90526"/>
    <w:rsid w:val="00C92B31"/>
    <w:rsid w:val="00C92DF3"/>
    <w:rsid w:val="00C93DD9"/>
    <w:rsid w:val="00C955A6"/>
    <w:rsid w:val="00C9577C"/>
    <w:rsid w:val="00C95A25"/>
    <w:rsid w:val="00C95B7D"/>
    <w:rsid w:val="00C95F84"/>
    <w:rsid w:val="00CA1955"/>
    <w:rsid w:val="00CA3589"/>
    <w:rsid w:val="00CA3B0F"/>
    <w:rsid w:val="00CA4FE7"/>
    <w:rsid w:val="00CA65E8"/>
    <w:rsid w:val="00CA6F27"/>
    <w:rsid w:val="00CB05AE"/>
    <w:rsid w:val="00CB148D"/>
    <w:rsid w:val="00CB1845"/>
    <w:rsid w:val="00CB2765"/>
    <w:rsid w:val="00CB2A78"/>
    <w:rsid w:val="00CB422D"/>
    <w:rsid w:val="00CB4695"/>
    <w:rsid w:val="00CB5B83"/>
    <w:rsid w:val="00CB6C89"/>
    <w:rsid w:val="00CB7486"/>
    <w:rsid w:val="00CB7948"/>
    <w:rsid w:val="00CC106E"/>
    <w:rsid w:val="00CC11FA"/>
    <w:rsid w:val="00CC1683"/>
    <w:rsid w:val="00CC1797"/>
    <w:rsid w:val="00CC24E9"/>
    <w:rsid w:val="00CC2E82"/>
    <w:rsid w:val="00CC33F1"/>
    <w:rsid w:val="00CC4206"/>
    <w:rsid w:val="00CC7AC7"/>
    <w:rsid w:val="00CD0403"/>
    <w:rsid w:val="00CD0670"/>
    <w:rsid w:val="00CD3579"/>
    <w:rsid w:val="00CD378D"/>
    <w:rsid w:val="00CD405A"/>
    <w:rsid w:val="00CD4ABD"/>
    <w:rsid w:val="00CD561E"/>
    <w:rsid w:val="00CD5A91"/>
    <w:rsid w:val="00CD7443"/>
    <w:rsid w:val="00CE29D9"/>
    <w:rsid w:val="00CE439B"/>
    <w:rsid w:val="00CE4C8B"/>
    <w:rsid w:val="00CE5A40"/>
    <w:rsid w:val="00CE7301"/>
    <w:rsid w:val="00CE76C1"/>
    <w:rsid w:val="00CF01C0"/>
    <w:rsid w:val="00CF07A0"/>
    <w:rsid w:val="00CF0D0D"/>
    <w:rsid w:val="00CF182B"/>
    <w:rsid w:val="00CF22FC"/>
    <w:rsid w:val="00CF2E3D"/>
    <w:rsid w:val="00CF4317"/>
    <w:rsid w:val="00CF4E8D"/>
    <w:rsid w:val="00CF6557"/>
    <w:rsid w:val="00CF6FDC"/>
    <w:rsid w:val="00D02BFC"/>
    <w:rsid w:val="00D033AA"/>
    <w:rsid w:val="00D0435B"/>
    <w:rsid w:val="00D04D04"/>
    <w:rsid w:val="00D06CC4"/>
    <w:rsid w:val="00D0736D"/>
    <w:rsid w:val="00D117A6"/>
    <w:rsid w:val="00D12161"/>
    <w:rsid w:val="00D13EA7"/>
    <w:rsid w:val="00D14DA4"/>
    <w:rsid w:val="00D14DAB"/>
    <w:rsid w:val="00D17F2A"/>
    <w:rsid w:val="00D215FA"/>
    <w:rsid w:val="00D21AD2"/>
    <w:rsid w:val="00D2504E"/>
    <w:rsid w:val="00D26EA6"/>
    <w:rsid w:val="00D325BA"/>
    <w:rsid w:val="00D32743"/>
    <w:rsid w:val="00D34A65"/>
    <w:rsid w:val="00D35140"/>
    <w:rsid w:val="00D35571"/>
    <w:rsid w:val="00D357D9"/>
    <w:rsid w:val="00D35950"/>
    <w:rsid w:val="00D35B13"/>
    <w:rsid w:val="00D36AC3"/>
    <w:rsid w:val="00D36CFC"/>
    <w:rsid w:val="00D3781F"/>
    <w:rsid w:val="00D4023E"/>
    <w:rsid w:val="00D41D1A"/>
    <w:rsid w:val="00D43FF0"/>
    <w:rsid w:val="00D457BB"/>
    <w:rsid w:val="00D46C37"/>
    <w:rsid w:val="00D50CEC"/>
    <w:rsid w:val="00D512C9"/>
    <w:rsid w:val="00D530A4"/>
    <w:rsid w:val="00D57267"/>
    <w:rsid w:val="00D6083B"/>
    <w:rsid w:val="00D63064"/>
    <w:rsid w:val="00D6320B"/>
    <w:rsid w:val="00D644D7"/>
    <w:rsid w:val="00D64BC8"/>
    <w:rsid w:val="00D669A2"/>
    <w:rsid w:val="00D6728F"/>
    <w:rsid w:val="00D67371"/>
    <w:rsid w:val="00D67CC0"/>
    <w:rsid w:val="00D70958"/>
    <w:rsid w:val="00D71BD7"/>
    <w:rsid w:val="00D72AF2"/>
    <w:rsid w:val="00D737C0"/>
    <w:rsid w:val="00D73E8C"/>
    <w:rsid w:val="00D7475B"/>
    <w:rsid w:val="00D754AE"/>
    <w:rsid w:val="00D75FB5"/>
    <w:rsid w:val="00D77573"/>
    <w:rsid w:val="00D77F37"/>
    <w:rsid w:val="00D803D6"/>
    <w:rsid w:val="00D805CC"/>
    <w:rsid w:val="00D8097B"/>
    <w:rsid w:val="00D819D8"/>
    <w:rsid w:val="00D82C05"/>
    <w:rsid w:val="00D83533"/>
    <w:rsid w:val="00D86CAB"/>
    <w:rsid w:val="00D873DC"/>
    <w:rsid w:val="00D906AB"/>
    <w:rsid w:val="00D925D2"/>
    <w:rsid w:val="00D92D07"/>
    <w:rsid w:val="00D92DA1"/>
    <w:rsid w:val="00D92E61"/>
    <w:rsid w:val="00D9330A"/>
    <w:rsid w:val="00D9489B"/>
    <w:rsid w:val="00D94EA4"/>
    <w:rsid w:val="00D96689"/>
    <w:rsid w:val="00DA183A"/>
    <w:rsid w:val="00DA2C08"/>
    <w:rsid w:val="00DA3773"/>
    <w:rsid w:val="00DA3A76"/>
    <w:rsid w:val="00DA613E"/>
    <w:rsid w:val="00DB064E"/>
    <w:rsid w:val="00DB2867"/>
    <w:rsid w:val="00DB2E38"/>
    <w:rsid w:val="00DB3930"/>
    <w:rsid w:val="00DB44A5"/>
    <w:rsid w:val="00DB5442"/>
    <w:rsid w:val="00DB6B31"/>
    <w:rsid w:val="00DB730C"/>
    <w:rsid w:val="00DB7B7D"/>
    <w:rsid w:val="00DC1850"/>
    <w:rsid w:val="00DC6A95"/>
    <w:rsid w:val="00DC720A"/>
    <w:rsid w:val="00DC7F8F"/>
    <w:rsid w:val="00DD1AD4"/>
    <w:rsid w:val="00DD1EB9"/>
    <w:rsid w:val="00DD4A61"/>
    <w:rsid w:val="00DD5CD2"/>
    <w:rsid w:val="00DD5FC5"/>
    <w:rsid w:val="00DD693F"/>
    <w:rsid w:val="00DD6A52"/>
    <w:rsid w:val="00DE0C91"/>
    <w:rsid w:val="00DE3148"/>
    <w:rsid w:val="00DE3E22"/>
    <w:rsid w:val="00DE4F86"/>
    <w:rsid w:val="00DF1D2F"/>
    <w:rsid w:val="00DF274C"/>
    <w:rsid w:val="00DF4090"/>
    <w:rsid w:val="00DF4D29"/>
    <w:rsid w:val="00DF6505"/>
    <w:rsid w:val="00E00ACC"/>
    <w:rsid w:val="00E02D46"/>
    <w:rsid w:val="00E062F1"/>
    <w:rsid w:val="00E071A5"/>
    <w:rsid w:val="00E0724F"/>
    <w:rsid w:val="00E12DBC"/>
    <w:rsid w:val="00E132AB"/>
    <w:rsid w:val="00E15463"/>
    <w:rsid w:val="00E15D38"/>
    <w:rsid w:val="00E161E3"/>
    <w:rsid w:val="00E16BBD"/>
    <w:rsid w:val="00E1793F"/>
    <w:rsid w:val="00E17E74"/>
    <w:rsid w:val="00E2098A"/>
    <w:rsid w:val="00E20A72"/>
    <w:rsid w:val="00E21DC6"/>
    <w:rsid w:val="00E23EEB"/>
    <w:rsid w:val="00E259B9"/>
    <w:rsid w:val="00E25AC7"/>
    <w:rsid w:val="00E25B8B"/>
    <w:rsid w:val="00E2617F"/>
    <w:rsid w:val="00E26D03"/>
    <w:rsid w:val="00E30024"/>
    <w:rsid w:val="00E3101B"/>
    <w:rsid w:val="00E3604D"/>
    <w:rsid w:val="00E36084"/>
    <w:rsid w:val="00E42ABA"/>
    <w:rsid w:val="00E43445"/>
    <w:rsid w:val="00E50B6E"/>
    <w:rsid w:val="00E50C00"/>
    <w:rsid w:val="00E51B73"/>
    <w:rsid w:val="00E53E47"/>
    <w:rsid w:val="00E55288"/>
    <w:rsid w:val="00E55C98"/>
    <w:rsid w:val="00E56237"/>
    <w:rsid w:val="00E563EF"/>
    <w:rsid w:val="00E56CF6"/>
    <w:rsid w:val="00E578A3"/>
    <w:rsid w:val="00E57CDC"/>
    <w:rsid w:val="00E61533"/>
    <w:rsid w:val="00E632BF"/>
    <w:rsid w:val="00E6433C"/>
    <w:rsid w:val="00E65A69"/>
    <w:rsid w:val="00E6667B"/>
    <w:rsid w:val="00E67059"/>
    <w:rsid w:val="00E70471"/>
    <w:rsid w:val="00E7084A"/>
    <w:rsid w:val="00E71B30"/>
    <w:rsid w:val="00E723D4"/>
    <w:rsid w:val="00E72738"/>
    <w:rsid w:val="00E74EC4"/>
    <w:rsid w:val="00E7655A"/>
    <w:rsid w:val="00E77646"/>
    <w:rsid w:val="00E77AEB"/>
    <w:rsid w:val="00E77B58"/>
    <w:rsid w:val="00E82592"/>
    <w:rsid w:val="00E83CB9"/>
    <w:rsid w:val="00E83E3A"/>
    <w:rsid w:val="00E8463F"/>
    <w:rsid w:val="00E84D81"/>
    <w:rsid w:val="00E85597"/>
    <w:rsid w:val="00E8587C"/>
    <w:rsid w:val="00E85DF8"/>
    <w:rsid w:val="00E85E0A"/>
    <w:rsid w:val="00E86F38"/>
    <w:rsid w:val="00E87060"/>
    <w:rsid w:val="00E87FA5"/>
    <w:rsid w:val="00E90FCC"/>
    <w:rsid w:val="00E91373"/>
    <w:rsid w:val="00E91561"/>
    <w:rsid w:val="00E9165F"/>
    <w:rsid w:val="00E95849"/>
    <w:rsid w:val="00E96A2C"/>
    <w:rsid w:val="00E96EFB"/>
    <w:rsid w:val="00EA0439"/>
    <w:rsid w:val="00EA092D"/>
    <w:rsid w:val="00EA22D5"/>
    <w:rsid w:val="00EA2F37"/>
    <w:rsid w:val="00EA37F7"/>
    <w:rsid w:val="00EA5236"/>
    <w:rsid w:val="00EB1B02"/>
    <w:rsid w:val="00EB1CD2"/>
    <w:rsid w:val="00EB23FE"/>
    <w:rsid w:val="00EB6DCF"/>
    <w:rsid w:val="00EB7B10"/>
    <w:rsid w:val="00EB7FE3"/>
    <w:rsid w:val="00EC00C9"/>
    <w:rsid w:val="00EC1FDE"/>
    <w:rsid w:val="00EC2176"/>
    <w:rsid w:val="00EC3147"/>
    <w:rsid w:val="00EC353E"/>
    <w:rsid w:val="00EC6635"/>
    <w:rsid w:val="00ED08C3"/>
    <w:rsid w:val="00ED0CFD"/>
    <w:rsid w:val="00ED5EF0"/>
    <w:rsid w:val="00EE0BA8"/>
    <w:rsid w:val="00EE16BD"/>
    <w:rsid w:val="00EE1AE2"/>
    <w:rsid w:val="00EE219A"/>
    <w:rsid w:val="00EE3BAA"/>
    <w:rsid w:val="00EE5D9B"/>
    <w:rsid w:val="00EF15EE"/>
    <w:rsid w:val="00EF1F90"/>
    <w:rsid w:val="00EF21A7"/>
    <w:rsid w:val="00EF257D"/>
    <w:rsid w:val="00EF2EB1"/>
    <w:rsid w:val="00EF4DB2"/>
    <w:rsid w:val="00EF5DE3"/>
    <w:rsid w:val="00EF6E2D"/>
    <w:rsid w:val="00EF7611"/>
    <w:rsid w:val="00F011A2"/>
    <w:rsid w:val="00F020CB"/>
    <w:rsid w:val="00F02931"/>
    <w:rsid w:val="00F033E6"/>
    <w:rsid w:val="00F03E18"/>
    <w:rsid w:val="00F04FE7"/>
    <w:rsid w:val="00F05028"/>
    <w:rsid w:val="00F055E3"/>
    <w:rsid w:val="00F06CAA"/>
    <w:rsid w:val="00F10DA0"/>
    <w:rsid w:val="00F11EA7"/>
    <w:rsid w:val="00F12391"/>
    <w:rsid w:val="00F12E31"/>
    <w:rsid w:val="00F13278"/>
    <w:rsid w:val="00F13362"/>
    <w:rsid w:val="00F13720"/>
    <w:rsid w:val="00F13850"/>
    <w:rsid w:val="00F13AA4"/>
    <w:rsid w:val="00F13CE9"/>
    <w:rsid w:val="00F13CEE"/>
    <w:rsid w:val="00F1483E"/>
    <w:rsid w:val="00F148B8"/>
    <w:rsid w:val="00F151C9"/>
    <w:rsid w:val="00F15360"/>
    <w:rsid w:val="00F15A4B"/>
    <w:rsid w:val="00F15A9F"/>
    <w:rsid w:val="00F15B2E"/>
    <w:rsid w:val="00F15CA3"/>
    <w:rsid w:val="00F15EC4"/>
    <w:rsid w:val="00F1735E"/>
    <w:rsid w:val="00F239F2"/>
    <w:rsid w:val="00F24235"/>
    <w:rsid w:val="00F24691"/>
    <w:rsid w:val="00F279B3"/>
    <w:rsid w:val="00F312AE"/>
    <w:rsid w:val="00F32CD4"/>
    <w:rsid w:val="00F352D3"/>
    <w:rsid w:val="00F3589D"/>
    <w:rsid w:val="00F364BC"/>
    <w:rsid w:val="00F3669C"/>
    <w:rsid w:val="00F41772"/>
    <w:rsid w:val="00F44674"/>
    <w:rsid w:val="00F45799"/>
    <w:rsid w:val="00F52D96"/>
    <w:rsid w:val="00F545C2"/>
    <w:rsid w:val="00F545FF"/>
    <w:rsid w:val="00F566C8"/>
    <w:rsid w:val="00F606AD"/>
    <w:rsid w:val="00F617A9"/>
    <w:rsid w:val="00F65971"/>
    <w:rsid w:val="00F6764E"/>
    <w:rsid w:val="00F701FC"/>
    <w:rsid w:val="00F7267C"/>
    <w:rsid w:val="00F7417B"/>
    <w:rsid w:val="00F76541"/>
    <w:rsid w:val="00F766E1"/>
    <w:rsid w:val="00F76D90"/>
    <w:rsid w:val="00F800C0"/>
    <w:rsid w:val="00F81FE8"/>
    <w:rsid w:val="00F82076"/>
    <w:rsid w:val="00F845B7"/>
    <w:rsid w:val="00F850B1"/>
    <w:rsid w:val="00F86745"/>
    <w:rsid w:val="00F87C72"/>
    <w:rsid w:val="00F90143"/>
    <w:rsid w:val="00F9074E"/>
    <w:rsid w:val="00F90D26"/>
    <w:rsid w:val="00F9136C"/>
    <w:rsid w:val="00F957D3"/>
    <w:rsid w:val="00F95E18"/>
    <w:rsid w:val="00F96A5A"/>
    <w:rsid w:val="00FA0E57"/>
    <w:rsid w:val="00FA1497"/>
    <w:rsid w:val="00FA1691"/>
    <w:rsid w:val="00FA3767"/>
    <w:rsid w:val="00FA467B"/>
    <w:rsid w:val="00FA4DDA"/>
    <w:rsid w:val="00FA6717"/>
    <w:rsid w:val="00FB0EDC"/>
    <w:rsid w:val="00FB13E8"/>
    <w:rsid w:val="00FB1715"/>
    <w:rsid w:val="00FB2C11"/>
    <w:rsid w:val="00FB3E31"/>
    <w:rsid w:val="00FB7619"/>
    <w:rsid w:val="00FB7694"/>
    <w:rsid w:val="00FB7A41"/>
    <w:rsid w:val="00FC025D"/>
    <w:rsid w:val="00FC09EF"/>
    <w:rsid w:val="00FC2477"/>
    <w:rsid w:val="00FC2942"/>
    <w:rsid w:val="00FC3C03"/>
    <w:rsid w:val="00FC40C1"/>
    <w:rsid w:val="00FC5E93"/>
    <w:rsid w:val="00FD0916"/>
    <w:rsid w:val="00FD0F37"/>
    <w:rsid w:val="00FD14D3"/>
    <w:rsid w:val="00FD1A35"/>
    <w:rsid w:val="00FD34CB"/>
    <w:rsid w:val="00FD5940"/>
    <w:rsid w:val="00FD7264"/>
    <w:rsid w:val="00FD7EEE"/>
    <w:rsid w:val="00FE08C6"/>
    <w:rsid w:val="00FE5186"/>
    <w:rsid w:val="00FE5465"/>
    <w:rsid w:val="00FE6528"/>
    <w:rsid w:val="00FE66BE"/>
    <w:rsid w:val="00FE68B5"/>
    <w:rsid w:val="00FF0697"/>
    <w:rsid w:val="00FF1EF1"/>
    <w:rsid w:val="00FF4394"/>
    <w:rsid w:val="00FF4715"/>
    <w:rsid w:val="00FF622B"/>
    <w:rsid w:val="00FF7A16"/>
    <w:rsid w:val="00FF7A33"/>
    <w:rsid w:val="01356D2C"/>
    <w:rsid w:val="013C06BC"/>
    <w:rsid w:val="013C3C0D"/>
    <w:rsid w:val="01584DA3"/>
    <w:rsid w:val="017E17CD"/>
    <w:rsid w:val="018407F0"/>
    <w:rsid w:val="01A81E8B"/>
    <w:rsid w:val="01CF7782"/>
    <w:rsid w:val="01DB4165"/>
    <w:rsid w:val="01EC2542"/>
    <w:rsid w:val="02186AAE"/>
    <w:rsid w:val="02272022"/>
    <w:rsid w:val="02367C51"/>
    <w:rsid w:val="02684255"/>
    <w:rsid w:val="027606E5"/>
    <w:rsid w:val="02C97590"/>
    <w:rsid w:val="02D955E5"/>
    <w:rsid w:val="02E4026E"/>
    <w:rsid w:val="02ED68C9"/>
    <w:rsid w:val="0313536A"/>
    <w:rsid w:val="032212D6"/>
    <w:rsid w:val="03344A94"/>
    <w:rsid w:val="036D2DAF"/>
    <w:rsid w:val="036D5F9D"/>
    <w:rsid w:val="0377377A"/>
    <w:rsid w:val="037972AE"/>
    <w:rsid w:val="038A2F8A"/>
    <w:rsid w:val="03A21045"/>
    <w:rsid w:val="03CD4E24"/>
    <w:rsid w:val="03D2609A"/>
    <w:rsid w:val="03D33559"/>
    <w:rsid w:val="03D74432"/>
    <w:rsid w:val="03DF15F4"/>
    <w:rsid w:val="04204607"/>
    <w:rsid w:val="0433643D"/>
    <w:rsid w:val="04410753"/>
    <w:rsid w:val="046C7BA9"/>
    <w:rsid w:val="04A25367"/>
    <w:rsid w:val="04A83B58"/>
    <w:rsid w:val="04AB4F9F"/>
    <w:rsid w:val="04C0433E"/>
    <w:rsid w:val="04CB3A39"/>
    <w:rsid w:val="04E11CA6"/>
    <w:rsid w:val="04F41D1D"/>
    <w:rsid w:val="04F506A3"/>
    <w:rsid w:val="05043A0C"/>
    <w:rsid w:val="050724B1"/>
    <w:rsid w:val="050E665F"/>
    <w:rsid w:val="053D1A99"/>
    <w:rsid w:val="055C1D8D"/>
    <w:rsid w:val="0613385E"/>
    <w:rsid w:val="061A6258"/>
    <w:rsid w:val="063969B5"/>
    <w:rsid w:val="066E55CF"/>
    <w:rsid w:val="067538A7"/>
    <w:rsid w:val="068528E5"/>
    <w:rsid w:val="06BF3F2A"/>
    <w:rsid w:val="06D86703"/>
    <w:rsid w:val="06E6018A"/>
    <w:rsid w:val="06EE7673"/>
    <w:rsid w:val="06F73793"/>
    <w:rsid w:val="0716033A"/>
    <w:rsid w:val="071877EC"/>
    <w:rsid w:val="073E1381"/>
    <w:rsid w:val="0755193C"/>
    <w:rsid w:val="078B5EF9"/>
    <w:rsid w:val="07967F77"/>
    <w:rsid w:val="079F5F10"/>
    <w:rsid w:val="081A3F8C"/>
    <w:rsid w:val="08404F36"/>
    <w:rsid w:val="08710AAD"/>
    <w:rsid w:val="08A73DD8"/>
    <w:rsid w:val="08AC112D"/>
    <w:rsid w:val="08AD7EA6"/>
    <w:rsid w:val="08ED6E6B"/>
    <w:rsid w:val="0911242E"/>
    <w:rsid w:val="0919443A"/>
    <w:rsid w:val="09762458"/>
    <w:rsid w:val="09870F67"/>
    <w:rsid w:val="0988000E"/>
    <w:rsid w:val="099159BD"/>
    <w:rsid w:val="09F46196"/>
    <w:rsid w:val="0A2C76C2"/>
    <w:rsid w:val="0A5722BA"/>
    <w:rsid w:val="0A9B46A5"/>
    <w:rsid w:val="0AB37C41"/>
    <w:rsid w:val="0AED769F"/>
    <w:rsid w:val="0B0F38FC"/>
    <w:rsid w:val="0B282BC9"/>
    <w:rsid w:val="0B3E28E6"/>
    <w:rsid w:val="0B561090"/>
    <w:rsid w:val="0B8B11A9"/>
    <w:rsid w:val="0BA51EC4"/>
    <w:rsid w:val="0BC814CA"/>
    <w:rsid w:val="0BD04822"/>
    <w:rsid w:val="0BE67BA2"/>
    <w:rsid w:val="0C011CB0"/>
    <w:rsid w:val="0C2F32F7"/>
    <w:rsid w:val="0C55046C"/>
    <w:rsid w:val="0C617243"/>
    <w:rsid w:val="0C8A3F71"/>
    <w:rsid w:val="0C915EE2"/>
    <w:rsid w:val="0CBE4881"/>
    <w:rsid w:val="0CC55648"/>
    <w:rsid w:val="0CF24064"/>
    <w:rsid w:val="0D585FA2"/>
    <w:rsid w:val="0D70006B"/>
    <w:rsid w:val="0D8E5FAA"/>
    <w:rsid w:val="0D916AF2"/>
    <w:rsid w:val="0D944E08"/>
    <w:rsid w:val="0DCC0900"/>
    <w:rsid w:val="0DF21640"/>
    <w:rsid w:val="0DF50570"/>
    <w:rsid w:val="0E0D4F75"/>
    <w:rsid w:val="0E124C7E"/>
    <w:rsid w:val="0E3058E8"/>
    <w:rsid w:val="0E735BF1"/>
    <w:rsid w:val="0ECE6D95"/>
    <w:rsid w:val="0EE407A6"/>
    <w:rsid w:val="0EF26124"/>
    <w:rsid w:val="0F423341"/>
    <w:rsid w:val="0F4C0301"/>
    <w:rsid w:val="0F62589C"/>
    <w:rsid w:val="0F634BB2"/>
    <w:rsid w:val="0F646F3E"/>
    <w:rsid w:val="0F92449B"/>
    <w:rsid w:val="0F94421F"/>
    <w:rsid w:val="0FAC759E"/>
    <w:rsid w:val="0FB22A18"/>
    <w:rsid w:val="0FB669C1"/>
    <w:rsid w:val="0FC1070A"/>
    <w:rsid w:val="0FCD0313"/>
    <w:rsid w:val="0FE91A0F"/>
    <w:rsid w:val="10154987"/>
    <w:rsid w:val="10275305"/>
    <w:rsid w:val="102D5D9F"/>
    <w:rsid w:val="103510F8"/>
    <w:rsid w:val="104D0512"/>
    <w:rsid w:val="10731050"/>
    <w:rsid w:val="10A2547E"/>
    <w:rsid w:val="10B95885"/>
    <w:rsid w:val="10CA08A3"/>
    <w:rsid w:val="10CD08C5"/>
    <w:rsid w:val="10CE5234"/>
    <w:rsid w:val="10D53823"/>
    <w:rsid w:val="10DF130E"/>
    <w:rsid w:val="11383CF8"/>
    <w:rsid w:val="113B273E"/>
    <w:rsid w:val="113D0264"/>
    <w:rsid w:val="11744968"/>
    <w:rsid w:val="11750720"/>
    <w:rsid w:val="11E157BA"/>
    <w:rsid w:val="12582A56"/>
    <w:rsid w:val="125A52DE"/>
    <w:rsid w:val="128C5D58"/>
    <w:rsid w:val="129E61F5"/>
    <w:rsid w:val="12A04A9D"/>
    <w:rsid w:val="12BE3627"/>
    <w:rsid w:val="12CB578C"/>
    <w:rsid w:val="12DE1ACA"/>
    <w:rsid w:val="12E042D1"/>
    <w:rsid w:val="13370CE3"/>
    <w:rsid w:val="13421B62"/>
    <w:rsid w:val="137325D9"/>
    <w:rsid w:val="137B10C2"/>
    <w:rsid w:val="13936861"/>
    <w:rsid w:val="13B80417"/>
    <w:rsid w:val="140506A5"/>
    <w:rsid w:val="14232015"/>
    <w:rsid w:val="14465682"/>
    <w:rsid w:val="144F5C49"/>
    <w:rsid w:val="14692BD2"/>
    <w:rsid w:val="149755E2"/>
    <w:rsid w:val="14A43135"/>
    <w:rsid w:val="14B051F1"/>
    <w:rsid w:val="14C40088"/>
    <w:rsid w:val="14CB202B"/>
    <w:rsid w:val="14F25809"/>
    <w:rsid w:val="1506766F"/>
    <w:rsid w:val="15097101"/>
    <w:rsid w:val="150E360E"/>
    <w:rsid w:val="15731E99"/>
    <w:rsid w:val="15A30818"/>
    <w:rsid w:val="15AA656E"/>
    <w:rsid w:val="15D97626"/>
    <w:rsid w:val="15E06ED4"/>
    <w:rsid w:val="16194481"/>
    <w:rsid w:val="16290DB7"/>
    <w:rsid w:val="16500A3A"/>
    <w:rsid w:val="16946B78"/>
    <w:rsid w:val="169B185C"/>
    <w:rsid w:val="16B82CEE"/>
    <w:rsid w:val="16BC7DEC"/>
    <w:rsid w:val="16C11196"/>
    <w:rsid w:val="16D75FC0"/>
    <w:rsid w:val="16E55626"/>
    <w:rsid w:val="16E66C76"/>
    <w:rsid w:val="16F143A1"/>
    <w:rsid w:val="17683B61"/>
    <w:rsid w:val="178C7EF7"/>
    <w:rsid w:val="17914E66"/>
    <w:rsid w:val="17D2027C"/>
    <w:rsid w:val="17D40D5C"/>
    <w:rsid w:val="18301F09"/>
    <w:rsid w:val="183A23D7"/>
    <w:rsid w:val="1869193F"/>
    <w:rsid w:val="18743D09"/>
    <w:rsid w:val="187B075B"/>
    <w:rsid w:val="189E463F"/>
    <w:rsid w:val="18D90B47"/>
    <w:rsid w:val="18ED2570"/>
    <w:rsid w:val="191C2C6C"/>
    <w:rsid w:val="192E68C9"/>
    <w:rsid w:val="19351D11"/>
    <w:rsid w:val="197902A7"/>
    <w:rsid w:val="19874772"/>
    <w:rsid w:val="19B968F6"/>
    <w:rsid w:val="19CE2EEB"/>
    <w:rsid w:val="19DC720C"/>
    <w:rsid w:val="19E44366"/>
    <w:rsid w:val="1A051B3B"/>
    <w:rsid w:val="1A127E11"/>
    <w:rsid w:val="1A276246"/>
    <w:rsid w:val="1A5A4A70"/>
    <w:rsid w:val="1A6C0746"/>
    <w:rsid w:val="1AA44EB0"/>
    <w:rsid w:val="1AAC26B6"/>
    <w:rsid w:val="1AC90BBF"/>
    <w:rsid w:val="1AD57D16"/>
    <w:rsid w:val="1B99078D"/>
    <w:rsid w:val="1BA6520F"/>
    <w:rsid w:val="1BBC5343"/>
    <w:rsid w:val="1C225FFD"/>
    <w:rsid w:val="1C485D0F"/>
    <w:rsid w:val="1C5E1287"/>
    <w:rsid w:val="1C99656B"/>
    <w:rsid w:val="1CA47DEB"/>
    <w:rsid w:val="1CB854EF"/>
    <w:rsid w:val="1CEA1096"/>
    <w:rsid w:val="1CF329AF"/>
    <w:rsid w:val="1D181B85"/>
    <w:rsid w:val="1D660B43"/>
    <w:rsid w:val="1D7B7C87"/>
    <w:rsid w:val="1D980AE6"/>
    <w:rsid w:val="1DAA1233"/>
    <w:rsid w:val="1DB27567"/>
    <w:rsid w:val="1DDE692B"/>
    <w:rsid w:val="1DE5224C"/>
    <w:rsid w:val="1E116D00"/>
    <w:rsid w:val="1E320F02"/>
    <w:rsid w:val="1E464E8C"/>
    <w:rsid w:val="1E5D4FF0"/>
    <w:rsid w:val="1E672DC4"/>
    <w:rsid w:val="1E7307BE"/>
    <w:rsid w:val="1EA473CD"/>
    <w:rsid w:val="1EB5427B"/>
    <w:rsid w:val="1EB853CE"/>
    <w:rsid w:val="1ECB5101"/>
    <w:rsid w:val="1EFB2CE8"/>
    <w:rsid w:val="1EFB5230"/>
    <w:rsid w:val="1EFD7285"/>
    <w:rsid w:val="1F26002D"/>
    <w:rsid w:val="1F4F76A5"/>
    <w:rsid w:val="1F6064B7"/>
    <w:rsid w:val="1F86727A"/>
    <w:rsid w:val="1FD15CCC"/>
    <w:rsid w:val="200F37D4"/>
    <w:rsid w:val="20825343"/>
    <w:rsid w:val="20DD377F"/>
    <w:rsid w:val="211865F8"/>
    <w:rsid w:val="21562743"/>
    <w:rsid w:val="21606144"/>
    <w:rsid w:val="21827CAC"/>
    <w:rsid w:val="21BF6BFA"/>
    <w:rsid w:val="21E937E3"/>
    <w:rsid w:val="21FE57EE"/>
    <w:rsid w:val="22105521"/>
    <w:rsid w:val="2216055E"/>
    <w:rsid w:val="2219238D"/>
    <w:rsid w:val="221C5C74"/>
    <w:rsid w:val="227A50F0"/>
    <w:rsid w:val="228B06A4"/>
    <w:rsid w:val="228E2802"/>
    <w:rsid w:val="22CB7A9A"/>
    <w:rsid w:val="22ED6423"/>
    <w:rsid w:val="23233B86"/>
    <w:rsid w:val="234D48E2"/>
    <w:rsid w:val="235538E4"/>
    <w:rsid w:val="2382074E"/>
    <w:rsid w:val="238572BA"/>
    <w:rsid w:val="23917A13"/>
    <w:rsid w:val="239B2720"/>
    <w:rsid w:val="23BC792C"/>
    <w:rsid w:val="23C245F9"/>
    <w:rsid w:val="23C53683"/>
    <w:rsid w:val="23E40A13"/>
    <w:rsid w:val="23E7405F"/>
    <w:rsid w:val="24101808"/>
    <w:rsid w:val="245A4441"/>
    <w:rsid w:val="24857B00"/>
    <w:rsid w:val="24DB3BC4"/>
    <w:rsid w:val="24E07313"/>
    <w:rsid w:val="24E8008F"/>
    <w:rsid w:val="253D1325"/>
    <w:rsid w:val="25421E95"/>
    <w:rsid w:val="255F4693"/>
    <w:rsid w:val="25792EAD"/>
    <w:rsid w:val="257E772B"/>
    <w:rsid w:val="25850D9A"/>
    <w:rsid w:val="258D6542"/>
    <w:rsid w:val="259C2AA2"/>
    <w:rsid w:val="259D4563"/>
    <w:rsid w:val="25D36F91"/>
    <w:rsid w:val="25DF4F5B"/>
    <w:rsid w:val="25E04BC1"/>
    <w:rsid w:val="25F672D0"/>
    <w:rsid w:val="25FE18CD"/>
    <w:rsid w:val="2614472A"/>
    <w:rsid w:val="261F27FF"/>
    <w:rsid w:val="26326546"/>
    <w:rsid w:val="26365BC9"/>
    <w:rsid w:val="2644244E"/>
    <w:rsid w:val="267554BD"/>
    <w:rsid w:val="2679798B"/>
    <w:rsid w:val="268121BE"/>
    <w:rsid w:val="268C5C39"/>
    <w:rsid w:val="269C2718"/>
    <w:rsid w:val="26B533E8"/>
    <w:rsid w:val="26BB5A5B"/>
    <w:rsid w:val="26C32B62"/>
    <w:rsid w:val="26D45901"/>
    <w:rsid w:val="26E86EA2"/>
    <w:rsid w:val="26ED1213"/>
    <w:rsid w:val="26F16910"/>
    <w:rsid w:val="271022FF"/>
    <w:rsid w:val="2737400F"/>
    <w:rsid w:val="274D017C"/>
    <w:rsid w:val="2767173F"/>
    <w:rsid w:val="27A66186"/>
    <w:rsid w:val="27AC4FBF"/>
    <w:rsid w:val="27B626C7"/>
    <w:rsid w:val="27C11C04"/>
    <w:rsid w:val="27DF1C1D"/>
    <w:rsid w:val="27E21496"/>
    <w:rsid w:val="27ED5A8E"/>
    <w:rsid w:val="27F40638"/>
    <w:rsid w:val="287370D8"/>
    <w:rsid w:val="289D2F2D"/>
    <w:rsid w:val="28DC1A86"/>
    <w:rsid w:val="28E05C4D"/>
    <w:rsid w:val="28EF41A5"/>
    <w:rsid w:val="290516A8"/>
    <w:rsid w:val="290D1E02"/>
    <w:rsid w:val="291B6C85"/>
    <w:rsid w:val="29296F19"/>
    <w:rsid w:val="292A6EC8"/>
    <w:rsid w:val="292B1F85"/>
    <w:rsid w:val="2944442E"/>
    <w:rsid w:val="2955410B"/>
    <w:rsid w:val="297248C7"/>
    <w:rsid w:val="297563DE"/>
    <w:rsid w:val="29A23715"/>
    <w:rsid w:val="29A904D6"/>
    <w:rsid w:val="29B8438B"/>
    <w:rsid w:val="29BA5973"/>
    <w:rsid w:val="29BE6358"/>
    <w:rsid w:val="29D14D4B"/>
    <w:rsid w:val="29D216E5"/>
    <w:rsid w:val="29DA107C"/>
    <w:rsid w:val="29FC54BE"/>
    <w:rsid w:val="2A077209"/>
    <w:rsid w:val="2A524929"/>
    <w:rsid w:val="2A5B71E2"/>
    <w:rsid w:val="2AA1140C"/>
    <w:rsid w:val="2AAB1038"/>
    <w:rsid w:val="2AB253C7"/>
    <w:rsid w:val="2AB37396"/>
    <w:rsid w:val="2ABC5A31"/>
    <w:rsid w:val="2ACC6AFD"/>
    <w:rsid w:val="2AF8509F"/>
    <w:rsid w:val="2B2D3A0D"/>
    <w:rsid w:val="2B33216E"/>
    <w:rsid w:val="2B496699"/>
    <w:rsid w:val="2B6E216C"/>
    <w:rsid w:val="2BBC4C65"/>
    <w:rsid w:val="2BE32378"/>
    <w:rsid w:val="2C2A2C18"/>
    <w:rsid w:val="2C3C763E"/>
    <w:rsid w:val="2C4A0070"/>
    <w:rsid w:val="2C740B58"/>
    <w:rsid w:val="2C815051"/>
    <w:rsid w:val="2CC15D95"/>
    <w:rsid w:val="2CF01F05"/>
    <w:rsid w:val="2D063A1C"/>
    <w:rsid w:val="2D1E6893"/>
    <w:rsid w:val="2D295620"/>
    <w:rsid w:val="2D5100F9"/>
    <w:rsid w:val="2D586B48"/>
    <w:rsid w:val="2D67698C"/>
    <w:rsid w:val="2D7534FD"/>
    <w:rsid w:val="2DCF1479"/>
    <w:rsid w:val="2DDC5F0A"/>
    <w:rsid w:val="2DE32098"/>
    <w:rsid w:val="2E166977"/>
    <w:rsid w:val="2E1D6DB4"/>
    <w:rsid w:val="2E3648AF"/>
    <w:rsid w:val="2E3E48B1"/>
    <w:rsid w:val="2E516A79"/>
    <w:rsid w:val="2E7C1E5E"/>
    <w:rsid w:val="2E89184C"/>
    <w:rsid w:val="2E8B49B7"/>
    <w:rsid w:val="2E8D33B9"/>
    <w:rsid w:val="2EAF732B"/>
    <w:rsid w:val="2EB50FE8"/>
    <w:rsid w:val="2EC22241"/>
    <w:rsid w:val="2ECA4F25"/>
    <w:rsid w:val="2EEB69D3"/>
    <w:rsid w:val="2EF60B65"/>
    <w:rsid w:val="2EFE1F0B"/>
    <w:rsid w:val="2F0D617F"/>
    <w:rsid w:val="2F325535"/>
    <w:rsid w:val="2F4719C7"/>
    <w:rsid w:val="2F610283"/>
    <w:rsid w:val="2F6F7D2B"/>
    <w:rsid w:val="2F8514CA"/>
    <w:rsid w:val="2F8B641F"/>
    <w:rsid w:val="2F996581"/>
    <w:rsid w:val="2FEF1E6C"/>
    <w:rsid w:val="2FF827D3"/>
    <w:rsid w:val="304A1B19"/>
    <w:rsid w:val="30583647"/>
    <w:rsid w:val="306A60FB"/>
    <w:rsid w:val="306E0259"/>
    <w:rsid w:val="309C37C4"/>
    <w:rsid w:val="30B21544"/>
    <w:rsid w:val="30F248C5"/>
    <w:rsid w:val="30F93A06"/>
    <w:rsid w:val="30FF0C3A"/>
    <w:rsid w:val="31216E03"/>
    <w:rsid w:val="31222DDE"/>
    <w:rsid w:val="316563DD"/>
    <w:rsid w:val="319F049E"/>
    <w:rsid w:val="31AA6DF8"/>
    <w:rsid w:val="31C81974"/>
    <w:rsid w:val="31DE61E8"/>
    <w:rsid w:val="31F41367"/>
    <w:rsid w:val="31F767B3"/>
    <w:rsid w:val="32096215"/>
    <w:rsid w:val="321C75CA"/>
    <w:rsid w:val="32286157"/>
    <w:rsid w:val="323668DE"/>
    <w:rsid w:val="324F56BD"/>
    <w:rsid w:val="32951C62"/>
    <w:rsid w:val="329B4993"/>
    <w:rsid w:val="32CF12D2"/>
    <w:rsid w:val="330B11CA"/>
    <w:rsid w:val="33323658"/>
    <w:rsid w:val="334639D2"/>
    <w:rsid w:val="336D2207"/>
    <w:rsid w:val="33794D82"/>
    <w:rsid w:val="337B0530"/>
    <w:rsid w:val="33823D31"/>
    <w:rsid w:val="33AE1DBD"/>
    <w:rsid w:val="33AF0262"/>
    <w:rsid w:val="33C00B55"/>
    <w:rsid w:val="33C7149E"/>
    <w:rsid w:val="33D12D62"/>
    <w:rsid w:val="34104A3D"/>
    <w:rsid w:val="342671A1"/>
    <w:rsid w:val="343519DD"/>
    <w:rsid w:val="34441AA3"/>
    <w:rsid w:val="344C27CD"/>
    <w:rsid w:val="34807EFB"/>
    <w:rsid w:val="34810116"/>
    <w:rsid w:val="34C41462"/>
    <w:rsid w:val="34D62D8B"/>
    <w:rsid w:val="34E76191"/>
    <w:rsid w:val="34F36D08"/>
    <w:rsid w:val="34F72CEB"/>
    <w:rsid w:val="35150FD4"/>
    <w:rsid w:val="3524217F"/>
    <w:rsid w:val="352C5448"/>
    <w:rsid w:val="35401A4B"/>
    <w:rsid w:val="35480F1D"/>
    <w:rsid w:val="355F0320"/>
    <w:rsid w:val="35726987"/>
    <w:rsid w:val="35726A65"/>
    <w:rsid w:val="357D46A5"/>
    <w:rsid w:val="35A3085A"/>
    <w:rsid w:val="35A6440A"/>
    <w:rsid w:val="35C04E08"/>
    <w:rsid w:val="35C83CF1"/>
    <w:rsid w:val="36202716"/>
    <w:rsid w:val="36631C6B"/>
    <w:rsid w:val="366472FE"/>
    <w:rsid w:val="36A75FFC"/>
    <w:rsid w:val="36AE1139"/>
    <w:rsid w:val="36CE2999"/>
    <w:rsid w:val="36CF749B"/>
    <w:rsid w:val="36F02A38"/>
    <w:rsid w:val="36F56D67"/>
    <w:rsid w:val="36FC541A"/>
    <w:rsid w:val="37074AD1"/>
    <w:rsid w:val="3725594C"/>
    <w:rsid w:val="37343D3E"/>
    <w:rsid w:val="3735480E"/>
    <w:rsid w:val="37505A9A"/>
    <w:rsid w:val="376D0FF4"/>
    <w:rsid w:val="37774A40"/>
    <w:rsid w:val="379F3FCC"/>
    <w:rsid w:val="37A54BE2"/>
    <w:rsid w:val="37D45922"/>
    <w:rsid w:val="38061C56"/>
    <w:rsid w:val="381D031A"/>
    <w:rsid w:val="381E23B5"/>
    <w:rsid w:val="383A0932"/>
    <w:rsid w:val="384004B6"/>
    <w:rsid w:val="385B2749"/>
    <w:rsid w:val="3860650D"/>
    <w:rsid w:val="386C6F48"/>
    <w:rsid w:val="38705DEA"/>
    <w:rsid w:val="387D5D44"/>
    <w:rsid w:val="38981CD1"/>
    <w:rsid w:val="3930052B"/>
    <w:rsid w:val="39312D65"/>
    <w:rsid w:val="394F1D4B"/>
    <w:rsid w:val="39504729"/>
    <w:rsid w:val="396635A7"/>
    <w:rsid w:val="397604E8"/>
    <w:rsid w:val="39A84565"/>
    <w:rsid w:val="39C921EB"/>
    <w:rsid w:val="39CF3992"/>
    <w:rsid w:val="39D154D8"/>
    <w:rsid w:val="3A313724"/>
    <w:rsid w:val="3A650C59"/>
    <w:rsid w:val="3AB246F5"/>
    <w:rsid w:val="3AB2478E"/>
    <w:rsid w:val="3ADB1D4E"/>
    <w:rsid w:val="3B073939"/>
    <w:rsid w:val="3B0A63F4"/>
    <w:rsid w:val="3B401F03"/>
    <w:rsid w:val="3B5322AF"/>
    <w:rsid w:val="3B616F74"/>
    <w:rsid w:val="3B6643B5"/>
    <w:rsid w:val="3B83334E"/>
    <w:rsid w:val="3B8B1B71"/>
    <w:rsid w:val="3BCD28E5"/>
    <w:rsid w:val="3BFC1F41"/>
    <w:rsid w:val="3C0D3FE2"/>
    <w:rsid w:val="3C2004F1"/>
    <w:rsid w:val="3C4A3258"/>
    <w:rsid w:val="3C5462DE"/>
    <w:rsid w:val="3C6109FB"/>
    <w:rsid w:val="3C74072E"/>
    <w:rsid w:val="3CB13731"/>
    <w:rsid w:val="3CCD7E3F"/>
    <w:rsid w:val="3CD66894"/>
    <w:rsid w:val="3D280472"/>
    <w:rsid w:val="3D703C32"/>
    <w:rsid w:val="3DAB784C"/>
    <w:rsid w:val="3DB77472"/>
    <w:rsid w:val="3DC01751"/>
    <w:rsid w:val="3DC04C60"/>
    <w:rsid w:val="3DD77573"/>
    <w:rsid w:val="3DEE49E2"/>
    <w:rsid w:val="3E0C6292"/>
    <w:rsid w:val="3E3750AA"/>
    <w:rsid w:val="3E4D60C1"/>
    <w:rsid w:val="3EB0713D"/>
    <w:rsid w:val="3ED951C1"/>
    <w:rsid w:val="3EDC644D"/>
    <w:rsid w:val="3F0A38C9"/>
    <w:rsid w:val="3F2432B7"/>
    <w:rsid w:val="3F370BCB"/>
    <w:rsid w:val="3F3E6DD2"/>
    <w:rsid w:val="3F427EE2"/>
    <w:rsid w:val="3F620D12"/>
    <w:rsid w:val="3F69397F"/>
    <w:rsid w:val="3F8C14FD"/>
    <w:rsid w:val="3F9E6E25"/>
    <w:rsid w:val="3FA34AC9"/>
    <w:rsid w:val="3FBF656F"/>
    <w:rsid w:val="40084C5B"/>
    <w:rsid w:val="400E7853"/>
    <w:rsid w:val="40282188"/>
    <w:rsid w:val="40604425"/>
    <w:rsid w:val="406E5603"/>
    <w:rsid w:val="40782BA9"/>
    <w:rsid w:val="40953369"/>
    <w:rsid w:val="40C0439F"/>
    <w:rsid w:val="40D75BDE"/>
    <w:rsid w:val="40DA5F02"/>
    <w:rsid w:val="40E64EB5"/>
    <w:rsid w:val="4105038F"/>
    <w:rsid w:val="41234831"/>
    <w:rsid w:val="4132052D"/>
    <w:rsid w:val="41326E0A"/>
    <w:rsid w:val="415E745B"/>
    <w:rsid w:val="41937F20"/>
    <w:rsid w:val="419E41C7"/>
    <w:rsid w:val="41B45E55"/>
    <w:rsid w:val="41C870A5"/>
    <w:rsid w:val="41D94D43"/>
    <w:rsid w:val="41E76AD0"/>
    <w:rsid w:val="41F32A38"/>
    <w:rsid w:val="4206489E"/>
    <w:rsid w:val="421668F9"/>
    <w:rsid w:val="42204EB5"/>
    <w:rsid w:val="423436D6"/>
    <w:rsid w:val="42470693"/>
    <w:rsid w:val="42482C99"/>
    <w:rsid w:val="424C7A58"/>
    <w:rsid w:val="4291257B"/>
    <w:rsid w:val="429921C3"/>
    <w:rsid w:val="42BF46CD"/>
    <w:rsid w:val="42C232D7"/>
    <w:rsid w:val="42E27396"/>
    <w:rsid w:val="42E41C46"/>
    <w:rsid w:val="42F62092"/>
    <w:rsid w:val="42FF2735"/>
    <w:rsid w:val="43016ADF"/>
    <w:rsid w:val="43320FE9"/>
    <w:rsid w:val="43361A03"/>
    <w:rsid w:val="437C611B"/>
    <w:rsid w:val="437F77C5"/>
    <w:rsid w:val="43BF3FB9"/>
    <w:rsid w:val="44185E43"/>
    <w:rsid w:val="441C429A"/>
    <w:rsid w:val="443D152B"/>
    <w:rsid w:val="44483A79"/>
    <w:rsid w:val="4462024D"/>
    <w:rsid w:val="448B4867"/>
    <w:rsid w:val="44B80821"/>
    <w:rsid w:val="44BC4C26"/>
    <w:rsid w:val="44C66091"/>
    <w:rsid w:val="44D43FBE"/>
    <w:rsid w:val="44ED011B"/>
    <w:rsid w:val="44F27FD0"/>
    <w:rsid w:val="44F73A66"/>
    <w:rsid w:val="45494171"/>
    <w:rsid w:val="45660E30"/>
    <w:rsid w:val="456670A6"/>
    <w:rsid w:val="45996E62"/>
    <w:rsid w:val="45CD2E8F"/>
    <w:rsid w:val="46006EFF"/>
    <w:rsid w:val="4623597F"/>
    <w:rsid w:val="46276860"/>
    <w:rsid w:val="464A2965"/>
    <w:rsid w:val="464E3D9E"/>
    <w:rsid w:val="464F1A25"/>
    <w:rsid w:val="46517D32"/>
    <w:rsid w:val="466753B0"/>
    <w:rsid w:val="46847A8B"/>
    <w:rsid w:val="46D7531D"/>
    <w:rsid w:val="46DB09FA"/>
    <w:rsid w:val="46E5026C"/>
    <w:rsid w:val="46FD7B40"/>
    <w:rsid w:val="47401365"/>
    <w:rsid w:val="475247BA"/>
    <w:rsid w:val="476B0980"/>
    <w:rsid w:val="476C3D23"/>
    <w:rsid w:val="47846F77"/>
    <w:rsid w:val="47AD2316"/>
    <w:rsid w:val="47CE2EEB"/>
    <w:rsid w:val="47EF74AA"/>
    <w:rsid w:val="47F968AB"/>
    <w:rsid w:val="48006E60"/>
    <w:rsid w:val="480212E4"/>
    <w:rsid w:val="480828B8"/>
    <w:rsid w:val="48134A62"/>
    <w:rsid w:val="483F2094"/>
    <w:rsid w:val="48655A2A"/>
    <w:rsid w:val="4881582D"/>
    <w:rsid w:val="48B84FCD"/>
    <w:rsid w:val="492542CE"/>
    <w:rsid w:val="498C2A99"/>
    <w:rsid w:val="4995765D"/>
    <w:rsid w:val="49DE053E"/>
    <w:rsid w:val="49EC79C1"/>
    <w:rsid w:val="4A240BDF"/>
    <w:rsid w:val="4A974721"/>
    <w:rsid w:val="4A9F67D2"/>
    <w:rsid w:val="4AC93A64"/>
    <w:rsid w:val="4B15132F"/>
    <w:rsid w:val="4B49547C"/>
    <w:rsid w:val="4B6052F9"/>
    <w:rsid w:val="4BA7207C"/>
    <w:rsid w:val="4BC33A61"/>
    <w:rsid w:val="4BF31EB2"/>
    <w:rsid w:val="4C360F71"/>
    <w:rsid w:val="4C39729F"/>
    <w:rsid w:val="4C501845"/>
    <w:rsid w:val="4C673799"/>
    <w:rsid w:val="4C675CCD"/>
    <w:rsid w:val="4C6B515A"/>
    <w:rsid w:val="4C704EB3"/>
    <w:rsid w:val="4C7104BC"/>
    <w:rsid w:val="4C746921"/>
    <w:rsid w:val="4C910E89"/>
    <w:rsid w:val="4C934C01"/>
    <w:rsid w:val="4CBD422C"/>
    <w:rsid w:val="4CD47315"/>
    <w:rsid w:val="4CEC4006"/>
    <w:rsid w:val="4D1E7254"/>
    <w:rsid w:val="4D1F0243"/>
    <w:rsid w:val="4D3E582F"/>
    <w:rsid w:val="4D446D1F"/>
    <w:rsid w:val="4D4D3C7B"/>
    <w:rsid w:val="4D750B26"/>
    <w:rsid w:val="4D926C66"/>
    <w:rsid w:val="4D9779BE"/>
    <w:rsid w:val="4DBB5EAE"/>
    <w:rsid w:val="4DDD0590"/>
    <w:rsid w:val="4E30647F"/>
    <w:rsid w:val="4E776CF8"/>
    <w:rsid w:val="4E86609F"/>
    <w:rsid w:val="4E9702AC"/>
    <w:rsid w:val="4EA62AB9"/>
    <w:rsid w:val="4EDC6306"/>
    <w:rsid w:val="4EEE1290"/>
    <w:rsid w:val="4F377E8E"/>
    <w:rsid w:val="4F635C7F"/>
    <w:rsid w:val="4F9557D3"/>
    <w:rsid w:val="4FEA5886"/>
    <w:rsid w:val="4FF24D9A"/>
    <w:rsid w:val="501D642D"/>
    <w:rsid w:val="50503CD1"/>
    <w:rsid w:val="50516178"/>
    <w:rsid w:val="50865AF1"/>
    <w:rsid w:val="508B3E41"/>
    <w:rsid w:val="50BC3FFA"/>
    <w:rsid w:val="50C555A5"/>
    <w:rsid w:val="50D51EF4"/>
    <w:rsid w:val="510B4CB5"/>
    <w:rsid w:val="513C207B"/>
    <w:rsid w:val="51524143"/>
    <w:rsid w:val="51654F8B"/>
    <w:rsid w:val="517D3F44"/>
    <w:rsid w:val="519F23CB"/>
    <w:rsid w:val="51C66CCF"/>
    <w:rsid w:val="51D610EC"/>
    <w:rsid w:val="51F574F7"/>
    <w:rsid w:val="52025DBD"/>
    <w:rsid w:val="521045FE"/>
    <w:rsid w:val="52197129"/>
    <w:rsid w:val="521C611E"/>
    <w:rsid w:val="52BD3CB7"/>
    <w:rsid w:val="52C81DD4"/>
    <w:rsid w:val="52CC6FE0"/>
    <w:rsid w:val="52FF78E7"/>
    <w:rsid w:val="53114670"/>
    <w:rsid w:val="53671FD0"/>
    <w:rsid w:val="53C208DB"/>
    <w:rsid w:val="53C953AC"/>
    <w:rsid w:val="53D50D4B"/>
    <w:rsid w:val="53EF5CDB"/>
    <w:rsid w:val="53EF5DA2"/>
    <w:rsid w:val="53F51B7D"/>
    <w:rsid w:val="54132291"/>
    <w:rsid w:val="54183085"/>
    <w:rsid w:val="542438E2"/>
    <w:rsid w:val="54767042"/>
    <w:rsid w:val="54945139"/>
    <w:rsid w:val="54C80F3E"/>
    <w:rsid w:val="54D03091"/>
    <w:rsid w:val="54FD6599"/>
    <w:rsid w:val="54FF00EB"/>
    <w:rsid w:val="5540169E"/>
    <w:rsid w:val="5552317F"/>
    <w:rsid w:val="55900ECD"/>
    <w:rsid w:val="55D32512"/>
    <w:rsid w:val="55D43B94"/>
    <w:rsid w:val="55D9596A"/>
    <w:rsid w:val="55ED6F99"/>
    <w:rsid w:val="562A0A98"/>
    <w:rsid w:val="563438F7"/>
    <w:rsid w:val="56772B4B"/>
    <w:rsid w:val="569F1C85"/>
    <w:rsid w:val="57346CDD"/>
    <w:rsid w:val="57357939"/>
    <w:rsid w:val="57420007"/>
    <w:rsid w:val="5778790D"/>
    <w:rsid w:val="577C4928"/>
    <w:rsid w:val="579847A8"/>
    <w:rsid w:val="57A04029"/>
    <w:rsid w:val="57B15087"/>
    <w:rsid w:val="57E90332"/>
    <w:rsid w:val="580721B7"/>
    <w:rsid w:val="582F1BDE"/>
    <w:rsid w:val="584A52C7"/>
    <w:rsid w:val="584D0BEB"/>
    <w:rsid w:val="58694A68"/>
    <w:rsid w:val="586B6A32"/>
    <w:rsid w:val="58A12453"/>
    <w:rsid w:val="58B70F31"/>
    <w:rsid w:val="58D57402"/>
    <w:rsid w:val="58F4181D"/>
    <w:rsid w:val="591A2206"/>
    <w:rsid w:val="59287554"/>
    <w:rsid w:val="5936404E"/>
    <w:rsid w:val="5940109D"/>
    <w:rsid w:val="594159E5"/>
    <w:rsid w:val="594C6EFE"/>
    <w:rsid w:val="59914276"/>
    <w:rsid w:val="59D46859"/>
    <w:rsid w:val="59D979CB"/>
    <w:rsid w:val="59E43FE3"/>
    <w:rsid w:val="59E8390B"/>
    <w:rsid w:val="59FF5F31"/>
    <w:rsid w:val="5A144EB5"/>
    <w:rsid w:val="5A2A14E3"/>
    <w:rsid w:val="5A2A6479"/>
    <w:rsid w:val="5A3E6328"/>
    <w:rsid w:val="5A4F6382"/>
    <w:rsid w:val="5A51376F"/>
    <w:rsid w:val="5A831611"/>
    <w:rsid w:val="5A9A35FE"/>
    <w:rsid w:val="5AD07919"/>
    <w:rsid w:val="5B0D62E4"/>
    <w:rsid w:val="5B2961FE"/>
    <w:rsid w:val="5B3C2907"/>
    <w:rsid w:val="5B4812AC"/>
    <w:rsid w:val="5BB54F22"/>
    <w:rsid w:val="5BC82A6F"/>
    <w:rsid w:val="5BD47EAE"/>
    <w:rsid w:val="5BDE199C"/>
    <w:rsid w:val="5BF840AA"/>
    <w:rsid w:val="5C367357"/>
    <w:rsid w:val="5C6C28C9"/>
    <w:rsid w:val="5C783DC5"/>
    <w:rsid w:val="5C7B1A0A"/>
    <w:rsid w:val="5C871960"/>
    <w:rsid w:val="5C9D16DC"/>
    <w:rsid w:val="5CAD259C"/>
    <w:rsid w:val="5CB40369"/>
    <w:rsid w:val="5CBA3FF1"/>
    <w:rsid w:val="5CC02A93"/>
    <w:rsid w:val="5CE73B76"/>
    <w:rsid w:val="5D166035"/>
    <w:rsid w:val="5D263F80"/>
    <w:rsid w:val="5D3C1CEC"/>
    <w:rsid w:val="5D3F223B"/>
    <w:rsid w:val="5DC47F71"/>
    <w:rsid w:val="5DDB2C23"/>
    <w:rsid w:val="5E03770C"/>
    <w:rsid w:val="5E224037"/>
    <w:rsid w:val="5E254777"/>
    <w:rsid w:val="5E3B5662"/>
    <w:rsid w:val="5E56783C"/>
    <w:rsid w:val="5E581707"/>
    <w:rsid w:val="5E5A2036"/>
    <w:rsid w:val="5E5D053A"/>
    <w:rsid w:val="5E7D1355"/>
    <w:rsid w:val="5E820631"/>
    <w:rsid w:val="5E8C1417"/>
    <w:rsid w:val="5E9723D3"/>
    <w:rsid w:val="5F027F94"/>
    <w:rsid w:val="5F165C6A"/>
    <w:rsid w:val="5F4B3119"/>
    <w:rsid w:val="5F670723"/>
    <w:rsid w:val="5F7602F9"/>
    <w:rsid w:val="5F7E454D"/>
    <w:rsid w:val="5F8108E9"/>
    <w:rsid w:val="5F8C756F"/>
    <w:rsid w:val="5FAA5C20"/>
    <w:rsid w:val="5FE1582B"/>
    <w:rsid w:val="60221DB4"/>
    <w:rsid w:val="60254796"/>
    <w:rsid w:val="6046155A"/>
    <w:rsid w:val="604B2FF2"/>
    <w:rsid w:val="60561D75"/>
    <w:rsid w:val="606326E4"/>
    <w:rsid w:val="609D31A7"/>
    <w:rsid w:val="60AA0313"/>
    <w:rsid w:val="60C72C73"/>
    <w:rsid w:val="60F76287"/>
    <w:rsid w:val="61250CD1"/>
    <w:rsid w:val="618374CC"/>
    <w:rsid w:val="61B01DA9"/>
    <w:rsid w:val="61B067C2"/>
    <w:rsid w:val="61C84EF5"/>
    <w:rsid w:val="61DC0970"/>
    <w:rsid w:val="61DF138E"/>
    <w:rsid w:val="62235D99"/>
    <w:rsid w:val="62416867"/>
    <w:rsid w:val="625E13B5"/>
    <w:rsid w:val="626A1495"/>
    <w:rsid w:val="62717A6A"/>
    <w:rsid w:val="62A07559"/>
    <w:rsid w:val="62A4720D"/>
    <w:rsid w:val="62E6517C"/>
    <w:rsid w:val="62F53DB3"/>
    <w:rsid w:val="62F74AE0"/>
    <w:rsid w:val="630C6E2C"/>
    <w:rsid w:val="63136B2E"/>
    <w:rsid w:val="631C1240"/>
    <w:rsid w:val="6323782A"/>
    <w:rsid w:val="6337793E"/>
    <w:rsid w:val="635814E1"/>
    <w:rsid w:val="63636F6C"/>
    <w:rsid w:val="636A79F9"/>
    <w:rsid w:val="639B0D2B"/>
    <w:rsid w:val="63B31501"/>
    <w:rsid w:val="63E85B33"/>
    <w:rsid w:val="63E8731F"/>
    <w:rsid w:val="63F01125"/>
    <w:rsid w:val="64540CA7"/>
    <w:rsid w:val="64584715"/>
    <w:rsid w:val="64630F05"/>
    <w:rsid w:val="646733EF"/>
    <w:rsid w:val="646926E7"/>
    <w:rsid w:val="6469797A"/>
    <w:rsid w:val="646C600B"/>
    <w:rsid w:val="64F81AEA"/>
    <w:rsid w:val="65013D18"/>
    <w:rsid w:val="651E54C6"/>
    <w:rsid w:val="653463FD"/>
    <w:rsid w:val="653F576F"/>
    <w:rsid w:val="65543EC6"/>
    <w:rsid w:val="65AA7C28"/>
    <w:rsid w:val="65B31D61"/>
    <w:rsid w:val="65B340AA"/>
    <w:rsid w:val="65DF7AB1"/>
    <w:rsid w:val="65F57E21"/>
    <w:rsid w:val="65F77E2A"/>
    <w:rsid w:val="66492935"/>
    <w:rsid w:val="666D7737"/>
    <w:rsid w:val="666E1FEF"/>
    <w:rsid w:val="667A06CF"/>
    <w:rsid w:val="667E5B82"/>
    <w:rsid w:val="669045EE"/>
    <w:rsid w:val="66AC7A28"/>
    <w:rsid w:val="66BC66AA"/>
    <w:rsid w:val="66C814F3"/>
    <w:rsid w:val="66F61BBC"/>
    <w:rsid w:val="66F71181"/>
    <w:rsid w:val="674F3CE2"/>
    <w:rsid w:val="67537252"/>
    <w:rsid w:val="675A65EF"/>
    <w:rsid w:val="679A485D"/>
    <w:rsid w:val="67E9219B"/>
    <w:rsid w:val="67F00D02"/>
    <w:rsid w:val="681B3C55"/>
    <w:rsid w:val="68312910"/>
    <w:rsid w:val="684F0594"/>
    <w:rsid w:val="68585D79"/>
    <w:rsid w:val="68804B57"/>
    <w:rsid w:val="68A131B0"/>
    <w:rsid w:val="68B62114"/>
    <w:rsid w:val="68E84451"/>
    <w:rsid w:val="690228DB"/>
    <w:rsid w:val="69484496"/>
    <w:rsid w:val="695864A1"/>
    <w:rsid w:val="69861FB1"/>
    <w:rsid w:val="69B46D44"/>
    <w:rsid w:val="69C15E4E"/>
    <w:rsid w:val="69EA74FB"/>
    <w:rsid w:val="6A062043"/>
    <w:rsid w:val="6A1205E8"/>
    <w:rsid w:val="6A250594"/>
    <w:rsid w:val="6A3550F2"/>
    <w:rsid w:val="6A370572"/>
    <w:rsid w:val="6AB8650C"/>
    <w:rsid w:val="6AE60EA8"/>
    <w:rsid w:val="6AEE05D0"/>
    <w:rsid w:val="6B037A92"/>
    <w:rsid w:val="6B170353"/>
    <w:rsid w:val="6B4348B5"/>
    <w:rsid w:val="6B5577B9"/>
    <w:rsid w:val="6B671BCE"/>
    <w:rsid w:val="6B675CB6"/>
    <w:rsid w:val="6BA918F3"/>
    <w:rsid w:val="6BAE6F0A"/>
    <w:rsid w:val="6BD33061"/>
    <w:rsid w:val="6BEE5632"/>
    <w:rsid w:val="6C070036"/>
    <w:rsid w:val="6C1A14AD"/>
    <w:rsid w:val="6C1C68B9"/>
    <w:rsid w:val="6C6D3168"/>
    <w:rsid w:val="6C817E9F"/>
    <w:rsid w:val="6C89702F"/>
    <w:rsid w:val="6CC54633"/>
    <w:rsid w:val="6CD20F78"/>
    <w:rsid w:val="6CEA7C39"/>
    <w:rsid w:val="6CFC3B1A"/>
    <w:rsid w:val="6D0D1A0E"/>
    <w:rsid w:val="6D176058"/>
    <w:rsid w:val="6D1C3950"/>
    <w:rsid w:val="6D303B7A"/>
    <w:rsid w:val="6D47078A"/>
    <w:rsid w:val="6D832633"/>
    <w:rsid w:val="6D8D1D8B"/>
    <w:rsid w:val="6DB22058"/>
    <w:rsid w:val="6E0262EC"/>
    <w:rsid w:val="6E243A7C"/>
    <w:rsid w:val="6E55742C"/>
    <w:rsid w:val="6E623FDB"/>
    <w:rsid w:val="6E7A1325"/>
    <w:rsid w:val="6ECC31E1"/>
    <w:rsid w:val="6EEC101C"/>
    <w:rsid w:val="6EF550B9"/>
    <w:rsid w:val="6EF74640"/>
    <w:rsid w:val="6F1806EA"/>
    <w:rsid w:val="6F351E93"/>
    <w:rsid w:val="6F5A05B0"/>
    <w:rsid w:val="6F5E47A3"/>
    <w:rsid w:val="6F7974A8"/>
    <w:rsid w:val="6F8A5598"/>
    <w:rsid w:val="6F930E11"/>
    <w:rsid w:val="6F977B24"/>
    <w:rsid w:val="6F9C5E29"/>
    <w:rsid w:val="6F9D28DC"/>
    <w:rsid w:val="6FA73CDD"/>
    <w:rsid w:val="6FBB1BF5"/>
    <w:rsid w:val="70117A67"/>
    <w:rsid w:val="7019344F"/>
    <w:rsid w:val="701B6B38"/>
    <w:rsid w:val="701C1A43"/>
    <w:rsid w:val="702A7444"/>
    <w:rsid w:val="70330544"/>
    <w:rsid w:val="70474BBA"/>
    <w:rsid w:val="705E725B"/>
    <w:rsid w:val="7060202B"/>
    <w:rsid w:val="707A560C"/>
    <w:rsid w:val="709F21DB"/>
    <w:rsid w:val="70A86CAA"/>
    <w:rsid w:val="70BF56AD"/>
    <w:rsid w:val="70F133F4"/>
    <w:rsid w:val="70F73BE6"/>
    <w:rsid w:val="713D663A"/>
    <w:rsid w:val="713F150A"/>
    <w:rsid w:val="71724844"/>
    <w:rsid w:val="71776FD6"/>
    <w:rsid w:val="71871CA6"/>
    <w:rsid w:val="718F158B"/>
    <w:rsid w:val="719D142F"/>
    <w:rsid w:val="71CF623E"/>
    <w:rsid w:val="72233A82"/>
    <w:rsid w:val="722367AD"/>
    <w:rsid w:val="72236BD5"/>
    <w:rsid w:val="722A3974"/>
    <w:rsid w:val="72430A0C"/>
    <w:rsid w:val="724B7C6F"/>
    <w:rsid w:val="725105EF"/>
    <w:rsid w:val="725E2D86"/>
    <w:rsid w:val="72C2269F"/>
    <w:rsid w:val="72DA3568"/>
    <w:rsid w:val="72ED11FB"/>
    <w:rsid w:val="72FA6273"/>
    <w:rsid w:val="733C7B6A"/>
    <w:rsid w:val="736E3772"/>
    <w:rsid w:val="738A561A"/>
    <w:rsid w:val="73C073AE"/>
    <w:rsid w:val="73E9749F"/>
    <w:rsid w:val="740A4EF9"/>
    <w:rsid w:val="740C2346"/>
    <w:rsid w:val="743B3304"/>
    <w:rsid w:val="748527D2"/>
    <w:rsid w:val="74877AD2"/>
    <w:rsid w:val="748E206D"/>
    <w:rsid w:val="749173C8"/>
    <w:rsid w:val="749A6ED5"/>
    <w:rsid w:val="749C0161"/>
    <w:rsid w:val="74A10225"/>
    <w:rsid w:val="74A71788"/>
    <w:rsid w:val="74AB2631"/>
    <w:rsid w:val="74AC5FB0"/>
    <w:rsid w:val="74CD3A9D"/>
    <w:rsid w:val="74D04657"/>
    <w:rsid w:val="74DB65E3"/>
    <w:rsid w:val="74E44A88"/>
    <w:rsid w:val="74FC1B1B"/>
    <w:rsid w:val="75045811"/>
    <w:rsid w:val="751F2C26"/>
    <w:rsid w:val="752B5127"/>
    <w:rsid w:val="75A242DA"/>
    <w:rsid w:val="75B6349D"/>
    <w:rsid w:val="75B82733"/>
    <w:rsid w:val="75D05E44"/>
    <w:rsid w:val="75D85656"/>
    <w:rsid w:val="75F30B5A"/>
    <w:rsid w:val="768F7DB8"/>
    <w:rsid w:val="76941894"/>
    <w:rsid w:val="76AC3F22"/>
    <w:rsid w:val="76B73AFB"/>
    <w:rsid w:val="76C25A93"/>
    <w:rsid w:val="76DB14FC"/>
    <w:rsid w:val="76DF3513"/>
    <w:rsid w:val="76EC58D9"/>
    <w:rsid w:val="76F33B29"/>
    <w:rsid w:val="77421F12"/>
    <w:rsid w:val="775A7F45"/>
    <w:rsid w:val="7760594E"/>
    <w:rsid w:val="77617526"/>
    <w:rsid w:val="776526A8"/>
    <w:rsid w:val="77690189"/>
    <w:rsid w:val="77707769"/>
    <w:rsid w:val="77740331"/>
    <w:rsid w:val="77957A74"/>
    <w:rsid w:val="77A0466A"/>
    <w:rsid w:val="77CC4224"/>
    <w:rsid w:val="77DC095A"/>
    <w:rsid w:val="780A6B7C"/>
    <w:rsid w:val="780E5C3D"/>
    <w:rsid w:val="781A7FB0"/>
    <w:rsid w:val="78390DB4"/>
    <w:rsid w:val="785628A3"/>
    <w:rsid w:val="786A6EBD"/>
    <w:rsid w:val="78BE7CC7"/>
    <w:rsid w:val="78D32916"/>
    <w:rsid w:val="78F44239"/>
    <w:rsid w:val="78FF6108"/>
    <w:rsid w:val="79066755"/>
    <w:rsid w:val="79492E4B"/>
    <w:rsid w:val="79523DC9"/>
    <w:rsid w:val="797A7FFA"/>
    <w:rsid w:val="7991079E"/>
    <w:rsid w:val="799A287B"/>
    <w:rsid w:val="79AD21EC"/>
    <w:rsid w:val="79F868EE"/>
    <w:rsid w:val="7A09713F"/>
    <w:rsid w:val="7A1E66FA"/>
    <w:rsid w:val="7A4A70EC"/>
    <w:rsid w:val="7A783FA4"/>
    <w:rsid w:val="7AB643D9"/>
    <w:rsid w:val="7ABF3111"/>
    <w:rsid w:val="7B690757"/>
    <w:rsid w:val="7B6F14CD"/>
    <w:rsid w:val="7B7A553E"/>
    <w:rsid w:val="7B7F7F7B"/>
    <w:rsid w:val="7B8805DE"/>
    <w:rsid w:val="7B955AA9"/>
    <w:rsid w:val="7BA46889"/>
    <w:rsid w:val="7BBA4319"/>
    <w:rsid w:val="7BD70920"/>
    <w:rsid w:val="7BEE77E3"/>
    <w:rsid w:val="7C3B3EC8"/>
    <w:rsid w:val="7C835849"/>
    <w:rsid w:val="7CC268D5"/>
    <w:rsid w:val="7CE678BD"/>
    <w:rsid w:val="7CEC2423"/>
    <w:rsid w:val="7D0B72D7"/>
    <w:rsid w:val="7D3F5670"/>
    <w:rsid w:val="7D5D253D"/>
    <w:rsid w:val="7D7D498E"/>
    <w:rsid w:val="7DD6409E"/>
    <w:rsid w:val="7DE07CE4"/>
    <w:rsid w:val="7E1422FE"/>
    <w:rsid w:val="7E235535"/>
    <w:rsid w:val="7E2D5E6E"/>
    <w:rsid w:val="7E301F03"/>
    <w:rsid w:val="7E447410"/>
    <w:rsid w:val="7E4D71C8"/>
    <w:rsid w:val="7E725F47"/>
    <w:rsid w:val="7E7C3479"/>
    <w:rsid w:val="7E85299E"/>
    <w:rsid w:val="7E885398"/>
    <w:rsid w:val="7E8B1A51"/>
    <w:rsid w:val="7EEB0EBF"/>
    <w:rsid w:val="7EF26CB5"/>
    <w:rsid w:val="7F271055"/>
    <w:rsid w:val="7F451439"/>
    <w:rsid w:val="7F5F07EF"/>
    <w:rsid w:val="7F70795F"/>
    <w:rsid w:val="7FA95426"/>
    <w:rsid w:val="7FB977D3"/>
    <w:rsid w:val="7FEA3E3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qFormat="1" w:unhideWhenUsed="0" w:uiPriority="0" w:semiHidden="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qFormat="1" w:unhideWhenUsed="0" w:uiPriority="0" w:semiHidden="0" w:name="Body Text 2"/>
    <w:lsdException w:qFormat="1" w:unhideWhenUsed="0" w:uiPriority="99"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qFormat="1" w:uiPriority="0" w:name="HTML Acronym"/>
    <w:lsdException w:uiPriority="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iPriority="0" w:name="HTML Keyboard"/>
    <w:lsdException w:qFormat="1" w:unhideWhenUsed="0" w:uiPriority="0" w:semiHidden="0" w:name="HTML Preformatted"/>
    <w:lsdException w:qFormat="1" w:uiPriority="0" w:name="HTML Sample"/>
    <w:lsdException w:qFormat="1" w:uiPriority="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3"/>
    <w:qFormat/>
    <w:uiPriority w:val="0"/>
    <w:pPr>
      <w:keepNext/>
      <w:keepLines/>
      <w:spacing w:before="200" w:after="100" w:line="360" w:lineRule="auto"/>
      <w:jc w:val="center"/>
      <w:outlineLvl w:val="0"/>
    </w:pPr>
    <w:rPr>
      <w:b/>
      <w:bCs/>
      <w:kern w:val="44"/>
      <w:sz w:val="32"/>
      <w:szCs w:val="44"/>
    </w:rPr>
  </w:style>
  <w:style w:type="paragraph" w:styleId="4">
    <w:name w:val="heading 2"/>
    <w:basedOn w:val="1"/>
    <w:next w:val="1"/>
    <w:link w:val="84"/>
    <w:qFormat/>
    <w:uiPriority w:val="0"/>
    <w:pPr>
      <w:tabs>
        <w:tab w:val="left" w:pos="576"/>
      </w:tabs>
      <w:spacing w:before="260" w:after="260"/>
      <w:ind w:left="576" w:hanging="576"/>
      <w:jc w:val="left"/>
      <w:outlineLvl w:val="1"/>
    </w:pPr>
    <w:rPr>
      <w:rFonts w:ascii="华文细黑" w:hAnsi="Arial" w:eastAsia="华文细黑" w:cs="Arial Unicode MS"/>
      <w:b/>
      <w:bCs/>
      <w:kern w:val="0"/>
      <w:sz w:val="44"/>
      <w:szCs w:val="32"/>
    </w:rPr>
  </w:style>
  <w:style w:type="paragraph" w:styleId="5">
    <w:name w:val="heading 3"/>
    <w:basedOn w:val="1"/>
    <w:next w:val="1"/>
    <w:link w:val="86"/>
    <w:qFormat/>
    <w:uiPriority w:val="0"/>
    <w:pPr>
      <w:keepNext/>
      <w:keepLines/>
      <w:spacing w:before="260" w:after="260" w:line="416" w:lineRule="auto"/>
      <w:outlineLvl w:val="2"/>
    </w:pPr>
    <w:rPr>
      <w:b/>
      <w:bCs/>
      <w:sz w:val="32"/>
      <w:szCs w:val="32"/>
    </w:rPr>
  </w:style>
  <w:style w:type="paragraph" w:styleId="6">
    <w:name w:val="heading 4"/>
    <w:basedOn w:val="1"/>
    <w:next w:val="1"/>
    <w:link w:val="65"/>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71"/>
    <w:qFormat/>
    <w:uiPriority w:val="0"/>
    <w:pPr>
      <w:keepNext/>
      <w:keepLines/>
      <w:spacing w:before="280" w:after="290" w:line="376" w:lineRule="auto"/>
      <w:outlineLvl w:val="4"/>
    </w:pPr>
    <w:rPr>
      <w:b/>
      <w:bCs/>
      <w:sz w:val="28"/>
      <w:szCs w:val="28"/>
    </w:rPr>
  </w:style>
  <w:style w:type="paragraph" w:styleId="8">
    <w:name w:val="heading 6"/>
    <w:basedOn w:val="1"/>
    <w:next w:val="1"/>
    <w:link w:val="66"/>
    <w:qFormat/>
    <w:uiPriority w:val="0"/>
    <w:pPr>
      <w:keepNext/>
      <w:keepLines/>
      <w:spacing w:before="240" w:after="64" w:line="317" w:lineRule="auto"/>
      <w:outlineLvl w:val="5"/>
    </w:pPr>
    <w:rPr>
      <w:rFonts w:ascii="Cambria" w:hAnsi="Cambria"/>
      <w:b/>
      <w:bCs/>
      <w:sz w:val="24"/>
    </w:rPr>
  </w:style>
  <w:style w:type="paragraph" w:styleId="9">
    <w:name w:val="heading 7"/>
    <w:basedOn w:val="1"/>
    <w:next w:val="1"/>
    <w:link w:val="64"/>
    <w:qFormat/>
    <w:uiPriority w:val="0"/>
    <w:pPr>
      <w:keepNext/>
      <w:keepLines/>
      <w:spacing w:before="240" w:after="64" w:line="317" w:lineRule="auto"/>
      <w:outlineLvl w:val="6"/>
    </w:pPr>
    <w:rPr>
      <w:rFonts w:ascii="Calibri" w:hAnsi="Calibri"/>
      <w:b/>
      <w:bCs/>
      <w:sz w:val="24"/>
    </w:rPr>
  </w:style>
  <w:style w:type="paragraph" w:styleId="10">
    <w:name w:val="heading 8"/>
    <w:basedOn w:val="1"/>
    <w:next w:val="1"/>
    <w:link w:val="72"/>
    <w:qFormat/>
    <w:uiPriority w:val="0"/>
    <w:pPr>
      <w:keepNext/>
      <w:keepLines/>
      <w:spacing w:before="240" w:after="64" w:line="317" w:lineRule="auto"/>
      <w:outlineLvl w:val="7"/>
    </w:pPr>
    <w:rPr>
      <w:rFonts w:ascii="Cambria" w:hAnsi="Cambria"/>
      <w:sz w:val="24"/>
    </w:rPr>
  </w:style>
  <w:style w:type="paragraph" w:styleId="11">
    <w:name w:val="heading 9"/>
    <w:basedOn w:val="1"/>
    <w:next w:val="1"/>
    <w:link w:val="78"/>
    <w:qFormat/>
    <w:uiPriority w:val="0"/>
    <w:pPr>
      <w:keepNext/>
      <w:keepLines/>
      <w:spacing w:before="240" w:after="64" w:line="317" w:lineRule="auto"/>
      <w:outlineLvl w:val="8"/>
    </w:pPr>
    <w:rPr>
      <w:rFonts w:ascii="Cambria" w:hAnsi="Cambria"/>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62"/>
    <w:qFormat/>
    <w:uiPriority w:val="99"/>
    <w:pPr>
      <w:widowControl/>
      <w:jc w:val="left"/>
    </w:pPr>
    <w:rPr>
      <w:kern w:val="0"/>
      <w:sz w:val="24"/>
      <w:szCs w:val="20"/>
    </w:rPr>
  </w:style>
  <w:style w:type="paragraph" w:styleId="12">
    <w:name w:val="toc 7"/>
    <w:basedOn w:val="1"/>
    <w:next w:val="1"/>
    <w:qFormat/>
    <w:uiPriority w:val="39"/>
    <w:pPr>
      <w:ind w:left="2520" w:leftChars="1200"/>
    </w:pPr>
    <w:rPr>
      <w:rFonts w:ascii="Calibri" w:hAnsi="Calibri"/>
      <w:szCs w:val="22"/>
    </w:rPr>
  </w:style>
  <w:style w:type="paragraph" w:styleId="13">
    <w:name w:val="Normal Indent"/>
    <w:basedOn w:val="1"/>
    <w:next w:val="14"/>
    <w:qFormat/>
    <w:uiPriority w:val="0"/>
    <w:pPr>
      <w:adjustRightInd w:val="0"/>
      <w:spacing w:line="360" w:lineRule="atLeast"/>
      <w:ind w:firstLine="482"/>
      <w:textAlignment w:val="baseline"/>
    </w:pPr>
    <w:rPr>
      <w:kern w:val="0"/>
      <w:sz w:val="24"/>
      <w:szCs w:val="20"/>
    </w:rPr>
  </w:style>
  <w:style w:type="paragraph" w:styleId="14">
    <w:name w:val="toc 4"/>
    <w:basedOn w:val="1"/>
    <w:next w:val="1"/>
    <w:qFormat/>
    <w:uiPriority w:val="39"/>
    <w:pPr>
      <w:ind w:left="1260" w:leftChars="6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82"/>
    <w:qFormat/>
    <w:uiPriority w:val="0"/>
    <w:pPr>
      <w:shd w:val="clear" w:color="auto" w:fill="000080"/>
    </w:pPr>
    <w:rPr>
      <w:kern w:val="0"/>
      <w:sz w:val="20"/>
      <w:shd w:val="clear" w:color="auto" w:fill="000080"/>
    </w:rPr>
  </w:style>
  <w:style w:type="paragraph" w:styleId="17">
    <w:name w:val="annotation text"/>
    <w:basedOn w:val="1"/>
    <w:link w:val="67"/>
    <w:qFormat/>
    <w:uiPriority w:val="0"/>
    <w:pPr>
      <w:jc w:val="left"/>
    </w:pPr>
    <w:rPr>
      <w:szCs w:val="22"/>
    </w:rPr>
  </w:style>
  <w:style w:type="paragraph" w:styleId="18">
    <w:name w:val="Body Text 3"/>
    <w:basedOn w:val="1"/>
    <w:link w:val="125"/>
    <w:qFormat/>
    <w:uiPriority w:val="99"/>
    <w:pPr>
      <w:spacing w:line="480" w:lineRule="exact"/>
    </w:pPr>
    <w:rPr>
      <w:rFonts w:ascii="宋体" w:hAnsi="宋体"/>
      <w:sz w:val="24"/>
      <w:szCs w:val="20"/>
    </w:rPr>
  </w:style>
  <w:style w:type="paragraph" w:styleId="19">
    <w:name w:val="Body Text Indent"/>
    <w:basedOn w:val="1"/>
    <w:link w:val="126"/>
    <w:qFormat/>
    <w:uiPriority w:val="0"/>
    <w:pPr>
      <w:spacing w:after="120"/>
      <w:ind w:left="420" w:leftChars="200"/>
    </w:pPr>
  </w:style>
  <w:style w:type="paragraph" w:styleId="20">
    <w:name w:val="Block Text"/>
    <w:basedOn w:val="1"/>
    <w:qFormat/>
    <w:uiPriority w:val="0"/>
    <w:pPr>
      <w:adjustRightInd w:val="0"/>
      <w:ind w:left="420" w:right="33"/>
      <w:jc w:val="left"/>
      <w:textAlignment w:val="baseline"/>
    </w:pPr>
    <w:rPr>
      <w:kern w:val="0"/>
      <w:sz w:val="24"/>
      <w:szCs w:val="20"/>
    </w:rPr>
  </w:style>
  <w:style w:type="paragraph" w:styleId="21">
    <w:name w:val="index 4"/>
    <w:basedOn w:val="1"/>
    <w:next w:val="1"/>
    <w:qFormat/>
    <w:uiPriority w:val="0"/>
    <w:pPr>
      <w:ind w:left="600" w:leftChars="600"/>
    </w:pPr>
  </w:style>
  <w:style w:type="paragraph" w:styleId="22">
    <w:name w:val="toc 5"/>
    <w:basedOn w:val="1"/>
    <w:next w:val="1"/>
    <w:qFormat/>
    <w:uiPriority w:val="39"/>
    <w:pPr>
      <w:tabs>
        <w:tab w:val="right" w:leader="dot" w:pos="8296"/>
      </w:tabs>
      <w:ind w:left="1050" w:leftChars="500"/>
    </w:pPr>
    <w:rPr>
      <w:rFonts w:ascii="Calibri" w:hAnsi="Calibri"/>
      <w:szCs w:val="22"/>
    </w:rPr>
  </w:style>
  <w:style w:type="paragraph" w:styleId="23">
    <w:name w:val="toc 3"/>
    <w:basedOn w:val="1"/>
    <w:next w:val="1"/>
    <w:qFormat/>
    <w:uiPriority w:val="39"/>
    <w:pPr>
      <w:ind w:left="840" w:leftChars="400"/>
    </w:pPr>
  </w:style>
  <w:style w:type="paragraph" w:styleId="24">
    <w:name w:val="Plain Text"/>
    <w:basedOn w:val="1"/>
    <w:link w:val="63"/>
    <w:qFormat/>
    <w:uiPriority w:val="0"/>
    <w:rPr>
      <w:rFonts w:ascii="宋体" w:hAnsi="Courier New" w:cs="Courier New"/>
      <w:szCs w:val="21"/>
    </w:rPr>
  </w:style>
  <w:style w:type="paragraph" w:styleId="25">
    <w:name w:val="toc 8"/>
    <w:basedOn w:val="1"/>
    <w:next w:val="1"/>
    <w:qFormat/>
    <w:uiPriority w:val="39"/>
    <w:pPr>
      <w:ind w:left="2940" w:leftChars="1400"/>
    </w:pPr>
    <w:rPr>
      <w:rFonts w:ascii="Calibri" w:hAnsi="Calibri"/>
      <w:szCs w:val="22"/>
    </w:rPr>
  </w:style>
  <w:style w:type="paragraph" w:styleId="26">
    <w:name w:val="Date"/>
    <w:basedOn w:val="1"/>
    <w:next w:val="1"/>
    <w:link w:val="127"/>
    <w:qFormat/>
    <w:uiPriority w:val="0"/>
    <w:pPr>
      <w:ind w:left="100" w:leftChars="2500"/>
    </w:pPr>
  </w:style>
  <w:style w:type="paragraph" w:styleId="27">
    <w:name w:val="Body Text Indent 2"/>
    <w:basedOn w:val="1"/>
    <w:link w:val="212"/>
    <w:qFormat/>
    <w:uiPriority w:val="0"/>
    <w:pPr>
      <w:spacing w:after="120" w:line="480" w:lineRule="auto"/>
      <w:ind w:left="420" w:leftChars="200"/>
    </w:pPr>
  </w:style>
  <w:style w:type="paragraph" w:styleId="28">
    <w:name w:val="Balloon Text"/>
    <w:basedOn w:val="1"/>
    <w:link w:val="129"/>
    <w:qFormat/>
    <w:uiPriority w:val="0"/>
    <w:rPr>
      <w:sz w:val="18"/>
      <w:szCs w:val="18"/>
    </w:rPr>
  </w:style>
  <w:style w:type="paragraph" w:styleId="29">
    <w:name w:val="footer"/>
    <w:basedOn w:val="1"/>
    <w:link w:val="88"/>
    <w:qFormat/>
    <w:uiPriority w:val="0"/>
    <w:pPr>
      <w:tabs>
        <w:tab w:val="center" w:pos="4153"/>
        <w:tab w:val="right" w:pos="8306"/>
      </w:tabs>
      <w:snapToGrid w:val="0"/>
      <w:jc w:val="left"/>
    </w:pPr>
    <w:rPr>
      <w:sz w:val="18"/>
      <w:szCs w:val="18"/>
    </w:rPr>
  </w:style>
  <w:style w:type="paragraph" w:styleId="30">
    <w:name w:val="header"/>
    <w:basedOn w:val="1"/>
    <w:link w:val="87"/>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39"/>
    <w:pPr>
      <w:tabs>
        <w:tab w:val="right" w:leader="dot" w:pos="9060"/>
      </w:tabs>
      <w:spacing w:line="480" w:lineRule="auto"/>
    </w:pPr>
    <w:rPr>
      <w:rFonts w:ascii="宋体" w:hAnsi="宋体"/>
      <w:color w:val="FF0000"/>
      <w:sz w:val="24"/>
    </w:rPr>
  </w:style>
  <w:style w:type="paragraph" w:styleId="32">
    <w:name w:val="Subtitle"/>
    <w:basedOn w:val="1"/>
    <w:next w:val="1"/>
    <w:link w:val="73"/>
    <w:qFormat/>
    <w:uiPriority w:val="0"/>
    <w:pPr>
      <w:spacing w:before="240" w:after="60" w:line="312" w:lineRule="auto"/>
      <w:jc w:val="center"/>
      <w:outlineLvl w:val="1"/>
    </w:pPr>
    <w:rPr>
      <w:rFonts w:ascii="Cambria" w:hAnsi="Cambria"/>
      <w:b/>
      <w:bCs/>
      <w:kern w:val="28"/>
      <w:sz w:val="32"/>
      <w:szCs w:val="32"/>
    </w:rPr>
  </w:style>
  <w:style w:type="paragraph" w:styleId="33">
    <w:name w:val="toc 6"/>
    <w:basedOn w:val="1"/>
    <w:next w:val="1"/>
    <w:qFormat/>
    <w:uiPriority w:val="39"/>
    <w:pPr>
      <w:ind w:left="2100" w:leftChars="1000"/>
    </w:pPr>
    <w:rPr>
      <w:rFonts w:ascii="Calibri" w:hAnsi="Calibri"/>
      <w:szCs w:val="22"/>
    </w:rPr>
  </w:style>
  <w:style w:type="paragraph" w:styleId="34">
    <w:name w:val="Body Text Indent 3"/>
    <w:basedOn w:val="1"/>
    <w:link w:val="214"/>
    <w:qFormat/>
    <w:uiPriority w:val="0"/>
    <w:pPr>
      <w:widowControl/>
      <w:overflowPunct w:val="0"/>
      <w:autoSpaceDE w:val="0"/>
      <w:autoSpaceDN w:val="0"/>
      <w:adjustRightInd w:val="0"/>
      <w:spacing w:line="360" w:lineRule="auto"/>
      <w:ind w:firstLine="540"/>
      <w:textAlignment w:val="baseline"/>
    </w:pPr>
    <w:rPr>
      <w:rFonts w:ascii="宋体" w:hAnsi="MS Sans Serif"/>
      <w:color w:val="000000"/>
      <w:sz w:val="24"/>
    </w:rPr>
  </w:style>
  <w:style w:type="paragraph" w:styleId="35">
    <w:name w:val="toc 2"/>
    <w:basedOn w:val="1"/>
    <w:next w:val="1"/>
    <w:qFormat/>
    <w:uiPriority w:val="39"/>
    <w:pPr>
      <w:ind w:left="420" w:leftChars="200"/>
    </w:pPr>
    <w:rPr>
      <w:rFonts w:ascii="宋体"/>
      <w:b/>
      <w:sz w:val="28"/>
      <w:szCs w:val="20"/>
    </w:rPr>
  </w:style>
  <w:style w:type="paragraph" w:styleId="36">
    <w:name w:val="toc 9"/>
    <w:basedOn w:val="1"/>
    <w:next w:val="1"/>
    <w:qFormat/>
    <w:uiPriority w:val="39"/>
    <w:pPr>
      <w:ind w:left="3360" w:leftChars="1600"/>
    </w:pPr>
    <w:rPr>
      <w:rFonts w:ascii="Calibri" w:hAnsi="Calibri"/>
      <w:szCs w:val="22"/>
    </w:rPr>
  </w:style>
  <w:style w:type="paragraph" w:styleId="37">
    <w:name w:val="Body Text 2"/>
    <w:basedOn w:val="1"/>
    <w:link w:val="213"/>
    <w:qFormat/>
    <w:uiPriority w:val="0"/>
    <w:pPr>
      <w:spacing w:after="120" w:line="480" w:lineRule="auto"/>
    </w:pPr>
    <w:rPr>
      <w:rFonts w:ascii="Calibri" w:hAnsi="Calibri"/>
      <w:szCs w:val="20"/>
    </w:rPr>
  </w:style>
  <w:style w:type="paragraph" w:styleId="38">
    <w:name w:val="HTML Preformatted"/>
    <w:basedOn w:val="1"/>
    <w:link w:val="13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39">
    <w:name w:val="Normal (Web)"/>
    <w:basedOn w:val="1"/>
    <w:qFormat/>
    <w:uiPriority w:val="0"/>
    <w:pPr>
      <w:widowControl/>
      <w:spacing w:before="100" w:beforeAutospacing="1" w:after="100" w:afterAutospacing="1"/>
      <w:jc w:val="left"/>
    </w:pPr>
    <w:rPr>
      <w:rFonts w:ascii="宋体" w:hAnsi="宋体"/>
      <w:kern w:val="0"/>
      <w:sz w:val="24"/>
    </w:rPr>
  </w:style>
  <w:style w:type="paragraph" w:styleId="40">
    <w:name w:val="index 1"/>
    <w:basedOn w:val="1"/>
    <w:next w:val="1"/>
    <w:qFormat/>
    <w:uiPriority w:val="0"/>
    <w:pPr>
      <w:spacing w:line="360" w:lineRule="auto"/>
      <w:jc w:val="center"/>
    </w:pPr>
    <w:rPr>
      <w:rFonts w:eastAsia="仿宋_GB2312"/>
      <w:sz w:val="28"/>
      <w:szCs w:val="28"/>
    </w:rPr>
  </w:style>
  <w:style w:type="paragraph" w:styleId="41">
    <w:name w:val="Title"/>
    <w:basedOn w:val="1"/>
    <w:next w:val="1"/>
    <w:link w:val="61"/>
    <w:qFormat/>
    <w:uiPriority w:val="0"/>
    <w:pPr>
      <w:spacing w:before="240" w:after="60"/>
      <w:jc w:val="center"/>
      <w:outlineLvl w:val="0"/>
    </w:pPr>
    <w:rPr>
      <w:rFonts w:ascii="Cambria" w:hAnsi="Cambria"/>
      <w:b/>
      <w:bCs/>
      <w:sz w:val="32"/>
      <w:szCs w:val="32"/>
    </w:rPr>
  </w:style>
  <w:style w:type="paragraph" w:styleId="42">
    <w:name w:val="annotation subject"/>
    <w:basedOn w:val="17"/>
    <w:next w:val="17"/>
    <w:link w:val="124"/>
    <w:qFormat/>
    <w:uiPriority w:val="0"/>
    <w:rPr>
      <w:rFonts w:ascii="宋体"/>
      <w:b/>
      <w:bCs/>
      <w:sz w:val="28"/>
    </w:r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qFormat/>
    <w:uiPriority w:val="0"/>
    <w:rPr>
      <w:b/>
      <w:bCs/>
    </w:rPr>
  </w:style>
  <w:style w:type="character" w:styleId="47">
    <w:name w:val="page number"/>
    <w:basedOn w:val="45"/>
    <w:qFormat/>
    <w:uiPriority w:val="0"/>
  </w:style>
  <w:style w:type="character" w:styleId="48">
    <w:name w:val="FollowedHyperlink"/>
    <w:basedOn w:val="45"/>
    <w:qFormat/>
    <w:uiPriority w:val="99"/>
    <w:rPr>
      <w:color w:val="296FBE"/>
      <w:u w:val="none"/>
    </w:rPr>
  </w:style>
  <w:style w:type="character" w:styleId="49">
    <w:name w:val="Emphasis"/>
    <w:qFormat/>
    <w:uiPriority w:val="0"/>
    <w:rPr>
      <w:i/>
      <w:iCs/>
    </w:rPr>
  </w:style>
  <w:style w:type="character" w:styleId="50">
    <w:name w:val="HTML Definition"/>
    <w:basedOn w:val="45"/>
    <w:qFormat/>
    <w:uiPriority w:val="0"/>
  </w:style>
  <w:style w:type="character" w:styleId="51">
    <w:name w:val="HTML Typewriter"/>
    <w:basedOn w:val="45"/>
    <w:semiHidden/>
    <w:unhideWhenUsed/>
    <w:qFormat/>
    <w:uiPriority w:val="0"/>
    <w:rPr>
      <w:rFonts w:ascii="monospace" w:hAnsi="monospace" w:eastAsia="monospace" w:cs="monospace"/>
      <w:sz w:val="20"/>
      <w:bdr w:val="single" w:color="DBDEC1" w:sz="6" w:space="0"/>
      <w:shd w:val="clear" w:color="auto" w:fill="FFFFFF"/>
    </w:rPr>
  </w:style>
  <w:style w:type="character" w:styleId="52">
    <w:name w:val="HTML Acronym"/>
    <w:basedOn w:val="45"/>
    <w:semiHidden/>
    <w:unhideWhenUsed/>
    <w:qFormat/>
    <w:uiPriority w:val="0"/>
  </w:style>
  <w:style w:type="character" w:styleId="53">
    <w:name w:val="HTML Variable"/>
    <w:basedOn w:val="45"/>
    <w:qFormat/>
    <w:uiPriority w:val="0"/>
  </w:style>
  <w:style w:type="character" w:styleId="54">
    <w:name w:val="Hyperlink"/>
    <w:basedOn w:val="45"/>
    <w:qFormat/>
    <w:uiPriority w:val="99"/>
    <w:rPr>
      <w:color w:val="296FBE"/>
      <w:u w:val="none"/>
    </w:rPr>
  </w:style>
  <w:style w:type="character" w:styleId="55">
    <w:name w:val="HTML Code"/>
    <w:basedOn w:val="45"/>
    <w:qFormat/>
    <w:uiPriority w:val="0"/>
    <w:rPr>
      <w:rFonts w:ascii="微软雅黑" w:hAnsi="微软雅黑" w:eastAsia="微软雅黑" w:cs="微软雅黑"/>
      <w:sz w:val="20"/>
    </w:rPr>
  </w:style>
  <w:style w:type="character" w:styleId="56">
    <w:name w:val="annotation reference"/>
    <w:qFormat/>
    <w:uiPriority w:val="0"/>
    <w:rPr>
      <w:sz w:val="21"/>
      <w:szCs w:val="21"/>
    </w:rPr>
  </w:style>
  <w:style w:type="character" w:styleId="57">
    <w:name w:val="HTML Cite"/>
    <w:basedOn w:val="45"/>
    <w:qFormat/>
    <w:uiPriority w:val="0"/>
  </w:style>
  <w:style w:type="character" w:styleId="58">
    <w:name w:val="HTML Keyboard"/>
    <w:basedOn w:val="45"/>
    <w:semiHidden/>
    <w:unhideWhenUsed/>
    <w:qFormat/>
    <w:uiPriority w:val="0"/>
    <w:rPr>
      <w:rFonts w:hint="default" w:ascii="Consolas" w:hAnsi="Consolas" w:eastAsia="Consolas" w:cs="Consolas"/>
      <w:color w:val="FFFFFF"/>
      <w:sz w:val="21"/>
      <w:szCs w:val="21"/>
      <w:shd w:val="clear" w:color="auto" w:fill="333333"/>
    </w:rPr>
  </w:style>
  <w:style w:type="character" w:styleId="59">
    <w:name w:val="HTML Sample"/>
    <w:basedOn w:val="45"/>
    <w:semiHidden/>
    <w:unhideWhenUsed/>
    <w:qFormat/>
    <w:uiPriority w:val="0"/>
    <w:rPr>
      <w:rFonts w:hint="default" w:ascii="Consolas" w:hAnsi="Consolas" w:eastAsia="Consolas" w:cs="Consolas"/>
      <w:sz w:val="21"/>
      <w:szCs w:val="21"/>
    </w:rPr>
  </w:style>
  <w:style w:type="paragraph" w:customStyle="1" w:styleId="60">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61">
    <w:name w:val="标题 Char"/>
    <w:link w:val="41"/>
    <w:qFormat/>
    <w:uiPriority w:val="0"/>
    <w:rPr>
      <w:rFonts w:ascii="Cambria" w:hAnsi="Cambria"/>
      <w:b/>
      <w:bCs/>
      <w:kern w:val="2"/>
      <w:sz w:val="32"/>
      <w:szCs w:val="32"/>
      <w:lang w:bidi="ar-SA"/>
    </w:rPr>
  </w:style>
  <w:style w:type="character" w:customStyle="1" w:styleId="62">
    <w:name w:val="正文文本 Char"/>
    <w:link w:val="2"/>
    <w:qFormat/>
    <w:uiPriority w:val="99"/>
    <w:rPr>
      <w:rFonts w:eastAsia="宋体"/>
      <w:sz w:val="24"/>
      <w:lang w:val="en-US" w:eastAsia="zh-CN" w:bidi="ar-SA"/>
    </w:rPr>
  </w:style>
  <w:style w:type="character" w:customStyle="1" w:styleId="63">
    <w:name w:val="纯文本 Char"/>
    <w:link w:val="24"/>
    <w:qFormat/>
    <w:uiPriority w:val="0"/>
    <w:rPr>
      <w:rFonts w:ascii="宋体" w:hAnsi="Courier New" w:eastAsia="宋体" w:cs="Courier New"/>
      <w:kern w:val="2"/>
      <w:sz w:val="21"/>
      <w:szCs w:val="21"/>
      <w:lang w:val="en-US" w:eastAsia="zh-CN" w:bidi="ar-SA"/>
    </w:rPr>
  </w:style>
  <w:style w:type="character" w:customStyle="1" w:styleId="64">
    <w:name w:val="标题 7 Char"/>
    <w:link w:val="9"/>
    <w:qFormat/>
    <w:uiPriority w:val="0"/>
    <w:rPr>
      <w:rFonts w:ascii="Calibri" w:hAnsi="Calibri" w:eastAsia="宋体"/>
      <w:b/>
      <w:bCs/>
      <w:kern w:val="2"/>
      <w:sz w:val="24"/>
      <w:szCs w:val="24"/>
      <w:lang w:val="en-US" w:eastAsia="zh-CN" w:bidi="ar-SA"/>
    </w:rPr>
  </w:style>
  <w:style w:type="character" w:customStyle="1" w:styleId="65">
    <w:name w:val="标题 4 Char"/>
    <w:link w:val="6"/>
    <w:qFormat/>
    <w:uiPriority w:val="0"/>
    <w:rPr>
      <w:rFonts w:ascii="Arial" w:hAnsi="Arial" w:eastAsia="黑体"/>
      <w:b/>
      <w:bCs/>
      <w:kern w:val="2"/>
      <w:sz w:val="28"/>
      <w:szCs w:val="28"/>
      <w:lang w:val="en-US" w:eastAsia="zh-CN" w:bidi="ar-SA"/>
    </w:rPr>
  </w:style>
  <w:style w:type="character" w:customStyle="1" w:styleId="66">
    <w:name w:val="标题 6 Char"/>
    <w:link w:val="8"/>
    <w:qFormat/>
    <w:uiPriority w:val="0"/>
    <w:rPr>
      <w:rFonts w:ascii="Cambria" w:hAnsi="Cambria" w:eastAsia="宋体"/>
      <w:b/>
      <w:bCs/>
      <w:kern w:val="2"/>
      <w:sz w:val="24"/>
      <w:szCs w:val="24"/>
      <w:lang w:val="en-US" w:eastAsia="zh-CN" w:bidi="ar-SA"/>
    </w:rPr>
  </w:style>
  <w:style w:type="character" w:customStyle="1" w:styleId="67">
    <w:name w:val="批注文字 Char"/>
    <w:link w:val="17"/>
    <w:qFormat/>
    <w:uiPriority w:val="0"/>
    <w:rPr>
      <w:kern w:val="2"/>
      <w:sz w:val="21"/>
      <w:szCs w:val="22"/>
      <w:lang w:bidi="ar-SA"/>
    </w:rPr>
  </w:style>
  <w:style w:type="character" w:customStyle="1" w:styleId="68">
    <w:name w:val="Char Char1"/>
    <w:qFormat/>
    <w:uiPriority w:val="0"/>
    <w:rPr>
      <w:rFonts w:ascii="宋体" w:hAnsi="Courier New" w:eastAsia="宋体" w:cs="Courier New"/>
      <w:kern w:val="2"/>
      <w:sz w:val="21"/>
      <w:szCs w:val="21"/>
      <w:lang w:val="en-US" w:eastAsia="zh-CN" w:bidi="ar-SA"/>
    </w:rPr>
  </w:style>
  <w:style w:type="character" w:customStyle="1" w:styleId="69">
    <w:name w:val="引用 Char"/>
    <w:link w:val="70"/>
    <w:qFormat/>
    <w:uiPriority w:val="0"/>
    <w:rPr>
      <w:i/>
      <w:iCs/>
      <w:color w:val="000000"/>
      <w:kern w:val="2"/>
      <w:sz w:val="21"/>
      <w:szCs w:val="22"/>
      <w:lang w:bidi="ar-SA"/>
    </w:rPr>
  </w:style>
  <w:style w:type="paragraph" w:styleId="70">
    <w:name w:val="Quote"/>
    <w:basedOn w:val="1"/>
    <w:next w:val="1"/>
    <w:link w:val="69"/>
    <w:qFormat/>
    <w:uiPriority w:val="0"/>
    <w:rPr>
      <w:i/>
      <w:iCs/>
      <w:color w:val="000000"/>
      <w:szCs w:val="22"/>
    </w:rPr>
  </w:style>
  <w:style w:type="character" w:customStyle="1" w:styleId="71">
    <w:name w:val="标题 5 Char"/>
    <w:link w:val="7"/>
    <w:qFormat/>
    <w:uiPriority w:val="0"/>
    <w:rPr>
      <w:rFonts w:eastAsia="宋体"/>
      <w:b/>
      <w:bCs/>
      <w:kern w:val="2"/>
      <w:sz w:val="28"/>
      <w:szCs w:val="28"/>
      <w:lang w:val="en-US" w:eastAsia="zh-CN" w:bidi="ar-SA"/>
    </w:rPr>
  </w:style>
  <w:style w:type="character" w:customStyle="1" w:styleId="72">
    <w:name w:val="标题 8 Char"/>
    <w:link w:val="10"/>
    <w:qFormat/>
    <w:uiPriority w:val="0"/>
    <w:rPr>
      <w:rFonts w:ascii="Cambria" w:hAnsi="Cambria" w:eastAsia="宋体"/>
      <w:kern w:val="2"/>
      <w:sz w:val="24"/>
      <w:szCs w:val="24"/>
      <w:lang w:val="en-US" w:eastAsia="zh-CN" w:bidi="ar-SA"/>
    </w:rPr>
  </w:style>
  <w:style w:type="character" w:customStyle="1" w:styleId="73">
    <w:name w:val="副标题 Char"/>
    <w:link w:val="32"/>
    <w:qFormat/>
    <w:uiPriority w:val="0"/>
    <w:rPr>
      <w:rFonts w:ascii="Cambria" w:hAnsi="Cambria"/>
      <w:b/>
      <w:bCs/>
      <w:kern w:val="28"/>
      <w:sz w:val="32"/>
      <w:szCs w:val="32"/>
      <w:lang w:bidi="ar-SA"/>
    </w:rPr>
  </w:style>
  <w:style w:type="character" w:customStyle="1" w:styleId="74">
    <w:name w:val="明显引用 Char"/>
    <w:link w:val="75"/>
    <w:qFormat/>
    <w:uiPriority w:val="0"/>
    <w:rPr>
      <w:b/>
      <w:bCs/>
      <w:i/>
      <w:iCs/>
      <w:color w:val="4F81BD"/>
      <w:kern w:val="2"/>
      <w:sz w:val="21"/>
      <w:szCs w:val="22"/>
      <w:lang w:bidi="ar-SA"/>
    </w:rPr>
  </w:style>
  <w:style w:type="paragraph" w:styleId="75">
    <w:name w:val="Intense Quote"/>
    <w:basedOn w:val="1"/>
    <w:next w:val="1"/>
    <w:link w:val="74"/>
    <w:qFormat/>
    <w:uiPriority w:val="0"/>
    <w:pPr>
      <w:pBdr>
        <w:bottom w:val="single" w:color="4F81BD" w:sz="4" w:space="4"/>
      </w:pBdr>
      <w:spacing w:before="200" w:after="280"/>
      <w:ind w:left="936" w:right="936"/>
    </w:pPr>
    <w:rPr>
      <w:b/>
      <w:bCs/>
      <w:i/>
      <w:iCs/>
      <w:color w:val="4F81BD"/>
      <w:szCs w:val="22"/>
    </w:rPr>
  </w:style>
  <w:style w:type="character" w:customStyle="1" w:styleId="76">
    <w:name w:val="标题5 Char Char"/>
    <w:link w:val="77"/>
    <w:qFormat/>
    <w:uiPriority w:val="0"/>
    <w:rPr>
      <w:rFonts w:ascii="Arial" w:hAnsi="Arial"/>
      <w:b/>
      <w:bCs/>
      <w:sz w:val="24"/>
      <w:szCs w:val="32"/>
      <w:lang w:bidi="ar-SA"/>
    </w:rPr>
  </w:style>
  <w:style w:type="paragraph" w:customStyle="1" w:styleId="77">
    <w:name w:val="标题5"/>
    <w:basedOn w:val="5"/>
    <w:link w:val="76"/>
    <w:qFormat/>
    <w:uiPriority w:val="0"/>
    <w:pPr>
      <w:spacing w:line="413" w:lineRule="auto"/>
    </w:pPr>
    <w:rPr>
      <w:rFonts w:ascii="Arial" w:hAnsi="Arial"/>
      <w:kern w:val="0"/>
      <w:sz w:val="24"/>
    </w:rPr>
  </w:style>
  <w:style w:type="character" w:customStyle="1" w:styleId="78">
    <w:name w:val="标题 9 Char"/>
    <w:link w:val="11"/>
    <w:qFormat/>
    <w:uiPriority w:val="0"/>
    <w:rPr>
      <w:rFonts w:ascii="Cambria" w:hAnsi="Cambria" w:eastAsia="宋体"/>
      <w:kern w:val="2"/>
      <w:sz w:val="21"/>
      <w:szCs w:val="21"/>
      <w:lang w:val="en-US" w:eastAsia="zh-CN" w:bidi="ar-SA"/>
    </w:rPr>
  </w:style>
  <w:style w:type="character" w:customStyle="1" w:styleId="79">
    <w:name w:val="标题4 Char Char"/>
    <w:link w:val="80"/>
    <w:qFormat/>
    <w:uiPriority w:val="0"/>
    <w:rPr>
      <w:rFonts w:ascii="Arial" w:hAnsi="Arial"/>
      <w:b/>
      <w:bCs/>
      <w:sz w:val="24"/>
      <w:szCs w:val="32"/>
      <w:lang w:bidi="ar-SA"/>
    </w:rPr>
  </w:style>
  <w:style w:type="paragraph" w:customStyle="1" w:styleId="80">
    <w:name w:val="标题4"/>
    <w:basedOn w:val="4"/>
    <w:next w:val="21"/>
    <w:link w:val="79"/>
    <w:qFormat/>
    <w:uiPriority w:val="0"/>
    <w:pPr>
      <w:keepNext/>
      <w:keepLines/>
      <w:tabs>
        <w:tab w:val="clear" w:pos="576"/>
      </w:tabs>
      <w:spacing w:line="413" w:lineRule="auto"/>
      <w:ind w:left="0" w:firstLine="0"/>
      <w:jc w:val="both"/>
    </w:pPr>
    <w:rPr>
      <w:rFonts w:ascii="Arial" w:eastAsia="宋体" w:cs="Times New Roman"/>
      <w:sz w:val="24"/>
    </w:rPr>
  </w:style>
  <w:style w:type="character" w:customStyle="1" w:styleId="81">
    <w:name w:val="apple-converted-space"/>
    <w:basedOn w:val="45"/>
    <w:qFormat/>
    <w:uiPriority w:val="0"/>
  </w:style>
  <w:style w:type="character" w:customStyle="1" w:styleId="82">
    <w:name w:val="文档结构图 Char"/>
    <w:link w:val="16"/>
    <w:qFormat/>
    <w:uiPriority w:val="0"/>
    <w:rPr>
      <w:szCs w:val="24"/>
      <w:shd w:val="clear" w:color="auto" w:fill="000080"/>
      <w:lang w:bidi="ar-SA"/>
    </w:rPr>
  </w:style>
  <w:style w:type="character" w:customStyle="1" w:styleId="83">
    <w:name w:val="标题 1 Char"/>
    <w:link w:val="3"/>
    <w:qFormat/>
    <w:uiPriority w:val="0"/>
    <w:rPr>
      <w:b/>
      <w:bCs/>
      <w:kern w:val="44"/>
      <w:sz w:val="32"/>
      <w:szCs w:val="44"/>
    </w:rPr>
  </w:style>
  <w:style w:type="character" w:customStyle="1" w:styleId="84">
    <w:name w:val="标题 2 Char"/>
    <w:link w:val="4"/>
    <w:qFormat/>
    <w:uiPriority w:val="0"/>
    <w:rPr>
      <w:rFonts w:ascii="华文细黑" w:hAnsi="Arial" w:eastAsia="华文细黑" w:cs="Arial Unicode MS"/>
      <w:b/>
      <w:bCs/>
      <w:sz w:val="44"/>
      <w:szCs w:val="32"/>
      <w:lang w:val="en-US" w:eastAsia="zh-CN" w:bidi="ar-SA"/>
    </w:rPr>
  </w:style>
  <w:style w:type="character" w:customStyle="1" w:styleId="85">
    <w:name w:val="browse_class"/>
    <w:basedOn w:val="45"/>
    <w:qFormat/>
    <w:uiPriority w:val="0"/>
  </w:style>
  <w:style w:type="character" w:customStyle="1" w:styleId="86">
    <w:name w:val="标题 3 Char"/>
    <w:link w:val="5"/>
    <w:qFormat/>
    <w:uiPriority w:val="0"/>
    <w:rPr>
      <w:rFonts w:eastAsia="宋体"/>
      <w:b/>
      <w:bCs/>
      <w:kern w:val="2"/>
      <w:sz w:val="32"/>
      <w:szCs w:val="32"/>
      <w:lang w:val="en-US" w:eastAsia="zh-CN" w:bidi="ar-SA"/>
    </w:rPr>
  </w:style>
  <w:style w:type="character" w:customStyle="1" w:styleId="87">
    <w:name w:val="页眉 Char"/>
    <w:link w:val="30"/>
    <w:qFormat/>
    <w:uiPriority w:val="99"/>
    <w:rPr>
      <w:rFonts w:eastAsia="宋体"/>
      <w:kern w:val="2"/>
      <w:sz w:val="18"/>
      <w:szCs w:val="18"/>
      <w:lang w:val="en-US" w:eastAsia="zh-CN" w:bidi="ar-SA"/>
    </w:rPr>
  </w:style>
  <w:style w:type="character" w:customStyle="1" w:styleId="88">
    <w:name w:val="页脚 Char"/>
    <w:link w:val="29"/>
    <w:qFormat/>
    <w:locked/>
    <w:uiPriority w:val="0"/>
    <w:rPr>
      <w:rFonts w:eastAsia="宋体"/>
      <w:kern w:val="2"/>
      <w:sz w:val="18"/>
      <w:szCs w:val="18"/>
      <w:lang w:val="en-US" w:eastAsia="zh-CN" w:bidi="ar-SA"/>
    </w:rPr>
  </w:style>
  <w:style w:type="paragraph" w:customStyle="1" w:styleId="89">
    <w:name w:val="Char Char Char Char Char Char Char Char Char Char"/>
    <w:basedOn w:val="1"/>
    <w:qFormat/>
    <w:uiPriority w:val="0"/>
    <w:pPr>
      <w:adjustRightInd w:val="0"/>
      <w:spacing w:line="312" w:lineRule="atLeast"/>
      <w:textAlignment w:val="baseline"/>
    </w:pPr>
    <w:rPr>
      <w:b/>
      <w:bCs/>
      <w:kern w:val="0"/>
      <w:sz w:val="36"/>
      <w:szCs w:val="32"/>
    </w:rPr>
  </w:style>
  <w:style w:type="paragraph" w:customStyle="1" w:styleId="90">
    <w:name w:val="Char2"/>
    <w:basedOn w:val="1"/>
    <w:qFormat/>
    <w:uiPriority w:val="0"/>
    <w:rPr>
      <w:rFonts w:ascii="Tahoma" w:hAnsi="Tahoma"/>
      <w:sz w:val="24"/>
      <w:szCs w:val="20"/>
    </w:rPr>
  </w:style>
  <w:style w:type="paragraph" w:customStyle="1" w:styleId="91">
    <w:name w:val="Char1"/>
    <w:basedOn w:val="1"/>
    <w:qFormat/>
    <w:uiPriority w:val="0"/>
    <w:pPr>
      <w:spacing w:after="160" w:line="240" w:lineRule="exact"/>
    </w:pPr>
  </w:style>
  <w:style w:type="paragraph" w:customStyle="1" w:styleId="92">
    <w:name w:val="Char3"/>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3">
    <w:name w:val="Char Char2"/>
    <w:basedOn w:val="1"/>
    <w:qFormat/>
    <w:uiPriority w:val="0"/>
    <w:pPr>
      <w:widowControl/>
      <w:spacing w:after="160" w:line="240" w:lineRule="exact"/>
      <w:jc w:val="left"/>
    </w:pPr>
    <w:rPr>
      <w:rFonts w:ascii="Verdana" w:hAnsi="Verdana" w:eastAsia="仿宋_GB2312" w:cs="Verdana"/>
      <w:kern w:val="0"/>
      <w:sz w:val="24"/>
      <w:lang w:eastAsia="en-US"/>
    </w:rPr>
  </w:style>
  <w:style w:type="paragraph" w:customStyle="1" w:styleId="94">
    <w:name w:val="Char Char Char"/>
    <w:basedOn w:val="1"/>
    <w:qFormat/>
    <w:uiPriority w:val="0"/>
    <w:pPr>
      <w:widowControl/>
      <w:spacing w:after="160" w:line="240" w:lineRule="exact"/>
      <w:jc w:val="left"/>
    </w:pPr>
  </w:style>
  <w:style w:type="paragraph" w:customStyle="1" w:styleId="95">
    <w:name w:val="Char Char Char Char"/>
    <w:basedOn w:val="1"/>
    <w:qFormat/>
    <w:uiPriority w:val="0"/>
    <w:pPr>
      <w:adjustRightInd w:val="0"/>
      <w:spacing w:line="440" w:lineRule="exact"/>
    </w:pPr>
    <w:rPr>
      <w:rFonts w:ascii="宋体"/>
      <w:kern w:val="0"/>
      <w:sz w:val="28"/>
      <w:szCs w:val="27"/>
    </w:rPr>
  </w:style>
  <w:style w:type="paragraph" w:customStyle="1" w:styleId="96">
    <w:name w:val="Blockquote"/>
    <w:basedOn w:val="1"/>
    <w:link w:val="185"/>
    <w:qFormat/>
    <w:uiPriority w:val="0"/>
    <w:pPr>
      <w:autoSpaceDE w:val="0"/>
      <w:autoSpaceDN w:val="0"/>
      <w:adjustRightInd w:val="0"/>
      <w:spacing w:before="100" w:after="100"/>
      <w:ind w:left="360" w:right="360"/>
      <w:jc w:val="left"/>
    </w:pPr>
    <w:rPr>
      <w:kern w:val="0"/>
      <w:sz w:val="24"/>
      <w:szCs w:val="20"/>
    </w:rPr>
  </w:style>
  <w:style w:type="paragraph" w:customStyle="1" w:styleId="97">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8">
    <w:name w:val="Char Char 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9">
    <w:name w:val="样式2"/>
    <w:basedOn w:val="1"/>
    <w:link w:val="190"/>
    <w:qFormat/>
    <w:uiPriority w:val="0"/>
    <w:pPr>
      <w:pBdr>
        <w:top w:val="thinThickSmallGap" w:color="auto" w:sz="24" w:space="1"/>
      </w:pBdr>
      <w:tabs>
        <w:tab w:val="center" w:pos="4153"/>
        <w:tab w:val="right" w:pos="8306"/>
      </w:tabs>
      <w:snapToGrid w:val="0"/>
      <w:jc w:val="center"/>
    </w:pPr>
    <w:rPr>
      <w:rFonts w:ascii="宋体" w:hAnsi="宋体"/>
      <w:b/>
      <w:szCs w:val="21"/>
    </w:rPr>
  </w:style>
  <w:style w:type="paragraph" w:customStyle="1" w:styleId="100">
    <w:name w:val="样式1"/>
    <w:basedOn w:val="1"/>
    <w:link w:val="193"/>
    <w:qFormat/>
    <w:uiPriority w:val="0"/>
    <w:pPr>
      <w:pBdr>
        <w:bottom w:val="single" w:color="auto" w:sz="6" w:space="1"/>
      </w:pBdr>
      <w:tabs>
        <w:tab w:val="center" w:pos="4153"/>
        <w:tab w:val="right" w:pos="8306"/>
      </w:tabs>
      <w:snapToGrid w:val="0"/>
      <w:jc w:val="left"/>
    </w:pPr>
    <w:rPr>
      <w:rFonts w:ascii="宋体" w:hAnsi="宋体"/>
      <w:sz w:val="18"/>
      <w:szCs w:val="21"/>
    </w:rPr>
  </w:style>
  <w:style w:type="paragraph" w:customStyle="1" w:styleId="101">
    <w:name w:val="Char Char1 Char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02">
    <w:name w:val="默认段落字体 Para Char Char Char Char Char Char Char Char Char1 Char Char Char Char"/>
    <w:basedOn w:val="1"/>
    <w:qFormat/>
    <w:uiPriority w:val="0"/>
    <w:pPr>
      <w:adjustRightInd w:val="0"/>
      <w:spacing w:line="312" w:lineRule="atLeast"/>
      <w:textAlignment w:val="baseline"/>
    </w:pPr>
  </w:style>
  <w:style w:type="character" w:customStyle="1" w:styleId="103">
    <w:name w:val="browse_class&gt;span"/>
    <w:basedOn w:val="45"/>
    <w:qFormat/>
    <w:uiPriority w:val="0"/>
    <w:rPr>
      <w:shd w:val="clear" w:color="auto" w:fill="F8F8F8"/>
    </w:rPr>
  </w:style>
  <w:style w:type="character" w:customStyle="1" w:styleId="104">
    <w:name w:val="drapbtn"/>
    <w:basedOn w:val="45"/>
    <w:qFormat/>
    <w:uiPriority w:val="0"/>
  </w:style>
  <w:style w:type="character" w:customStyle="1" w:styleId="105">
    <w:name w:val="browse_class&gt;label"/>
    <w:basedOn w:val="45"/>
    <w:qFormat/>
    <w:uiPriority w:val="0"/>
    <w:rPr>
      <w:shd w:val="clear" w:color="auto" w:fill="F8F8F8"/>
    </w:rPr>
  </w:style>
  <w:style w:type="character" w:customStyle="1" w:styleId="106">
    <w:name w:val="biggerthanmax"/>
    <w:basedOn w:val="45"/>
    <w:qFormat/>
    <w:uiPriority w:val="0"/>
    <w:rPr>
      <w:shd w:val="clear" w:color="auto" w:fill="FFFF00"/>
    </w:rPr>
  </w:style>
  <w:style w:type="character" w:customStyle="1" w:styleId="107">
    <w:name w:val="hilite6"/>
    <w:basedOn w:val="45"/>
    <w:qFormat/>
    <w:uiPriority w:val="0"/>
    <w:rPr>
      <w:color w:val="FFFFFF"/>
      <w:shd w:val="clear" w:color="auto" w:fill="666677"/>
    </w:rPr>
  </w:style>
  <w:style w:type="character" w:customStyle="1" w:styleId="108">
    <w:name w:val="cdropleft"/>
    <w:basedOn w:val="45"/>
    <w:qFormat/>
    <w:uiPriority w:val="0"/>
  </w:style>
  <w:style w:type="character" w:customStyle="1" w:styleId="109">
    <w:name w:val="browse_class&gt;input"/>
    <w:basedOn w:val="45"/>
    <w:qFormat/>
    <w:uiPriority w:val="0"/>
    <w:rPr>
      <w:shd w:val="clear" w:color="auto" w:fill="F8F8F8"/>
    </w:rPr>
  </w:style>
  <w:style w:type="character" w:customStyle="1" w:styleId="110">
    <w:name w:val="token-input-delete-token"/>
    <w:basedOn w:val="45"/>
    <w:qFormat/>
    <w:uiPriority w:val="0"/>
    <w:rPr>
      <w:color w:val="FFFFFF"/>
    </w:rPr>
  </w:style>
  <w:style w:type="character" w:customStyle="1" w:styleId="111">
    <w:name w:val="ico1654"/>
    <w:basedOn w:val="45"/>
    <w:qFormat/>
    <w:uiPriority w:val="0"/>
  </w:style>
  <w:style w:type="character" w:customStyle="1" w:styleId="112">
    <w:name w:val="w32"/>
    <w:basedOn w:val="45"/>
    <w:qFormat/>
    <w:uiPriority w:val="0"/>
  </w:style>
  <w:style w:type="character" w:customStyle="1" w:styleId="113">
    <w:name w:val="design_class"/>
    <w:basedOn w:val="45"/>
    <w:qFormat/>
    <w:uiPriority w:val="0"/>
  </w:style>
  <w:style w:type="character" w:customStyle="1" w:styleId="114">
    <w:name w:val="button"/>
    <w:basedOn w:val="45"/>
    <w:qFormat/>
    <w:uiPriority w:val="0"/>
  </w:style>
  <w:style w:type="character" w:customStyle="1" w:styleId="115">
    <w:name w:val="tmpztreemove_arrow"/>
    <w:basedOn w:val="45"/>
    <w:qFormat/>
    <w:uiPriority w:val="0"/>
  </w:style>
  <w:style w:type="character" w:customStyle="1" w:styleId="116">
    <w:name w:val="cdropright"/>
    <w:basedOn w:val="45"/>
    <w:qFormat/>
    <w:uiPriority w:val="0"/>
  </w:style>
  <w:style w:type="character" w:customStyle="1" w:styleId="117">
    <w:name w:val="active12"/>
    <w:basedOn w:val="45"/>
    <w:qFormat/>
    <w:uiPriority w:val="0"/>
    <w:rPr>
      <w:color w:val="00FF00"/>
      <w:shd w:val="clear" w:color="auto" w:fill="111111"/>
    </w:rPr>
  </w:style>
  <w:style w:type="character" w:customStyle="1" w:styleId="118">
    <w:name w:val="cy"/>
    <w:basedOn w:val="45"/>
    <w:qFormat/>
    <w:uiPriority w:val="0"/>
  </w:style>
  <w:style w:type="character" w:customStyle="1" w:styleId="119">
    <w:name w:val="pagechatarealistclose_box"/>
    <w:basedOn w:val="45"/>
    <w:qFormat/>
    <w:uiPriority w:val="0"/>
  </w:style>
  <w:style w:type="character" w:customStyle="1" w:styleId="120">
    <w:name w:val="pagechatarealistclose_box1"/>
    <w:basedOn w:val="45"/>
    <w:qFormat/>
    <w:uiPriority w:val="0"/>
  </w:style>
  <w:style w:type="character" w:customStyle="1" w:styleId="121">
    <w:name w:val="xdrichtextbox2"/>
    <w:basedOn w:val="45"/>
    <w:qFormat/>
    <w:uiPriority w:val="0"/>
  </w:style>
  <w:style w:type="character" w:customStyle="1" w:styleId="122">
    <w:name w:val="edit_class"/>
    <w:basedOn w:val="45"/>
    <w:qFormat/>
    <w:uiPriority w:val="0"/>
  </w:style>
  <w:style w:type="character" w:customStyle="1" w:styleId="123">
    <w:name w:val="ico1655"/>
    <w:basedOn w:val="45"/>
    <w:qFormat/>
    <w:uiPriority w:val="0"/>
  </w:style>
  <w:style w:type="character" w:customStyle="1" w:styleId="124">
    <w:name w:val="批注主题 Char"/>
    <w:basedOn w:val="67"/>
    <w:link w:val="42"/>
    <w:qFormat/>
    <w:uiPriority w:val="0"/>
    <w:rPr>
      <w:rFonts w:ascii="宋体"/>
      <w:b/>
      <w:bCs/>
      <w:kern w:val="2"/>
      <w:sz w:val="28"/>
      <w:szCs w:val="22"/>
      <w:lang w:bidi="ar-SA"/>
    </w:rPr>
  </w:style>
  <w:style w:type="character" w:customStyle="1" w:styleId="125">
    <w:name w:val="正文文本 3 Char"/>
    <w:basedOn w:val="45"/>
    <w:link w:val="18"/>
    <w:qFormat/>
    <w:uiPriority w:val="99"/>
    <w:rPr>
      <w:rFonts w:ascii="宋体" w:hAnsi="宋体"/>
      <w:kern w:val="2"/>
      <w:sz w:val="24"/>
    </w:rPr>
  </w:style>
  <w:style w:type="character" w:customStyle="1" w:styleId="126">
    <w:name w:val="正文文本缩进 Char"/>
    <w:basedOn w:val="45"/>
    <w:link w:val="19"/>
    <w:qFormat/>
    <w:uiPriority w:val="0"/>
    <w:rPr>
      <w:kern w:val="2"/>
      <w:sz w:val="21"/>
      <w:szCs w:val="24"/>
    </w:rPr>
  </w:style>
  <w:style w:type="character" w:customStyle="1" w:styleId="127">
    <w:name w:val="日期 Char"/>
    <w:basedOn w:val="45"/>
    <w:link w:val="26"/>
    <w:qFormat/>
    <w:uiPriority w:val="0"/>
    <w:rPr>
      <w:kern w:val="2"/>
      <w:sz w:val="21"/>
      <w:szCs w:val="24"/>
    </w:rPr>
  </w:style>
  <w:style w:type="character" w:customStyle="1" w:styleId="128">
    <w:name w:val="正文文本缩进 2 Char"/>
    <w:basedOn w:val="45"/>
    <w:qFormat/>
    <w:uiPriority w:val="0"/>
    <w:rPr>
      <w:rFonts w:ascii="宋体" w:hAnsi="宋体" w:eastAsia="宋体" w:cs="Times New Roman"/>
      <w:sz w:val="24"/>
      <w:szCs w:val="24"/>
    </w:rPr>
  </w:style>
  <w:style w:type="character" w:customStyle="1" w:styleId="129">
    <w:name w:val="批注框文本 Char"/>
    <w:basedOn w:val="45"/>
    <w:link w:val="28"/>
    <w:qFormat/>
    <w:uiPriority w:val="0"/>
    <w:rPr>
      <w:kern w:val="2"/>
      <w:sz w:val="18"/>
      <w:szCs w:val="18"/>
    </w:rPr>
  </w:style>
  <w:style w:type="character" w:customStyle="1" w:styleId="130">
    <w:name w:val="正文文本缩进 3 Char"/>
    <w:basedOn w:val="45"/>
    <w:qFormat/>
    <w:uiPriority w:val="0"/>
    <w:rPr>
      <w:kern w:val="2"/>
      <w:sz w:val="16"/>
      <w:szCs w:val="16"/>
    </w:rPr>
  </w:style>
  <w:style w:type="character" w:customStyle="1" w:styleId="131">
    <w:name w:val="正文文本 2 Char"/>
    <w:basedOn w:val="45"/>
    <w:qFormat/>
    <w:uiPriority w:val="0"/>
    <w:rPr>
      <w:kern w:val="2"/>
      <w:sz w:val="21"/>
      <w:szCs w:val="24"/>
    </w:rPr>
  </w:style>
  <w:style w:type="character" w:customStyle="1" w:styleId="132">
    <w:name w:val="HTML 预设格式 Char"/>
    <w:basedOn w:val="45"/>
    <w:link w:val="38"/>
    <w:qFormat/>
    <w:uiPriority w:val="0"/>
    <w:rPr>
      <w:rFonts w:ascii="Arial" w:hAnsi="Arial" w:cs="Arial"/>
      <w:sz w:val="24"/>
      <w:szCs w:val="24"/>
    </w:rPr>
  </w:style>
  <w:style w:type="paragraph" w:customStyle="1" w:styleId="133">
    <w:name w:val="目录"/>
    <w:basedOn w:val="1"/>
    <w:qFormat/>
    <w:uiPriority w:val="99"/>
    <w:pPr>
      <w:widowControl/>
      <w:spacing w:line="480" w:lineRule="exact"/>
      <w:jc w:val="center"/>
    </w:pPr>
    <w:rPr>
      <w:rFonts w:ascii="宋体" w:hAnsi="宋体"/>
      <w:b/>
      <w:kern w:val="0"/>
      <w:sz w:val="36"/>
      <w:szCs w:val="20"/>
    </w:rPr>
  </w:style>
  <w:style w:type="paragraph" w:customStyle="1" w:styleId="134">
    <w:name w:val="p0"/>
    <w:basedOn w:val="1"/>
    <w:qFormat/>
    <w:uiPriority w:val="99"/>
    <w:pPr>
      <w:widowControl/>
      <w:spacing w:line="480" w:lineRule="exact"/>
    </w:pPr>
    <w:rPr>
      <w:rFonts w:ascii="宋体" w:hAnsi="宋体"/>
      <w:kern w:val="0"/>
      <w:sz w:val="24"/>
      <w:szCs w:val="21"/>
    </w:rPr>
  </w:style>
  <w:style w:type="paragraph" w:customStyle="1" w:styleId="135">
    <w:name w:val="样式 标题 2 + Times New Roman 四号 非加粗 段前: 5 磅 段后: 0 磅 行距: 固定值 20..."/>
    <w:basedOn w:val="4"/>
    <w:qFormat/>
    <w:uiPriority w:val="0"/>
    <w:pPr>
      <w:keepNext/>
      <w:keepLines/>
      <w:tabs>
        <w:tab w:val="clear" w:pos="576"/>
      </w:tabs>
      <w:spacing w:before="100" w:after="0" w:line="400" w:lineRule="exact"/>
      <w:ind w:left="0" w:firstLine="0"/>
      <w:jc w:val="both"/>
    </w:pPr>
    <w:rPr>
      <w:rFonts w:ascii="Times New Roman" w:hAnsi="Times New Roman" w:eastAsia="宋体" w:cs="宋体"/>
      <w:b w:val="0"/>
      <w:bCs w:val="0"/>
      <w:kern w:val="2"/>
      <w:sz w:val="28"/>
      <w:szCs w:val="20"/>
    </w:rPr>
  </w:style>
  <w:style w:type="paragraph" w:customStyle="1" w:styleId="136">
    <w:name w:val="样式 标题 3 + (中文) 黑体 小四 非加粗 段前: 7.8 磅 段后: 0 磅 行距: 固定值 20 磅"/>
    <w:basedOn w:val="5"/>
    <w:qFormat/>
    <w:uiPriority w:val="0"/>
    <w:pPr>
      <w:adjustRightInd w:val="0"/>
      <w:spacing w:before="0" w:after="0" w:line="400" w:lineRule="exact"/>
      <w:jc w:val="center"/>
    </w:pPr>
    <w:rPr>
      <w:rFonts w:ascii="宋体" w:hAnsi="宋体" w:eastAsia="黑体" w:cs="宋体"/>
      <w:b w:val="0"/>
      <w:bCs w:val="0"/>
      <w:sz w:val="24"/>
      <w:szCs w:val="20"/>
    </w:rPr>
  </w:style>
  <w:style w:type="paragraph" w:customStyle="1" w:styleId="137">
    <w:name w:val="_Style 16"/>
    <w:qFormat/>
    <w:uiPriority w:val="99"/>
    <w:pPr>
      <w:widowControl w:val="0"/>
      <w:jc w:val="center"/>
    </w:pPr>
    <w:rPr>
      <w:rFonts w:ascii="Calibri" w:hAnsi="Calibri" w:eastAsia="宋体" w:cs="Times New Roman"/>
      <w:kern w:val="2"/>
      <w:sz w:val="21"/>
      <w:szCs w:val="24"/>
      <w:lang w:val="en-US" w:eastAsia="zh-CN" w:bidi="ar-SA"/>
    </w:rPr>
  </w:style>
  <w:style w:type="character" w:customStyle="1" w:styleId="138">
    <w:name w:val="纯文本 Char1"/>
    <w:semiHidden/>
    <w:qFormat/>
    <w:uiPriority w:val="0"/>
    <w:rPr>
      <w:rFonts w:ascii="宋体" w:hAnsi="Courier New" w:cs="Courier New"/>
      <w:kern w:val="2"/>
      <w:sz w:val="21"/>
      <w:szCs w:val="21"/>
    </w:rPr>
  </w:style>
  <w:style w:type="character" w:customStyle="1" w:styleId="139">
    <w:name w:val="Char Char3"/>
    <w:qFormat/>
    <w:uiPriority w:val="0"/>
    <w:rPr>
      <w:rFonts w:ascii="宋体" w:hAnsi="Courier New" w:eastAsia="宋体" w:cs="Courier New"/>
      <w:kern w:val="2"/>
      <w:sz w:val="21"/>
      <w:szCs w:val="21"/>
      <w:lang w:val="en-US" w:eastAsia="zh-CN" w:bidi="ar-SA"/>
    </w:rPr>
  </w:style>
  <w:style w:type="paragraph" w:customStyle="1" w:styleId="140">
    <w:name w:val="正文2"/>
    <w:basedOn w:val="1"/>
    <w:qFormat/>
    <w:uiPriority w:val="0"/>
    <w:pPr>
      <w:keepLines/>
      <w:widowControl/>
      <w:snapToGrid w:val="0"/>
      <w:spacing w:beforeLines="70" w:afterLines="70" w:line="360" w:lineRule="exact"/>
      <w:ind w:left="1247"/>
    </w:pPr>
    <w:rPr>
      <w:rFonts w:ascii="Calibri" w:hAnsi="Calibri" w:cs="Arial"/>
      <w:spacing w:val="30"/>
    </w:rPr>
  </w:style>
  <w:style w:type="paragraph" w:customStyle="1" w:styleId="141">
    <w:name w:val="附件"/>
    <w:qFormat/>
    <w:uiPriority w:val="0"/>
    <w:pPr>
      <w:adjustRightInd w:val="0"/>
      <w:snapToGrid w:val="0"/>
      <w:ind w:left="1247"/>
      <w:outlineLvl w:val="2"/>
    </w:pPr>
    <w:rPr>
      <w:rFonts w:ascii="Calibri" w:hAnsi="Calibri" w:eastAsia="宋体" w:cs="Times New Roman"/>
      <w:spacing w:val="30"/>
      <w:sz w:val="24"/>
      <w:szCs w:val="24"/>
      <w:lang w:val="en-US" w:eastAsia="zh-CN" w:bidi="ar-SA"/>
    </w:rPr>
  </w:style>
  <w:style w:type="paragraph" w:customStyle="1" w:styleId="142">
    <w:name w:val="编号1"/>
    <w:qFormat/>
    <w:uiPriority w:val="0"/>
    <w:pPr>
      <w:keepLines/>
      <w:overflowPunct w:val="0"/>
      <w:autoSpaceDE w:val="0"/>
      <w:autoSpaceDN w:val="0"/>
      <w:snapToGrid w:val="0"/>
      <w:spacing w:beforeLines="70" w:afterLines="70" w:line="360" w:lineRule="exact"/>
      <w:jc w:val="both"/>
    </w:pPr>
    <w:rPr>
      <w:rFonts w:ascii="Calibri" w:hAnsi="Calibri" w:eastAsia="宋体" w:cs="Times New Roman"/>
      <w:spacing w:val="30"/>
      <w:sz w:val="24"/>
      <w:szCs w:val="24"/>
      <w:lang w:val="en-GB" w:eastAsia="zh-CN" w:bidi="ar-SA"/>
    </w:rPr>
  </w:style>
  <w:style w:type="paragraph" w:customStyle="1" w:styleId="143">
    <w:name w:val="Char Char Char Char Char Char Char Char"/>
    <w:basedOn w:val="1"/>
    <w:qFormat/>
    <w:uiPriority w:val="0"/>
    <w:pPr>
      <w:adjustRightInd w:val="0"/>
      <w:spacing w:line="440" w:lineRule="exact"/>
    </w:pPr>
    <w:rPr>
      <w:rFonts w:ascii="宋体"/>
      <w:kern w:val="0"/>
      <w:sz w:val="28"/>
      <w:szCs w:val="27"/>
    </w:rPr>
  </w:style>
  <w:style w:type="paragraph" w:customStyle="1" w:styleId="144">
    <w:name w:val="TOC 标题1"/>
    <w:basedOn w:val="3"/>
    <w:next w:val="1"/>
    <w:qFormat/>
    <w:uiPriority w:val="0"/>
    <w:pPr>
      <w:outlineLvl w:val="9"/>
    </w:pPr>
  </w:style>
  <w:style w:type="character" w:customStyle="1" w:styleId="145">
    <w:name w:val="明显引用 Char1"/>
    <w:basedOn w:val="45"/>
    <w:qFormat/>
    <w:uiPriority w:val="0"/>
    <w:rPr>
      <w:rFonts w:ascii="Calibri" w:hAnsi="Calibri" w:eastAsia="宋体" w:cs="Times New Roman"/>
      <w:b/>
      <w:bCs/>
      <w:i/>
      <w:iCs/>
      <w:color w:val="4F81BD"/>
      <w:kern w:val="0"/>
      <w:sz w:val="20"/>
      <w:szCs w:val="20"/>
    </w:rPr>
  </w:style>
  <w:style w:type="character" w:customStyle="1" w:styleId="146">
    <w:name w:val="书籍标题1"/>
    <w:qFormat/>
    <w:uiPriority w:val="0"/>
    <w:rPr>
      <w:b/>
      <w:bCs/>
      <w:smallCaps/>
      <w:spacing w:val="5"/>
    </w:rPr>
  </w:style>
  <w:style w:type="character" w:customStyle="1" w:styleId="147">
    <w:name w:val="明显强调1"/>
    <w:qFormat/>
    <w:uiPriority w:val="0"/>
    <w:rPr>
      <w:b/>
      <w:bCs/>
      <w:i/>
      <w:iCs/>
      <w:color w:val="4F81BD"/>
    </w:rPr>
  </w:style>
  <w:style w:type="character" w:customStyle="1" w:styleId="148">
    <w:name w:val="textcontents"/>
    <w:qFormat/>
    <w:uiPriority w:val="0"/>
    <w:rPr>
      <w:rFonts w:cs="Times New Roman"/>
    </w:rPr>
  </w:style>
  <w:style w:type="character" w:customStyle="1" w:styleId="149">
    <w:name w:val="不明显强调1"/>
    <w:qFormat/>
    <w:uiPriority w:val="0"/>
    <w:rPr>
      <w:i/>
      <w:iCs/>
      <w:color w:val="808080"/>
    </w:rPr>
  </w:style>
  <w:style w:type="character" w:customStyle="1" w:styleId="150">
    <w:name w:val="不明显参考1"/>
    <w:qFormat/>
    <w:uiPriority w:val="0"/>
    <w:rPr>
      <w:smallCaps/>
      <w:color w:val="C0504D"/>
      <w:u w:val="single"/>
    </w:rPr>
  </w:style>
  <w:style w:type="character" w:customStyle="1" w:styleId="151">
    <w:name w:val="日期 Char1"/>
    <w:qFormat/>
    <w:uiPriority w:val="0"/>
    <w:rPr>
      <w:kern w:val="2"/>
      <w:sz w:val="21"/>
      <w:szCs w:val="22"/>
    </w:rPr>
  </w:style>
  <w:style w:type="character" w:customStyle="1" w:styleId="152">
    <w:name w:val="正文文本 Char1"/>
    <w:qFormat/>
    <w:uiPriority w:val="0"/>
    <w:rPr>
      <w:kern w:val="2"/>
      <w:sz w:val="21"/>
      <w:szCs w:val="22"/>
    </w:rPr>
  </w:style>
  <w:style w:type="character" w:customStyle="1" w:styleId="153">
    <w:name w:val="批注主题 Char1"/>
    <w:qFormat/>
    <w:uiPriority w:val="0"/>
    <w:rPr>
      <w:b/>
      <w:bCs/>
      <w:kern w:val="2"/>
      <w:sz w:val="21"/>
      <w:szCs w:val="22"/>
    </w:rPr>
  </w:style>
  <w:style w:type="character" w:customStyle="1" w:styleId="154">
    <w:name w:val="批注文字 Char Char"/>
    <w:qFormat/>
    <w:uiPriority w:val="0"/>
    <w:rPr>
      <w:rFonts w:ascii="宋体" w:hAnsi="Times New Roman" w:eastAsia="宋体" w:cs="Times New Roman"/>
      <w:sz w:val="28"/>
      <w:szCs w:val="20"/>
    </w:rPr>
  </w:style>
  <w:style w:type="character" w:customStyle="1" w:styleId="155">
    <w:name w:val="明显参考1"/>
    <w:qFormat/>
    <w:uiPriority w:val="0"/>
    <w:rPr>
      <w:b/>
      <w:bCs/>
      <w:smallCaps/>
      <w:color w:val="C0504D"/>
      <w:spacing w:val="5"/>
      <w:u w:val="single"/>
    </w:rPr>
  </w:style>
  <w:style w:type="character" w:customStyle="1" w:styleId="156">
    <w:name w:val="批注框文本 Char1"/>
    <w:qFormat/>
    <w:uiPriority w:val="0"/>
    <w:rPr>
      <w:kern w:val="2"/>
      <w:sz w:val="18"/>
      <w:szCs w:val="18"/>
    </w:rPr>
  </w:style>
  <w:style w:type="character" w:customStyle="1" w:styleId="157">
    <w:name w:val="引用 Char1"/>
    <w:basedOn w:val="45"/>
    <w:qFormat/>
    <w:uiPriority w:val="0"/>
    <w:rPr>
      <w:rFonts w:ascii="Calibri" w:hAnsi="Calibri" w:eastAsia="宋体" w:cs="Times New Roman"/>
      <w:i/>
      <w:iCs/>
      <w:color w:val="000000"/>
      <w:kern w:val="0"/>
      <w:sz w:val="20"/>
      <w:szCs w:val="20"/>
    </w:rPr>
  </w:style>
  <w:style w:type="character" w:customStyle="1" w:styleId="158">
    <w:name w:val="文档结构图 Char1"/>
    <w:qFormat/>
    <w:uiPriority w:val="0"/>
    <w:rPr>
      <w:rFonts w:ascii="宋体"/>
      <w:kern w:val="2"/>
      <w:sz w:val="18"/>
      <w:szCs w:val="18"/>
    </w:rPr>
  </w:style>
  <w:style w:type="paragraph" w:styleId="159">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160">
    <w:name w:val="副标题 Char1"/>
    <w:qFormat/>
    <w:uiPriority w:val="0"/>
    <w:rPr>
      <w:rFonts w:ascii="Cambria" w:hAnsi="Cambria" w:cs="Times New Roman"/>
      <w:b/>
      <w:bCs/>
      <w:kern w:val="28"/>
      <w:sz w:val="32"/>
      <w:szCs w:val="32"/>
    </w:rPr>
  </w:style>
  <w:style w:type="character" w:customStyle="1" w:styleId="161">
    <w:name w:val="标题 Char1"/>
    <w:qFormat/>
    <w:uiPriority w:val="0"/>
    <w:rPr>
      <w:rFonts w:ascii="Cambria" w:hAnsi="Cambria" w:cs="Times New Roman"/>
      <w:b/>
      <w:bCs/>
      <w:kern w:val="2"/>
      <w:sz w:val="32"/>
      <w:szCs w:val="32"/>
    </w:rPr>
  </w:style>
  <w:style w:type="paragraph" w:styleId="162">
    <w:name w:val="List Paragraph"/>
    <w:basedOn w:val="1"/>
    <w:qFormat/>
    <w:uiPriority w:val="34"/>
    <w:pPr>
      <w:ind w:firstLine="420" w:firstLineChars="200"/>
    </w:pPr>
    <w:rPr>
      <w:rFonts w:ascii="Calibri" w:hAnsi="Calibri"/>
      <w:szCs w:val="22"/>
    </w:rPr>
  </w:style>
  <w:style w:type="character" w:customStyle="1" w:styleId="163">
    <w:name w:val="文档结构图 Char2"/>
    <w:qFormat/>
    <w:uiPriority w:val="0"/>
    <w:rPr>
      <w:rFonts w:ascii="宋体"/>
      <w:kern w:val="2"/>
      <w:sz w:val="18"/>
      <w:szCs w:val="18"/>
    </w:rPr>
  </w:style>
  <w:style w:type="paragraph" w:customStyle="1" w:styleId="164">
    <w:name w:val="修订1"/>
    <w:qFormat/>
    <w:uiPriority w:val="0"/>
    <w:rPr>
      <w:rFonts w:ascii="Times New Roman" w:hAnsi="Times New Roman" w:eastAsia="宋体" w:cs="Times New Roman"/>
      <w:kern w:val="2"/>
      <w:sz w:val="21"/>
      <w:szCs w:val="24"/>
      <w:lang w:val="en-US" w:eastAsia="zh-CN" w:bidi="ar-SA"/>
    </w:rPr>
  </w:style>
  <w:style w:type="paragraph" w:customStyle="1" w:styleId="165">
    <w:name w:val="flNote"/>
    <w:basedOn w:val="1"/>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166">
    <w:name w:val="空半行"/>
    <w:basedOn w:val="1"/>
    <w:qFormat/>
    <w:uiPriority w:val="0"/>
    <w:pPr>
      <w:adjustRightInd w:val="0"/>
      <w:spacing w:line="120" w:lineRule="exact"/>
      <w:textAlignment w:val="baseline"/>
    </w:pPr>
    <w:rPr>
      <w:rFonts w:eastAsia="仿宋_GB2312"/>
      <w:color w:val="FFFFFF"/>
      <w:kern w:val="0"/>
      <w:sz w:val="30"/>
      <w:szCs w:val="20"/>
    </w:rPr>
  </w:style>
  <w:style w:type="paragraph" w:customStyle="1" w:styleId="167">
    <w:name w:val="Char Char1 Char Char"/>
    <w:basedOn w:val="1"/>
    <w:qFormat/>
    <w:uiPriority w:val="0"/>
    <w:rPr>
      <w:szCs w:val="20"/>
    </w:rPr>
  </w:style>
  <w:style w:type="character" w:customStyle="1" w:styleId="168">
    <w:name w:val="消息标题标签"/>
    <w:qFormat/>
    <w:uiPriority w:val="0"/>
    <w:rPr>
      <w:rFonts w:ascii="Arial Black" w:hAnsi="Arial Black" w:eastAsia="黑体"/>
      <w:b/>
      <w:sz w:val="18"/>
      <w:lang w:eastAsia="zh-CN"/>
    </w:rPr>
  </w:style>
  <w:style w:type="character" w:customStyle="1" w:styleId="169">
    <w:name w:val="日期 Char2"/>
    <w:qFormat/>
    <w:uiPriority w:val="0"/>
    <w:rPr>
      <w:rFonts w:ascii="宋体" w:hAnsi="Times New Roman"/>
      <w:sz w:val="28"/>
    </w:rPr>
  </w:style>
  <w:style w:type="character" w:customStyle="1" w:styleId="170">
    <w:name w:val="Char Char31"/>
    <w:qFormat/>
    <w:uiPriority w:val="0"/>
    <w:rPr>
      <w:rFonts w:ascii="宋体" w:hAnsi="Courier New" w:eastAsia="宋体" w:cs="Courier New"/>
      <w:kern w:val="2"/>
      <w:sz w:val="21"/>
      <w:szCs w:val="21"/>
      <w:lang w:val="en-US" w:eastAsia="zh-CN" w:bidi="ar-SA"/>
    </w:rPr>
  </w:style>
  <w:style w:type="character" w:customStyle="1" w:styleId="171">
    <w:name w:val="Char Char1 Char Char Char Char Char Char Char Char Char Char"/>
    <w:link w:val="172"/>
    <w:qFormat/>
    <w:uiPriority w:val="0"/>
    <w:rPr>
      <w:rFonts w:ascii="Verdana" w:hAnsi="Verdana" w:eastAsia="仿宋_GB2312"/>
      <w:sz w:val="24"/>
      <w:lang w:eastAsia="en-US"/>
    </w:rPr>
  </w:style>
  <w:style w:type="paragraph" w:customStyle="1" w:styleId="172">
    <w:name w:val="Char Char1 Char Char Char Char Char Char Char Char Char"/>
    <w:basedOn w:val="1"/>
    <w:link w:val="17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73">
    <w:name w:val="批注框文本 Char2"/>
    <w:qFormat/>
    <w:uiPriority w:val="0"/>
    <w:rPr>
      <w:rFonts w:ascii="宋体" w:hAnsi="Times New Roman"/>
      <w:sz w:val="18"/>
      <w:szCs w:val="18"/>
    </w:rPr>
  </w:style>
  <w:style w:type="character" w:customStyle="1" w:styleId="174">
    <w:name w:val="Char Char Char Char Char Char Char Char Char"/>
    <w:qFormat/>
    <w:uiPriority w:val="0"/>
    <w:rPr>
      <w:sz w:val="18"/>
      <w:szCs w:val="18"/>
    </w:rPr>
  </w:style>
  <w:style w:type="character" w:customStyle="1" w:styleId="175">
    <w:name w:val="页眉 Char1"/>
    <w:qFormat/>
    <w:uiPriority w:val="99"/>
    <w:rPr>
      <w:rFonts w:eastAsia="宋体"/>
      <w:kern w:val="2"/>
      <w:sz w:val="18"/>
      <w:szCs w:val="18"/>
      <w:lang w:val="en-US" w:eastAsia="zh-CN" w:bidi="ar-SA"/>
    </w:rPr>
  </w:style>
  <w:style w:type="character" w:customStyle="1" w:styleId="176">
    <w:name w:val="正文文本 Char2"/>
    <w:qFormat/>
    <w:uiPriority w:val="99"/>
    <w:rPr>
      <w:rFonts w:ascii="Times New Roman" w:hAnsi="Times New Roman"/>
    </w:rPr>
  </w:style>
  <w:style w:type="character" w:customStyle="1" w:styleId="177">
    <w:name w:val="批注主题 Char2"/>
    <w:qFormat/>
    <w:uiPriority w:val="0"/>
    <w:rPr>
      <w:rFonts w:ascii="宋体" w:hAnsi="Times New Roman"/>
      <w:b/>
      <w:bCs/>
      <w:sz w:val="28"/>
    </w:rPr>
  </w:style>
  <w:style w:type="character" w:customStyle="1" w:styleId="178">
    <w:name w:val="ꌢ 2 Char Char"/>
    <w:link w:val="179"/>
    <w:qFormat/>
    <w:uiPriority w:val="0"/>
    <w:rPr>
      <w:rFonts w:ascii="Arial" w:hAnsi="Arial"/>
      <w:b/>
      <w:bCs/>
    </w:rPr>
  </w:style>
  <w:style w:type="paragraph" w:customStyle="1" w:styleId="179">
    <w:name w:val="ꌢ 2"/>
    <w:basedOn w:val="1"/>
    <w:link w:val="178"/>
    <w:qFormat/>
    <w:uiPriority w:val="0"/>
    <w:pPr>
      <w:widowControl/>
    </w:pPr>
    <w:rPr>
      <w:rFonts w:ascii="Arial" w:hAnsi="Arial"/>
      <w:b/>
      <w:bCs/>
      <w:kern w:val="0"/>
      <w:sz w:val="20"/>
      <w:szCs w:val="20"/>
    </w:rPr>
  </w:style>
  <w:style w:type="character" w:customStyle="1" w:styleId="180">
    <w:name w:val="标题 2 Char1"/>
    <w:qFormat/>
    <w:uiPriority w:val="0"/>
    <w:rPr>
      <w:rFonts w:ascii="Cambria" w:hAnsi="Cambria" w:eastAsia="宋体" w:cs="Times New Roman"/>
      <w:b/>
      <w:bCs/>
      <w:kern w:val="2"/>
      <w:sz w:val="32"/>
      <w:szCs w:val="32"/>
    </w:rPr>
  </w:style>
  <w:style w:type="character" w:customStyle="1" w:styleId="181">
    <w:name w:val="rili11"/>
    <w:qFormat/>
    <w:uiPriority w:val="0"/>
    <w:rPr>
      <w:sz w:val="21"/>
      <w:szCs w:val="21"/>
    </w:rPr>
  </w:style>
  <w:style w:type="character" w:customStyle="1" w:styleId="182">
    <w:name w:val="Char Char27"/>
    <w:qFormat/>
    <w:uiPriority w:val="0"/>
    <w:rPr>
      <w:rFonts w:eastAsia="Arial Unicode MS"/>
      <w:kern w:val="2"/>
      <w:sz w:val="28"/>
      <w:szCs w:val="24"/>
      <w:lang w:val="en-US" w:eastAsia="zh-CN" w:bidi="ar-SA"/>
    </w:rPr>
  </w:style>
  <w:style w:type="character" w:customStyle="1" w:styleId="183">
    <w:name w:val="标题 6 Char1"/>
    <w:qFormat/>
    <w:uiPriority w:val="0"/>
    <w:rPr>
      <w:rFonts w:ascii="Cambria" w:hAnsi="Cambria" w:eastAsia="宋体" w:cs="Times New Roman"/>
      <w:b/>
      <w:bCs/>
      <w:kern w:val="2"/>
      <w:sz w:val="24"/>
      <w:szCs w:val="24"/>
    </w:rPr>
  </w:style>
  <w:style w:type="character" w:customStyle="1" w:styleId="184">
    <w:name w:val="apple-style-span"/>
    <w:basedOn w:val="45"/>
    <w:qFormat/>
    <w:uiPriority w:val="0"/>
  </w:style>
  <w:style w:type="character" w:customStyle="1" w:styleId="185">
    <w:name w:val="Blockquote Char Char"/>
    <w:link w:val="96"/>
    <w:qFormat/>
    <w:uiPriority w:val="0"/>
    <w:rPr>
      <w:sz w:val="24"/>
    </w:rPr>
  </w:style>
  <w:style w:type="character" w:customStyle="1" w:styleId="186">
    <w:name w:val="z-窗体顶端 Char1"/>
    <w:qFormat/>
    <w:uiPriority w:val="0"/>
    <w:rPr>
      <w:rFonts w:ascii="Arial" w:hAnsi="Arial" w:cs="Arial"/>
      <w:vanish/>
      <w:kern w:val="2"/>
      <w:sz w:val="16"/>
      <w:szCs w:val="16"/>
    </w:rPr>
  </w:style>
  <w:style w:type="character" w:customStyle="1" w:styleId="187">
    <w:name w:val="批注文字 Char1"/>
    <w:qFormat/>
    <w:uiPriority w:val="0"/>
    <w:rPr>
      <w:kern w:val="2"/>
      <w:sz w:val="21"/>
      <w:szCs w:val="22"/>
    </w:rPr>
  </w:style>
  <w:style w:type="character" w:customStyle="1" w:styleId="188">
    <w:name w:val="z-窗体底端 Char1"/>
    <w:qFormat/>
    <w:uiPriority w:val="0"/>
    <w:rPr>
      <w:rFonts w:ascii="Arial" w:hAnsi="Arial" w:cs="Arial"/>
      <w:vanish/>
      <w:kern w:val="2"/>
      <w:sz w:val="16"/>
      <w:szCs w:val="16"/>
    </w:rPr>
  </w:style>
  <w:style w:type="character" w:customStyle="1" w:styleId="189">
    <w:name w:val="标题 1 Char1"/>
    <w:qFormat/>
    <w:uiPriority w:val="0"/>
    <w:rPr>
      <w:b/>
      <w:bCs/>
      <w:kern w:val="44"/>
      <w:sz w:val="44"/>
      <w:szCs w:val="44"/>
    </w:rPr>
  </w:style>
  <w:style w:type="character" w:customStyle="1" w:styleId="190">
    <w:name w:val="样式2 Char"/>
    <w:link w:val="99"/>
    <w:qFormat/>
    <w:uiPriority w:val="0"/>
    <w:rPr>
      <w:rFonts w:ascii="宋体" w:hAnsi="宋体"/>
      <w:b/>
      <w:kern w:val="2"/>
      <w:sz w:val="21"/>
      <w:szCs w:val="21"/>
    </w:rPr>
  </w:style>
  <w:style w:type="character" w:customStyle="1" w:styleId="191">
    <w:name w:val="z-窗体底端 Char"/>
    <w:qFormat/>
    <w:uiPriority w:val="0"/>
    <w:rPr>
      <w:rFonts w:ascii="Arial" w:hAnsi="Arial" w:cs="Arial"/>
      <w:vanish/>
      <w:kern w:val="2"/>
      <w:sz w:val="16"/>
      <w:szCs w:val="16"/>
    </w:rPr>
  </w:style>
  <w:style w:type="paragraph" w:customStyle="1" w:styleId="192">
    <w:name w:val="z-窗体底端1"/>
    <w:basedOn w:val="1"/>
    <w:next w:val="1"/>
    <w:link w:val="231"/>
    <w:qFormat/>
    <w:uiPriority w:val="0"/>
    <w:pPr>
      <w:pBdr>
        <w:top w:val="single" w:color="auto" w:sz="6" w:space="1"/>
      </w:pBdr>
      <w:jc w:val="center"/>
    </w:pPr>
    <w:rPr>
      <w:rFonts w:ascii="Arial" w:hAnsi="Arial" w:cs="Arial"/>
      <w:vanish/>
      <w:sz w:val="16"/>
      <w:szCs w:val="16"/>
    </w:rPr>
  </w:style>
  <w:style w:type="character" w:customStyle="1" w:styleId="193">
    <w:name w:val="样式1 Char"/>
    <w:link w:val="100"/>
    <w:qFormat/>
    <w:uiPriority w:val="0"/>
    <w:rPr>
      <w:rFonts w:ascii="宋体" w:hAnsi="宋体"/>
      <w:kern w:val="2"/>
      <w:sz w:val="18"/>
      <w:szCs w:val="21"/>
    </w:rPr>
  </w:style>
  <w:style w:type="character" w:customStyle="1" w:styleId="194">
    <w:name w:val="标题 9 Char1"/>
    <w:qFormat/>
    <w:uiPriority w:val="0"/>
    <w:rPr>
      <w:rFonts w:ascii="Cambria" w:hAnsi="Cambria" w:eastAsia="宋体" w:cs="Times New Roman"/>
      <w:kern w:val="2"/>
      <w:sz w:val="21"/>
      <w:szCs w:val="21"/>
    </w:rPr>
  </w:style>
  <w:style w:type="character" w:customStyle="1" w:styleId="195">
    <w:name w:val="z-窗体顶端 Char"/>
    <w:qFormat/>
    <w:uiPriority w:val="0"/>
    <w:rPr>
      <w:rFonts w:ascii="Arial" w:hAnsi="Arial" w:cs="Arial"/>
      <w:vanish/>
      <w:kern w:val="2"/>
      <w:sz w:val="16"/>
      <w:szCs w:val="16"/>
    </w:rPr>
  </w:style>
  <w:style w:type="paragraph" w:customStyle="1" w:styleId="196">
    <w:name w:val="z-窗体顶端1"/>
    <w:basedOn w:val="1"/>
    <w:next w:val="1"/>
    <w:link w:val="347"/>
    <w:qFormat/>
    <w:uiPriority w:val="0"/>
    <w:pPr>
      <w:pBdr>
        <w:bottom w:val="single" w:color="auto" w:sz="6" w:space="1"/>
      </w:pBdr>
      <w:jc w:val="center"/>
    </w:pPr>
    <w:rPr>
      <w:rFonts w:ascii="Arial" w:hAnsi="Arial" w:cs="Arial"/>
      <w:vanish/>
      <w:sz w:val="16"/>
      <w:szCs w:val="16"/>
    </w:rPr>
  </w:style>
  <w:style w:type="character" w:customStyle="1" w:styleId="197">
    <w:name w:val="ҳŻ"/>
    <w:link w:val="198"/>
    <w:qFormat/>
    <w:uiPriority w:val="0"/>
    <w:rPr>
      <w:rFonts w:ascii="Arial" w:hAnsi="Arial" w:cs="Arial"/>
      <w:sz w:val="32"/>
      <w:szCs w:val="32"/>
    </w:rPr>
  </w:style>
  <w:style w:type="paragraph" w:customStyle="1" w:styleId="198">
    <w:name w:val="ҳŠChar1"/>
    <w:basedOn w:val="1"/>
    <w:link w:val="197"/>
    <w:qFormat/>
    <w:uiPriority w:val="0"/>
    <w:pPr>
      <w:keepNext/>
      <w:widowControl/>
      <w:spacing w:after="120" w:line="400" w:lineRule="atLeast"/>
      <w:jc w:val="center"/>
    </w:pPr>
    <w:rPr>
      <w:rFonts w:ascii="Arial" w:hAnsi="Arial" w:cs="Arial"/>
      <w:kern w:val="0"/>
      <w:sz w:val="32"/>
      <w:szCs w:val="32"/>
    </w:rPr>
  </w:style>
  <w:style w:type="character" w:customStyle="1" w:styleId="199">
    <w:name w:val="标题 8 Char1"/>
    <w:qFormat/>
    <w:uiPriority w:val="0"/>
    <w:rPr>
      <w:rFonts w:ascii="Cambria" w:hAnsi="Cambria" w:eastAsia="宋体" w:cs="Times New Roman"/>
      <w:kern w:val="2"/>
      <w:sz w:val="24"/>
      <w:szCs w:val="24"/>
    </w:rPr>
  </w:style>
  <w:style w:type="character" w:customStyle="1" w:styleId="200">
    <w:name w:val="ꌢ 3 Char Char"/>
    <w:link w:val="201"/>
    <w:qFormat/>
    <w:uiPriority w:val="0"/>
    <w:rPr>
      <w:rFonts w:ascii="Ђˎ̥" w:hAnsi="Ђˎ̥"/>
      <w:b/>
      <w:bCs/>
    </w:rPr>
  </w:style>
  <w:style w:type="paragraph" w:customStyle="1" w:styleId="201">
    <w:name w:val="ꌢ 3"/>
    <w:basedOn w:val="1"/>
    <w:link w:val="200"/>
    <w:qFormat/>
    <w:uiPriority w:val="0"/>
    <w:pPr>
      <w:widowControl/>
    </w:pPr>
    <w:rPr>
      <w:rFonts w:ascii="Ђˎ̥" w:hAnsi="Ђˎ̥"/>
      <w:b/>
      <w:bCs/>
      <w:kern w:val="0"/>
      <w:sz w:val="20"/>
      <w:szCs w:val="20"/>
    </w:rPr>
  </w:style>
  <w:style w:type="character" w:customStyle="1" w:styleId="202">
    <w:name w:val="标题 4 Char1"/>
    <w:qFormat/>
    <w:uiPriority w:val="0"/>
    <w:rPr>
      <w:rFonts w:ascii="Cambria" w:hAnsi="Cambria" w:eastAsia="宋体" w:cs="Times New Roman"/>
      <w:b/>
      <w:bCs/>
      <w:kern w:val="2"/>
      <w:sz w:val="28"/>
      <w:szCs w:val="28"/>
    </w:rPr>
  </w:style>
  <w:style w:type="character" w:customStyle="1" w:styleId="203">
    <w:name w:val="Blockquote Char Char Char"/>
    <w:qFormat/>
    <w:uiPriority w:val="0"/>
    <w:rPr>
      <w:sz w:val="24"/>
    </w:rPr>
  </w:style>
  <w:style w:type="character" w:customStyle="1" w:styleId="204">
    <w:name w:val="标题 3 Char1"/>
    <w:qFormat/>
    <w:uiPriority w:val="0"/>
    <w:rPr>
      <w:rFonts w:eastAsia="宋体"/>
      <w:b/>
      <w:bCs/>
      <w:kern w:val="2"/>
      <w:sz w:val="21"/>
      <w:szCs w:val="21"/>
      <w:lang w:val="en-US" w:eastAsia="zh-CN" w:bidi="ar-SA"/>
    </w:rPr>
  </w:style>
  <w:style w:type="character" w:customStyle="1" w:styleId="205">
    <w:name w:val="副标题 Char2"/>
    <w:qFormat/>
    <w:uiPriority w:val="0"/>
    <w:rPr>
      <w:rFonts w:ascii="Cambria" w:hAnsi="Cambria" w:cs="Times New Roman"/>
      <w:b/>
      <w:bCs/>
      <w:kern w:val="28"/>
      <w:sz w:val="32"/>
      <w:szCs w:val="32"/>
    </w:rPr>
  </w:style>
  <w:style w:type="character" w:customStyle="1" w:styleId="206">
    <w:name w:val="正文文本 2 Char1"/>
    <w:qFormat/>
    <w:uiPriority w:val="0"/>
    <w:rPr>
      <w:kern w:val="2"/>
      <w:sz w:val="21"/>
      <w:szCs w:val="24"/>
    </w:rPr>
  </w:style>
  <w:style w:type="character" w:customStyle="1" w:styleId="207">
    <w:name w:val="标题 7 Char1"/>
    <w:qFormat/>
    <w:uiPriority w:val="0"/>
    <w:rPr>
      <w:b/>
      <w:bCs/>
      <w:kern w:val="2"/>
      <w:sz w:val="24"/>
      <w:szCs w:val="24"/>
    </w:rPr>
  </w:style>
  <w:style w:type="character" w:customStyle="1" w:styleId="208">
    <w:name w:val="标题 5 Char1"/>
    <w:qFormat/>
    <w:uiPriority w:val="0"/>
    <w:rPr>
      <w:b/>
      <w:bCs/>
      <w:kern w:val="2"/>
      <w:sz w:val="28"/>
      <w:szCs w:val="28"/>
    </w:rPr>
  </w:style>
  <w:style w:type="character" w:customStyle="1" w:styleId="209">
    <w:name w:val="页脚 Char1"/>
    <w:qFormat/>
    <w:uiPriority w:val="0"/>
    <w:rPr>
      <w:kern w:val="2"/>
      <w:sz w:val="18"/>
      <w:szCs w:val="18"/>
    </w:rPr>
  </w:style>
  <w:style w:type="character" w:customStyle="1" w:styleId="210">
    <w:name w:val="tpc_content1"/>
    <w:qFormat/>
    <w:uiPriority w:val="0"/>
    <w:rPr>
      <w:sz w:val="20"/>
      <w:szCs w:val="20"/>
    </w:rPr>
  </w:style>
  <w:style w:type="character" w:customStyle="1" w:styleId="211">
    <w:name w:val="页眉 Char2"/>
    <w:qFormat/>
    <w:uiPriority w:val="0"/>
    <w:rPr>
      <w:kern w:val="2"/>
      <w:sz w:val="18"/>
      <w:szCs w:val="18"/>
    </w:rPr>
  </w:style>
  <w:style w:type="character" w:customStyle="1" w:styleId="212">
    <w:name w:val="正文文本缩进 2 Char1"/>
    <w:link w:val="27"/>
    <w:qFormat/>
    <w:uiPriority w:val="0"/>
    <w:rPr>
      <w:kern w:val="2"/>
      <w:sz w:val="21"/>
      <w:szCs w:val="24"/>
    </w:rPr>
  </w:style>
  <w:style w:type="character" w:customStyle="1" w:styleId="213">
    <w:name w:val="正文文本 2 Char2"/>
    <w:link w:val="37"/>
    <w:qFormat/>
    <w:uiPriority w:val="0"/>
    <w:rPr>
      <w:rFonts w:ascii="Calibri" w:hAnsi="Calibri"/>
      <w:kern w:val="2"/>
      <w:sz w:val="21"/>
    </w:rPr>
  </w:style>
  <w:style w:type="character" w:customStyle="1" w:styleId="214">
    <w:name w:val="正文文本缩进 3 Char1"/>
    <w:link w:val="34"/>
    <w:qFormat/>
    <w:uiPriority w:val="0"/>
    <w:rPr>
      <w:rFonts w:ascii="宋体" w:hAnsi="MS Sans Serif"/>
      <w:color w:val="000000"/>
      <w:kern w:val="2"/>
      <w:sz w:val="24"/>
      <w:szCs w:val="24"/>
    </w:rPr>
  </w:style>
  <w:style w:type="paragraph" w:customStyle="1" w:styleId="215">
    <w:name w:val="Char21"/>
    <w:basedOn w:val="1"/>
    <w:qFormat/>
    <w:uiPriority w:val="0"/>
    <w:rPr>
      <w:szCs w:val="20"/>
    </w:rPr>
  </w:style>
  <w:style w:type="paragraph" w:customStyle="1" w:styleId="216">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kern w:val="0"/>
      <w:sz w:val="24"/>
    </w:rPr>
  </w:style>
  <w:style w:type="paragraph" w:customStyle="1" w:styleId="217">
    <w:name w:val="xl142"/>
    <w:basedOn w:val="1"/>
    <w:qFormat/>
    <w:uiPriority w:val="0"/>
    <w:pPr>
      <w:widowControl/>
      <w:shd w:val="clear" w:color="FFFFFF" w:fill="FFFFFF"/>
      <w:spacing w:before="100" w:beforeAutospacing="1" w:after="100" w:afterAutospacing="1"/>
      <w:jc w:val="left"/>
      <w:textAlignment w:val="center"/>
    </w:pPr>
    <w:rPr>
      <w:rFonts w:ascii="宋体" w:hAnsi="宋体" w:cs="宋体"/>
      <w:kern w:val="0"/>
      <w:sz w:val="24"/>
    </w:rPr>
  </w:style>
  <w:style w:type="paragraph" w:customStyle="1" w:styleId="218">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219">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220">
    <w:name w:val="xl67"/>
    <w:basedOn w:val="1"/>
    <w:qFormat/>
    <w:uiPriority w:val="0"/>
    <w:pPr>
      <w:widowControl/>
      <w:pBdr>
        <w:top w:val="single" w:color="auto" w:sz="4" w:space="0"/>
      </w:pBdr>
      <w:spacing w:before="100" w:beforeAutospacing="1" w:after="100" w:afterAutospacing="1"/>
      <w:jc w:val="left"/>
    </w:pPr>
    <w:rPr>
      <w:rFonts w:ascii="宋体" w:hAnsi="宋体" w:cs="宋体"/>
      <w:kern w:val="0"/>
      <w:sz w:val="18"/>
      <w:szCs w:val="18"/>
    </w:rPr>
  </w:style>
  <w:style w:type="paragraph" w:customStyle="1" w:styleId="22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222">
    <w:name w:val="Char Char1 Char Char Char Char Char Char Char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23">
    <w:name w:val="Char Char3 Char Char Char Char Char Char Char Char Char Char"/>
    <w:basedOn w:val="1"/>
    <w:qFormat/>
    <w:uiPriority w:val="0"/>
    <w:pPr>
      <w:widowControl/>
      <w:spacing w:after="160" w:line="240" w:lineRule="exact"/>
      <w:jc w:val="left"/>
    </w:pPr>
    <w:rPr>
      <w:snapToGrid w:val="0"/>
      <w:kern w:val="21"/>
      <w:szCs w:val="21"/>
    </w:rPr>
  </w:style>
  <w:style w:type="paragraph" w:customStyle="1" w:styleId="224">
    <w:name w:val="xl3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225">
    <w:name w:val="列出段落4"/>
    <w:basedOn w:val="1"/>
    <w:unhideWhenUsed/>
    <w:qFormat/>
    <w:uiPriority w:val="99"/>
    <w:pPr>
      <w:ind w:firstLine="420" w:firstLineChars="200"/>
    </w:pPr>
    <w:rPr>
      <w:szCs w:val="22"/>
    </w:rPr>
  </w:style>
  <w:style w:type="paragraph" w:customStyle="1" w:styleId="22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27">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kern w:val="0"/>
      <w:sz w:val="24"/>
    </w:rPr>
  </w:style>
  <w:style w:type="paragraph" w:customStyle="1" w:styleId="228">
    <w:name w:val="xl149"/>
    <w:basedOn w:val="1"/>
    <w:qFormat/>
    <w:uiPriority w:val="0"/>
    <w:pPr>
      <w:widowControl/>
      <w:shd w:val="clear" w:color="FFFFFF" w:fill="FFFFFF"/>
      <w:spacing w:before="100" w:beforeAutospacing="1" w:after="100" w:afterAutospacing="1"/>
      <w:jc w:val="left"/>
      <w:textAlignment w:val="center"/>
    </w:pPr>
    <w:rPr>
      <w:rFonts w:ascii="宋体" w:hAnsi="宋体" w:cs="宋体"/>
      <w:color w:val="000000"/>
      <w:kern w:val="0"/>
      <w:sz w:val="24"/>
    </w:rPr>
  </w:style>
  <w:style w:type="paragraph" w:customStyle="1" w:styleId="229">
    <w:name w:val="xl33"/>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230">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231">
    <w:name w:val="z-窗体底端 Char2"/>
    <w:link w:val="192"/>
    <w:qFormat/>
    <w:uiPriority w:val="0"/>
    <w:rPr>
      <w:rFonts w:ascii="Arial" w:hAnsi="Arial" w:cs="Arial"/>
      <w:vanish/>
      <w:kern w:val="2"/>
      <w:sz w:val="16"/>
      <w:szCs w:val="16"/>
    </w:rPr>
  </w:style>
  <w:style w:type="paragraph" w:customStyle="1" w:styleId="232">
    <w:name w:val="_Style 19"/>
    <w:basedOn w:val="1"/>
    <w:qFormat/>
    <w:uiPriority w:val="0"/>
    <w:pPr>
      <w:spacing w:line="360" w:lineRule="auto"/>
    </w:pPr>
    <w:rPr>
      <w:rFonts w:ascii="仿宋_GB2312" w:eastAsia="仿宋_GB2312"/>
      <w:b/>
      <w:sz w:val="32"/>
      <w:szCs w:val="32"/>
    </w:rPr>
  </w:style>
  <w:style w:type="paragraph" w:customStyle="1" w:styleId="233">
    <w:name w:val="Char Char3 Char Char Char Char"/>
    <w:basedOn w:val="1"/>
    <w:qFormat/>
    <w:uiPriority w:val="0"/>
    <w:pPr>
      <w:widowControl/>
      <w:spacing w:after="160" w:line="240" w:lineRule="exact"/>
      <w:jc w:val="left"/>
    </w:pPr>
    <w:rPr>
      <w:snapToGrid w:val="0"/>
      <w:kern w:val="21"/>
      <w:szCs w:val="21"/>
    </w:rPr>
  </w:style>
  <w:style w:type="paragraph" w:customStyle="1" w:styleId="234">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kern w:val="0"/>
      <w:sz w:val="24"/>
    </w:rPr>
  </w:style>
  <w:style w:type="paragraph" w:customStyle="1" w:styleId="235">
    <w:name w:val="xl138"/>
    <w:basedOn w:val="1"/>
    <w:qFormat/>
    <w:uiPriority w:val="0"/>
    <w:pPr>
      <w:widowControl/>
      <w:pBdr>
        <w:top w:val="single" w:color="000000" w:sz="4" w:space="0"/>
        <w:left w:val="single" w:color="000000" w:sz="4" w:space="0"/>
        <w:bottom w:val="single" w:color="000000" w:sz="4" w:space="0"/>
        <w:right w:val="single" w:color="000000" w:sz="4" w:space="0"/>
      </w:pBdr>
      <w:shd w:val="clear" w:color="FFFFFF"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236">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237">
    <w:name w:val="xl87"/>
    <w:basedOn w:val="1"/>
    <w:qFormat/>
    <w:uiPriority w:val="0"/>
    <w:pPr>
      <w:widowControl/>
      <w:shd w:val="clear" w:color="FFFFFF" w:fill="FFFFFF"/>
      <w:spacing w:before="100" w:beforeAutospacing="1" w:after="100" w:afterAutospacing="1"/>
      <w:jc w:val="left"/>
      <w:textAlignment w:val="center"/>
    </w:pPr>
    <w:rPr>
      <w:rFonts w:ascii="宋体" w:hAnsi="宋体" w:cs="宋体"/>
      <w:color w:val="000000"/>
      <w:kern w:val="0"/>
      <w:sz w:val="24"/>
    </w:rPr>
  </w:style>
  <w:style w:type="paragraph" w:customStyle="1" w:styleId="238">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18"/>
      <w:szCs w:val="18"/>
    </w:rPr>
  </w:style>
  <w:style w:type="paragraph" w:customStyle="1" w:styleId="239">
    <w:name w:val="Char Char Char Char Char"/>
    <w:basedOn w:val="1"/>
    <w:qFormat/>
    <w:uiPriority w:val="0"/>
    <w:pPr>
      <w:adjustRightInd w:val="0"/>
      <w:spacing w:line="440" w:lineRule="exact"/>
    </w:pPr>
    <w:rPr>
      <w:rFonts w:ascii="宋体"/>
      <w:kern w:val="0"/>
      <w:sz w:val="28"/>
      <w:szCs w:val="27"/>
    </w:rPr>
  </w:style>
  <w:style w:type="paragraph" w:customStyle="1" w:styleId="240">
    <w:name w:val="xl135"/>
    <w:basedOn w:val="1"/>
    <w:qFormat/>
    <w:uiPriority w:val="0"/>
    <w:pPr>
      <w:widowControl/>
      <w:pBdr>
        <w:top w:val="single" w:color="auto" w:sz="4" w:space="0"/>
        <w:left w:val="single" w:color="auto" w:sz="4" w:space="0"/>
        <w:bottom w:val="single" w:color="auto" w:sz="4" w:space="0"/>
        <w:right w:val="single" w:color="auto" w:sz="4" w:space="0"/>
      </w:pBdr>
      <w:shd w:val="clear" w:color="FFFFFF"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241">
    <w:name w:val="Char Char Char Char Char1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4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243">
    <w:name w:val="xl129"/>
    <w:basedOn w:val="1"/>
    <w:qFormat/>
    <w:uiPriority w:val="0"/>
    <w:pPr>
      <w:widowControl/>
      <w:pBdr>
        <w:top w:val="single" w:color="auto" w:sz="4" w:space="0"/>
        <w:left w:val="single" w:color="auto" w:sz="4" w:space="0"/>
        <w:bottom w:val="single" w:color="auto" w:sz="4" w:space="0"/>
        <w:right w:val="single" w:color="auto" w:sz="4" w:space="0"/>
      </w:pBdr>
      <w:shd w:val="clear" w:color="FFFFFF"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244">
    <w:name w:val="xl141"/>
    <w:basedOn w:val="1"/>
    <w:qFormat/>
    <w:uiPriority w:val="0"/>
    <w:pPr>
      <w:widowControl/>
      <w:shd w:val="clear" w:color="FFFFFF" w:fill="FFFFFF"/>
      <w:spacing w:before="100" w:beforeAutospacing="1" w:after="100" w:afterAutospacing="1"/>
      <w:jc w:val="left"/>
      <w:textAlignment w:val="center"/>
    </w:pPr>
    <w:rPr>
      <w:rFonts w:ascii="宋体" w:hAnsi="宋体" w:cs="宋体"/>
      <w:kern w:val="0"/>
      <w:sz w:val="24"/>
    </w:rPr>
  </w:style>
  <w:style w:type="paragraph" w:customStyle="1" w:styleId="245">
    <w:name w:val="Char Char12 Char Char Char Char Char Char Char Char"/>
    <w:basedOn w:val="1"/>
    <w:qFormat/>
    <w:uiPriority w:val="0"/>
    <w:rPr>
      <w:szCs w:val="20"/>
    </w:rPr>
  </w:style>
  <w:style w:type="paragraph" w:customStyle="1" w:styleId="246">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247">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18"/>
      <w:szCs w:val="18"/>
    </w:rPr>
  </w:style>
  <w:style w:type="paragraph" w:customStyle="1" w:styleId="248">
    <w:name w:val="xl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993300"/>
      <w:kern w:val="0"/>
      <w:sz w:val="18"/>
      <w:szCs w:val="18"/>
    </w:rPr>
  </w:style>
  <w:style w:type="paragraph" w:customStyle="1" w:styleId="249">
    <w:name w:val="xl150"/>
    <w:basedOn w:val="1"/>
    <w:qFormat/>
    <w:uiPriority w:val="0"/>
    <w:pPr>
      <w:widowControl/>
      <w:shd w:val="clear" w:color="FFFFFF" w:fill="FFFFFF"/>
      <w:spacing w:before="100" w:beforeAutospacing="1" w:after="100" w:afterAutospacing="1"/>
      <w:jc w:val="left"/>
      <w:textAlignment w:val="center"/>
    </w:pPr>
    <w:rPr>
      <w:rFonts w:ascii="宋体" w:hAnsi="宋体" w:cs="宋体"/>
      <w:color w:val="000000"/>
      <w:kern w:val="0"/>
      <w:sz w:val="24"/>
    </w:rPr>
  </w:style>
  <w:style w:type="paragraph" w:customStyle="1" w:styleId="250">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251">
    <w:name w:val="xl7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kern w:val="0"/>
      <w:sz w:val="18"/>
      <w:szCs w:val="18"/>
    </w:rPr>
  </w:style>
  <w:style w:type="paragraph" w:customStyle="1" w:styleId="252">
    <w:name w:val="Char2 Char Char Char"/>
    <w:basedOn w:val="1"/>
    <w:qFormat/>
    <w:uiPriority w:val="0"/>
    <w:rPr>
      <w:rFonts w:ascii="仿宋_GB2312"/>
      <w:b/>
      <w:sz w:val="30"/>
      <w:szCs w:val="32"/>
    </w:rPr>
  </w:style>
  <w:style w:type="paragraph" w:customStyle="1" w:styleId="253">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254">
    <w:name w:val="Char11"/>
    <w:basedOn w:val="1"/>
    <w:qFormat/>
    <w:uiPriority w:val="0"/>
    <w:pPr>
      <w:spacing w:after="160" w:line="240" w:lineRule="exact"/>
    </w:pPr>
  </w:style>
  <w:style w:type="paragraph" w:customStyle="1" w:styleId="255">
    <w:name w:val="xl90"/>
    <w:basedOn w:val="1"/>
    <w:qFormat/>
    <w:uiPriority w:val="0"/>
    <w:pPr>
      <w:widowControl/>
      <w:pBdr>
        <w:top w:val="single" w:color="000000" w:sz="4" w:space="0"/>
        <w:left w:val="single" w:color="000000" w:sz="4" w:space="0"/>
        <w:bottom w:val="single" w:color="000000" w:sz="4" w:space="0"/>
        <w:right w:val="single" w:color="000000" w:sz="4" w:space="0"/>
      </w:pBdr>
      <w:shd w:val="clear" w:color="FFFFFF" w:fill="FFFFFF"/>
      <w:spacing w:before="100" w:beforeAutospacing="1" w:after="100" w:afterAutospacing="1"/>
      <w:jc w:val="right"/>
      <w:textAlignment w:val="center"/>
    </w:pPr>
    <w:rPr>
      <w:rFonts w:ascii="宋体" w:hAnsi="宋体" w:cs="宋体"/>
      <w:color w:val="000000"/>
      <w:kern w:val="0"/>
      <w:sz w:val="24"/>
    </w:rPr>
  </w:style>
  <w:style w:type="paragraph" w:customStyle="1" w:styleId="256">
    <w:name w:val="xl120"/>
    <w:basedOn w:val="1"/>
    <w:qFormat/>
    <w:uiPriority w:val="0"/>
    <w:pPr>
      <w:widowControl/>
      <w:pBdr>
        <w:top w:val="single" w:color="auto" w:sz="4" w:space="0"/>
        <w:left w:val="single" w:color="auto" w:sz="4" w:space="0"/>
        <w:bottom w:val="single" w:color="auto" w:sz="4" w:space="0"/>
        <w:right w:val="single" w:color="auto" w:sz="4" w:space="0"/>
      </w:pBdr>
      <w:shd w:val="clear" w:color="FFFFFF" w:fill="FFFFFF"/>
      <w:spacing w:before="100" w:beforeAutospacing="1" w:after="100" w:afterAutospacing="1"/>
      <w:jc w:val="center"/>
      <w:textAlignment w:val="center"/>
    </w:pPr>
    <w:rPr>
      <w:rFonts w:ascii="宋体" w:hAnsi="宋体" w:cs="宋体"/>
      <w:kern w:val="0"/>
      <w:sz w:val="20"/>
      <w:szCs w:val="20"/>
    </w:rPr>
  </w:style>
  <w:style w:type="paragraph" w:customStyle="1" w:styleId="257">
    <w:name w:val="xl70"/>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58">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59">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kern w:val="0"/>
      <w:sz w:val="24"/>
    </w:rPr>
  </w:style>
  <w:style w:type="paragraph" w:customStyle="1" w:styleId="26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261">
    <w:name w:val="xl130"/>
    <w:basedOn w:val="1"/>
    <w:qFormat/>
    <w:uiPriority w:val="0"/>
    <w:pPr>
      <w:widowControl/>
      <w:pBdr>
        <w:top w:val="single" w:color="auto" w:sz="4" w:space="0"/>
        <w:left w:val="single" w:color="auto" w:sz="4" w:space="0"/>
        <w:bottom w:val="single" w:color="auto" w:sz="4" w:space="0"/>
        <w:right w:val="single" w:color="auto" w:sz="4" w:space="0"/>
      </w:pBdr>
      <w:shd w:val="clear" w:color="FFFFFF" w:fill="FFFFFF"/>
      <w:spacing w:before="100" w:beforeAutospacing="1" w:after="100" w:afterAutospacing="1"/>
      <w:jc w:val="left"/>
      <w:textAlignment w:val="center"/>
    </w:pPr>
    <w:rPr>
      <w:rFonts w:ascii="宋体" w:hAnsi="宋体" w:cs="宋体"/>
      <w:color w:val="000000"/>
      <w:kern w:val="0"/>
      <w:sz w:val="20"/>
      <w:szCs w:val="20"/>
    </w:rPr>
  </w:style>
  <w:style w:type="paragraph" w:customStyle="1" w:styleId="262">
    <w:name w:val="Char Char Char Char Char Char Char"/>
    <w:basedOn w:val="1"/>
    <w:qFormat/>
    <w:uiPriority w:val="0"/>
    <w:rPr>
      <w:rFonts w:ascii="Tahoma" w:hAnsi="Tahoma"/>
      <w:sz w:val="24"/>
      <w:szCs w:val="20"/>
    </w:rPr>
  </w:style>
  <w:style w:type="paragraph" w:customStyle="1" w:styleId="263">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64">
    <w:name w:val="xl89"/>
    <w:basedOn w:val="1"/>
    <w:qFormat/>
    <w:uiPriority w:val="0"/>
    <w:pPr>
      <w:widowControl/>
      <w:pBdr>
        <w:top w:val="single" w:color="000000" w:sz="4" w:space="0"/>
        <w:left w:val="single" w:color="000000" w:sz="8" w:space="0"/>
        <w:bottom w:val="single" w:color="000000" w:sz="4" w:space="0"/>
        <w:right w:val="single" w:color="000000" w:sz="4" w:space="0"/>
      </w:pBdr>
      <w:shd w:val="clear" w:color="FFFFFF" w:fill="FFFFFF"/>
      <w:spacing w:before="100" w:beforeAutospacing="1" w:after="100" w:afterAutospacing="1"/>
      <w:jc w:val="center"/>
      <w:textAlignment w:val="center"/>
    </w:pPr>
    <w:rPr>
      <w:rFonts w:ascii="宋体" w:hAnsi="宋体" w:cs="宋体"/>
      <w:color w:val="000000"/>
      <w:kern w:val="0"/>
      <w:sz w:val="24"/>
    </w:rPr>
  </w:style>
  <w:style w:type="paragraph" w:customStyle="1" w:styleId="265">
    <w:name w:val="xl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FF0000"/>
      <w:kern w:val="0"/>
      <w:sz w:val="18"/>
      <w:szCs w:val="18"/>
    </w:rPr>
  </w:style>
  <w:style w:type="paragraph" w:customStyle="1" w:styleId="266">
    <w:name w:val="Char Char1 Char Char1"/>
    <w:basedOn w:val="1"/>
    <w:qFormat/>
    <w:uiPriority w:val="0"/>
    <w:rPr>
      <w:szCs w:val="20"/>
    </w:rPr>
  </w:style>
  <w:style w:type="paragraph" w:customStyle="1" w:styleId="267">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68">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269">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kern w:val="0"/>
      <w:sz w:val="24"/>
    </w:rPr>
  </w:style>
  <w:style w:type="paragraph" w:customStyle="1" w:styleId="270">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C0C0C0"/>
      <w:kern w:val="0"/>
      <w:sz w:val="18"/>
      <w:szCs w:val="18"/>
    </w:rPr>
  </w:style>
  <w:style w:type="paragraph" w:customStyle="1" w:styleId="271">
    <w:name w:val="xl137"/>
    <w:basedOn w:val="1"/>
    <w:qFormat/>
    <w:uiPriority w:val="0"/>
    <w:pPr>
      <w:widowControl/>
      <w:pBdr>
        <w:top w:val="single" w:color="000000" w:sz="4" w:space="0"/>
        <w:left w:val="single" w:color="000000" w:sz="4" w:space="0"/>
        <w:bottom w:val="single" w:color="000000" w:sz="4" w:space="0"/>
        <w:right w:val="single" w:color="000000" w:sz="4" w:space="0"/>
      </w:pBdr>
      <w:shd w:val="clear" w:color="FFFFFF" w:fill="FFFFFF"/>
      <w:spacing w:before="100" w:beforeAutospacing="1" w:after="100" w:afterAutospacing="1"/>
      <w:jc w:val="left"/>
      <w:textAlignment w:val="center"/>
    </w:pPr>
    <w:rPr>
      <w:rFonts w:ascii="宋体" w:hAnsi="宋体" w:cs="宋体"/>
      <w:color w:val="000000"/>
      <w:kern w:val="0"/>
      <w:sz w:val="20"/>
      <w:szCs w:val="20"/>
    </w:rPr>
  </w:style>
  <w:style w:type="paragraph" w:customStyle="1" w:styleId="272">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273">
    <w:name w:val="xl148"/>
    <w:basedOn w:val="1"/>
    <w:qFormat/>
    <w:uiPriority w:val="0"/>
    <w:pPr>
      <w:widowControl/>
      <w:shd w:val="clear" w:color="FFFFFF" w:fill="FFFFFF"/>
      <w:spacing w:before="100" w:beforeAutospacing="1" w:after="100" w:afterAutospacing="1"/>
      <w:jc w:val="left"/>
      <w:textAlignment w:val="center"/>
    </w:pPr>
    <w:rPr>
      <w:rFonts w:ascii="宋体" w:hAnsi="宋体" w:cs="宋体"/>
      <w:color w:val="000000"/>
      <w:kern w:val="0"/>
      <w:sz w:val="24"/>
    </w:rPr>
  </w:style>
  <w:style w:type="paragraph" w:customStyle="1" w:styleId="274">
    <w:name w:val="xl3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275">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76">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kern w:val="0"/>
      <w:sz w:val="24"/>
    </w:rPr>
  </w:style>
  <w:style w:type="paragraph" w:customStyle="1" w:styleId="277">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78">
    <w:name w:val="正文11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279">
    <w:name w:val="Char Char21"/>
    <w:basedOn w:val="1"/>
    <w:qFormat/>
    <w:uiPriority w:val="0"/>
    <w:pPr>
      <w:widowControl/>
      <w:spacing w:after="160" w:line="240" w:lineRule="exact"/>
      <w:jc w:val="left"/>
    </w:pPr>
    <w:rPr>
      <w:rFonts w:ascii="Verdana" w:hAnsi="Verdana" w:eastAsia="仿宋_GB2312" w:cs="Verdana"/>
      <w:kern w:val="0"/>
      <w:sz w:val="24"/>
      <w:lang w:eastAsia="en-US"/>
    </w:rPr>
  </w:style>
  <w:style w:type="paragraph" w:customStyle="1" w:styleId="280">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281">
    <w:name w:val="xl126"/>
    <w:basedOn w:val="1"/>
    <w:qFormat/>
    <w:uiPriority w:val="0"/>
    <w:pPr>
      <w:widowControl/>
      <w:pBdr>
        <w:top w:val="single" w:color="auto" w:sz="4" w:space="0"/>
        <w:left w:val="single" w:color="auto" w:sz="4" w:space="0"/>
        <w:bottom w:val="single" w:color="auto" w:sz="4" w:space="0"/>
        <w:right w:val="single" w:color="auto" w:sz="4" w:space="0"/>
      </w:pBdr>
      <w:shd w:val="clear" w:color="FFFFFF" w:fill="FFFFFF"/>
      <w:spacing w:before="100" w:beforeAutospacing="1" w:after="100" w:afterAutospacing="1"/>
      <w:jc w:val="right"/>
      <w:textAlignment w:val="center"/>
    </w:pPr>
    <w:rPr>
      <w:rFonts w:ascii="宋体" w:hAnsi="宋体" w:cs="宋体"/>
      <w:kern w:val="0"/>
      <w:sz w:val="20"/>
      <w:szCs w:val="20"/>
    </w:rPr>
  </w:style>
  <w:style w:type="paragraph" w:customStyle="1" w:styleId="282">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283">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284">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285">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286">
    <w:name w:val="xl6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87">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18"/>
      <w:szCs w:val="18"/>
    </w:rPr>
  </w:style>
  <w:style w:type="paragraph" w:customStyle="1" w:styleId="288">
    <w:name w:val="列出段落1"/>
    <w:basedOn w:val="1"/>
    <w:qFormat/>
    <w:uiPriority w:val="0"/>
    <w:pPr>
      <w:widowControl/>
      <w:adjustRightInd w:val="0"/>
      <w:snapToGrid w:val="0"/>
      <w:spacing w:after="200"/>
      <w:ind w:firstLine="420" w:firstLineChars="200"/>
      <w:jc w:val="left"/>
    </w:pPr>
    <w:rPr>
      <w:rFonts w:ascii="Tahoma" w:hAnsi="Tahoma" w:eastAsia="微软雅黑"/>
      <w:kern w:val="0"/>
      <w:sz w:val="22"/>
      <w:szCs w:val="22"/>
    </w:rPr>
  </w:style>
  <w:style w:type="paragraph" w:customStyle="1" w:styleId="289">
    <w:name w:val="font6"/>
    <w:basedOn w:val="1"/>
    <w:qFormat/>
    <w:uiPriority w:val="0"/>
    <w:pPr>
      <w:widowControl/>
      <w:spacing w:before="100" w:beforeAutospacing="1" w:after="100" w:afterAutospacing="1"/>
      <w:jc w:val="left"/>
    </w:pPr>
    <w:rPr>
      <w:rFonts w:ascii="宋体" w:hAnsi="宋体" w:cs="宋体"/>
      <w:b/>
      <w:bCs/>
      <w:kern w:val="0"/>
      <w:sz w:val="24"/>
    </w:rPr>
  </w:style>
  <w:style w:type="paragraph" w:customStyle="1" w:styleId="290">
    <w:name w:val="正文 + 宋体"/>
    <w:basedOn w:val="1"/>
    <w:qFormat/>
    <w:uiPriority w:val="0"/>
    <w:pPr>
      <w:autoSpaceDE w:val="0"/>
      <w:autoSpaceDN w:val="0"/>
      <w:adjustRightInd w:val="0"/>
      <w:spacing w:line="429" w:lineRule="exact"/>
      <w:ind w:left="108"/>
    </w:pPr>
    <w:rPr>
      <w:rFonts w:ascii="宋体" w:hAnsi="宋体" w:cs="宋?"/>
      <w:color w:val="000000"/>
      <w:w w:val="97"/>
      <w:kern w:val="0"/>
      <w:szCs w:val="21"/>
    </w:rPr>
  </w:style>
  <w:style w:type="paragraph" w:customStyle="1" w:styleId="291">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92">
    <w:name w:val="Char Char Char1"/>
    <w:basedOn w:val="1"/>
    <w:qFormat/>
    <w:uiPriority w:val="0"/>
    <w:pPr>
      <w:widowControl/>
      <w:spacing w:after="160" w:line="240" w:lineRule="exact"/>
      <w:jc w:val="left"/>
    </w:pPr>
  </w:style>
  <w:style w:type="paragraph" w:customStyle="1" w:styleId="293">
    <w:name w:val="Char Char1 Char Char Char Char Char Char"/>
    <w:basedOn w:val="1"/>
    <w:qFormat/>
    <w:uiPriority w:val="0"/>
    <w:pPr>
      <w:widowControl/>
      <w:adjustRightInd w:val="0"/>
      <w:snapToGrid w:val="0"/>
      <w:spacing w:line="360" w:lineRule="auto"/>
      <w:ind w:firstLine="601"/>
    </w:pPr>
    <w:rPr>
      <w:rFonts w:ascii="宋体" w:hAnsi="宋体"/>
      <w:color w:val="000000"/>
      <w:kern w:val="0"/>
      <w:sz w:val="24"/>
    </w:rPr>
  </w:style>
  <w:style w:type="paragraph" w:customStyle="1" w:styleId="294">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kern w:val="0"/>
      <w:sz w:val="24"/>
    </w:rPr>
  </w:style>
  <w:style w:type="paragraph" w:customStyle="1" w:styleId="295">
    <w:name w:val="Char Char1 Char Char Char Char"/>
    <w:basedOn w:val="1"/>
    <w:qFormat/>
    <w:uiPriority w:val="0"/>
    <w:pPr>
      <w:adjustRightInd w:val="0"/>
      <w:spacing w:line="440" w:lineRule="exact"/>
    </w:pPr>
    <w:rPr>
      <w:rFonts w:ascii="宋体"/>
      <w:kern w:val="0"/>
      <w:sz w:val="28"/>
      <w:szCs w:val="27"/>
    </w:rPr>
  </w:style>
  <w:style w:type="paragraph" w:customStyle="1" w:styleId="296">
    <w:name w:val="Char Char1 Char Char Char Char Char Char Char"/>
    <w:basedOn w:val="1"/>
    <w:qFormat/>
    <w:uiPriority w:val="0"/>
    <w:pPr>
      <w:adjustRightInd w:val="0"/>
      <w:spacing w:line="440" w:lineRule="exact"/>
    </w:pPr>
    <w:rPr>
      <w:rFonts w:ascii="宋体"/>
      <w:kern w:val="0"/>
      <w:sz w:val="28"/>
      <w:szCs w:val="27"/>
    </w:rPr>
  </w:style>
  <w:style w:type="paragraph" w:customStyle="1" w:styleId="297">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kern w:val="0"/>
      <w:sz w:val="24"/>
    </w:rPr>
  </w:style>
  <w:style w:type="paragraph" w:customStyle="1" w:styleId="298">
    <w:name w:val="font8"/>
    <w:basedOn w:val="1"/>
    <w:qFormat/>
    <w:uiPriority w:val="0"/>
    <w:pPr>
      <w:widowControl/>
      <w:spacing w:before="100" w:beforeAutospacing="1" w:after="100" w:afterAutospacing="1"/>
      <w:jc w:val="left"/>
    </w:pPr>
    <w:rPr>
      <w:rFonts w:ascii="宋体" w:hAnsi="宋体" w:cs="宋体"/>
      <w:color w:val="FF0000"/>
      <w:kern w:val="0"/>
      <w:sz w:val="18"/>
      <w:szCs w:val="18"/>
    </w:rPr>
  </w:style>
  <w:style w:type="paragraph" w:customStyle="1" w:styleId="29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300">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301">
    <w:name w:val="xl123"/>
    <w:basedOn w:val="1"/>
    <w:qFormat/>
    <w:uiPriority w:val="0"/>
    <w:pPr>
      <w:widowControl/>
      <w:shd w:val="clear" w:color="FFFFFF" w:fill="FFFFFF"/>
      <w:spacing w:before="100" w:beforeAutospacing="1" w:after="100" w:afterAutospacing="1"/>
      <w:jc w:val="left"/>
      <w:textAlignment w:val="center"/>
    </w:pPr>
    <w:rPr>
      <w:rFonts w:ascii="宋体" w:hAnsi="宋体" w:cs="宋体"/>
      <w:kern w:val="0"/>
      <w:sz w:val="24"/>
    </w:rPr>
  </w:style>
  <w:style w:type="paragraph" w:customStyle="1" w:styleId="302">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303">
    <w:name w:val="xl83"/>
    <w:basedOn w:val="1"/>
    <w:qFormat/>
    <w:uiPriority w:val="0"/>
    <w:pPr>
      <w:widowControl/>
      <w:pBdr>
        <w:top w:val="single" w:color="000000" w:sz="4" w:space="0"/>
        <w:left w:val="single" w:color="000000" w:sz="4" w:space="0"/>
        <w:bottom w:val="single" w:color="000000" w:sz="4" w:space="0"/>
        <w:right w:val="single" w:color="000000" w:sz="4" w:space="0"/>
      </w:pBdr>
      <w:shd w:val="clear" w:color="FFFFFF" w:fill="FFFFFF"/>
      <w:spacing w:before="100" w:beforeAutospacing="1" w:after="100" w:afterAutospacing="1"/>
      <w:jc w:val="left"/>
      <w:textAlignment w:val="center"/>
    </w:pPr>
    <w:rPr>
      <w:rFonts w:ascii="宋体" w:hAnsi="宋体" w:cs="宋体"/>
      <w:color w:val="000000"/>
      <w:kern w:val="0"/>
      <w:sz w:val="24"/>
    </w:rPr>
  </w:style>
  <w:style w:type="paragraph" w:customStyle="1" w:styleId="304">
    <w:name w:val="xl121"/>
    <w:basedOn w:val="1"/>
    <w:qFormat/>
    <w:uiPriority w:val="0"/>
    <w:pPr>
      <w:widowControl/>
      <w:pBdr>
        <w:top w:val="single" w:color="auto" w:sz="4" w:space="0"/>
        <w:left w:val="single" w:color="auto" w:sz="4" w:space="0"/>
        <w:bottom w:val="single" w:color="auto" w:sz="4" w:space="0"/>
        <w:right w:val="single" w:color="auto" w:sz="4" w:space="0"/>
      </w:pBdr>
      <w:shd w:val="clear" w:color="FFFFFF" w:fill="FFFFFF"/>
      <w:spacing w:before="100" w:beforeAutospacing="1" w:after="100" w:afterAutospacing="1"/>
      <w:jc w:val="center"/>
      <w:textAlignment w:val="center"/>
    </w:pPr>
    <w:rPr>
      <w:rFonts w:ascii="宋体" w:hAnsi="宋体" w:cs="宋体"/>
      <w:kern w:val="0"/>
      <w:sz w:val="20"/>
      <w:szCs w:val="20"/>
    </w:rPr>
  </w:style>
  <w:style w:type="paragraph" w:customStyle="1" w:styleId="305">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306">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307">
    <w:name w:val="xl91"/>
    <w:basedOn w:val="1"/>
    <w:qFormat/>
    <w:uiPriority w:val="0"/>
    <w:pPr>
      <w:widowControl/>
      <w:pBdr>
        <w:top w:val="single" w:color="000000" w:sz="4" w:space="0"/>
        <w:left w:val="single" w:color="000000" w:sz="4" w:space="0"/>
        <w:right w:val="single" w:color="000000" w:sz="4" w:space="0"/>
      </w:pBdr>
      <w:shd w:val="clear" w:color="FFFFFF" w:fill="FFFFFF"/>
      <w:spacing w:before="100" w:beforeAutospacing="1" w:after="100" w:afterAutospacing="1"/>
      <w:jc w:val="right"/>
      <w:textAlignment w:val="center"/>
    </w:pPr>
    <w:rPr>
      <w:rFonts w:ascii="宋体" w:hAnsi="宋体" w:cs="宋体"/>
      <w:color w:val="000000"/>
      <w:kern w:val="0"/>
      <w:sz w:val="24"/>
    </w:rPr>
  </w:style>
  <w:style w:type="paragraph" w:customStyle="1" w:styleId="308">
    <w:name w:val="xl73"/>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309">
    <w:name w:val="xl92"/>
    <w:basedOn w:val="1"/>
    <w:qFormat/>
    <w:uiPriority w:val="0"/>
    <w:pPr>
      <w:widowControl/>
      <w:spacing w:before="100" w:beforeAutospacing="1" w:after="100" w:afterAutospacing="1"/>
      <w:jc w:val="left"/>
    </w:pPr>
    <w:rPr>
      <w:rFonts w:ascii="宋体" w:hAnsi="宋体" w:cs="宋体"/>
      <w:kern w:val="0"/>
      <w:sz w:val="24"/>
    </w:rPr>
  </w:style>
  <w:style w:type="paragraph" w:customStyle="1" w:styleId="310">
    <w:name w:val="AOBodyTxt"/>
    <w:basedOn w:val="1"/>
    <w:next w:val="1"/>
    <w:qFormat/>
    <w:uiPriority w:val="0"/>
    <w:pPr>
      <w:widowControl/>
      <w:spacing w:before="240" w:line="260" w:lineRule="atLeast"/>
    </w:pPr>
    <w:rPr>
      <w:kern w:val="0"/>
      <w:sz w:val="22"/>
      <w:szCs w:val="20"/>
      <w:lang w:val="en-GB" w:eastAsia="en-US"/>
    </w:rPr>
  </w:style>
  <w:style w:type="paragraph" w:customStyle="1" w:styleId="311">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312">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18"/>
      <w:szCs w:val="18"/>
    </w:rPr>
  </w:style>
  <w:style w:type="paragraph" w:customStyle="1" w:styleId="313">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314">
    <w:name w:val="xl146"/>
    <w:basedOn w:val="1"/>
    <w:qFormat/>
    <w:uiPriority w:val="0"/>
    <w:pPr>
      <w:widowControl/>
      <w:pBdr>
        <w:bottom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315">
    <w:name w:val="xl132"/>
    <w:basedOn w:val="1"/>
    <w:qFormat/>
    <w:uiPriority w:val="0"/>
    <w:pPr>
      <w:widowControl/>
      <w:pBdr>
        <w:top w:val="single" w:color="auto" w:sz="4" w:space="0"/>
        <w:left w:val="single" w:color="auto" w:sz="4" w:space="0"/>
        <w:bottom w:val="single" w:color="auto" w:sz="4" w:space="0"/>
        <w:right w:val="single" w:color="auto" w:sz="4" w:space="0"/>
      </w:pBdr>
      <w:shd w:val="clear" w:color="FFFFFF" w:fill="FFFFFF"/>
      <w:spacing w:before="100" w:beforeAutospacing="1" w:after="100" w:afterAutospacing="1"/>
      <w:jc w:val="left"/>
      <w:textAlignment w:val="center"/>
    </w:pPr>
    <w:rPr>
      <w:rFonts w:ascii="宋体" w:hAnsi="宋体" w:cs="宋体"/>
      <w:color w:val="000000"/>
      <w:kern w:val="0"/>
      <w:sz w:val="20"/>
      <w:szCs w:val="20"/>
    </w:rPr>
  </w:style>
  <w:style w:type="paragraph" w:customStyle="1" w:styleId="316">
    <w:name w:val="xl29"/>
    <w:basedOn w:val="1"/>
    <w:qFormat/>
    <w:uiPriority w:val="0"/>
    <w:pPr>
      <w:widowControl/>
      <w:pBdr>
        <w:bottom w:val="single" w:color="auto" w:sz="4" w:space="0"/>
      </w:pBdr>
      <w:spacing w:before="100" w:beforeAutospacing="1" w:after="100" w:afterAutospacing="1"/>
      <w:jc w:val="left"/>
    </w:pPr>
    <w:rPr>
      <w:rFonts w:ascii="宋体" w:hAnsi="宋体" w:cs="宋体"/>
      <w:b/>
      <w:bCs/>
      <w:kern w:val="0"/>
      <w:sz w:val="24"/>
    </w:rPr>
  </w:style>
  <w:style w:type="paragraph" w:customStyle="1" w:styleId="317">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FF0000"/>
      <w:kern w:val="0"/>
      <w:sz w:val="18"/>
      <w:szCs w:val="18"/>
    </w:rPr>
  </w:style>
  <w:style w:type="paragraph" w:customStyle="1" w:styleId="318">
    <w:name w:val="xl136"/>
    <w:basedOn w:val="1"/>
    <w:qFormat/>
    <w:uiPriority w:val="0"/>
    <w:pPr>
      <w:widowControl/>
      <w:pBdr>
        <w:top w:val="single" w:color="000000" w:sz="4" w:space="0"/>
        <w:left w:val="single" w:color="000000" w:sz="8" w:space="0"/>
        <w:bottom w:val="single" w:color="000000" w:sz="4" w:space="0"/>
        <w:right w:val="single" w:color="000000" w:sz="4" w:space="0"/>
      </w:pBdr>
      <w:shd w:val="clear" w:color="FFFFFF"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319">
    <w:name w:val="Char1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20">
    <w:name w:val="xl69"/>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21">
    <w:name w:val="表头"/>
    <w:basedOn w:val="1"/>
    <w:qFormat/>
    <w:uiPriority w:val="0"/>
    <w:pPr>
      <w:spacing w:line="360" w:lineRule="auto"/>
      <w:jc w:val="center"/>
    </w:pPr>
    <w:rPr>
      <w:rFonts w:ascii="黑体" w:eastAsia="黑体"/>
      <w:kern w:val="0"/>
      <w:sz w:val="24"/>
      <w:szCs w:val="20"/>
    </w:rPr>
  </w:style>
  <w:style w:type="paragraph" w:customStyle="1" w:styleId="322">
    <w:name w:val="xl122"/>
    <w:basedOn w:val="1"/>
    <w:qFormat/>
    <w:uiPriority w:val="0"/>
    <w:pPr>
      <w:widowControl/>
      <w:pBdr>
        <w:top w:val="single" w:color="auto" w:sz="4" w:space="0"/>
        <w:left w:val="single" w:color="auto" w:sz="4" w:space="0"/>
        <w:bottom w:val="single" w:color="auto" w:sz="4" w:space="0"/>
        <w:right w:val="single" w:color="auto" w:sz="4" w:space="0"/>
      </w:pBdr>
      <w:shd w:val="clear" w:color="FFFFFF"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323">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324">
    <w:name w:val="Char Char Char Char Char Char Char Char1"/>
    <w:basedOn w:val="1"/>
    <w:qFormat/>
    <w:uiPriority w:val="0"/>
    <w:pPr>
      <w:adjustRightInd w:val="0"/>
      <w:spacing w:line="440" w:lineRule="exact"/>
    </w:pPr>
    <w:rPr>
      <w:rFonts w:ascii="宋体"/>
      <w:kern w:val="0"/>
      <w:sz w:val="28"/>
      <w:szCs w:val="27"/>
    </w:rPr>
  </w:style>
  <w:style w:type="paragraph" w:customStyle="1" w:styleId="325">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326">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C0C0C0"/>
      <w:kern w:val="0"/>
      <w:sz w:val="18"/>
      <w:szCs w:val="18"/>
    </w:rPr>
  </w:style>
  <w:style w:type="paragraph" w:customStyle="1" w:styleId="327">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18"/>
      <w:szCs w:val="18"/>
    </w:rPr>
  </w:style>
  <w:style w:type="paragraph" w:customStyle="1" w:styleId="328">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329">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C0C0C0"/>
      <w:kern w:val="0"/>
      <w:sz w:val="20"/>
      <w:szCs w:val="20"/>
    </w:rPr>
  </w:style>
  <w:style w:type="paragraph" w:customStyle="1" w:styleId="330">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18"/>
      <w:szCs w:val="18"/>
    </w:rPr>
  </w:style>
  <w:style w:type="paragraph" w:customStyle="1" w:styleId="331">
    <w:name w:val="Char Char1 Char Char Char Char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32">
    <w:name w:val="xl145"/>
    <w:basedOn w:val="1"/>
    <w:qFormat/>
    <w:uiPriority w:val="0"/>
    <w:pPr>
      <w:widowControl/>
      <w:pBdr>
        <w:top w:val="single" w:color="000000" w:sz="4" w:space="0"/>
        <w:left w:val="single" w:color="000000" w:sz="4" w:space="0"/>
        <w:bottom w:val="single" w:color="000000" w:sz="4" w:space="0"/>
      </w:pBdr>
      <w:shd w:val="clear" w:color="FFFFFF" w:fill="FFFFFF"/>
      <w:spacing w:before="100" w:beforeAutospacing="1" w:after="100" w:afterAutospacing="1"/>
      <w:jc w:val="right"/>
      <w:textAlignment w:val="center"/>
    </w:pPr>
    <w:rPr>
      <w:rFonts w:ascii="宋体" w:hAnsi="宋体" w:cs="宋体"/>
      <w:color w:val="000000"/>
      <w:kern w:val="0"/>
      <w:sz w:val="20"/>
      <w:szCs w:val="20"/>
    </w:rPr>
  </w:style>
  <w:style w:type="paragraph" w:customStyle="1" w:styleId="333">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334">
    <w:name w:val="xl139"/>
    <w:basedOn w:val="1"/>
    <w:qFormat/>
    <w:uiPriority w:val="0"/>
    <w:pPr>
      <w:widowControl/>
      <w:pBdr>
        <w:top w:val="single" w:color="000000" w:sz="4" w:space="0"/>
        <w:left w:val="single" w:color="000000" w:sz="4" w:space="0"/>
        <w:bottom w:val="single" w:color="000000" w:sz="4" w:space="0"/>
        <w:right w:val="single" w:color="000000" w:sz="4" w:space="0"/>
      </w:pBdr>
      <w:shd w:val="clear" w:color="FFFFFF" w:fill="FFFFFF"/>
      <w:spacing w:before="100" w:beforeAutospacing="1" w:after="100" w:afterAutospacing="1"/>
      <w:jc w:val="right"/>
      <w:textAlignment w:val="center"/>
    </w:pPr>
    <w:rPr>
      <w:rFonts w:ascii="宋体" w:hAnsi="宋体" w:cs="宋体"/>
      <w:color w:val="000000"/>
      <w:kern w:val="0"/>
      <w:sz w:val="20"/>
      <w:szCs w:val="20"/>
    </w:rPr>
  </w:style>
  <w:style w:type="paragraph" w:customStyle="1" w:styleId="335">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336">
    <w:name w:val="表格文字"/>
    <w:basedOn w:val="1"/>
    <w:qFormat/>
    <w:uiPriority w:val="0"/>
    <w:pPr>
      <w:adjustRightInd w:val="0"/>
      <w:spacing w:line="420" w:lineRule="atLeast"/>
      <w:jc w:val="left"/>
      <w:textAlignment w:val="baseline"/>
    </w:pPr>
    <w:rPr>
      <w:kern w:val="0"/>
      <w:szCs w:val="20"/>
    </w:rPr>
  </w:style>
  <w:style w:type="paragraph" w:customStyle="1" w:styleId="337">
    <w:name w:val="xl147"/>
    <w:basedOn w:val="1"/>
    <w:qFormat/>
    <w:uiPriority w:val="0"/>
    <w:pPr>
      <w:widowControl/>
      <w:shd w:val="clear" w:color="FFFFFF" w:fill="FFFFFF"/>
      <w:spacing w:before="100" w:beforeAutospacing="1" w:after="100" w:afterAutospacing="1"/>
      <w:jc w:val="left"/>
      <w:textAlignment w:val="center"/>
    </w:pPr>
    <w:rPr>
      <w:rFonts w:ascii="宋体" w:hAnsi="宋体" w:cs="宋体"/>
      <w:color w:val="000000"/>
      <w:kern w:val="0"/>
      <w:sz w:val="24"/>
    </w:rPr>
  </w:style>
  <w:style w:type="paragraph" w:customStyle="1" w:styleId="338">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339">
    <w:name w:val="格式1"/>
    <w:next w:val="1"/>
    <w:qFormat/>
    <w:uiPriority w:val="0"/>
    <w:pPr>
      <w:keepNext/>
      <w:widowControl w:val="0"/>
      <w:adjustRightInd w:val="0"/>
      <w:snapToGrid w:val="0"/>
      <w:spacing w:before="156" w:line="440" w:lineRule="exact"/>
      <w:jc w:val="both"/>
      <w:outlineLvl w:val="3"/>
    </w:pPr>
    <w:rPr>
      <w:rFonts w:ascii="Times New Roman" w:hAnsi="Times New Roman" w:eastAsia="宋体" w:cs="Times New Roman"/>
      <w:b/>
      <w:bCs/>
      <w:sz w:val="24"/>
      <w:szCs w:val="24"/>
      <w:lang w:val="en-US" w:eastAsia="zh-CN" w:bidi="ar-SA"/>
    </w:rPr>
  </w:style>
  <w:style w:type="paragraph" w:customStyle="1" w:styleId="340">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341">
    <w:name w:val="xl144"/>
    <w:basedOn w:val="1"/>
    <w:qFormat/>
    <w:uiPriority w:val="0"/>
    <w:pPr>
      <w:widowControl/>
      <w:pBdr>
        <w:top w:val="single" w:color="auto" w:sz="4" w:space="0"/>
        <w:left w:val="single" w:color="auto" w:sz="4" w:space="0"/>
        <w:bottom w:val="single" w:color="auto" w:sz="4" w:space="0"/>
        <w:right w:val="single" w:color="auto" w:sz="4" w:space="0"/>
      </w:pBdr>
      <w:shd w:val="clear" w:color="FFFFFF" w:fill="FFFFFF"/>
      <w:spacing w:before="100" w:beforeAutospacing="1" w:after="100" w:afterAutospacing="1"/>
      <w:jc w:val="right"/>
      <w:textAlignment w:val="center"/>
    </w:pPr>
    <w:rPr>
      <w:rFonts w:ascii="宋体" w:hAnsi="宋体" w:cs="宋体"/>
      <w:color w:val="000000"/>
      <w:kern w:val="0"/>
      <w:sz w:val="20"/>
      <w:szCs w:val="20"/>
    </w:rPr>
  </w:style>
  <w:style w:type="paragraph" w:customStyle="1" w:styleId="342">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343">
    <w:name w:val="Char Char Char Char Char Char Char Char Char Char Char Char Char Char Char1 Char"/>
    <w:basedOn w:val="1"/>
    <w:qFormat/>
    <w:uiPriority w:val="0"/>
    <w:pPr>
      <w:adjustRightInd w:val="0"/>
      <w:spacing w:line="312" w:lineRule="atLeast"/>
      <w:textAlignment w:val="baseline"/>
    </w:pPr>
    <w:rPr>
      <w:b/>
      <w:bCs/>
      <w:kern w:val="0"/>
      <w:sz w:val="36"/>
      <w:szCs w:val="32"/>
    </w:rPr>
  </w:style>
  <w:style w:type="paragraph" w:customStyle="1" w:styleId="344">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18"/>
      <w:szCs w:val="18"/>
    </w:rPr>
  </w:style>
  <w:style w:type="paragraph" w:customStyle="1" w:styleId="345">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FF0000"/>
      <w:kern w:val="0"/>
      <w:sz w:val="18"/>
      <w:szCs w:val="18"/>
    </w:rPr>
  </w:style>
  <w:style w:type="paragraph" w:customStyle="1" w:styleId="346">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993300"/>
      <w:kern w:val="0"/>
      <w:sz w:val="18"/>
      <w:szCs w:val="18"/>
    </w:rPr>
  </w:style>
  <w:style w:type="character" w:customStyle="1" w:styleId="347">
    <w:name w:val="z-窗体顶端 Char2"/>
    <w:link w:val="196"/>
    <w:qFormat/>
    <w:uiPriority w:val="0"/>
    <w:rPr>
      <w:rFonts w:ascii="Arial" w:hAnsi="Arial" w:cs="Arial"/>
      <w:vanish/>
      <w:kern w:val="2"/>
      <w:sz w:val="16"/>
      <w:szCs w:val="16"/>
    </w:rPr>
  </w:style>
  <w:style w:type="paragraph" w:customStyle="1" w:styleId="348">
    <w:name w:val="列出段落3"/>
    <w:basedOn w:val="1"/>
    <w:unhideWhenUsed/>
    <w:qFormat/>
    <w:uiPriority w:val="99"/>
    <w:pPr>
      <w:ind w:firstLine="420" w:firstLineChars="200"/>
    </w:pPr>
    <w:rPr>
      <w:szCs w:val="22"/>
    </w:rPr>
  </w:style>
  <w:style w:type="paragraph" w:customStyle="1" w:styleId="349">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350">
    <w:name w:val="xl85"/>
    <w:basedOn w:val="1"/>
    <w:qFormat/>
    <w:uiPriority w:val="0"/>
    <w:pPr>
      <w:widowControl/>
      <w:pBdr>
        <w:top w:val="single" w:color="000000" w:sz="4" w:space="0"/>
        <w:left w:val="single" w:color="000000" w:sz="4" w:space="0"/>
        <w:bottom w:val="single" w:color="000000" w:sz="4" w:space="0"/>
        <w:right w:val="single" w:color="000000" w:sz="4" w:space="0"/>
      </w:pBdr>
      <w:shd w:val="clear" w:color="FFFFFF" w:fill="FFFFFF"/>
      <w:spacing w:before="100" w:beforeAutospacing="1" w:after="100" w:afterAutospacing="1"/>
      <w:jc w:val="center"/>
      <w:textAlignment w:val="center"/>
    </w:pPr>
    <w:rPr>
      <w:rFonts w:ascii="宋体" w:hAnsi="宋体" w:cs="宋体"/>
      <w:color w:val="000000"/>
      <w:kern w:val="0"/>
      <w:sz w:val="24"/>
    </w:rPr>
  </w:style>
  <w:style w:type="paragraph" w:customStyle="1" w:styleId="351">
    <w:name w:val="xl32"/>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352">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353">
    <w:name w:val="xl134"/>
    <w:basedOn w:val="1"/>
    <w:qFormat/>
    <w:uiPriority w:val="0"/>
    <w:pPr>
      <w:widowControl/>
      <w:pBdr>
        <w:top w:val="single" w:color="auto" w:sz="4" w:space="0"/>
        <w:left w:val="single" w:color="auto" w:sz="4" w:space="0"/>
        <w:bottom w:val="single" w:color="auto" w:sz="4" w:space="0"/>
        <w:right w:val="single" w:color="auto" w:sz="4" w:space="0"/>
      </w:pBdr>
      <w:shd w:val="clear" w:color="FFFFFF" w:fill="FFFFFF"/>
      <w:spacing w:before="100" w:beforeAutospacing="1" w:after="100" w:afterAutospacing="1"/>
      <w:jc w:val="right"/>
      <w:textAlignment w:val="center"/>
    </w:pPr>
    <w:rPr>
      <w:rFonts w:ascii="宋体" w:hAnsi="宋体" w:cs="宋体"/>
      <w:color w:val="000000"/>
      <w:kern w:val="0"/>
      <w:sz w:val="20"/>
      <w:szCs w:val="20"/>
    </w:rPr>
  </w:style>
  <w:style w:type="paragraph" w:customStyle="1" w:styleId="354">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18"/>
      <w:szCs w:val="18"/>
    </w:rPr>
  </w:style>
  <w:style w:type="paragraph" w:customStyle="1" w:styleId="355">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356">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357">
    <w:name w:val="特点"/>
    <w:basedOn w:val="1"/>
    <w:next w:val="20"/>
    <w:qFormat/>
    <w:uiPriority w:val="0"/>
    <w:pPr>
      <w:spacing w:after="120"/>
      <w:ind w:left="1440" w:leftChars="700" w:right="1440" w:rightChars="700"/>
    </w:pPr>
    <w:rPr>
      <w:szCs w:val="21"/>
    </w:rPr>
  </w:style>
  <w:style w:type="paragraph" w:customStyle="1" w:styleId="358">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359">
    <w:name w:val="xl3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360">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kern w:val="0"/>
      <w:sz w:val="24"/>
    </w:rPr>
  </w:style>
  <w:style w:type="paragraph" w:customStyle="1" w:styleId="361">
    <w:name w:val="xl140"/>
    <w:basedOn w:val="1"/>
    <w:qFormat/>
    <w:uiPriority w:val="0"/>
    <w:pPr>
      <w:widowControl/>
      <w:shd w:val="clear" w:color="FFFFFF" w:fill="FFFFFF"/>
      <w:spacing w:before="100" w:beforeAutospacing="1" w:after="100" w:afterAutospacing="1"/>
      <w:jc w:val="left"/>
      <w:textAlignment w:val="center"/>
    </w:pPr>
    <w:rPr>
      <w:rFonts w:ascii="宋体" w:hAnsi="宋体" w:cs="宋体"/>
      <w:kern w:val="0"/>
      <w:sz w:val="24"/>
    </w:rPr>
  </w:style>
  <w:style w:type="paragraph" w:customStyle="1" w:styleId="362">
    <w:name w:val="xl30"/>
    <w:basedOn w:val="1"/>
    <w:qFormat/>
    <w:uiPriority w:val="0"/>
    <w:pPr>
      <w:widowControl/>
      <w:spacing w:before="100" w:beforeAutospacing="1" w:after="100" w:afterAutospacing="1"/>
      <w:jc w:val="center"/>
    </w:pPr>
    <w:rPr>
      <w:rFonts w:ascii="宋体" w:hAnsi="宋体" w:cs="宋体"/>
      <w:b/>
      <w:bCs/>
      <w:kern w:val="0"/>
      <w:sz w:val="32"/>
      <w:szCs w:val="32"/>
    </w:rPr>
  </w:style>
  <w:style w:type="paragraph" w:customStyle="1" w:styleId="363">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364">
    <w:name w:val="Char Char1 Char Char Char Char Char Char Char Char Char Char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65">
    <w:name w:val="格式2"/>
    <w:qFormat/>
    <w:uiPriority w:val="0"/>
    <w:pPr>
      <w:widowControl w:val="0"/>
      <w:adjustRightInd w:val="0"/>
      <w:snapToGrid w:val="0"/>
      <w:spacing w:before="50" w:line="440" w:lineRule="exact"/>
      <w:jc w:val="both"/>
    </w:pPr>
    <w:rPr>
      <w:rFonts w:ascii="Times New Roman" w:hAnsi="Times New Roman" w:eastAsia="宋体" w:cs="Times New Roman"/>
      <w:sz w:val="24"/>
      <w:szCs w:val="24"/>
      <w:lang w:val="en-US" w:eastAsia="zh-CN" w:bidi="ar-SA"/>
    </w:rPr>
  </w:style>
  <w:style w:type="paragraph" w:customStyle="1" w:styleId="366">
    <w:name w:val="Char Char Char Char Char Char Char Char Char Char1"/>
    <w:basedOn w:val="1"/>
    <w:qFormat/>
    <w:uiPriority w:val="0"/>
    <w:pPr>
      <w:adjustRightInd w:val="0"/>
      <w:spacing w:line="312" w:lineRule="atLeast"/>
      <w:textAlignment w:val="baseline"/>
    </w:pPr>
    <w:rPr>
      <w:b/>
      <w:bCs/>
      <w:kern w:val="0"/>
      <w:sz w:val="36"/>
      <w:szCs w:val="32"/>
    </w:rPr>
  </w:style>
  <w:style w:type="paragraph" w:customStyle="1" w:styleId="367">
    <w:name w:val="xl143"/>
    <w:basedOn w:val="1"/>
    <w:qFormat/>
    <w:uiPriority w:val="0"/>
    <w:pPr>
      <w:widowControl/>
      <w:pBdr>
        <w:top w:val="single" w:color="000000" w:sz="4" w:space="0"/>
        <w:left w:val="single" w:color="000000" w:sz="4" w:space="0"/>
        <w:bottom w:val="single" w:color="000000" w:sz="4" w:space="0"/>
        <w:right w:val="single" w:color="000000" w:sz="4" w:space="0"/>
      </w:pBdr>
      <w:shd w:val="clear" w:color="FFFFFF" w:fill="FFFFFF"/>
      <w:spacing w:before="100" w:beforeAutospacing="1" w:after="100" w:afterAutospacing="1"/>
      <w:jc w:val="right"/>
      <w:textAlignment w:val="center"/>
    </w:pPr>
    <w:rPr>
      <w:rFonts w:ascii="宋体" w:hAnsi="宋体" w:cs="宋体"/>
      <w:color w:val="000000"/>
      <w:kern w:val="0"/>
      <w:sz w:val="24"/>
    </w:rPr>
  </w:style>
  <w:style w:type="paragraph" w:customStyle="1" w:styleId="368">
    <w:name w:val="_Style 67"/>
    <w:basedOn w:val="1"/>
    <w:qFormat/>
    <w:uiPriority w:val="0"/>
    <w:pPr>
      <w:widowControl/>
      <w:spacing w:after="160" w:line="240" w:lineRule="exact"/>
      <w:jc w:val="left"/>
    </w:pPr>
  </w:style>
  <w:style w:type="paragraph" w:customStyle="1" w:styleId="369">
    <w:name w:val="xl133"/>
    <w:basedOn w:val="1"/>
    <w:qFormat/>
    <w:uiPriority w:val="0"/>
    <w:pPr>
      <w:widowControl/>
      <w:pBdr>
        <w:top w:val="single" w:color="auto" w:sz="4" w:space="0"/>
        <w:left w:val="single" w:color="auto" w:sz="4" w:space="0"/>
        <w:bottom w:val="single" w:color="auto" w:sz="4" w:space="0"/>
        <w:right w:val="single" w:color="auto" w:sz="4" w:space="0"/>
      </w:pBdr>
      <w:shd w:val="clear" w:color="FFFFFF"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370">
    <w:name w:val="xl3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371">
    <w:name w:val="xl84"/>
    <w:basedOn w:val="1"/>
    <w:qFormat/>
    <w:uiPriority w:val="0"/>
    <w:pPr>
      <w:widowControl/>
      <w:pBdr>
        <w:top w:val="single" w:color="auto" w:sz="4" w:space="0"/>
        <w:left w:val="single" w:color="auto" w:sz="4" w:space="0"/>
        <w:bottom w:val="single" w:color="auto" w:sz="4" w:space="0"/>
        <w:right w:val="single" w:color="auto" w:sz="4" w:space="0"/>
      </w:pBdr>
      <w:shd w:val="clear" w:color="FFFFFF" w:fill="FFFFFF"/>
      <w:spacing w:before="100" w:beforeAutospacing="1" w:after="100" w:afterAutospacing="1"/>
      <w:jc w:val="center"/>
      <w:textAlignment w:val="center"/>
    </w:pPr>
    <w:rPr>
      <w:rFonts w:ascii="宋体" w:hAnsi="宋体" w:cs="宋体"/>
      <w:color w:val="000000"/>
      <w:kern w:val="0"/>
      <w:sz w:val="24"/>
    </w:rPr>
  </w:style>
  <w:style w:type="paragraph" w:customStyle="1" w:styleId="372">
    <w:name w:val="xl127"/>
    <w:basedOn w:val="1"/>
    <w:qFormat/>
    <w:uiPriority w:val="0"/>
    <w:pPr>
      <w:widowControl/>
      <w:pBdr>
        <w:top w:val="single" w:color="auto" w:sz="4" w:space="0"/>
        <w:left w:val="single" w:color="auto" w:sz="4" w:space="0"/>
        <w:bottom w:val="single" w:color="auto" w:sz="4" w:space="0"/>
        <w:right w:val="single" w:color="auto" w:sz="4" w:space="0"/>
      </w:pBdr>
      <w:shd w:val="clear" w:color="FFFFFF" w:fill="FFFFFF"/>
      <w:spacing w:before="100" w:beforeAutospacing="1" w:after="100" w:afterAutospacing="1"/>
      <w:jc w:val="left"/>
      <w:textAlignment w:val="center"/>
    </w:pPr>
    <w:rPr>
      <w:rFonts w:ascii="宋体" w:hAnsi="宋体" w:cs="宋体"/>
      <w:kern w:val="0"/>
      <w:sz w:val="20"/>
      <w:szCs w:val="20"/>
    </w:rPr>
  </w:style>
  <w:style w:type="paragraph" w:customStyle="1" w:styleId="373">
    <w:name w:val="Char Char Char Char Char Char Char1"/>
    <w:basedOn w:val="1"/>
    <w:qFormat/>
    <w:uiPriority w:val="0"/>
    <w:rPr>
      <w:rFonts w:ascii="仿宋_GB2312" w:eastAsia="仿宋_GB2312"/>
      <w:b/>
      <w:sz w:val="32"/>
      <w:szCs w:val="32"/>
    </w:rPr>
  </w:style>
  <w:style w:type="paragraph" w:customStyle="1" w:styleId="374">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7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376">
    <w:name w:val="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77">
    <w:name w:val="xl124"/>
    <w:basedOn w:val="1"/>
    <w:qFormat/>
    <w:uiPriority w:val="0"/>
    <w:pPr>
      <w:widowControl/>
      <w:pBdr>
        <w:top w:val="single" w:color="000000" w:sz="4" w:space="0"/>
        <w:left w:val="single" w:color="000000" w:sz="4" w:space="0"/>
        <w:bottom w:val="single" w:color="000000" w:sz="4" w:space="0"/>
        <w:right w:val="single" w:color="000000" w:sz="4" w:space="0"/>
      </w:pBdr>
      <w:shd w:val="clear" w:color="FFFFFF" w:fill="FFFFFF"/>
      <w:spacing w:before="100" w:beforeAutospacing="1" w:after="100" w:afterAutospacing="1"/>
      <w:jc w:val="right"/>
      <w:textAlignment w:val="center"/>
    </w:pPr>
    <w:rPr>
      <w:rFonts w:ascii="宋体" w:hAnsi="宋体" w:cs="宋体"/>
      <w:color w:val="000000"/>
      <w:kern w:val="0"/>
      <w:sz w:val="20"/>
      <w:szCs w:val="20"/>
    </w:rPr>
  </w:style>
  <w:style w:type="paragraph" w:customStyle="1" w:styleId="378">
    <w:name w:val="font7"/>
    <w:basedOn w:val="1"/>
    <w:qFormat/>
    <w:uiPriority w:val="0"/>
    <w:pPr>
      <w:widowControl/>
      <w:spacing w:before="100" w:beforeAutospacing="1" w:after="100" w:afterAutospacing="1"/>
      <w:jc w:val="left"/>
    </w:pPr>
    <w:rPr>
      <w:rFonts w:ascii="宋体" w:hAnsi="宋体" w:cs="宋体"/>
      <w:b/>
      <w:bCs/>
      <w:kern w:val="0"/>
      <w:sz w:val="24"/>
    </w:rPr>
  </w:style>
  <w:style w:type="paragraph" w:customStyle="1" w:styleId="379">
    <w:name w:val="正文1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380">
    <w:name w:val="xl3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381">
    <w:name w:val="xl131"/>
    <w:basedOn w:val="1"/>
    <w:qFormat/>
    <w:uiPriority w:val="0"/>
    <w:pPr>
      <w:widowControl/>
      <w:pBdr>
        <w:top w:val="single" w:color="auto" w:sz="4" w:space="0"/>
        <w:left w:val="single" w:color="auto" w:sz="4" w:space="0"/>
        <w:bottom w:val="single" w:color="auto" w:sz="4" w:space="0"/>
        <w:right w:val="single" w:color="auto" w:sz="4" w:space="0"/>
      </w:pBdr>
      <w:shd w:val="clear" w:color="FFFFFF" w:fill="FFFFFF"/>
      <w:spacing w:before="100" w:beforeAutospacing="1" w:after="100" w:afterAutospacing="1"/>
      <w:jc w:val="right"/>
      <w:textAlignment w:val="center"/>
    </w:pPr>
    <w:rPr>
      <w:rFonts w:ascii="宋体" w:hAnsi="宋体" w:cs="宋体"/>
      <w:color w:val="000000"/>
      <w:kern w:val="0"/>
      <w:sz w:val="20"/>
      <w:szCs w:val="20"/>
    </w:rPr>
  </w:style>
  <w:style w:type="paragraph" w:customStyle="1" w:styleId="382">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383">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384">
    <w:name w:val="xl72"/>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kern w:val="0"/>
      <w:sz w:val="18"/>
      <w:szCs w:val="18"/>
    </w:rPr>
  </w:style>
  <w:style w:type="paragraph" w:customStyle="1" w:styleId="385">
    <w:name w:val="xl93"/>
    <w:basedOn w:val="1"/>
    <w:qFormat/>
    <w:uiPriority w:val="0"/>
    <w:pPr>
      <w:widowControl/>
      <w:shd w:val="clear" w:color="FFFFFF" w:fill="FFFFFF"/>
      <w:spacing w:before="100" w:beforeAutospacing="1" w:after="100" w:afterAutospacing="1"/>
      <w:jc w:val="right"/>
      <w:textAlignment w:val="center"/>
    </w:pPr>
    <w:rPr>
      <w:rFonts w:ascii="宋体" w:hAnsi="宋体" w:cs="宋体"/>
      <w:color w:val="000000"/>
      <w:kern w:val="0"/>
      <w:sz w:val="24"/>
    </w:rPr>
  </w:style>
  <w:style w:type="paragraph" w:customStyle="1" w:styleId="386">
    <w:name w:val="_Style 108"/>
    <w:basedOn w:val="1"/>
    <w:qFormat/>
    <w:uiPriority w:val="0"/>
    <w:pPr>
      <w:widowControl/>
      <w:spacing w:after="160" w:line="240" w:lineRule="exact"/>
      <w:jc w:val="left"/>
    </w:pPr>
  </w:style>
  <w:style w:type="paragraph" w:customStyle="1" w:styleId="387">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388">
    <w:name w:val="无间隔1"/>
    <w:qFormat/>
    <w:uiPriority w:val="1"/>
    <w:pPr>
      <w:widowControl w:val="0"/>
    </w:pPr>
    <w:rPr>
      <w:rFonts w:ascii="Calibri" w:hAnsi="Calibri" w:eastAsia="宋体" w:cs="Times New Roman"/>
      <w:kern w:val="2"/>
      <w:sz w:val="21"/>
      <w:szCs w:val="22"/>
      <w:lang w:val="en-US" w:eastAsia="zh-CN" w:bidi="ar-SA"/>
    </w:rPr>
  </w:style>
  <w:style w:type="table" w:customStyle="1" w:styleId="389">
    <w:name w:val="网格型1"/>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90">
    <w:name w:val="TOC 标题2"/>
    <w:basedOn w:val="3"/>
    <w:next w:val="1"/>
    <w:qFormat/>
    <w:uiPriority w:val="0"/>
    <w:pPr>
      <w:outlineLvl w:val="9"/>
    </w:pPr>
  </w:style>
  <w:style w:type="character" w:customStyle="1" w:styleId="391">
    <w:name w:val="书籍标题2"/>
    <w:qFormat/>
    <w:uiPriority w:val="0"/>
    <w:rPr>
      <w:b/>
      <w:bCs/>
      <w:smallCaps/>
      <w:spacing w:val="5"/>
    </w:rPr>
  </w:style>
  <w:style w:type="character" w:customStyle="1" w:styleId="392">
    <w:name w:val="明显强调2"/>
    <w:qFormat/>
    <w:uiPriority w:val="0"/>
    <w:rPr>
      <w:b/>
      <w:bCs/>
      <w:i/>
      <w:iCs/>
      <w:color w:val="4F81BD"/>
    </w:rPr>
  </w:style>
  <w:style w:type="character" w:customStyle="1" w:styleId="393">
    <w:name w:val="不明显强调2"/>
    <w:qFormat/>
    <w:uiPriority w:val="0"/>
    <w:rPr>
      <w:i/>
      <w:iCs/>
      <w:color w:val="808080"/>
    </w:rPr>
  </w:style>
  <w:style w:type="character" w:customStyle="1" w:styleId="394">
    <w:name w:val="不明显参考2"/>
    <w:qFormat/>
    <w:uiPriority w:val="0"/>
    <w:rPr>
      <w:smallCaps/>
      <w:color w:val="C0504D"/>
      <w:u w:val="single"/>
    </w:rPr>
  </w:style>
  <w:style w:type="character" w:customStyle="1" w:styleId="395">
    <w:name w:val="明显参考2"/>
    <w:qFormat/>
    <w:uiPriority w:val="0"/>
    <w:rPr>
      <w:b/>
      <w:bCs/>
      <w:smallCaps/>
      <w:color w:val="C0504D"/>
      <w:spacing w:val="5"/>
      <w:u w:val="single"/>
    </w:rPr>
  </w:style>
  <w:style w:type="paragraph" w:customStyle="1" w:styleId="396">
    <w:name w:val="修订2"/>
    <w:qFormat/>
    <w:uiPriority w:val="0"/>
    <w:rPr>
      <w:rFonts w:ascii="Times New Roman" w:hAnsi="Times New Roman" w:eastAsia="宋体" w:cs="Times New Roman"/>
      <w:kern w:val="2"/>
      <w:sz w:val="21"/>
      <w:szCs w:val="24"/>
      <w:lang w:val="en-US" w:eastAsia="zh-CN" w:bidi="ar-SA"/>
    </w:rPr>
  </w:style>
  <w:style w:type="table" w:customStyle="1" w:styleId="397">
    <w:name w:val="网格型2"/>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98">
    <w:name w:val="书籍标题21"/>
    <w:qFormat/>
    <w:uiPriority w:val="0"/>
    <w:rPr>
      <w:b/>
      <w:bCs/>
      <w:smallCaps/>
      <w:spacing w:val="5"/>
    </w:rPr>
  </w:style>
  <w:style w:type="character" w:customStyle="1" w:styleId="399">
    <w:name w:val="明显参考21"/>
    <w:qFormat/>
    <w:uiPriority w:val="0"/>
    <w:rPr>
      <w:b/>
      <w:bCs/>
      <w:smallCaps/>
      <w:color w:val="C0504D"/>
      <w:spacing w:val="5"/>
      <w:u w:val="single"/>
    </w:rPr>
  </w:style>
  <w:style w:type="character" w:customStyle="1" w:styleId="400">
    <w:name w:val="不明显强调21"/>
    <w:qFormat/>
    <w:uiPriority w:val="0"/>
    <w:rPr>
      <w:i/>
      <w:iCs/>
      <w:color w:val="808080"/>
    </w:rPr>
  </w:style>
  <w:style w:type="character" w:customStyle="1" w:styleId="401">
    <w:name w:val="不明显参考21"/>
    <w:qFormat/>
    <w:uiPriority w:val="0"/>
    <w:rPr>
      <w:smallCaps/>
      <w:color w:val="C0504D"/>
      <w:u w:val="single"/>
    </w:rPr>
  </w:style>
  <w:style w:type="character" w:customStyle="1" w:styleId="402">
    <w:name w:val="明显强调21"/>
    <w:qFormat/>
    <w:uiPriority w:val="0"/>
    <w:rPr>
      <w:b/>
      <w:bCs/>
      <w:i/>
      <w:iCs/>
      <w:color w:val="4F81BD"/>
    </w:rPr>
  </w:style>
  <w:style w:type="character" w:customStyle="1" w:styleId="403">
    <w:name w:val="正文文本缩进 Char1"/>
    <w:semiHidden/>
    <w:qFormat/>
    <w:uiPriority w:val="0"/>
    <w:rPr>
      <w:rFonts w:ascii="宋体" w:hAnsi="宋体"/>
      <w:kern w:val="2"/>
      <w:sz w:val="24"/>
      <w:szCs w:val="24"/>
    </w:rPr>
  </w:style>
  <w:style w:type="character" w:customStyle="1" w:styleId="404">
    <w:name w:val="正文文本 3 Char1"/>
    <w:semiHidden/>
    <w:qFormat/>
    <w:uiPriority w:val="99"/>
    <w:rPr>
      <w:rFonts w:ascii="宋体" w:hAnsi="宋体"/>
      <w:kern w:val="2"/>
      <w:sz w:val="16"/>
      <w:szCs w:val="16"/>
    </w:rPr>
  </w:style>
  <w:style w:type="character" w:customStyle="1" w:styleId="405">
    <w:name w:val="文档结构图 Char3"/>
    <w:semiHidden/>
    <w:qFormat/>
    <w:uiPriority w:val="0"/>
    <w:rPr>
      <w:rFonts w:ascii="Microsoft YaHei UI" w:hAnsi="宋体" w:eastAsia="Microsoft YaHei UI"/>
      <w:kern w:val="2"/>
      <w:sz w:val="18"/>
      <w:szCs w:val="18"/>
    </w:rPr>
  </w:style>
  <w:style w:type="character" w:customStyle="1" w:styleId="406">
    <w:name w:val="标题 Char2"/>
    <w:qFormat/>
    <w:uiPriority w:val="0"/>
    <w:rPr>
      <w:rFonts w:ascii="Calibri Light" w:hAnsi="Calibri Light" w:cs="Times New Roman"/>
      <w:b/>
      <w:bCs/>
      <w:kern w:val="2"/>
      <w:sz w:val="32"/>
      <w:szCs w:val="32"/>
    </w:rPr>
  </w:style>
  <w:style w:type="character" w:customStyle="1" w:styleId="407">
    <w:name w:val="纯文本 Char2"/>
    <w:semiHidden/>
    <w:qFormat/>
    <w:uiPriority w:val="0"/>
    <w:rPr>
      <w:rFonts w:ascii="宋体" w:hAnsi="Courier New" w:cs="Courier New"/>
      <w:kern w:val="2"/>
      <w:sz w:val="21"/>
      <w:szCs w:val="21"/>
    </w:rPr>
  </w:style>
  <w:style w:type="paragraph" w:customStyle="1" w:styleId="408">
    <w:name w:val="TOC 标题21"/>
    <w:basedOn w:val="3"/>
    <w:next w:val="1"/>
    <w:qFormat/>
    <w:uiPriority w:val="0"/>
    <w:pPr>
      <w:outlineLvl w:val="9"/>
    </w:pPr>
  </w:style>
  <w:style w:type="character" w:customStyle="1" w:styleId="409">
    <w:name w:val="引用 Char2"/>
    <w:qFormat/>
    <w:uiPriority w:val="0"/>
    <w:rPr>
      <w:rFonts w:ascii="宋体" w:hAnsi="宋体"/>
      <w:i/>
      <w:iCs/>
      <w:color w:val="404040"/>
      <w:kern w:val="2"/>
      <w:sz w:val="24"/>
      <w:szCs w:val="24"/>
    </w:rPr>
  </w:style>
  <w:style w:type="paragraph" w:customStyle="1" w:styleId="410">
    <w:name w:val="修订21"/>
    <w:qFormat/>
    <w:uiPriority w:val="0"/>
    <w:rPr>
      <w:rFonts w:ascii="Times New Roman" w:hAnsi="Times New Roman" w:eastAsia="宋体" w:cs="Times New Roman"/>
      <w:kern w:val="2"/>
      <w:sz w:val="21"/>
      <w:szCs w:val="24"/>
      <w:lang w:val="en-US" w:eastAsia="zh-CN" w:bidi="ar-SA"/>
    </w:rPr>
  </w:style>
  <w:style w:type="character" w:customStyle="1" w:styleId="411">
    <w:name w:val="明显引用 Char2"/>
    <w:qFormat/>
    <w:uiPriority w:val="0"/>
    <w:rPr>
      <w:rFonts w:ascii="宋体" w:hAnsi="宋体"/>
      <w:i/>
      <w:iCs/>
      <w:color w:val="5B9BD5"/>
      <w:kern w:val="2"/>
      <w:sz w:val="24"/>
      <w:szCs w:val="24"/>
    </w:rPr>
  </w:style>
  <w:style w:type="table" w:customStyle="1" w:styleId="412">
    <w:name w:val="网格型3"/>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13">
    <w:name w:val="网格型4"/>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14">
    <w:name w:val="hilite"/>
    <w:basedOn w:val="45"/>
    <w:qFormat/>
    <w:uiPriority w:val="0"/>
    <w:rPr>
      <w:color w:val="FFFFFF"/>
      <w:shd w:val="clear" w:color="auto" w:fill="666677"/>
    </w:rPr>
  </w:style>
  <w:style w:type="character" w:customStyle="1" w:styleId="415">
    <w:name w:val="active6"/>
    <w:basedOn w:val="45"/>
    <w:qFormat/>
    <w:uiPriority w:val="0"/>
    <w:rPr>
      <w:color w:val="00FF00"/>
      <w:shd w:val="clear" w:color="auto" w:fill="111111"/>
    </w:rPr>
  </w:style>
  <w:style w:type="character" w:customStyle="1" w:styleId="416">
    <w:name w:val="xdrichtextbox"/>
    <w:basedOn w:val="45"/>
    <w:qFormat/>
    <w:uiPriority w:val="0"/>
    <w:rPr>
      <w:color w:val="auto"/>
      <w:sz w:val="18"/>
      <w:szCs w:val="18"/>
      <w:u w:val="none"/>
      <w:bdr w:val="single" w:color="DCDCDC" w:sz="8" w:space="0"/>
      <w:shd w:val="clear" w:color="auto" w:fill="auto"/>
    </w:rPr>
  </w:style>
  <w:style w:type="character" w:customStyle="1" w:styleId="417">
    <w:name w:val="button2"/>
    <w:basedOn w:val="45"/>
    <w:qFormat/>
    <w:uiPriority w:val="0"/>
  </w:style>
  <w:style w:type="character" w:customStyle="1" w:styleId="418">
    <w:name w:val="ico1653"/>
    <w:basedOn w:val="45"/>
    <w:qFormat/>
    <w:uiPriority w:val="0"/>
  </w:style>
  <w:style w:type="table" w:customStyle="1" w:styleId="419">
    <w:name w:val="Table Normal"/>
    <w:semiHidden/>
    <w:unhideWhenUsed/>
    <w:qFormat/>
    <w:uiPriority w:val="2"/>
    <w:pPr>
      <w:widowControl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420">
    <w:name w:val="标题 21"/>
    <w:basedOn w:val="1"/>
    <w:qFormat/>
    <w:uiPriority w:val="1"/>
    <w:pPr>
      <w:spacing w:before="7"/>
      <w:ind w:left="140"/>
      <w:jc w:val="left"/>
      <w:outlineLvl w:val="2"/>
    </w:pPr>
    <w:rPr>
      <w:rFonts w:ascii="宋体" w:hAnsi="宋体" w:cstheme="minorBidi"/>
      <w:b/>
      <w:bCs/>
      <w:kern w:val="0"/>
      <w:sz w:val="30"/>
      <w:szCs w:val="30"/>
      <w:lang w:eastAsia="en-US"/>
    </w:rPr>
  </w:style>
  <w:style w:type="paragraph" w:customStyle="1" w:styleId="421">
    <w:name w:val="Table Paragraph"/>
    <w:basedOn w:val="1"/>
    <w:qFormat/>
    <w:uiPriority w:val="1"/>
    <w:pPr>
      <w:jc w:val="left"/>
    </w:pPr>
    <w:rPr>
      <w:rFonts w:asciiTheme="minorHAnsi" w:hAnsiTheme="minorHAnsi" w:eastAsiaTheme="minorEastAsia" w:cstheme="minorBidi"/>
      <w:kern w:val="0"/>
      <w:sz w:val="22"/>
      <w:szCs w:val="22"/>
      <w:lang w:eastAsia="en-US"/>
    </w:rPr>
  </w:style>
  <w:style w:type="paragraph" w:customStyle="1" w:styleId="422">
    <w:name w:val="修订3"/>
    <w:hidden/>
    <w:unhideWhenUsed/>
    <w:qFormat/>
    <w:uiPriority w:val="99"/>
    <w:rPr>
      <w:rFonts w:ascii="Times New Roman" w:hAnsi="Times New Roman" w:eastAsia="宋体" w:cs="Times New Roman"/>
      <w:kern w:val="2"/>
      <w:sz w:val="21"/>
      <w:szCs w:val="24"/>
      <w:lang w:val="en-US" w:eastAsia="zh-CN" w:bidi="ar-SA"/>
    </w:rPr>
  </w:style>
  <w:style w:type="character" w:customStyle="1" w:styleId="423">
    <w:name w:val="phone"/>
    <w:basedOn w:val="45"/>
    <w:qFormat/>
    <w:uiPriority w:val="0"/>
    <w:rPr>
      <w:color w:val="FF8833"/>
      <w:sz w:val="18"/>
      <w:szCs w:val="18"/>
    </w:rPr>
  </w:style>
  <w:style w:type="character" w:customStyle="1" w:styleId="424">
    <w:name w:val="beforeinfotext"/>
    <w:basedOn w:val="45"/>
    <w:qFormat/>
    <w:uiPriority w:val="0"/>
    <w:rPr>
      <w:color w:val="666666"/>
    </w:rPr>
  </w:style>
  <w:style w:type="character" w:customStyle="1" w:styleId="425">
    <w:name w:val="number"/>
    <w:basedOn w:val="45"/>
    <w:qFormat/>
    <w:uiPriority w:val="0"/>
    <w:rPr>
      <w:color w:val="FF8833"/>
      <w:sz w:val="18"/>
      <w:szCs w:val="18"/>
    </w:rPr>
  </w:style>
  <w:style w:type="character" w:customStyle="1" w:styleId="426">
    <w:name w:val="proollist"/>
    <w:basedOn w:val="45"/>
    <w:qFormat/>
    <w:uiPriority w:val="0"/>
  </w:style>
  <w:style w:type="character" w:customStyle="1" w:styleId="427">
    <w:name w:val="stclosebtn"/>
    <w:basedOn w:val="45"/>
    <w:qFormat/>
    <w:uiPriority w:val="0"/>
  </w:style>
  <w:style w:type="character" w:customStyle="1" w:styleId="428">
    <w:name w:val="hour_am"/>
    <w:basedOn w:val="45"/>
    <w:qFormat/>
    <w:uiPriority w:val="0"/>
  </w:style>
  <w:style w:type="character" w:customStyle="1" w:styleId="429">
    <w:name w:val="hover3"/>
    <w:basedOn w:val="45"/>
    <w:qFormat/>
    <w:uiPriority w:val="0"/>
    <w:rPr>
      <w:shd w:val="clear" w:color="auto" w:fill="EEEEEE"/>
    </w:rPr>
  </w:style>
  <w:style w:type="character" w:customStyle="1" w:styleId="430">
    <w:name w:val="old"/>
    <w:basedOn w:val="45"/>
    <w:qFormat/>
    <w:uiPriority w:val="0"/>
    <w:rPr>
      <w:color w:val="999999"/>
    </w:rPr>
  </w:style>
  <w:style w:type="character" w:customStyle="1" w:styleId="431">
    <w:name w:val="glyphicon4"/>
    <w:basedOn w:val="45"/>
    <w:qFormat/>
    <w:uiPriority w:val="0"/>
  </w:style>
  <w:style w:type="character" w:customStyle="1" w:styleId="432">
    <w:name w:val="hour_pm"/>
    <w:basedOn w:val="45"/>
    <w:qFormat/>
    <w:uiPriority w:val="0"/>
  </w:style>
  <w:style w:type="paragraph" w:customStyle="1" w:styleId="433">
    <w:name w:val="title11"/>
    <w:basedOn w:val="1"/>
    <w:qFormat/>
    <w:uiPriority w:val="0"/>
    <w:pPr>
      <w:spacing w:before="150" w:line="450" w:lineRule="atLeast"/>
      <w:jc w:val="left"/>
    </w:pPr>
    <w:rPr>
      <w:b/>
      <w:kern w:val="0"/>
      <w:sz w:val="24"/>
    </w:rPr>
  </w:style>
  <w:style w:type="character" w:customStyle="1" w:styleId="434">
    <w:name w:val="indent"/>
    <w:basedOn w:val="45"/>
    <w:qFormat/>
    <w:uiPriority w:val="0"/>
  </w:style>
  <w:style w:type="character" w:customStyle="1" w:styleId="435">
    <w:name w:val="hover"/>
    <w:basedOn w:val="45"/>
    <w:qFormat/>
    <w:uiPriority w:val="0"/>
    <w:rPr>
      <w:shd w:val="clear" w:color="auto" w:fill="EEEEEE"/>
    </w:rPr>
  </w:style>
  <w:style w:type="character" w:customStyle="1" w:styleId="436">
    <w:name w:val="glyphicon"/>
    <w:basedOn w:val="45"/>
    <w:qFormat/>
    <w:uiPriority w:val="0"/>
  </w:style>
  <w:style w:type="character" w:customStyle="1" w:styleId="437">
    <w:name w:val="icontext2"/>
    <w:basedOn w:val="45"/>
    <w:qFormat/>
    <w:uiPriority w:val="0"/>
  </w:style>
  <w:style w:type="character" w:customStyle="1" w:styleId="438">
    <w:name w:val="choosename"/>
    <w:basedOn w:val="45"/>
    <w:qFormat/>
    <w:uiPriority w:val="0"/>
  </w:style>
  <w:style w:type="character" w:customStyle="1" w:styleId="439">
    <w:name w:val="layui-layer-tabnow"/>
    <w:basedOn w:val="45"/>
    <w:qFormat/>
    <w:uiPriority w:val="0"/>
    <w:rPr>
      <w:bdr w:val="single" w:color="CCCCCC" w:sz="6" w:space="0"/>
      <w:shd w:val="clear" w:color="auto" w:fill="FFFFFF"/>
    </w:rPr>
  </w:style>
  <w:style w:type="character" w:customStyle="1" w:styleId="440">
    <w:name w:val="after"/>
    <w:basedOn w:val="45"/>
    <w:qFormat/>
    <w:uiPriority w:val="0"/>
    <w:rPr>
      <w:sz w:val="0"/>
      <w:szCs w:val="0"/>
    </w:rPr>
  </w:style>
  <w:style w:type="character" w:customStyle="1" w:styleId="441">
    <w:name w:val="icontext1"/>
    <w:basedOn w:val="45"/>
    <w:qFormat/>
    <w:uiPriority w:val="0"/>
  </w:style>
  <w:style w:type="character" w:customStyle="1" w:styleId="442">
    <w:name w:val="icontext11"/>
    <w:basedOn w:val="45"/>
    <w:qFormat/>
    <w:uiPriority w:val="0"/>
  </w:style>
  <w:style w:type="character" w:customStyle="1" w:styleId="443">
    <w:name w:val="icontext12"/>
    <w:basedOn w:val="45"/>
    <w:qFormat/>
    <w:uiPriority w:val="0"/>
  </w:style>
  <w:style w:type="character" w:customStyle="1" w:styleId="444">
    <w:name w:val="active7"/>
    <w:basedOn w:val="45"/>
    <w:qFormat/>
    <w:uiPriority w:val="0"/>
    <w:rPr>
      <w:color w:val="00FF00"/>
      <w:shd w:val="clear" w:color="auto" w:fill="111111"/>
    </w:rPr>
  </w:style>
  <w:style w:type="character" w:customStyle="1" w:styleId="445">
    <w:name w:val="icontext3"/>
    <w:basedOn w:val="45"/>
    <w:qFormat/>
    <w:uiPriority w:val="0"/>
  </w:style>
  <w:style w:type="character" w:customStyle="1" w:styleId="446">
    <w:name w:val="associateddata"/>
    <w:basedOn w:val="45"/>
    <w:qFormat/>
    <w:uiPriority w:val="0"/>
    <w:rPr>
      <w:shd w:val="clear" w:color="auto" w:fill="50A6F9"/>
    </w:rPr>
  </w:style>
  <w:style w:type="character" w:customStyle="1" w:styleId="447">
    <w:name w:val="iconline2"/>
    <w:basedOn w:val="45"/>
    <w:qFormat/>
    <w:uiPriority w:val="0"/>
  </w:style>
  <w:style w:type="character" w:customStyle="1" w:styleId="448">
    <w:name w:val="iconline21"/>
    <w:basedOn w:val="45"/>
    <w:qFormat/>
    <w:uiPriority w:val="0"/>
  </w:style>
  <w:style w:type="character" w:customStyle="1" w:styleId="449">
    <w:name w:val="first-child"/>
    <w:basedOn w:val="45"/>
    <w:qFormat/>
    <w:uiPriority w:val="0"/>
  </w:style>
  <w:style w:type="character" w:customStyle="1" w:styleId="450">
    <w:name w:val="mini-outputtext1"/>
    <w:basedOn w:val="45"/>
    <w:qFormat/>
    <w:uiPriority w:val="0"/>
  </w:style>
  <w:style w:type="character" w:customStyle="1" w:styleId="451">
    <w:name w:val="active3"/>
    <w:basedOn w:val="45"/>
    <w:qFormat/>
    <w:uiPriority w:val="0"/>
    <w:rPr>
      <w:color w:val="00FF00"/>
      <w:shd w:val="clear" w:color="auto" w:fill="111111"/>
    </w:rPr>
  </w:style>
  <w:style w:type="character" w:customStyle="1" w:styleId="452">
    <w:name w:val="active5"/>
    <w:basedOn w:val="45"/>
    <w:qFormat/>
    <w:uiPriority w:val="0"/>
    <w:rPr>
      <w:color w:val="00FF00"/>
      <w:shd w:val="clear" w:color="auto" w:fill="111111"/>
    </w:rPr>
  </w:style>
  <w:style w:type="character" w:customStyle="1" w:styleId="453">
    <w:name w:val="button4"/>
    <w:basedOn w:val="45"/>
    <w:qFormat/>
    <w:uiPriority w:val="0"/>
  </w:style>
  <w:style w:type="paragraph" w:customStyle="1" w:styleId="454">
    <w:name w:val="WPSOffice手动目录 1"/>
    <w:qFormat/>
    <w:uiPriority w:val="0"/>
    <w:rPr>
      <w:rFonts w:ascii="Times New Roman" w:hAnsi="Times New Roman" w:eastAsia="宋体" w:cs="Times New Roman"/>
      <w:lang w:val="en-US" w:eastAsia="zh-CN" w:bidi="ar-SA"/>
    </w:rPr>
  </w:style>
  <w:style w:type="character" w:customStyle="1" w:styleId="455">
    <w:name w:val="span-long"/>
    <w:basedOn w:val="45"/>
    <w:qFormat/>
    <w:uiPriority w:val="0"/>
  </w:style>
  <w:style w:type="character" w:customStyle="1" w:styleId="456">
    <w:name w:val="input-direction"/>
    <w:basedOn w:val="45"/>
    <w:qFormat/>
    <w:uiPriority w:val="0"/>
    <w:rPr>
      <w:color w:val="FF6600"/>
    </w:rPr>
  </w:style>
  <w:style w:type="character" w:customStyle="1" w:styleId="457">
    <w:name w:val="active"/>
    <w:basedOn w:val="45"/>
    <w:qFormat/>
    <w:uiPriority w:val="0"/>
    <w:rPr>
      <w:color w:val="00FF00"/>
      <w:shd w:val="clear" w:color="auto" w:fill="000000"/>
    </w:rPr>
  </w:style>
  <w:style w:type="paragraph" w:customStyle="1" w:styleId="458">
    <w:name w:val="Default"/>
    <w:qFormat/>
    <w:uiPriority w:val="0"/>
    <w:pPr>
      <w:widowControl w:val="0"/>
      <w:autoSpaceDE w:val="0"/>
      <w:autoSpaceDN w:val="0"/>
      <w:adjustRightInd w:val="0"/>
    </w:pPr>
    <w:rPr>
      <w:rFonts w:ascii="Calibri" w:hAnsi="Times New Roman" w:eastAsia="微软雅黑" w:cs="宋体"/>
      <w:color w:val="000000"/>
      <w:sz w:val="24"/>
      <w:szCs w:val="24"/>
      <w:lang w:val="en-US" w:eastAsia="zh-CN" w:bidi="ar-SA"/>
    </w:rPr>
  </w:style>
  <w:style w:type="character" w:customStyle="1" w:styleId="459">
    <w:name w:val="msonormal"/>
    <w:basedOn w:val="45"/>
    <w:qFormat/>
    <w:uiPriority w:val="0"/>
  </w:style>
  <w:style w:type="paragraph" w:customStyle="1" w:styleId="460">
    <w:name w:val="Heading #2|1"/>
    <w:basedOn w:val="1"/>
    <w:qFormat/>
    <w:uiPriority w:val="0"/>
    <w:pPr>
      <w:spacing w:after="520" w:line="557" w:lineRule="exact"/>
      <w:jc w:val="center"/>
      <w:outlineLvl w:val="1"/>
    </w:pPr>
    <w:rPr>
      <w:rFonts w:ascii="宋体" w:hAnsi="宋体" w:cs="宋体"/>
      <w:sz w:val="42"/>
      <w:szCs w:val="42"/>
      <w:lang w:val="zh-TW" w:eastAsia="zh-TW" w:bidi="zh-TW"/>
    </w:rPr>
  </w:style>
  <w:style w:type="paragraph" w:customStyle="1" w:styleId="461">
    <w:name w:val="Body text|1"/>
    <w:basedOn w:val="1"/>
    <w:qFormat/>
    <w:uiPriority w:val="0"/>
    <w:pPr>
      <w:spacing w:line="394" w:lineRule="auto"/>
      <w:ind w:firstLine="400"/>
    </w:pPr>
    <w:rPr>
      <w:rFonts w:ascii="宋体" w:hAnsi="宋体" w:cs="宋体"/>
      <w:sz w:val="30"/>
      <w:szCs w:val="30"/>
      <w:lang w:val="zh-TW" w:eastAsia="zh-TW" w:bidi="zh-TW"/>
    </w:rPr>
  </w:style>
  <w:style w:type="paragraph" w:customStyle="1" w:styleId="462">
    <w:name w:val="Body text|5"/>
    <w:basedOn w:val="1"/>
    <w:qFormat/>
    <w:uiPriority w:val="0"/>
    <w:pPr>
      <w:spacing w:line="391" w:lineRule="auto"/>
    </w:pPr>
    <w:rPr>
      <w:sz w:val="30"/>
      <w:szCs w:val="30"/>
    </w:rPr>
  </w:style>
  <w:style w:type="character" w:customStyle="1" w:styleId="463">
    <w:name w:val="页码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1" textRotate="1"/>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E68BAA-DC1D-49A8-85B1-19F772EE719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104</Pages>
  <Words>55608</Words>
  <Characters>58425</Characters>
  <Lines>66</Lines>
  <Paragraphs>125</Paragraphs>
  <TotalTime>0</TotalTime>
  <ScaleCrop>false</ScaleCrop>
  <LinksUpToDate>false</LinksUpToDate>
  <CharactersWithSpaces>60446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2020-03-13T07:19:00Z</dcterms:created>
  <dc:creator>NTKO</dc:creator>
  <cp:lastModifiedBy>曹迎春</cp:lastModifiedBy>
  <cp:lastPrinted>2023-04-21T01:54:00Z</cp:lastPrinted>
  <dcterms:modified xsi:type="dcterms:W3CDTF">2023-06-26T02:50:01Z</dcterms:modified>
  <dc:title>(招标项目名称)                 标段施工</dc:title>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1F25ACF9F05B4944B0BAB4BA5A8803C3</vt:lpwstr>
  </property>
</Properties>
</file>