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区医院采购120扩容项目</w:t>
      </w:r>
    </w:p>
    <w:p>
      <w:pPr>
        <w:pStyle w:val="null3"/>
        <w:jc w:val="center"/>
        <w:outlineLvl w:val="2"/>
      </w:pPr>
      <w:r>
        <w:rPr>
          <w:b/>
          <w:sz w:val="28"/>
        </w:rPr>
        <w:t>采购项目编号：</w:t>
      </w:r>
      <w:r>
        <w:rPr>
          <w:b/>
          <w:sz w:val="28"/>
        </w:rPr>
        <w:t>SXJTZB-ZC-CS20231201</w:t>
      </w:r>
      <w:r>
        <w:br/>
      </w:r>
      <w:r>
        <w:br/>
      </w:r>
      <w:r>
        <w:br/>
      </w:r>
    </w:p>
    <w:p>
      <w:pPr>
        <w:pStyle w:val="null3"/>
        <w:jc w:val="center"/>
        <w:outlineLvl w:val="2"/>
      </w:pPr>
      <w:r>
        <w:rPr>
          <w:b/>
          <w:sz w:val="28"/>
        </w:rPr>
        <w:t>西安市高陵区医院</w:t>
      </w:r>
    </w:p>
    <w:p>
      <w:pPr>
        <w:pStyle w:val="null3"/>
        <w:jc w:val="center"/>
        <w:outlineLvl w:val="2"/>
      </w:pPr>
      <w:r>
        <w:rPr>
          <w:b/>
          <w:sz w:val="28"/>
        </w:rPr>
        <w:t>陕西嘉唐建设项目管理有限公司</w:t>
      </w:r>
      <w:r>
        <w:rPr>
          <w:b/>
          <w:sz w:val="28"/>
        </w:rPr>
        <w:t>共同编制</w:t>
      </w:r>
    </w:p>
    <w:p>
      <w:pPr>
        <w:pStyle w:val="null3"/>
        <w:jc w:val="center"/>
        <w:outlineLvl w:val="2"/>
      </w:pPr>
      <w:r>
        <w:rPr>
          <w:b/>
          <w:sz w:val="28"/>
        </w:rPr>
        <w:t>2023年12月14日</w:t>
      </w:r>
    </w:p>
    <w:p>
      <w:pPr>
        <w:pStyle w:val="null3"/>
      </w:pPr>
      <w:r>
        <w:rPr/>
        <w:t xml:space="preserve"> </w:t>
      </w:r>
    </w:p>
    <w:p>
      <w:pPr>
        <w:pStyle w:val="null3"/>
        <w:jc w:val="center"/>
        <w:outlineLvl w:val="1"/>
      </w:pPr>
      <w:r>
        <w:rPr>
          <w:b/>
          <w:sz w:val="36"/>
        </w:rPr>
        <w:t>第一章 竞争性磋商邀请</w:t>
      </w:r>
    </w:p>
    <w:p>
      <w:pPr>
        <w:pStyle w:val="null3"/>
        <w:ind w:firstLine="480"/>
      </w:pPr>
      <w:r>
        <w:rPr/>
        <w:t>陕西嘉唐建设项目管理有限公司</w:t>
      </w:r>
      <w:r>
        <w:rPr/>
        <w:t>（以下简称“代理机构”）受</w:t>
      </w:r>
      <w:r>
        <w:rPr/>
        <w:t>西安市高陵区医院</w:t>
      </w:r>
      <w:r>
        <w:rPr/>
        <w:t>委托，拟对</w:t>
      </w:r>
      <w:r>
        <w:rPr/>
        <w:t>区医院采购120扩容项目</w:t>
      </w:r>
      <w:r>
        <w:rPr/>
        <w:t>采用竞争性磋商采购方式进行采购，兹邀请供应商参加本项目的竞争性磋商。</w:t>
      </w:r>
    </w:p>
    <w:p>
      <w:pPr>
        <w:pStyle w:val="null3"/>
        <w:outlineLvl w:val="2"/>
      </w:pPr>
      <w:r>
        <w:rPr>
          <w:b/>
          <w:sz w:val="28"/>
        </w:rPr>
        <w:t>一、项目编号：</w:t>
      </w:r>
      <w:r>
        <w:rPr>
          <w:b/>
          <w:sz w:val="28"/>
        </w:rPr>
        <w:t>SXJTZB-ZC-CS20231201</w:t>
      </w:r>
    </w:p>
    <w:p>
      <w:pPr>
        <w:pStyle w:val="null3"/>
        <w:outlineLvl w:val="2"/>
      </w:pPr>
      <w:r>
        <w:rPr>
          <w:b/>
          <w:sz w:val="28"/>
        </w:rPr>
        <w:t>二、项目名称：</w:t>
      </w:r>
      <w:r>
        <w:rPr>
          <w:b/>
          <w:sz w:val="28"/>
        </w:rPr>
        <w:t>区医院采购120扩容项目</w:t>
      </w:r>
    </w:p>
    <w:p>
      <w:pPr>
        <w:pStyle w:val="null3"/>
        <w:outlineLvl w:val="2"/>
      </w:pPr>
      <w:r>
        <w:rPr>
          <w:b/>
          <w:sz w:val="28"/>
        </w:rPr>
        <w:t>三、磋商项目简介</w:t>
      </w:r>
    </w:p>
    <w:p>
      <w:pPr>
        <w:pStyle w:val="null3"/>
        <w:ind w:firstLine="480"/>
      </w:pPr>
      <w:r>
        <w:rPr/>
        <w:t>区医院采购120扩容</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t>2、财务状况报告：提供经审计的2022年财务报告，包括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t>3、税收缴纳证明：提供已缴纳的2022年12月至今任意一个月的纳税证明或完税证明，纳税证明或完税证明上应有代收机构或税务机关的公章或业务专用章。依法免税的供应商应提供相关文件证明；</w:t>
      </w:r>
    </w:p>
    <w:p>
      <w:pPr>
        <w:pStyle w:val="null3"/>
      </w:pPr>
      <w:r>
        <w:rPr/>
        <w:t>4、具有履行合同所必需的设备和专业技术能力的承诺：供应商须提供具有履行合同所必需的设备和专业技术能力的承诺；</w:t>
      </w:r>
    </w:p>
    <w:p>
      <w:pPr>
        <w:pStyle w:val="null3"/>
      </w:pPr>
      <w:r>
        <w:rPr/>
        <w:t>5、社会保障资金缴纳证明：提供已缴存的2022年12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t>6、三年无重大违法记录声明：出具参加本次政府采购活动前三年内在经营活动中没有重大违法记录的书面声明；</w:t>
      </w:r>
    </w:p>
    <w:p>
      <w:pPr>
        <w:pStyle w:val="null3"/>
      </w:pPr>
      <w:r>
        <w:rPr/>
        <w:t>7、法人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t>8、不接受联合体磋商：本项目不接受联合体磋商（提供书面声明材料）。</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b/>
          <w:sz w:val="28"/>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西安市高陵区医院</w:t>
      </w:r>
    </w:p>
    <w:p>
      <w:pPr>
        <w:pStyle w:val="null3"/>
      </w:pPr>
      <w:r>
        <w:rPr/>
        <w:t xml:space="preserve"> 地址： </w:t>
      </w:r>
      <w:r>
        <w:rPr/>
        <w:t>西安市高陵区上林二路555号</w:t>
      </w:r>
    </w:p>
    <w:p>
      <w:pPr>
        <w:pStyle w:val="null3"/>
      </w:pPr>
      <w:r>
        <w:rPr/>
        <w:t xml:space="preserve"> 邮编： </w:t>
      </w:r>
      <w:r>
        <w:rPr/>
        <w:t>710200</w:t>
      </w:r>
    </w:p>
    <w:p>
      <w:pPr>
        <w:pStyle w:val="null3"/>
      </w:pPr>
      <w:r>
        <w:rPr/>
        <w:t xml:space="preserve"> 联系人： </w:t>
      </w:r>
      <w:r>
        <w:rPr/>
        <w:t>田老师</w:t>
      </w:r>
    </w:p>
    <w:p>
      <w:pPr>
        <w:pStyle w:val="null3"/>
      </w:pPr>
      <w:r>
        <w:rPr/>
        <w:t xml:space="preserve"> 联系电话： </w:t>
      </w:r>
      <w:r>
        <w:rPr/>
        <w:t>029-86926204</w:t>
      </w:r>
    </w:p>
    <w:p>
      <w:pPr>
        <w:pStyle w:val="null3"/>
        <w:outlineLvl w:val="3"/>
      </w:pPr>
      <w:r>
        <w:rPr>
          <w:b/>
          <w:sz w:val="24"/>
        </w:rPr>
        <w:t>代理机构：</w:t>
      </w:r>
      <w:r>
        <w:rPr>
          <w:b/>
          <w:sz w:val="24"/>
        </w:rPr>
        <w:t>陕西嘉唐建设项目管理有限公司</w:t>
      </w:r>
    </w:p>
    <w:p>
      <w:pPr>
        <w:pStyle w:val="null3"/>
      </w:pPr>
      <w:r>
        <w:rPr/>
        <w:t xml:space="preserve"> 地址： </w:t>
      </w:r>
      <w:r>
        <w:rPr/>
        <w:t>西安市未央区明光路与凤城五路十字天朗经开中心10楼11002室</w:t>
      </w:r>
    </w:p>
    <w:p>
      <w:pPr>
        <w:pStyle w:val="null3"/>
      </w:pPr>
      <w:r>
        <w:rPr/>
        <w:t xml:space="preserve"> 邮编： </w:t>
      </w:r>
      <w:r>
        <w:rPr/>
        <w:t>710000</w:t>
      </w:r>
    </w:p>
    <w:p>
      <w:pPr>
        <w:pStyle w:val="null3"/>
      </w:pPr>
      <w:r>
        <w:rPr/>
        <w:t xml:space="preserve"> 联系人： </w:t>
      </w:r>
      <w:r>
        <w:rPr/>
        <w:t>姬鹏举</w:t>
      </w:r>
    </w:p>
    <w:p>
      <w:pPr>
        <w:pStyle w:val="null3"/>
      </w:pPr>
      <w:r>
        <w:rPr/>
        <w:t xml:space="preserve"> 联系电话： </w:t>
      </w:r>
      <w:r>
        <w:rPr/>
        <w:t>029-89351397</w:t>
      </w:r>
    </w:p>
    <w:p>
      <w:pPr>
        <w:pStyle w:val="null3"/>
        <w:outlineLvl w:val="3"/>
      </w:pPr>
      <w:r>
        <w:rPr>
          <w:b/>
          <w:sz w:val="24"/>
        </w:rPr>
        <w:t>采购监督机构：</w:t>
      </w:r>
      <w:r>
        <w:rPr>
          <w:b/>
          <w:sz w:val="24"/>
        </w:rPr>
        <w:t>西安市高陵区采购管理科</w:t>
      </w:r>
    </w:p>
    <w:p>
      <w:pPr>
        <w:pStyle w:val="null3"/>
        <w:ind w:firstLine="480"/>
      </w:pPr>
      <w:r>
        <w:rPr/>
        <w:t>联系人：</w:t>
      </w:r>
      <w:r>
        <w:rPr/>
        <w:t>宁老师</w:t>
      </w:r>
    </w:p>
    <w:p>
      <w:pPr>
        <w:pStyle w:val="null3"/>
        <w:ind w:firstLine="480"/>
      </w:pPr>
      <w:r>
        <w:rPr/>
        <w:t>联系电话：</w:t>
      </w:r>
      <w:r>
        <w:rPr/>
        <w:t>029-86919290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采购包1：789,500.00元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计委印发的《招标代理服务收费管理暂行办法》（计价格〔2002〕1980号）和国家发展改革委员会办公厅印发的《关于招标代理服务收费有关问题的通知》（发改办价格〔2003〕857号）的有关规定执行。 2、成交单位在领取成交通知书前，须向采购代理机构一次性支付招标代理服务费。 银行账户： 公司名称：陕西嘉唐建设项目管理有限公司 账 号：112011580000141313 开 户 行：西安银行股份有限公司含光门支行 请成交供应商按照要求将服务费汇入以上指定账户，如因自身原因发生错误，产生的不利后果均由供应商自行承担。</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西安市高陵区医院</w:t>
      </w:r>
      <w:r>
        <w:rPr/>
        <w:t>和</w:t>
      </w:r>
      <w:r>
        <w:rPr/>
        <w:t>陕西嘉唐建设项目管理有限公司</w:t>
      </w:r>
      <w:r>
        <w:rPr/>
        <w:t>享有。对磋商文件中供应商参加本次政府采购活动应当具备的条件，磋商项目技术、服务、商务及其他要求，评审细则及标准由</w:t>
      </w:r>
      <w:r>
        <w:rPr/>
        <w:t>西安市高陵区医院</w:t>
      </w:r>
      <w:r>
        <w:rPr/>
        <w:t>负责解释。除上述磋商文件内容，其他内容由</w:t>
      </w:r>
      <w:r>
        <w:rPr/>
        <w:t>陕西嘉唐建设项目管理有限公司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陕西嘉唐建设项目管理有限公司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一、响应文件应当根据磋商文件进行编制。供应商应通过陕西省政府采购网--服务专区-CA及签章服务下载投标（响应）客户端，使用客户端编制响应文件。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满足采购需求，符合国家现行有关质量验收规范“合格”要求。</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陕西嘉唐建设项目管理有限公司</w:t>
      </w:r>
      <w:r>
        <w:rPr/>
        <w:t xml:space="preserve"> 负责答复；供应商对采购过程的询问、质疑由</w:t>
      </w:r>
      <w:r>
        <w:rPr/>
        <w:t>陕西嘉唐建设项目管理有限公司</w:t>
      </w:r>
      <w:r>
        <w:rPr/>
        <w:t xml:space="preserve"> 负责答复；供应商对采购结果的询问、质疑由 </w:t>
      </w:r>
      <w:r>
        <w:rPr/>
        <w:t>陕西嘉唐建设项目管理有限公司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联系人：姬鹏举</w:t>
      </w:r>
    </w:p>
    <w:p>
      <w:pPr>
        <w:pStyle w:val="null3"/>
      </w:pPr>
      <w:r>
        <w:rPr/>
        <w:t>联系电话：029-89351397</w:t>
      </w:r>
    </w:p>
    <w:p>
      <w:pPr>
        <w:pStyle w:val="null3"/>
      </w:pPr>
      <w:r>
        <w:rPr/>
        <w:t>地址：西安市未央区凤城五路与明光路十字天朗经开中心10楼11002室</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区医院采购120扩容</w:t>
      </w:r>
    </w:p>
    <w:p>
      <w:pPr>
        <w:pStyle w:val="null3"/>
        <w:outlineLvl w:val="2"/>
      </w:pPr>
      <w:r>
        <w:rPr>
          <w:b/>
          <w:sz w:val="28"/>
        </w:rPr>
        <w:t>3.2采购内容</w:t>
      </w:r>
    </w:p>
    <w:p>
      <w:pPr>
        <w:pStyle w:val="null3"/>
      </w:pPr>
      <w:r>
        <w:rPr/>
        <w:t>采购包1：</w:t>
      </w:r>
    </w:p>
    <w:p>
      <w:pPr>
        <w:pStyle w:val="null3"/>
      </w:pPr>
      <w:r>
        <w:rPr/>
        <w:t>采购包预算金额（元）: 789,500.00</w:t>
      </w:r>
    </w:p>
    <w:p>
      <w:pPr>
        <w:pStyle w:val="null3"/>
      </w:pPr>
      <w:r>
        <w:rPr/>
        <w:t>采购包最高限价（元）: 789,500.00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789500</w:t>
            </w:r>
          </w:p>
        </w:tc>
        <w:tc>
          <w:tcPr>
            <w:tcW w:type="dxa" w:w="831"/>
          </w:tcPr>
          <w:p>
            <w:pPr>
              <w:pStyle w:val="null3"/>
              <w:jc w:val="right"/>
            </w:pPr>
            <w:r>
              <w:rPr/>
              <w:t>1.00</w:t>
            </w:r>
          </w:p>
        </w:tc>
        <w:tc>
          <w:tcPr>
            <w:tcW w:type="dxa" w:w="831"/>
          </w:tcPr>
          <w:p>
            <w:pPr>
              <w:pStyle w:val="null3"/>
              <w:jc w:val="right"/>
            </w:pPr>
            <w:r>
              <w:rPr/>
              <w:t>789,500.00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标的名称：789500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 xml:space="preserve"> </w:t>
            </w:r>
          </w:p>
          <w:tbl>
            <w:tblPr>
              <w:tblBorders>
                <w:top w:val="single"/>
                <w:left w:val="single"/>
                <w:bottom w:val="single"/>
                <w:right w:val="single"/>
                <w:insideH w:val="single"/>
                <w:insideV w:val="single"/>
              </w:tblBorders>
            </w:tblPr>
            <w:tblGrid>
              <w:gridCol w:w="239"/>
              <w:gridCol w:w="474"/>
              <w:gridCol w:w="2078"/>
              <w:gridCol w:w="265"/>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序号</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设备名称</w:t>
                  </w:r>
                </w:p>
              </w:tc>
              <w:tc>
                <w:tcPr>
                  <w:tcW w:type="dxa" w:w="2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参数</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数量</w:t>
                  </w:r>
                </w:p>
              </w:tc>
            </w:tr>
            <w:tr>
              <w:tc>
                <w:tcPr>
                  <w:tcW w:type="dxa" w:w="2791"/>
                  <w:gridSpan w:val="3"/>
                </w:tcPr>
                <w:p>
                  <w:pPr>
                    <w:pStyle w:val="null3"/>
                    <w:jc w:val="both"/>
                  </w:pPr>
                  <w:r>
                    <w:rPr>
                      <w:rFonts w:ascii="宋体" w:hAnsi="宋体" w:cs="宋体" w:eastAsia="宋体"/>
                      <w:b/>
                      <w:sz w:val="21"/>
                    </w:rPr>
                    <w:t>一、系统专用硬件</w:t>
                  </w:r>
                </w:p>
              </w:tc>
              <w:tc>
                <w:tcPr>
                  <w:tcW w:type="dxa" w:w="265"/>
                </w:tcPr>
                <w:p>
                  <w:pPr>
                    <w:pStyle w:val="null3"/>
                  </w:pPr>
                  <w:r>
                    <w:rPr/>
                    <w:t xml:space="preserve"> </w:t>
                  </w:r>
                </w:p>
              </w:tc>
            </w:tr>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数字程控交换机</w:t>
                  </w:r>
                </w:p>
                <w:p>
                  <w:pPr>
                    <w:pStyle w:val="null3"/>
                    <w:jc w:val="center"/>
                  </w:pPr>
                  <w:r>
                    <w:rPr>
                      <w:rFonts w:ascii="宋体" w:hAnsi="宋体" w:cs="宋体" w:eastAsia="宋体"/>
                      <w:sz w:val="21"/>
                    </w:rPr>
                    <w:t>（</w:t>
                  </w:r>
                  <w:r>
                    <w:rPr>
                      <w:rFonts w:ascii="宋体" w:hAnsi="宋体" w:cs="宋体" w:eastAsia="宋体"/>
                      <w:sz w:val="21"/>
                    </w:rPr>
                    <w:t>核心产品</w:t>
                  </w:r>
                  <w:r>
                    <w:rPr>
                      <w:rFonts w:ascii="宋体" w:hAnsi="宋体" w:cs="宋体" w:eastAsia="宋体"/>
                      <w:sz w:val="21"/>
                    </w:rPr>
                    <w:t>）</w:t>
                  </w:r>
                </w:p>
              </w:tc>
              <w:tc>
                <w:tcPr>
                  <w:tcW w:type="dxa" w:w="2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1、机架式服务器主机×1</w:t>
                  </w:r>
                </w:p>
                <w:p>
                  <w:pPr>
                    <w:pStyle w:val="null3"/>
                    <w:jc w:val="both"/>
                  </w:pPr>
                  <w:r>
                    <w:rPr>
                      <w:rFonts w:ascii="宋体" w:hAnsi="宋体" w:cs="宋体" w:eastAsia="宋体"/>
                      <w:sz w:val="21"/>
                    </w:rPr>
                    <w:t>2、CPU应用板×1</w:t>
                  </w:r>
                </w:p>
                <w:p>
                  <w:pPr>
                    <w:pStyle w:val="null3"/>
                    <w:jc w:val="both"/>
                  </w:pPr>
                  <w:r>
                    <w:rPr>
                      <w:rFonts w:ascii="宋体" w:hAnsi="宋体" w:cs="宋体" w:eastAsia="宋体"/>
                      <w:sz w:val="21"/>
                    </w:rPr>
                    <w:t>3、数字中继板×1块，≥4路模拟中继版1块；</w:t>
                  </w:r>
                </w:p>
                <w:p>
                  <w:pPr>
                    <w:pStyle w:val="null3"/>
                    <w:jc w:val="both"/>
                  </w:pPr>
                  <w:r>
                    <w:rPr>
                      <w:rFonts w:ascii="宋体" w:hAnsi="宋体" w:cs="宋体" w:eastAsia="宋体"/>
                      <w:sz w:val="21"/>
                    </w:rPr>
                    <w:t>4、主机电源；</w:t>
                  </w:r>
                </w:p>
                <w:p>
                  <w:pPr>
                    <w:pStyle w:val="null3"/>
                    <w:jc w:val="both"/>
                  </w:pPr>
                  <w:r>
                    <w:rPr>
                      <w:rFonts w:ascii="宋体" w:hAnsi="宋体" w:cs="宋体" w:eastAsia="宋体"/>
                      <w:sz w:val="21"/>
                    </w:rPr>
                    <w:t>5、主机安装组件；</w:t>
                  </w:r>
                </w:p>
                <w:p>
                  <w:pPr>
                    <w:pStyle w:val="null3"/>
                    <w:jc w:val="both"/>
                  </w:pPr>
                  <w:r>
                    <w:rPr>
                      <w:rFonts w:ascii="宋体" w:hAnsi="宋体" w:cs="宋体" w:eastAsia="宋体"/>
                      <w:sz w:val="21"/>
                    </w:rPr>
                    <w:t>6、内置CPU板</w:t>
                  </w:r>
                </w:p>
                <w:p>
                  <w:pPr>
                    <w:pStyle w:val="null3"/>
                    <w:jc w:val="both"/>
                  </w:pPr>
                  <w:r>
                    <w:rPr>
                      <w:rFonts w:ascii="宋体" w:hAnsi="宋体" w:cs="宋体" w:eastAsia="宋体"/>
                      <w:sz w:val="21"/>
                    </w:rPr>
                    <w:t>7、CSTA服务器软件；</w:t>
                  </w:r>
                </w:p>
                <w:p>
                  <w:pPr>
                    <w:pStyle w:val="null3"/>
                    <w:jc w:val="both"/>
                  </w:pPr>
                  <w:r>
                    <w:rPr>
                      <w:rFonts w:ascii="宋体" w:hAnsi="宋体" w:cs="宋体" w:eastAsia="宋体"/>
                      <w:sz w:val="21"/>
                    </w:rPr>
                    <w:t>8、支持CSTA或TSAPI接口；</w:t>
                  </w:r>
                </w:p>
                <w:p>
                  <w:pPr>
                    <w:pStyle w:val="null3"/>
                    <w:jc w:val="both"/>
                  </w:pPr>
                  <w:r>
                    <w:rPr>
                      <w:rFonts w:ascii="宋体" w:hAnsi="宋体" w:cs="宋体" w:eastAsia="宋体"/>
                      <w:sz w:val="21"/>
                    </w:rPr>
                    <w:t>9、具备数字信号接入功能；</w:t>
                  </w:r>
                </w:p>
                <w:p>
                  <w:pPr>
                    <w:pStyle w:val="null3"/>
                    <w:jc w:val="both"/>
                  </w:pPr>
                  <w:r>
                    <w:rPr>
                      <w:rFonts w:ascii="宋体" w:hAnsi="宋体" w:cs="宋体" w:eastAsia="宋体"/>
                      <w:sz w:val="21"/>
                    </w:rPr>
                    <w:t>10、支持模拟信号接入功能；</w:t>
                  </w:r>
                </w:p>
                <w:p>
                  <w:pPr>
                    <w:pStyle w:val="null3"/>
                    <w:jc w:val="both"/>
                  </w:pPr>
                  <w:r>
                    <w:rPr>
                      <w:rFonts w:ascii="宋体" w:hAnsi="宋体" w:cs="宋体" w:eastAsia="宋体"/>
                      <w:sz w:val="21"/>
                    </w:rPr>
                    <w:t>11、内置语音提示功能；</w:t>
                  </w:r>
                </w:p>
                <w:p>
                  <w:pPr>
                    <w:pStyle w:val="null3"/>
                    <w:jc w:val="both"/>
                  </w:pPr>
                  <w:r>
                    <w:rPr>
                      <w:rFonts w:ascii="宋体" w:hAnsi="宋体" w:cs="宋体" w:eastAsia="宋体"/>
                      <w:sz w:val="21"/>
                    </w:rPr>
                    <w:t>12、内置不间断电源；</w:t>
                  </w:r>
                </w:p>
                <w:p>
                  <w:pPr>
                    <w:pStyle w:val="null3"/>
                    <w:jc w:val="both"/>
                  </w:pPr>
                  <w:r>
                    <w:rPr>
                      <w:rFonts w:ascii="宋体" w:hAnsi="宋体" w:cs="宋体" w:eastAsia="宋体"/>
                      <w:sz w:val="21"/>
                    </w:rPr>
                    <w:t>13、采用linux操作系统</w:t>
                  </w:r>
                </w:p>
                <w:p>
                  <w:pPr>
                    <w:pStyle w:val="null3"/>
                    <w:jc w:val="both"/>
                  </w:pPr>
                  <w:r>
                    <w:rPr>
                      <w:rFonts w:ascii="宋体" w:hAnsi="宋体" w:cs="宋体" w:eastAsia="宋体"/>
                      <w:sz w:val="21"/>
                    </w:rPr>
                    <w:t>14、系统具备：≥4个坐席授权</w:t>
                  </w:r>
                </w:p>
                <w:p>
                  <w:pPr>
                    <w:pStyle w:val="null3"/>
                    <w:jc w:val="both"/>
                  </w:pPr>
                  <w:r>
                    <w:rPr>
                      <w:rFonts w:ascii="宋体" w:hAnsi="宋体" w:cs="宋体" w:eastAsia="宋体"/>
                      <w:sz w:val="21"/>
                    </w:rPr>
                    <w:t>15、内置ACD、CTI接口平台；</w:t>
                  </w:r>
                </w:p>
                <w:p>
                  <w:pPr>
                    <w:pStyle w:val="null3"/>
                    <w:jc w:val="both"/>
                  </w:pPr>
                  <w:r>
                    <w:rPr>
                      <w:rFonts w:ascii="宋体" w:hAnsi="宋体" w:cs="宋体" w:eastAsia="宋体"/>
                      <w:sz w:val="21"/>
                    </w:rPr>
                    <w:t>16</w:t>
                  </w:r>
                  <w:r>
                    <w:rPr>
                      <w:rFonts w:ascii="宋体" w:hAnsi="宋体" w:cs="宋体" w:eastAsia="宋体"/>
                      <w:sz w:val="21"/>
                    </w:rPr>
                    <w:t>、</w:t>
                  </w:r>
                  <w:r>
                    <w:rPr>
                      <w:rFonts w:ascii="宋体" w:hAnsi="宋体" w:cs="宋体" w:eastAsia="宋体"/>
                      <w:sz w:val="21"/>
                    </w:rPr>
                    <w:t>支持坐席网管图形化界面监视系统</w:t>
                  </w:r>
                </w:p>
                <w:p>
                  <w:pPr>
                    <w:pStyle w:val="null3"/>
                    <w:jc w:val="both"/>
                  </w:pPr>
                  <w:r>
                    <w:rPr>
                      <w:rFonts w:ascii="宋体" w:hAnsi="宋体" w:cs="宋体" w:eastAsia="宋体"/>
                      <w:sz w:val="21"/>
                    </w:rPr>
                    <w:t>▲17</w:t>
                  </w:r>
                  <w:r>
                    <w:rPr>
                      <w:rFonts w:ascii="宋体" w:hAnsi="宋体" w:cs="宋体" w:eastAsia="宋体"/>
                      <w:sz w:val="21"/>
                    </w:rPr>
                    <w:t>、</w:t>
                  </w:r>
                  <w:r>
                    <w:rPr>
                      <w:rFonts w:ascii="宋体" w:hAnsi="宋体" w:cs="宋体" w:eastAsia="宋体"/>
                      <w:sz w:val="21"/>
                    </w:rPr>
                    <w:t>产品提供</w:t>
                  </w:r>
                  <w:r>
                    <w:rPr>
                      <w:rFonts w:ascii="宋体" w:hAnsi="宋体" w:cs="宋体" w:eastAsia="宋体"/>
                      <w:sz w:val="21"/>
                    </w:rPr>
                    <w:t>CQC认证</w:t>
                  </w:r>
                  <w:r>
                    <w:rPr>
                      <w:rFonts w:ascii="宋体" w:hAnsi="宋体" w:cs="宋体" w:eastAsia="宋体"/>
                      <w:sz w:val="21"/>
                    </w:rPr>
                    <w:t>证书</w:t>
                  </w:r>
                  <w:r>
                    <w:rPr>
                      <w:rFonts w:ascii="宋体" w:hAnsi="宋体" w:cs="宋体" w:eastAsia="宋体"/>
                      <w:sz w:val="21"/>
                    </w:rPr>
                    <w:t>。</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IP接警话机</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w:t>
                  </w:r>
                  <w:r>
                    <w:rPr>
                      <w:rFonts w:ascii="宋体" w:hAnsi="宋体" w:cs="宋体" w:eastAsia="宋体"/>
                      <w:sz w:val="21"/>
                    </w:rPr>
                    <w:t>液晶主叫显示屏；</w:t>
                  </w:r>
                </w:p>
                <w:p>
                  <w:pPr>
                    <w:pStyle w:val="null3"/>
                    <w:jc w:val="both"/>
                  </w:pPr>
                  <w:r>
                    <w:rPr>
                      <w:rFonts w:ascii="宋体" w:hAnsi="宋体" w:cs="宋体" w:eastAsia="宋体"/>
                      <w:sz w:val="21"/>
                    </w:rPr>
                    <w:t>2</w:t>
                  </w:r>
                  <w:r>
                    <w:rPr>
                      <w:rFonts w:ascii="宋体" w:hAnsi="宋体" w:cs="宋体" w:eastAsia="宋体"/>
                      <w:sz w:val="21"/>
                    </w:rPr>
                    <w:t>、</w:t>
                  </w:r>
                  <w:r>
                    <w:rPr>
                      <w:rFonts w:ascii="宋体" w:hAnsi="宋体" w:cs="宋体" w:eastAsia="宋体"/>
                      <w:sz w:val="21"/>
                    </w:rPr>
                    <w:t>功能键：摘机</w:t>
                  </w:r>
                  <w:r>
                    <w:rPr>
                      <w:rFonts w:ascii="宋体" w:hAnsi="宋体" w:cs="宋体" w:eastAsia="宋体"/>
                      <w:sz w:val="21"/>
                    </w:rPr>
                    <w:t>/挂机、拨号盘，静音指示键、音量键+/-、免提键、指示灯、重拨键、信息和消息键，全字母键盘等；音频特性：舒适听筒，兼容助听器，全双工免提通话，带回音消除功能。</w:t>
                  </w:r>
                </w:p>
                <w:p>
                  <w:pPr>
                    <w:pStyle w:val="null3"/>
                    <w:jc w:val="both"/>
                  </w:pPr>
                  <w:r>
                    <w:rPr>
                      <w:rFonts w:ascii="宋体" w:hAnsi="宋体" w:cs="宋体" w:eastAsia="宋体"/>
                      <w:sz w:val="21"/>
                    </w:rPr>
                    <w:t>能够配套数字程控交换机使用</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IP录音</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IP录音许可≥10路</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录音服务器</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1、CPU:≥I5-10代处理器；</w:t>
                  </w:r>
                </w:p>
                <w:p>
                  <w:pPr>
                    <w:pStyle w:val="null3"/>
                    <w:jc w:val="both"/>
                  </w:pPr>
                  <w:r>
                    <w:rPr>
                      <w:rFonts w:ascii="宋体" w:hAnsi="宋体" w:cs="宋体" w:eastAsia="宋体"/>
                      <w:sz w:val="21"/>
                    </w:rPr>
                    <w:t>2、内存：≥32G</w:t>
                  </w:r>
                  <w:r>
                    <w:rPr>
                      <w:rFonts w:ascii="宋体" w:hAnsi="宋体" w:cs="宋体" w:eastAsia="宋体"/>
                      <w:sz w:val="21"/>
                    </w:rPr>
                    <w:t>；</w:t>
                  </w:r>
                </w:p>
                <w:p>
                  <w:pPr>
                    <w:pStyle w:val="null3"/>
                    <w:jc w:val="both"/>
                  </w:pPr>
                  <w:r>
                    <w:rPr>
                      <w:rFonts w:ascii="宋体" w:hAnsi="宋体" w:cs="宋体" w:eastAsia="宋体"/>
                      <w:sz w:val="21"/>
                    </w:rPr>
                    <w:t>3、硬盘：≥2块2T</w:t>
                  </w:r>
                  <w:r>
                    <w:rPr>
                      <w:rFonts w:ascii="宋体" w:hAnsi="宋体" w:cs="宋体" w:eastAsia="宋体"/>
                      <w:sz w:val="21"/>
                    </w:rPr>
                    <w:t>；</w:t>
                  </w:r>
                </w:p>
                <w:p>
                  <w:pPr>
                    <w:pStyle w:val="null3"/>
                    <w:jc w:val="both"/>
                  </w:pPr>
                  <w:r>
                    <w:rPr>
                      <w:rFonts w:ascii="宋体" w:hAnsi="宋体" w:cs="宋体" w:eastAsia="宋体"/>
                      <w:sz w:val="21"/>
                    </w:rPr>
                    <w:t>4、DVDRW光驱。</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业务服务器</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2U</w:t>
                  </w:r>
                  <w:r>
                    <w:rPr>
                      <w:rFonts w:ascii="宋体" w:hAnsi="宋体" w:cs="宋体" w:eastAsia="宋体"/>
                      <w:sz w:val="21"/>
                    </w:rPr>
                    <w:t>机架式服务器</w:t>
                  </w:r>
                </w:p>
                <w:p>
                  <w:pPr>
                    <w:pStyle w:val="null3"/>
                    <w:jc w:val="both"/>
                  </w:pPr>
                  <w:r>
                    <w:rPr>
                      <w:rFonts w:ascii="宋体" w:hAnsi="宋体" w:cs="宋体" w:eastAsia="宋体"/>
                      <w:sz w:val="21"/>
                    </w:rPr>
                    <w:t>处理器：</w:t>
                  </w:r>
                  <w:r>
                    <w:rPr>
                      <w:rFonts w:ascii="宋体" w:hAnsi="宋体" w:cs="宋体" w:eastAsia="宋体"/>
                      <w:sz w:val="21"/>
                    </w:rPr>
                    <w:t>2.1GHz、12C(核)、18MB三级缓存/≥DDR4-32GB RDIMM 2933MHz/≥1.2TB SAS 10K 2.5*2硬盘/PERC H345800W/导轨/预装windows server2019正版中文标准版</w:t>
                  </w:r>
                  <w:r>
                    <w:rPr>
                      <w:rFonts w:ascii="宋体" w:hAnsi="宋体" w:cs="宋体" w:eastAsia="宋体"/>
                      <w:sz w:val="21"/>
                    </w:rPr>
                    <w:t>或</w:t>
                  </w:r>
                  <w:r>
                    <w:rPr>
                      <w:rFonts w:ascii="宋体" w:hAnsi="宋体" w:cs="宋体" w:eastAsia="宋体"/>
                      <w:sz w:val="21"/>
                    </w:rPr>
                    <w:t>同等产品</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核心服务器</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2U</w:t>
                  </w:r>
                  <w:r>
                    <w:rPr>
                      <w:rFonts w:ascii="宋体" w:hAnsi="宋体" w:cs="宋体" w:eastAsia="宋体"/>
                      <w:sz w:val="21"/>
                    </w:rPr>
                    <w:t>机架式服务器</w:t>
                  </w:r>
                </w:p>
                <w:p>
                  <w:pPr>
                    <w:pStyle w:val="null3"/>
                    <w:jc w:val="both"/>
                  </w:pPr>
                  <w:r>
                    <w:rPr>
                      <w:rFonts w:ascii="宋体" w:hAnsi="宋体" w:cs="宋体" w:eastAsia="宋体"/>
                      <w:sz w:val="21"/>
                    </w:rPr>
                    <w:t>处理器：</w:t>
                  </w:r>
                  <w:r>
                    <w:rPr>
                      <w:rFonts w:ascii="宋体" w:hAnsi="宋体" w:cs="宋体" w:eastAsia="宋体"/>
                      <w:sz w:val="21"/>
                    </w:rPr>
                    <w:t>2.1GHz、12C(核)、18MB三级缓存/≥DDR4-64GB RDIMM 2933MHz/≥1.2TB SAS 10K 2.5*2硬盘/PERC H345800W/导轨/双电源/预装windows server2019正版中文标准版</w:t>
                  </w:r>
                  <w:r>
                    <w:rPr>
                      <w:rFonts w:ascii="宋体" w:hAnsi="宋体" w:cs="宋体" w:eastAsia="宋体"/>
                      <w:sz w:val="21"/>
                    </w:rPr>
                    <w:t>或</w:t>
                  </w:r>
                  <w:r>
                    <w:rPr>
                      <w:rFonts w:ascii="宋体" w:hAnsi="宋体" w:cs="宋体" w:eastAsia="宋体"/>
                      <w:sz w:val="21"/>
                    </w:rPr>
                    <w:t>同等产品</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网络防火墙</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企业级防火墙</w:t>
                  </w:r>
                  <w:r>
                    <w:br/>
                  </w:r>
                  <w:r>
                    <w:rPr>
                      <w:rFonts w:ascii="宋体" w:hAnsi="宋体" w:cs="宋体" w:eastAsia="宋体"/>
                      <w:sz w:val="21"/>
                    </w:rPr>
                    <w:t>≥2×10GE(SFP+)+10×GE端口</w:t>
                  </w:r>
                </w:p>
                <w:p>
                  <w:pPr>
                    <w:pStyle w:val="null3"/>
                    <w:jc w:val="both"/>
                  </w:pPr>
                  <w:r>
                    <w:rPr>
                      <w:rFonts w:ascii="宋体" w:hAnsi="宋体" w:cs="宋体" w:eastAsia="宋体"/>
                      <w:sz w:val="21"/>
                    </w:rPr>
                    <w:t>一体化防护：集传统防火墙，</w:t>
                  </w:r>
                  <w:r>
                    <w:rPr>
                      <w:rFonts w:ascii="宋体" w:hAnsi="宋体" w:cs="宋体" w:eastAsia="宋体"/>
                      <w:sz w:val="21"/>
                    </w:rPr>
                    <w:t>VPN,入侵防御，防病毒，数据防泄漏，带宽管理，本地URL过滤等多种功能于一身，全局配置视图和一体化策略管理。</w:t>
                  </w:r>
                </w:p>
                <w:p>
                  <w:pPr>
                    <w:pStyle w:val="null3"/>
                    <w:jc w:val="both"/>
                  </w:pPr>
                  <w:r>
                    <w:rPr>
                      <w:rFonts w:ascii="宋体" w:hAnsi="宋体" w:cs="宋体" w:eastAsia="宋体"/>
                      <w:sz w:val="21"/>
                    </w:rPr>
                    <w:t>VPN支持：支持丰富可靠的VPN特性，如IPSec VPN,SSL VPN,</w:t>
                  </w:r>
                </w:p>
                <w:p>
                  <w:pPr>
                    <w:pStyle w:val="null3"/>
                    <w:jc w:val="both"/>
                  </w:pPr>
                  <w:r>
                    <w:rPr>
                      <w:rFonts w:ascii="宋体" w:hAnsi="宋体" w:cs="宋体" w:eastAsia="宋体"/>
                      <w:sz w:val="21"/>
                    </w:rPr>
                    <w:t>L2TP VPN,GRE等，提供自研的VPN客户端SecoClient,实现SSL VPN,L2TP VPN和L2TP over IPSec VPN用户远程接入，支持DES,3DES,AES,SHA,SM2/SM3/SM4等多种加密算法。</w:t>
                  </w:r>
                </w:p>
                <w:p>
                  <w:pPr>
                    <w:pStyle w:val="null3"/>
                    <w:jc w:val="both"/>
                  </w:pPr>
                  <w:r>
                    <w:rPr>
                      <w:rFonts w:ascii="宋体" w:hAnsi="宋体" w:cs="宋体" w:eastAsia="宋体"/>
                      <w:sz w:val="21"/>
                    </w:rPr>
                    <w:t>入侵检测：第一时间获取最新威胁信息，准确检测并防御针对漏洞的攻击。可防护各种针对</w:t>
                  </w:r>
                  <w:r>
                    <w:rPr>
                      <w:rFonts w:ascii="宋体" w:hAnsi="宋体" w:cs="宋体" w:eastAsia="宋体"/>
                      <w:sz w:val="21"/>
                    </w:rPr>
                    <w:t>web的攻击，包括SQL注入攻击和跨站脚本攻击等。</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8</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网络交换机</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设备支持双电源，支持</w:t>
                  </w:r>
                  <w:r>
                    <w:rPr>
                      <w:rFonts w:ascii="宋体" w:hAnsi="宋体" w:cs="宋体" w:eastAsia="宋体"/>
                      <w:sz w:val="21"/>
                    </w:rPr>
                    <w:t>POE,≥24个10/100/1000BASE-T以太网端口(其中4个是combo口),≥4个1G/10G BASE-X SFP+ 万兆端口，模块化冗余双电源；</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1台</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9</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网络线缆</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超</w:t>
                  </w:r>
                  <w:r>
                    <w:rPr>
                      <w:rFonts w:ascii="宋体" w:hAnsi="宋体" w:cs="宋体" w:eastAsia="宋体"/>
                      <w:sz w:val="21"/>
                    </w:rPr>
                    <w:t>5类网线</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2箱</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受理调度台</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CPU：≥</w:t>
                  </w:r>
                  <w:r>
                    <w:rPr>
                      <w:rFonts w:ascii="宋体" w:hAnsi="宋体" w:cs="宋体" w:eastAsia="宋体"/>
                      <w:sz w:val="21"/>
                    </w:rPr>
                    <w:t>I</w:t>
                  </w:r>
                  <w:r>
                    <w:rPr>
                      <w:rFonts w:ascii="宋体" w:hAnsi="宋体" w:cs="宋体" w:eastAsia="宋体"/>
                      <w:sz w:val="21"/>
                    </w:rPr>
                    <w:t>5-12500/内存：≥16G/硬盘：≥512SSD/RX640/DVD 光驱/键鼠/音箱/正版Win11pro</w:t>
                  </w:r>
                  <w:r>
                    <w:rPr>
                      <w:rFonts w:ascii="宋体" w:hAnsi="宋体" w:cs="宋体" w:eastAsia="宋体"/>
                      <w:sz w:val="21"/>
                    </w:rPr>
                    <w:t>或</w:t>
                  </w:r>
                  <w:r>
                    <w:rPr>
                      <w:rFonts w:ascii="宋体" w:hAnsi="宋体" w:cs="宋体" w:eastAsia="宋体"/>
                      <w:sz w:val="21"/>
                    </w:rPr>
                    <w:t>同等产品</w:t>
                  </w:r>
                  <w:r>
                    <w:rPr>
                      <w:rFonts w:ascii="宋体" w:hAnsi="宋体" w:cs="宋体" w:eastAsia="宋体"/>
                      <w:sz w:val="21"/>
                    </w:rPr>
                    <w:t>,配置2台≥23.8英寸液晶显示器</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专用调度桌</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1、调度台功能包括设备安装、设备散热、人体工程学设计、视觉设计、多功能配件搭配等；</w:t>
                  </w:r>
                </w:p>
                <w:p>
                  <w:pPr>
                    <w:pStyle w:val="null3"/>
                    <w:jc w:val="both"/>
                  </w:pPr>
                  <w:r>
                    <w:rPr>
                      <w:rFonts w:ascii="宋体" w:hAnsi="宋体" w:cs="宋体" w:eastAsia="宋体"/>
                      <w:sz w:val="21"/>
                    </w:rPr>
                    <w:t>2、钢制一体化调度专用桌，采用人体工学设计，定制，全钢喷塑，木质台面：≥1.8米长，具备合理的结构，桌面可摆放受理液晶显示器及键盘、鼠标、话机。抽屉、水杯搁置架。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专用调度座椅</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座椅根据人体形态工程学原理设计制造，背垫和坐垫之弧度完全符合人体生理曲线，外形美观漂亮、坐高和座深合理，人体工学椅，具备气压升降功能。</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r>
                    <w:rPr>
                      <w:rFonts w:ascii="宋体" w:hAnsi="宋体" w:cs="宋体" w:eastAsia="宋体"/>
                      <w:sz w:val="21"/>
                    </w:rPr>
                    <w:t>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不间断电源</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UPS功率≥10KVA</w:t>
                  </w:r>
                  <w:r>
                    <w:rPr>
                      <w:rFonts w:ascii="宋体" w:hAnsi="宋体" w:cs="宋体" w:eastAsia="宋体"/>
                      <w:sz w:val="21"/>
                    </w:rPr>
                    <w:t>；</w:t>
                  </w:r>
                </w:p>
                <w:p>
                  <w:pPr>
                    <w:pStyle w:val="null3"/>
                    <w:jc w:val="both"/>
                  </w:pPr>
                  <w:r>
                    <w:rPr>
                      <w:rFonts w:ascii="宋体" w:hAnsi="宋体" w:cs="宋体" w:eastAsia="宋体"/>
                      <w:sz w:val="21"/>
                    </w:rPr>
                    <w:t>超高功率密度，超宽输入电压</w:t>
                  </w:r>
                  <w:r>
                    <w:rPr>
                      <w:rFonts w:ascii="宋体" w:hAnsi="宋体" w:cs="宋体" w:eastAsia="宋体"/>
                      <w:sz w:val="21"/>
                    </w:rPr>
                    <w:t>/频率范围，适应恶劣电网环境；具备出色的节能环保特性，输出功率因数高达0.9,带载量提升20-30%</w:t>
                  </w:r>
                  <w:r>
                    <w:rPr>
                      <w:rFonts w:ascii="宋体" w:hAnsi="宋体" w:cs="宋体" w:eastAsia="宋体"/>
                      <w:sz w:val="21"/>
                    </w:rPr>
                    <w:t>；</w:t>
                  </w:r>
                  <w:r>
                    <w:rPr>
                      <w:rFonts w:ascii="宋体" w:hAnsi="宋体" w:cs="宋体" w:eastAsia="宋体"/>
                      <w:sz w:val="21"/>
                    </w:rPr>
                    <w:t>效率高达</w:t>
                  </w:r>
                  <w:r>
                    <w:rPr>
                      <w:rFonts w:ascii="宋体" w:hAnsi="宋体" w:cs="宋体" w:eastAsia="宋体"/>
                      <w:sz w:val="21"/>
                    </w:rPr>
                    <w:t>92-94%</w:t>
                  </w:r>
                  <w:r>
                    <w:rPr>
                      <w:rFonts w:ascii="宋体" w:hAnsi="宋体" w:cs="宋体" w:eastAsia="宋体"/>
                      <w:sz w:val="21"/>
                    </w:rPr>
                    <w:t>；</w:t>
                  </w:r>
                  <w:r>
                    <w:rPr>
                      <w:rFonts w:ascii="宋体" w:hAnsi="宋体" w:cs="宋体" w:eastAsia="宋体"/>
                      <w:sz w:val="21"/>
                    </w:rPr>
                    <w:t>三相单相兼容，适合多种应用场合；支持并联扩展运行</w:t>
                  </w:r>
                  <w:r>
                    <w:rPr>
                      <w:rFonts w:ascii="宋体" w:hAnsi="宋体" w:cs="宋体" w:eastAsia="宋体"/>
                      <w:sz w:val="21"/>
                    </w:rPr>
                    <w:t>(最大4台)</w:t>
                  </w:r>
                  <w:r>
                    <w:rPr>
                      <w:rFonts w:ascii="宋体" w:hAnsi="宋体" w:cs="宋体" w:eastAsia="宋体"/>
                      <w:sz w:val="21"/>
                    </w:rPr>
                    <w:t>；</w:t>
                  </w:r>
                  <w:r>
                    <w:rPr>
                      <w:rFonts w:ascii="宋体" w:hAnsi="宋体" w:cs="宋体" w:eastAsia="宋体"/>
                      <w:sz w:val="21"/>
                    </w:rPr>
                    <w:t>配备</w:t>
                  </w:r>
                  <w:r>
                    <w:rPr>
                      <w:rFonts w:ascii="宋体" w:hAnsi="宋体" w:cs="宋体" w:eastAsia="宋体"/>
                      <w:sz w:val="21"/>
                    </w:rPr>
                    <w:t>≥16 节12V-100AH品牌铅酸免维护蓄电池组，定制电池柜2个，提供不小于4小时延时</w:t>
                  </w:r>
                  <w:r>
                    <w:rPr>
                      <w:rFonts w:ascii="宋体" w:hAnsi="宋体" w:cs="宋体" w:eastAsia="宋体"/>
                      <w:sz w:val="21"/>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r>
                    <w:rPr>
                      <w:rFonts w:ascii="宋体" w:hAnsi="宋体" w:cs="宋体" w:eastAsia="宋体"/>
                      <w:sz w:val="21"/>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KVM</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屏幕：</w:t>
                  </w:r>
                  <w:r>
                    <w:rPr>
                      <w:rFonts w:ascii="宋体" w:hAnsi="宋体" w:cs="宋体" w:eastAsia="宋体"/>
                      <w:sz w:val="21"/>
                    </w:rPr>
                    <w:t>≥17英寸</w:t>
                  </w:r>
                </w:p>
                <w:p>
                  <w:pPr>
                    <w:pStyle w:val="null3"/>
                    <w:jc w:val="both"/>
                  </w:pPr>
                  <w:r>
                    <w:rPr>
                      <w:rFonts w:ascii="宋体" w:hAnsi="宋体" w:cs="宋体" w:eastAsia="宋体"/>
                      <w:sz w:val="21"/>
                    </w:rPr>
                    <w:t>最大连接数：</w:t>
                  </w:r>
                  <w:r>
                    <w:rPr>
                      <w:rFonts w:ascii="宋体" w:hAnsi="宋体" w:cs="宋体" w:eastAsia="宋体"/>
                      <w:sz w:val="21"/>
                    </w:rPr>
                    <w:t>≥8台</w:t>
                  </w:r>
                </w:p>
                <w:p>
                  <w:pPr>
                    <w:pStyle w:val="null3"/>
                    <w:jc w:val="both"/>
                  </w:pPr>
                  <w:r>
                    <w:rPr>
                      <w:rFonts w:ascii="宋体" w:hAnsi="宋体" w:cs="宋体" w:eastAsia="宋体"/>
                      <w:sz w:val="21"/>
                    </w:rPr>
                    <w:t>支持分辨率：</w:t>
                  </w:r>
                  <w:r>
                    <w:rPr>
                      <w:rFonts w:ascii="宋体" w:hAnsi="宋体" w:cs="宋体" w:eastAsia="宋体"/>
                      <w:sz w:val="21"/>
                    </w:rPr>
                    <w:t>≥1280*1024</w:t>
                  </w:r>
                </w:p>
                <w:p>
                  <w:pPr>
                    <w:pStyle w:val="null3"/>
                    <w:jc w:val="both"/>
                  </w:pPr>
                  <w:r>
                    <w:rPr>
                      <w:rFonts w:ascii="宋体" w:hAnsi="宋体" w:cs="宋体" w:eastAsia="宋体"/>
                      <w:sz w:val="21"/>
                    </w:rPr>
                    <w:t>切换方式：面板按钮，</w:t>
                  </w:r>
                  <w:r>
                    <w:rPr>
                      <w:rFonts w:ascii="宋体" w:hAnsi="宋体" w:cs="宋体" w:eastAsia="宋体"/>
                      <w:sz w:val="21"/>
                    </w:rPr>
                    <w:t>OSD,键盘热键</w:t>
                  </w:r>
                </w:p>
                <w:p>
                  <w:pPr>
                    <w:pStyle w:val="null3"/>
                    <w:jc w:val="both"/>
                  </w:pPr>
                  <w:r>
                    <w:rPr>
                      <w:rFonts w:ascii="宋体" w:hAnsi="宋体" w:cs="宋体" w:eastAsia="宋体"/>
                      <w:sz w:val="21"/>
                    </w:rPr>
                    <w:t>自动扫描间隔：</w:t>
                  </w:r>
                  <w:r>
                    <w:rPr>
                      <w:rFonts w:ascii="宋体" w:hAnsi="宋体" w:cs="宋体" w:eastAsia="宋体"/>
                      <w:sz w:val="21"/>
                    </w:rPr>
                    <w:t>1-255秒</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r>
                    <w:rPr>
                      <w:rFonts w:ascii="宋体" w:hAnsi="宋体" w:cs="宋体" w:eastAsia="宋体"/>
                      <w:sz w:val="21"/>
                    </w:rPr>
                    <w:t>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机柜</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42U标准机柜，</w:t>
                  </w:r>
                  <w:r>
                    <w:rPr>
                      <w:rFonts w:ascii="宋体" w:hAnsi="宋体" w:cs="宋体" w:eastAsia="宋体"/>
                      <w:sz w:val="21"/>
                    </w:rPr>
                    <w:t>尺寸：</w:t>
                  </w:r>
                  <w:r>
                    <w:rPr>
                      <w:rFonts w:ascii="宋体" w:hAnsi="宋体" w:cs="宋体" w:eastAsia="宋体"/>
                      <w:sz w:val="21"/>
                    </w:rPr>
                    <w:t>600cm*1000cm*2000cm，钢制结构</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r>
                    <w:rPr>
                      <w:rFonts w:ascii="宋体" w:hAnsi="宋体" w:cs="宋体" w:eastAsia="宋体"/>
                      <w:sz w:val="21"/>
                    </w:rPr>
                    <w:t>6</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授时仪</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内置工业级通讯模块，通过加密算法，对卫星时间进行采集。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r>
                    <w:rPr>
                      <w:rFonts w:ascii="宋体" w:hAnsi="宋体" w:cs="宋体" w:eastAsia="宋体"/>
                      <w:sz w:val="21"/>
                    </w:rPr>
                    <w:t>7</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插座</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插孔数量：</w:t>
                  </w:r>
                  <w:r>
                    <w:rPr>
                      <w:rFonts w:ascii="宋体" w:hAnsi="宋体" w:cs="宋体" w:eastAsia="宋体"/>
                      <w:sz w:val="21"/>
                    </w:rPr>
                    <w:t>≥</w:t>
                  </w:r>
                  <w:r>
                    <w:rPr>
                      <w:rFonts w:ascii="宋体" w:hAnsi="宋体" w:cs="宋体" w:eastAsia="宋体"/>
                      <w:sz w:val="21"/>
                    </w:rPr>
                    <w:t>八位组合孔；额定电压：</w:t>
                  </w:r>
                  <w:r>
                    <w:rPr>
                      <w:rFonts w:ascii="宋体" w:hAnsi="宋体" w:cs="宋体" w:eastAsia="宋体"/>
                      <w:sz w:val="21"/>
                    </w:rPr>
                    <w:t>250V</w:t>
                  </w:r>
                  <w:r>
                    <w:rPr>
                      <w:rFonts w:ascii="宋体" w:hAnsi="宋体" w:cs="宋体" w:eastAsia="宋体"/>
                      <w:sz w:val="21"/>
                    </w:rPr>
                    <w:t>；</w:t>
                  </w:r>
                  <w:r>
                    <w:rPr>
                      <w:rFonts w:ascii="宋体" w:hAnsi="宋体" w:cs="宋体" w:eastAsia="宋体"/>
                      <w:sz w:val="21"/>
                    </w:rPr>
                    <w:t>额定电流：</w:t>
                  </w:r>
                  <w:r>
                    <w:rPr>
                      <w:rFonts w:ascii="宋体" w:hAnsi="宋体" w:cs="宋体" w:eastAsia="宋体"/>
                      <w:sz w:val="21"/>
                    </w:rPr>
                    <w:t>10A</w:t>
                  </w:r>
                  <w:r>
                    <w:rPr>
                      <w:rFonts w:ascii="宋体" w:hAnsi="宋体" w:cs="宋体" w:eastAsia="宋体"/>
                      <w:sz w:val="21"/>
                    </w:rPr>
                    <w:t>；</w:t>
                  </w:r>
                  <w:r>
                    <w:rPr>
                      <w:rFonts w:ascii="宋体" w:hAnsi="宋体" w:cs="宋体" w:eastAsia="宋体"/>
                      <w:sz w:val="21"/>
                    </w:rPr>
                    <w:t>额定功率：</w:t>
                  </w:r>
                  <w:r>
                    <w:rPr>
                      <w:rFonts w:ascii="宋体" w:hAnsi="宋体" w:cs="宋体" w:eastAsia="宋体"/>
                      <w:sz w:val="21"/>
                    </w:rPr>
                    <w:t>2500W</w:t>
                  </w:r>
                  <w:r>
                    <w:rPr>
                      <w:rFonts w:ascii="宋体" w:hAnsi="宋体" w:cs="宋体" w:eastAsia="宋体"/>
                      <w:sz w:val="21"/>
                    </w:rPr>
                    <w:t>；</w:t>
                  </w:r>
                  <w:r>
                    <w:rPr>
                      <w:rFonts w:ascii="宋体" w:hAnsi="宋体" w:cs="宋体" w:eastAsia="宋体"/>
                      <w:sz w:val="21"/>
                    </w:rPr>
                    <w:t>防雷击</w:t>
                  </w:r>
                  <w:r>
                    <w:rPr>
                      <w:rFonts w:ascii="宋体" w:hAnsi="宋体" w:cs="宋体" w:eastAsia="宋体"/>
                      <w:sz w:val="21"/>
                    </w:rPr>
                    <w:t>/抗电涌</w:t>
                  </w:r>
                  <w:r>
                    <w:rPr>
                      <w:rFonts w:ascii="宋体" w:hAnsi="宋体" w:cs="宋体" w:eastAsia="宋体"/>
                      <w:sz w:val="21"/>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手持对讲</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手持式</w:t>
                  </w:r>
                  <w:r>
                    <w:rPr>
                      <w:rFonts w:ascii="宋体" w:hAnsi="宋体" w:cs="宋体" w:eastAsia="宋体"/>
                      <w:sz w:val="21"/>
                    </w:rPr>
                    <w:t>4G公网对讲机，呼叫建立延时≤1秒，接续速度≤1秒，DO分组业务。</w:t>
                  </w:r>
                </w:p>
                <w:p>
                  <w:pPr>
                    <w:pStyle w:val="null3"/>
                    <w:jc w:val="both"/>
                  </w:pPr>
                  <w:r>
                    <w:rPr>
                      <w:rFonts w:ascii="宋体" w:hAnsi="宋体" w:cs="宋体" w:eastAsia="宋体"/>
                      <w:sz w:val="21"/>
                    </w:rPr>
                    <w:t>能够实现与</w:t>
                  </w:r>
                  <w:r>
                    <w:rPr>
                      <w:rFonts w:ascii="宋体" w:hAnsi="宋体" w:cs="宋体" w:eastAsia="宋体"/>
                      <w:sz w:val="21"/>
                    </w:rPr>
                    <w:t>车载对讲</w:t>
                  </w:r>
                  <w:r>
                    <w:rPr>
                      <w:rFonts w:ascii="宋体" w:hAnsi="宋体" w:cs="宋体" w:eastAsia="宋体"/>
                      <w:sz w:val="21"/>
                    </w:rPr>
                    <w:t>互通</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专用摄像头</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室外</w:t>
                  </w:r>
                  <w:r>
                    <w:rPr>
                      <w:rFonts w:ascii="宋体" w:hAnsi="宋体" w:cs="宋体" w:eastAsia="宋体"/>
                      <w:sz w:val="21"/>
                    </w:rPr>
                    <w:t>≥200万像素高清摄像头，日夜模式：自动ICR滤光片彩转黑，视频压缩：H.264/H.265/M-JPEG,视频输出接口： RJ45,10/100M自适应以太网口；网络协议：TCP/IP,HTTP, NTP,IGMP, DHCP,UDP,SMTP,RTP,RTSP,ARP</w:t>
                  </w:r>
                  <w:r>
                    <w:rPr>
                      <w:rFonts w:ascii="宋体" w:hAnsi="宋体" w:cs="宋体" w:eastAsia="宋体"/>
                      <w:sz w:val="21"/>
                    </w:rPr>
                    <w:t>；</w:t>
                  </w:r>
                  <w:r>
                    <w:rPr>
                      <w:rFonts w:ascii="宋体" w:hAnsi="宋体" w:cs="宋体" w:eastAsia="宋体"/>
                      <w:sz w:val="21"/>
                    </w:rPr>
                    <w:t>安装方式：壁装</w:t>
                  </w:r>
                  <w:r>
                    <w:rPr>
                      <w:rFonts w:ascii="宋体" w:hAnsi="宋体" w:cs="宋体" w:eastAsia="宋体"/>
                      <w:sz w:val="21"/>
                    </w:rPr>
                    <w:t>/吊装。含线缆及支架接头</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3个</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r>
                    <w:rPr>
                      <w:rFonts w:ascii="宋体" w:hAnsi="宋体" w:cs="宋体" w:eastAsia="宋体"/>
                      <w:sz w:val="21"/>
                    </w:rPr>
                    <w:t>0</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视频录像机</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监控类型：网络录像机</w:t>
                  </w:r>
                  <w:r>
                    <w:rPr>
                      <w:rFonts w:ascii="宋体" w:hAnsi="宋体" w:cs="宋体" w:eastAsia="宋体"/>
                      <w:sz w:val="21"/>
                    </w:rPr>
                    <w:t>/NVR</w:t>
                  </w:r>
                  <w:r>
                    <w:rPr>
                      <w:rFonts w:ascii="宋体" w:hAnsi="宋体" w:cs="宋体" w:eastAsia="宋体"/>
                      <w:sz w:val="21"/>
                    </w:rPr>
                    <w:t>；</w:t>
                  </w:r>
                  <w:r>
                    <w:rPr>
                      <w:rFonts w:ascii="宋体" w:hAnsi="宋体" w:cs="宋体" w:eastAsia="宋体"/>
                      <w:sz w:val="21"/>
                    </w:rPr>
                    <w:t>支持探头个数：</w:t>
                  </w:r>
                  <w:r>
                    <w:rPr>
                      <w:rFonts w:ascii="宋体" w:hAnsi="宋体" w:cs="宋体" w:eastAsia="宋体"/>
                      <w:sz w:val="21"/>
                    </w:rPr>
                    <w:t>≥4个；存储编码：H.264,H.265</w:t>
                  </w:r>
                  <w:r>
                    <w:rPr>
                      <w:rFonts w:ascii="宋体" w:hAnsi="宋体" w:cs="宋体" w:eastAsia="宋体"/>
                      <w:sz w:val="21"/>
                    </w:rPr>
                    <w:t>；</w:t>
                  </w:r>
                  <w:r>
                    <w:rPr>
                      <w:rFonts w:ascii="宋体" w:hAnsi="宋体" w:cs="宋体" w:eastAsia="宋体"/>
                      <w:sz w:val="21"/>
                    </w:rPr>
                    <w:t>供网方式：网线；供电方式：电源供电；</w:t>
                  </w:r>
                  <w:r>
                    <w:rPr>
                      <w:rFonts w:ascii="宋体" w:hAnsi="宋体" w:cs="宋体" w:eastAsia="宋体"/>
                      <w:sz w:val="21"/>
                    </w:rPr>
                    <w:t>≥1T硬盘。</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1台</w:t>
                  </w:r>
                </w:p>
              </w:tc>
            </w:tr>
            <w:tr>
              <w:tc>
                <w:tcPr>
                  <w:tcW w:type="dxa" w:w="2791"/>
                  <w:gridSpan w:val="3"/>
                </w:tcPr>
                <w:p>
                  <w:pPr>
                    <w:pStyle w:val="null3"/>
                    <w:jc w:val="both"/>
                  </w:pPr>
                  <w:r>
                    <w:rPr>
                      <w:rFonts w:ascii="宋体" w:hAnsi="宋体" w:cs="宋体" w:eastAsia="宋体"/>
                      <w:b/>
                      <w:sz w:val="21"/>
                    </w:rPr>
                    <w:t>二、专用调度系统软件</w:t>
                  </w:r>
                </w:p>
              </w:tc>
              <w:tc>
                <w:tcPr>
                  <w:tcW w:type="dxa" w:w="265"/>
                </w:tcPr>
                <w:p>
                  <w:pPr>
                    <w:pStyle w:val="null3"/>
                  </w:pPr>
                  <w:r>
                    <w:rPr/>
                    <w:t xml:space="preserve"> </w:t>
                  </w:r>
                </w:p>
              </w:tc>
            </w:tr>
            <w:tr>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21</w:t>
                  </w:r>
                </w:p>
                <w:p>
                  <w:pPr>
                    <w:pStyle w:val="null3"/>
                    <w:jc w:val="center"/>
                  </w:pP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120受理调度子系统升级扩容</w:t>
                  </w:r>
                </w:p>
              </w:tc>
              <w:tc>
                <w:tcPr>
                  <w:tcW w:type="dxa" w:w="2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受理调度坐席软件采用</w:t>
                  </w:r>
                  <w:r>
                    <w:rPr>
                      <w:rFonts w:ascii="宋体" w:hAnsi="宋体" w:cs="宋体" w:eastAsia="宋体"/>
                      <w:sz w:val="21"/>
                    </w:rPr>
                    <w:t>1机2屏设计，分别为受理调度屏、信息管理资源屏和电子地图屏，支持可在一个显示屏上显示2个界面或在2个显示器上显示，能够接收120电话为主的多种途径呼救信息；能同时运行于多个受理台上，接收处理多路120呼救；使受理员对呼救情况一目了然；快速准确地形成病发现场信息，包括：病人一般情况、病症及初步诊断、病发地点和会面地点等；图文受理呼救受理功能以呼叫受理台和呼救受理软件为主，为120 急救指挥调度的核心系统，是一个完成从120呼救到院前急救完成的实时处理系统，包括：接收120呼救、调度员进行呼救受理、生成急救预案、调度急救站救护车辆、利用有线/无线数字通信技术，将出车指令发往相应急救站、救护车或出车人员。急救站或救护车接收指令出动，急救过程信息反馈等等。还提供增援、信息支持和重大灾害事故处理功能等。</w:t>
                  </w:r>
                </w:p>
                <w:p>
                  <w:pPr>
                    <w:pStyle w:val="null3"/>
                    <w:jc w:val="both"/>
                  </w:pPr>
                  <w:r>
                    <w:rPr>
                      <w:rFonts w:ascii="宋体" w:hAnsi="宋体" w:cs="宋体" w:eastAsia="宋体"/>
                      <w:sz w:val="21"/>
                    </w:rPr>
                    <w:t>含</w:t>
                  </w:r>
                  <w:r>
                    <w:rPr>
                      <w:rFonts w:ascii="宋体" w:hAnsi="宋体" w:cs="宋体" w:eastAsia="宋体"/>
                      <w:sz w:val="21"/>
                    </w:rPr>
                    <w:t>2个坐席部署及2个调度台升级</w:t>
                  </w:r>
                </w:p>
                <w:p>
                  <w:pPr>
                    <w:pStyle w:val="null3"/>
                    <w:jc w:val="both"/>
                  </w:pPr>
                  <w:r>
                    <w:rPr>
                      <w:rFonts w:ascii="宋体" w:hAnsi="宋体" w:cs="宋体" w:eastAsia="宋体"/>
                      <w:sz w:val="21"/>
                    </w:rPr>
                    <w:t>▲</w:t>
                  </w:r>
                  <w:r>
                    <w:rPr>
                      <w:rFonts w:ascii="宋体" w:hAnsi="宋体" w:cs="宋体" w:eastAsia="宋体"/>
                      <w:sz w:val="21"/>
                    </w:rPr>
                    <w:t>受理调度软件具有</w:t>
                  </w:r>
                  <w:r>
                    <w:rPr>
                      <w:rFonts w:ascii="宋体" w:hAnsi="宋体" w:cs="宋体" w:eastAsia="宋体"/>
                      <w:sz w:val="21"/>
                    </w:rPr>
                    <w:t>相关</w:t>
                  </w:r>
                  <w:r>
                    <w:rPr>
                      <w:rFonts w:ascii="宋体" w:hAnsi="宋体" w:cs="宋体" w:eastAsia="宋体"/>
                      <w:sz w:val="21"/>
                    </w:rPr>
                    <w:t>的软件著作权登记证书复印件</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vMerge/>
                  <w:tcBorders>
                    <w:top w:val="singl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医疗管理系统软件</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能够对各种文字数据</w:t>
                  </w:r>
                  <w:r>
                    <w:rPr>
                      <w:rFonts w:ascii="宋体" w:hAnsi="宋体" w:cs="宋体" w:eastAsia="宋体"/>
                      <w:sz w:val="21"/>
                    </w:rPr>
                    <w:t>(如急救站出车单位设置、医院信息、救护方案等等)进行增、删、改；数据即改即用，非常灵活适用；适用于急救中心，能够实现管理系统录音查询、急救事件查询等功能</w:t>
                  </w:r>
                </w:p>
                <w:p>
                  <w:pPr>
                    <w:pStyle w:val="null3"/>
                    <w:jc w:val="both"/>
                  </w:pPr>
                  <w:r>
                    <w:rPr>
                      <w:rFonts w:ascii="宋体" w:hAnsi="宋体" w:cs="宋体" w:eastAsia="宋体"/>
                      <w:sz w:val="21"/>
                    </w:rPr>
                    <w:t>▲</w:t>
                  </w:r>
                  <w:r>
                    <w:rPr>
                      <w:rFonts w:ascii="宋体" w:hAnsi="宋体" w:cs="宋体" w:eastAsia="宋体"/>
                      <w:sz w:val="21"/>
                    </w:rPr>
                    <w:t>医疗管理软件具有</w:t>
                  </w:r>
                  <w:r>
                    <w:rPr>
                      <w:rFonts w:ascii="宋体" w:hAnsi="宋体" w:cs="宋体" w:eastAsia="宋体"/>
                      <w:sz w:val="21"/>
                    </w:rPr>
                    <w:t>相关</w:t>
                  </w:r>
                  <w:r>
                    <w:rPr>
                      <w:rFonts w:ascii="宋体" w:hAnsi="宋体" w:cs="宋体" w:eastAsia="宋体"/>
                      <w:sz w:val="21"/>
                    </w:rPr>
                    <w:t>的软件著作权登记证书复印件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vMerge/>
                  <w:tcBorders>
                    <w:top w:val="singl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存档资料查询与统计功能模块</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能够提供出车情况存档；对已存档的信息可进行多项统计，如统计呼救类型和数量及其分布，出车情况</w:t>
                  </w:r>
                  <w:r>
                    <w:rPr>
                      <w:rFonts w:ascii="宋体" w:hAnsi="宋体" w:cs="宋体" w:eastAsia="宋体"/>
                      <w:sz w:val="21"/>
                    </w:rPr>
                    <w:t>(车次、频率)统计，统计结果以数字形式或以图表方式反映(如饼图、折线图、趋势图等),可按地区和时间进行分类</w:t>
                  </w:r>
                  <w:r>
                    <w:rPr>
                      <w:rFonts w:ascii="宋体" w:hAnsi="宋体" w:cs="宋体" w:eastAsia="宋体"/>
                      <w:sz w:val="21"/>
                    </w:rPr>
                    <w:t>。</w:t>
                  </w:r>
                  <w:r>
                    <w:br/>
                  </w:r>
                  <w:r>
                    <w:rPr>
                      <w:rFonts w:ascii="宋体" w:hAnsi="宋体" w:cs="宋体" w:eastAsia="宋体"/>
                      <w:sz w:val="21"/>
                    </w:rPr>
                    <w:t>▲</w:t>
                  </w:r>
                  <w:r>
                    <w:rPr>
                      <w:rFonts w:ascii="宋体" w:hAnsi="宋体" w:cs="宋体" w:eastAsia="宋体"/>
                      <w:sz w:val="21"/>
                    </w:rPr>
                    <w:t>统计软件具有</w:t>
                  </w:r>
                  <w:r>
                    <w:rPr>
                      <w:rFonts w:ascii="宋体" w:hAnsi="宋体" w:cs="宋体" w:eastAsia="宋体"/>
                      <w:sz w:val="21"/>
                    </w:rPr>
                    <w:t>相关</w:t>
                  </w:r>
                  <w:r>
                    <w:rPr>
                      <w:rFonts w:ascii="宋体" w:hAnsi="宋体" w:cs="宋体" w:eastAsia="宋体"/>
                      <w:sz w:val="21"/>
                    </w:rPr>
                    <w:t>的软件著作权登记证书复印件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vMerge/>
                  <w:tcBorders>
                    <w:top w:val="singl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统计管理功能模块与</w:t>
                  </w:r>
                  <w:r>
                    <w:rPr>
                      <w:rFonts w:ascii="宋体" w:hAnsi="宋体" w:cs="宋体" w:eastAsia="宋体"/>
                      <w:sz w:val="21"/>
                    </w:rPr>
                    <w:t>数据</w:t>
                  </w:r>
                  <w:r>
                    <w:rPr>
                      <w:rFonts w:ascii="宋体" w:hAnsi="宋体" w:cs="宋体" w:eastAsia="宋体"/>
                      <w:sz w:val="21"/>
                    </w:rPr>
                    <w:t>分析功能</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可分别查看待命中车辆、任务中车辆以及暂停调用的车辆，这样有利于领导对车辆总体运行使用情况有所了解，可根据呼救编码、主叫号码、来电人、患者姓名、等车地点、送往地点以及病因等按照时间段、呼救类型、要车目的、车辆状态对呼救历史进行查询，一方面可监督调度人员的工作、了解院前急救情况，另一方面可跟踪了解特定事件。可查看重大事故发生的时间、地点及事情经过，汇报时间、对象以及汇报内容，同时还可查看该重大事故的调度情况</w:t>
                  </w:r>
                  <w:r>
                    <w:rPr>
                      <w:rFonts w:ascii="宋体" w:hAnsi="宋体" w:cs="宋体" w:eastAsia="宋体"/>
                      <w:sz w:val="21"/>
                    </w:rPr>
                    <w:t>(包括调度员工号、放车数量、派车时间以及到达现场时间)、出车情况(出车总车次、参与救护总人次、参与救护车辆、司机、 医生)、伤员去向(救治伤员医院名称、救治人数、受伤程度)、救护记录(伤员姓名、性别、年龄、主诉、病情伤势，送往医院)等，可进行病历填写汇总等功能。可进行院前病种统计、放车情况统计、疾病与时间统计、回车与区域统计、出车次数统计、司机工作效率统计、回车情况统计、重大事故统计、现场地点统计、送往地点统计、调度员工作量统计等。</w:t>
                  </w:r>
                </w:p>
                <w:p>
                  <w:pPr>
                    <w:pStyle w:val="null3"/>
                    <w:jc w:val="both"/>
                  </w:pPr>
                  <w:r>
                    <w:rPr>
                      <w:rFonts w:ascii="宋体" w:hAnsi="宋体" w:cs="宋体" w:eastAsia="宋体"/>
                      <w:sz w:val="21"/>
                    </w:rPr>
                    <w:t>▲</w:t>
                  </w:r>
                  <w:r>
                    <w:rPr>
                      <w:rFonts w:ascii="宋体" w:hAnsi="宋体" w:cs="宋体" w:eastAsia="宋体"/>
                      <w:sz w:val="21"/>
                    </w:rPr>
                    <w:t>管理分析系统</w:t>
                  </w:r>
                  <w:r>
                    <w:rPr>
                      <w:rFonts w:ascii="宋体" w:hAnsi="宋体" w:cs="宋体" w:eastAsia="宋体"/>
                      <w:sz w:val="21"/>
                    </w:rPr>
                    <w:t>软件具有</w:t>
                  </w:r>
                  <w:r>
                    <w:rPr>
                      <w:rFonts w:ascii="宋体" w:hAnsi="宋体" w:cs="宋体" w:eastAsia="宋体"/>
                      <w:sz w:val="21"/>
                    </w:rPr>
                    <w:t>相关</w:t>
                  </w:r>
                  <w:r>
                    <w:rPr>
                      <w:rFonts w:ascii="宋体" w:hAnsi="宋体" w:cs="宋体" w:eastAsia="宋体"/>
                      <w:sz w:val="21"/>
                    </w:rPr>
                    <w:t>的软件著作权登记证书复印件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vMerge/>
                  <w:tcBorders>
                    <w:top w:val="singl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授时对时软件</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1、软件可以通过接口程序，读取授时仪上获取的卫星时间，从而保证调度系统时间与车辆时间一致，软件运行于系统计算机上。</w:t>
                  </w:r>
                </w:p>
                <w:p>
                  <w:pPr>
                    <w:pStyle w:val="null3"/>
                    <w:jc w:val="both"/>
                  </w:pPr>
                  <w:r>
                    <w:rPr>
                      <w:rFonts w:ascii="宋体" w:hAnsi="宋体" w:cs="宋体" w:eastAsia="宋体"/>
                      <w:sz w:val="21"/>
                    </w:rPr>
                    <w:t>2、时间间隔可自行调整，可保证系统派车时间的严谨性。对时软件运行于调度系统内所有计算机上，软件设计支持≥100台以上计算机运行</w:t>
                  </w:r>
                </w:p>
                <w:p>
                  <w:pPr>
                    <w:pStyle w:val="null3"/>
                    <w:jc w:val="both"/>
                  </w:pPr>
                  <w:r>
                    <w:rPr>
                      <w:rFonts w:ascii="宋体" w:hAnsi="宋体" w:cs="宋体" w:eastAsia="宋体"/>
                      <w:sz w:val="21"/>
                    </w:rPr>
                    <w:t>3、需要确保客户端时间与服务器端时间实时同步。</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22</w:t>
                  </w:r>
                </w:p>
                <w:p>
                  <w:pPr>
                    <w:pStyle w:val="null3"/>
                    <w:jc w:val="center"/>
                  </w:pPr>
                </w:p>
              </w:tc>
              <w:tc>
                <w:tcPr>
                  <w:tcW w:type="dxa" w:w="4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网络地理信息系统</w:t>
                  </w:r>
                </w:p>
                <w:p>
                  <w:pPr>
                    <w:pStyle w:val="null3"/>
                    <w:jc w:val="center"/>
                  </w:pPr>
                </w:p>
              </w:tc>
              <w:tc>
                <w:tcPr>
                  <w:tcW w:type="dxa" w:w="2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1、互联网地图接口</w:t>
                  </w:r>
                </w:p>
                <w:p>
                  <w:pPr>
                    <w:pStyle w:val="null3"/>
                    <w:jc w:val="both"/>
                  </w:pPr>
                  <w:r>
                    <w:rPr>
                      <w:rFonts w:ascii="宋体" w:hAnsi="宋体" w:cs="宋体" w:eastAsia="宋体"/>
                      <w:sz w:val="21"/>
                    </w:rPr>
                    <w:t>云端地图接入接口开发、实现与</w:t>
                  </w:r>
                  <w:r>
                    <w:rPr>
                      <w:rFonts w:ascii="宋体" w:hAnsi="宋体" w:cs="宋体" w:eastAsia="宋体"/>
                      <w:sz w:val="21"/>
                    </w:rPr>
                    <w:t>120急救系统内部接口开发，支持两种以上主流网络地理信息地图接入。</w:t>
                  </w:r>
                </w:p>
                <w:p>
                  <w:pPr>
                    <w:pStyle w:val="null3"/>
                    <w:jc w:val="both"/>
                  </w:pPr>
                  <w:r>
                    <w:rPr>
                      <w:rFonts w:ascii="宋体" w:hAnsi="宋体" w:cs="宋体" w:eastAsia="宋体"/>
                      <w:sz w:val="21"/>
                    </w:rPr>
                    <w:t>1.1、云端地图信息接入调度系统；信息自动连接，车辆位置信息接入调度系统数据库；</w:t>
                  </w:r>
                </w:p>
                <w:p>
                  <w:pPr>
                    <w:pStyle w:val="null3"/>
                    <w:jc w:val="both"/>
                  </w:pPr>
                  <w:r>
                    <w:rPr>
                      <w:rFonts w:ascii="宋体" w:hAnsi="宋体" w:cs="宋体" w:eastAsia="宋体"/>
                      <w:sz w:val="21"/>
                    </w:rPr>
                    <w:t>1.2、车辆轨迹可回放，实时查询，车辆状态更新；</w:t>
                  </w:r>
                </w:p>
                <w:p>
                  <w:pPr>
                    <w:pStyle w:val="null3"/>
                    <w:jc w:val="both"/>
                  </w:pPr>
                  <w:r>
                    <w:rPr>
                      <w:rFonts w:ascii="宋体" w:hAnsi="宋体" w:cs="宋体" w:eastAsia="宋体"/>
                      <w:sz w:val="21"/>
                    </w:rPr>
                    <w:t>1.3、GPS定位信息接收；</w:t>
                  </w:r>
                </w:p>
                <w:p>
                  <w:pPr>
                    <w:pStyle w:val="null3"/>
                    <w:jc w:val="both"/>
                  </w:pPr>
                  <w:r>
                    <w:rPr>
                      <w:rFonts w:ascii="宋体" w:hAnsi="宋体" w:cs="宋体" w:eastAsia="宋体"/>
                      <w:sz w:val="21"/>
                    </w:rPr>
                    <w:t>1.4、车载状态实时反馈；</w:t>
                  </w:r>
                </w:p>
                <w:p>
                  <w:pPr>
                    <w:pStyle w:val="null3"/>
                    <w:jc w:val="both"/>
                  </w:pPr>
                  <w:r>
                    <w:rPr>
                      <w:rFonts w:ascii="宋体" w:hAnsi="宋体" w:cs="宋体" w:eastAsia="宋体"/>
                      <w:sz w:val="21"/>
                    </w:rPr>
                    <w:t>1.5、支持命令单中车辆信息关联查询；</w:t>
                  </w:r>
                </w:p>
                <w:p>
                  <w:pPr>
                    <w:pStyle w:val="null3"/>
                    <w:jc w:val="both"/>
                  </w:pPr>
                  <w:r>
                    <w:rPr>
                      <w:rFonts w:ascii="宋体" w:hAnsi="宋体" w:cs="宋体" w:eastAsia="宋体"/>
                      <w:sz w:val="21"/>
                    </w:rPr>
                    <w:t>1.6、120系统内部接口开发；</w:t>
                  </w:r>
                </w:p>
                <w:p>
                  <w:pPr>
                    <w:pStyle w:val="null3"/>
                    <w:jc w:val="both"/>
                  </w:pPr>
                  <w:r>
                    <w:rPr>
                      <w:rFonts w:ascii="宋体" w:hAnsi="宋体" w:cs="宋体" w:eastAsia="宋体"/>
                      <w:sz w:val="21"/>
                    </w:rPr>
                    <w:t>▲地图软件提供相关的软件著作权登记证书复印件</w:t>
                  </w:r>
                </w:p>
                <w:p>
                  <w:pPr>
                    <w:pStyle w:val="null3"/>
                    <w:jc w:val="both"/>
                  </w:pPr>
                  <w:r>
                    <w:rPr>
                      <w:rFonts w:ascii="宋体" w:hAnsi="宋体" w:cs="宋体" w:eastAsia="宋体"/>
                      <w:sz w:val="21"/>
                    </w:rPr>
                    <w:t>2、互联网地图功能</w:t>
                  </w:r>
                </w:p>
                <w:p>
                  <w:pPr>
                    <w:pStyle w:val="null3"/>
                    <w:jc w:val="both"/>
                  </w:pPr>
                  <w:r>
                    <w:rPr>
                      <w:rFonts w:ascii="宋体" w:hAnsi="宋体" w:cs="宋体" w:eastAsia="宋体"/>
                      <w:sz w:val="21"/>
                    </w:rPr>
                    <w:t>2.1、可以实时计算最优路径；</w:t>
                  </w:r>
                </w:p>
                <w:p>
                  <w:pPr>
                    <w:pStyle w:val="null3"/>
                    <w:jc w:val="both"/>
                  </w:pPr>
                  <w:r>
                    <w:rPr>
                      <w:rFonts w:ascii="宋体" w:hAnsi="宋体" w:cs="宋体" w:eastAsia="宋体"/>
                      <w:sz w:val="21"/>
                    </w:rPr>
                    <w:t>2.2、地图数据在云端，实时更新；</w:t>
                  </w:r>
                </w:p>
                <w:p>
                  <w:pPr>
                    <w:pStyle w:val="null3"/>
                    <w:jc w:val="both"/>
                  </w:pPr>
                  <w:r>
                    <w:rPr>
                      <w:rFonts w:ascii="宋体" w:hAnsi="宋体" w:cs="宋体" w:eastAsia="宋体"/>
                      <w:sz w:val="21"/>
                    </w:rPr>
                    <w:t>2.3、全国地图数据；</w:t>
                  </w:r>
                </w:p>
                <w:p>
                  <w:pPr>
                    <w:pStyle w:val="null3"/>
                    <w:jc w:val="both"/>
                  </w:pPr>
                  <w:r>
                    <w:rPr>
                      <w:rFonts w:ascii="宋体" w:hAnsi="宋体" w:cs="宋体" w:eastAsia="宋体"/>
                      <w:sz w:val="21"/>
                    </w:rPr>
                    <w:t>2.4、查看车辆定位及车辆状态、人员、事件信息等。</w:t>
                  </w:r>
                  <w:r>
                    <w:br/>
                  </w:r>
                  <w:r>
                    <w:rPr>
                      <w:rFonts w:ascii="宋体" w:hAnsi="宋体" w:cs="宋体" w:eastAsia="宋体"/>
                      <w:sz w:val="21"/>
                    </w:rPr>
                    <w:t>含</w:t>
                  </w:r>
                  <w:r>
                    <w:rPr>
                      <w:rFonts w:ascii="宋体" w:hAnsi="宋体" w:cs="宋体" w:eastAsia="宋体"/>
                      <w:sz w:val="21"/>
                    </w:rPr>
                    <w:t>4个调度台授权</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1项</w:t>
                  </w: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互联网地图年费</w:t>
                  </w:r>
                </w:p>
                <w:p>
                  <w:pPr>
                    <w:pStyle w:val="null3"/>
                    <w:jc w:val="both"/>
                  </w:pPr>
                  <w:r>
                    <w:rPr>
                      <w:rFonts w:ascii="宋体" w:hAnsi="宋体" w:cs="宋体" w:eastAsia="宋体"/>
                      <w:sz w:val="21"/>
                    </w:rPr>
                    <w:t>互联网地图授权及平台年使用费用，支持按年收取。</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1年</w:t>
                  </w:r>
                </w:p>
              </w:tc>
            </w:tr>
            <w:tr>
              <w:tc>
                <w:tcPr>
                  <w:tcW w:type="dxa" w:w="2791"/>
                  <w:gridSpan w:val="3"/>
                </w:tcPr>
                <w:p>
                  <w:pPr>
                    <w:pStyle w:val="null3"/>
                    <w:jc w:val="both"/>
                  </w:pPr>
                  <w:r>
                    <w:rPr>
                      <w:rFonts w:ascii="宋体" w:hAnsi="宋体" w:cs="宋体" w:eastAsia="宋体"/>
                      <w:b/>
                      <w:sz w:val="21"/>
                    </w:rPr>
                    <w:t>三、急救车载系统</w:t>
                  </w:r>
                </w:p>
              </w:tc>
              <w:tc>
                <w:tcPr>
                  <w:tcW w:type="dxa" w:w="265"/>
                </w:tcPr>
                <w:p>
                  <w:pPr>
                    <w:pStyle w:val="null3"/>
                  </w:pPr>
                  <w:r>
                    <w:rPr/>
                    <w:t xml:space="preserve"> </w:t>
                  </w:r>
                </w:p>
              </w:tc>
            </w:tr>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23</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急救智能车载终端</w:t>
                  </w:r>
                </w:p>
              </w:tc>
              <w:tc>
                <w:tcPr>
                  <w:tcW w:type="dxa" w:w="2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急救专用型车载终端</w:t>
                  </w:r>
                </w:p>
                <w:p>
                  <w:pPr>
                    <w:pStyle w:val="null3"/>
                    <w:jc w:val="left"/>
                  </w:pPr>
                  <w:r>
                    <w:rPr>
                      <w:rFonts w:ascii="宋体" w:hAnsi="宋体" w:cs="宋体" w:eastAsia="宋体"/>
                      <w:sz w:val="21"/>
                    </w:rPr>
                    <w:t>1、设备性能参数：</w:t>
                  </w:r>
                </w:p>
                <w:p>
                  <w:pPr>
                    <w:pStyle w:val="null3"/>
                    <w:jc w:val="left"/>
                  </w:pPr>
                  <w:r>
                    <w:rPr>
                      <w:rFonts w:ascii="宋体" w:hAnsi="宋体" w:cs="宋体" w:eastAsia="宋体"/>
                      <w:sz w:val="21"/>
                    </w:rPr>
                    <w:t>(1)主频：≥1.8GHz</w:t>
                  </w:r>
                  <w:r>
                    <w:rPr>
                      <w:rFonts w:ascii="宋体" w:hAnsi="宋体" w:cs="宋体" w:eastAsia="宋体"/>
                      <w:sz w:val="21"/>
                    </w:rPr>
                    <w:t>；</w:t>
                  </w:r>
                </w:p>
                <w:p>
                  <w:pPr>
                    <w:pStyle w:val="null3"/>
                    <w:jc w:val="left"/>
                  </w:pPr>
                  <w:r>
                    <w:rPr>
                      <w:rFonts w:ascii="宋体" w:hAnsi="宋体" w:cs="宋体" w:eastAsia="宋体"/>
                      <w:sz w:val="21"/>
                    </w:rPr>
                    <w:t>(2)全网通设计，国内频段</w:t>
                  </w:r>
                </w:p>
                <w:p>
                  <w:pPr>
                    <w:pStyle w:val="null3"/>
                    <w:jc w:val="left"/>
                  </w:pPr>
                  <w:r>
                    <w:rPr>
                      <w:rFonts w:ascii="宋体" w:hAnsi="宋体" w:cs="宋体" w:eastAsia="宋体"/>
                      <w:sz w:val="21"/>
                    </w:rPr>
                    <w:t>移动：</w:t>
                  </w:r>
                  <w:r>
                    <w:rPr>
                      <w:rFonts w:ascii="宋体" w:hAnsi="宋体" w:cs="宋体" w:eastAsia="宋体"/>
                      <w:sz w:val="21"/>
                    </w:rPr>
                    <w:t>LTE B38/B39/B40</w:t>
                  </w:r>
                  <w:r>
                    <w:rPr>
                      <w:rFonts w:ascii="宋体" w:hAnsi="宋体" w:cs="宋体" w:eastAsia="宋体"/>
                      <w:sz w:val="21"/>
                    </w:rPr>
                    <w:t>；</w:t>
                  </w:r>
                  <w:r>
                    <w:rPr>
                      <w:rFonts w:ascii="宋体" w:hAnsi="宋体" w:cs="宋体" w:eastAsia="宋体"/>
                      <w:sz w:val="21"/>
                    </w:rPr>
                    <w:t>TD-SCDMA B34/B39</w:t>
                  </w:r>
                  <w:r>
                    <w:rPr>
                      <w:rFonts w:ascii="宋体" w:hAnsi="宋体" w:cs="宋体" w:eastAsia="宋体"/>
                      <w:sz w:val="21"/>
                    </w:rPr>
                    <w:t>；</w:t>
                  </w:r>
                  <w:r>
                    <w:rPr>
                      <w:rFonts w:ascii="宋体" w:hAnsi="宋体" w:cs="宋体" w:eastAsia="宋体"/>
                      <w:sz w:val="21"/>
                    </w:rPr>
                    <w:t>GSM B3/B8</w:t>
                  </w:r>
                </w:p>
                <w:p>
                  <w:pPr>
                    <w:pStyle w:val="null3"/>
                    <w:jc w:val="left"/>
                  </w:pPr>
                  <w:r>
                    <w:rPr>
                      <w:rFonts w:ascii="宋体" w:hAnsi="宋体" w:cs="宋体" w:eastAsia="宋体"/>
                      <w:sz w:val="21"/>
                    </w:rPr>
                    <w:t>电信：</w:t>
                  </w:r>
                  <w:r>
                    <w:rPr>
                      <w:rFonts w:ascii="宋体" w:hAnsi="宋体" w:cs="宋体" w:eastAsia="宋体"/>
                      <w:sz w:val="21"/>
                    </w:rPr>
                    <w:t>LTE B1/B3/B41</w:t>
                  </w:r>
                  <w:r>
                    <w:rPr>
                      <w:rFonts w:ascii="宋体" w:hAnsi="宋体" w:cs="宋体" w:eastAsia="宋体"/>
                      <w:sz w:val="21"/>
                    </w:rPr>
                    <w:t>；</w:t>
                  </w:r>
                  <w:r>
                    <w:rPr>
                      <w:rFonts w:ascii="宋体" w:hAnsi="宋体" w:cs="宋体" w:eastAsia="宋体"/>
                      <w:sz w:val="21"/>
                    </w:rPr>
                    <w:t>CDMA BCO</w:t>
                  </w:r>
                  <w:r>
                    <w:rPr>
                      <w:rFonts w:ascii="宋体" w:hAnsi="宋体" w:cs="宋体" w:eastAsia="宋体"/>
                      <w:sz w:val="21"/>
                    </w:rPr>
                    <w:t>；</w:t>
                  </w:r>
                  <w:r>
                    <w:rPr>
                      <w:rFonts w:ascii="宋体" w:hAnsi="宋体" w:cs="宋体" w:eastAsia="宋体"/>
                      <w:sz w:val="21"/>
                    </w:rPr>
                    <w:t>GSM B3/B8</w:t>
                  </w:r>
                </w:p>
                <w:p>
                  <w:pPr>
                    <w:pStyle w:val="null3"/>
                    <w:jc w:val="left"/>
                  </w:pPr>
                  <w:r>
                    <w:rPr>
                      <w:rFonts w:ascii="宋体" w:hAnsi="宋体" w:cs="宋体" w:eastAsia="宋体"/>
                      <w:sz w:val="21"/>
                    </w:rPr>
                    <w:t>联通：</w:t>
                  </w:r>
                  <w:r>
                    <w:rPr>
                      <w:rFonts w:ascii="宋体" w:hAnsi="宋体" w:cs="宋体" w:eastAsia="宋体"/>
                      <w:sz w:val="21"/>
                    </w:rPr>
                    <w:t>LTE B40/B41/B1/B3</w:t>
                  </w:r>
                  <w:r>
                    <w:rPr>
                      <w:rFonts w:ascii="宋体" w:hAnsi="宋体" w:cs="宋体" w:eastAsia="宋体"/>
                      <w:sz w:val="21"/>
                    </w:rPr>
                    <w:t>；</w:t>
                  </w:r>
                  <w:r>
                    <w:rPr>
                      <w:rFonts w:ascii="宋体" w:hAnsi="宋体" w:cs="宋体" w:eastAsia="宋体"/>
                      <w:sz w:val="21"/>
                    </w:rPr>
                    <w:t>WCDMA B1/B8</w:t>
                  </w:r>
                  <w:r>
                    <w:rPr>
                      <w:rFonts w:ascii="宋体" w:hAnsi="宋体" w:cs="宋体" w:eastAsia="宋体"/>
                      <w:sz w:val="21"/>
                    </w:rPr>
                    <w:t>；</w:t>
                  </w:r>
                  <w:r>
                    <w:rPr>
                      <w:rFonts w:ascii="宋体" w:hAnsi="宋体" w:cs="宋体" w:eastAsia="宋体"/>
                      <w:sz w:val="21"/>
                    </w:rPr>
                    <w:t>GSM B3/B8 设备支持4G全网通；</w:t>
                  </w:r>
                </w:p>
                <w:p>
                  <w:pPr>
                    <w:pStyle w:val="null3"/>
                    <w:jc w:val="left"/>
                  </w:pPr>
                  <w:r>
                    <w:rPr>
                      <w:rFonts w:ascii="宋体" w:hAnsi="宋体" w:cs="宋体" w:eastAsia="宋体"/>
                      <w:sz w:val="21"/>
                    </w:rPr>
                    <w:t>(3)操作系统：安卓</w:t>
                  </w:r>
                  <w:r>
                    <w:rPr>
                      <w:rFonts w:ascii="宋体" w:hAnsi="宋体" w:cs="宋体" w:eastAsia="宋体"/>
                      <w:sz w:val="21"/>
                    </w:rPr>
                    <w:t>或同类</w:t>
                  </w:r>
                  <w:r>
                    <w:rPr>
                      <w:rFonts w:ascii="宋体" w:hAnsi="宋体" w:cs="宋体" w:eastAsia="宋体"/>
                      <w:sz w:val="21"/>
                    </w:rPr>
                    <w:t>操作系统；</w:t>
                  </w:r>
                </w:p>
                <w:p>
                  <w:pPr>
                    <w:pStyle w:val="null3"/>
                    <w:jc w:val="left"/>
                  </w:pPr>
                  <w:r>
                    <w:rPr>
                      <w:rFonts w:ascii="宋体" w:hAnsi="宋体" w:cs="宋体" w:eastAsia="宋体"/>
                      <w:sz w:val="21"/>
                    </w:rPr>
                    <w:t>(4)导航软件：支持网络地图；</w:t>
                  </w:r>
                </w:p>
                <w:p>
                  <w:pPr>
                    <w:pStyle w:val="null3"/>
                    <w:jc w:val="left"/>
                  </w:pPr>
                  <w:r>
                    <w:rPr>
                      <w:rFonts w:ascii="宋体" w:hAnsi="宋体" w:cs="宋体" w:eastAsia="宋体"/>
                      <w:sz w:val="21"/>
                    </w:rPr>
                    <w:t>(5)能够提供实时定位；</w:t>
                  </w:r>
                </w:p>
                <w:p>
                  <w:pPr>
                    <w:pStyle w:val="null3"/>
                    <w:jc w:val="left"/>
                  </w:pPr>
                  <w:r>
                    <w:rPr>
                      <w:rFonts w:ascii="宋体" w:hAnsi="宋体" w:cs="宋体" w:eastAsia="宋体"/>
                      <w:sz w:val="21"/>
                    </w:rPr>
                    <w:t>(6)Memory保存地图数据的Memory类型Nand Flash</w:t>
                  </w:r>
                  <w:r>
                    <w:rPr>
                      <w:rFonts w:ascii="宋体" w:hAnsi="宋体" w:cs="宋体" w:eastAsia="宋体"/>
                      <w:sz w:val="21"/>
                    </w:rPr>
                    <w:t>；</w:t>
                  </w:r>
                  <w:r>
                    <w:rPr>
                      <w:rFonts w:ascii="calibri" w:hAnsi="calibri" w:cs="calibri" w:eastAsia="calibri"/>
                      <w:sz w:val="21"/>
                    </w:rPr>
                    <w:t xml:space="preserve"> </w:t>
                  </w:r>
                </w:p>
                <w:p>
                  <w:pPr>
                    <w:pStyle w:val="null3"/>
                    <w:jc w:val="left"/>
                  </w:pPr>
                  <w:r>
                    <w:rPr>
                      <w:rFonts w:ascii="宋体" w:hAnsi="宋体" w:cs="宋体" w:eastAsia="宋体"/>
                      <w:sz w:val="21"/>
                    </w:rPr>
                    <w:t>(7)FLASH:≥16GBROM、内存：≥2GBRAM</w:t>
                  </w:r>
                  <w:r>
                    <w:rPr>
                      <w:rFonts w:ascii="宋体" w:hAnsi="宋体" w:cs="宋体" w:eastAsia="宋体"/>
                      <w:sz w:val="21"/>
                    </w:rPr>
                    <w:t>；</w:t>
                  </w:r>
                </w:p>
                <w:p>
                  <w:pPr>
                    <w:pStyle w:val="null3"/>
                    <w:jc w:val="left"/>
                  </w:pPr>
                  <w:r>
                    <w:rPr>
                      <w:rFonts w:ascii="宋体" w:hAnsi="宋体" w:cs="宋体" w:eastAsia="宋体"/>
                      <w:sz w:val="21"/>
                    </w:rPr>
                    <w:t>(8)显示屏：≥7寸；</w:t>
                  </w:r>
                </w:p>
                <w:p>
                  <w:pPr>
                    <w:pStyle w:val="null3"/>
                    <w:jc w:val="left"/>
                  </w:pPr>
                  <w:r>
                    <w:rPr>
                      <w:rFonts w:ascii="宋体" w:hAnsi="宋体" w:cs="宋体" w:eastAsia="宋体"/>
                      <w:sz w:val="21"/>
                    </w:rPr>
                    <w:t>(9)定位模块：支持北斗</w:t>
                  </w:r>
                  <w:r>
                    <w:rPr>
                      <w:rFonts w:ascii="宋体" w:hAnsi="宋体" w:cs="宋体" w:eastAsia="宋体"/>
                      <w:sz w:val="21"/>
                    </w:rPr>
                    <w:t>、</w:t>
                  </w:r>
                  <w:r>
                    <w:rPr>
                      <w:rFonts w:ascii="宋体" w:hAnsi="宋体" w:cs="宋体" w:eastAsia="宋体"/>
                      <w:sz w:val="21"/>
                    </w:rPr>
                    <w:t>GPS双模块</w:t>
                  </w:r>
                  <w:r>
                    <w:rPr>
                      <w:rFonts w:ascii="宋体" w:hAnsi="宋体" w:cs="宋体" w:eastAsia="宋体"/>
                      <w:sz w:val="21"/>
                    </w:rPr>
                    <w:t>；</w:t>
                  </w:r>
                </w:p>
                <w:p>
                  <w:pPr>
                    <w:pStyle w:val="null3"/>
                    <w:jc w:val="left"/>
                  </w:pPr>
                  <w:r>
                    <w:rPr>
                      <w:rFonts w:ascii="宋体" w:hAnsi="宋体" w:cs="宋体" w:eastAsia="宋体"/>
                      <w:sz w:val="21"/>
                    </w:rPr>
                    <w:t>(10)支持实时通话，同时具备录音功能</w:t>
                  </w:r>
                  <w:r>
                    <w:rPr>
                      <w:rFonts w:ascii="宋体" w:hAnsi="宋体" w:cs="宋体" w:eastAsia="宋体"/>
                      <w:sz w:val="21"/>
                    </w:rPr>
                    <w:t>；</w:t>
                  </w:r>
                </w:p>
                <w:p>
                  <w:pPr>
                    <w:pStyle w:val="null3"/>
                    <w:jc w:val="left"/>
                  </w:pPr>
                  <w:r>
                    <w:rPr>
                      <w:rFonts w:ascii="宋体" w:hAnsi="宋体" w:cs="宋体" w:eastAsia="宋体"/>
                      <w:sz w:val="21"/>
                    </w:rPr>
                    <w:t>(11)分级电源管理，实现省电设计：支持在ACCOFF时关闭屏幕运行：支持ACC OFF、电瓶低电时候设备关机，避免电瓶过放。</w:t>
                  </w:r>
                </w:p>
                <w:p>
                  <w:pPr>
                    <w:pStyle w:val="null3"/>
                    <w:jc w:val="left"/>
                  </w:pPr>
                  <w:r>
                    <w:rPr>
                      <w:rFonts w:ascii="宋体" w:hAnsi="宋体" w:cs="宋体" w:eastAsia="宋体"/>
                      <w:sz w:val="21"/>
                    </w:rPr>
                    <w:t>(12)工作电压12V</w:t>
                  </w:r>
                  <w:r>
                    <w:rPr>
                      <w:rFonts w:ascii="宋体" w:hAnsi="宋体" w:cs="宋体" w:eastAsia="宋体"/>
                      <w:sz w:val="21"/>
                    </w:rPr>
                    <w:t>；</w:t>
                  </w:r>
                </w:p>
                <w:p>
                  <w:pPr>
                    <w:pStyle w:val="null3"/>
                    <w:jc w:val="left"/>
                  </w:pPr>
                  <w:r>
                    <w:rPr>
                      <w:rFonts w:ascii="宋体" w:hAnsi="宋体" w:cs="宋体" w:eastAsia="宋体"/>
                      <w:sz w:val="21"/>
                    </w:rPr>
                    <w:t>(13)分辨率：</w:t>
                  </w:r>
                  <w:r>
                    <w:rPr>
                      <w:rFonts w:ascii="宋体" w:hAnsi="宋体" w:cs="宋体" w:eastAsia="宋体"/>
                      <w:sz w:val="21"/>
                    </w:rPr>
                    <w:t>≥</w:t>
                  </w:r>
                  <w:r>
                    <w:rPr>
                      <w:rFonts w:ascii="宋体" w:hAnsi="宋体" w:cs="宋体" w:eastAsia="宋体"/>
                      <w:sz w:val="21"/>
                    </w:rPr>
                    <w:t>1024×600</w:t>
                  </w:r>
                  <w:r>
                    <w:rPr>
                      <w:rFonts w:ascii="宋体" w:hAnsi="宋体" w:cs="宋体" w:eastAsia="宋体"/>
                      <w:sz w:val="21"/>
                    </w:rPr>
                    <w:t>；</w:t>
                  </w:r>
                </w:p>
                <w:p>
                  <w:pPr>
                    <w:pStyle w:val="null3"/>
                    <w:jc w:val="left"/>
                  </w:pPr>
                  <w:r>
                    <w:rPr>
                      <w:rFonts w:ascii="宋体" w:hAnsi="宋体" w:cs="宋体" w:eastAsia="宋体"/>
                      <w:sz w:val="21"/>
                    </w:rPr>
                    <w:t>(1</w:t>
                  </w:r>
                  <w:r>
                    <w:rPr>
                      <w:rFonts w:ascii="宋体" w:hAnsi="宋体" w:cs="宋体" w:eastAsia="宋体"/>
                      <w:sz w:val="21"/>
                    </w:rPr>
                    <w:t>4)屏幕材质：电容屏</w:t>
                  </w:r>
                  <w:r>
                    <w:rPr>
                      <w:rFonts w:ascii="宋体" w:hAnsi="宋体" w:cs="宋体" w:eastAsia="宋体"/>
                      <w:sz w:val="21"/>
                    </w:rPr>
                    <w:t>；</w:t>
                  </w:r>
                </w:p>
                <w:p>
                  <w:pPr>
                    <w:pStyle w:val="null3"/>
                    <w:jc w:val="left"/>
                  </w:pPr>
                  <w:r>
                    <w:rPr>
                      <w:rFonts w:ascii="宋体" w:hAnsi="宋体" w:cs="宋体" w:eastAsia="宋体"/>
                      <w:sz w:val="21"/>
                    </w:rPr>
                    <w:t>▲</w:t>
                  </w:r>
                  <w:r>
                    <w:rPr>
                      <w:rFonts w:ascii="宋体" w:hAnsi="宋体" w:cs="宋体" w:eastAsia="宋体"/>
                      <w:sz w:val="21"/>
                    </w:rPr>
                    <w:t>(15)设备具备</w:t>
                  </w:r>
                  <w:r>
                    <w:rPr>
                      <w:rFonts w:ascii="宋体" w:hAnsi="宋体" w:cs="宋体" w:eastAsia="宋体"/>
                      <w:sz w:val="21"/>
                    </w:rPr>
                    <w:t>CCC证书。</w:t>
                  </w:r>
                </w:p>
                <w:p>
                  <w:pPr>
                    <w:pStyle w:val="null3"/>
                    <w:jc w:val="left"/>
                  </w:pPr>
                  <w:r>
                    <w:rPr>
                      <w:rFonts w:ascii="宋体" w:hAnsi="宋体" w:cs="宋体" w:eastAsia="宋体"/>
                      <w:sz w:val="21"/>
                    </w:rPr>
                    <w:t>2、设备软件功能</w:t>
                  </w:r>
                </w:p>
                <w:p>
                  <w:pPr>
                    <w:pStyle w:val="null3"/>
                    <w:jc w:val="left"/>
                  </w:pPr>
                  <w:r>
                    <w:rPr>
                      <w:rFonts w:ascii="宋体" w:hAnsi="宋体" w:cs="宋体" w:eastAsia="宋体"/>
                      <w:sz w:val="21"/>
                    </w:rPr>
                    <w:t>(1)可通过120急救系统下发主叫电话号码，通过急救专用车载信息终端直接拨打</w:t>
                  </w:r>
                  <w:r>
                    <w:rPr>
                      <w:rFonts w:ascii="宋体" w:hAnsi="宋体" w:cs="宋体" w:eastAsia="宋体"/>
                      <w:sz w:val="21"/>
                    </w:rPr>
                    <w:t>患者</w:t>
                  </w:r>
                  <w:r>
                    <w:rPr>
                      <w:rFonts w:ascii="宋体" w:hAnsi="宋体" w:cs="宋体" w:eastAsia="宋体"/>
                      <w:sz w:val="21"/>
                    </w:rPr>
                    <w:t>电话，通话过程可以实现录音功能</w:t>
                  </w:r>
                  <w:r>
                    <w:rPr>
                      <w:rFonts w:ascii="宋体" w:hAnsi="宋体" w:cs="宋体" w:eastAsia="宋体"/>
                      <w:sz w:val="21"/>
                    </w:rPr>
                    <w:t>；</w:t>
                  </w:r>
                </w:p>
                <w:p>
                  <w:pPr>
                    <w:pStyle w:val="null3"/>
                    <w:jc w:val="left"/>
                  </w:pPr>
                  <w:r>
                    <w:rPr>
                      <w:rFonts w:ascii="宋体" w:hAnsi="宋体" w:cs="宋体" w:eastAsia="宋体"/>
                      <w:sz w:val="21"/>
                    </w:rPr>
                    <w:t>(2)可接收并显示120急救系统派发的出车命令单，包含任务编号、任务类别、患者姓名、现场地点、患者主诉、等车地点、患者性别、患者身份、病情轻重、主叫电话、年龄、 联系电话、联系人等等；</w:t>
                  </w:r>
                </w:p>
                <w:p>
                  <w:pPr>
                    <w:pStyle w:val="null3"/>
                    <w:jc w:val="left"/>
                  </w:pPr>
                  <w:r>
                    <w:rPr>
                      <w:rFonts w:ascii="宋体" w:hAnsi="宋体" w:cs="宋体" w:eastAsia="宋体"/>
                      <w:sz w:val="21"/>
                    </w:rPr>
                    <w:t>(3)急救专用车载信息终端可根据最新派发指令中的联系电话自动更新联系电话号码；</w:t>
                  </w:r>
                </w:p>
                <w:p>
                  <w:pPr>
                    <w:pStyle w:val="null3"/>
                    <w:jc w:val="left"/>
                  </w:pPr>
                  <w:r>
                    <w:rPr>
                      <w:rFonts w:ascii="宋体" w:hAnsi="宋体" w:cs="宋体" w:eastAsia="宋体"/>
                      <w:sz w:val="21"/>
                    </w:rPr>
                    <w:t>(4)可上传定位信息，如经纬度、高度、速度、方向等， 120急救系统自动接收；</w:t>
                  </w:r>
                </w:p>
                <w:p>
                  <w:pPr>
                    <w:pStyle w:val="null3"/>
                    <w:jc w:val="left"/>
                  </w:pPr>
                  <w:r>
                    <w:rPr>
                      <w:rFonts w:ascii="宋体" w:hAnsi="宋体" w:cs="宋体" w:eastAsia="宋体"/>
                      <w:sz w:val="21"/>
                    </w:rPr>
                    <w:t>(5)可上传命令执行时救护车的状态信息。救护车状态，根据调度指令变化的状态随带上传；这些状态包括：未当班、 站内待命、收到指令、驶向现场、到达现场、离开现场、途中待命、站内待命、暂停调用等，120急救系统中的车辆状态也相应改变</w:t>
                  </w:r>
                  <w:r>
                    <w:rPr>
                      <w:rFonts w:ascii="宋体" w:hAnsi="宋体" w:cs="宋体" w:eastAsia="宋体"/>
                      <w:sz w:val="21"/>
                    </w:rPr>
                    <w:t>；</w:t>
                  </w:r>
                </w:p>
                <w:p>
                  <w:pPr>
                    <w:pStyle w:val="null3"/>
                    <w:jc w:val="left"/>
                  </w:pPr>
                  <w:r>
                    <w:rPr>
                      <w:rFonts w:ascii="宋体" w:hAnsi="宋体" w:cs="宋体" w:eastAsia="宋体"/>
                      <w:sz w:val="21"/>
                    </w:rPr>
                    <w:t>(6)设备能够实时同步急救中心调度系统信息数据。</w:t>
                  </w:r>
                </w:p>
                <w:p>
                  <w:pPr>
                    <w:pStyle w:val="null3"/>
                    <w:jc w:val="left"/>
                  </w:pPr>
                  <w:r>
                    <w:rPr>
                      <w:rFonts w:ascii="宋体" w:hAnsi="宋体" w:cs="宋体" w:eastAsia="宋体"/>
                      <w:sz w:val="21"/>
                    </w:rPr>
                    <w:t>(7)定位信息可上传120急救指挥调度系统地图平台；</w:t>
                  </w:r>
                </w:p>
                <w:p>
                  <w:pPr>
                    <w:pStyle w:val="null3"/>
                    <w:jc w:val="left"/>
                  </w:pPr>
                  <w:r>
                    <w:rPr>
                      <w:rFonts w:ascii="宋体" w:hAnsi="宋体" w:cs="宋体" w:eastAsia="宋体"/>
                      <w:sz w:val="21"/>
                    </w:rPr>
                    <w:t>(8)设备能够实时接收120急救指挥调度派发的调度指令；</w:t>
                  </w:r>
                </w:p>
                <w:p>
                  <w:pPr>
                    <w:pStyle w:val="null3"/>
                    <w:jc w:val="left"/>
                  </w:pPr>
                  <w:r>
                    <w:rPr>
                      <w:rFonts w:ascii="宋体" w:hAnsi="宋体" w:cs="宋体" w:eastAsia="宋体"/>
                      <w:sz w:val="21"/>
                    </w:rPr>
                    <w:t>(9)设备能够与120急救指挥调度匹配救护车急救状态管理，并同步刷新；</w:t>
                  </w:r>
                </w:p>
                <w:p>
                  <w:pPr>
                    <w:pStyle w:val="null3"/>
                    <w:jc w:val="left"/>
                  </w:pPr>
                  <w:r>
                    <w:rPr>
                      <w:rFonts w:ascii="宋体" w:hAnsi="宋体" w:cs="宋体" w:eastAsia="宋体"/>
                      <w:sz w:val="21"/>
                    </w:rPr>
                    <w:t>(10)设备能够实时将车辆位置信息显示在120急救指挥调度系统中</w:t>
                  </w:r>
                  <w:r>
                    <w:rPr>
                      <w:rFonts w:ascii="宋体" w:hAnsi="宋体" w:cs="宋体" w:eastAsia="宋体"/>
                      <w:sz w:val="21"/>
                    </w:rPr>
                    <w:t>。</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无线视频车载终端</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无线视频车载终端：嵌入式</w:t>
                  </w:r>
                  <w:r>
                    <w:rPr>
                      <w:rFonts w:ascii="宋体" w:hAnsi="宋体" w:cs="宋体" w:eastAsia="宋体"/>
                      <w:sz w:val="21"/>
                    </w:rPr>
                    <w:t>LINUX</w:t>
                  </w:r>
                  <w:r>
                    <w:rPr>
                      <w:rFonts w:ascii="宋体" w:hAnsi="宋体" w:cs="宋体" w:eastAsia="宋体"/>
                      <w:sz w:val="21"/>
                    </w:rPr>
                    <w:t>；</w:t>
                  </w:r>
                </w:p>
                <w:p>
                  <w:pPr>
                    <w:pStyle w:val="null3"/>
                    <w:jc w:val="both"/>
                  </w:pPr>
                  <w:r>
                    <w:rPr>
                      <w:rFonts w:ascii="宋体" w:hAnsi="宋体" w:cs="宋体" w:eastAsia="宋体"/>
                      <w:sz w:val="21"/>
                    </w:rPr>
                    <w:t>图像压缩标准：</w:t>
                  </w:r>
                  <w:r>
                    <w:rPr>
                      <w:rFonts w:ascii="宋体" w:hAnsi="宋体" w:cs="宋体" w:eastAsia="宋体"/>
                      <w:sz w:val="21"/>
                    </w:rPr>
                    <w:t>H.264</w:t>
                  </w:r>
                  <w:r>
                    <w:rPr>
                      <w:rFonts w:ascii="宋体" w:hAnsi="宋体" w:cs="宋体" w:eastAsia="宋体"/>
                      <w:sz w:val="21"/>
                    </w:rPr>
                    <w:t>；</w:t>
                  </w:r>
                  <w:r>
                    <w:rPr>
                      <w:rFonts w:ascii="宋体" w:hAnsi="宋体" w:cs="宋体" w:eastAsia="宋体"/>
                      <w:sz w:val="21"/>
                    </w:rPr>
                    <w:t>视频输入：</w:t>
                  </w:r>
                  <w:r>
                    <w:rPr>
                      <w:rFonts w:ascii="宋体" w:hAnsi="宋体" w:cs="宋体" w:eastAsia="宋体"/>
                      <w:sz w:val="21"/>
                    </w:rPr>
                    <w:t>≥</w:t>
                  </w:r>
                  <w:r>
                    <w:rPr>
                      <w:rFonts w:ascii="宋体" w:hAnsi="宋体" w:cs="宋体" w:eastAsia="宋体"/>
                      <w:sz w:val="21"/>
                    </w:rPr>
                    <w:t>4路复合视频(NTSC/PAL)</w:t>
                  </w:r>
                  <w:r>
                    <w:rPr>
                      <w:rFonts w:ascii="宋体" w:hAnsi="宋体" w:cs="宋体" w:eastAsia="宋体"/>
                      <w:sz w:val="21"/>
                    </w:rPr>
                    <w:t>；</w:t>
                  </w:r>
                </w:p>
                <w:p>
                  <w:pPr>
                    <w:pStyle w:val="null3"/>
                    <w:jc w:val="both"/>
                  </w:pPr>
                  <w:r>
                    <w:rPr>
                      <w:rFonts w:ascii="宋体" w:hAnsi="宋体" w:cs="宋体" w:eastAsia="宋体"/>
                      <w:sz w:val="21"/>
                    </w:rPr>
                    <w:t>视频输出：</w:t>
                  </w:r>
                  <w:r>
                    <w:rPr>
                      <w:rFonts w:ascii="宋体" w:hAnsi="宋体" w:cs="宋体" w:eastAsia="宋体"/>
                      <w:sz w:val="21"/>
                    </w:rPr>
                    <w:t>≥</w:t>
                  </w:r>
                  <w:r>
                    <w:rPr>
                      <w:rFonts w:ascii="宋体" w:hAnsi="宋体" w:cs="宋体" w:eastAsia="宋体"/>
                      <w:sz w:val="21"/>
                    </w:rPr>
                    <w:t>1路PAL/NTSC</w:t>
                  </w:r>
                  <w:r>
                    <w:rPr>
                      <w:rFonts w:ascii="宋体" w:hAnsi="宋体" w:cs="宋体" w:eastAsia="宋体"/>
                      <w:sz w:val="21"/>
                    </w:rPr>
                    <w:t>；</w:t>
                  </w:r>
                  <w:r>
                    <w:rPr>
                      <w:rFonts w:ascii="宋体" w:hAnsi="宋体" w:cs="宋体" w:eastAsia="宋体"/>
                      <w:sz w:val="21"/>
                    </w:rPr>
                    <w:t>复合视频信号输出：</w:t>
                  </w:r>
                  <w:r>
                    <w:rPr>
                      <w:rFonts w:ascii="宋体" w:hAnsi="宋体" w:cs="宋体" w:eastAsia="宋体"/>
                      <w:sz w:val="21"/>
                    </w:rPr>
                    <w:t>≥</w:t>
                  </w:r>
                  <w:r>
                    <w:rPr>
                      <w:rFonts w:ascii="宋体" w:hAnsi="宋体" w:cs="宋体" w:eastAsia="宋体"/>
                      <w:sz w:val="21"/>
                    </w:rPr>
                    <w:t>1路VGA输出；支持TV/VGA视频同时输出；</w:t>
                  </w:r>
                </w:p>
                <w:p>
                  <w:pPr>
                    <w:pStyle w:val="null3"/>
                    <w:jc w:val="both"/>
                  </w:pPr>
                  <w:r>
                    <w:rPr>
                      <w:rFonts w:ascii="宋体" w:hAnsi="宋体" w:cs="宋体" w:eastAsia="宋体"/>
                      <w:sz w:val="21"/>
                    </w:rPr>
                    <w:t>当视频信号丢失时，应能发出报警信号，响应时间应</w:t>
                  </w:r>
                  <w:r>
                    <w:rPr>
                      <w:rFonts w:ascii="宋体" w:hAnsi="宋体" w:cs="宋体" w:eastAsia="宋体"/>
                      <w:sz w:val="21"/>
                    </w:rPr>
                    <w:t>≤5s</w:t>
                  </w:r>
                  <w:r>
                    <w:rPr>
                      <w:rFonts w:ascii="宋体" w:hAnsi="宋体" w:cs="宋体" w:eastAsia="宋体"/>
                      <w:sz w:val="21"/>
                    </w:rPr>
                    <w:t>；</w:t>
                  </w:r>
                  <w:r>
                    <w:rPr>
                      <w:rFonts w:ascii="宋体" w:hAnsi="宋体" w:cs="宋体" w:eastAsia="宋体"/>
                      <w:sz w:val="21"/>
                    </w:rPr>
                    <w:t>支持</w:t>
                  </w:r>
                  <w:r>
                    <w:rPr>
                      <w:rFonts w:ascii="宋体" w:hAnsi="宋体" w:cs="宋体" w:eastAsia="宋体"/>
                      <w:sz w:val="21"/>
                    </w:rPr>
                    <w:t>PAL制/NTSC制；</w:t>
                  </w:r>
                </w:p>
                <w:p>
                  <w:pPr>
                    <w:pStyle w:val="null3"/>
                    <w:jc w:val="both"/>
                  </w:pPr>
                  <w:r>
                    <w:rPr>
                      <w:rFonts w:ascii="宋体" w:hAnsi="宋体" w:cs="宋体" w:eastAsia="宋体"/>
                      <w:sz w:val="21"/>
                    </w:rPr>
                    <w:t>存储支持采用自动分段记录格式时，相邻两段间最大纪录间隔时一间应</w:t>
                  </w:r>
                  <w:r>
                    <w:rPr>
                      <w:rFonts w:ascii="宋体" w:hAnsi="宋体" w:cs="宋体" w:eastAsia="宋体"/>
                      <w:sz w:val="21"/>
                    </w:rPr>
                    <w:t>≤0.4s</w:t>
                  </w:r>
                  <w:r>
                    <w:rPr>
                      <w:rFonts w:ascii="宋体" w:hAnsi="宋体" w:cs="宋体" w:eastAsia="宋体"/>
                      <w:sz w:val="21"/>
                    </w:rPr>
                    <w:t>；</w:t>
                  </w:r>
                  <w:r>
                    <w:rPr>
                      <w:rFonts w:ascii="宋体" w:hAnsi="宋体" w:cs="宋体" w:eastAsia="宋体"/>
                      <w:sz w:val="21"/>
                    </w:rPr>
                    <w:t>内置</w:t>
                  </w:r>
                  <w:r>
                    <w:rPr>
                      <w:rFonts w:ascii="宋体" w:hAnsi="宋体" w:cs="宋体" w:eastAsia="宋体"/>
                      <w:sz w:val="21"/>
                    </w:rPr>
                    <w:t>SATA硬盘：≥1TB容量；支持4G网络全网通；</w:t>
                  </w:r>
                  <w:r>
                    <w:rPr>
                      <w:rFonts w:ascii="宋体" w:hAnsi="宋体" w:cs="宋体" w:eastAsia="宋体"/>
                      <w:sz w:val="21"/>
                    </w:rPr>
                    <w:t>≥</w:t>
                  </w:r>
                  <w:r>
                    <w:rPr>
                      <w:rFonts w:ascii="宋体" w:hAnsi="宋体" w:cs="宋体" w:eastAsia="宋体"/>
                      <w:sz w:val="21"/>
                    </w:rPr>
                    <w:t>2个半球形摄像头；</w:t>
                  </w:r>
                </w:p>
                <w:p>
                  <w:pPr>
                    <w:pStyle w:val="null3"/>
                    <w:jc w:val="both"/>
                  </w:pPr>
                  <w:r>
                    <w:rPr>
                      <w:rFonts w:ascii="宋体" w:hAnsi="宋体" w:cs="宋体" w:eastAsia="宋体"/>
                      <w:sz w:val="21"/>
                    </w:rPr>
                    <w:t>支持</w:t>
                  </w:r>
                  <w:r>
                    <w:rPr>
                      <w:rFonts w:ascii="宋体" w:hAnsi="宋体" w:cs="宋体" w:eastAsia="宋体"/>
                      <w:sz w:val="21"/>
                    </w:rPr>
                    <w:t>≥</w:t>
                  </w:r>
                  <w:r>
                    <w:rPr>
                      <w:rFonts w:ascii="宋体" w:hAnsi="宋体" w:cs="宋体" w:eastAsia="宋体"/>
                      <w:sz w:val="21"/>
                    </w:rPr>
                    <w:t>2个USB2.0接口，</w:t>
                  </w:r>
                  <w:r>
                    <w:rPr>
                      <w:rFonts w:ascii="宋体" w:hAnsi="宋体" w:cs="宋体" w:eastAsia="宋体"/>
                      <w:sz w:val="21"/>
                    </w:rPr>
                    <w:t>≥</w:t>
                  </w:r>
                  <w:r>
                    <w:rPr>
                      <w:rFonts w:ascii="宋体" w:hAnsi="宋体" w:cs="宋体" w:eastAsia="宋体"/>
                      <w:sz w:val="21"/>
                    </w:rPr>
                    <w:t>2个RS232接口；VGA接口；</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5套</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车载对讲机</w:t>
                  </w: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公网</w:t>
                  </w:r>
                  <w:r>
                    <w:rPr>
                      <w:rFonts w:ascii="宋体" w:hAnsi="宋体" w:cs="宋体" w:eastAsia="宋体"/>
                      <w:sz w:val="21"/>
                    </w:rPr>
                    <w:t>4G车载对讲机：</w:t>
                  </w:r>
                </w:p>
                <w:p>
                  <w:pPr>
                    <w:pStyle w:val="null3"/>
                    <w:jc w:val="both"/>
                  </w:pPr>
                  <w:r>
                    <w:rPr>
                      <w:rFonts w:ascii="宋体" w:hAnsi="宋体" w:cs="宋体" w:eastAsia="宋体"/>
                      <w:sz w:val="21"/>
                    </w:rPr>
                    <w:t>呼叫建立延时</w:t>
                  </w:r>
                  <w:r>
                    <w:rPr>
                      <w:rFonts w:ascii="宋体" w:hAnsi="宋体" w:cs="宋体" w:eastAsia="宋体"/>
                      <w:sz w:val="21"/>
                    </w:rPr>
                    <w:t>≤1秒，接续速度≤1秒；网络模式：4G全网通；带对讲手咪；信道容量不少于500个；频率稳定度+/-0.5ppm。</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5套</w:t>
                  </w:r>
                </w:p>
              </w:tc>
            </w:tr>
            <w:tr>
              <w:tc>
                <w:tcPr>
                  <w:tcW w:type="dxa" w:w="2791"/>
                  <w:gridSpan w:val="3"/>
                </w:tcPr>
                <w:p>
                  <w:pPr>
                    <w:pStyle w:val="null3"/>
                    <w:jc w:val="both"/>
                  </w:pPr>
                  <w:r>
                    <w:rPr>
                      <w:rFonts w:ascii="宋体" w:hAnsi="宋体" w:cs="宋体" w:eastAsia="宋体"/>
                      <w:b/>
                      <w:sz w:val="21"/>
                    </w:rPr>
                    <w:t>四、大屏幕设备</w:t>
                  </w:r>
                </w:p>
              </w:tc>
              <w:tc>
                <w:tcPr>
                  <w:tcW w:type="dxa" w:w="265"/>
                </w:tcPr>
                <w:p>
                  <w:pPr>
                    <w:pStyle w:val="null3"/>
                  </w:pPr>
                  <w:r>
                    <w:rPr/>
                    <w:t xml:space="preserve"> </w:t>
                  </w:r>
                </w:p>
              </w:tc>
            </w:tr>
            <w:tr>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26</w:t>
                  </w:r>
                </w:p>
              </w:tc>
              <w:tc>
                <w:tcPr>
                  <w:tcW w:type="dxa" w:w="4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LED</w:t>
                  </w:r>
                  <w:r>
                    <w:rPr>
                      <w:rFonts w:ascii="宋体" w:hAnsi="宋体" w:cs="宋体" w:eastAsia="宋体"/>
                      <w:sz w:val="21"/>
                    </w:rPr>
                    <w:t>全彩小间距显示屏</w:t>
                  </w:r>
                </w:p>
              </w:tc>
              <w:tc>
                <w:tcPr>
                  <w:tcW w:type="dxa" w:w="2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LED屏体</w:t>
                  </w:r>
                </w:p>
                <w:p>
                  <w:pPr>
                    <w:pStyle w:val="null3"/>
                    <w:jc w:val="both"/>
                  </w:pPr>
                  <w:r>
                    <w:rPr>
                      <w:rFonts w:ascii="宋体" w:hAnsi="宋体" w:cs="宋体" w:eastAsia="宋体"/>
                      <w:sz w:val="21"/>
                    </w:rPr>
                    <w:t>点间距</w:t>
                  </w:r>
                  <w:r>
                    <w:rPr>
                      <w:rFonts w:ascii="宋体" w:hAnsi="宋体" w:cs="宋体" w:eastAsia="宋体"/>
                      <w:sz w:val="21"/>
                    </w:rPr>
                    <w:t>≤p1.538室内全彩小间距显示屏</w:t>
                  </w:r>
                </w:p>
                <w:p>
                  <w:pPr>
                    <w:pStyle w:val="null3"/>
                    <w:jc w:val="both"/>
                  </w:pPr>
                  <w:r>
                    <w:rPr>
                      <w:rFonts w:ascii="宋体" w:hAnsi="宋体" w:cs="宋体" w:eastAsia="宋体"/>
                      <w:sz w:val="21"/>
                    </w:rPr>
                    <w:t>屏体尺寸：约为</w:t>
                  </w:r>
                  <w:r>
                    <w:rPr>
                      <w:rFonts w:ascii="宋体" w:hAnsi="宋体" w:cs="宋体" w:eastAsia="宋体"/>
                      <w:sz w:val="21"/>
                    </w:rPr>
                    <w:t>5.76米(宽)*2.56(高)</w:t>
                  </w:r>
                </w:p>
                <w:p>
                  <w:pPr>
                    <w:pStyle w:val="null3"/>
                    <w:jc w:val="both"/>
                  </w:pPr>
                  <w:r>
                    <w:rPr>
                      <w:rFonts w:ascii="宋体" w:hAnsi="宋体" w:cs="宋体" w:eastAsia="宋体"/>
                      <w:sz w:val="21"/>
                    </w:rPr>
                    <w:t>整屏分辨率：</w:t>
                  </w:r>
                  <w:r>
                    <w:rPr>
                      <w:rFonts w:ascii="宋体" w:hAnsi="宋体" w:cs="宋体" w:eastAsia="宋体"/>
                      <w:sz w:val="21"/>
                    </w:rPr>
                    <w:t>≥</w:t>
                  </w:r>
                  <w:r>
                    <w:rPr>
                      <w:rFonts w:ascii="宋体" w:hAnsi="宋体" w:cs="宋体" w:eastAsia="宋体"/>
                      <w:sz w:val="21"/>
                    </w:rPr>
                    <w:t>3744*1664</w:t>
                  </w:r>
                </w:p>
                <w:p>
                  <w:pPr>
                    <w:pStyle w:val="null3"/>
                    <w:jc w:val="both"/>
                  </w:pPr>
                  <w:r>
                    <w:rPr>
                      <w:rFonts w:ascii="宋体" w:hAnsi="宋体" w:cs="宋体" w:eastAsia="宋体"/>
                      <w:sz w:val="21"/>
                    </w:rPr>
                    <w:t>1.像素点间距：≤1.538mm</w:t>
                  </w:r>
                </w:p>
                <w:p>
                  <w:pPr>
                    <w:pStyle w:val="null3"/>
                    <w:jc w:val="both"/>
                  </w:pPr>
                  <w:r>
                    <w:rPr>
                      <w:rFonts w:ascii="宋体" w:hAnsi="宋体" w:cs="宋体" w:eastAsia="宋体"/>
                      <w:sz w:val="21"/>
                    </w:rPr>
                    <w:t>2.像素密度：≥422500Dots/m²</w:t>
                  </w:r>
                  <w:r>
                    <w:rPr>
                      <w:rFonts w:ascii="宋体" w:hAnsi="宋体" w:cs="宋体" w:eastAsia="宋体"/>
                      <w:sz w:val="21"/>
                    </w:rPr>
                    <w:t>；</w:t>
                  </w:r>
                </w:p>
                <w:p>
                  <w:pPr>
                    <w:pStyle w:val="null3"/>
                    <w:jc w:val="both"/>
                  </w:pPr>
                  <w:r>
                    <w:rPr>
                      <w:rFonts w:ascii="宋体" w:hAnsi="宋体" w:cs="宋体" w:eastAsia="宋体"/>
                      <w:sz w:val="21"/>
                    </w:rPr>
                    <w:t>3</w:t>
                  </w:r>
                  <w:r>
                    <w:rPr>
                      <w:rFonts w:ascii="宋体" w:hAnsi="宋体" w:cs="宋体" w:eastAsia="宋体"/>
                      <w:sz w:val="21"/>
                    </w:rPr>
                    <w:t>.色温误差：色温为6500K时，100%,75%,50%,25%四档 电平白场调节色温误差≤200K</w:t>
                  </w:r>
                  <w:r>
                    <w:rPr>
                      <w:rFonts w:ascii="宋体" w:hAnsi="宋体" w:cs="宋体" w:eastAsia="宋体"/>
                      <w:sz w:val="21"/>
                    </w:rPr>
                    <w:t>；</w:t>
                  </w:r>
                </w:p>
                <w:p>
                  <w:pPr>
                    <w:pStyle w:val="null3"/>
                    <w:jc w:val="both"/>
                  </w:pPr>
                  <w:r>
                    <w:rPr>
                      <w:rFonts w:ascii="宋体" w:hAnsi="宋体" w:cs="宋体" w:eastAsia="宋体"/>
                      <w:sz w:val="21"/>
                    </w:rPr>
                    <w:t>4</w:t>
                  </w:r>
                  <w:r>
                    <w:rPr>
                      <w:rFonts w:ascii="宋体" w:hAnsi="宋体" w:cs="宋体" w:eastAsia="宋体"/>
                      <w:sz w:val="21"/>
                    </w:rPr>
                    <w:t>.色度均匀性：-0.003&lt;Cx&lt;0.003,-0.003&lt;Cy&lt;0.003</w:t>
                  </w:r>
                  <w:r>
                    <w:rPr>
                      <w:rFonts w:ascii="宋体" w:hAnsi="宋体" w:cs="宋体" w:eastAsia="宋体"/>
                      <w:sz w:val="21"/>
                    </w:rPr>
                    <w:t>；</w:t>
                  </w:r>
                </w:p>
                <w:p>
                  <w:pPr>
                    <w:pStyle w:val="null3"/>
                    <w:jc w:val="left"/>
                  </w:pPr>
                  <w:r>
                    <w:rPr>
                      <w:rFonts w:ascii="宋体" w:hAnsi="宋体" w:cs="宋体" w:eastAsia="宋体"/>
                      <w:sz w:val="21"/>
                    </w:rPr>
                    <w:t>5</w:t>
                  </w:r>
                  <w:r>
                    <w:rPr>
                      <w:rFonts w:ascii="宋体" w:hAnsi="宋体" w:cs="宋体" w:eastAsia="宋体"/>
                      <w:sz w:val="21"/>
                    </w:rPr>
                    <w:t>.稳定性试验：LED显示屏通过在正常环境下连续工作7*24(168H),不间断运行无故障的老化测试，支持连续不间断显示，不应出现电、机械或操作系统的故障；</w:t>
                  </w:r>
                </w:p>
                <w:p>
                  <w:pPr>
                    <w:pStyle w:val="null3"/>
                    <w:jc w:val="both"/>
                  </w:pPr>
                  <w:r>
                    <w:rPr>
                      <w:rFonts w:ascii="宋体" w:hAnsi="宋体" w:cs="宋体" w:eastAsia="宋体"/>
                      <w:sz w:val="21"/>
                    </w:rPr>
                    <w:t>6</w:t>
                  </w:r>
                  <w:r>
                    <w:rPr>
                      <w:rFonts w:ascii="宋体" w:hAnsi="宋体" w:cs="宋体" w:eastAsia="宋体"/>
                      <w:sz w:val="21"/>
                    </w:rPr>
                    <w:t>.驱动芯片功能：具有消隐功能、倍频刷新率提升2/4/8倍、低灰偏色改善；</w:t>
                  </w:r>
                </w:p>
                <w:p>
                  <w:pPr>
                    <w:pStyle w:val="null3"/>
                    <w:jc w:val="both"/>
                  </w:pPr>
                  <w:r>
                    <w:rPr>
                      <w:rFonts w:ascii="宋体" w:hAnsi="宋体" w:cs="宋体" w:eastAsia="宋体"/>
                      <w:sz w:val="21"/>
                    </w:rPr>
                    <w:t>7</w:t>
                  </w:r>
                  <w:r>
                    <w:rPr>
                      <w:rFonts w:ascii="宋体" w:hAnsi="宋体" w:cs="宋体" w:eastAsia="宋体"/>
                      <w:sz w:val="21"/>
                    </w:rPr>
                    <w:t>.对比度：≥15000:1</w:t>
                  </w:r>
                  <w:r>
                    <w:rPr>
                      <w:rFonts w:ascii="宋体" w:hAnsi="宋体" w:cs="宋体" w:eastAsia="宋体"/>
                      <w:sz w:val="21"/>
                    </w:rPr>
                    <w:t>；</w:t>
                  </w:r>
                </w:p>
                <w:p>
                  <w:pPr>
                    <w:pStyle w:val="null3"/>
                    <w:jc w:val="both"/>
                  </w:pPr>
                  <w:r>
                    <w:rPr>
                      <w:rFonts w:ascii="宋体" w:hAnsi="宋体" w:cs="宋体" w:eastAsia="宋体"/>
                      <w:sz w:val="21"/>
                    </w:rPr>
                    <w:t>8</w:t>
                  </w:r>
                  <w:r>
                    <w:rPr>
                      <w:rFonts w:ascii="宋体" w:hAnsi="宋体" w:cs="宋体" w:eastAsia="宋体"/>
                      <w:sz w:val="21"/>
                    </w:rPr>
                    <w:t>.信号处理深度：18bit</w:t>
                  </w:r>
                  <w:r>
                    <w:rPr>
                      <w:rFonts w:ascii="宋体" w:hAnsi="宋体" w:cs="宋体" w:eastAsia="宋体"/>
                      <w:sz w:val="21"/>
                    </w:rPr>
                    <w:t>；</w:t>
                  </w:r>
                </w:p>
                <w:p>
                  <w:pPr>
                    <w:pStyle w:val="null3"/>
                    <w:jc w:val="both"/>
                  </w:pPr>
                  <w:r>
                    <w:rPr>
                      <w:rFonts w:ascii="宋体" w:hAnsi="宋体" w:cs="宋体" w:eastAsia="宋体"/>
                      <w:sz w:val="21"/>
                    </w:rPr>
                    <w:t>9</w:t>
                  </w:r>
                  <w:r>
                    <w:rPr>
                      <w:rFonts w:ascii="宋体" w:hAnsi="宋体" w:cs="宋体" w:eastAsia="宋体"/>
                      <w:sz w:val="21"/>
                    </w:rPr>
                    <w:t>.调节软件设置项：支持鬼影消除、第一扫偏暗消除、低灰偏色补偿、低灰均匀性、低灰横条纹消除、慢速开启、十字架消除、去除坏点、</w:t>
                  </w:r>
                  <w:r>
                    <w:rPr>
                      <w:rFonts w:ascii="宋体" w:hAnsi="宋体" w:cs="宋体" w:eastAsia="宋体"/>
                      <w:sz w:val="21"/>
                    </w:rPr>
                    <w:t>毛毛虫</w:t>
                  </w:r>
                  <w:r>
                    <w:rPr>
                      <w:rFonts w:ascii="宋体" w:hAnsi="宋体" w:cs="宋体" w:eastAsia="宋体"/>
                      <w:sz w:val="21"/>
                    </w:rPr>
                    <w:t>消除、余辉消除、亮度缓慢变亮功能，支持摩尔纹抑制功能，减轻摩尔</w:t>
                  </w:r>
                  <w:r>
                    <w:rPr>
                      <w:rFonts w:ascii="宋体" w:hAnsi="宋体" w:cs="宋体" w:eastAsia="宋体"/>
                      <w:sz w:val="21"/>
                    </w:rPr>
                    <w:t>纹</w:t>
                  </w:r>
                  <w:r>
                    <w:rPr>
                      <w:rFonts w:ascii="宋体" w:hAnsi="宋体" w:cs="宋体" w:eastAsia="宋体"/>
                      <w:sz w:val="21"/>
                    </w:rPr>
                    <w:t>视觉主观效果</w:t>
                  </w:r>
                  <w:r>
                    <w:rPr>
                      <w:rFonts w:ascii="宋体" w:hAnsi="宋体" w:cs="宋体" w:eastAsia="宋体"/>
                      <w:sz w:val="21"/>
                    </w:rPr>
                    <w:t>80%</w:t>
                  </w:r>
                  <w:r>
                    <w:rPr>
                      <w:rFonts w:ascii="宋体" w:hAnsi="宋体" w:cs="宋体" w:eastAsia="宋体"/>
                      <w:sz w:val="21"/>
                    </w:rPr>
                    <w:t>；</w:t>
                  </w:r>
                </w:p>
                <w:p>
                  <w:pPr>
                    <w:pStyle w:val="null3"/>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.产品具有防静电、抗震动、防电磁干扰、抗雷击、防潮、防腐蚀、防虫等功能，具有电源过压、短路、过流、欠压、断电保护、分布上电措施。具有实时监测温度、故障报警功能；</w:t>
                  </w:r>
                  <w:r>
                    <w:br/>
                  </w:r>
                  <w:r>
                    <w:rPr>
                      <w:rFonts w:ascii="宋体" w:hAnsi="宋体" w:cs="宋体" w:eastAsia="宋体"/>
                      <w:sz w:val="21"/>
                    </w:rPr>
                    <w:t>▲</w:t>
                  </w:r>
                  <w:r>
                    <w:rPr>
                      <w:rFonts w:ascii="宋体" w:hAnsi="宋体" w:cs="宋体" w:eastAsia="宋体"/>
                      <w:sz w:val="21"/>
                    </w:rPr>
                    <w:t>11</w:t>
                  </w:r>
                  <w:r>
                    <w:rPr>
                      <w:rFonts w:ascii="宋体" w:hAnsi="宋体" w:cs="宋体" w:eastAsia="宋体"/>
                      <w:sz w:val="21"/>
                    </w:rPr>
                    <w:t>.LED显示屏具有中国强制性认证CCC证书</w:t>
                  </w:r>
                </w:p>
              </w:tc>
              <w:tc>
                <w:tcPr>
                  <w:tcW w:type="dxa" w:w="2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1套</w:t>
                  </w: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接收系统</w:t>
                  </w:r>
                </w:p>
                <w:p>
                  <w:pPr>
                    <w:pStyle w:val="null3"/>
                    <w:jc w:val="both"/>
                  </w:pPr>
                  <w:r>
                    <w:rPr>
                      <w:rFonts w:ascii="宋体" w:hAnsi="宋体" w:cs="宋体" w:eastAsia="宋体"/>
                      <w:sz w:val="21"/>
                    </w:rPr>
                    <w:t>1.集成≥6路HUB75接口；</w:t>
                  </w:r>
                </w:p>
                <w:p>
                  <w:pPr>
                    <w:pStyle w:val="null3"/>
                    <w:jc w:val="both"/>
                  </w:pPr>
                  <w:r>
                    <w:rPr>
                      <w:rFonts w:ascii="宋体" w:hAnsi="宋体" w:cs="宋体" w:eastAsia="宋体"/>
                      <w:sz w:val="21"/>
                    </w:rPr>
                    <w:t>2.支持8bit色深视频源输入输出，单色灰阶为256,可搭配出16777216种混合色彩。</w:t>
                  </w:r>
                </w:p>
                <w:p>
                  <w:pPr>
                    <w:pStyle w:val="null3"/>
                    <w:jc w:val="both"/>
                  </w:pPr>
                  <w:r>
                    <w:rPr>
                      <w:rFonts w:ascii="宋体" w:hAnsi="宋体" w:cs="宋体" w:eastAsia="宋体"/>
                      <w:sz w:val="21"/>
                    </w:rPr>
                    <w:t>3</w:t>
                  </w:r>
                  <w:r>
                    <w:rPr>
                      <w:rFonts w:ascii="宋体" w:hAnsi="宋体" w:cs="宋体" w:eastAsia="宋体"/>
                      <w:sz w:val="21"/>
                    </w:rPr>
                    <w:t>.自适应帧率技术,不仅支持23.98/24/29.97/30/50/59.94/60Hz常规及非整数帧率，还可输出显示120Hz高帧率画面。</w:t>
                  </w:r>
                </w:p>
                <w:p>
                  <w:pPr>
                    <w:pStyle w:val="null3"/>
                    <w:jc w:val="both"/>
                  </w:pPr>
                  <w:r>
                    <w:rPr>
                      <w:rFonts w:ascii="宋体" w:hAnsi="宋体" w:cs="宋体" w:eastAsia="宋体"/>
                      <w:sz w:val="21"/>
                    </w:rPr>
                    <w:t>4.</w:t>
                  </w:r>
                  <w:r>
                    <w:rPr>
                      <w:rFonts w:ascii="宋体" w:hAnsi="宋体" w:cs="宋体" w:eastAsia="宋体"/>
                      <w:sz w:val="21"/>
                    </w:rPr>
                    <w:t>支持色温调节。</w:t>
                  </w:r>
                </w:p>
                <w:p>
                  <w:pPr>
                    <w:pStyle w:val="null3"/>
                    <w:jc w:val="both"/>
                  </w:pPr>
                  <w:r>
                    <w:rPr>
                      <w:rFonts w:ascii="宋体" w:hAnsi="宋体" w:cs="宋体" w:eastAsia="宋体"/>
                      <w:sz w:val="21"/>
                    </w:rPr>
                    <w:t>5</w:t>
                  </w:r>
                  <w:r>
                    <w:rPr>
                      <w:rFonts w:ascii="宋体" w:hAnsi="宋体" w:cs="宋体" w:eastAsia="宋体"/>
                      <w:sz w:val="21"/>
                    </w:rPr>
                    <w:t>.支持亮色度逐点校正。</w:t>
                  </w:r>
                </w:p>
                <w:p>
                  <w:pPr>
                    <w:pStyle w:val="null3"/>
                    <w:jc w:val="both"/>
                  </w:pPr>
                  <w:r>
                    <w:rPr>
                      <w:rFonts w:ascii="宋体" w:hAnsi="宋体" w:cs="宋体" w:eastAsia="宋体"/>
                      <w:sz w:val="21"/>
                    </w:rPr>
                    <w:t>6.</w:t>
                  </w:r>
                  <w:r>
                    <w:rPr>
                      <w:rFonts w:ascii="宋体" w:hAnsi="宋体" w:cs="宋体" w:eastAsia="宋体"/>
                      <w:sz w:val="21"/>
                    </w:rPr>
                    <w:t>支持静态到</w:t>
                  </w:r>
                  <w:r>
                    <w:rPr>
                      <w:rFonts w:ascii="宋体" w:hAnsi="宋体" w:cs="宋体" w:eastAsia="宋体"/>
                      <w:sz w:val="21"/>
                    </w:rPr>
                    <w:t>128扫之间的任意扫描类型；</w:t>
                  </w:r>
                </w:p>
                <w:p>
                  <w:pPr>
                    <w:pStyle w:val="null3"/>
                    <w:jc w:val="both"/>
                  </w:pPr>
                  <w:r>
                    <w:rPr>
                      <w:rFonts w:ascii="宋体" w:hAnsi="宋体" w:cs="宋体" w:eastAsia="宋体"/>
                      <w:sz w:val="21"/>
                    </w:rPr>
                    <w:t>7</w:t>
                  </w:r>
                  <w:r>
                    <w:rPr>
                      <w:rFonts w:ascii="宋体" w:hAnsi="宋体" w:cs="宋体" w:eastAsia="宋体"/>
                      <w:sz w:val="21"/>
                    </w:rPr>
                    <w:t>.支持DC3.8V~5.5V超宽工作电压；</w:t>
                  </w:r>
                </w:p>
                <w:p>
                  <w:pPr>
                    <w:pStyle w:val="null3"/>
                    <w:jc w:val="both"/>
                  </w:pPr>
                  <w:r>
                    <w:rPr>
                      <w:rFonts w:ascii="宋体" w:hAnsi="宋体" w:cs="宋体" w:eastAsia="宋体"/>
                      <w:sz w:val="21"/>
                    </w:rPr>
                    <w:t>8</w:t>
                  </w:r>
                  <w:r>
                    <w:rPr>
                      <w:rFonts w:ascii="宋体" w:hAnsi="宋体" w:cs="宋体" w:eastAsia="宋体"/>
                      <w:sz w:val="21"/>
                    </w:rPr>
                    <w:t>.工作温度范围为-25℃至75℃</w:t>
                  </w:r>
                </w:p>
              </w:tc>
              <w:tc>
                <w:tcPr>
                  <w:tcW w:type="dxa" w:w="265"/>
                  <w:vMerge/>
                  <w:tcBorders>
                    <w:top w:val="single" w:color="000000" w:sz="4"/>
                    <w:left w:val="single" w:color="000000" w:sz="4"/>
                    <w:bottom w:val="single" w:color="000000" w:sz="4"/>
                    <w:right w:val="single" w:color="000000" w:sz="4"/>
                  </w:tcBorders>
                </w:tcP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电源系统</w:t>
                  </w:r>
                </w:p>
                <w:p>
                  <w:pPr>
                    <w:pStyle w:val="null3"/>
                    <w:jc w:val="both"/>
                  </w:pPr>
                  <w:r>
                    <w:rPr>
                      <w:rFonts w:ascii="宋体" w:hAnsi="宋体" w:cs="宋体" w:eastAsia="宋体"/>
                      <w:sz w:val="21"/>
                    </w:rPr>
                    <w:t>1.输入电压：176VAC~264VAC,输出电压：4.5V,输出电流：40A</w:t>
                  </w:r>
                  <w:r>
                    <w:rPr>
                      <w:rFonts w:ascii="宋体" w:hAnsi="宋体" w:cs="宋体" w:eastAsia="宋体"/>
                      <w:sz w:val="21"/>
                    </w:rPr>
                    <w:t>；</w:t>
                  </w:r>
                </w:p>
                <w:p>
                  <w:pPr>
                    <w:pStyle w:val="null3"/>
                    <w:jc w:val="both"/>
                  </w:pPr>
                  <w:r>
                    <w:rPr>
                      <w:rFonts w:ascii="宋体" w:hAnsi="宋体" w:cs="宋体" w:eastAsia="宋体"/>
                      <w:sz w:val="21"/>
                    </w:rPr>
                    <w:t>2.工作温度：-40℃-70℃,工作湿度：20%RH-90%RH</w:t>
                  </w:r>
                  <w:r>
                    <w:rPr>
                      <w:rFonts w:ascii="宋体" w:hAnsi="宋体" w:cs="宋体" w:eastAsia="宋体"/>
                      <w:sz w:val="21"/>
                    </w:rPr>
                    <w:t>；</w:t>
                  </w:r>
                </w:p>
                <w:p>
                  <w:pPr>
                    <w:pStyle w:val="null3"/>
                    <w:jc w:val="both"/>
                  </w:pPr>
                  <w:r>
                    <w:rPr>
                      <w:rFonts w:ascii="宋体" w:hAnsi="宋体" w:cs="宋体" w:eastAsia="宋体"/>
                      <w:sz w:val="21"/>
                    </w:rPr>
                    <w:t>3.散热方式：自然对流散热，需紧贴金属机箱外壳散热；</w:t>
                  </w:r>
                </w:p>
                <w:p>
                  <w:pPr>
                    <w:pStyle w:val="null3"/>
                    <w:jc w:val="both"/>
                  </w:pPr>
                  <w:r>
                    <w:rPr>
                      <w:rFonts w:ascii="宋体" w:hAnsi="宋体" w:cs="宋体" w:eastAsia="宋体"/>
                      <w:sz w:val="21"/>
                    </w:rPr>
                    <w:t>4.耐压：I/P-O/P:3.0KVAC I/P-FG:1.5KVAC O/P-FG:0.5KVAC</w:t>
                  </w:r>
                  <w:r>
                    <w:rPr>
                      <w:rFonts w:ascii="宋体" w:hAnsi="宋体" w:cs="宋体" w:eastAsia="宋体"/>
                      <w:sz w:val="21"/>
                    </w:rPr>
                    <w:t>；</w:t>
                  </w:r>
                </w:p>
                <w:p>
                  <w:pPr>
                    <w:pStyle w:val="null3"/>
                    <w:jc w:val="both"/>
                  </w:pPr>
                  <w:r>
                    <w:rPr>
                      <w:rFonts w:ascii="宋体" w:hAnsi="宋体" w:cs="宋体" w:eastAsia="宋体"/>
                      <w:sz w:val="21"/>
                    </w:rPr>
                    <w:t>5.过载保护：额定负载的110-150%范围内电源保护，去载恢复正常输出，100%满载高温老化；输出过载保护110%-150% 切断输出，输入重启后上升，保持时间50ms,20ms额定满载。</w:t>
                  </w:r>
                </w:p>
              </w:tc>
              <w:tc>
                <w:tcPr>
                  <w:tcW w:type="dxa" w:w="265"/>
                  <w:vMerge/>
                  <w:tcBorders>
                    <w:top w:val="single" w:color="000000" w:sz="4"/>
                    <w:left w:val="single" w:color="000000" w:sz="4"/>
                    <w:bottom w:val="single" w:color="000000" w:sz="4"/>
                    <w:right w:val="single" w:color="000000" w:sz="4"/>
                  </w:tcBorders>
                </w:tcP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控制软件</w:t>
                  </w:r>
                </w:p>
                <w:p>
                  <w:pPr>
                    <w:pStyle w:val="null3"/>
                    <w:jc w:val="both"/>
                  </w:pPr>
                  <w:r>
                    <w:rPr>
                      <w:rFonts w:ascii="宋体" w:hAnsi="宋体" w:cs="宋体" w:eastAsia="宋体"/>
                      <w:sz w:val="21"/>
                    </w:rPr>
                    <w:t>用于大屏幕控制，实现画面分割，信息投屏</w:t>
                  </w:r>
                </w:p>
              </w:tc>
              <w:tc>
                <w:tcPr>
                  <w:tcW w:type="dxa" w:w="265"/>
                  <w:vMerge/>
                  <w:tcBorders>
                    <w:top w:val="single" w:color="000000" w:sz="4"/>
                    <w:left w:val="single" w:color="000000" w:sz="4"/>
                    <w:bottom w:val="single" w:color="000000" w:sz="4"/>
                    <w:right w:val="single" w:color="000000" w:sz="4"/>
                  </w:tcBorders>
                </w:tcP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视频处理器</w:t>
                  </w:r>
                </w:p>
                <w:p>
                  <w:pPr>
                    <w:pStyle w:val="null3"/>
                    <w:jc w:val="both"/>
                  </w:pPr>
                  <w:r>
                    <w:rPr>
                      <w:rFonts w:ascii="宋体" w:hAnsi="宋体" w:cs="宋体" w:eastAsia="宋体"/>
                      <w:sz w:val="21"/>
                    </w:rPr>
                    <w:t>1.支持≥1路DP1.2、1路HDMI2.0</w:t>
                  </w:r>
                  <w:r>
                    <w:rPr>
                      <w:rFonts w:ascii="宋体" w:hAnsi="宋体" w:cs="宋体" w:eastAsia="宋体"/>
                      <w:sz w:val="21"/>
                    </w:rPr>
                    <w:t>、</w:t>
                  </w:r>
                  <w:r>
                    <w:rPr>
                      <w:rFonts w:ascii="宋体" w:hAnsi="宋体" w:cs="宋体" w:eastAsia="宋体"/>
                      <w:sz w:val="21"/>
                    </w:rPr>
                    <w:t>4K输入，支持≥2路HDMI1.4和2路DVI输入。</w:t>
                  </w:r>
                </w:p>
                <w:p>
                  <w:pPr>
                    <w:pStyle w:val="null3"/>
                    <w:jc w:val="both"/>
                  </w:pPr>
                  <w:r>
                    <w:rPr>
                      <w:rFonts w:ascii="宋体" w:hAnsi="宋体" w:cs="宋体" w:eastAsia="宋体"/>
                      <w:sz w:val="21"/>
                    </w:rPr>
                    <w:t>2.支持最大带载1048万像素，最宽16384像素，或最高8192像素</w:t>
                  </w:r>
                </w:p>
                <w:p>
                  <w:pPr>
                    <w:pStyle w:val="null3"/>
                    <w:jc w:val="both"/>
                  </w:pPr>
                  <w:r>
                    <w:rPr>
                      <w:rFonts w:ascii="宋体" w:hAnsi="宋体" w:cs="宋体" w:eastAsia="宋体"/>
                      <w:sz w:val="21"/>
                    </w:rPr>
                    <w:t>3.支持最大输入分辨率4096×2160@60Hz,支持自定义分辨率设置</w:t>
                  </w:r>
                </w:p>
                <w:p>
                  <w:pPr>
                    <w:pStyle w:val="null3"/>
                    <w:jc w:val="both"/>
                  </w:pPr>
                  <w:r>
                    <w:rPr>
                      <w:rFonts w:ascii="宋体" w:hAnsi="宋体" w:cs="宋体" w:eastAsia="宋体"/>
                      <w:sz w:val="21"/>
                    </w:rPr>
                    <w:t>4.支持≥16路千兆网口输出</w:t>
                  </w:r>
                </w:p>
                <w:p>
                  <w:pPr>
                    <w:pStyle w:val="null3"/>
                    <w:jc w:val="both"/>
                  </w:pPr>
                  <w:r>
                    <w:rPr>
                      <w:rFonts w:ascii="宋体" w:hAnsi="宋体" w:cs="宋体" w:eastAsia="宋体"/>
                      <w:sz w:val="21"/>
                    </w:rPr>
                    <w:t>5.支持对视频信号任意切换，裁剪，拼接，缩放</w:t>
                  </w:r>
                </w:p>
                <w:p>
                  <w:pPr>
                    <w:pStyle w:val="null3"/>
                    <w:jc w:val="both"/>
                  </w:pPr>
                  <w:r>
                    <w:rPr>
                      <w:rFonts w:ascii="宋体" w:hAnsi="宋体" w:cs="宋体" w:eastAsia="宋体"/>
                      <w:sz w:val="21"/>
                    </w:rPr>
                    <w:t>6.支持≥6画面显示，位置，大小可自由调节</w:t>
                  </w:r>
                </w:p>
                <w:p>
                  <w:pPr>
                    <w:pStyle w:val="null3"/>
                    <w:jc w:val="both"/>
                  </w:pPr>
                  <w:r>
                    <w:rPr>
                      <w:rFonts w:ascii="宋体" w:hAnsi="宋体" w:cs="宋体" w:eastAsia="宋体"/>
                      <w:sz w:val="21"/>
                    </w:rPr>
                    <w:t>7.支持精确颜色管理，调整显示屏色域</w:t>
                  </w:r>
                </w:p>
                <w:p>
                  <w:pPr>
                    <w:pStyle w:val="null3"/>
                    <w:jc w:val="both"/>
                  </w:pPr>
                  <w:r>
                    <w:rPr>
                      <w:rFonts w:ascii="宋体" w:hAnsi="宋体" w:cs="宋体" w:eastAsia="宋体"/>
                      <w:sz w:val="21"/>
                    </w:rPr>
                    <w:t>8.支持视频同步锁相技术</w:t>
                  </w:r>
                </w:p>
                <w:p>
                  <w:pPr>
                    <w:pStyle w:val="null3"/>
                    <w:jc w:val="both"/>
                  </w:pPr>
                  <w:r>
                    <w:rPr>
                      <w:rFonts w:ascii="宋体" w:hAnsi="宋体" w:cs="宋体" w:eastAsia="宋体"/>
                      <w:sz w:val="21"/>
                    </w:rPr>
                    <w:t>9.支持独立音频输入输出</w:t>
                  </w:r>
                </w:p>
                <w:p>
                  <w:pPr>
                    <w:pStyle w:val="null3"/>
                    <w:jc w:val="both"/>
                  </w:pPr>
                  <w:r>
                    <w:rPr>
                      <w:rFonts w:ascii="宋体" w:hAnsi="宋体" w:cs="宋体" w:eastAsia="宋体"/>
                      <w:sz w:val="21"/>
                    </w:rPr>
                    <w:t>10.支持HDMI和DP音频解析输出</w:t>
                  </w:r>
                </w:p>
                <w:p>
                  <w:pPr>
                    <w:pStyle w:val="null3"/>
                    <w:jc w:val="both"/>
                  </w:pPr>
                  <w:r>
                    <w:rPr>
                      <w:rFonts w:ascii="宋体" w:hAnsi="宋体" w:cs="宋体" w:eastAsia="宋体"/>
                      <w:sz w:val="21"/>
                    </w:rPr>
                    <w:t>11.支持LAN口控制</w:t>
                  </w:r>
                </w:p>
                <w:p>
                  <w:pPr>
                    <w:pStyle w:val="null3"/>
                    <w:jc w:val="both"/>
                  </w:pPr>
                  <w:r>
                    <w:rPr>
                      <w:rFonts w:ascii="宋体" w:hAnsi="宋体" w:cs="宋体" w:eastAsia="宋体"/>
                      <w:sz w:val="21"/>
                    </w:rPr>
                    <w:t>12.支持手机端APP控制</w:t>
                  </w:r>
                </w:p>
                <w:p>
                  <w:pPr>
                    <w:pStyle w:val="null3"/>
                    <w:jc w:val="both"/>
                  </w:pPr>
                  <w:r>
                    <w:rPr>
                      <w:rFonts w:ascii="宋体" w:hAnsi="宋体" w:cs="宋体" w:eastAsia="宋体"/>
                      <w:sz w:val="21"/>
                    </w:rPr>
                    <w:t>13.支持RS232串口协议控制</w:t>
                  </w:r>
                </w:p>
                <w:p>
                  <w:pPr>
                    <w:pStyle w:val="null3"/>
                    <w:jc w:val="both"/>
                  </w:pPr>
                  <w:r>
                    <w:rPr>
                      <w:rFonts w:ascii="宋体" w:hAnsi="宋体" w:cs="宋体" w:eastAsia="宋体"/>
                      <w:sz w:val="21"/>
                    </w:rPr>
                    <w:t>14.支持主动式3D显示功能</w:t>
                  </w:r>
                </w:p>
                <w:p>
                  <w:pPr>
                    <w:pStyle w:val="null3"/>
                    <w:jc w:val="both"/>
                  </w:pPr>
                  <w:r>
                    <w:rPr>
                      <w:rFonts w:ascii="宋体" w:hAnsi="宋体" w:cs="宋体" w:eastAsia="宋体"/>
                      <w:sz w:val="21"/>
                    </w:rPr>
                    <w:t>15.支持HDCP协议的高带宽数字内容保护技术</w:t>
                  </w:r>
                </w:p>
              </w:tc>
              <w:tc>
                <w:tcPr>
                  <w:tcW w:type="dxa" w:w="265"/>
                  <w:vMerge/>
                  <w:tcBorders>
                    <w:top w:val="single" w:color="000000" w:sz="4"/>
                    <w:left w:val="single" w:color="000000" w:sz="4"/>
                    <w:bottom w:val="single" w:color="000000" w:sz="4"/>
                    <w:right w:val="single" w:color="000000" w:sz="4"/>
                  </w:tcBorders>
                </w:tcP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框架结构</w:t>
                  </w:r>
                </w:p>
                <w:p>
                  <w:pPr>
                    <w:pStyle w:val="null3"/>
                    <w:jc w:val="both"/>
                  </w:pPr>
                  <w:r>
                    <w:rPr>
                      <w:rFonts w:ascii="宋体" w:hAnsi="宋体" w:cs="宋体" w:eastAsia="宋体"/>
                      <w:sz w:val="21"/>
                    </w:rPr>
                    <w:t>50*100方钢，20*40镀锌方管，黑纱不锈钢包边</w:t>
                  </w:r>
                </w:p>
              </w:tc>
              <w:tc>
                <w:tcPr>
                  <w:tcW w:type="dxa" w:w="265"/>
                  <w:vMerge/>
                  <w:tcBorders>
                    <w:top w:val="single" w:color="000000" w:sz="4"/>
                    <w:left w:val="single" w:color="000000" w:sz="4"/>
                    <w:bottom w:val="single" w:color="000000" w:sz="4"/>
                    <w:right w:val="single" w:color="000000" w:sz="4"/>
                  </w:tcBorders>
                </w:tcP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辅材：大屏所需相关辅材</w:t>
                  </w:r>
                </w:p>
              </w:tc>
              <w:tc>
                <w:tcPr>
                  <w:tcW w:type="dxa" w:w="265"/>
                  <w:vMerge/>
                  <w:tcBorders>
                    <w:top w:val="single" w:color="000000" w:sz="4"/>
                    <w:left w:val="single" w:color="000000" w:sz="4"/>
                    <w:bottom w:val="single" w:color="000000" w:sz="4"/>
                    <w:right w:val="single" w:color="000000" w:sz="4"/>
                  </w:tcBorders>
                </w:tcP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室内综合布线：</w:t>
                  </w:r>
                </w:p>
                <w:p>
                  <w:pPr>
                    <w:pStyle w:val="null3"/>
                    <w:jc w:val="both"/>
                  </w:pPr>
                  <w:r>
                    <w:rPr>
                      <w:rFonts w:ascii="宋体" w:hAnsi="宋体" w:cs="宋体" w:eastAsia="宋体"/>
                      <w:sz w:val="21"/>
                    </w:rPr>
                    <w:t>空开开关、室内主电源线、网线、多媒体高清转换器、分配器等配件及安装调试。</w:t>
                  </w:r>
                </w:p>
              </w:tc>
              <w:tc>
                <w:tcPr>
                  <w:tcW w:type="dxa" w:w="265"/>
                  <w:vMerge/>
                  <w:tcBorders>
                    <w:top w:val="single" w:color="000000" w:sz="4"/>
                    <w:left w:val="single" w:color="000000" w:sz="4"/>
                    <w:bottom w:val="single" w:color="000000" w:sz="4"/>
                    <w:right w:val="single" w:color="000000" w:sz="4"/>
                  </w:tcBorders>
                </w:tcPr>
                <w:p/>
              </w:tc>
            </w:tr>
            <w:tr>
              <w:tc>
                <w:tcPr>
                  <w:tcW w:type="dxa" w:w="239"/>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c>
                <w:tcPr>
                  <w:tcW w:type="dxa" w:w="2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安装调试：</w:t>
                  </w:r>
                </w:p>
                <w:p>
                  <w:pPr>
                    <w:pStyle w:val="null3"/>
                    <w:jc w:val="both"/>
                  </w:pPr>
                  <w:r>
                    <w:rPr>
                      <w:rFonts w:ascii="宋体" w:hAnsi="宋体" w:cs="宋体" w:eastAsia="宋体"/>
                      <w:sz w:val="21"/>
                    </w:rPr>
                    <w:t>大屏安装及调试</w:t>
                  </w:r>
                </w:p>
              </w:tc>
              <w:tc>
                <w:tcPr>
                  <w:tcW w:type="dxa" w:w="265"/>
                  <w:vMerge/>
                  <w:tcBorders>
                    <w:top w:val="single" w:color="000000" w:sz="4"/>
                    <w:left w:val="singl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pPr>
            <w:r>
              <w:rPr/>
              <w:t xml:space="preserve"> </w:t>
            </w:r>
          </w:p>
        </w:tc>
      </w:tr>
    </w:tbl>
    <w:p>
      <w:pPr>
        <w:pStyle w:val="null3"/>
        <w:outlineLvl w:val="2"/>
      </w:pPr>
      <w:r>
        <w:rPr>
          <w:b/>
          <w:sz w:val="28"/>
        </w:rPr>
        <w:t>3.4商务要求</w:t>
      </w:r>
    </w:p>
    <w:p>
      <w:pPr>
        <w:pStyle w:val="null3"/>
        <w:outlineLvl w:val="3"/>
      </w:pPr>
      <w:r>
        <w:rPr>
          <w:b/>
          <w:sz w:val="24"/>
        </w:rPr>
        <w:t>3.4.1交货时间</w:t>
      </w:r>
    </w:p>
    <w:p>
      <w:pPr>
        <w:pStyle w:val="null3"/>
      </w:pPr>
      <w:r>
        <w:rPr/>
        <w:t>采购包1：</w:t>
      </w:r>
    </w:p>
    <w:p>
      <w:pPr>
        <w:pStyle w:val="null3"/>
      </w:pPr>
      <w:r>
        <w:rPr/>
        <w:t>自合同签订之日起20个日历日完成全部内容，并交付采购人验收合格。</w:t>
      </w:r>
    </w:p>
    <w:p>
      <w:pPr>
        <w:pStyle w:val="null3"/>
        <w:outlineLvl w:val="3"/>
      </w:pPr>
      <w:r>
        <w:rPr>
          <w:b/>
          <w:sz w:val="24"/>
        </w:rPr>
        <w:t>3.4.2交货地点和方式</w:t>
      </w:r>
    </w:p>
    <w:p>
      <w:pPr>
        <w:pStyle w:val="null3"/>
      </w:pPr>
      <w:r>
        <w:rPr/>
        <w:t>采购包1：</w:t>
      </w:r>
    </w:p>
    <w:p>
      <w:pPr>
        <w:pStyle w:val="null3"/>
      </w:pPr>
      <w:r>
        <w:rPr/>
        <w:t>采购人指定地点。</w:t>
      </w:r>
    </w:p>
    <w:p>
      <w:pPr>
        <w:pStyle w:val="null3"/>
        <w:outlineLvl w:val="3"/>
      </w:pPr>
      <w:r>
        <w:rPr>
          <w:b/>
          <w:sz w:val="24"/>
        </w:rPr>
        <w:t>3.4.3支付方式</w:t>
      </w:r>
    </w:p>
    <w:p>
      <w:pPr>
        <w:pStyle w:val="null3"/>
      </w:pPr>
      <w:r>
        <w:rPr/>
        <w:t>采购包1：</w:t>
      </w:r>
    </w:p>
    <w:p>
      <w:pPr>
        <w:pStyle w:val="null3"/>
      </w:pPr>
      <w:r>
        <w:rPr/>
        <w:t>分期付款</w:t>
      </w:r>
    </w:p>
    <w:p>
      <w:pPr>
        <w:pStyle w:val="null3"/>
        <w:outlineLvl w:val="3"/>
      </w:pPr>
      <w:r>
        <w:rPr>
          <w:b/>
          <w:sz w:val="24"/>
        </w:rPr>
        <w:t>3.4.4支付约定</w:t>
      </w:r>
    </w:p>
    <w:p>
      <w:pPr>
        <w:pStyle w:val="null3"/>
      </w:pPr>
      <w:r>
        <w:rPr/>
        <w:t>采购包1：</w:t>
      </w:r>
      <w:r>
        <w:rPr/>
        <w:t xml:space="preserve"> 付款条件说明： </w:t>
      </w:r>
      <w:r>
        <w:rPr/>
        <w:t>验收合格后支付合同金额的60%</w:t>
      </w:r>
      <w:r>
        <w:rPr/>
        <w:t xml:space="preserve"> ，达到付款条件起 </w:t>
      </w:r>
      <w:r>
        <w:rPr/>
        <w:t>10</w:t>
      </w:r>
      <w:r>
        <w:rPr/>
        <w:t xml:space="preserve"> 日内，支付合同总金额的 </w:t>
      </w:r>
      <w:r>
        <w:rPr/>
        <w:t>60.00</w:t>
      </w:r>
      <w:r>
        <w:rPr/>
        <w:t>%。</w:t>
      </w:r>
    </w:p>
    <w:p>
      <w:pPr>
        <w:pStyle w:val="null3"/>
      </w:pPr>
      <w:r>
        <w:rPr/>
        <w:t>采购包1：</w:t>
      </w:r>
      <w:r>
        <w:rPr/>
        <w:t xml:space="preserve"> 付款条件说明： </w:t>
      </w:r>
      <w:r>
        <w:rPr/>
        <w:t>自合同签订6个月后支付合同金额的30%</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验收合格之日起1年期满支付合同金额的10%</w:t>
      </w:r>
      <w:r>
        <w:rPr/>
        <w:t xml:space="preserve"> ，达到付款条件起 </w:t>
      </w:r>
      <w:r>
        <w:rPr/>
        <w:t>10</w:t>
      </w:r>
      <w:r>
        <w:rPr/>
        <w:t xml:space="preserve"> 日内，支付合同总金额的 </w:t>
      </w:r>
      <w:r>
        <w:rPr/>
        <w:t>10.00</w:t>
      </w:r>
      <w:r>
        <w:rPr/>
        <w:t>%。</w:t>
      </w:r>
    </w:p>
    <w:p>
      <w:pPr>
        <w:pStyle w:val="null3"/>
        <w:outlineLvl w:val="3"/>
      </w:pPr>
      <w:r>
        <w:rPr>
          <w:b/>
          <w:sz w:val="24"/>
        </w:rPr>
        <w:t>3.4.5验收标准和方法</w:t>
      </w:r>
    </w:p>
    <w:p>
      <w:pPr>
        <w:pStyle w:val="null3"/>
      </w:pPr>
      <w:r>
        <w:rPr/>
        <w:t>采购包1：</w:t>
      </w:r>
    </w:p>
    <w:p>
      <w:pPr>
        <w:pStyle w:val="null3"/>
      </w:pPr>
      <w:r>
        <w:rPr/>
        <w:t>设备验收标准； 技术说明书及必须的其他技术资料； 使用说明书； 产品安装，调试； 零部件目录； 备品备件、易损件、耗材（价格）清单。 设备到场时，外箱包装无损，随产品必须附该产品的检验合格证、检验报告等资料，如无相关资料甲方可拒绝接收。如合同设备外箱包装受损或发现合同设备包装箱件数不符，应在 2个工作日内通知乙方，以便乙方办理合同设备遇险索赔手续。</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1、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替代品质量及标准不得低于原产品； 2、如出现质量问题，甲方有权选择换货或退货。 3、乙方承诺其所提供的产品未侵犯任何第三方的合法权益，否则乙方应承担因此而给甲方造成的全部损失。 4、乙方对其所提供的产品负责，如因产品存在瑕疵、缺陷等原因而造成任何人身、财产等安全事故的，由乙方承担全部责任及费用。质保期：自验收合格之日起免费质保2年。</w:t>
      </w:r>
    </w:p>
    <w:p>
      <w:pPr>
        <w:pStyle w:val="null3"/>
        <w:outlineLvl w:val="3"/>
      </w:pPr>
      <w:r>
        <w:rPr>
          <w:b/>
          <w:sz w:val="24"/>
        </w:rPr>
        <w:t>3.4.8违约责任与解决争议的方法</w:t>
      </w:r>
    </w:p>
    <w:p>
      <w:pPr>
        <w:pStyle w:val="null3"/>
      </w:pPr>
      <w:r>
        <w:rPr/>
        <w:t>采购包1：</w:t>
      </w:r>
    </w:p>
    <w:p>
      <w:pPr>
        <w:pStyle w:val="null3"/>
      </w:pPr>
      <w:r>
        <w:rPr/>
        <w:t>一、违约责任（一）除本合同另有约定外，按《政府采购法》、《民法典》中的相关条款执行。 （二）未按合同要求提供货物或质量不能满足采购技术要求，乙方必须无条件更换，提高技术，完善质量，否则，甲方会同确认方有权解除合同，并要求乙方承担本合同总价款百分之三十的违约金。 （三）乙方延迟交货，每逾一日，应承担本合同总价款的千分之一作为违约金；逾期超过十日的，甲方有权单方解除合同，并要求乙方承担本合同总价款百分之三十的违约金。因此产生的律师费、诉讼费、保全费等费用均由乙方承担。 二、合同争议解决的方式 本合同在履行过程中发生的争议，由甲、乙双方当事人协商解决，协商不成的按下列第（二）种方式解决： （一）提交西安仲裁委员会仲裁； （二）依法向甲方所在地人民法院起诉。</w:t>
      </w:r>
    </w:p>
    <w:p>
      <w:pPr>
        <w:pStyle w:val="null3"/>
        <w:jc w:val="left"/>
        <w:outlineLvl w:val="2"/>
      </w:pPr>
      <w:r>
        <w:rPr>
          <w:b/>
          <w:sz w:val="28"/>
        </w:rPr>
        <w:t>3.5其他要求</w:t>
      </w:r>
    </w:p>
    <w:p>
      <w:pPr>
        <w:pStyle w:val="null3"/>
      </w:pPr>
      <w:r>
        <w:rPr/>
        <w:t>无</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提供经审计的2022年财务报告，包括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供应商承诺书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主体资格证明文件</w:t>
            </w:r>
          </w:p>
        </w:tc>
        <w:tc>
          <w:tcPr>
            <w:tcW w:type="dxa" w:w="3322"/>
          </w:tcPr>
          <w:p>
            <w:pPr>
              <w:pStyle w:val="null3"/>
            </w:pPr>
            <w:r>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提供经审计的2022年财务报告，包括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提供已缴纳的2022年12月至今任意一个月的纳税证明或完税证明，纳税证明或完税证明上应有代收机构或税务机关的公章或业务专用章。依法免税的供应商应提供相关文件证明；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t>供应商资格证明文件</w:t>
            </w:r>
          </w:p>
        </w:tc>
      </w:tr>
      <w:tr>
        <w:tc>
          <w:tcPr>
            <w:tcW w:type="dxa" w:w="831"/>
          </w:tcPr>
          <w:p>
            <w:pPr>
              <w:pStyle w:val="null3"/>
            </w:pPr>
            <w:r>
              <w:rPr/>
              <w:t>4</w:t>
            </w:r>
          </w:p>
        </w:tc>
        <w:tc>
          <w:tcPr>
            <w:tcW w:type="dxa" w:w="2492"/>
          </w:tcPr>
          <w:p>
            <w:pPr>
              <w:pStyle w:val="null3"/>
            </w:pPr>
            <w:r>
              <w:rPr/>
              <w:t>具有履行合同所必需的设备和专业技术能力的承诺</w:t>
            </w:r>
          </w:p>
        </w:tc>
        <w:tc>
          <w:tcPr>
            <w:tcW w:type="dxa" w:w="3322"/>
          </w:tcPr>
          <w:p>
            <w:pPr>
              <w:pStyle w:val="null3"/>
            </w:pPr>
            <w:r>
              <w:rPr/>
              <w:t>供应商须提供具有履行合同所必需的设备和专业技术能力的承诺；</w:t>
            </w:r>
          </w:p>
        </w:tc>
        <w:tc>
          <w:tcPr>
            <w:tcW w:type="dxa" w:w="1661"/>
          </w:tcPr>
          <w:p>
            <w:pPr>
              <w:pStyle w:val="null3"/>
            </w:pPr>
            <w:r>
              <w:rPr/>
              <w:t>供应商资格证明文件</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提供已缴存的2022年12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t>供应商资格证明文件</w:t>
            </w:r>
          </w:p>
        </w:tc>
      </w:tr>
      <w:tr>
        <w:tc>
          <w:tcPr>
            <w:tcW w:type="dxa" w:w="831"/>
          </w:tcPr>
          <w:p>
            <w:pPr>
              <w:pStyle w:val="null3"/>
            </w:pPr>
            <w:r>
              <w:rPr/>
              <w:t>6</w:t>
            </w:r>
          </w:p>
        </w:tc>
        <w:tc>
          <w:tcPr>
            <w:tcW w:type="dxa" w:w="2492"/>
          </w:tcPr>
          <w:p>
            <w:pPr>
              <w:pStyle w:val="null3"/>
            </w:pPr>
            <w:r>
              <w:rPr/>
              <w:t>三年无重大违法记录声明</w:t>
            </w:r>
          </w:p>
        </w:tc>
        <w:tc>
          <w:tcPr>
            <w:tcW w:type="dxa" w:w="3322"/>
          </w:tcPr>
          <w:p>
            <w:pPr>
              <w:pStyle w:val="null3"/>
            </w:pPr>
            <w:r>
              <w:rPr/>
              <w:t>出具参加本次政府采购活动前三年内在经营活动中没有重大违法记录的书面声明；</w:t>
            </w:r>
          </w:p>
        </w:tc>
        <w:tc>
          <w:tcPr>
            <w:tcW w:type="dxa" w:w="1661"/>
          </w:tcPr>
          <w:p>
            <w:pPr>
              <w:pStyle w:val="null3"/>
            </w:pPr>
            <w:r>
              <w:rPr/>
              <w:t>供应商资格证明文件</w:t>
            </w:r>
          </w:p>
        </w:tc>
      </w:tr>
      <w:tr>
        <w:tc>
          <w:tcPr>
            <w:tcW w:type="dxa" w:w="831"/>
          </w:tcPr>
          <w:p>
            <w:pPr>
              <w:pStyle w:val="null3"/>
            </w:pPr>
            <w:r>
              <w:rPr/>
              <w:t>7</w:t>
            </w:r>
          </w:p>
        </w:tc>
        <w:tc>
          <w:tcPr>
            <w:tcW w:type="dxa" w:w="2492"/>
          </w:tcPr>
          <w:p>
            <w:pPr>
              <w:pStyle w:val="null3"/>
            </w:pPr>
            <w:r>
              <w:rPr/>
              <w:t>法人代表人授权书</w:t>
            </w:r>
          </w:p>
        </w:tc>
        <w:tc>
          <w:tcPr>
            <w:tcW w:type="dxa" w:w="3322"/>
          </w:tcPr>
          <w:p>
            <w:pPr>
              <w:pStyle w:val="null3"/>
            </w:pPr>
            <w:r>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t>供应商资格证明文件</w:t>
            </w:r>
          </w:p>
        </w:tc>
      </w:tr>
      <w:tr>
        <w:tc>
          <w:tcPr>
            <w:tcW w:type="dxa" w:w="831"/>
          </w:tcPr>
          <w:p>
            <w:pPr>
              <w:pStyle w:val="null3"/>
            </w:pPr>
            <w:r>
              <w:rPr/>
              <w:t>8</w:t>
            </w:r>
          </w:p>
        </w:tc>
        <w:tc>
          <w:tcPr>
            <w:tcW w:type="dxa" w:w="2492"/>
          </w:tcPr>
          <w:p>
            <w:pPr>
              <w:pStyle w:val="null3"/>
            </w:pPr>
            <w:r>
              <w:rPr/>
              <w:t>不接受联合体磋商</w:t>
            </w:r>
          </w:p>
        </w:tc>
        <w:tc>
          <w:tcPr>
            <w:tcW w:type="dxa" w:w="3322"/>
          </w:tcPr>
          <w:p>
            <w:pPr>
              <w:pStyle w:val="null3"/>
            </w:pPr>
            <w:r>
              <w:rPr/>
              <w:t>本项目不接受联合体磋商（提供书面声明材料）。</w:t>
            </w:r>
          </w:p>
        </w:tc>
        <w:tc>
          <w:tcPr>
            <w:tcW w:type="dxa" w:w="1661"/>
          </w:tcPr>
          <w:p>
            <w:pPr>
              <w:pStyle w:val="null3"/>
            </w:pPr>
            <w:r>
              <w:rPr/>
              <w:t>供应商资格证明文件</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 首次磋商报价表</w:t>
            </w:r>
          </w:p>
        </w:tc>
      </w:tr>
      <w:tr>
        <w:tc>
          <w:tcPr>
            <w:tcW w:type="dxa" w:w="831"/>
          </w:tcPr>
          <w:p>
            <w:pPr>
              <w:pStyle w:val="null3"/>
            </w:pPr>
            <w:r>
              <w:rPr/>
              <w:t>2</w:t>
            </w:r>
          </w:p>
        </w:tc>
        <w:tc>
          <w:tcPr>
            <w:tcW w:type="dxa" w:w="2492"/>
          </w:tcPr>
          <w:p>
            <w:pPr>
              <w:pStyle w:val="null3"/>
            </w:pPr>
            <w:r>
              <w:rPr/>
              <w:t>磋商响应文件封面、磋商响应函两处的项目名称</w:t>
            </w:r>
          </w:p>
        </w:tc>
        <w:tc>
          <w:tcPr>
            <w:tcW w:type="dxa" w:w="3322"/>
          </w:tcPr>
          <w:p>
            <w:pPr>
              <w:pStyle w:val="null3"/>
            </w:pPr>
            <w:r>
              <w:rPr/>
              <w:t>两处均无遗漏，且与磋商项目名称完全一致。</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磋商响应文件签署、盖章</w:t>
            </w:r>
          </w:p>
        </w:tc>
        <w:tc>
          <w:tcPr>
            <w:tcW w:type="dxa" w:w="3322"/>
          </w:tcPr>
          <w:p>
            <w:pPr>
              <w:pStyle w:val="null3"/>
            </w:pPr>
            <w:r>
              <w:rPr/>
              <w:t>均按磋商文件要求签字、盖章</w:t>
            </w:r>
          </w:p>
        </w:tc>
        <w:tc>
          <w:tcPr>
            <w:tcW w:type="dxa" w:w="1661"/>
          </w:tcPr>
          <w:p>
            <w:pPr>
              <w:pStyle w:val="null3"/>
            </w:pPr>
            <w:r>
              <w:rPr/>
              <w:t>中小企业声明函 报价表 首次磋商报价表 响应文件封面 磋商响应方案说明 商务偏离表 残疾人福利性单位声明函 标的清单 供应商承诺书 响应函 近年业绩的有关证明材料 监狱企业的证明文件 供应商资格证明文件</w:t>
            </w:r>
          </w:p>
        </w:tc>
      </w:tr>
      <w:tr>
        <w:tc>
          <w:tcPr>
            <w:tcW w:type="dxa" w:w="831"/>
          </w:tcPr>
          <w:p>
            <w:pPr>
              <w:pStyle w:val="null3"/>
            </w:pPr>
            <w:r>
              <w:rPr/>
              <w:t>4</w:t>
            </w:r>
          </w:p>
        </w:tc>
        <w:tc>
          <w:tcPr>
            <w:tcW w:type="dxa" w:w="2492"/>
          </w:tcPr>
          <w:p>
            <w:pPr>
              <w:pStyle w:val="null3"/>
            </w:pPr>
            <w:r>
              <w:rPr/>
              <w:t>磋商响应文件的计量单位、语言、报价货币、磋商有效期</w:t>
            </w:r>
          </w:p>
        </w:tc>
        <w:tc>
          <w:tcPr>
            <w:tcW w:type="dxa" w:w="3322"/>
          </w:tcPr>
          <w:p>
            <w:pPr>
              <w:pStyle w:val="null3"/>
            </w:pPr>
            <w:r>
              <w:rPr/>
              <w:t>计量单位、语言、报价货币、磋商有效期均符合磋商文件的要求</w:t>
            </w:r>
          </w:p>
        </w:tc>
        <w:tc>
          <w:tcPr>
            <w:tcW w:type="dxa" w:w="1661"/>
          </w:tcPr>
          <w:p>
            <w:pPr>
              <w:pStyle w:val="null3"/>
            </w:pPr>
            <w:r>
              <w:rPr/>
              <w:t>中小企业声明函 报价表 首次磋商报价表 响应文件封面 磋商响应方案说明 商务偏离表 残疾人福利性单位声明函 标的清单 供应商承诺书 响应函 近年业绩的有关证明材料 监狱企业的证明文件 供应商资格证明文件</w:t>
            </w:r>
          </w:p>
        </w:tc>
      </w:tr>
      <w:tr>
        <w:tc>
          <w:tcPr>
            <w:tcW w:type="dxa" w:w="831"/>
          </w:tcPr>
          <w:p>
            <w:pPr>
              <w:pStyle w:val="null3"/>
            </w:pPr>
            <w:r>
              <w:rPr/>
              <w:t>5</w:t>
            </w:r>
          </w:p>
        </w:tc>
        <w:tc>
          <w:tcPr>
            <w:tcW w:type="dxa" w:w="2492"/>
          </w:tcPr>
          <w:p>
            <w:pPr>
              <w:pStyle w:val="null3"/>
            </w:pPr>
            <w:r>
              <w:rPr/>
              <w:t>磋商报价</w:t>
            </w:r>
          </w:p>
        </w:tc>
        <w:tc>
          <w:tcPr>
            <w:tcW w:type="dxa" w:w="3322"/>
          </w:tcPr>
          <w:p>
            <w:pPr>
              <w:pStyle w:val="null3"/>
            </w:pPr>
            <w:r>
              <w:rPr/>
              <w:t>符合磋商文件要求。 （1）磋商报价符合唯一性要求； （2）首次磋商报价表填写符合要求； （3）未超出磋商文件规定的最高限价。</w:t>
            </w:r>
          </w:p>
        </w:tc>
        <w:tc>
          <w:tcPr>
            <w:tcW w:type="dxa" w:w="1661"/>
          </w:tcPr>
          <w:p>
            <w:pPr>
              <w:pStyle w:val="null3"/>
            </w:pPr>
            <w:r>
              <w:rPr/>
              <w:t>标的清单 报价表 首次磋商报价表</w:t>
            </w:r>
          </w:p>
        </w:tc>
      </w:tr>
      <w:tr>
        <w:tc>
          <w:tcPr>
            <w:tcW w:type="dxa" w:w="831"/>
          </w:tcPr>
          <w:p>
            <w:pPr>
              <w:pStyle w:val="null3"/>
            </w:pPr>
            <w:r>
              <w:rPr/>
              <w:t>6</w:t>
            </w:r>
          </w:p>
        </w:tc>
        <w:tc>
          <w:tcPr>
            <w:tcW w:type="dxa" w:w="2492"/>
          </w:tcPr>
          <w:p>
            <w:pPr>
              <w:pStyle w:val="null3"/>
            </w:pPr>
            <w:r>
              <w:rPr/>
              <w:t>合同条款响应</w:t>
            </w:r>
          </w:p>
        </w:tc>
        <w:tc>
          <w:tcPr>
            <w:tcW w:type="dxa" w:w="3322"/>
          </w:tcPr>
          <w:p>
            <w:pPr>
              <w:pStyle w:val="null3"/>
            </w:pPr>
            <w:r>
              <w:rPr/>
              <w:t>完整响应磋商文件合同条款。</w:t>
            </w:r>
          </w:p>
        </w:tc>
        <w:tc>
          <w:tcPr>
            <w:tcW w:type="dxa" w:w="1661"/>
          </w:tcPr>
          <w:p>
            <w:pPr>
              <w:pStyle w:val="null3"/>
            </w:pPr>
            <w:r>
              <w:rPr/>
              <w:t>商务偏离表</w:t>
            </w:r>
          </w:p>
        </w:tc>
      </w:tr>
    </w:tbl>
    <w:p>
      <w:pPr>
        <w:pStyle w:val="null3"/>
        <w:outlineLvl w:val="3"/>
      </w:pPr>
      <w:r>
        <w:rPr>
          <w:b/>
          <w:sz w:val="24"/>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产品技术参数</w:t>
            </w:r>
          </w:p>
        </w:tc>
        <w:tc>
          <w:tcPr>
            <w:tcW w:type="dxa" w:w="2492"/>
          </w:tcPr>
          <w:p>
            <w:pPr>
              <w:pStyle w:val="null3"/>
            </w:pPr>
            <w:r>
              <w:rPr/>
              <w:t>1、对于磋商文件标注“▲”的8项条款，每提供一项相应证明材料得2分，最高得16分（供应商应将标“▲”号指标所对应的证明材料页码单独列出，以便评审）；未提供不得分 2、对于磋商文件中非“▲”的技术指标，完全满足磋商文件要求得9分，每负偏离一项扣0.5分，直至扣完为止。</w:t>
            </w:r>
          </w:p>
        </w:tc>
        <w:tc>
          <w:tcPr>
            <w:tcW w:type="dxa" w:w="831"/>
          </w:tcPr>
          <w:p>
            <w:pPr>
              <w:pStyle w:val="null3"/>
              <w:jc w:val="right"/>
            </w:pPr>
            <w:r>
              <w:rPr/>
              <w:t>25.00</w:t>
            </w:r>
          </w:p>
        </w:tc>
        <w:tc>
          <w:tcPr>
            <w:tcW w:type="dxa" w:w="831"/>
          </w:tcPr>
          <w:p>
            <w:pPr>
              <w:pStyle w:val="null3"/>
            </w:pPr>
            <w:r>
              <w:rPr/>
              <w:t>客观</w:t>
            </w:r>
          </w:p>
        </w:tc>
        <w:tc>
          <w:tcPr>
            <w:tcW w:type="dxa" w:w="1661"/>
          </w:tcPr>
          <w:p>
            <w:pPr>
              <w:pStyle w:val="null3"/>
            </w:pPr>
            <w:r>
              <w:rPr/>
              <w:t>磋商响应方案说明</w:t>
            </w:r>
          </w:p>
        </w:tc>
      </w:tr>
      <w:tr>
        <w:tc>
          <w:tcPr>
            <w:tcW w:type="dxa" w:w="831"/>
            <w:vMerge/>
          </w:tcPr>
          <w:p/>
        </w:tc>
        <w:tc>
          <w:tcPr>
            <w:tcW w:type="dxa" w:w="1661"/>
          </w:tcPr>
          <w:p>
            <w:pPr>
              <w:pStyle w:val="null3"/>
            </w:pPr>
            <w:r>
              <w:rPr/>
              <w:t>技术方案</w:t>
            </w:r>
          </w:p>
        </w:tc>
        <w:tc>
          <w:tcPr>
            <w:tcW w:type="dxa" w:w="2492"/>
          </w:tcPr>
          <w:p>
            <w:pPr>
              <w:pStyle w:val="null3"/>
            </w:pPr>
            <w:r>
              <w:rPr/>
              <w:t>根据供应商对项目背景、现状、目标和需求分析的理解，技术路线先进成熟，软件总体架构技术方案等内容，按其响应程度赋分： 方案整体层次清晰、完整合理，有较高的针对性，得3-6分； 方案粗略简单1-3（含）分； 不提供不得分。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磋商响应方案说明</w:t>
            </w:r>
          </w:p>
        </w:tc>
      </w:tr>
      <w:tr>
        <w:tc>
          <w:tcPr>
            <w:tcW w:type="dxa" w:w="831"/>
            <w:vMerge/>
          </w:tcPr>
          <w:p/>
        </w:tc>
        <w:tc>
          <w:tcPr>
            <w:tcW w:type="dxa" w:w="1661"/>
          </w:tcPr>
          <w:p>
            <w:pPr>
              <w:pStyle w:val="null3"/>
            </w:pPr>
            <w:r>
              <w:rPr/>
              <w:t>产品质量保证措施</w:t>
            </w:r>
          </w:p>
        </w:tc>
        <w:tc>
          <w:tcPr>
            <w:tcW w:type="dxa" w:w="2492"/>
          </w:tcPr>
          <w:p>
            <w:pPr>
              <w:pStyle w:val="null3"/>
            </w:pPr>
            <w:r>
              <w:rPr/>
              <w:t>针对本项目提供的质量保证措施完善详细、响应充分得3-5分； 措施笼统简单，粗略得1-3（含）分； 不提供不得分。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磋商响应方案说明</w:t>
            </w:r>
          </w:p>
        </w:tc>
      </w:tr>
      <w:tr>
        <w:tc>
          <w:tcPr>
            <w:tcW w:type="dxa" w:w="831"/>
            <w:vMerge/>
          </w:tcPr>
          <w:p/>
        </w:tc>
        <w:tc>
          <w:tcPr>
            <w:tcW w:type="dxa" w:w="1661"/>
          </w:tcPr>
          <w:p>
            <w:pPr>
              <w:pStyle w:val="null3"/>
            </w:pPr>
            <w:r>
              <w:rPr/>
              <w:t>实施方案</w:t>
            </w:r>
          </w:p>
        </w:tc>
        <w:tc>
          <w:tcPr>
            <w:tcW w:type="dxa" w:w="2492"/>
          </w:tcPr>
          <w:p>
            <w:pPr>
              <w:pStyle w:val="null3"/>
            </w:pPr>
            <w:r>
              <w:rPr/>
              <w:t>根据供应商针对本项目提供的组织实施安装调试方案等内容进行综合评定： 方案细致完整、可行、描述条理清晰，内容齐全，有较高的针对性，得3-6分； 方案粗略简单1-3（含）分； 不提供不得分。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磋商响应方案说明</w:t>
            </w:r>
          </w:p>
        </w:tc>
      </w:tr>
      <w:tr>
        <w:tc>
          <w:tcPr>
            <w:tcW w:type="dxa" w:w="831"/>
            <w:vMerge/>
          </w:tcPr>
          <w:p/>
        </w:tc>
        <w:tc>
          <w:tcPr>
            <w:tcW w:type="dxa" w:w="1661"/>
          </w:tcPr>
          <w:p>
            <w:pPr>
              <w:pStyle w:val="null3"/>
            </w:pPr>
            <w:r>
              <w:rPr/>
              <w:t>供货进度计划方案</w:t>
            </w:r>
          </w:p>
        </w:tc>
        <w:tc>
          <w:tcPr>
            <w:tcW w:type="dxa" w:w="2492"/>
          </w:tcPr>
          <w:p>
            <w:pPr>
              <w:pStyle w:val="null3"/>
            </w:pPr>
            <w:r>
              <w:rPr/>
              <w:t>根据供应商针对本项目提供的供货进度计划方案等内容进行综合评定： 计划方案细致完整、可行、描述条理清晰，内容齐全，有较高的针对性，得2-4分； 计划方案粗略简单1-2（含）分； 不提供不得分。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磋商响应方案说明</w:t>
            </w:r>
          </w:p>
        </w:tc>
      </w:tr>
      <w:tr>
        <w:tc>
          <w:tcPr>
            <w:tcW w:type="dxa" w:w="831"/>
            <w:vMerge/>
          </w:tcPr>
          <w:p/>
        </w:tc>
        <w:tc>
          <w:tcPr>
            <w:tcW w:type="dxa" w:w="1661"/>
          </w:tcPr>
          <w:p>
            <w:pPr>
              <w:pStyle w:val="null3"/>
            </w:pPr>
            <w:r>
              <w:rPr/>
              <w:t>售后方案</w:t>
            </w:r>
          </w:p>
        </w:tc>
        <w:tc>
          <w:tcPr>
            <w:tcW w:type="dxa" w:w="2492"/>
          </w:tcPr>
          <w:p>
            <w:pPr>
              <w:pStyle w:val="null3"/>
            </w:pPr>
            <w:r>
              <w:rPr/>
              <w:t>针对本项目及采购人实际需求，提供具体可行的售后服务措施承诺及明确详细的售后服务人员组成和安排，并有售后服务网点（提供地址、联系人、联系方式等）。 售后方案完善详尽，响应积极得3-6分； 售后方案笼统简单得1-3（含）分； 不提供不得分。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磋商响应方案说明</w:t>
            </w:r>
          </w:p>
        </w:tc>
      </w:tr>
      <w:tr>
        <w:tc>
          <w:tcPr>
            <w:tcW w:type="dxa" w:w="831"/>
            <w:vMerge/>
          </w:tcPr>
          <w:p/>
        </w:tc>
        <w:tc>
          <w:tcPr>
            <w:tcW w:type="dxa" w:w="1661"/>
          </w:tcPr>
          <w:p>
            <w:pPr>
              <w:pStyle w:val="null3"/>
            </w:pPr>
            <w:r>
              <w:rPr/>
              <w:t>培训方案</w:t>
            </w:r>
          </w:p>
        </w:tc>
        <w:tc>
          <w:tcPr>
            <w:tcW w:type="dxa" w:w="2492"/>
          </w:tcPr>
          <w:p>
            <w:pPr>
              <w:pStyle w:val="null3"/>
            </w:pPr>
            <w:r>
              <w:rPr/>
              <w:t>为采购人负责培训操作人员，并附有完整的培训方案，列出详细的培训内容、培训方式、培训时长等说明。 培训方案完善详尽，响应积极得3-5分； 培训方案笼统简单得1-3（含）分； 不提供不得分。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磋商响应方案说明</w:t>
            </w:r>
          </w:p>
        </w:tc>
      </w:tr>
      <w:tr>
        <w:tc>
          <w:tcPr>
            <w:tcW w:type="dxa" w:w="831"/>
            <w:vMerge/>
          </w:tcPr>
          <w:p/>
        </w:tc>
        <w:tc>
          <w:tcPr>
            <w:tcW w:type="dxa" w:w="1661"/>
          </w:tcPr>
          <w:p>
            <w:pPr>
              <w:pStyle w:val="null3"/>
            </w:pPr>
            <w:r>
              <w:rPr/>
              <w:t>应急方案</w:t>
            </w:r>
          </w:p>
        </w:tc>
        <w:tc>
          <w:tcPr>
            <w:tcW w:type="dxa" w:w="2492"/>
          </w:tcPr>
          <w:p>
            <w:pPr>
              <w:pStyle w:val="null3"/>
            </w:pPr>
            <w:r>
              <w:rPr/>
              <w:t>对供货能力及突发事件响应时间进行赋分，如遇紧急突发事件，提供具体响应措施： 措施方案完善详尽，响应积极得3-5分； 措施方案笼统简单得1-3（含）分； 不提供不得分。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磋商响应方案说明</w:t>
            </w:r>
          </w:p>
        </w:tc>
      </w:tr>
      <w:tr>
        <w:tc>
          <w:tcPr>
            <w:tcW w:type="dxa" w:w="831"/>
            <w:vMerge/>
          </w:tcPr>
          <w:p/>
        </w:tc>
        <w:tc>
          <w:tcPr>
            <w:tcW w:type="dxa" w:w="1661"/>
          </w:tcPr>
          <w:p>
            <w:pPr>
              <w:pStyle w:val="null3"/>
            </w:pPr>
            <w:r>
              <w:rPr/>
              <w:t>业绩</w:t>
            </w:r>
          </w:p>
        </w:tc>
        <w:tc>
          <w:tcPr>
            <w:tcW w:type="dxa" w:w="2492"/>
          </w:tcPr>
          <w:p>
            <w:pPr>
              <w:pStyle w:val="null3"/>
            </w:pPr>
            <w:r>
              <w:rPr/>
              <w:t>供应商提供2020年12月至今核心产品类似业绩，每提供一份合同得2分，最高得8分。需提供采购合同关键页加盖公章（含合同首页、服务内容、签字盖章页）复印件。</w:t>
            </w:r>
          </w:p>
        </w:tc>
        <w:tc>
          <w:tcPr>
            <w:tcW w:type="dxa" w:w="831"/>
          </w:tcPr>
          <w:p>
            <w:pPr>
              <w:pStyle w:val="null3"/>
              <w:jc w:val="right"/>
            </w:pPr>
            <w:r>
              <w:rPr/>
              <w:t>8.00</w:t>
            </w:r>
          </w:p>
        </w:tc>
        <w:tc>
          <w:tcPr>
            <w:tcW w:type="dxa" w:w="831"/>
          </w:tcPr>
          <w:p>
            <w:pPr>
              <w:pStyle w:val="null3"/>
            </w:pPr>
            <w:r>
              <w:rPr/>
              <w:t>客观</w:t>
            </w:r>
          </w:p>
        </w:tc>
        <w:tc>
          <w:tcPr>
            <w:tcW w:type="dxa" w:w="1661"/>
          </w:tcPr>
          <w:p>
            <w:pPr>
              <w:pStyle w:val="null3"/>
            </w:pPr>
            <w:r>
              <w:rPr/>
              <w:t>近年业绩的有关证明材料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采用低价优先法计算，即满足磋商文件要求且最后报价最低的供应商的价格为磋商基准价，其价格分为满分。其他供应商的价格分统一按照下列公式计算：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首次磋商报价表</w:t>
            </w:r>
          </w:p>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详见附件：首次磋商报价表</w:t>
      </w:r>
    </w:p>
    <w:p>
      <w:pPr>
        <w:pStyle w:val="null3"/>
        <w:ind w:firstLine="960"/>
      </w:pPr>
      <w:r>
        <w:rPr/>
        <w:t>详见附件：供应商资格证明文件</w:t>
      </w:r>
    </w:p>
    <w:p>
      <w:pPr>
        <w:pStyle w:val="null3"/>
        <w:ind w:firstLine="960"/>
      </w:pPr>
      <w:r>
        <w:rPr/>
        <w:t>详见附件：商务偏离表</w:t>
      </w:r>
    </w:p>
    <w:p>
      <w:pPr>
        <w:pStyle w:val="null3"/>
        <w:ind w:firstLine="960"/>
      </w:pPr>
      <w:r>
        <w:rPr/>
        <w:t>详见附件：近年业绩的有关证明材料</w:t>
      </w:r>
    </w:p>
    <w:p>
      <w:pPr>
        <w:pStyle w:val="null3"/>
        <w:ind w:firstLine="960"/>
      </w:pPr>
      <w:r>
        <w:rPr/>
        <w:t>详见附件：供应商承诺书</w:t>
      </w:r>
    </w:p>
    <w:p>
      <w:pPr>
        <w:pStyle w:val="null3"/>
        <w:ind w:firstLine="960"/>
      </w:pPr>
      <w:r>
        <w:rPr/>
        <w:t>详见附件：磋商响应方案说明</w:t>
      </w:r>
    </w:p>
    <w:p>
      <w:pPr>
        <w:pStyle w:val="null3"/>
      </w:pPr>
      <w:r>
        <w:rPr/>
        <w:t xml:space="preserve"> </w:t>
      </w:r>
    </w:p>
    <w:p>
      <w:pPr>
        <w:pStyle w:val="null3"/>
        <w:jc w:val="center"/>
        <w:outlineLvl w:val="1"/>
      </w:pPr>
      <w:r>
        <w:rPr>
          <w:b/>
          <w:sz w:val="36"/>
        </w:rPr>
        <w:t>第八章 拟签订采购合同文本</w:t>
      </w:r>
    </w:p>
    <w:p>
      <w:pPr>
        <w:pStyle w:val="null3"/>
      </w:pPr>
      <w:r>
        <w:rPr/>
        <w:t>详见附件：采购合同格式.docx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