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zh-CN"/>
        </w:rPr>
        <w:t>商务偏离表</w:t>
      </w:r>
    </w:p>
    <w:p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highlight w:val="none"/>
        </w:rPr>
        <w:t xml:space="preserve">项目名称：                   </w:t>
      </w:r>
    </w:p>
    <w:p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highlight w:val="none"/>
          <w:lang w:eastAsia="zh-CN"/>
        </w:rPr>
        <w:t>项目编号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highlight w:val="none"/>
        </w:rPr>
        <w:t xml:space="preserve">：       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1241"/>
        <w:gridCol w:w="2327"/>
        <w:gridCol w:w="2353"/>
        <w:gridCol w:w="1059"/>
        <w:gridCol w:w="1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82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327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磋商文件要求</w:t>
            </w:r>
          </w:p>
        </w:tc>
        <w:tc>
          <w:tcPr>
            <w:tcW w:w="2353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响应文件内容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755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982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27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3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9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982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27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3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9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982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27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3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9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982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27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3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9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982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27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3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9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982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27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3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9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1.本表只填写磋商响应文件中与磋商文件有偏离（包括正偏离和负偏离）的内容，磋商响应文件中商务响应与磋商文件商务要求完全一致的，不用在此表中列出，但必须提交空白表。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2.供应商必须据实填写，不得虚假响应，否则将取消其磋商或成交资格，并按有关规定进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处罚。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</w:t>
      </w:r>
    </w:p>
    <w:p>
      <w:pPr>
        <w:adjustRightInd w:val="0"/>
        <w:snapToGrid w:val="0"/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</w:p>
    <w:p>
      <w:pPr>
        <w:autoSpaceDE w:val="0"/>
        <w:autoSpaceDN w:val="0"/>
        <w:adjustRightInd w:val="0"/>
        <w:spacing w:line="360" w:lineRule="auto"/>
        <w:ind w:firstLine="1920" w:firstLineChars="8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hZmVkNGE5YjMxOGFlNTYyYWQzOTYyYmU0MGMwOWYifQ=="/>
  </w:docVars>
  <w:rsids>
    <w:rsidRoot w:val="38B655A9"/>
    <w:rsid w:val="38B65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黑体" w:hAnsi="Times New Roman" w:eastAsia="黑体" w:cs="Times New Roman"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194</Characters>
  <Lines>0</Lines>
  <Paragraphs>0</Paragraphs>
  <TotalTime>0</TotalTime>
  <ScaleCrop>false</ScaleCrop>
  <LinksUpToDate>false</LinksUpToDate>
  <CharactersWithSpaces>291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2023-12-14T02:22:00Z</dcterms:created>
  <dc:creator>余生太长。</dc:creator>
  <cp:lastModifiedBy>余生太长。</cp:lastModifiedBy>
  <dcterms:modified xsi:type="dcterms:W3CDTF">2023-12-14T02:22:31Z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CB4DB75653454CD2A72BC1F03576D85A_11</vt:lpwstr>
  </property>
</Properties>
</file>