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center"/>
        <w:outlineLvl w:val="0"/>
        <w:rPr>
          <w:rFonts w:hint="eastAsia" w:ascii="宋体" w:hAnsi="宋体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合同格式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kern w:val="44"/>
          <w:sz w:val="28"/>
          <w:szCs w:val="1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  <w:t>采购合同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甲方（采购人）：西安市高陵区医院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乙方（供应商）：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区医院采购120扩容项目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(项目编号：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SXJTZB-ZC-CS20231201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)由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陕西嘉唐建设项目管理有限公司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组织竞争性磋商，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(以下简称“甲方”)确定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（以下简称“乙方”）为该项目的成交供应商。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依据《中华人民共和国民法典》和《中华人民共和国政府采购法》及相关法律法规，经双方协商按下述条款和条件签署本合同。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一、合同金额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（一）合同总价为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>人民币（大写）        （￥     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（二）合同为固定总价合同，不受市场价格变化因素的影响。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二、产品清单（附后）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三、款项结算：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验收合格后支付合同金额的60%，自合同签订6个月后支付合同金额的30%，验收合格之日起1年期满支付合同金额的10%。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四、交货条件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lang w:val="en-US" w:eastAsia="zh-CN"/>
        </w:rPr>
        <w:t>交货条件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（一）交货地点：采购人指定地点。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（二）交货期：自合同签订之日起20个日历日完成全部内容，并交付采购人验收合格。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（三）交货方式：乙方负责装卸、货物运输、摆放、安装至指定地点。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设备验收标准；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技术说明书及必须的其他技术资料；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使用说明书；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产品安装，调试；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零部件目录；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备品备件、易损件、耗材（价格）清单。</w:t>
      </w:r>
    </w:p>
    <w:p>
      <w:pPr>
        <w:pStyle w:val="4"/>
        <w:spacing w:line="360" w:lineRule="auto"/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 xml:space="preserve">   （四）设备到场时，外箱包装无损，随产品必须附该产品的检验合格证、检验报告等资料，如无相关资料甲方可拒绝接收。如合同设备外箱包装受损或发现合同设备包装箱件数不符，应在 2个工作日内通知乙方，以便乙方办理合同设备遇险索赔手续。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（五）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质保期：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自验收合格之日起免费质保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五、运输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（一）运输由乙方负责，运杂费已包含在合同总价内，包括从货物供应地点所含的运输费、装卸费、仓储费、保险费，安装调试费等。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（二）运输方式由乙方自行选择，但必须保证按期交货。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六、质量保证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乙方所供货物必须执行下列条款：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（一）保证技术指标先进、质量性能可靠、进货渠道正常，配置合理，全面满足采购文件要求。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（二）符合国家、省、市有关规范要求，确保达到最佳运行状态。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（三）具有良好的外观，适合安装场所的使用。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（四）自安装、调试正常运行并验收合格之日起：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1、终身维护，免费保修期内，同一主要部件出现质量问题经过两次维修后仍无法正常使用，可以更换同型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号、同规格的产品，服务响应时间不超过2小时（工作日），解决问题不超过24小时（工作日），对问题较大短期内暂不能解决的，为不影响甲方正常工作，乙方在2日内免费提供替代产品，确保正常运行，替代品质量及标准不得低于原产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2、如出现质量问题，甲方有权选择换货或退货。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乙方承诺其所提供的产品未侵犯任何第三方的合法权益，否则乙方应承担因此而给甲方造成的全部损失。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乙方对其所提供的产品负责，如因产品存在瑕疵、缺陷等原因而造成任何人身、财产等安全事故的，由乙方承担全部责任及费用。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七、售后服务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乙方所供货物提供以下售后服务：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（一）质保期内：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1、发生质量问题，接到甲方通知后，应于当日派出专业的维修人员到现场进行检测维修，发生的全部费用由乙方承担，若需送回生产厂，乙方承担往返费用；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2、定期派技术人员到现场走访，给予检查维护；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3、排除故障的期限不得超过24小时（工作日）。否则甲方有权指定第三方维修，维修费用由乙方承担。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（二）质保期结束前，进行系统测试，全面保养维护，确保正常运行。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八、技术与服务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（一）技术资料：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1、货物合格证；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2、货物使用说明书（中文）；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3、项目验收资料、检验测试报告；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4、其他资料。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（二）服务承诺：以响应文件、澄清表（函）、合同和随货物的相关文件为准。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九、验收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（一）货物到达甲方指定地点后，甲方根据合同要求，进行外观验收，确认产地、规格、型号和数量。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（二）货物安装、调试并正常运行后，由乙方进行自检，合格后，准备验收文件，并书面通知甲方。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（三）甲方确认乙方的自检内容后，组织乙方、确认方（必要时请有关专家）进行验收，验收合格后，填写政府采购项目验收单（一式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份）作为对货物的最终认可。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（四）乙方向甲方提交货物实施过程中的所有资料。以便甲方日后管理和维护。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（五）验收依据：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1、磋商文件、响应文件、澄清表（函）；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2、本合同及附件文本；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十、违约责任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（一）除本合同另有约定外，按《政府采购法》、《民法典》中的相关条款执行。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（二）未按合同要求提供货物或质量不能满足采购技术要求，乙方必须无条件更换，提高技术，完善质量，否则，甲方会同确认方有权解除合同，并要求乙方承担本合同总价款百分之三十的违约金。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三）乙方延迟交货，每逾一日，应承担本合同总价款的千分之一作为违约金；逾期超过十日的，甲方有权单方解除合同，并要求乙方承担本合同总价款百分之三十的违约金。因此产生的律师费、诉讼费、保全费等费用均由乙方承担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十一、合同争议解决的方式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本合同在履行过程中发生的争议，由甲、乙双方当事人协商解决，协商不成的按下列第（二）种方式解决：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（一）提交西安仲裁委员会仲裁；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（二）依法向甲方所在地人民法院起诉。</w:t>
      </w:r>
    </w:p>
    <w:p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十二、合同生效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（一）本合同经双方签字盖章或直接盖章后生效。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（二）合同生效后，甲、乙双方须严格执行本合同条款的规定，全面履行合同，违者按《中华人民共和国民法典》的有关规定及本合同的约定承担相应责任。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份，采购代理机构留存壹份。</w:t>
      </w:r>
    </w:p>
    <w:p>
      <w:pPr>
        <w:pStyle w:val="4"/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40" w:right="1247" w:bottom="1440" w:left="1247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（以下无正文）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（本页为签署页）</w:t>
      </w:r>
    </w:p>
    <w:p>
      <w:pPr>
        <w:widowControl/>
        <w:tabs>
          <w:tab w:val="left" w:pos="8391"/>
        </w:tabs>
        <w:autoSpaceDE w:val="0"/>
        <w:autoSpaceDN w:val="0"/>
        <w:snapToGrid w:val="0"/>
        <w:spacing w:line="360" w:lineRule="auto"/>
        <w:ind w:right="-69" w:firstLine="840" w:firstLineChars="350"/>
        <w:textAlignment w:val="bottom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0"/>
        <w:gridCol w:w="4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8" w:hRule="atLeast"/>
          <w:jc w:val="center"/>
        </w:trPr>
        <w:tc>
          <w:tcPr>
            <w:tcW w:w="4640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甲方名称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号：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</w:p>
        </w:tc>
        <w:tc>
          <w:tcPr>
            <w:tcW w:w="4640" w:type="dxa"/>
            <w:noWrap w:val="0"/>
            <w:vAlign w:val="top"/>
          </w:tcPr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乙方名称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4"/>
                <w:highlight w:val="none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地址：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代表人（签字）：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电话：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开户银行：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号：</w:t>
            </w:r>
          </w:p>
          <w:p>
            <w:pPr>
              <w:widowControl/>
              <w:autoSpaceDE w:val="0"/>
              <w:autoSpaceDN w:val="0"/>
              <w:snapToGrid w:val="0"/>
              <w:spacing w:line="600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：</w:t>
            </w:r>
          </w:p>
        </w:tc>
      </w:tr>
    </w:tbl>
    <w:p>
      <w:pPr>
        <w:jc w:val="center"/>
        <w:rPr>
          <w:rFonts w:hint="eastAsia" w:ascii="宋体" w:hAnsi="宋体" w:eastAsia="宋体" w:cs="宋体"/>
          <w:color w:val="auto"/>
          <w:sz w:val="52"/>
          <w:szCs w:val="52"/>
          <w:highlight w:val="none"/>
        </w:rPr>
      </w:pPr>
    </w:p>
    <w:p>
      <w:pPr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2232295F"/>
    <w:rsid w:val="1BBD4384"/>
    <w:rsid w:val="2232295F"/>
    <w:rsid w:val="5D4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Times New Roman" w:eastAsia="黑体" w:cs="Times New Roman"/>
      <w:sz w:val="28"/>
    </w:rPr>
  </w:style>
  <w:style w:type="paragraph" w:styleId="3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widowControl w:val="0"/>
      <w:spacing w:after="0"/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2117</Words>
  <Characters>2147</Characters>
  <Lines>0</Lines>
  <Paragraphs>0</Paragraphs>
  <TotalTime>0</TotalTime>
  <ScaleCrop>false</ScaleCrop>
  <LinksUpToDate>false</LinksUpToDate>
  <CharactersWithSpaces>2191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2023-12-14T02:35:00Z</dcterms:created>
  <dc:creator>余生太长。</dc:creator>
  <cp:lastModifiedBy>余生太长。</cp:lastModifiedBy>
  <dcterms:modified xsi:type="dcterms:W3CDTF">2023-12-14T07:06:34Z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80C21A309D194425A83E9A8677EC2D70_11</vt:lpwstr>
  </property>
</Properties>
</file>