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/>
        </w:rPr>
        <w:t>首次磋商报价表</w:t>
      </w:r>
    </w:p>
    <w:tbl>
      <w:tblPr>
        <w:tblStyle w:val="3"/>
        <w:tblW w:w="9559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65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采购项目名称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采购项目编号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aps/>
                <w:color w:val="auto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磋商总报价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2"/>
                <w:highlight w:val="none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质保期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33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交货期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19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交货地点</w:t>
            </w:r>
          </w:p>
        </w:tc>
        <w:tc>
          <w:tcPr>
            <w:tcW w:w="7651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</w:trPr>
        <w:tc>
          <w:tcPr>
            <w:tcW w:w="19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  <w:tc>
          <w:tcPr>
            <w:tcW w:w="765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分项报价表</w:t>
      </w:r>
    </w:p>
    <w:p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                                            </w:t>
      </w:r>
    </w:p>
    <w:p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>
      <w:pPr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单位：元</w:t>
      </w:r>
    </w:p>
    <w:tbl>
      <w:tblPr>
        <w:tblStyle w:val="3"/>
        <w:tblW w:w="909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3"/>
        <w:gridCol w:w="2031"/>
        <w:gridCol w:w="1186"/>
        <w:gridCol w:w="910"/>
        <w:gridCol w:w="1268"/>
        <w:gridCol w:w="740"/>
        <w:gridCol w:w="565"/>
        <w:gridCol w:w="721"/>
        <w:gridCol w:w="113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品牌</w:t>
            </w: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原产地及</w:t>
            </w:r>
          </w:p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制造厂名</w:t>
            </w: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总价（元）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5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0" w:hRule="atLeast"/>
          <w:jc w:val="center"/>
        </w:trPr>
        <w:tc>
          <w:tcPr>
            <w:tcW w:w="796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合计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 如果按单价计算的结果与总价不一致，以单价为准修正总价。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2．如果不提供详细分项报价将视为没有实质性响应竞争性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可适当调整该表格式，但不得减少信息内容。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7C053466"/>
    <w:rsid w:val="0EBE35F6"/>
    <w:rsid w:val="7C05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Times New Roman" w:eastAsia="黑体" w:cs="Times New Roman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245</Characters>
  <Lines>0</Lines>
  <Paragraphs>0</Paragraphs>
  <TotalTime>1</TotalTime>
  <ScaleCrop>false</ScaleCrop>
  <LinksUpToDate>false</LinksUpToDate>
  <CharactersWithSpaces>449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2023-12-14T02:19:00Z</dcterms:created>
  <dc:creator>余生太长。</dc:creator>
  <cp:lastModifiedBy>余生太长。</cp:lastModifiedBy>
  <dcterms:modified xsi:type="dcterms:W3CDTF">2023-12-14T07:09:29Z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6B9D919EC02544BAA9D27465C9D3818A_11</vt:lpwstr>
  </property>
</Properties>
</file>