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E2" w:rsidRDefault="00036D10">
      <w:pPr>
        <w:pStyle w:val="1"/>
        <w:spacing w:line="360" w:lineRule="auto"/>
        <w:rPr>
          <w:rFonts w:asciiTheme="minorEastAsia" w:eastAsiaTheme="minorEastAsia" w:hAnsiTheme="minorEastAsia"/>
          <w:kern w:val="0"/>
          <w:sz w:val="32"/>
          <w:szCs w:val="32"/>
        </w:rPr>
      </w:pPr>
      <w:r>
        <w:rPr>
          <w:rFonts w:asciiTheme="minorEastAsia" w:eastAsiaTheme="minorEastAsia" w:hAnsiTheme="minorEastAsia" w:hint="eastAsia"/>
          <w:kern w:val="0"/>
        </w:rPr>
        <w:t>西安市公安局高陵分局卡口、多维感知终端及分析平台建设项目招标公告</w:t>
      </w:r>
    </w:p>
    <w:p w:rsidR="00036D10" w:rsidRDefault="00036D10" w:rsidP="00036D10">
      <w:pPr>
        <w:widowControl/>
        <w:spacing w:line="360" w:lineRule="auto"/>
        <w:ind w:firstLineChars="200" w:firstLine="422"/>
        <w:jc w:val="left"/>
        <w:outlineLvl w:val="5"/>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项目概况</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卡口、多维感知终端及分析平台建设项目招标项目的潜在投标人应在全国公共资源交易平台（陕西省•西安市）网站〖首页 〉电子交易平台 〉陕西政府采购交易系统 〉企业端〗获取招标文件，并于  </w:t>
      </w:r>
      <w:r w:rsidRPr="006E3F6A">
        <w:rPr>
          <w:rFonts w:asciiTheme="minorEastAsia" w:eastAsiaTheme="minorEastAsia" w:hAnsiTheme="minorEastAsia" w:cs="宋体" w:hint="eastAsia"/>
          <w:kern w:val="0"/>
          <w:szCs w:val="21"/>
        </w:rPr>
        <w:t>2024年01月31日09 时30分</w:t>
      </w:r>
      <w:r>
        <w:rPr>
          <w:rFonts w:asciiTheme="minorEastAsia" w:eastAsiaTheme="minorEastAsia" w:hAnsiTheme="minorEastAsia" w:cs="宋体" w:hint="eastAsia"/>
          <w:kern w:val="0"/>
          <w:szCs w:val="21"/>
        </w:rPr>
        <w:t>（北京时间）前递交投标文件。</w:t>
      </w:r>
    </w:p>
    <w:p w:rsidR="00036D10" w:rsidRDefault="00036D10" w:rsidP="00036D10">
      <w:pPr>
        <w:widowControl/>
        <w:spacing w:line="360" w:lineRule="auto"/>
        <w:ind w:firstLineChars="200" w:firstLine="422"/>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一、项目基本情况</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项目编号：LZBB2024-017</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项目名称：卡口、多维感知终端及分析平台建设项目</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采购方式：公开招标 </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预算金额：2,415,400.00元</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采购需求：</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合同包1(卡口、多维感知终端及分析平台建设项目):</w:t>
      </w:r>
    </w:p>
    <w:p w:rsidR="00036D10" w:rsidRDefault="00036D10" w:rsidP="00036D10">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合同</w:t>
      </w:r>
      <w:proofErr w:type="gramStart"/>
      <w:r>
        <w:rPr>
          <w:rFonts w:asciiTheme="minorEastAsia" w:eastAsiaTheme="minorEastAsia" w:hAnsiTheme="minorEastAsia" w:cs="宋体" w:hint="eastAsia"/>
          <w:kern w:val="0"/>
          <w:szCs w:val="21"/>
        </w:rPr>
        <w:t>包预算</w:t>
      </w:r>
      <w:proofErr w:type="gramEnd"/>
      <w:r>
        <w:rPr>
          <w:rFonts w:asciiTheme="minorEastAsia" w:eastAsiaTheme="minorEastAsia" w:hAnsiTheme="minorEastAsia" w:cs="宋体" w:hint="eastAsia"/>
          <w:kern w:val="0"/>
          <w:szCs w:val="21"/>
        </w:rPr>
        <w:t>金额：2,415,400.00元</w:t>
      </w:r>
    </w:p>
    <w:tbl>
      <w:tblPr>
        <w:tblW w:w="9936"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54"/>
        <w:gridCol w:w="1515"/>
        <w:gridCol w:w="2124"/>
        <w:gridCol w:w="1048"/>
        <w:gridCol w:w="1547"/>
        <w:gridCol w:w="1381"/>
        <w:gridCol w:w="1367"/>
      </w:tblGrid>
      <w:tr w:rsidR="00036D10" w:rsidTr="00640EAB">
        <w:trPr>
          <w:trHeight w:val="1105"/>
          <w:tblHeader/>
          <w:jc w:val="center"/>
        </w:trPr>
        <w:tc>
          <w:tcPr>
            <w:tcW w:w="95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品目号</w:t>
            </w:r>
          </w:p>
        </w:tc>
        <w:tc>
          <w:tcPr>
            <w:tcW w:w="151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品目名称</w:t>
            </w:r>
          </w:p>
        </w:tc>
        <w:tc>
          <w:tcPr>
            <w:tcW w:w="2124" w:type="dxa"/>
            <w:tcBorders>
              <w:top w:val="single" w:sz="6" w:space="0" w:color="333333"/>
              <w:left w:val="single" w:sz="6" w:space="0" w:color="333333"/>
              <w:bottom w:val="single" w:sz="6" w:space="0" w:color="333333"/>
              <w:right w:val="single" w:sz="6" w:space="0" w:color="333333"/>
            </w:tcBorders>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采购标的</w:t>
            </w:r>
          </w:p>
        </w:tc>
        <w:tc>
          <w:tcPr>
            <w:tcW w:w="104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数量（单位）</w:t>
            </w:r>
          </w:p>
        </w:tc>
        <w:tc>
          <w:tcPr>
            <w:tcW w:w="154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技术规格、参数及要求</w:t>
            </w:r>
          </w:p>
        </w:tc>
        <w:tc>
          <w:tcPr>
            <w:tcW w:w="138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品目预算</w:t>
            </w:r>
            <w:r>
              <w:rPr>
                <w:rFonts w:ascii="inherit" w:eastAsia="微软雅黑" w:hAnsi="inherit"/>
                <w:b/>
                <w:bCs/>
                <w:color w:val="333333"/>
                <w:szCs w:val="21"/>
              </w:rPr>
              <w:t>(</w:t>
            </w:r>
            <w:r>
              <w:rPr>
                <w:rFonts w:ascii="inherit" w:eastAsia="微软雅黑" w:hAnsi="inherit"/>
                <w:b/>
                <w:bCs/>
                <w:color w:val="333333"/>
                <w:szCs w:val="21"/>
              </w:rPr>
              <w:t>元</w:t>
            </w:r>
            <w:r>
              <w:rPr>
                <w:rFonts w:ascii="inherit" w:eastAsia="微软雅黑" w:hAnsi="inherit"/>
                <w:b/>
                <w:bCs/>
                <w:color w:val="333333"/>
                <w:szCs w:val="21"/>
              </w:rPr>
              <w:t>)</w:t>
            </w:r>
          </w:p>
        </w:tc>
        <w:tc>
          <w:tcPr>
            <w:tcW w:w="136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wordWrap w:val="0"/>
              <w:spacing w:line="360" w:lineRule="atLeast"/>
              <w:jc w:val="center"/>
              <w:rPr>
                <w:rFonts w:ascii="inherit" w:eastAsia="微软雅黑" w:hAnsi="inherit" w:cs="宋体" w:hint="eastAsia"/>
                <w:b/>
                <w:bCs/>
                <w:color w:val="333333"/>
                <w:szCs w:val="21"/>
              </w:rPr>
            </w:pPr>
            <w:r>
              <w:rPr>
                <w:rFonts w:ascii="inherit" w:eastAsia="微软雅黑" w:hAnsi="inherit"/>
                <w:b/>
                <w:bCs/>
                <w:color w:val="333333"/>
                <w:szCs w:val="21"/>
              </w:rPr>
              <w:t>最高限价</w:t>
            </w:r>
            <w:r>
              <w:rPr>
                <w:rFonts w:ascii="inherit" w:eastAsia="微软雅黑" w:hAnsi="inherit"/>
                <w:b/>
                <w:bCs/>
                <w:color w:val="333333"/>
                <w:szCs w:val="21"/>
              </w:rPr>
              <w:t>(</w:t>
            </w:r>
            <w:r>
              <w:rPr>
                <w:rFonts w:ascii="inherit" w:eastAsia="微软雅黑" w:hAnsi="inherit"/>
                <w:b/>
                <w:bCs/>
                <w:color w:val="333333"/>
                <w:szCs w:val="21"/>
              </w:rPr>
              <w:t>元</w:t>
            </w:r>
            <w:r>
              <w:rPr>
                <w:rFonts w:ascii="inherit" w:eastAsia="微软雅黑" w:hAnsi="inherit"/>
                <w:b/>
                <w:bCs/>
                <w:color w:val="333333"/>
                <w:szCs w:val="21"/>
              </w:rPr>
              <w:t>)</w:t>
            </w:r>
          </w:p>
        </w:tc>
      </w:tr>
      <w:tr w:rsidR="00036D10" w:rsidTr="00640EAB">
        <w:trPr>
          <w:trHeight w:val="1228"/>
          <w:jc w:val="center"/>
        </w:trPr>
        <w:tc>
          <w:tcPr>
            <w:tcW w:w="95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jc w:val="center"/>
            </w:pPr>
            <w:r>
              <w:rPr>
                <w:rFonts w:hint="eastAsia"/>
              </w:rPr>
              <w:t>1-1</w:t>
            </w:r>
          </w:p>
        </w:tc>
        <w:tc>
          <w:tcPr>
            <w:tcW w:w="151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jc w:val="center"/>
            </w:pPr>
            <w:r>
              <w:rPr>
                <w:rFonts w:hint="eastAsia"/>
              </w:rPr>
              <w:t>交通管理设备</w:t>
            </w:r>
          </w:p>
        </w:tc>
        <w:tc>
          <w:tcPr>
            <w:tcW w:w="2124" w:type="dxa"/>
            <w:tcBorders>
              <w:top w:val="single" w:sz="6" w:space="0" w:color="333333"/>
              <w:left w:val="single" w:sz="6" w:space="0" w:color="333333"/>
              <w:bottom w:val="single" w:sz="6" w:space="0" w:color="333333"/>
              <w:right w:val="single" w:sz="6" w:space="0" w:color="333333"/>
            </w:tcBorders>
            <w:vAlign w:val="center"/>
          </w:tcPr>
          <w:p w:rsidR="00036D10" w:rsidRDefault="00036D10" w:rsidP="00640EAB">
            <w:pPr>
              <w:jc w:val="center"/>
            </w:pPr>
            <w:r>
              <w:rPr>
                <w:rFonts w:hint="eastAsia"/>
              </w:rPr>
              <w:t>卡口、多维感知终端及分析平台建设项目</w:t>
            </w:r>
          </w:p>
        </w:tc>
        <w:tc>
          <w:tcPr>
            <w:tcW w:w="104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jc w:val="center"/>
            </w:pPr>
            <w:r>
              <w:rPr>
                <w:rFonts w:hint="eastAsia"/>
              </w:rPr>
              <w:t>1(</w:t>
            </w:r>
            <w:r>
              <w:rPr>
                <w:rFonts w:hint="eastAsia"/>
              </w:rPr>
              <w:t>项</w:t>
            </w:r>
            <w:r>
              <w:rPr>
                <w:rFonts w:hint="eastAsia"/>
              </w:rPr>
              <w:t>)</w:t>
            </w:r>
          </w:p>
        </w:tc>
        <w:tc>
          <w:tcPr>
            <w:tcW w:w="154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jc w:val="center"/>
            </w:pPr>
            <w:r>
              <w:rPr>
                <w:rFonts w:hint="eastAsia"/>
              </w:rPr>
              <w:t>详见采购文件</w:t>
            </w:r>
          </w:p>
        </w:tc>
        <w:tc>
          <w:tcPr>
            <w:tcW w:w="138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jc w:val="center"/>
            </w:pPr>
            <w:r>
              <w:rPr>
                <w:rFonts w:hint="eastAsia"/>
              </w:rPr>
              <w:t xml:space="preserve">2,415,400.00 </w:t>
            </w:r>
          </w:p>
        </w:tc>
        <w:tc>
          <w:tcPr>
            <w:tcW w:w="136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36D10" w:rsidRDefault="00036D10" w:rsidP="00640EAB">
            <w:pPr>
              <w:jc w:val="center"/>
            </w:pPr>
            <w:r>
              <w:rPr>
                <w:rFonts w:hint="eastAsia"/>
              </w:rPr>
              <w:t>2,415,400.00</w:t>
            </w:r>
          </w:p>
        </w:tc>
      </w:tr>
    </w:tbl>
    <w:p w:rsidR="00036D10" w:rsidRDefault="00036D10" w:rsidP="00036D10">
      <w:pPr>
        <w:widowControl/>
        <w:spacing w:line="360" w:lineRule="auto"/>
        <w:ind w:firstLineChars="100" w:firstLine="210"/>
        <w:jc w:val="left"/>
        <w:outlineLvl w:val="3"/>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本合同包不接受联合体投标</w:t>
      </w:r>
    </w:p>
    <w:p w:rsidR="00036D10" w:rsidRDefault="00036D10" w:rsidP="00036D10">
      <w:pPr>
        <w:pStyle w:val="a4"/>
        <w:ind w:firstLineChars="100" w:firstLine="210"/>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合同履行期限：自合同签订之日起至本项目结束</w:t>
      </w:r>
    </w:p>
    <w:p w:rsidR="00036D10" w:rsidRDefault="00036D10" w:rsidP="00036D10">
      <w:pPr>
        <w:pStyle w:val="a4"/>
        <w:ind w:firstLineChars="0" w:firstLine="0"/>
      </w:pPr>
    </w:p>
    <w:p w:rsidR="00036D10" w:rsidRDefault="00036D10" w:rsidP="00036D10">
      <w:pPr>
        <w:widowControl/>
        <w:spacing w:line="360" w:lineRule="auto"/>
        <w:ind w:firstLineChars="200" w:firstLine="422"/>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二、申请人的资格要求：</w:t>
      </w:r>
    </w:p>
    <w:p w:rsidR="00036D10" w:rsidRDefault="00036D10" w:rsidP="00036D10">
      <w:pPr>
        <w:pStyle w:val="a5"/>
        <w:wordWrap w:val="0"/>
        <w:spacing w:beforeAutospacing="0" w:afterAutospacing="0" w:line="360" w:lineRule="auto"/>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shd w:val="clear" w:color="auto" w:fill="FFFFFF"/>
        </w:rPr>
        <w:t>1.满足《中华人民共和国政府采购法》第二十二条规定;</w:t>
      </w:r>
    </w:p>
    <w:p w:rsidR="00036D10" w:rsidRDefault="00036D10" w:rsidP="00036D10">
      <w:pPr>
        <w:pStyle w:val="a5"/>
        <w:wordWrap w:val="0"/>
        <w:spacing w:beforeAutospacing="0" w:afterAutospacing="0" w:line="360" w:lineRule="auto"/>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shd w:val="clear" w:color="auto" w:fill="FFFFFF"/>
        </w:rPr>
        <w:t>2.落实政府采购政策需满足的资格要求：</w:t>
      </w:r>
    </w:p>
    <w:p w:rsidR="00036D10" w:rsidRDefault="00036D10" w:rsidP="00036D10">
      <w:pPr>
        <w:pStyle w:val="a5"/>
        <w:wordWrap w:val="0"/>
        <w:spacing w:beforeAutospacing="0" w:afterAutospacing="0" w:line="360" w:lineRule="auto"/>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shd w:val="clear" w:color="auto" w:fill="FFFFFF"/>
        </w:rPr>
        <w:t>合同包1(卡口、多维感知终端及分析平台建设项目)落实政府采购政策需满足的资格要求如下:</w:t>
      </w:r>
      <w:r>
        <w:rPr>
          <w:rFonts w:hint="eastAsia"/>
        </w:rPr>
        <w:t xml:space="preserve"> </w:t>
      </w:r>
      <w:r>
        <w:rPr>
          <w:rFonts w:asciiTheme="minorEastAsia" w:eastAsiaTheme="minorEastAsia" w:hAnsiTheme="minorEastAsia" w:cs="宋体" w:hint="eastAsia"/>
          <w:sz w:val="21"/>
          <w:szCs w:val="21"/>
        </w:rPr>
        <w:t>本项目非专门面向中小企业采购</w:t>
      </w:r>
    </w:p>
    <w:p w:rsidR="00036D10" w:rsidRDefault="00036D10" w:rsidP="00036D10">
      <w:pPr>
        <w:pStyle w:val="a5"/>
        <w:wordWrap w:val="0"/>
        <w:spacing w:beforeAutospacing="0" w:afterAutospacing="0" w:line="360" w:lineRule="auto"/>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shd w:val="clear" w:color="auto" w:fill="FFFFFF"/>
        </w:rPr>
        <w:t>3.本项目的特定资格要求：</w:t>
      </w:r>
    </w:p>
    <w:p w:rsidR="00036D10" w:rsidRDefault="00036D10" w:rsidP="00036D10">
      <w:pPr>
        <w:pStyle w:val="a5"/>
        <w:wordWrap w:val="0"/>
        <w:spacing w:beforeAutospacing="0" w:afterAutospacing="0" w:line="360" w:lineRule="auto"/>
        <w:ind w:firstLineChars="200" w:firstLine="420"/>
        <w:rPr>
          <w:rFonts w:asciiTheme="minorEastAsia" w:eastAsiaTheme="minorEastAsia" w:hAnsiTheme="minorEastAsia" w:cs="宋体"/>
          <w:sz w:val="21"/>
          <w:szCs w:val="21"/>
          <w:shd w:val="clear" w:color="auto" w:fill="FFFFFF"/>
        </w:rPr>
      </w:pPr>
      <w:r>
        <w:rPr>
          <w:rFonts w:asciiTheme="minorEastAsia" w:eastAsiaTheme="minorEastAsia" w:hAnsiTheme="minorEastAsia" w:cs="宋体" w:hint="eastAsia"/>
          <w:sz w:val="21"/>
          <w:szCs w:val="21"/>
          <w:shd w:val="clear" w:color="auto" w:fill="FFFFFF"/>
        </w:rPr>
        <w:t>合同包1(卡口、多维感知终端及分析平台建设项目)特定资格要求如下:（1）具有独立承担民事责任能力的法人或其他组织或自然人；（</w:t>
      </w:r>
      <w:r>
        <w:rPr>
          <w:rFonts w:asciiTheme="minorEastAsia" w:eastAsiaTheme="minorEastAsia" w:hAnsiTheme="minorEastAsia" w:cs="宋体"/>
          <w:sz w:val="21"/>
          <w:szCs w:val="21"/>
          <w:shd w:val="clear" w:color="auto" w:fill="FFFFFF"/>
        </w:rPr>
        <w:t>2</w:t>
      </w:r>
      <w:r>
        <w:rPr>
          <w:rFonts w:asciiTheme="minorEastAsia" w:eastAsiaTheme="minorEastAsia" w:hAnsiTheme="minorEastAsia" w:cs="宋体" w:hint="eastAsia"/>
          <w:sz w:val="21"/>
          <w:szCs w:val="21"/>
          <w:shd w:val="clear" w:color="auto" w:fill="FFFFFF"/>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036D10" w:rsidRDefault="00036D10" w:rsidP="00036D10">
      <w:pPr>
        <w:widowControl/>
        <w:spacing w:line="360" w:lineRule="auto"/>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三、获取招标文件</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时间： </w:t>
      </w:r>
      <w:r w:rsidRPr="00406909">
        <w:rPr>
          <w:rFonts w:asciiTheme="minorEastAsia" w:eastAsiaTheme="minorEastAsia" w:hAnsiTheme="minorEastAsia" w:cs="宋体" w:hint="eastAsia"/>
          <w:kern w:val="0"/>
          <w:szCs w:val="21"/>
        </w:rPr>
        <w:t>2024年01月11日 至 2024年01月17日</w:t>
      </w:r>
      <w:r>
        <w:rPr>
          <w:rFonts w:asciiTheme="minorEastAsia" w:eastAsiaTheme="minorEastAsia" w:hAnsiTheme="minorEastAsia" w:cs="宋体" w:hint="eastAsia"/>
          <w:kern w:val="0"/>
          <w:szCs w:val="21"/>
        </w:rPr>
        <w:t xml:space="preserve"> ，每天上午00:00:00 至 12:00:00 ，下午 12:00:00 至 23:59:59 （北京时间）</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途径：全国公共资源交易平台（陕西省•西安市）网站〖首页 〉电子交易平台 〉陕西政府采购交易系统 〉企业端〗</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方式：在线获取</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售价：免费获取</w:t>
      </w:r>
    </w:p>
    <w:p w:rsidR="00036D10" w:rsidRDefault="00036D10" w:rsidP="00036D10">
      <w:pPr>
        <w:widowControl/>
        <w:spacing w:line="360" w:lineRule="auto"/>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四、提交投标文件截止时间、开标时间和地点</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时间： 2024年01月31日09 时30分00秒 （北京时间）</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提交投标文件地点：全国公共资源交易平台（陕西省•西安市）网站〖首页〉电子交易平台〉陕西政府采购交易系统〉企业端〗，在线提交。</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开标地点：全国公共资源交易平台（陕西省•西安市）不见面开标大厅。</w:t>
      </w:r>
    </w:p>
    <w:p w:rsidR="00036D10" w:rsidRDefault="00036D10" w:rsidP="00036D10">
      <w:pPr>
        <w:widowControl/>
        <w:spacing w:line="360" w:lineRule="auto"/>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五、公告期限</w:t>
      </w:r>
    </w:p>
    <w:p w:rsidR="00036D10" w:rsidRDefault="00036D10" w:rsidP="00036D10">
      <w:pPr>
        <w:widowControl/>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自本公告发布之日起5个工作日。</w:t>
      </w:r>
    </w:p>
    <w:p w:rsidR="00036D10" w:rsidRDefault="00036D10" w:rsidP="00036D10">
      <w:pPr>
        <w:widowControl/>
        <w:spacing w:line="360" w:lineRule="auto"/>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六、其他补充事宜</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1、注意事项</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(1)供应商初次使用电子交易平台时,请先阅读【全国公共资源交易平台(陕西省•西安市)】(http://sxggzyjy.xa.gov.cn/)网站(首页</w:t>
      </w:r>
      <w:proofErr w:type="gramStart"/>
      <w:r>
        <w:rPr>
          <w:rFonts w:asciiTheme="minorEastAsia" w:eastAsiaTheme="minorEastAsia" w:hAnsiTheme="minorEastAsia" w:cs="宋体" w:hint="eastAsia"/>
          <w:kern w:val="0"/>
          <w:szCs w:val="21"/>
        </w:rPr>
        <w:t>〉</w:t>
      </w:r>
      <w:proofErr w:type="gramEnd"/>
      <w:r>
        <w:rPr>
          <w:rFonts w:asciiTheme="minorEastAsia" w:eastAsiaTheme="minorEastAsia" w:hAnsiTheme="minorEastAsia" w:cs="宋体" w:hint="eastAsia"/>
          <w:kern w:val="0"/>
          <w:szCs w:val="21"/>
        </w:rPr>
        <w:t>服务指南</w:t>
      </w:r>
      <w:proofErr w:type="gramStart"/>
      <w:r>
        <w:rPr>
          <w:rFonts w:asciiTheme="minorEastAsia" w:eastAsiaTheme="minorEastAsia" w:hAnsiTheme="minorEastAsia" w:cs="宋体" w:hint="eastAsia"/>
          <w:kern w:val="0"/>
          <w:szCs w:val="21"/>
        </w:rPr>
        <w:t>〉</w:t>
      </w:r>
      <w:proofErr w:type="gramEnd"/>
      <w:r>
        <w:rPr>
          <w:rFonts w:asciiTheme="minorEastAsia" w:eastAsiaTheme="minorEastAsia" w:hAnsiTheme="minorEastAsia" w:cs="宋体" w:hint="eastAsia"/>
          <w:kern w:val="0"/>
          <w:szCs w:val="21"/>
        </w:rPr>
        <w:t>下载专区)中的《西安市市级单位电子化政府采购项目投标指南》,并按要求完成诚信入库登记、CA认证及企业信息绑定。</w:t>
      </w:r>
    </w:p>
    <w:p w:rsidR="00036D10" w:rsidRDefault="00036D10" w:rsidP="00036D10">
      <w:pPr>
        <w:widowControl/>
        <w:spacing w:line="360" w:lineRule="auto"/>
        <w:ind w:right="-195"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(2)办理CA认证:电子交易平台现已接入陕西CA、深圳CA、西部CA、北京CA四家数字证书公司,各供应商在交易过程中登录系统、加密/解密投标文件、文件签章等均可使用上述四家CA公司签发的数字证书。办理须知及所需资料详见</w:t>
      </w:r>
      <w:r>
        <w:rPr>
          <w:rFonts w:asciiTheme="minorEastAsia" w:eastAsiaTheme="minorEastAsia" w:hAnsiTheme="minorEastAsia" w:cs="宋体" w:hint="eastAsia"/>
          <w:kern w:val="0"/>
          <w:sz w:val="18"/>
          <w:szCs w:val="18"/>
        </w:rPr>
        <w:t>:http://www/sxggzyjy.cn/fwzn/004003/20220701/6972feo2-f996-4928-951e-545dab02e53c.htm1</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(3)请供应商务</w:t>
      </w:r>
      <w:proofErr w:type="gramStart"/>
      <w:r>
        <w:rPr>
          <w:rFonts w:asciiTheme="minorEastAsia" w:eastAsiaTheme="minorEastAsia" w:hAnsiTheme="minorEastAsia" w:cs="宋体" w:hint="eastAsia"/>
          <w:kern w:val="0"/>
          <w:szCs w:val="21"/>
        </w:rPr>
        <w:t>必及时</w:t>
      </w:r>
      <w:proofErr w:type="gramEnd"/>
      <w:r>
        <w:rPr>
          <w:rFonts w:asciiTheme="minorEastAsia" w:eastAsiaTheme="minorEastAsia" w:hAnsiTheme="minorEastAsia" w:cs="宋体" w:hint="eastAsia"/>
          <w:kern w:val="0"/>
          <w:szCs w:val="21"/>
        </w:rPr>
        <w:t>下载项目招标文件并做好各份,否则会影响投标文件编制及后续投标活动。</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(4)本项目采用“不见面开标”形式,供应商可登录全国公共资源交易平台(陕西省•西安市)网站(首页</w:t>
      </w:r>
      <w:proofErr w:type="gramStart"/>
      <w:r>
        <w:rPr>
          <w:rFonts w:asciiTheme="minorEastAsia" w:eastAsiaTheme="minorEastAsia" w:hAnsiTheme="minorEastAsia" w:cs="宋体" w:hint="eastAsia"/>
          <w:kern w:val="0"/>
          <w:szCs w:val="21"/>
        </w:rPr>
        <w:t>〉</w:t>
      </w:r>
      <w:proofErr w:type="gramEnd"/>
      <w:r>
        <w:rPr>
          <w:rFonts w:asciiTheme="minorEastAsia" w:eastAsiaTheme="minorEastAsia" w:hAnsiTheme="minorEastAsia" w:cs="宋体" w:hint="eastAsia"/>
          <w:kern w:val="0"/>
          <w:szCs w:val="21"/>
        </w:rPr>
        <w:t>不见面开标)系统,在线参加开标过程。操作手册详见</w:t>
      </w:r>
      <w:proofErr w:type="gramStart"/>
      <w:r>
        <w:rPr>
          <w:rFonts w:asciiTheme="minorEastAsia" w:eastAsiaTheme="minorEastAsia" w:hAnsiTheme="minorEastAsia" w:cs="宋体" w:hint="eastAsia"/>
          <w:kern w:val="0"/>
          <w:szCs w:val="21"/>
        </w:rPr>
        <w:t>〖</w:t>
      </w:r>
      <w:proofErr w:type="gramEnd"/>
      <w:r>
        <w:rPr>
          <w:rFonts w:asciiTheme="minorEastAsia" w:eastAsiaTheme="minorEastAsia" w:hAnsiTheme="minorEastAsia" w:cs="宋体" w:hint="eastAsia"/>
          <w:kern w:val="0"/>
          <w:szCs w:val="21"/>
        </w:rPr>
        <w:t>首页〉服务指南〉下载专区中的《西安公共资源交易不见面开标大厅供应商操作手册》。</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(5)按照陕西省财政厅《关于政府采购供应商注册登记有关事项的通知》中的要求,供应商应通过陕西省政府采购网(http://www.ccgp shaanxi.gov.cn/)注册登记,加入陕西省政府采购供应商库。</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w:t>
      </w:r>
      <w:proofErr w:type="gramStart"/>
      <w:r>
        <w:rPr>
          <w:rFonts w:asciiTheme="minorEastAsia" w:eastAsiaTheme="minorEastAsia" w:hAnsiTheme="minorEastAsia" w:cs="宋体" w:hint="eastAsia"/>
          <w:kern w:val="0"/>
          <w:szCs w:val="21"/>
        </w:rPr>
        <w:t>版电子</w:t>
      </w:r>
      <w:proofErr w:type="gramEnd"/>
      <w:r>
        <w:rPr>
          <w:rFonts w:asciiTheme="minorEastAsia" w:eastAsiaTheme="minorEastAsia" w:hAnsiTheme="minorEastAsia" w:cs="宋体" w:hint="eastAsia"/>
          <w:kern w:val="0"/>
          <w:szCs w:val="21"/>
        </w:rPr>
        <w:t>招标文件制作的电子投标文件（*.SXSTF），系统将拒绝接收。</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(7)其他事项见本项目招标文件。</w:t>
      </w:r>
    </w:p>
    <w:p w:rsidR="00036D10" w:rsidRDefault="00036D10" w:rsidP="00036D10">
      <w:pPr>
        <w:pStyle w:val="a0"/>
        <w:spacing w:line="360" w:lineRule="auto"/>
        <w:jc w:val="both"/>
      </w:pPr>
      <w:r>
        <w:rPr>
          <w:rFonts w:hint="eastAsia"/>
        </w:rPr>
        <w:t xml:space="preserve"> </w:t>
      </w:r>
      <w:r>
        <w:t xml:space="preserve">    2</w:t>
      </w:r>
      <w:r>
        <w:rPr>
          <w:rFonts w:hint="eastAsia"/>
        </w:rPr>
        <w:t>、交货期：自合同签订之日起</w:t>
      </w:r>
      <w:r>
        <w:rPr>
          <w:rFonts w:hint="eastAsia"/>
        </w:rPr>
        <w:t>25</w:t>
      </w:r>
      <w:r>
        <w:rPr>
          <w:rFonts w:hint="eastAsia"/>
        </w:rPr>
        <w:t>个日历日。</w:t>
      </w:r>
    </w:p>
    <w:p w:rsidR="00036D10" w:rsidRDefault="00036D10" w:rsidP="00036D10">
      <w:pPr>
        <w:widowControl/>
        <w:spacing w:line="360" w:lineRule="auto"/>
        <w:ind w:right="-195" w:firstLine="480"/>
        <w:jc w:val="left"/>
        <w:rPr>
          <w:rFonts w:asciiTheme="minorEastAsia" w:eastAsiaTheme="minorEastAsia" w:hAnsiTheme="minorEastAsia" w:cs="宋体"/>
          <w:kern w:val="0"/>
          <w:szCs w:val="21"/>
          <w:highlight w:val="yellow"/>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rsidR="00036D10" w:rsidRDefault="00036D10" w:rsidP="00036D10">
      <w:pPr>
        <w:widowControl/>
        <w:spacing w:line="360" w:lineRule="auto"/>
        <w:jc w:val="left"/>
        <w:outlineLvl w:val="3"/>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七、对本次招标提出询问，请按以下方式联系</w:t>
      </w:r>
    </w:p>
    <w:p w:rsidR="00036D10" w:rsidRDefault="00036D10" w:rsidP="00036D10">
      <w:pPr>
        <w:widowControl/>
        <w:spacing w:line="360" w:lineRule="auto"/>
        <w:outlineLvl w:val="5"/>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1.采购人信息</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名称：西安市公安局高陵分局</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地址：西安市高陵区鹿苑草市街53号</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联系方式：029-86759777 </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2.采购代理机构信息</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名称：龙寰项目管理咨询有限公司</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地址：西安市</w:t>
      </w:r>
      <w:proofErr w:type="gramStart"/>
      <w:r>
        <w:rPr>
          <w:rFonts w:asciiTheme="minorEastAsia" w:eastAsiaTheme="minorEastAsia" w:hAnsiTheme="minorEastAsia" w:cs="宋体" w:hint="eastAsia"/>
          <w:kern w:val="0"/>
          <w:szCs w:val="21"/>
        </w:rPr>
        <w:t>太</w:t>
      </w:r>
      <w:proofErr w:type="gramEnd"/>
      <w:r>
        <w:rPr>
          <w:rFonts w:asciiTheme="minorEastAsia" w:eastAsiaTheme="minorEastAsia" w:hAnsiTheme="minorEastAsia" w:cs="宋体" w:hint="eastAsia"/>
          <w:kern w:val="0"/>
          <w:szCs w:val="21"/>
        </w:rPr>
        <w:t>白南路181号西部电子社区A座A区501室</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联系方式：029-88228899-623</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3.项目联系方式</w:t>
      </w:r>
    </w:p>
    <w:p w:rsidR="00036D10" w:rsidRDefault="00036D10" w:rsidP="00036D10">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项目联系人：高维、安力、张波</w:t>
      </w:r>
    </w:p>
    <w:p w:rsidR="00FD14E2" w:rsidRDefault="00036D10" w:rsidP="00036D10">
      <w:r>
        <w:rPr>
          <w:rFonts w:asciiTheme="minorEastAsia" w:eastAsiaTheme="minorEastAsia" w:hAnsiTheme="minorEastAsia" w:cs="宋体" w:hint="eastAsia"/>
          <w:kern w:val="0"/>
          <w:szCs w:val="21"/>
        </w:rPr>
        <w:t>电话：029-88228899-623</w:t>
      </w:r>
      <w:bookmarkStart w:id="0" w:name="_GoBack"/>
      <w:bookmarkEnd w:id="0"/>
    </w:p>
    <w:p w:rsidR="00FD14E2" w:rsidRDefault="00FD14E2"/>
    <w:sectPr w:rsidR="00FD1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D10" w:rsidRDefault="00036D10" w:rsidP="00036D10">
      <w:r>
        <w:separator/>
      </w:r>
    </w:p>
  </w:endnote>
  <w:endnote w:type="continuationSeparator" w:id="0">
    <w:p w:rsidR="00036D10" w:rsidRDefault="00036D10" w:rsidP="0003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10" w:rsidRDefault="00036D10" w:rsidP="00036D10">
      <w:r>
        <w:separator/>
      </w:r>
    </w:p>
  </w:footnote>
  <w:footnote w:type="continuationSeparator" w:id="0">
    <w:p w:rsidR="00036D10" w:rsidRDefault="00036D10" w:rsidP="00036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MWFlODYzZWMzZTAyYzEyZDQwN2M1Y2E4MGViOGIifQ=="/>
  </w:docVars>
  <w:rsids>
    <w:rsidRoot w:val="00FD14E2"/>
    <w:rsid w:val="00036D10"/>
    <w:rsid w:val="00FD14E2"/>
    <w:rsid w:val="16E17242"/>
    <w:rsid w:val="185D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imes New Roman" w:eastAsia="宋体" w:hAnsi="Times New Roman" w:cs="Times New Roman"/>
      <w:kern w:val="2"/>
      <w:sz w:val="21"/>
    </w:rPr>
  </w:style>
  <w:style w:type="paragraph" w:styleId="1">
    <w:name w:val="heading 1"/>
    <w:basedOn w:val="a"/>
    <w:next w:val="a"/>
    <w:qFormat/>
    <w:pPr>
      <w:jc w:val="center"/>
      <w:outlineLvl w:val="0"/>
    </w:pPr>
    <w:rPr>
      <w:rFonts w:ascii="宋体" w:hAnsi="宋体"/>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jc w:val="center"/>
    </w:pPr>
  </w:style>
  <w:style w:type="paragraph" w:styleId="2">
    <w:name w:val="Body Text 2"/>
    <w:basedOn w:val="a"/>
    <w:qFormat/>
    <w:rPr>
      <w:sz w:val="30"/>
    </w:rPr>
  </w:style>
  <w:style w:type="paragraph" w:styleId="a4">
    <w:name w:val="Normal Indent"/>
    <w:basedOn w:val="a"/>
    <w:uiPriority w:val="99"/>
    <w:qFormat/>
    <w:pPr>
      <w:ind w:firstLineChars="200" w:firstLine="420"/>
    </w:pPr>
  </w:style>
  <w:style w:type="paragraph" w:styleId="a5">
    <w:name w:val="Normal (Web)"/>
    <w:basedOn w:val="a"/>
    <w:uiPriority w:val="99"/>
    <w:qFormat/>
    <w:pPr>
      <w:widowControl/>
      <w:spacing w:before="100" w:beforeAutospacing="1" w:after="100" w:afterAutospacing="1"/>
      <w:jc w:val="left"/>
    </w:pPr>
    <w:rPr>
      <w:rFonts w:ascii="宋体" w:hAnsi="宋体"/>
      <w:kern w:val="0"/>
      <w:sz w:val="24"/>
    </w:rPr>
  </w:style>
  <w:style w:type="paragraph" w:styleId="a6">
    <w:name w:val="header"/>
    <w:basedOn w:val="a"/>
    <w:link w:val="Char"/>
    <w:rsid w:val="00036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36D10"/>
    <w:rPr>
      <w:rFonts w:ascii="Times New Roman" w:eastAsia="宋体" w:hAnsi="Times New Roman" w:cs="Times New Roman"/>
      <w:kern w:val="2"/>
      <w:sz w:val="18"/>
      <w:szCs w:val="18"/>
    </w:rPr>
  </w:style>
  <w:style w:type="paragraph" w:styleId="a7">
    <w:name w:val="footer"/>
    <w:basedOn w:val="a"/>
    <w:link w:val="Char0"/>
    <w:rsid w:val="00036D10"/>
    <w:pPr>
      <w:tabs>
        <w:tab w:val="center" w:pos="4153"/>
        <w:tab w:val="right" w:pos="8306"/>
      </w:tabs>
      <w:snapToGrid w:val="0"/>
      <w:jc w:val="left"/>
    </w:pPr>
    <w:rPr>
      <w:sz w:val="18"/>
      <w:szCs w:val="18"/>
    </w:rPr>
  </w:style>
  <w:style w:type="character" w:customStyle="1" w:styleId="Char0">
    <w:name w:val="页脚 Char"/>
    <w:basedOn w:val="a1"/>
    <w:link w:val="a7"/>
    <w:rsid w:val="00036D1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imes New Roman" w:eastAsia="宋体" w:hAnsi="Times New Roman" w:cs="Times New Roman"/>
      <w:kern w:val="2"/>
      <w:sz w:val="21"/>
    </w:rPr>
  </w:style>
  <w:style w:type="paragraph" w:styleId="1">
    <w:name w:val="heading 1"/>
    <w:basedOn w:val="a"/>
    <w:next w:val="a"/>
    <w:qFormat/>
    <w:pPr>
      <w:jc w:val="center"/>
      <w:outlineLvl w:val="0"/>
    </w:pPr>
    <w:rPr>
      <w:rFonts w:ascii="宋体" w:hAnsi="宋体"/>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jc w:val="center"/>
    </w:pPr>
  </w:style>
  <w:style w:type="paragraph" w:styleId="2">
    <w:name w:val="Body Text 2"/>
    <w:basedOn w:val="a"/>
    <w:qFormat/>
    <w:rPr>
      <w:sz w:val="30"/>
    </w:rPr>
  </w:style>
  <w:style w:type="paragraph" w:styleId="a4">
    <w:name w:val="Normal Indent"/>
    <w:basedOn w:val="a"/>
    <w:uiPriority w:val="99"/>
    <w:qFormat/>
    <w:pPr>
      <w:ind w:firstLineChars="200" w:firstLine="420"/>
    </w:pPr>
  </w:style>
  <w:style w:type="paragraph" w:styleId="a5">
    <w:name w:val="Normal (Web)"/>
    <w:basedOn w:val="a"/>
    <w:uiPriority w:val="99"/>
    <w:qFormat/>
    <w:pPr>
      <w:widowControl/>
      <w:spacing w:before="100" w:beforeAutospacing="1" w:after="100" w:afterAutospacing="1"/>
      <w:jc w:val="left"/>
    </w:pPr>
    <w:rPr>
      <w:rFonts w:ascii="宋体" w:hAnsi="宋体"/>
      <w:kern w:val="0"/>
      <w:sz w:val="24"/>
    </w:rPr>
  </w:style>
  <w:style w:type="paragraph" w:styleId="a6">
    <w:name w:val="header"/>
    <w:basedOn w:val="a"/>
    <w:link w:val="Char"/>
    <w:rsid w:val="00036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36D10"/>
    <w:rPr>
      <w:rFonts w:ascii="Times New Roman" w:eastAsia="宋体" w:hAnsi="Times New Roman" w:cs="Times New Roman"/>
      <w:kern w:val="2"/>
      <w:sz w:val="18"/>
      <w:szCs w:val="18"/>
    </w:rPr>
  </w:style>
  <w:style w:type="paragraph" w:styleId="a7">
    <w:name w:val="footer"/>
    <w:basedOn w:val="a"/>
    <w:link w:val="Char0"/>
    <w:rsid w:val="00036D10"/>
    <w:pPr>
      <w:tabs>
        <w:tab w:val="center" w:pos="4153"/>
        <w:tab w:val="right" w:pos="8306"/>
      </w:tabs>
      <w:snapToGrid w:val="0"/>
      <w:jc w:val="left"/>
    </w:pPr>
    <w:rPr>
      <w:sz w:val="18"/>
      <w:szCs w:val="18"/>
    </w:rPr>
  </w:style>
  <w:style w:type="character" w:customStyle="1" w:styleId="Char0">
    <w:name w:val="页脚 Char"/>
    <w:basedOn w:val="a1"/>
    <w:link w:val="a7"/>
    <w:rsid w:val="00036D1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2144</Words>
  <Characters>542</Characters>
  <Application>Microsoft Office Word</Application>
  <DocSecurity>0</DocSecurity>
  <Lines>4</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2024-01-05T03:58:00Z</cp:lastPrinted>
  <dcterms:created xsi:type="dcterms:W3CDTF">2024-01-03T08:12:00Z</dcterms:created>
  <dcterms:modified xsi:type="dcterms:W3CDTF">2024-01-09T08:46:00Z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9E438FC95E144A6BA2362674140BD3AD_12</vt:lpwstr>
  </property>
</Properties>
</file>