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auto"/>
        </w:rPr>
      </w:pPr>
      <w:bookmarkStart w:id="0" w:name="_Toc30566"/>
      <w:r>
        <w:rPr>
          <w:rFonts w:hint="eastAsia" w:ascii="宋体" w:hAnsi="宋体" w:eastAsia="宋体" w:cs="宋体"/>
          <w:color w:val="auto"/>
        </w:rPr>
        <w:t>招标内容及要求</w:t>
      </w:r>
      <w:bookmarkEnd w:id="0"/>
    </w:p>
    <w:p>
      <w:pPr>
        <w:pStyle w:val="3"/>
        <w:bidi w:val="0"/>
        <w:ind w:left="0" w:leftChars="0" w:firstLine="0" w:firstLineChars="0"/>
        <w:jc w:val="left"/>
        <w:rPr>
          <w:rFonts w:hint="eastAsia" w:ascii="宋体" w:hAnsi="宋体" w:eastAsia="宋体" w:cs="宋体"/>
          <w:color w:val="auto"/>
          <w:sz w:val="21"/>
          <w:szCs w:val="21"/>
          <w:lang w:val="en-US" w:eastAsia="zh-CN"/>
        </w:rPr>
      </w:pPr>
      <w:bookmarkStart w:id="1" w:name="_Toc22639"/>
      <w:r>
        <w:rPr>
          <w:rFonts w:hint="eastAsia" w:ascii="宋体" w:hAnsi="宋体" w:eastAsia="宋体" w:cs="宋体"/>
          <w:color w:val="auto"/>
          <w:sz w:val="21"/>
          <w:szCs w:val="21"/>
          <w:lang w:val="en-US" w:eastAsia="zh-CN"/>
        </w:rPr>
        <w:t>一、项目概况</w:t>
      </w:r>
      <w:bookmarkEnd w:id="1"/>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bookmarkStart w:id="2" w:name="bookmark42"/>
      <w:r>
        <w:rPr>
          <w:rFonts w:hint="eastAsia" w:ascii="宋体" w:hAnsi="宋体" w:eastAsia="宋体" w:cs="宋体"/>
          <w:color w:val="auto"/>
          <w:sz w:val="21"/>
          <w:szCs w:val="21"/>
          <w:lang w:val="en-US" w:eastAsia="zh-CN"/>
        </w:rPr>
        <w:t>根据《西安市生活垃圾分类工作领导小组关于印发西安市保障生活垃圾分类工作推进奖补方案的通知》，现需采购一批可卸式垃圾车车辆。本项目已具备招标条件，招标方式为公开招标。</w:t>
      </w:r>
    </w:p>
    <w:bookmarkEnd w:id="2"/>
    <w:p>
      <w:pPr>
        <w:pStyle w:val="3"/>
        <w:bidi w:val="0"/>
        <w:ind w:left="0" w:leftChars="0" w:firstLine="0" w:firstLineChars="0"/>
        <w:jc w:val="left"/>
        <w:rPr>
          <w:rFonts w:hint="eastAsia" w:ascii="宋体" w:hAnsi="宋体" w:eastAsia="宋体" w:cs="宋体"/>
          <w:color w:val="auto"/>
          <w:sz w:val="21"/>
          <w:szCs w:val="21"/>
          <w:lang w:val="en-US" w:eastAsia="zh-CN"/>
        </w:rPr>
      </w:pPr>
      <w:bookmarkStart w:id="3" w:name="_Toc14217"/>
      <w:r>
        <w:rPr>
          <w:rFonts w:hint="eastAsia" w:ascii="宋体" w:hAnsi="宋体" w:eastAsia="宋体" w:cs="宋体"/>
          <w:color w:val="auto"/>
          <w:sz w:val="21"/>
          <w:szCs w:val="21"/>
          <w:lang w:val="en-US" w:eastAsia="zh-CN"/>
        </w:rPr>
        <w:t>二、招标内容</w:t>
      </w:r>
      <w:bookmarkEnd w:id="3"/>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总质量2800kg以上的车厢可卸式钩臂垃圾车19辆，配套3立方米的垃</w:t>
      </w:r>
      <w:bookmarkStart w:id="9" w:name="_GoBack"/>
      <w:bookmarkEnd w:id="9"/>
      <w:r>
        <w:rPr>
          <w:rFonts w:hint="eastAsia" w:ascii="宋体" w:hAnsi="宋体" w:eastAsia="宋体" w:cs="宋体"/>
          <w:color w:val="auto"/>
          <w:sz w:val="21"/>
          <w:szCs w:val="21"/>
          <w:lang w:val="en-US" w:eastAsia="zh-CN"/>
        </w:rPr>
        <w:t>圾箱50个及车辆上牌。</w:t>
      </w:r>
    </w:p>
    <w:p>
      <w:pPr>
        <w:pStyle w:val="3"/>
        <w:bidi w:val="0"/>
        <w:ind w:left="0" w:leftChars="0" w:firstLine="0" w:firstLineChars="0"/>
        <w:jc w:val="left"/>
        <w:rPr>
          <w:rFonts w:hint="eastAsia" w:ascii="宋体" w:hAnsi="宋体" w:eastAsia="宋体" w:cs="宋体"/>
          <w:color w:val="auto"/>
          <w:sz w:val="21"/>
          <w:szCs w:val="21"/>
          <w:lang w:val="en-US" w:eastAsia="zh-CN"/>
        </w:rPr>
      </w:pPr>
      <w:bookmarkStart w:id="4" w:name="_Toc18186"/>
      <w:r>
        <w:rPr>
          <w:rFonts w:hint="eastAsia" w:ascii="宋体" w:hAnsi="宋体" w:eastAsia="宋体" w:cs="宋体"/>
          <w:color w:val="auto"/>
          <w:sz w:val="21"/>
          <w:szCs w:val="21"/>
          <w:lang w:val="en-US" w:eastAsia="zh-CN"/>
        </w:rPr>
        <w:t>三、技术要求</w:t>
      </w:r>
      <w:bookmarkEnd w:id="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845"/>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sz w:val="20"/>
                <w:szCs w:val="20"/>
                <w:vertAlign w:val="baseline"/>
                <w:lang w:val="en-US" w:eastAsia="zh-CN"/>
              </w:rPr>
            </w:pPr>
            <w:r>
              <w:rPr>
                <w:rFonts w:hint="eastAsia" w:ascii="宋体" w:hAnsi="宋体" w:eastAsia="宋体" w:cs="宋体"/>
                <w:b/>
                <w:bCs/>
                <w:color w:val="auto"/>
                <w:sz w:val="20"/>
                <w:szCs w:val="20"/>
                <w:vertAlign w:val="baseline"/>
                <w:lang w:val="en-US" w:eastAsia="zh-CN"/>
              </w:rPr>
              <w:t>指标项目</w:t>
            </w:r>
          </w:p>
        </w:tc>
        <w:tc>
          <w:tcPr>
            <w:tcW w:w="4327"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sz w:val="20"/>
                <w:szCs w:val="20"/>
                <w:vertAlign w:val="baseline"/>
                <w:lang w:val="en-US" w:eastAsia="zh-CN"/>
              </w:rPr>
            </w:pPr>
            <w:r>
              <w:rPr>
                <w:rFonts w:hint="eastAsia" w:ascii="宋体" w:hAnsi="宋体" w:eastAsia="宋体" w:cs="宋体"/>
                <w:b/>
                <w:bCs/>
                <w:color w:val="auto"/>
                <w:sz w:val="20"/>
                <w:szCs w:val="20"/>
                <w:vertAlign w:val="baseline"/>
                <w:lang w:val="en-US" w:eastAsia="zh-CN"/>
              </w:rPr>
              <w:t>※</w:t>
            </w:r>
            <w:r>
              <w:rPr>
                <w:rFonts w:hint="eastAsia" w:ascii="宋体" w:hAnsi="宋体" w:eastAsia="宋体" w:cs="宋体"/>
                <w:b/>
                <w:bCs/>
                <w:color w:val="auto"/>
                <w:sz w:val="20"/>
                <w:szCs w:val="20"/>
                <w:vertAlign w:val="baseline"/>
                <w:lang w:val="zh-CN" w:eastAsia="zh-CN"/>
              </w:rPr>
              <w:t>钩臂垃圾车</w:t>
            </w:r>
          </w:p>
        </w:tc>
        <w:tc>
          <w:tcPr>
            <w:tcW w:w="408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sz w:val="20"/>
                <w:szCs w:val="20"/>
                <w:vertAlign w:val="baseline"/>
                <w:lang w:val="en-US" w:eastAsia="zh-CN"/>
              </w:rPr>
            </w:pPr>
            <w:r>
              <w:rPr>
                <w:rFonts w:hint="eastAsia" w:ascii="宋体" w:hAnsi="宋体" w:eastAsia="宋体" w:cs="宋体"/>
                <w:b/>
                <w:bCs/>
                <w:color w:val="auto"/>
                <w:sz w:val="20"/>
                <w:szCs w:val="20"/>
                <w:vertAlign w:val="baseline"/>
                <w:lang w:val="en-US" w:eastAsia="zh-CN"/>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eastAsia="zh-CN"/>
              </w:rPr>
              <w:t>技术参数要求</w:t>
            </w:r>
          </w:p>
        </w:tc>
        <w:tc>
          <w:tcPr>
            <w:tcW w:w="4327" w:type="dxa"/>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1.▲外形尺寸(长)mm *(宽)mm* (高) mm ≥4600*1650*1930 mm</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2.最大总质量 kg≤3500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▲汽油发动机额定功率（</w:t>
            </w:r>
            <w:r>
              <w:rPr>
                <w:rFonts w:hint="eastAsia" w:ascii="宋体" w:hAnsi="宋体" w:eastAsia="宋体" w:cs="宋体"/>
                <w:color w:val="auto"/>
                <w:sz w:val="20"/>
                <w:szCs w:val="20"/>
                <w:lang w:val="en-US" w:eastAsia="zh-CN"/>
              </w:rPr>
              <w:t>KW</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82</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lang w:eastAsia="zh-CN"/>
              </w:rPr>
              <w:t>▲整备质量kg≥1500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eastAsia="zh-CN"/>
              </w:rPr>
              <w:t>.▲额定载质量kg≥1850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lang w:eastAsia="zh-CN"/>
              </w:rPr>
              <w:t>.轴距mm≥2990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rPr>
            </w:pP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rPr>
              <w:t>接近角/离去角（°）≥40/23</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前悬/后悬（mm）≥725/880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lang w:eastAsia="zh-CN"/>
              </w:rPr>
              <w:t>▲最高车速（km/h）≥100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eastAsia="zh-CN"/>
              </w:rPr>
              <w:t>▲钩臂系统最大起重能力（t）</w:t>
            </w:r>
            <w:r>
              <w:rPr>
                <w:rFonts w:hint="eastAsia" w:ascii="宋体" w:hAnsi="宋体" w:eastAsia="宋体" w:cs="宋体"/>
                <w:color w:val="auto"/>
                <w:sz w:val="20"/>
                <w:szCs w:val="20"/>
                <w:lang w:val="en-US" w:eastAsia="zh-CN"/>
              </w:rPr>
              <w:t>≥1.5</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.▲最大自卸角度（°）≥48</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lang w:eastAsia="zh-CN"/>
              </w:rPr>
              <w:t>▲液压系统工作压力（MPa）≥1</w:t>
            </w:r>
            <w:r>
              <w:rPr>
                <w:rFonts w:hint="eastAsia" w:ascii="宋体" w:hAnsi="宋体" w:eastAsia="宋体" w:cs="宋体"/>
                <w:color w:val="auto"/>
                <w:sz w:val="20"/>
                <w:szCs w:val="20"/>
                <w:lang w:val="en-US" w:eastAsia="zh-CN"/>
              </w:rPr>
              <w:t>6</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13.装箱工作时间（s）</w:t>
            </w:r>
            <w:r>
              <w:rPr>
                <w:rFonts w:hint="eastAsia" w:ascii="宋体" w:hAnsi="宋体" w:eastAsia="宋体" w:cs="宋体"/>
                <w:color w:val="auto"/>
                <w:sz w:val="20"/>
                <w:szCs w:val="20"/>
                <w:lang w:val="en-US" w:eastAsia="zh-CN"/>
              </w:rPr>
              <w:tab/>
            </w:r>
            <w:r>
              <w:rPr>
                <w:rFonts w:hint="eastAsia" w:ascii="宋体" w:hAnsi="宋体" w:eastAsia="宋体" w:cs="宋体"/>
                <w:color w:val="auto"/>
                <w:sz w:val="20"/>
                <w:szCs w:val="20"/>
                <w:lang w:val="en-US" w:eastAsia="zh-CN"/>
              </w:rPr>
              <w:t>≤35</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14.卸箱工作时间（s）</w:t>
            </w:r>
            <w:r>
              <w:rPr>
                <w:rFonts w:hint="eastAsia" w:ascii="宋体" w:hAnsi="宋体" w:eastAsia="宋体" w:cs="宋体"/>
                <w:color w:val="auto"/>
                <w:sz w:val="20"/>
                <w:szCs w:val="20"/>
                <w:lang w:val="en-US" w:eastAsia="zh-CN"/>
              </w:rPr>
              <w:tab/>
            </w:r>
            <w:r>
              <w:rPr>
                <w:rFonts w:hint="eastAsia" w:ascii="宋体" w:hAnsi="宋体" w:eastAsia="宋体" w:cs="宋体"/>
                <w:color w:val="auto"/>
                <w:sz w:val="20"/>
                <w:szCs w:val="20"/>
                <w:lang w:val="en-US" w:eastAsia="zh-CN"/>
              </w:rPr>
              <w:t>≤45</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val="en-US" w:eastAsia="zh-CN"/>
              </w:rPr>
              <w:t>15.驾驶室配原厂冷暖空调</w:t>
            </w:r>
          </w:p>
        </w:tc>
        <w:tc>
          <w:tcPr>
            <w:tcW w:w="4089" w:type="dxa"/>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长*宽*高（mm)：≥2200*1400*1100</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2、箱体材质：镀锌钢板，地板≥2.5mm，边板≥2mm</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垃圾箱容积（m³)：≥3.3</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4.钩心高度≥1005mm</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5、侧板采用一次性折弯成型技术。</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6、箱体两侧投递门开启方式：滑拉式、掀盖式和复合式并设置开启拉手。</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箱体材质：框架采用30*50（±5）mm镀锌方钢，管壁厚度≥2.5mm，底部大梁采用50*120（±5）mm镀锌国标方刚制作。底部防滑倒钩为≥25mm钢板，箱体底部轨道采用汽车式大梁结构，配备金属滚轮4个，滑轮直径为≥200mm,吊钩位置用国标钢材。</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8、箱体采用整体式密闭钢材构架，后门为全开式，后门加装密封耐腐蚀胶条，两侧各配备1个坚固性能的锁紧挂钩，确保无污水泄漏。</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9、箱体焊接工艺：焊接点间隔≥90mm，焊接长度≥25mm。</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val="en-US" w:eastAsia="zh-CN"/>
              </w:rPr>
              <w:t>10、箱体基础处理：所用材料表面应经过除油、喷砂、防锈等防腐蚀涂层处理，箱体内部整体喷涂专用防腐蚀物质处理，喷涂厚度≥2mm。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eastAsia="zh-CN"/>
              </w:rPr>
              <w:t>主要性能要求</w:t>
            </w:r>
          </w:p>
        </w:tc>
        <w:tc>
          <w:tcPr>
            <w:tcW w:w="4327" w:type="dxa"/>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1、要求钩臂采用钢板制作，具有高耐磨性、耐久性的特性；安全提升钩采用高强度耐磨钢制成；</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2、所有操作均可在驾驶室内完成；</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3、箱体安全锁，当车辆在行驶过程中，车箱不会发生抖动现象；</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eastAsia="zh-CN"/>
              </w:rPr>
              <w:t>4、钩臂装置采用联动结构，集作业模式切换、锁箱和翻转架限位为一体，简化操作控制系统，保护举升油缸，降低钩臂故障率，延长钩臂使用寿命。</w:t>
            </w:r>
          </w:p>
        </w:tc>
        <w:tc>
          <w:tcPr>
            <w:tcW w:w="4089" w:type="dxa"/>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1、垃圾箱耐酸、耐盐碱、耐水蚀等腐蚀性物质的侵害，生活垃圾收集箱收集垃圾时，确保无污水泄漏，运输过程中无二次污染。</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val="en-US" w:eastAsia="zh-CN"/>
              </w:rPr>
              <w:t>2、轨道及限位装置：其必须坚固，投标方保证能够与采购方配置的勾臂式垃圾清运车配套使用。</w:t>
            </w:r>
          </w:p>
        </w:tc>
      </w:tr>
    </w:tbl>
    <w:p>
      <w:pPr>
        <w:pStyle w:val="3"/>
        <w:bidi w:val="0"/>
        <w:ind w:left="0" w:leftChars="0" w:firstLine="0" w:firstLineChars="0"/>
        <w:jc w:val="left"/>
        <w:rPr>
          <w:rFonts w:hint="eastAsia" w:ascii="宋体" w:hAnsi="宋体" w:eastAsia="宋体" w:cs="宋体"/>
          <w:color w:val="auto"/>
          <w:sz w:val="21"/>
          <w:szCs w:val="21"/>
          <w:lang w:eastAsia="zh-CN"/>
        </w:rPr>
      </w:pPr>
      <w:bookmarkStart w:id="5" w:name="_Toc14286"/>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、服务要求</w:t>
      </w:r>
      <w:bookmarkEnd w:id="5"/>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项目实施安排合理，能够在承诺的时间内按期交货，</w:t>
      </w:r>
      <w:r>
        <w:rPr>
          <w:rFonts w:hint="eastAsia" w:ascii="宋体" w:hAnsi="宋体" w:eastAsia="宋体" w:cs="宋体"/>
          <w:color w:val="auto"/>
          <w:sz w:val="21"/>
          <w:szCs w:val="21"/>
          <w:lang w:val="en-US" w:eastAsia="zh-CN"/>
        </w:rPr>
        <w:t>有切实可行的</w:t>
      </w:r>
      <w:r>
        <w:rPr>
          <w:rFonts w:hint="eastAsia" w:ascii="宋体" w:hAnsi="宋体" w:eastAsia="宋体" w:cs="宋体"/>
          <w:color w:val="auto"/>
          <w:sz w:val="21"/>
          <w:szCs w:val="21"/>
          <w:lang w:eastAsia="zh-CN"/>
        </w:rPr>
        <w:t>备货、供货进度及保证措施，财力调配、运输等说明。</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2、具有</w:t>
      </w:r>
      <w:r>
        <w:rPr>
          <w:rFonts w:hint="eastAsia" w:ascii="宋体" w:hAnsi="宋体" w:eastAsia="宋体" w:cs="宋体"/>
          <w:color w:val="auto"/>
          <w:sz w:val="21"/>
          <w:szCs w:val="21"/>
          <w:lang w:eastAsia="zh-CN"/>
        </w:rPr>
        <w:t>拟投入本项目的人员安排及责任制度，安装、检测、调试措施，安全保障措施，应急处理措施。</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3、供应商具有售后服务能力，具有专业售后服务人员及维修设备，提供有详尽的配送、调试、验收、培训等计划或预案、承诺，能有效保障本地化技术服务及售后服务的协调性、及时性。</w:t>
      </w:r>
    </w:p>
    <w:p>
      <w:pPr>
        <w:pStyle w:val="3"/>
        <w:bidi w:val="0"/>
        <w:ind w:left="0" w:leftChars="0" w:firstLine="0" w:firstLineChars="0"/>
        <w:jc w:val="left"/>
        <w:rPr>
          <w:rFonts w:hint="eastAsia" w:ascii="宋体" w:hAnsi="宋体" w:eastAsia="宋体" w:cs="宋体"/>
          <w:color w:val="auto"/>
          <w:sz w:val="21"/>
          <w:szCs w:val="21"/>
          <w:lang w:val="en-US" w:eastAsia="zh-CN"/>
        </w:rPr>
      </w:pPr>
      <w:bookmarkStart w:id="6" w:name="_Toc22172"/>
      <w:r>
        <w:rPr>
          <w:rFonts w:hint="eastAsia" w:ascii="宋体" w:hAnsi="宋体" w:cs="宋体"/>
          <w:color w:val="auto"/>
          <w:sz w:val="21"/>
          <w:szCs w:val="21"/>
          <w:lang w:val="en-US" w:eastAsia="zh-CN"/>
        </w:rPr>
        <w:t>五</w:t>
      </w:r>
      <w:r>
        <w:rPr>
          <w:rFonts w:hint="eastAsia" w:ascii="宋体" w:hAnsi="宋体" w:eastAsia="宋体" w:cs="宋体"/>
          <w:color w:val="auto"/>
          <w:sz w:val="21"/>
          <w:szCs w:val="21"/>
          <w:lang w:val="en-US" w:eastAsia="zh-CN"/>
        </w:rPr>
        <w:t>、相关要求</w:t>
      </w:r>
      <w:bookmarkEnd w:id="6"/>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1、本章内容为基本要求，只是一些原则性规定，并不是详尽的要求，供应商有责任对符合采购需求的货物负责且投标货物性能、配置、型号、技术参数、功能等方面应不低于本章要求。</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若在招标文件中遗漏了必须具备的某项功能或服务，由供应商在投标文件中进行完善并计入报价中。供应商有义务保证采购货物的完整性，如项目实施过程中因缺少部分必要功能或服务导致货物无法正常投入使用，中标人必须负全部责任且必须免费提供直至货物能够正常投入使用且验收合格为止。</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3、采购的货物所涉及的产品标准、规范、验收标准，应</w:t>
      </w:r>
      <w:r>
        <w:rPr>
          <w:rFonts w:hint="eastAsia" w:ascii="宋体" w:hAnsi="宋体" w:eastAsia="宋体" w:cs="宋体"/>
          <w:color w:val="auto"/>
          <w:sz w:val="21"/>
          <w:szCs w:val="21"/>
          <w:lang w:val="zh-CN" w:eastAsia="zh-CN"/>
        </w:rPr>
        <w:t>符合国家强制性规定和有关规范、标准要求</w:t>
      </w:r>
      <w:r>
        <w:rPr>
          <w:rFonts w:hint="eastAsia" w:ascii="宋体" w:hAnsi="宋体" w:eastAsia="宋体" w:cs="宋体"/>
          <w:color w:val="auto"/>
          <w:sz w:val="21"/>
          <w:szCs w:val="21"/>
          <w:lang w:val="en-US" w:eastAsia="zh-CN"/>
        </w:rPr>
        <w:t>，如有新的标准应采用新的标准，如是国外相应标准应征得采购人认可。</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4、车辆必须符合国家现行相关标准。车辆配件必须符合国家标准，容易购买和配换。</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5、供应商应根据招标文件所提要求，综合考虑货物的适应性，选择具有最佳性能价格比的货物前来竞标。希望供应商以精良的货物、优良的服务和优惠的价格参与竞争，充分显示自身的竞争实力。</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供应商必须自行为其参加竞标货物侵犯其他供应商或专利人的专利权承担相应法律责任；同时，具有产品专利的供应商应在其投标文件中提供与其自有产品专利相关的有效证明材料，否则，不能就其产品的专利在本项目竞标过程中被侵权问题提出异议。</w:t>
      </w:r>
    </w:p>
    <w:p>
      <w:pPr>
        <w:pStyle w:val="3"/>
        <w:bidi w:val="0"/>
        <w:ind w:left="0" w:leftChars="0" w:firstLine="0" w:firstLineChars="0"/>
        <w:jc w:val="left"/>
        <w:rPr>
          <w:rFonts w:hint="eastAsia" w:ascii="宋体" w:hAnsi="宋体" w:eastAsia="宋体" w:cs="宋体"/>
          <w:color w:val="auto"/>
          <w:sz w:val="21"/>
          <w:szCs w:val="21"/>
          <w:lang w:val="en-US" w:eastAsia="zh-CN"/>
        </w:rPr>
      </w:pPr>
      <w:bookmarkStart w:id="7" w:name="_Toc31250"/>
      <w:r>
        <w:rPr>
          <w:rFonts w:hint="eastAsia" w:ascii="宋体" w:hAnsi="宋体" w:eastAsia="宋体" w:cs="宋体"/>
          <w:color w:val="auto"/>
          <w:sz w:val="21"/>
          <w:szCs w:val="21"/>
          <w:lang w:val="en-US" w:eastAsia="zh-CN"/>
        </w:rPr>
        <w:t>六、商务要求</w:t>
      </w:r>
      <w:bookmarkEnd w:id="7"/>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交货地点：采购人指定地点。</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交货期：30日日历天，全部采购内容应在合同约定的交货期内安装、调试、检测完毕并经验收、交付正常使用，逾期按违约处理。</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采购人不提供食宿、办公、库房等条件，所有事宜均由中标人承担，发生的费用在报价中综合考虑。</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合同价款</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合同价款为</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lang w:eastAsia="zh-CN"/>
        </w:rPr>
        <w:t>运至采购人指定地点并经安装、调试（或试运转）、验收合格、交付正常使用</w:t>
      </w:r>
      <w:r>
        <w:rPr>
          <w:rFonts w:hint="eastAsia" w:ascii="宋体" w:hAnsi="宋体" w:eastAsia="宋体" w:cs="宋体"/>
          <w:color w:val="auto"/>
          <w:sz w:val="21"/>
          <w:szCs w:val="21"/>
          <w:lang w:val="en-US" w:eastAsia="zh-CN"/>
        </w:rPr>
        <w:t>所包含一切费用的价格</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包含但不仅限于：货物的设计、采购、制造、供货、标准附件（含为完成安装及交付使用所必须增加的附件或配件）、备品备件 、易损件、工具、厂家赠品、原材料及生产制造、检验（包括海关、商检、技术监督局检验等）、包装、运输、强制保险（不含商业险）、海关手续费（</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lang w:eastAsia="zh-CN"/>
        </w:rPr>
        <w:t>）、附加税、利润、关税、购置税、车船使用税和费、牌照费、印花税、消费税、增值税、仓储费、附加费、各项费用成本、管理费、运杂费（包括产品从供货地点到使用地点的运输费、保险费、搬运费、装卸费、仓储费等）、手续费、生产、销售过程中的税费、合理利润及风险、安装、调试、检测、验收（含第三方验收）、技术服务、培训、售后服务、采购代理服务费及招标文件明示或暗示的全部费用，同时还应充分考虑为完成本项目所需的一切成本、利润、税金和风险。</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款项结算</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车辆验收合格交付使用后，乙方向甲方开具国家正规的车辆销售发票，在10个工作日内甲方支付 100%的总合同货款给乙方(不收取质保金，中标单位必须提供质保函)。</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（2）结算方式：银行转账</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运输</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中标人负责所有产品的运输，</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确保产品安全、完整到达使用地点。</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质量保证</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选用的产品质量可靠</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lang w:eastAsia="zh-CN"/>
        </w:rPr>
        <w:t>符合国家</w:t>
      </w:r>
      <w:r>
        <w:rPr>
          <w:rFonts w:hint="eastAsia" w:ascii="宋体" w:hAnsi="宋体" w:eastAsia="宋体" w:cs="宋体"/>
          <w:color w:val="auto"/>
          <w:sz w:val="21"/>
          <w:szCs w:val="21"/>
          <w:lang w:val="en-US" w:eastAsia="zh-CN"/>
        </w:rPr>
        <w:t>或行业相关</w:t>
      </w:r>
      <w:r>
        <w:rPr>
          <w:rFonts w:hint="eastAsia" w:ascii="宋体" w:hAnsi="宋体" w:eastAsia="宋体" w:cs="宋体"/>
          <w:color w:val="auto"/>
          <w:sz w:val="21"/>
          <w:szCs w:val="21"/>
          <w:lang w:eastAsia="zh-CN"/>
        </w:rPr>
        <w:t>规范</w:t>
      </w:r>
      <w:r>
        <w:rPr>
          <w:rFonts w:hint="eastAsia" w:ascii="宋体" w:hAnsi="宋体" w:eastAsia="宋体" w:cs="宋体"/>
          <w:color w:val="auto"/>
          <w:sz w:val="21"/>
          <w:szCs w:val="21"/>
          <w:lang w:val="en-US" w:eastAsia="zh-CN"/>
        </w:rPr>
        <w:t>标准</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技术服务</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技术资料：</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产品合格证；</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商检证、报关单（适用于进口产品）；</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产品使用说明书；</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其它相关资料。</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（2）售后服务承诺：投标文件中有明确的售后服务承诺。应向采购人提供全方位、有效而及时的技术支持和售后服务；且必须保证货物维修保养所需备品备件的及时供应；</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（3）人员培训：为使用单位免费培训技术人员。</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（4）招标文件明确需要提供的其他内容。</w:t>
      </w:r>
    </w:p>
    <w:p>
      <w:pPr>
        <w:pStyle w:val="3"/>
        <w:bidi w:val="0"/>
        <w:ind w:left="0" w:leftChars="0" w:firstLine="0" w:firstLineChars="0"/>
        <w:jc w:val="left"/>
        <w:rPr>
          <w:rFonts w:hint="eastAsia" w:ascii="宋体" w:hAnsi="宋体" w:eastAsia="宋体" w:cs="宋体"/>
          <w:color w:val="auto"/>
          <w:sz w:val="21"/>
          <w:szCs w:val="21"/>
          <w:lang w:val="en-US" w:eastAsia="zh-CN"/>
        </w:rPr>
      </w:pPr>
      <w:bookmarkStart w:id="8" w:name="_Toc22145"/>
      <w:r>
        <w:rPr>
          <w:rFonts w:hint="eastAsia" w:ascii="宋体" w:hAnsi="宋体" w:eastAsia="宋体" w:cs="宋体"/>
          <w:color w:val="auto"/>
          <w:sz w:val="21"/>
          <w:szCs w:val="21"/>
          <w:lang w:val="en-US" w:eastAsia="zh-CN"/>
        </w:rPr>
        <w:t>七、其他</w:t>
      </w:r>
      <w:bookmarkEnd w:id="8"/>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（一）质量验收标准或规范</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依次序对照适用标准为：①符合中华人民共和国国家安全质量标准、环保标准或行业标准；②符合采购文件和响应承诺中采购人认可的合理最佳配置、参数及各项要求；③货物来源国官方标准。上述标准必须是有关官方机构发布的最新版本的标准。</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2、验收由中标人、采购人依国家有关标准、合同及有关附件要求进行。中标人须为验收提供符合验收标准的相关条件。</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ascii="Calibri" w:hAnsi="宋体" w:eastAsia="宋体" w:cs="Segoe UI Symbol"/>
          <w:bCs/>
          <w:color w:val="auto"/>
          <w:sz w:val="21"/>
          <w:szCs w:val="21"/>
        </w:rPr>
        <w:t>★</w:t>
      </w:r>
      <w:r>
        <w:rPr>
          <w:rFonts w:hint="eastAsia" w:ascii="宋体" w:hAnsi="宋体" w:eastAsia="宋体" w:cs="宋体"/>
          <w:color w:val="auto"/>
          <w:sz w:val="21"/>
          <w:szCs w:val="21"/>
          <w:lang w:eastAsia="zh-CN"/>
        </w:rPr>
        <w:t>产品质保期</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全部货物自验收合格交付使用之日起</w:t>
      </w:r>
      <w:r>
        <w:rPr>
          <w:rFonts w:hint="eastAsia" w:ascii="宋体" w:hAnsi="宋体" w:eastAsia="宋体" w:cs="宋体"/>
          <w:color w:val="auto"/>
          <w:sz w:val="21"/>
          <w:szCs w:val="21"/>
          <w:lang w:eastAsia="zh-CN"/>
        </w:rPr>
        <w:t>质保</w:t>
      </w:r>
      <w:r>
        <w:rPr>
          <w:rFonts w:hint="eastAsia" w:ascii="宋体" w:hAnsi="宋体" w:eastAsia="宋体" w:cs="宋体"/>
          <w:color w:val="auto"/>
          <w:sz w:val="21"/>
          <w:szCs w:val="21"/>
          <w:lang w:val="en-US" w:eastAsia="zh-CN"/>
        </w:rPr>
        <w:t>12个月（易损易耗件除外）</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）、违约责任</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1、乙方的违约责任</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乙方逾期交货的，按逾期交货部分的设备金额每日向甲方支付1‰的违约金。逾期交货超过</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日的，甲方有权解除本合同，并要求乙方承担赔偿责任。</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2、甲方的违约责任</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甲方未按规定支付乙方货款的，按逾期支付货款金额每日向乙方支付1‰的违约金。</w:t>
      </w:r>
    </w:p>
    <w:p>
      <w:pPr>
        <w:keepNext w:val="0"/>
        <w:keepLines w:val="0"/>
        <w:pageBreakBefore w:val="0"/>
        <w:widowControl/>
        <w:kinsoku/>
        <w:wordWrap/>
        <w:overflowPunct/>
        <w:topLinePunct w:val="0"/>
        <w:autoSpaceDE/>
        <w:autoSpaceDN/>
        <w:bidi w:val="0"/>
        <w:adjustRightInd/>
        <w:snapToGrid/>
        <w:ind w:firstLine="420" w:firstLineChars="200"/>
        <w:textAlignment w:val="auto"/>
      </w:pPr>
      <w:r>
        <w:rPr>
          <w:rFonts w:hint="eastAsia" w:ascii="宋体" w:hAnsi="宋体" w:eastAsia="宋体" w:cs="宋体"/>
          <w:color w:val="auto"/>
          <w:sz w:val="21"/>
          <w:szCs w:val="21"/>
          <w:lang w:eastAsia="zh-CN"/>
        </w:rPr>
        <w:t>3、任何一方因不可抗力致使合同不能履行时，遭受不可抗力的一方于该不可抗力发生后，2日内通知对方，并出具有法律效力的证明文件，合同履行期可按该不可抗力因素影响时间顺延。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N2YxNjhiMWY2MjU3ZTk1NTcyNzUwOWE2ZjIyNTQifQ=="/>
  </w:docVars>
  <w:rsids>
    <w:rsidRoot w:val="00000000"/>
    <w:rsid w:val="18B137E4"/>
    <w:rsid w:val="36BB5604"/>
    <w:rsid w:val="38094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方正小标宋_GBK" w:eastAsia="宋体"/>
      <w:b/>
      <w:sz w:val="32"/>
      <w:szCs w:val="44"/>
    </w:rPr>
  </w:style>
  <w:style w:type="paragraph" w:styleId="3">
    <w:name w:val="heading 2"/>
    <w:basedOn w:val="1"/>
    <w:next w:val="1"/>
    <w:unhideWhenUsed/>
    <w:qFormat/>
    <w:uiPriority w:val="9"/>
    <w:pPr>
      <w:spacing w:line="560" w:lineRule="exact"/>
      <w:ind w:firstLine="640" w:firstLineChars="200"/>
      <w:jc w:val="center"/>
      <w:outlineLvl w:val="1"/>
    </w:pPr>
    <w:rPr>
      <w:rFonts w:ascii="楷体" w:hAnsi="楷体" w:eastAsia="宋体"/>
      <w:b/>
      <w:sz w:val="32"/>
      <w:szCs w:val="32"/>
    </w:rPr>
  </w:style>
  <w:style w:type="paragraph" w:styleId="4">
    <w:name w:val="heading 3"/>
    <w:basedOn w:val="1"/>
    <w:next w:val="1"/>
    <w:unhideWhenUsed/>
    <w:qFormat/>
    <w:uiPriority w:val="9"/>
    <w:pPr>
      <w:spacing w:line="560" w:lineRule="exact"/>
      <w:jc w:val="left"/>
      <w:outlineLvl w:val="2"/>
    </w:pPr>
    <w:rPr>
      <w:rFonts w:ascii="方正小标宋_GBK" w:hAnsi="方正小标宋_GBK" w:eastAsia="宋体"/>
      <w:b/>
      <w:sz w:val="28"/>
      <w:szCs w:val="3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3024</Words>
  <Characters>3185</Characters>
  <Lines>0</Lines>
  <Paragraphs>0</Paragraphs>
  <TotalTime>0</TotalTime>
  <ScaleCrop>false</ScaleCrop>
  <LinksUpToDate>false</LinksUpToDate>
  <CharactersWithSpaces>3196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2023-03-08T08:10:00Z</dcterms:created>
  <dc:creator>朱娟</dc:creator>
  <cp:lastModifiedBy>朱娟</cp:lastModifiedBy>
  <dcterms:modified xsi:type="dcterms:W3CDTF">2023-03-13T03:12:48Z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ECACE4712E0B48C5AA380BBB3ACEE919</vt:lpwstr>
  </property>
</Properties>
</file>