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b/>
          <w:sz w:val="32"/>
          <w:szCs w:val="32"/>
        </w:rPr>
      </w:pPr>
      <w:bookmarkStart w:id="9" w:name="_GoBack"/>
      <w:bookmarkEnd w:id="9"/>
      <w:r>
        <w:rPr>
          <w:rFonts w:hint="eastAsia" w:ascii="宋体" w:hAnsi="宋体" w:cs="宋体"/>
          <w:b/>
          <w:sz w:val="32"/>
          <w:szCs w:val="32"/>
        </w:rPr>
        <w:t>蓝田县社区（村）综治网格中心综治视联网系统建设项目</w:t>
      </w:r>
    </w:p>
    <w:p>
      <w:pPr>
        <w:widowControl/>
        <w:jc w:val="center"/>
        <w:rPr>
          <w:rFonts w:ascii="宋体" w:hAnsi="宋体" w:cs="宋体"/>
          <w:b/>
          <w:sz w:val="32"/>
          <w:szCs w:val="32"/>
        </w:rPr>
      </w:pPr>
      <w:r>
        <w:rPr>
          <w:rFonts w:hint="eastAsia" w:ascii="宋体" w:hAnsi="宋体" w:cs="宋体"/>
          <w:b/>
          <w:sz w:val="32"/>
          <w:szCs w:val="32"/>
        </w:rPr>
        <w:t>政府采购需求书（</w:t>
      </w:r>
      <w:r>
        <w:rPr>
          <w:rFonts w:hint="eastAsia" w:ascii="宋体" w:hAnsi="宋体" w:cs="宋体"/>
          <w:b/>
          <w:sz w:val="32"/>
          <w:szCs w:val="32"/>
          <w:lang w:val="en-US" w:eastAsia="zh-CN"/>
        </w:rPr>
        <w:t>货物</w:t>
      </w:r>
      <w:r>
        <w:rPr>
          <w:rFonts w:hint="eastAsia" w:ascii="宋体" w:hAnsi="宋体" w:cs="宋体"/>
          <w:b/>
          <w:sz w:val="32"/>
          <w:szCs w:val="32"/>
        </w:rPr>
        <w:t>类）</w:t>
      </w:r>
    </w:p>
    <w:tbl>
      <w:tblPr>
        <w:tblStyle w:val="10"/>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89"/>
        <w:gridCol w:w="1556"/>
        <w:gridCol w:w="7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jc w:val="center"/>
              <w:rPr>
                <w:rFonts w:ascii="宋体" w:hAnsi="宋体" w:cs="宋体"/>
                <w:b/>
                <w:sz w:val="24"/>
              </w:rPr>
            </w:pPr>
            <w:r>
              <w:rPr>
                <w:rFonts w:hint="eastAsia" w:ascii="宋体" w:hAnsi="宋体" w:cs="宋体"/>
                <w:b/>
                <w:sz w:val="28"/>
                <w:szCs w:val="28"/>
                <w:lang w:val="zh-CN"/>
              </w:rPr>
              <w:t>序号</w:t>
            </w:r>
          </w:p>
        </w:tc>
        <w:tc>
          <w:tcPr>
            <w:tcW w:w="1556" w:type="dxa"/>
            <w:vAlign w:val="center"/>
          </w:tcPr>
          <w:p>
            <w:pPr>
              <w:pStyle w:val="35"/>
              <w:ind w:left="38"/>
              <w:jc w:val="center"/>
              <w:rPr>
                <w:b/>
                <w:kern w:val="2"/>
                <w:lang w:val="zh-CN"/>
              </w:rPr>
            </w:pPr>
            <w:r>
              <w:rPr>
                <w:rFonts w:hint="eastAsia"/>
                <w:b/>
                <w:kern w:val="2"/>
                <w:sz w:val="28"/>
                <w:szCs w:val="28"/>
                <w:lang w:val="zh-CN"/>
              </w:rPr>
              <w:t>关键事项</w:t>
            </w:r>
          </w:p>
        </w:tc>
        <w:tc>
          <w:tcPr>
            <w:tcW w:w="7067" w:type="dxa"/>
            <w:vAlign w:val="center"/>
          </w:tcPr>
          <w:p>
            <w:pPr>
              <w:pStyle w:val="35"/>
              <w:jc w:val="center"/>
              <w:rPr>
                <w:b/>
                <w:kern w:val="2"/>
                <w:lang w:val="zh-CN"/>
              </w:rPr>
            </w:pPr>
            <w:r>
              <w:rPr>
                <w:rFonts w:hint="eastAsia"/>
                <w:b/>
                <w:kern w:val="2"/>
                <w:sz w:val="28"/>
                <w:szCs w:val="28"/>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10" w:hRule="atLeast"/>
          <w:jc w:val="center"/>
        </w:trPr>
        <w:tc>
          <w:tcPr>
            <w:tcW w:w="689" w:type="dxa"/>
            <w:vAlign w:val="center"/>
          </w:tcPr>
          <w:p>
            <w:pPr>
              <w:snapToGrid w:val="0"/>
              <w:spacing w:after="200"/>
              <w:jc w:val="center"/>
              <w:rPr>
                <w:rFonts w:ascii="宋体" w:hAnsi="宋体" w:cs="宋体"/>
                <w:sz w:val="28"/>
                <w:szCs w:val="28"/>
                <w:lang w:val="zh-CN"/>
              </w:rPr>
            </w:pPr>
            <w:r>
              <w:rPr>
                <w:rFonts w:hint="eastAsia" w:ascii="宋体" w:hAnsi="宋体" w:cs="宋体"/>
                <w:sz w:val="28"/>
                <w:szCs w:val="28"/>
                <w:lang w:val="zh-CN"/>
              </w:rPr>
              <w:t>1</w:t>
            </w:r>
          </w:p>
        </w:tc>
        <w:tc>
          <w:tcPr>
            <w:tcW w:w="1556" w:type="dxa"/>
            <w:vAlign w:val="center"/>
          </w:tcPr>
          <w:p>
            <w:pPr>
              <w:pStyle w:val="35"/>
              <w:ind w:left="38"/>
              <w:jc w:val="center"/>
              <w:rPr>
                <w:kern w:val="2"/>
                <w:sz w:val="28"/>
                <w:szCs w:val="28"/>
                <w:lang w:val="zh-CN"/>
              </w:rPr>
            </w:pPr>
            <w:r>
              <w:rPr>
                <w:rFonts w:hint="eastAsia"/>
                <w:kern w:val="2"/>
                <w:sz w:val="28"/>
                <w:szCs w:val="28"/>
                <w:lang w:val="zh-CN"/>
              </w:rPr>
              <w:t>采购预算</w:t>
            </w:r>
          </w:p>
        </w:tc>
        <w:tc>
          <w:tcPr>
            <w:tcW w:w="7067" w:type="dxa"/>
            <w:vAlign w:val="center"/>
          </w:tcPr>
          <w:p>
            <w:pPr>
              <w:pStyle w:val="35"/>
              <w:jc w:val="both"/>
              <w:rPr>
                <w:rFonts w:ascii="仿宋" w:hAnsi="仿宋" w:eastAsia="仿宋"/>
                <w:sz w:val="28"/>
                <w:szCs w:val="28"/>
              </w:rPr>
            </w:pPr>
            <w:r>
              <w:rPr>
                <w:rFonts w:hint="eastAsia" w:ascii="仿宋" w:hAnsi="仿宋" w:eastAsia="仿宋"/>
                <w:sz w:val="28"/>
                <w:szCs w:val="28"/>
              </w:rPr>
              <w:t>人民币9885460.00 元</w:t>
            </w:r>
          </w:p>
          <w:p>
            <w:pPr>
              <w:pStyle w:val="35"/>
              <w:jc w:val="both"/>
              <w:rPr>
                <w:rFonts w:ascii="仿宋" w:hAnsi="仿宋" w:eastAsia="仿宋"/>
                <w:sz w:val="28"/>
                <w:szCs w:val="28"/>
              </w:rPr>
            </w:pPr>
            <w:r>
              <w:rPr>
                <w:rFonts w:hint="eastAsia" w:ascii="仿宋" w:hAnsi="仿宋" w:eastAsia="仿宋"/>
                <w:sz w:val="28"/>
                <w:szCs w:val="28"/>
              </w:rPr>
              <w:t>仅指与本次采购标的直接相关的费用。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52" w:hRule="atLeast"/>
          <w:jc w:val="center"/>
        </w:trPr>
        <w:tc>
          <w:tcPr>
            <w:tcW w:w="689" w:type="dxa"/>
            <w:vAlign w:val="center"/>
          </w:tcPr>
          <w:p>
            <w:pPr>
              <w:snapToGrid w:val="0"/>
              <w:spacing w:after="200"/>
              <w:jc w:val="center"/>
              <w:rPr>
                <w:rFonts w:ascii="宋体" w:hAnsi="宋体" w:cs="宋体"/>
                <w:sz w:val="28"/>
                <w:szCs w:val="28"/>
                <w:lang w:val="zh-CN"/>
              </w:rPr>
            </w:pPr>
            <w:r>
              <w:rPr>
                <w:rFonts w:hint="eastAsia" w:ascii="宋体" w:hAnsi="宋体" w:cs="宋体"/>
                <w:sz w:val="28"/>
                <w:szCs w:val="28"/>
                <w:lang w:val="zh-CN"/>
              </w:rPr>
              <w:t>2</w:t>
            </w:r>
          </w:p>
        </w:tc>
        <w:tc>
          <w:tcPr>
            <w:tcW w:w="1556" w:type="dxa"/>
            <w:vAlign w:val="center"/>
          </w:tcPr>
          <w:p>
            <w:pPr>
              <w:pStyle w:val="35"/>
              <w:ind w:left="38"/>
              <w:jc w:val="center"/>
              <w:rPr>
                <w:kern w:val="2"/>
                <w:sz w:val="28"/>
                <w:szCs w:val="28"/>
                <w:lang w:val="zh-CN"/>
              </w:rPr>
            </w:pPr>
            <w:r>
              <w:rPr>
                <w:rFonts w:hint="eastAsia"/>
                <w:kern w:val="2"/>
                <w:sz w:val="28"/>
                <w:szCs w:val="28"/>
                <w:lang w:val="zh-CN"/>
              </w:rPr>
              <w:t>最高限价</w:t>
            </w:r>
          </w:p>
        </w:tc>
        <w:tc>
          <w:tcPr>
            <w:tcW w:w="7067" w:type="dxa"/>
            <w:vAlign w:val="center"/>
          </w:tcPr>
          <w:p>
            <w:pPr>
              <w:pStyle w:val="35"/>
              <w:jc w:val="both"/>
              <w:rPr>
                <w:rFonts w:ascii="仿宋" w:hAnsi="仿宋" w:eastAsia="仿宋"/>
                <w:sz w:val="28"/>
                <w:szCs w:val="28"/>
              </w:rPr>
            </w:pPr>
            <w:r>
              <w:rPr>
                <w:rFonts w:hint="eastAsia" w:ascii="仿宋" w:hAnsi="仿宋" w:eastAsia="仿宋"/>
                <w:sz w:val="28"/>
                <w:szCs w:val="28"/>
              </w:rPr>
              <w:t>人民币9885460.00元</w:t>
            </w:r>
          </w:p>
          <w:p>
            <w:pPr>
              <w:pStyle w:val="35"/>
              <w:ind w:left="38"/>
              <w:jc w:val="both"/>
              <w:rPr>
                <w:rFonts w:ascii="仿宋" w:hAnsi="仿宋" w:eastAsia="仿宋"/>
                <w:sz w:val="28"/>
                <w:szCs w:val="28"/>
              </w:rPr>
            </w:pPr>
            <w:r>
              <w:rPr>
                <w:rFonts w:hint="eastAsia" w:ascii="仿宋" w:hAnsi="仿宋" w:eastAsia="仿宋"/>
                <w:sz w:val="28"/>
                <w:szCs w:val="28"/>
              </w:rPr>
              <w:t>供应商投标报价高于最高限价的则其投标文件将按无效投标文件处理。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1" w:hRule="atLeast"/>
          <w:jc w:val="center"/>
        </w:trPr>
        <w:tc>
          <w:tcPr>
            <w:tcW w:w="689" w:type="dxa"/>
            <w:vMerge w:val="restart"/>
            <w:vAlign w:val="center"/>
          </w:tcPr>
          <w:p>
            <w:pPr>
              <w:snapToGrid w:val="0"/>
              <w:spacing w:after="200"/>
              <w:jc w:val="center"/>
              <w:rPr>
                <w:rFonts w:ascii="宋体" w:hAnsi="宋体" w:cs="宋体"/>
                <w:sz w:val="28"/>
                <w:szCs w:val="28"/>
                <w:lang w:val="zh-CN"/>
              </w:rPr>
            </w:pPr>
            <w:r>
              <w:rPr>
                <w:rFonts w:hint="eastAsia" w:ascii="宋体" w:hAnsi="宋体" w:cs="宋体"/>
                <w:sz w:val="28"/>
                <w:szCs w:val="28"/>
              </w:rPr>
              <w:t>3</w:t>
            </w:r>
          </w:p>
        </w:tc>
        <w:tc>
          <w:tcPr>
            <w:tcW w:w="1556" w:type="dxa"/>
            <w:vMerge w:val="restart"/>
            <w:vAlign w:val="center"/>
          </w:tcPr>
          <w:p>
            <w:pPr>
              <w:pStyle w:val="35"/>
              <w:ind w:left="38"/>
              <w:jc w:val="center"/>
              <w:rPr>
                <w:kern w:val="2"/>
                <w:sz w:val="28"/>
                <w:szCs w:val="28"/>
                <w:lang w:val="zh-CN"/>
              </w:rPr>
            </w:pPr>
            <w:r>
              <w:rPr>
                <w:rFonts w:hint="eastAsia"/>
                <w:kern w:val="2"/>
                <w:sz w:val="28"/>
                <w:szCs w:val="28"/>
                <w:lang w:val="zh-CN"/>
              </w:rPr>
              <w:t>项目性质</w:t>
            </w:r>
          </w:p>
        </w:tc>
        <w:tc>
          <w:tcPr>
            <w:tcW w:w="7067" w:type="dxa"/>
            <w:vAlign w:val="center"/>
          </w:tcPr>
          <w:p>
            <w:pPr>
              <w:pStyle w:val="35"/>
              <w:jc w:val="both"/>
              <w:rPr>
                <w:rFonts w:ascii="仿宋" w:hAnsi="仿宋" w:eastAsia="仿宋"/>
                <w:sz w:val="28"/>
                <w:szCs w:val="28"/>
                <w:highlight w:val="none"/>
              </w:rPr>
            </w:pPr>
            <w:r>
              <w:rPr>
                <w:rFonts w:hint="eastAsia" w:ascii="仿宋" w:hAnsi="仿宋" w:eastAsia="仿宋"/>
                <w:sz w:val="28"/>
                <w:szCs w:val="28"/>
                <w:highlight w:val="none"/>
              </w:rPr>
              <w:t>○专门面向中小企业采购</w:t>
            </w:r>
          </w:p>
          <w:p>
            <w:pPr>
              <w:pStyle w:val="35"/>
              <w:ind w:left="38"/>
              <w:jc w:val="both"/>
              <w:rPr>
                <w:rFonts w:ascii="仿宋" w:hAnsi="仿宋" w:eastAsia="仿宋"/>
                <w:sz w:val="28"/>
                <w:szCs w:val="28"/>
              </w:rPr>
            </w:pPr>
            <w:r>
              <w:rPr>
                <w:rFonts w:hint="eastAsia" w:ascii="仿宋" w:hAnsi="仿宋" w:eastAsia="仿宋"/>
                <w:sz w:val="28"/>
                <w:szCs w:val="28"/>
                <w:highlight w:val="none"/>
              </w:rPr>
              <w:t>仅允许中小企业或小型、微型企业参与投标。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pPr>
              <w:snapToGrid w:val="0"/>
              <w:spacing w:after="200"/>
              <w:ind w:left="142"/>
              <w:jc w:val="center"/>
              <w:rPr>
                <w:rFonts w:ascii="宋体" w:hAnsi="宋体" w:cs="宋体"/>
                <w:b/>
                <w:sz w:val="28"/>
                <w:szCs w:val="28"/>
                <w:lang w:val="zh-CN"/>
              </w:rPr>
            </w:pPr>
          </w:p>
        </w:tc>
        <w:tc>
          <w:tcPr>
            <w:tcW w:w="1556" w:type="dxa"/>
            <w:vMerge w:val="continue"/>
            <w:vAlign w:val="center"/>
          </w:tcPr>
          <w:p>
            <w:pPr>
              <w:pStyle w:val="35"/>
              <w:ind w:left="96"/>
              <w:jc w:val="center"/>
              <w:rPr>
                <w:kern w:val="2"/>
                <w:sz w:val="28"/>
                <w:szCs w:val="28"/>
                <w:lang w:val="zh-CN"/>
              </w:rPr>
            </w:pPr>
          </w:p>
        </w:tc>
        <w:tc>
          <w:tcPr>
            <w:tcW w:w="7067" w:type="dxa"/>
            <w:vAlign w:val="center"/>
          </w:tcPr>
          <w:p>
            <w:pPr>
              <w:rPr>
                <w:rFonts w:ascii="仿宋" w:hAnsi="仿宋" w:eastAsia="仿宋" w:cs="宋体"/>
                <w:kern w:val="0"/>
                <w:sz w:val="28"/>
                <w:szCs w:val="28"/>
              </w:rPr>
            </w:pPr>
            <w:r>
              <w:rPr>
                <w:rFonts w:hint="eastAsia" w:ascii="仿宋" w:hAnsi="仿宋" w:eastAsia="仿宋" w:cs="宋体"/>
                <w:kern w:val="0"/>
                <w:sz w:val="28"/>
                <w:szCs w:val="28"/>
              </w:rPr>
              <w:t>⊙非专门面向中小企业采购</w:t>
            </w:r>
          </w:p>
          <w:p>
            <w:pPr>
              <w:ind w:right="94" w:rightChars="45"/>
              <w:rPr>
                <w:rFonts w:ascii="仿宋" w:hAnsi="仿宋" w:eastAsia="仿宋" w:cs="宋体"/>
                <w:kern w:val="0"/>
                <w:sz w:val="28"/>
                <w:szCs w:val="28"/>
              </w:rPr>
            </w:pPr>
            <w:r>
              <w:rPr>
                <w:rFonts w:hint="eastAsia" w:ascii="仿宋" w:hAnsi="仿宋" w:eastAsia="仿宋" w:cs="宋体"/>
                <w:kern w:val="0"/>
                <w:sz w:val="28"/>
                <w:szCs w:val="28"/>
              </w:rPr>
              <w:t>对符合《政府采购促进中小型企业发展管理办法》（财库〔2020〕46号）规定的小微企业（监狱企业视同小型、微型企业）的报价给予 6  %的扣除，用扣除后的价格参加评审。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cs="宋体"/>
                <w:sz w:val="24"/>
              </w:rPr>
            </w:pPr>
            <w:r>
              <w:rPr>
                <w:rFonts w:hint="eastAsia" w:ascii="宋体" w:hAnsi="宋体" w:cs="宋体"/>
                <w:sz w:val="24"/>
              </w:rPr>
              <w:t>4</w:t>
            </w:r>
          </w:p>
        </w:tc>
        <w:tc>
          <w:tcPr>
            <w:tcW w:w="1556" w:type="dxa"/>
            <w:vAlign w:val="center"/>
          </w:tcPr>
          <w:p>
            <w:pPr>
              <w:pStyle w:val="35"/>
              <w:ind w:left="96"/>
              <w:jc w:val="center"/>
              <w:rPr>
                <w:kern w:val="2"/>
                <w:sz w:val="28"/>
                <w:szCs w:val="28"/>
                <w:lang w:val="zh-CN"/>
              </w:rPr>
            </w:pPr>
            <w:r>
              <w:rPr>
                <w:rFonts w:hint="eastAsia"/>
                <w:kern w:val="2"/>
                <w:sz w:val="28"/>
                <w:szCs w:val="28"/>
                <w:lang w:val="zh-CN"/>
              </w:rPr>
              <w:t>对供应商的</w:t>
            </w:r>
          </w:p>
          <w:p>
            <w:pPr>
              <w:pStyle w:val="35"/>
              <w:ind w:left="96"/>
              <w:jc w:val="center"/>
              <w:rPr>
                <w:kern w:val="2"/>
                <w:sz w:val="28"/>
                <w:szCs w:val="28"/>
                <w:lang w:val="zh-CN"/>
              </w:rPr>
            </w:pPr>
            <w:r>
              <w:rPr>
                <w:rFonts w:hint="eastAsia"/>
                <w:kern w:val="2"/>
                <w:sz w:val="28"/>
                <w:szCs w:val="28"/>
                <w:lang w:val="zh-CN"/>
              </w:rPr>
              <w:t>资格要求</w:t>
            </w:r>
          </w:p>
        </w:tc>
        <w:tc>
          <w:tcPr>
            <w:tcW w:w="7067" w:type="dxa"/>
            <w:vAlign w:val="center"/>
          </w:tcPr>
          <w:p>
            <w:pPr>
              <w:pStyle w:val="35"/>
              <w:spacing w:line="360" w:lineRule="auto"/>
              <w:jc w:val="both"/>
              <w:rPr>
                <w:rFonts w:hint="eastAsia" w:ascii="仿宋" w:hAnsi="仿宋" w:eastAsia="仿宋"/>
              </w:rPr>
            </w:pPr>
            <w:r>
              <w:rPr>
                <w:rFonts w:hint="eastAsia" w:ascii="仿宋" w:hAnsi="仿宋" w:eastAsia="仿宋"/>
              </w:rPr>
              <w:t>1.满足《中华人民共和国政府采购法》第二十二条规定;</w:t>
            </w:r>
          </w:p>
          <w:p>
            <w:pPr>
              <w:pStyle w:val="35"/>
              <w:spacing w:line="360" w:lineRule="auto"/>
              <w:jc w:val="both"/>
              <w:rPr>
                <w:rFonts w:hint="eastAsia" w:ascii="仿宋" w:hAnsi="仿宋" w:eastAsia="仿宋"/>
              </w:rPr>
            </w:pPr>
            <w:r>
              <w:rPr>
                <w:rFonts w:hint="eastAsia" w:ascii="仿宋" w:hAnsi="仿宋" w:eastAsia="仿宋"/>
              </w:rPr>
              <w:t>2.落实政府采购政策需满足的资格要求：</w:t>
            </w:r>
          </w:p>
          <w:p>
            <w:pPr>
              <w:pStyle w:val="35"/>
              <w:spacing w:line="360" w:lineRule="auto"/>
              <w:jc w:val="both"/>
              <w:rPr>
                <w:rFonts w:hint="eastAsia" w:ascii="仿宋" w:hAnsi="仿宋" w:eastAsia="仿宋"/>
              </w:rPr>
            </w:pPr>
            <w:r>
              <w:rPr>
                <w:rFonts w:hint="eastAsia" w:ascii="仿宋" w:hAnsi="仿宋" w:eastAsia="仿宋"/>
              </w:rPr>
              <w:t>合同包1(蓝田县社区（村）综治网格中心综治视联网系统建设项目)落实政府采购政策需满足的资格要求如下:</w:t>
            </w:r>
          </w:p>
          <w:p>
            <w:pPr>
              <w:pStyle w:val="35"/>
              <w:spacing w:line="360" w:lineRule="auto"/>
              <w:jc w:val="both"/>
              <w:rPr>
                <w:rFonts w:hint="eastAsia" w:ascii="仿宋" w:hAnsi="仿宋" w:eastAsia="仿宋"/>
                <w:lang w:eastAsia="zh-CN"/>
              </w:rPr>
            </w:pPr>
            <w:r>
              <w:rPr>
                <w:rFonts w:hint="eastAsia" w:ascii="仿宋" w:hAnsi="仿宋" w:eastAsia="仿宋"/>
              </w:rPr>
              <w:t>（1)《政府采购促进中小企业发展管理办法》（财库【2020】46号）；</w:t>
            </w:r>
          </w:p>
          <w:p>
            <w:pPr>
              <w:pStyle w:val="35"/>
              <w:spacing w:line="360" w:lineRule="auto"/>
              <w:jc w:val="both"/>
              <w:rPr>
                <w:rFonts w:hint="eastAsia" w:ascii="仿宋" w:hAnsi="仿宋" w:eastAsia="仿宋"/>
                <w:lang w:eastAsia="zh-CN"/>
              </w:rPr>
            </w:pPr>
            <w:r>
              <w:rPr>
                <w:rFonts w:hint="eastAsia" w:ascii="仿宋" w:hAnsi="仿宋" w:eastAsia="仿宋"/>
              </w:rPr>
              <w:t>（2）《财政部司法部关于政府采购支持监狱企业发展有关问题的通知》（财库【2014】68号）；</w:t>
            </w:r>
          </w:p>
          <w:p>
            <w:pPr>
              <w:pStyle w:val="35"/>
              <w:spacing w:line="360" w:lineRule="auto"/>
              <w:jc w:val="both"/>
              <w:rPr>
                <w:rFonts w:hint="eastAsia" w:ascii="仿宋" w:hAnsi="仿宋" w:eastAsia="仿宋"/>
                <w:lang w:eastAsia="zh-CN"/>
              </w:rPr>
            </w:pPr>
            <w:r>
              <w:rPr>
                <w:rFonts w:hint="eastAsia" w:ascii="仿宋" w:hAnsi="仿宋" w:eastAsia="仿宋"/>
              </w:rPr>
              <w:t>（3）《国务院办公厅关于建立政府强制采购节能产品制度的通知》（国发办【2007】51号）；</w:t>
            </w:r>
          </w:p>
          <w:p>
            <w:pPr>
              <w:pStyle w:val="35"/>
              <w:spacing w:line="360" w:lineRule="auto"/>
              <w:jc w:val="both"/>
              <w:rPr>
                <w:rFonts w:hint="eastAsia" w:ascii="仿宋" w:hAnsi="仿宋" w:eastAsia="仿宋"/>
                <w:lang w:eastAsia="zh-CN"/>
              </w:rPr>
            </w:pPr>
            <w:r>
              <w:rPr>
                <w:rFonts w:hint="eastAsia" w:ascii="仿宋" w:hAnsi="仿宋" w:eastAsia="仿宋"/>
              </w:rPr>
              <w:t>（4）《节能产品政府采购实施意见》（财库【2004】185号）；</w:t>
            </w:r>
          </w:p>
          <w:p>
            <w:pPr>
              <w:pStyle w:val="35"/>
              <w:spacing w:line="360" w:lineRule="auto"/>
              <w:jc w:val="both"/>
              <w:rPr>
                <w:rFonts w:hint="eastAsia" w:ascii="仿宋" w:hAnsi="仿宋" w:eastAsia="仿宋"/>
                <w:lang w:eastAsia="zh-CN"/>
              </w:rPr>
            </w:pPr>
            <w:r>
              <w:rPr>
                <w:rFonts w:hint="eastAsia" w:ascii="仿宋" w:hAnsi="仿宋" w:eastAsia="仿宋"/>
              </w:rPr>
              <w:t>（5）《环境标志产品政府采购实施的意见》（财库【2006】90号）；</w:t>
            </w:r>
          </w:p>
          <w:p>
            <w:pPr>
              <w:pStyle w:val="35"/>
              <w:spacing w:line="360" w:lineRule="auto"/>
              <w:jc w:val="both"/>
              <w:rPr>
                <w:rFonts w:hint="eastAsia" w:ascii="仿宋" w:hAnsi="仿宋" w:eastAsia="仿宋"/>
                <w:lang w:eastAsia="zh-CN"/>
              </w:rPr>
            </w:pPr>
            <w:r>
              <w:rPr>
                <w:rFonts w:hint="eastAsia" w:ascii="仿宋" w:hAnsi="仿宋" w:eastAsia="仿宋"/>
              </w:rPr>
              <w:t>（6）《三部门联合发布关于促进残疾人就业政府采购政策的通知》（财库【2017】141号）；</w:t>
            </w:r>
          </w:p>
          <w:p>
            <w:pPr>
              <w:pStyle w:val="35"/>
              <w:spacing w:line="360" w:lineRule="auto"/>
              <w:jc w:val="both"/>
              <w:rPr>
                <w:rFonts w:hint="eastAsia" w:ascii="仿宋" w:hAnsi="仿宋" w:eastAsia="仿宋"/>
                <w:lang w:eastAsia="zh-CN"/>
              </w:rPr>
            </w:pPr>
            <w:r>
              <w:rPr>
                <w:rFonts w:hint="eastAsia" w:ascii="仿宋" w:hAnsi="仿宋" w:eastAsia="仿宋"/>
              </w:rPr>
              <w:t>（7）《财政部发展改革委生态环境部市场监管总局关于调整优化节能产品、环境标志产品政府采购执行机制的通知》（财库〔2019〕9号）；</w:t>
            </w:r>
          </w:p>
          <w:p>
            <w:pPr>
              <w:pStyle w:val="35"/>
              <w:spacing w:line="360" w:lineRule="auto"/>
              <w:jc w:val="both"/>
              <w:rPr>
                <w:rFonts w:hint="eastAsia" w:ascii="仿宋" w:hAnsi="仿宋" w:eastAsia="仿宋"/>
                <w:lang w:eastAsia="zh-CN"/>
              </w:rPr>
            </w:pPr>
            <w:r>
              <w:rPr>
                <w:rFonts w:hint="eastAsia" w:ascii="仿宋" w:hAnsi="仿宋" w:eastAsia="仿宋"/>
              </w:rPr>
              <w:t>（8） 《财政部国务院扶贫办关于运用政府采购政策支持脱贫攻坚的通知》（财库〔2019〕27号）；</w:t>
            </w:r>
          </w:p>
          <w:p>
            <w:pPr>
              <w:pStyle w:val="35"/>
              <w:spacing w:line="360" w:lineRule="auto"/>
              <w:jc w:val="both"/>
              <w:rPr>
                <w:rFonts w:hint="eastAsia" w:ascii="仿宋" w:hAnsi="仿宋" w:eastAsia="仿宋"/>
                <w:lang w:eastAsia="zh-CN"/>
              </w:rPr>
            </w:pPr>
            <w:r>
              <w:rPr>
                <w:rFonts w:hint="eastAsia" w:ascii="仿宋" w:hAnsi="仿宋" w:eastAsia="仿宋"/>
              </w:rPr>
              <w:t>（9）《财政部 农业农村部 国家乡村振兴局关于运用政府采购政策支持乡村产业振兴的通知》（财库〔2021〕19号）</w:t>
            </w:r>
          </w:p>
          <w:p>
            <w:pPr>
              <w:pStyle w:val="35"/>
              <w:spacing w:line="360" w:lineRule="auto"/>
              <w:jc w:val="both"/>
              <w:rPr>
                <w:rFonts w:hint="eastAsia" w:ascii="仿宋" w:hAnsi="仿宋" w:eastAsia="仿宋"/>
              </w:rPr>
            </w:pPr>
            <w:r>
              <w:rPr>
                <w:rFonts w:hint="eastAsia" w:ascii="仿宋" w:hAnsi="仿宋" w:eastAsia="仿宋"/>
              </w:rPr>
              <w:t>（10）其他需要落实的政府采购政策。</w:t>
            </w:r>
          </w:p>
          <w:p>
            <w:pPr>
              <w:pStyle w:val="35"/>
              <w:spacing w:line="360" w:lineRule="auto"/>
              <w:jc w:val="both"/>
              <w:rPr>
                <w:rFonts w:hint="eastAsia" w:ascii="仿宋" w:hAnsi="仿宋" w:eastAsia="仿宋"/>
              </w:rPr>
            </w:pPr>
            <w:r>
              <w:rPr>
                <w:rFonts w:hint="eastAsia" w:ascii="仿宋" w:hAnsi="仿宋" w:eastAsia="仿宋"/>
              </w:rPr>
              <w:t>3.本项目的特定资格要求：</w:t>
            </w:r>
          </w:p>
          <w:p>
            <w:pPr>
              <w:pStyle w:val="35"/>
              <w:spacing w:line="360" w:lineRule="auto"/>
              <w:jc w:val="both"/>
              <w:rPr>
                <w:rFonts w:hint="eastAsia" w:ascii="仿宋" w:hAnsi="仿宋" w:eastAsia="仿宋"/>
              </w:rPr>
            </w:pPr>
            <w:r>
              <w:rPr>
                <w:rFonts w:hint="eastAsia" w:ascii="仿宋" w:hAnsi="仿宋" w:eastAsia="仿宋"/>
              </w:rPr>
              <w:t>合同包1(蓝田县社区（村）综治网格中心综治视联网系统建设项目)特定资格要求如下:</w:t>
            </w:r>
          </w:p>
          <w:p>
            <w:pPr>
              <w:pStyle w:val="35"/>
              <w:spacing w:line="360" w:lineRule="auto"/>
              <w:jc w:val="both"/>
              <w:rPr>
                <w:rFonts w:hint="eastAsia" w:ascii="仿宋" w:hAnsi="仿宋" w:eastAsia="仿宋"/>
              </w:rPr>
            </w:pPr>
            <w:r>
              <w:rPr>
                <w:rFonts w:hint="eastAsia" w:ascii="仿宋" w:hAnsi="仿宋" w:eastAsia="仿宋"/>
              </w:rPr>
              <w:t>1、提供合格有效的法人或者其他组织的营业执照等证明文件，自然人的身份证明；</w:t>
            </w:r>
          </w:p>
          <w:p>
            <w:pPr>
              <w:pStyle w:val="35"/>
              <w:spacing w:line="360" w:lineRule="auto"/>
              <w:jc w:val="both"/>
              <w:rPr>
                <w:rFonts w:hint="eastAsia" w:ascii="仿宋" w:hAnsi="仿宋" w:eastAsia="仿宋"/>
              </w:rPr>
            </w:pPr>
            <w:r>
              <w:rPr>
                <w:rFonts w:hint="eastAsia" w:ascii="仿宋" w:hAnsi="仿宋" w:eastAsia="仿宋"/>
              </w:rPr>
              <w:t>2、提供法定代表人授权书（附法定代表人、被授权人身份证复印件），法定代表人直接参加投标，须提供法定代表人身份证明； </w:t>
            </w:r>
          </w:p>
          <w:p>
            <w:pPr>
              <w:pStyle w:val="35"/>
              <w:spacing w:line="360" w:lineRule="auto"/>
              <w:jc w:val="both"/>
              <w:rPr>
                <w:rFonts w:hint="eastAsia" w:ascii="仿宋" w:hAnsi="仿宋" w:eastAsia="仿宋"/>
              </w:rPr>
            </w:pPr>
            <w:r>
              <w:rPr>
                <w:rFonts w:hint="eastAsia" w:ascii="仿宋" w:hAnsi="仿宋" w:eastAsia="仿宋"/>
              </w:rPr>
              <w:t>3、财务状况：提供2021年</w:t>
            </w:r>
            <w:r>
              <w:rPr>
                <w:rFonts w:hint="eastAsia" w:ascii="仿宋" w:hAnsi="仿宋" w:eastAsia="仿宋"/>
                <w:lang w:val="en-US" w:eastAsia="zh-CN"/>
              </w:rPr>
              <w:t>或2022年</w:t>
            </w:r>
            <w:r>
              <w:rPr>
                <w:rFonts w:hint="eastAsia" w:ascii="仿宋" w:hAnsi="仿宋" w:eastAsia="仿宋"/>
              </w:rPr>
              <w:t>财务审计报告（成立时间至提交响应文件截止时间不足一年的可提供成立后任意时段的资产负债表），或其基本存款账户开户银行出具的资信证明（开标前一个月内）及</w:t>
            </w:r>
            <w:r>
              <w:rPr>
                <w:rFonts w:hint="eastAsia" w:ascii="仿宋" w:hAnsi="仿宋" w:eastAsia="仿宋"/>
                <w:lang w:val="en-US" w:eastAsia="zh-CN"/>
              </w:rPr>
              <w:t>基本存款账户信息</w:t>
            </w:r>
            <w:r>
              <w:rPr>
                <w:rFonts w:hint="eastAsia" w:ascii="仿宋" w:hAnsi="仿宋" w:eastAsia="仿宋"/>
              </w:rPr>
              <w:t>；</w:t>
            </w:r>
          </w:p>
          <w:p>
            <w:pPr>
              <w:pStyle w:val="35"/>
              <w:spacing w:line="360" w:lineRule="auto"/>
              <w:jc w:val="both"/>
              <w:rPr>
                <w:rFonts w:hint="eastAsia" w:ascii="仿宋" w:hAnsi="仿宋" w:eastAsia="仿宋"/>
              </w:rPr>
            </w:pPr>
            <w:r>
              <w:rPr>
                <w:rFonts w:hint="eastAsia" w:ascii="仿宋" w:hAnsi="仿宋" w:eastAsia="仿宋"/>
              </w:rPr>
              <w:t>4、税收缴纳证明：提供投标截止日前近一年内至少一个月的纳税证明或完税证明，依法免税的单位应提供相关证明材料； </w:t>
            </w:r>
          </w:p>
          <w:p>
            <w:pPr>
              <w:pStyle w:val="35"/>
              <w:spacing w:line="360" w:lineRule="auto"/>
              <w:jc w:val="both"/>
              <w:rPr>
                <w:rFonts w:hint="eastAsia" w:ascii="仿宋" w:hAnsi="仿宋" w:eastAsia="仿宋"/>
              </w:rPr>
            </w:pPr>
            <w:r>
              <w:rPr>
                <w:rFonts w:hint="eastAsia" w:ascii="仿宋" w:hAnsi="仿宋" w:eastAsia="仿宋"/>
              </w:rPr>
              <w:t>5、社会保障资金缴纳证明：提供投标截止日前近一年内至少一个月的社会保障资金缴存单据或社保机构开具的社会保险参保缴费情况证明，依法不需要缴纳社会保障资金的单位应提供相关证明材料；</w:t>
            </w:r>
          </w:p>
          <w:p>
            <w:pPr>
              <w:pStyle w:val="35"/>
              <w:spacing w:line="360" w:lineRule="auto"/>
              <w:jc w:val="both"/>
              <w:rPr>
                <w:rFonts w:hint="eastAsia" w:ascii="仿宋" w:hAnsi="仿宋" w:eastAsia="仿宋"/>
              </w:rPr>
            </w:pPr>
            <w:r>
              <w:rPr>
                <w:rFonts w:hint="eastAsia" w:ascii="仿宋" w:hAnsi="仿宋" w:eastAsia="仿宋"/>
              </w:rPr>
              <w:t>6、供应商应通过“信用中国”网站(www.creditchina.gov.cn)、中国政府采购网(www.ccgp.gov.cn) 查询相关主体信用记录；</w:t>
            </w:r>
          </w:p>
          <w:p>
            <w:pPr>
              <w:pStyle w:val="35"/>
              <w:spacing w:line="360" w:lineRule="auto"/>
              <w:jc w:val="both"/>
              <w:rPr>
                <w:rFonts w:hint="eastAsia" w:ascii="仿宋" w:hAnsi="仿宋" w:eastAsia="仿宋"/>
              </w:rPr>
            </w:pPr>
            <w:r>
              <w:rPr>
                <w:rFonts w:hint="eastAsia" w:ascii="仿宋" w:hAnsi="仿宋" w:eastAsia="仿宋"/>
              </w:rPr>
              <w:t>7、提供具有履行本合同所必需的设备和专业技术能力的说明及承诺书；</w:t>
            </w:r>
          </w:p>
          <w:p>
            <w:pPr>
              <w:pStyle w:val="35"/>
              <w:spacing w:line="360" w:lineRule="auto"/>
              <w:jc w:val="both"/>
              <w:rPr>
                <w:rFonts w:hint="eastAsia" w:ascii="仿宋" w:hAnsi="仿宋" w:eastAsia="仿宋"/>
              </w:rPr>
            </w:pPr>
            <w:r>
              <w:rPr>
                <w:rFonts w:hint="eastAsia" w:ascii="仿宋" w:hAnsi="仿宋" w:eastAsia="仿宋"/>
              </w:rPr>
              <w:t>8、参加政府采购活动前3年内，在经营活动中没有重大违法记录的书面声明；</w:t>
            </w:r>
          </w:p>
          <w:p>
            <w:pPr>
              <w:pStyle w:val="35"/>
              <w:spacing w:line="360" w:lineRule="auto"/>
              <w:jc w:val="both"/>
              <w:rPr>
                <w:rFonts w:hint="eastAsia" w:ascii="仿宋" w:hAnsi="仿宋" w:eastAsia="仿宋"/>
              </w:rPr>
            </w:pPr>
            <w:r>
              <w:rPr>
                <w:rFonts w:hint="eastAsia" w:ascii="仿宋" w:hAnsi="仿宋" w:eastAsia="仿宋"/>
              </w:rPr>
              <w:t>9、单位负责人为同一人或者存在直接控股、管理关系的不同单位，不得参加同一项下的政府采购活动。</w:t>
            </w:r>
          </w:p>
          <w:p>
            <w:pPr>
              <w:pStyle w:val="35"/>
              <w:spacing w:line="360" w:lineRule="auto"/>
              <w:jc w:val="both"/>
              <w:rPr>
                <w:kern w:val="2"/>
                <w:sz w:val="28"/>
                <w:szCs w:val="28"/>
                <w:lang w:val="zh-CN"/>
              </w:rPr>
            </w:pPr>
            <w:r>
              <w:rPr>
                <w:rFonts w:hint="eastAsia" w:ascii="仿宋" w:hAnsi="仿宋" w:eastAsia="仿宋"/>
              </w:rPr>
              <w:t>根据《政府采购促进中小企业发展管理办法》（财库〔2020〕46号）的规定，不得以企业注册资本、资产总额、营业收入、从业人员、利润、纳税额等规模条件和财务指标作为供应商的资格要求或者评审因素，不得在企业股权结构、经营年限等方面对中小企业实行差别待遇或者歧视待遇</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pPr>
              <w:snapToGrid w:val="0"/>
              <w:spacing w:after="200"/>
              <w:jc w:val="center"/>
              <w:rPr>
                <w:rFonts w:ascii="宋体" w:hAnsi="宋体" w:cs="宋体"/>
                <w:sz w:val="24"/>
              </w:rPr>
            </w:pPr>
            <w:r>
              <w:rPr>
                <w:rFonts w:hint="eastAsia" w:ascii="宋体" w:hAnsi="宋体" w:cs="宋体"/>
                <w:sz w:val="24"/>
              </w:rPr>
              <w:t>5</w:t>
            </w:r>
          </w:p>
        </w:tc>
        <w:tc>
          <w:tcPr>
            <w:tcW w:w="1556" w:type="dxa"/>
            <w:vMerge w:val="restart"/>
            <w:vAlign w:val="center"/>
          </w:tcPr>
          <w:p>
            <w:pPr>
              <w:pStyle w:val="35"/>
              <w:ind w:left="96"/>
              <w:jc w:val="center"/>
              <w:rPr>
                <w:rFonts w:ascii="仿宋" w:hAnsi="仿宋" w:eastAsia="仿宋"/>
                <w:sz w:val="28"/>
                <w:szCs w:val="28"/>
              </w:rPr>
            </w:pPr>
            <w:r>
              <w:rPr>
                <w:rFonts w:hint="eastAsia" w:ascii="仿宋" w:hAnsi="仿宋" w:eastAsia="仿宋"/>
                <w:sz w:val="28"/>
                <w:szCs w:val="28"/>
              </w:rPr>
              <w:t>是否接受</w:t>
            </w:r>
          </w:p>
          <w:p>
            <w:pPr>
              <w:pStyle w:val="35"/>
              <w:ind w:left="96"/>
              <w:jc w:val="center"/>
              <w:rPr>
                <w:rFonts w:ascii="仿宋" w:hAnsi="仿宋" w:eastAsia="仿宋"/>
                <w:sz w:val="28"/>
                <w:szCs w:val="28"/>
              </w:rPr>
            </w:pPr>
            <w:r>
              <w:rPr>
                <w:rFonts w:hint="eastAsia" w:ascii="仿宋" w:hAnsi="仿宋" w:eastAsia="仿宋"/>
                <w:sz w:val="28"/>
                <w:szCs w:val="28"/>
              </w:rPr>
              <w:t>联合体投标</w:t>
            </w:r>
          </w:p>
        </w:tc>
        <w:tc>
          <w:tcPr>
            <w:tcW w:w="7067" w:type="dxa"/>
            <w:vAlign w:val="center"/>
          </w:tcPr>
          <w:p>
            <w:pPr>
              <w:pStyle w:val="35"/>
              <w:jc w:val="both"/>
              <w:rPr>
                <w:rFonts w:ascii="仿宋" w:hAnsi="仿宋" w:eastAsia="仿宋"/>
                <w:sz w:val="28"/>
                <w:szCs w:val="28"/>
              </w:rPr>
            </w:pPr>
            <w:r>
              <w:rPr>
                <w:rFonts w:hint="eastAsia" w:ascii="仿宋" w:hAnsi="仿宋" w:eastAsia="仿宋"/>
                <w:sz w:val="28"/>
                <w:szCs w:val="28"/>
              </w:rPr>
              <w:t>○接受</w:t>
            </w:r>
          </w:p>
          <w:p>
            <w:pPr>
              <w:pStyle w:val="35"/>
              <w:jc w:val="both"/>
              <w:rPr>
                <w:rFonts w:ascii="仿宋" w:hAnsi="仿宋" w:eastAsia="仿宋"/>
                <w:sz w:val="28"/>
                <w:szCs w:val="28"/>
              </w:rPr>
            </w:pPr>
            <w:r>
              <w:rPr>
                <w:rFonts w:hint="eastAsia" w:ascii="仿宋" w:hAnsi="仿宋" w:eastAsia="仿宋"/>
                <w:sz w:val="28"/>
                <w:szCs w:val="28"/>
              </w:rPr>
              <w:t>对于联合体协议或者分包意向协议约定小微企业的合同份额占到合同总金额30%以上的，对联合体或者大中型企业的报价给予___%（2%-3%）的扣除，用扣除后的报价参加评审。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pPr>
              <w:snapToGrid w:val="0"/>
              <w:spacing w:after="200"/>
              <w:ind w:left="142"/>
              <w:jc w:val="center"/>
              <w:rPr>
                <w:rFonts w:ascii="宋体" w:hAnsi="宋体" w:cs="宋体"/>
                <w:sz w:val="24"/>
              </w:rPr>
            </w:pPr>
          </w:p>
        </w:tc>
        <w:tc>
          <w:tcPr>
            <w:tcW w:w="1556" w:type="dxa"/>
            <w:vMerge w:val="continue"/>
            <w:vAlign w:val="center"/>
          </w:tcPr>
          <w:p>
            <w:pPr>
              <w:pStyle w:val="35"/>
              <w:ind w:left="96"/>
              <w:jc w:val="center"/>
              <w:rPr>
                <w:rFonts w:ascii="仿宋" w:hAnsi="仿宋" w:eastAsia="仿宋"/>
                <w:sz w:val="28"/>
                <w:szCs w:val="28"/>
              </w:rPr>
            </w:pPr>
          </w:p>
        </w:tc>
        <w:tc>
          <w:tcPr>
            <w:tcW w:w="7067" w:type="dxa"/>
            <w:vAlign w:val="center"/>
          </w:tcPr>
          <w:p>
            <w:pPr>
              <w:pStyle w:val="35"/>
              <w:jc w:val="both"/>
              <w:rPr>
                <w:rFonts w:ascii="仿宋" w:hAnsi="仿宋" w:eastAsia="仿宋"/>
                <w:sz w:val="28"/>
                <w:szCs w:val="28"/>
              </w:rPr>
            </w:pPr>
            <w:r>
              <w:rPr>
                <w:rFonts w:hint="eastAsia" w:ascii="仿宋" w:hAnsi="仿宋" w:eastAsia="仿宋"/>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pPr>
              <w:snapToGrid w:val="0"/>
              <w:spacing w:after="200"/>
              <w:jc w:val="center"/>
              <w:rPr>
                <w:rFonts w:ascii="宋体" w:hAnsi="宋体" w:cs="宋体"/>
                <w:sz w:val="24"/>
                <w:szCs w:val="24"/>
              </w:rPr>
            </w:pPr>
            <w:r>
              <w:rPr>
                <w:rFonts w:hint="eastAsia" w:ascii="宋体" w:hAnsi="宋体" w:cs="宋体"/>
                <w:sz w:val="24"/>
                <w:szCs w:val="24"/>
              </w:rPr>
              <w:t>6</w:t>
            </w:r>
          </w:p>
        </w:tc>
        <w:tc>
          <w:tcPr>
            <w:tcW w:w="1556" w:type="dxa"/>
            <w:vMerge w:val="restart"/>
            <w:vAlign w:val="center"/>
          </w:tcPr>
          <w:p>
            <w:pPr>
              <w:pStyle w:val="35"/>
              <w:ind w:left="96"/>
              <w:jc w:val="center"/>
              <w:rPr>
                <w:rFonts w:ascii="仿宋" w:hAnsi="仿宋" w:eastAsia="仿宋"/>
                <w:sz w:val="28"/>
                <w:szCs w:val="28"/>
              </w:rPr>
            </w:pPr>
            <w:r>
              <w:rPr>
                <w:rFonts w:hint="eastAsia" w:ascii="仿宋" w:hAnsi="仿宋" w:eastAsia="仿宋"/>
                <w:sz w:val="28"/>
                <w:szCs w:val="28"/>
              </w:rPr>
              <w:t>履约保证金</w:t>
            </w:r>
          </w:p>
        </w:tc>
        <w:tc>
          <w:tcPr>
            <w:tcW w:w="7067" w:type="dxa"/>
            <w:vAlign w:val="center"/>
          </w:tcPr>
          <w:p>
            <w:pPr>
              <w:ind w:right="94" w:rightChars="45"/>
              <w:rPr>
                <w:rFonts w:ascii="仿宋" w:hAnsi="仿宋" w:eastAsia="仿宋" w:cs="宋体"/>
                <w:kern w:val="0"/>
                <w:sz w:val="28"/>
                <w:szCs w:val="28"/>
              </w:rPr>
            </w:pPr>
            <w:r>
              <w:rPr>
                <w:rFonts w:hint="eastAsia" w:ascii="仿宋" w:hAnsi="仿宋" w:eastAsia="仿宋" w:cs="宋体"/>
                <w:kern w:val="0"/>
                <w:sz w:val="28"/>
                <w:szCs w:val="28"/>
              </w:rPr>
              <w:t>占政府采购合同金额的 / %</w:t>
            </w:r>
          </w:p>
          <w:p>
            <w:pPr>
              <w:ind w:right="94" w:rightChars="45"/>
              <w:rPr>
                <w:rFonts w:ascii="仿宋" w:hAnsi="仿宋" w:eastAsia="仿宋" w:cs="宋体"/>
                <w:kern w:val="0"/>
                <w:sz w:val="28"/>
                <w:szCs w:val="28"/>
              </w:rPr>
            </w:pPr>
            <w:r>
              <w:rPr>
                <w:rFonts w:hint="eastAsia" w:ascii="仿宋" w:hAnsi="仿宋" w:eastAsia="仿宋" w:cs="宋体"/>
                <w:kern w:val="0"/>
                <w:sz w:val="28"/>
                <w:szCs w:val="28"/>
              </w:rPr>
              <w:t>履约保证金的数额不得超过政府采购合同金额的10%；对于单价合同，其数额不得超过采购预算的10%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pPr>
              <w:snapToGrid w:val="0"/>
              <w:spacing w:after="200"/>
              <w:ind w:left="142"/>
              <w:jc w:val="center"/>
              <w:rPr>
                <w:rFonts w:ascii="宋体" w:hAnsi="宋体" w:cs="宋体"/>
                <w:sz w:val="24"/>
                <w:szCs w:val="24"/>
              </w:rPr>
            </w:pPr>
          </w:p>
        </w:tc>
        <w:tc>
          <w:tcPr>
            <w:tcW w:w="1556" w:type="dxa"/>
            <w:vMerge w:val="continue"/>
            <w:vAlign w:val="center"/>
          </w:tcPr>
          <w:p>
            <w:pPr>
              <w:pStyle w:val="35"/>
              <w:ind w:left="96"/>
              <w:jc w:val="center"/>
              <w:rPr>
                <w:rFonts w:ascii="仿宋" w:hAnsi="仿宋" w:eastAsia="仿宋"/>
                <w:sz w:val="28"/>
                <w:szCs w:val="28"/>
              </w:rPr>
            </w:pPr>
          </w:p>
        </w:tc>
        <w:tc>
          <w:tcPr>
            <w:tcW w:w="7067" w:type="dxa"/>
            <w:vAlign w:val="center"/>
          </w:tcPr>
          <w:p>
            <w:pPr>
              <w:ind w:right="94" w:rightChars="45"/>
              <w:rPr>
                <w:rFonts w:ascii="仿宋" w:hAnsi="仿宋" w:eastAsia="仿宋" w:cs="宋体"/>
                <w:kern w:val="0"/>
                <w:sz w:val="28"/>
                <w:szCs w:val="28"/>
              </w:rPr>
            </w:pPr>
            <w:r>
              <w:rPr>
                <w:rFonts w:hint="eastAsia" w:ascii="仿宋" w:hAnsi="仿宋" w:eastAsia="仿宋" w:cs="宋体"/>
                <w:kern w:val="0"/>
                <w:sz w:val="28"/>
                <w:szCs w:val="28"/>
              </w:rPr>
              <w:t>⊙由采购单位自行收退</w:t>
            </w:r>
          </w:p>
          <w:p>
            <w:pPr>
              <w:ind w:right="94" w:rightChars="45"/>
              <w:rPr>
                <w:rFonts w:ascii="仿宋" w:hAnsi="仿宋" w:eastAsia="仿宋" w:cs="宋体"/>
                <w:kern w:val="0"/>
                <w:sz w:val="28"/>
                <w:szCs w:val="28"/>
              </w:rPr>
            </w:pPr>
            <w:r>
              <w:rPr>
                <w:rFonts w:hint="eastAsia" w:ascii="仿宋" w:hAnsi="仿宋" w:eastAsia="仿宋" w:cs="宋体"/>
                <w:kern w:val="0"/>
                <w:sz w:val="28"/>
                <w:szCs w:val="28"/>
              </w:rPr>
              <w:t>○由代理机构负责收退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cs="宋体"/>
                <w:sz w:val="24"/>
                <w:szCs w:val="24"/>
              </w:rPr>
            </w:pPr>
            <w:r>
              <w:rPr>
                <w:rFonts w:hint="eastAsia" w:ascii="宋体" w:hAnsi="宋体" w:cs="宋体"/>
                <w:sz w:val="24"/>
                <w:szCs w:val="24"/>
              </w:rPr>
              <w:t>7</w:t>
            </w:r>
          </w:p>
        </w:tc>
        <w:tc>
          <w:tcPr>
            <w:tcW w:w="1556" w:type="dxa"/>
            <w:vAlign w:val="center"/>
          </w:tcPr>
          <w:p>
            <w:pPr>
              <w:pStyle w:val="35"/>
              <w:ind w:left="96"/>
              <w:jc w:val="center"/>
              <w:rPr>
                <w:rFonts w:ascii="仿宋" w:hAnsi="仿宋" w:eastAsia="仿宋"/>
                <w:sz w:val="28"/>
                <w:szCs w:val="28"/>
              </w:rPr>
            </w:pPr>
            <w:r>
              <w:rPr>
                <w:rFonts w:hint="eastAsia" w:ascii="仿宋" w:hAnsi="仿宋" w:eastAsia="仿宋"/>
                <w:sz w:val="28"/>
                <w:szCs w:val="28"/>
              </w:rPr>
              <w:t>集中答疑</w:t>
            </w:r>
          </w:p>
        </w:tc>
        <w:tc>
          <w:tcPr>
            <w:tcW w:w="7067" w:type="dxa"/>
            <w:vAlign w:val="center"/>
          </w:tcPr>
          <w:p>
            <w:pPr>
              <w:ind w:right="94" w:rightChars="45"/>
              <w:rPr>
                <w:rFonts w:ascii="仿宋" w:hAnsi="仿宋" w:eastAsia="仿宋" w:cs="宋体"/>
                <w:kern w:val="0"/>
                <w:sz w:val="28"/>
                <w:szCs w:val="28"/>
              </w:rPr>
            </w:pPr>
            <w:r>
              <w:rPr>
                <w:rFonts w:hint="eastAsia" w:ascii="仿宋" w:hAnsi="仿宋" w:eastAsia="仿宋" w:cs="宋体"/>
                <w:kern w:val="0"/>
                <w:sz w:val="28"/>
                <w:szCs w:val="28"/>
              </w:rPr>
              <w:t>○组织，集结地点为：_______________________</w:t>
            </w:r>
          </w:p>
          <w:p>
            <w:pPr>
              <w:ind w:right="94" w:rightChars="45"/>
              <w:rPr>
                <w:rFonts w:ascii="仿宋" w:hAnsi="仿宋" w:eastAsia="仿宋" w:cs="宋体"/>
                <w:kern w:val="0"/>
                <w:sz w:val="28"/>
                <w:szCs w:val="28"/>
              </w:rPr>
            </w:pPr>
            <w:r>
              <w:rPr>
                <w:rFonts w:hint="eastAsia" w:ascii="仿宋" w:hAnsi="仿宋" w:eastAsia="仿宋" w:cs="宋体"/>
                <w:kern w:val="0"/>
                <w:sz w:val="28"/>
                <w:szCs w:val="28"/>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cs="宋体"/>
                <w:sz w:val="24"/>
                <w:szCs w:val="24"/>
              </w:rPr>
            </w:pPr>
            <w:r>
              <w:rPr>
                <w:rFonts w:hint="eastAsia" w:ascii="宋体" w:hAnsi="宋体" w:cs="宋体"/>
                <w:sz w:val="24"/>
                <w:szCs w:val="24"/>
              </w:rPr>
              <w:t>8</w:t>
            </w:r>
          </w:p>
        </w:tc>
        <w:tc>
          <w:tcPr>
            <w:tcW w:w="1556" w:type="dxa"/>
            <w:vAlign w:val="center"/>
          </w:tcPr>
          <w:p>
            <w:pPr>
              <w:pStyle w:val="35"/>
              <w:ind w:left="96"/>
              <w:jc w:val="center"/>
              <w:rPr>
                <w:rFonts w:ascii="仿宋" w:hAnsi="仿宋" w:eastAsia="仿宋"/>
                <w:sz w:val="28"/>
                <w:szCs w:val="28"/>
              </w:rPr>
            </w:pPr>
            <w:r>
              <w:rPr>
                <w:rFonts w:hint="eastAsia" w:ascii="仿宋" w:hAnsi="仿宋" w:eastAsia="仿宋"/>
                <w:sz w:val="28"/>
                <w:szCs w:val="28"/>
              </w:rPr>
              <w:t>价格分比重</w:t>
            </w:r>
          </w:p>
        </w:tc>
        <w:tc>
          <w:tcPr>
            <w:tcW w:w="7067" w:type="dxa"/>
            <w:vAlign w:val="center"/>
          </w:tcPr>
          <w:p>
            <w:pPr>
              <w:widowControl/>
              <w:rPr>
                <w:rFonts w:ascii="仿宋" w:hAnsi="仿宋" w:eastAsia="仿宋" w:cs="宋体"/>
                <w:kern w:val="0"/>
                <w:sz w:val="28"/>
                <w:szCs w:val="28"/>
              </w:rPr>
            </w:pPr>
            <w:r>
              <w:rPr>
                <w:rFonts w:hint="eastAsia" w:ascii="仿宋" w:hAnsi="仿宋" w:eastAsia="仿宋" w:cs="宋体"/>
                <w:kern w:val="0"/>
                <w:sz w:val="28"/>
                <w:szCs w:val="28"/>
              </w:rPr>
              <w:t>占总分值的</w:t>
            </w:r>
            <w:r>
              <w:rPr>
                <w:rFonts w:hint="eastAsia" w:ascii="仿宋" w:hAnsi="仿宋" w:eastAsia="仿宋" w:cs="宋体"/>
                <w:kern w:val="0"/>
                <w:sz w:val="28"/>
                <w:szCs w:val="28"/>
                <w:lang w:val="en-US" w:eastAsia="zh-CN"/>
              </w:rPr>
              <w:t>30</w:t>
            </w:r>
            <w:r>
              <w:rPr>
                <w:rFonts w:hint="eastAsia" w:ascii="仿宋" w:hAnsi="仿宋" w:eastAsia="仿宋" w:cs="宋体"/>
                <w:kern w:val="0"/>
                <w:sz w:val="28"/>
                <w:szCs w:val="28"/>
              </w:rPr>
              <w:t>%</w:t>
            </w:r>
          </w:p>
          <w:p>
            <w:pPr>
              <w:widowControl/>
              <w:rPr>
                <w:rFonts w:ascii="仿宋" w:hAnsi="仿宋" w:eastAsia="仿宋" w:cs="宋体"/>
                <w:kern w:val="0"/>
                <w:sz w:val="28"/>
                <w:szCs w:val="28"/>
              </w:rPr>
            </w:pPr>
            <w:r>
              <w:rPr>
                <w:rFonts w:hint="eastAsia" w:ascii="仿宋" w:hAnsi="仿宋" w:eastAsia="仿宋" w:cs="宋体"/>
                <w:kern w:val="0"/>
                <w:sz w:val="28"/>
                <w:szCs w:val="28"/>
              </w:rPr>
              <w:t>【招标】根据《政府采购货物和服务招标投标管理办法》（财政部87号令）的规定，综合评分法</w:t>
            </w:r>
            <w:r>
              <w:rPr>
                <w:rFonts w:hint="eastAsia" w:ascii="仿宋" w:hAnsi="仿宋" w:eastAsia="仿宋" w:cs="宋体"/>
                <w:kern w:val="0"/>
                <w:sz w:val="28"/>
                <w:szCs w:val="28"/>
                <w:lang w:val="en-US" w:eastAsia="zh-CN"/>
              </w:rPr>
              <w:t>货物</w:t>
            </w:r>
            <w:r>
              <w:rPr>
                <w:rFonts w:hint="eastAsia" w:ascii="仿宋" w:hAnsi="仿宋" w:eastAsia="仿宋" w:cs="宋体"/>
                <w:kern w:val="0"/>
                <w:sz w:val="28"/>
                <w:szCs w:val="28"/>
              </w:rPr>
              <w:t>项目的价格分值占总分值比重不得低于</w:t>
            </w:r>
            <w:r>
              <w:rPr>
                <w:rFonts w:hint="eastAsia" w:ascii="仿宋" w:hAnsi="仿宋" w:eastAsia="仿宋" w:cs="宋体"/>
                <w:kern w:val="0"/>
                <w:sz w:val="28"/>
                <w:szCs w:val="28"/>
                <w:lang w:val="en-US" w:eastAsia="zh-CN"/>
              </w:rPr>
              <w:t>30</w:t>
            </w:r>
            <w:r>
              <w:rPr>
                <w:rFonts w:hint="eastAsia" w:ascii="仿宋" w:hAnsi="仿宋" w:eastAsia="仿宋" w:cs="宋体"/>
                <w:kern w:val="0"/>
                <w:sz w:val="28"/>
                <w:szCs w:val="28"/>
              </w:rPr>
              <w:t>%，执行国家统一定价标准和采用固定价格采购的项目，其价格不列为评审因素。</w:t>
            </w:r>
          </w:p>
          <w:p>
            <w:pPr>
              <w:widowControl/>
              <w:rPr>
                <w:rFonts w:ascii="仿宋" w:hAnsi="仿宋" w:eastAsia="仿宋" w:cs="宋体"/>
                <w:kern w:val="0"/>
                <w:sz w:val="28"/>
                <w:szCs w:val="28"/>
              </w:rPr>
            </w:pPr>
            <w:r>
              <w:rPr>
                <w:rFonts w:hint="eastAsia" w:ascii="仿宋" w:hAnsi="仿宋" w:eastAsia="仿宋" w:cs="宋体"/>
                <w:kern w:val="0"/>
                <w:sz w:val="28"/>
                <w:szCs w:val="28"/>
              </w:rPr>
              <w:t>【磋商】根据《政府采购竞争性磋商采购方式管理暂行办法》（财库〔2014〕214号）的规定，</w:t>
            </w:r>
            <w:r>
              <w:rPr>
                <w:rFonts w:hint="eastAsia" w:ascii="仿宋" w:hAnsi="仿宋" w:eastAsia="仿宋" w:cs="宋体"/>
                <w:kern w:val="0"/>
                <w:sz w:val="28"/>
                <w:szCs w:val="28"/>
                <w:lang w:val="en-US" w:eastAsia="zh-CN"/>
              </w:rPr>
              <w:t>货物</w:t>
            </w:r>
            <w:r>
              <w:rPr>
                <w:rFonts w:hint="eastAsia" w:ascii="仿宋" w:hAnsi="仿宋" w:eastAsia="仿宋" w:cs="宋体"/>
                <w:kern w:val="0"/>
                <w:sz w:val="28"/>
                <w:szCs w:val="28"/>
              </w:rPr>
              <w:t>项目的价格分值占总分值的比重（即权值）为</w:t>
            </w:r>
            <w:r>
              <w:rPr>
                <w:rFonts w:hint="eastAsia" w:ascii="仿宋" w:hAnsi="仿宋" w:eastAsia="仿宋" w:cs="宋体"/>
                <w:kern w:val="0"/>
                <w:sz w:val="28"/>
                <w:szCs w:val="28"/>
                <w:lang w:val="en-US" w:eastAsia="zh-CN"/>
              </w:rPr>
              <w:t>30</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6</w:t>
            </w:r>
            <w:r>
              <w:rPr>
                <w:rFonts w:hint="eastAsia" w:ascii="仿宋" w:hAnsi="仿宋" w:eastAsia="仿宋" w:cs="宋体"/>
                <w:kern w:val="0"/>
                <w:sz w:val="28"/>
                <w:szCs w:val="28"/>
              </w:rPr>
              <w:t>0%。</w:t>
            </w:r>
          </w:p>
          <w:p>
            <w:pPr>
              <w:widowControl/>
              <w:rPr>
                <w:rFonts w:ascii="仿宋" w:hAnsi="仿宋" w:eastAsia="仿宋" w:cs="宋体"/>
                <w:kern w:val="0"/>
                <w:sz w:val="28"/>
                <w:szCs w:val="28"/>
              </w:rPr>
            </w:pPr>
            <w:r>
              <w:rPr>
                <w:rFonts w:hint="eastAsia" w:ascii="仿宋" w:hAnsi="仿宋" w:eastAsia="仿宋" w:cs="宋体"/>
                <w:kern w:val="0"/>
                <w:sz w:val="28"/>
                <w:szCs w:val="28"/>
              </w:rPr>
              <w:t>【其他采购方式】无须设置。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cs="宋体"/>
                <w:sz w:val="24"/>
                <w:szCs w:val="24"/>
              </w:rPr>
            </w:pPr>
            <w:r>
              <w:rPr>
                <w:rFonts w:hint="eastAsia" w:ascii="宋体" w:hAnsi="宋体" w:cs="宋体"/>
                <w:sz w:val="24"/>
                <w:szCs w:val="24"/>
              </w:rPr>
              <w:t>9</w:t>
            </w:r>
          </w:p>
        </w:tc>
        <w:tc>
          <w:tcPr>
            <w:tcW w:w="1556" w:type="dxa"/>
            <w:vAlign w:val="center"/>
          </w:tcPr>
          <w:p>
            <w:pPr>
              <w:pStyle w:val="35"/>
              <w:ind w:left="96"/>
              <w:jc w:val="center"/>
              <w:rPr>
                <w:rFonts w:ascii="仿宋" w:hAnsi="仿宋" w:eastAsia="仿宋"/>
                <w:sz w:val="28"/>
                <w:szCs w:val="28"/>
              </w:rPr>
            </w:pPr>
            <w:r>
              <w:rPr>
                <w:rFonts w:hint="eastAsia" w:ascii="仿宋" w:hAnsi="仿宋" w:eastAsia="仿宋"/>
                <w:sz w:val="28"/>
                <w:szCs w:val="28"/>
              </w:rPr>
              <w:t>合同类型</w:t>
            </w:r>
          </w:p>
        </w:tc>
        <w:tc>
          <w:tcPr>
            <w:tcW w:w="7067" w:type="dxa"/>
            <w:vAlign w:val="center"/>
          </w:tcPr>
          <w:p>
            <w:pPr>
              <w:rPr>
                <w:rFonts w:ascii="仿宋" w:hAnsi="仿宋" w:eastAsia="仿宋" w:cs="宋体"/>
                <w:kern w:val="0"/>
                <w:sz w:val="28"/>
                <w:szCs w:val="28"/>
              </w:rPr>
            </w:pPr>
            <w:r>
              <w:rPr>
                <w:rFonts w:hint="eastAsia" w:ascii="仿宋" w:hAnsi="仿宋" w:eastAsia="仿宋" w:cs="宋体"/>
                <w:kern w:val="0"/>
                <w:sz w:val="28"/>
                <w:szCs w:val="28"/>
              </w:rPr>
              <w:t>⊙固定总价</w:t>
            </w:r>
          </w:p>
          <w:p>
            <w:pPr>
              <w:rPr>
                <w:rFonts w:ascii="仿宋" w:hAnsi="仿宋" w:eastAsia="仿宋" w:cs="宋体"/>
                <w:kern w:val="0"/>
                <w:sz w:val="28"/>
                <w:szCs w:val="28"/>
              </w:rPr>
            </w:pPr>
            <w:r>
              <w:rPr>
                <w:rFonts w:hint="eastAsia" w:ascii="仿宋" w:hAnsi="仿宋" w:eastAsia="仿宋" w:cs="宋体"/>
                <w:kern w:val="0"/>
                <w:sz w:val="28"/>
                <w:szCs w:val="28"/>
              </w:rPr>
              <w:t>○固定单价（适用于采购数量不定的情形）</w:t>
            </w:r>
          </w:p>
          <w:p>
            <w:pPr>
              <w:rPr>
                <w:rFonts w:ascii="仿宋" w:hAnsi="仿宋" w:eastAsia="仿宋" w:cs="宋体"/>
                <w:kern w:val="0"/>
                <w:sz w:val="28"/>
                <w:szCs w:val="28"/>
              </w:rPr>
            </w:pPr>
            <w:r>
              <w:rPr>
                <w:rFonts w:hint="eastAsia" w:ascii="仿宋" w:hAnsi="仿宋" w:eastAsia="仿宋" w:cs="宋体"/>
                <w:kern w:val="0"/>
                <w:sz w:val="28"/>
                <w:szCs w:val="28"/>
              </w:rPr>
              <w:t>○其他：___________________________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pStyle w:val="35"/>
              <w:jc w:val="both"/>
              <w:rPr>
                <w:rFonts w:ascii="仿宋" w:hAnsi="仿宋" w:eastAsia="仿宋"/>
                <w:szCs w:val="22"/>
              </w:rPr>
            </w:pPr>
            <w:r>
              <w:rPr>
                <w:rFonts w:hint="eastAsia" w:ascii="仿宋" w:hAnsi="仿宋" w:eastAsia="仿宋"/>
                <w:szCs w:val="22"/>
              </w:rPr>
              <w:t>10</w:t>
            </w:r>
          </w:p>
        </w:tc>
        <w:tc>
          <w:tcPr>
            <w:tcW w:w="1556" w:type="dxa"/>
            <w:vAlign w:val="center"/>
          </w:tcPr>
          <w:p>
            <w:pPr>
              <w:pStyle w:val="35"/>
              <w:jc w:val="both"/>
              <w:rPr>
                <w:rFonts w:ascii="仿宋" w:hAnsi="仿宋" w:eastAsia="仿宋"/>
                <w:sz w:val="28"/>
                <w:szCs w:val="28"/>
              </w:rPr>
            </w:pPr>
            <w:r>
              <w:rPr>
                <w:rFonts w:hint="eastAsia" w:ascii="仿宋" w:hAnsi="仿宋" w:eastAsia="仿宋"/>
                <w:sz w:val="28"/>
                <w:szCs w:val="28"/>
              </w:rPr>
              <w:t>争议解决途径</w:t>
            </w:r>
          </w:p>
        </w:tc>
        <w:tc>
          <w:tcPr>
            <w:tcW w:w="7067" w:type="dxa"/>
            <w:vAlign w:val="center"/>
          </w:tcPr>
          <w:p>
            <w:pPr>
              <w:pStyle w:val="35"/>
              <w:jc w:val="both"/>
              <w:rPr>
                <w:rFonts w:ascii="仿宋" w:hAnsi="仿宋" w:eastAsia="仿宋"/>
                <w:sz w:val="28"/>
                <w:szCs w:val="28"/>
              </w:rPr>
            </w:pPr>
            <w:r>
              <w:rPr>
                <w:rFonts w:hint="eastAsia" w:ascii="仿宋" w:hAnsi="仿宋" w:eastAsia="仿宋"/>
                <w:sz w:val="28"/>
                <w:szCs w:val="28"/>
              </w:rPr>
              <w:t>⊙向有管辖权的人民法院提起诉讼</w:t>
            </w:r>
          </w:p>
          <w:p>
            <w:pPr>
              <w:pStyle w:val="35"/>
              <w:jc w:val="both"/>
              <w:rPr>
                <w:rFonts w:ascii="仿宋" w:hAnsi="仿宋" w:eastAsia="仿宋"/>
                <w:sz w:val="28"/>
                <w:szCs w:val="28"/>
              </w:rPr>
            </w:pPr>
            <w:r>
              <w:rPr>
                <w:rFonts w:hint="eastAsia" w:ascii="仿宋" w:hAnsi="仿宋" w:eastAsia="仿宋"/>
                <w:sz w:val="28"/>
                <w:szCs w:val="28"/>
              </w:rPr>
              <w:t>○向西安仲裁委员会提请仲裁</w:t>
            </w:r>
          </w:p>
          <w:p>
            <w:pPr>
              <w:pStyle w:val="35"/>
              <w:jc w:val="both"/>
              <w:rPr>
                <w:rFonts w:ascii="仿宋" w:hAnsi="仿宋" w:eastAsia="仿宋"/>
                <w:sz w:val="28"/>
                <w:szCs w:val="28"/>
              </w:rPr>
            </w:pPr>
            <w:r>
              <w:rPr>
                <w:rFonts w:hint="eastAsia" w:ascii="仿宋" w:hAnsi="仿宋" w:eastAsia="仿宋"/>
                <w:sz w:val="28"/>
                <w:szCs w:val="28"/>
              </w:rPr>
              <w:t>○由供应商做出选择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pStyle w:val="35"/>
              <w:jc w:val="both"/>
              <w:rPr>
                <w:rFonts w:ascii="仿宋" w:hAnsi="仿宋" w:eastAsia="仿宋"/>
                <w:szCs w:val="22"/>
              </w:rPr>
            </w:pPr>
            <w:r>
              <w:rPr>
                <w:rFonts w:hint="eastAsia" w:ascii="仿宋" w:hAnsi="仿宋" w:eastAsia="仿宋"/>
                <w:szCs w:val="22"/>
              </w:rPr>
              <w:t>11</w:t>
            </w:r>
          </w:p>
        </w:tc>
        <w:tc>
          <w:tcPr>
            <w:tcW w:w="1556" w:type="dxa"/>
            <w:vAlign w:val="center"/>
          </w:tcPr>
          <w:p>
            <w:pPr>
              <w:pStyle w:val="35"/>
              <w:jc w:val="both"/>
              <w:rPr>
                <w:rFonts w:ascii="仿宋" w:hAnsi="仿宋" w:eastAsia="仿宋"/>
                <w:sz w:val="28"/>
                <w:szCs w:val="28"/>
              </w:rPr>
            </w:pPr>
            <w:r>
              <w:rPr>
                <w:rFonts w:hint="eastAsia" w:ascii="仿宋" w:hAnsi="仿宋" w:eastAsia="仿宋"/>
                <w:sz w:val="28"/>
                <w:szCs w:val="28"/>
              </w:rPr>
              <w:t>联系方式</w:t>
            </w:r>
          </w:p>
        </w:tc>
        <w:tc>
          <w:tcPr>
            <w:tcW w:w="7067" w:type="dxa"/>
            <w:vAlign w:val="center"/>
          </w:tcPr>
          <w:p>
            <w:pPr>
              <w:pStyle w:val="35"/>
              <w:jc w:val="both"/>
              <w:rPr>
                <w:rFonts w:ascii="仿宋" w:hAnsi="仿宋" w:eastAsia="仿宋"/>
                <w:sz w:val="28"/>
                <w:szCs w:val="28"/>
              </w:rPr>
            </w:pPr>
            <w:r>
              <w:rPr>
                <w:rFonts w:hint="eastAsia" w:ascii="仿宋" w:hAnsi="仿宋" w:eastAsia="仿宋"/>
                <w:sz w:val="28"/>
                <w:szCs w:val="28"/>
              </w:rPr>
              <w:t xml:space="preserve">项目对接人： </w:t>
            </w:r>
            <w:r>
              <w:rPr>
                <w:rFonts w:hint="eastAsia" w:ascii="仿宋" w:hAnsi="仿宋" w:eastAsia="仿宋"/>
                <w:sz w:val="28"/>
                <w:szCs w:val="28"/>
                <w:lang w:val="en-US" w:eastAsia="zh-CN"/>
              </w:rPr>
              <w:t>云永祥</w:t>
            </w:r>
            <w:r>
              <w:rPr>
                <w:rFonts w:hint="eastAsia" w:ascii="仿宋" w:hAnsi="仿宋" w:eastAsia="仿宋"/>
                <w:sz w:val="28"/>
                <w:szCs w:val="28"/>
              </w:rPr>
              <w:t xml:space="preserve"> </w:t>
            </w:r>
          </w:p>
          <w:p>
            <w:pPr>
              <w:pStyle w:val="35"/>
              <w:jc w:val="both"/>
              <w:rPr>
                <w:rFonts w:ascii="仿宋" w:hAnsi="仿宋" w:eastAsia="仿宋"/>
                <w:sz w:val="28"/>
                <w:szCs w:val="28"/>
              </w:rPr>
            </w:pPr>
            <w:r>
              <w:rPr>
                <w:rFonts w:hint="eastAsia" w:ascii="仿宋" w:hAnsi="仿宋" w:eastAsia="仿宋"/>
                <w:sz w:val="28"/>
                <w:szCs w:val="28"/>
              </w:rPr>
              <w:t>联系电话：</w:t>
            </w:r>
            <w:r>
              <w:rPr>
                <w:rFonts w:hint="eastAsia" w:ascii="仿宋" w:hAnsi="仿宋" w:eastAsia="仿宋"/>
                <w:sz w:val="28"/>
                <w:szCs w:val="28"/>
                <w:lang w:val="en-US" w:eastAsia="zh-CN"/>
              </w:rPr>
              <w:t>15029481382</w:t>
            </w:r>
            <w:r>
              <w:rPr>
                <w:rFonts w:hint="eastAsia" w:ascii="仿宋" w:hAnsi="仿宋" w:eastAsia="仿宋"/>
                <w:sz w:val="28"/>
                <w:szCs w:val="28"/>
              </w:rPr>
              <w:t xml:space="preserve">  </w:t>
            </w:r>
          </w:p>
          <w:p>
            <w:pPr>
              <w:pStyle w:val="35"/>
              <w:jc w:val="both"/>
              <w:rPr>
                <w:rFonts w:ascii="仿宋" w:hAnsi="仿宋" w:eastAsia="仿宋"/>
                <w:sz w:val="28"/>
                <w:szCs w:val="28"/>
              </w:rPr>
            </w:pPr>
            <w:r>
              <w:rPr>
                <w:rFonts w:hint="eastAsia" w:ascii="仿宋" w:hAnsi="仿宋" w:eastAsia="仿宋"/>
                <w:sz w:val="28"/>
                <w:szCs w:val="28"/>
              </w:rPr>
              <w:t>电子邮箱：_________</w:t>
            </w:r>
          </w:p>
        </w:tc>
      </w:tr>
    </w:tbl>
    <w:p>
      <w:pPr>
        <w:widowControl/>
        <w:jc w:val="center"/>
        <w:rPr>
          <w:rFonts w:ascii="宋体" w:hAnsi="宋体" w:cs="宋体"/>
          <w:b/>
          <w:sz w:val="24"/>
          <w:szCs w:val="24"/>
        </w:rPr>
      </w:pPr>
      <w:r>
        <w:rPr>
          <w:rFonts w:hint="eastAsia" w:ascii="宋体" w:hAnsi="宋体" w:cs="宋体"/>
          <w:b/>
          <w:sz w:val="24"/>
          <w:szCs w:val="24"/>
        </w:rPr>
        <w:t>需求框架（</w:t>
      </w:r>
      <w:r>
        <w:rPr>
          <w:rFonts w:hint="eastAsia" w:ascii="宋体" w:hAnsi="宋体" w:cs="宋体"/>
          <w:b/>
          <w:sz w:val="24"/>
          <w:szCs w:val="24"/>
          <w:lang w:val="en-US" w:eastAsia="zh-CN"/>
        </w:rPr>
        <w:t>货物</w:t>
      </w:r>
      <w:r>
        <w:rPr>
          <w:rFonts w:hint="eastAsia" w:ascii="宋体" w:hAnsi="宋体" w:cs="宋体"/>
          <w:b/>
          <w:sz w:val="24"/>
          <w:szCs w:val="24"/>
        </w:rPr>
        <w:t>类）</w:t>
      </w:r>
    </w:p>
    <w:p>
      <w:pPr>
        <w:widowControl/>
        <w:rPr>
          <w:rFonts w:ascii="仿宋" w:hAnsi="仿宋" w:eastAsia="仿宋" w:cs="宋体"/>
          <w:b/>
          <w:kern w:val="0"/>
          <w:sz w:val="28"/>
          <w:szCs w:val="28"/>
        </w:rPr>
      </w:pPr>
      <w:r>
        <w:rPr>
          <w:rFonts w:hint="eastAsia" w:ascii="仿宋" w:hAnsi="仿宋" w:eastAsia="仿宋" w:cs="宋体"/>
          <w:b/>
          <w:kern w:val="0"/>
          <w:sz w:val="28"/>
          <w:szCs w:val="28"/>
        </w:rPr>
        <w:t>一、项目概况</w:t>
      </w:r>
    </w:p>
    <w:p>
      <w:pPr>
        <w:widowControl/>
        <w:rPr>
          <w:rFonts w:ascii="仿宋" w:hAnsi="仿宋" w:eastAsia="仿宋" w:cs="宋体"/>
          <w:kern w:val="0"/>
          <w:sz w:val="28"/>
          <w:szCs w:val="28"/>
        </w:rPr>
      </w:pPr>
    </w:p>
    <w:p>
      <w:pPr>
        <w:widowControl/>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本次蓝田县综治视联网系统建设依托视联网专线，满足高清专线会议模式需要，主要包括：蓝田县本级综治视联网平台服务端设备和337个社区村分会场视频会议系统设备的购置安装、调试运行等服务，以及上述内容1年期内的所有保障维护和维修服务。</w:t>
      </w:r>
    </w:p>
    <w:p>
      <w:pPr>
        <w:widowControl/>
        <w:rPr>
          <w:rFonts w:ascii="仿宋" w:hAnsi="仿宋" w:eastAsia="仿宋" w:cs="宋体"/>
          <w:b/>
          <w:kern w:val="0"/>
          <w:sz w:val="28"/>
          <w:szCs w:val="28"/>
        </w:rPr>
      </w:pPr>
      <w:r>
        <w:rPr>
          <w:rFonts w:hint="eastAsia" w:ascii="仿宋" w:hAnsi="仿宋" w:eastAsia="仿宋" w:cs="宋体"/>
          <w:b/>
          <w:kern w:val="0"/>
          <w:sz w:val="28"/>
          <w:szCs w:val="28"/>
        </w:rPr>
        <w:t>二、服务内容（包括工作区域、工作内容等）</w:t>
      </w:r>
    </w:p>
    <w:p>
      <w:pPr>
        <w:widowControl/>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本项目为系统性的集成建设，具有县、街镇、社区村等三级联网部署架构。因项目前期预算经费规划，及项目试点性建设，已于去年完成了第二级19个街镇的试点部署建设。故今年根据政策指引，对第三级337个社区村进行全方位部署与推进，并与去年已建的二级街镇节点无缝对接，统一纳管、统一认证、统一入会，保证系统的统一性与完整性。</w:t>
      </w:r>
    </w:p>
    <w:p>
      <w:pPr>
        <w:widowControl/>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2、实现蓝田县综治视联网县、街镇、社区村三级自主调度，在上级单位允许的情况下，把上级会议精神能迅速准确的传达到基层各单位，也可以把基层各单位声画及时反馈至上级单位会场。</w:t>
      </w:r>
    </w:p>
    <w:p>
      <w:pPr>
        <w:widowControl/>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3、与原有西安市视频会系统对接，及新系统的建设要充分考虑我县已建已有的显示、音视频设备的利用，做到利旧接入的考虑。</w:t>
      </w:r>
    </w:p>
    <w:p>
      <w:pPr>
        <w:widowControl/>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4、线下线上会议融合要考虑网络安全，确保不会由于线上线下会议的融合而产生网络攻击等问题。线下会议系统和线上会议系统能够进行完美的对接融合，再需要的情况下能够联合开会，保证不再需要新建会场。</w:t>
      </w:r>
    </w:p>
    <w:p>
      <w:pPr>
        <w:widowControl/>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5、设备及系统运行稳定，操作简单，界面友好灵活易用等。</w:t>
      </w:r>
    </w:p>
    <w:p>
      <w:pPr>
        <w:widowControl/>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6、遵守国际标准、国家标准和国内通信行业规范要求，具有稳定性、便捷性、实用性、成熟性和扩展性等。</w:t>
      </w:r>
    </w:p>
    <w:p>
      <w:pPr>
        <w:pBdr>
          <w:bottom w:val="single" w:color="auto" w:sz="4" w:space="1"/>
        </w:pBdr>
        <w:spacing w:beforeLines="100"/>
        <w:ind w:firstLine="492" w:firstLineChars="175"/>
        <w:rPr>
          <w:rFonts w:ascii="仿宋" w:hAnsi="仿宋" w:eastAsia="仿宋" w:cs="宋体"/>
          <w:b/>
          <w:kern w:val="0"/>
          <w:sz w:val="28"/>
          <w:szCs w:val="28"/>
        </w:rPr>
      </w:pPr>
      <w:r>
        <w:rPr>
          <w:rFonts w:hint="eastAsia" w:ascii="仿宋" w:hAnsi="仿宋" w:eastAsia="仿宋" w:cs="宋体"/>
          <w:b/>
          <w:kern w:val="0"/>
          <w:sz w:val="28"/>
          <w:szCs w:val="28"/>
        </w:rPr>
        <w:t>三、技术要求（如有，一般适合于</w:t>
      </w:r>
      <w:r>
        <w:rPr>
          <w:rFonts w:hint="eastAsia" w:ascii="仿宋" w:hAnsi="仿宋" w:eastAsia="仿宋" w:cs="宋体"/>
          <w:b/>
          <w:kern w:val="0"/>
          <w:sz w:val="28"/>
          <w:szCs w:val="28"/>
          <w:lang w:val="en-US" w:eastAsia="zh-CN"/>
        </w:rPr>
        <w:t>货物类</w:t>
      </w:r>
      <w:r>
        <w:rPr>
          <w:rFonts w:hint="eastAsia" w:ascii="仿宋" w:hAnsi="仿宋" w:eastAsia="仿宋" w:cs="宋体"/>
          <w:b/>
          <w:kern w:val="0"/>
          <w:sz w:val="28"/>
          <w:szCs w:val="28"/>
        </w:rPr>
        <w:t>项目）</w:t>
      </w:r>
    </w:p>
    <w:p>
      <w:pPr>
        <w:spacing w:line="400" w:lineRule="exact"/>
        <w:ind w:firstLine="490" w:firstLineChars="175"/>
        <w:rPr>
          <w:rFonts w:ascii="仿宋" w:hAnsi="仿宋" w:eastAsia="仿宋" w:cs="宋体"/>
          <w:kern w:val="0"/>
          <w:sz w:val="28"/>
          <w:szCs w:val="28"/>
        </w:rPr>
      </w:pPr>
      <w:r>
        <w:rPr>
          <w:rFonts w:hint="eastAsia" w:ascii="仿宋" w:hAnsi="仿宋" w:eastAsia="仿宋" w:cs="宋体"/>
          <w:kern w:val="0"/>
          <w:sz w:val="28"/>
          <w:szCs w:val="28"/>
        </w:rPr>
        <w:t>符合国家、行业规定及采购人相关要求。</w:t>
      </w:r>
    </w:p>
    <w:tbl>
      <w:tblPr>
        <w:tblStyle w:val="10"/>
        <w:tblW w:w="5139" w:type="pct"/>
        <w:tblInd w:w="-318" w:type="dxa"/>
        <w:tblLayout w:type="autofit"/>
        <w:tblCellMar>
          <w:top w:w="0" w:type="dxa"/>
          <w:left w:w="108" w:type="dxa"/>
          <w:bottom w:w="0" w:type="dxa"/>
          <w:right w:w="108" w:type="dxa"/>
        </w:tblCellMar>
      </w:tblPr>
      <w:tblGrid>
        <w:gridCol w:w="686"/>
        <w:gridCol w:w="1227"/>
        <w:gridCol w:w="5999"/>
        <w:gridCol w:w="847"/>
      </w:tblGrid>
      <w:tr>
        <w:tblPrEx>
          <w:tblCellMar>
            <w:top w:w="0" w:type="dxa"/>
            <w:left w:w="108" w:type="dxa"/>
            <w:bottom w:w="0" w:type="dxa"/>
            <w:right w:w="108" w:type="dxa"/>
          </w:tblCellMar>
        </w:tblPrEx>
        <w:trPr>
          <w:trHeight w:val="565" w:hRule="atLeast"/>
        </w:trPr>
        <w:tc>
          <w:tcPr>
            <w:tcW w:w="392"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360" w:lineRule="auto"/>
              <w:jc w:val="center"/>
              <w:rPr>
                <w:rFonts w:hint="eastAsia" w:cs="宋体"/>
                <w:b/>
                <w:bCs/>
                <w:szCs w:val="24"/>
                <w:highlight w:val="none"/>
              </w:rPr>
            </w:pPr>
            <w:r>
              <w:rPr>
                <w:rFonts w:hint="eastAsia" w:cs="宋体"/>
                <w:b/>
                <w:bCs/>
                <w:szCs w:val="24"/>
                <w:highlight w:val="none"/>
              </w:rPr>
              <w:t>序号</w:t>
            </w:r>
          </w:p>
        </w:tc>
        <w:tc>
          <w:tcPr>
            <w:tcW w:w="700" w:type="pct"/>
            <w:tcBorders>
              <w:top w:val="single" w:color="auto" w:sz="4" w:space="0"/>
              <w:left w:val="nil"/>
              <w:bottom w:val="single" w:color="auto" w:sz="4" w:space="0"/>
              <w:right w:val="single" w:color="auto" w:sz="4" w:space="0"/>
            </w:tcBorders>
            <w:noWrap w:val="0"/>
            <w:vAlign w:val="center"/>
          </w:tcPr>
          <w:p>
            <w:pPr>
              <w:widowControl/>
              <w:shd w:val="clear" w:color="auto" w:fill="auto"/>
              <w:spacing w:line="360" w:lineRule="auto"/>
              <w:jc w:val="center"/>
              <w:rPr>
                <w:rFonts w:hint="eastAsia" w:cs="宋体"/>
                <w:b/>
                <w:bCs/>
                <w:szCs w:val="24"/>
                <w:highlight w:val="none"/>
              </w:rPr>
            </w:pPr>
            <w:r>
              <w:rPr>
                <w:rFonts w:hint="eastAsia" w:cs="宋体"/>
                <w:b/>
                <w:bCs/>
                <w:szCs w:val="24"/>
                <w:highlight w:val="none"/>
              </w:rPr>
              <w:t>名称</w:t>
            </w:r>
          </w:p>
        </w:tc>
        <w:tc>
          <w:tcPr>
            <w:tcW w:w="3423" w:type="pct"/>
            <w:tcBorders>
              <w:top w:val="single" w:color="auto" w:sz="4" w:space="0"/>
              <w:left w:val="nil"/>
              <w:bottom w:val="single" w:color="auto" w:sz="4" w:space="0"/>
              <w:right w:val="single" w:color="auto" w:sz="4" w:space="0"/>
            </w:tcBorders>
            <w:noWrap w:val="0"/>
            <w:vAlign w:val="center"/>
          </w:tcPr>
          <w:p>
            <w:pPr>
              <w:widowControl/>
              <w:shd w:val="clear" w:color="auto" w:fill="auto"/>
              <w:spacing w:line="360" w:lineRule="auto"/>
              <w:jc w:val="center"/>
              <w:rPr>
                <w:rFonts w:hint="eastAsia" w:cs="宋体"/>
                <w:b/>
                <w:bCs/>
                <w:szCs w:val="24"/>
                <w:highlight w:val="none"/>
              </w:rPr>
            </w:pPr>
            <w:r>
              <w:rPr>
                <w:rFonts w:hint="eastAsia" w:cs="宋体"/>
                <w:b/>
                <w:bCs/>
                <w:szCs w:val="24"/>
                <w:highlight w:val="none"/>
              </w:rPr>
              <w:t>相关参数</w:t>
            </w:r>
          </w:p>
        </w:tc>
        <w:tc>
          <w:tcPr>
            <w:tcW w:w="483" w:type="pct"/>
            <w:tcBorders>
              <w:top w:val="single" w:color="auto" w:sz="4" w:space="0"/>
              <w:left w:val="nil"/>
              <w:bottom w:val="single" w:color="auto" w:sz="4" w:space="0"/>
              <w:right w:val="single" w:color="auto" w:sz="4" w:space="0"/>
            </w:tcBorders>
            <w:noWrap w:val="0"/>
            <w:vAlign w:val="center"/>
          </w:tcPr>
          <w:p>
            <w:pPr>
              <w:widowControl/>
              <w:shd w:val="clear" w:color="auto" w:fill="auto"/>
              <w:spacing w:line="360" w:lineRule="auto"/>
              <w:jc w:val="center"/>
              <w:rPr>
                <w:rFonts w:hint="eastAsia" w:cs="宋体"/>
                <w:b/>
                <w:bCs/>
                <w:szCs w:val="24"/>
                <w:highlight w:val="none"/>
              </w:rPr>
            </w:pPr>
            <w:r>
              <w:rPr>
                <w:rFonts w:hint="eastAsia" w:cs="宋体"/>
                <w:b/>
                <w:bCs/>
                <w:szCs w:val="24"/>
                <w:highlight w:val="none"/>
              </w:rPr>
              <w:t>数量</w:t>
            </w:r>
          </w:p>
        </w:tc>
      </w:tr>
      <w:tr>
        <w:tblPrEx>
          <w:tblCellMar>
            <w:top w:w="0" w:type="dxa"/>
            <w:left w:w="108" w:type="dxa"/>
            <w:bottom w:w="0" w:type="dxa"/>
            <w:right w:w="108" w:type="dxa"/>
          </w:tblCellMar>
        </w:tblPrEx>
        <w:trPr>
          <w:trHeight w:val="594" w:hRule="atLeast"/>
        </w:trPr>
        <w:tc>
          <w:tcPr>
            <w:tcW w:w="392" w:type="pct"/>
            <w:tcBorders>
              <w:top w:val="nil"/>
              <w:left w:val="single" w:color="auto" w:sz="4" w:space="0"/>
              <w:bottom w:val="single" w:color="auto" w:sz="4" w:space="0"/>
              <w:right w:val="single" w:color="auto" w:sz="4" w:space="0"/>
            </w:tcBorders>
            <w:noWrap w:val="0"/>
            <w:vAlign w:val="center"/>
          </w:tcPr>
          <w:p>
            <w:pPr>
              <w:widowControl/>
              <w:shd w:val="clear" w:color="auto" w:fill="auto"/>
              <w:spacing w:line="360" w:lineRule="auto"/>
              <w:jc w:val="center"/>
              <w:rPr>
                <w:rFonts w:hint="eastAsia" w:cs="宋体"/>
                <w:szCs w:val="24"/>
                <w:highlight w:val="red"/>
              </w:rPr>
            </w:pPr>
            <w:r>
              <w:rPr>
                <w:rFonts w:hint="eastAsia" w:cs="宋体"/>
                <w:szCs w:val="24"/>
                <w:highlight w:val="none"/>
              </w:rPr>
              <w:t>1</w:t>
            </w:r>
          </w:p>
        </w:tc>
        <w:tc>
          <w:tcPr>
            <w:tcW w:w="700" w:type="pct"/>
            <w:tcBorders>
              <w:top w:val="nil"/>
              <w:left w:val="nil"/>
              <w:bottom w:val="single" w:color="auto" w:sz="4" w:space="0"/>
              <w:right w:val="single" w:color="auto" w:sz="4" w:space="0"/>
            </w:tcBorders>
            <w:noWrap w:val="0"/>
            <w:vAlign w:val="center"/>
          </w:tcPr>
          <w:p>
            <w:pPr>
              <w:widowControl/>
              <w:shd w:val="clear" w:color="auto" w:fill="auto"/>
              <w:spacing w:line="360" w:lineRule="auto"/>
              <w:jc w:val="center"/>
              <w:rPr>
                <w:rFonts w:hint="eastAsia" w:eastAsia="宋体" w:cs="宋体"/>
                <w:szCs w:val="24"/>
                <w:highlight w:val="red"/>
                <w:lang w:eastAsia="zh-CN"/>
              </w:rPr>
            </w:pPr>
            <w:r>
              <w:rPr>
                <w:rFonts w:hint="eastAsia" w:cs="宋体"/>
                <w:szCs w:val="24"/>
                <w:highlight w:val="none"/>
              </w:rPr>
              <w:t>视联网核心交换服务</w:t>
            </w:r>
          </w:p>
        </w:tc>
        <w:tc>
          <w:tcPr>
            <w:tcW w:w="3423" w:type="pct"/>
            <w:tcBorders>
              <w:top w:val="nil"/>
              <w:left w:val="nil"/>
              <w:bottom w:val="single" w:color="auto" w:sz="4" w:space="0"/>
              <w:right w:val="single" w:color="auto" w:sz="4" w:space="0"/>
            </w:tcBorders>
            <w:noWrap w:val="0"/>
            <w:vAlign w:val="center"/>
          </w:tcPr>
          <w:p>
            <w:pPr>
              <w:widowControl/>
              <w:shd w:val="clear" w:color="auto" w:fill="auto"/>
              <w:spacing w:line="360" w:lineRule="auto"/>
              <w:jc w:val="left"/>
              <w:rPr>
                <w:rFonts w:hint="eastAsia" w:eastAsia="宋体" w:cs="宋体"/>
                <w:szCs w:val="24"/>
                <w:highlight w:val="none"/>
                <w:lang w:eastAsia="zh-CN"/>
              </w:rPr>
            </w:pPr>
            <w:r>
              <w:rPr>
                <w:rFonts w:hint="eastAsia" w:cs="宋体"/>
                <w:szCs w:val="24"/>
                <w:highlight w:val="none"/>
                <w:lang w:val="en-US" w:eastAsia="zh-CN"/>
              </w:rPr>
              <w:t>1.</w:t>
            </w:r>
            <w:r>
              <w:rPr>
                <w:rFonts w:hint="eastAsia" w:cs="宋体"/>
                <w:szCs w:val="24"/>
                <w:highlight w:val="none"/>
              </w:rPr>
              <w:t>符合以太网802.3标准，可兼容H.323协议、SIP协议；</w:t>
            </w:r>
          </w:p>
          <w:p>
            <w:pPr>
              <w:widowControl/>
              <w:shd w:val="clear" w:color="auto" w:fill="auto"/>
              <w:spacing w:line="360" w:lineRule="auto"/>
              <w:jc w:val="left"/>
              <w:rPr>
                <w:rFonts w:hint="eastAsia" w:eastAsia="宋体" w:cs="宋体"/>
                <w:szCs w:val="24"/>
                <w:highlight w:val="none"/>
                <w:lang w:eastAsia="zh-CN"/>
              </w:rPr>
            </w:pPr>
            <w:r>
              <w:rPr>
                <w:rFonts w:hint="eastAsia" w:cs="宋体"/>
                <w:szCs w:val="24"/>
                <w:highlight w:val="none"/>
                <w:lang w:val="en-US" w:eastAsia="zh-CN"/>
              </w:rPr>
              <w:t>2.</w:t>
            </w:r>
            <w:r>
              <w:rPr>
                <w:rFonts w:hint="eastAsia" w:cs="宋体"/>
                <w:szCs w:val="24"/>
                <w:highlight w:val="none"/>
              </w:rPr>
              <w:t>采用嵌入式硬件设备，提供2路千兆电口或2路千兆光口；</w:t>
            </w:r>
          </w:p>
          <w:p>
            <w:pPr>
              <w:widowControl/>
              <w:shd w:val="clear" w:color="auto" w:fill="auto"/>
              <w:spacing w:line="360" w:lineRule="auto"/>
              <w:jc w:val="left"/>
              <w:rPr>
                <w:rFonts w:hint="eastAsia" w:eastAsia="宋体" w:cs="宋体"/>
                <w:szCs w:val="24"/>
                <w:highlight w:val="none"/>
                <w:lang w:eastAsia="zh-CN"/>
              </w:rPr>
            </w:pPr>
            <w:r>
              <w:rPr>
                <w:rFonts w:hint="eastAsia" w:cs="宋体"/>
                <w:szCs w:val="24"/>
                <w:highlight w:val="none"/>
                <w:lang w:val="en-US" w:eastAsia="zh-CN"/>
              </w:rPr>
              <w:t>3.</w:t>
            </w:r>
            <w:r>
              <w:rPr>
                <w:rFonts w:hint="eastAsia" w:cs="宋体"/>
                <w:szCs w:val="24"/>
                <w:highlight w:val="none"/>
              </w:rPr>
              <w:t>支持H.265、H.264BP/HP/MP视频编解码协议；视频分辨率支持4K@60/30fps、1080P@60/30fps、720P@30fps且向下兼容。</w:t>
            </w:r>
          </w:p>
          <w:p>
            <w:pPr>
              <w:widowControl/>
              <w:shd w:val="clear" w:color="auto" w:fill="auto"/>
              <w:spacing w:line="360" w:lineRule="auto"/>
              <w:jc w:val="left"/>
              <w:rPr>
                <w:rFonts w:hint="eastAsia" w:eastAsia="宋体" w:cs="宋体"/>
                <w:szCs w:val="24"/>
                <w:highlight w:val="none"/>
                <w:lang w:eastAsia="zh-CN"/>
              </w:rPr>
            </w:pPr>
            <w:r>
              <w:rPr>
                <w:rFonts w:hint="eastAsia" w:cs="宋体"/>
                <w:szCs w:val="24"/>
                <w:highlight w:val="none"/>
                <w:lang w:val="en-US" w:eastAsia="zh-CN"/>
              </w:rPr>
              <w:t>4.</w:t>
            </w:r>
            <w:r>
              <w:rPr>
                <w:rFonts w:hint="eastAsia" w:cs="宋体"/>
                <w:szCs w:val="24"/>
                <w:highlight w:val="none"/>
              </w:rPr>
              <w:t xml:space="preserve">支持G.711A、G.711U和AAC音频编解码格式；           </w:t>
            </w:r>
          </w:p>
          <w:p>
            <w:pPr>
              <w:widowControl/>
              <w:shd w:val="clear" w:color="auto" w:fill="auto"/>
              <w:spacing w:line="360" w:lineRule="auto"/>
              <w:jc w:val="left"/>
              <w:rPr>
                <w:rFonts w:hint="eastAsia" w:eastAsia="宋体" w:cs="宋体"/>
                <w:szCs w:val="24"/>
                <w:highlight w:val="none"/>
                <w:lang w:eastAsia="zh-CN"/>
              </w:rPr>
            </w:pPr>
            <w:r>
              <w:rPr>
                <w:rFonts w:hint="eastAsia" w:ascii="宋体" w:hAnsi="宋体" w:eastAsia="宋体" w:cs="宋体"/>
                <w:b/>
                <w:bCs w:val="0"/>
                <w:sz w:val="28"/>
                <w:szCs w:val="24"/>
                <w:highlight w:val="none"/>
                <w:lang w:bidi="ar"/>
              </w:rPr>
              <w:t>*</w:t>
            </w:r>
            <w:r>
              <w:rPr>
                <w:rFonts w:hint="eastAsia" w:ascii="宋体" w:hAnsi="宋体" w:eastAsia="宋体" w:cs="宋体"/>
                <w:b/>
                <w:bCs/>
                <w:szCs w:val="24"/>
                <w:highlight w:val="none"/>
                <w:lang w:val="en-US" w:eastAsia="zh-CN"/>
              </w:rPr>
              <w:t>5.</w:t>
            </w:r>
            <w:r>
              <w:rPr>
                <w:rFonts w:hint="eastAsia" w:ascii="宋体" w:hAnsi="宋体" w:eastAsia="宋体" w:cs="宋体"/>
                <w:b/>
                <w:bCs/>
                <w:szCs w:val="24"/>
                <w:highlight w:val="none"/>
              </w:rPr>
              <w:t>单台</w:t>
            </w:r>
            <w:r>
              <w:rPr>
                <w:rFonts w:hint="eastAsia" w:cs="宋体"/>
                <w:b/>
                <w:bCs/>
                <w:szCs w:val="24"/>
                <w:highlight w:val="none"/>
              </w:rPr>
              <w:t>设备支持不少于250路4K或1080P的高清视频并发接入</w:t>
            </w:r>
            <w:r>
              <w:rPr>
                <w:rFonts w:hint="eastAsia" w:ascii="宋体" w:hAnsi="宋体" w:eastAsia="宋体" w:cs="宋体"/>
                <w:b/>
                <w:bCs/>
                <w:szCs w:val="24"/>
                <w:highlight w:val="none"/>
                <w:lang w:eastAsia="zh-CN"/>
              </w:rPr>
              <w:t>（</w:t>
            </w:r>
            <w:r>
              <w:rPr>
                <w:rFonts w:hint="eastAsia" w:ascii="宋体" w:hAnsi="宋体" w:eastAsia="宋体" w:cs="宋体"/>
                <w:b/>
                <w:bCs/>
                <w:szCs w:val="24"/>
                <w:highlight w:val="none"/>
                <w:lang w:val="en-US" w:eastAsia="zh-CN"/>
              </w:rPr>
              <w:t>可出</w:t>
            </w:r>
            <w:r>
              <w:rPr>
                <w:rFonts w:hint="eastAsia" w:ascii="宋体" w:hAnsi="宋体" w:eastAsia="宋体" w:cs="宋体"/>
                <w:b/>
                <w:bCs/>
                <w:szCs w:val="24"/>
                <w:highlight w:val="none"/>
              </w:rPr>
              <w:t>具相应的证明材料，包括但不限于功能检测报告或相关软件著作权证书等</w:t>
            </w:r>
            <w:r>
              <w:rPr>
                <w:rFonts w:hint="eastAsia" w:ascii="宋体" w:hAnsi="宋体" w:eastAsia="宋体" w:cs="宋体"/>
                <w:b/>
                <w:bCs/>
                <w:szCs w:val="24"/>
                <w:highlight w:val="none"/>
                <w:lang w:eastAsia="zh-CN"/>
              </w:rPr>
              <w:t>）</w:t>
            </w:r>
            <w:r>
              <w:rPr>
                <w:rFonts w:hint="eastAsia" w:cs="宋体"/>
                <w:b/>
                <w:bCs/>
                <w:szCs w:val="24"/>
                <w:highlight w:val="none"/>
              </w:rPr>
              <w:t>；</w:t>
            </w:r>
          </w:p>
          <w:p>
            <w:pPr>
              <w:widowControl/>
              <w:shd w:val="clear" w:color="auto" w:fill="auto"/>
              <w:spacing w:line="360" w:lineRule="auto"/>
              <w:jc w:val="left"/>
              <w:rPr>
                <w:rFonts w:hint="eastAsia" w:eastAsia="宋体" w:cs="宋体"/>
                <w:szCs w:val="24"/>
                <w:highlight w:val="none"/>
                <w:lang w:eastAsia="zh-CN"/>
              </w:rPr>
            </w:pPr>
            <w:r>
              <w:rPr>
                <w:rFonts w:hint="eastAsia" w:cs="宋体"/>
                <w:szCs w:val="24"/>
                <w:highlight w:val="none"/>
                <w:lang w:val="en-US" w:eastAsia="zh-CN"/>
              </w:rPr>
              <w:t>6.</w:t>
            </w:r>
            <w:r>
              <w:rPr>
                <w:rFonts w:hint="eastAsia" w:cs="宋体"/>
                <w:szCs w:val="24"/>
                <w:highlight w:val="none"/>
              </w:rPr>
              <w:t>支持多通道级联功能，且级联可实现服务器最大并发容量，单台设备支持不少于250个级联通道。</w:t>
            </w:r>
          </w:p>
          <w:p>
            <w:pPr>
              <w:widowControl/>
              <w:shd w:val="clear" w:color="auto" w:fill="auto"/>
              <w:spacing w:line="360" w:lineRule="auto"/>
              <w:jc w:val="left"/>
              <w:rPr>
                <w:rFonts w:hint="eastAsia" w:eastAsia="宋体" w:cs="宋体"/>
                <w:szCs w:val="24"/>
                <w:highlight w:val="none"/>
                <w:lang w:eastAsia="zh-CN"/>
              </w:rPr>
            </w:pPr>
            <w:r>
              <w:rPr>
                <w:rFonts w:hint="eastAsia" w:cs="宋体"/>
                <w:szCs w:val="24"/>
                <w:highlight w:val="none"/>
                <w:lang w:val="en-US" w:eastAsia="zh-CN"/>
              </w:rPr>
              <w:t>7.</w:t>
            </w:r>
            <w:r>
              <w:rPr>
                <w:rFonts w:hint="eastAsia" w:cs="宋体"/>
                <w:szCs w:val="24"/>
                <w:highlight w:val="none"/>
              </w:rPr>
              <w:t xml:space="preserve">持4K及以下高清视频会议、可视电话、远程培训功能； </w:t>
            </w:r>
          </w:p>
          <w:p>
            <w:pPr>
              <w:widowControl/>
              <w:shd w:val="clear" w:color="auto" w:fill="auto"/>
              <w:spacing w:line="360" w:lineRule="auto"/>
              <w:jc w:val="left"/>
              <w:rPr>
                <w:rFonts w:hint="eastAsia" w:eastAsia="宋体" w:cs="宋体"/>
                <w:szCs w:val="24"/>
                <w:highlight w:val="none"/>
                <w:lang w:eastAsia="zh-CN"/>
              </w:rPr>
            </w:pPr>
            <w:r>
              <w:rPr>
                <w:rFonts w:hint="eastAsia" w:cs="宋体"/>
                <w:szCs w:val="24"/>
                <w:highlight w:val="none"/>
                <w:lang w:val="en-US" w:eastAsia="zh-CN"/>
              </w:rPr>
              <w:t>8.</w:t>
            </w:r>
            <w:r>
              <w:rPr>
                <w:rFonts w:hint="eastAsia" w:cs="宋体"/>
                <w:szCs w:val="24"/>
                <w:highlight w:val="none"/>
              </w:rPr>
              <w:t>支持辅流功能，在同一组会议中，支持多个终端同时发起动态辅流，支持多组会议同时发起辅流。</w:t>
            </w:r>
          </w:p>
          <w:p>
            <w:pPr>
              <w:widowControl/>
              <w:shd w:val="clear" w:color="auto" w:fill="auto"/>
              <w:spacing w:line="360" w:lineRule="auto"/>
              <w:jc w:val="left"/>
              <w:rPr>
                <w:rFonts w:hint="eastAsia" w:ascii="宋体" w:hAnsi="宋体" w:eastAsia="宋体" w:cs="宋体"/>
                <w:szCs w:val="24"/>
                <w:highlight w:val="none"/>
                <w:lang w:eastAsia="zh-CN"/>
              </w:rPr>
            </w:pPr>
            <w:r>
              <w:rPr>
                <w:rFonts w:hint="eastAsia" w:cs="宋体"/>
                <w:szCs w:val="24"/>
                <w:highlight w:val="none"/>
                <w:lang w:val="en-US" w:eastAsia="zh-CN"/>
              </w:rPr>
              <w:t>9.</w:t>
            </w:r>
            <w:r>
              <w:rPr>
                <w:rFonts w:hint="eastAsia" w:cs="宋体"/>
                <w:szCs w:val="24"/>
                <w:highlight w:val="none"/>
              </w:rPr>
              <w:t>支</w:t>
            </w:r>
            <w:r>
              <w:rPr>
                <w:rFonts w:hint="eastAsia" w:ascii="宋体" w:hAnsi="宋体" w:eastAsia="宋体" w:cs="宋体"/>
                <w:szCs w:val="24"/>
                <w:highlight w:val="none"/>
              </w:rPr>
              <w:t>持自主多画面功能，支持全交换功能，一组会议中与会终端须能够任意选择所收看的画面。</w:t>
            </w:r>
          </w:p>
          <w:p>
            <w:pPr>
              <w:widowControl/>
              <w:shd w:val="clear" w:color="auto" w:fill="auto"/>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lang w:val="en-US" w:eastAsia="zh-CN"/>
              </w:rPr>
              <w:t>10.</w:t>
            </w:r>
            <w:r>
              <w:rPr>
                <w:rFonts w:hint="eastAsia" w:ascii="宋体" w:hAnsi="宋体" w:eastAsia="宋体" w:cs="宋体"/>
                <w:szCs w:val="24"/>
                <w:highlight w:val="none"/>
              </w:rPr>
              <w:t>支持7*24小时音视频业务不间断运行，业务可用度不低于99%。</w:t>
            </w:r>
          </w:p>
          <w:p>
            <w:pPr>
              <w:widowControl/>
              <w:shd w:val="clear" w:color="auto" w:fill="auto"/>
              <w:spacing w:line="360" w:lineRule="auto"/>
              <w:jc w:val="left"/>
              <w:rPr>
                <w:rFonts w:ascii="宋体" w:cs="宋体"/>
                <w:kern w:val="0"/>
                <w:sz w:val="24"/>
                <w:szCs w:val="24"/>
                <w:highlight w:val="none"/>
              </w:rPr>
            </w:pPr>
            <w:r>
              <w:rPr>
                <w:rFonts w:hint="eastAsia" w:ascii="宋体" w:hAnsi="宋体" w:eastAsia="宋体" w:cs="宋体"/>
                <w:szCs w:val="24"/>
                <w:highlight w:val="none"/>
                <w:lang w:val="en-US" w:eastAsia="zh-CN"/>
              </w:rPr>
              <w:t>11.</w:t>
            </w:r>
            <w:r>
              <w:rPr>
                <w:rFonts w:hint="eastAsia" w:ascii="宋体" w:hAnsi="宋体" w:eastAsia="宋体" w:cs="宋体"/>
                <w:szCs w:val="24"/>
                <w:highlight w:val="none"/>
              </w:rPr>
              <w:t>视联网内核心设备，承载视联网内多种业务应用，进行全网资源交换传输，共计提供400个点位的视联网license服务。县级、街</w:t>
            </w:r>
            <w:r>
              <w:rPr>
                <w:rFonts w:ascii="宋体" w:cs="宋体"/>
                <w:kern w:val="0"/>
                <w:sz w:val="24"/>
                <w:szCs w:val="24"/>
                <w:highlight w:val="none"/>
              </w:rPr>
              <w:t>镇、社区村等设备会议接入必备</w:t>
            </w:r>
          </w:p>
          <w:p>
            <w:pPr>
              <w:widowControl/>
              <w:shd w:val="clear" w:color="auto" w:fill="auto"/>
              <w:spacing w:line="360" w:lineRule="auto"/>
              <w:jc w:val="left"/>
              <w:rPr>
                <w:rFonts w:hint="eastAsia" w:ascii="宋体" w:hAnsi="宋体" w:eastAsia="宋体" w:cs="宋体"/>
                <w:b/>
                <w:bCs/>
                <w:szCs w:val="24"/>
                <w:highlight w:val="none"/>
                <w:lang w:eastAsia="zh-CN"/>
              </w:rPr>
            </w:pPr>
            <w:r>
              <w:rPr>
                <w:rFonts w:hint="eastAsia" w:ascii="宋体" w:hAnsi="宋体" w:eastAsia="宋体" w:cs="宋体"/>
                <w:b/>
                <w:bCs/>
                <w:sz w:val="28"/>
                <w:szCs w:val="28"/>
                <w:highlight w:val="none"/>
              </w:rPr>
              <w:t>*</w:t>
            </w:r>
            <w:r>
              <w:rPr>
                <w:rFonts w:hint="eastAsia" w:ascii="宋体" w:hAnsi="宋体" w:eastAsia="宋体" w:cs="宋体"/>
                <w:b/>
                <w:bCs/>
                <w:szCs w:val="24"/>
                <w:highlight w:val="none"/>
                <w:lang w:val="en-US" w:eastAsia="zh-CN"/>
              </w:rPr>
              <w:t>12.</w:t>
            </w:r>
            <w:r>
              <w:rPr>
                <w:rFonts w:hint="eastAsia" w:ascii="宋体" w:hAnsi="宋体" w:eastAsia="宋体" w:cs="宋体"/>
                <w:b/>
                <w:bCs/>
                <w:szCs w:val="24"/>
                <w:highlight w:val="none"/>
              </w:rPr>
              <w:t>提供核心服务系统的相应的证明材料，包括但不限于功能检测报告或相关软件著作权证书等</w:t>
            </w:r>
            <w:r>
              <w:rPr>
                <w:rFonts w:hint="eastAsia" w:ascii="宋体" w:hAnsi="宋体" w:eastAsia="宋体" w:cs="宋体"/>
                <w:b/>
                <w:bCs/>
                <w:szCs w:val="24"/>
                <w:highlight w:val="none"/>
                <w:lang w:eastAsia="zh-CN"/>
              </w:rPr>
              <w:t>。</w:t>
            </w:r>
          </w:p>
          <w:p>
            <w:pPr>
              <w:pStyle w:val="2"/>
              <w:shd w:val="clear" w:color="auto" w:fill="auto"/>
              <w:rPr>
                <w:rFonts w:hint="eastAsia"/>
                <w:highlight w:val="none"/>
              </w:rPr>
            </w:pPr>
          </w:p>
        </w:tc>
        <w:tc>
          <w:tcPr>
            <w:tcW w:w="483" w:type="pct"/>
            <w:tcBorders>
              <w:top w:val="nil"/>
              <w:left w:val="nil"/>
              <w:bottom w:val="single" w:color="auto" w:sz="4" w:space="0"/>
              <w:right w:val="single" w:color="auto" w:sz="4" w:space="0"/>
            </w:tcBorders>
            <w:noWrap w:val="0"/>
            <w:vAlign w:val="center"/>
          </w:tcPr>
          <w:p>
            <w:pPr>
              <w:widowControl/>
              <w:shd w:val="clear" w:color="auto" w:fill="auto"/>
              <w:spacing w:line="360" w:lineRule="auto"/>
              <w:jc w:val="center"/>
              <w:rPr>
                <w:rFonts w:hint="eastAsia" w:cs="宋体"/>
                <w:szCs w:val="24"/>
                <w:highlight w:val="none"/>
              </w:rPr>
            </w:pPr>
            <w:r>
              <w:rPr>
                <w:rFonts w:hint="eastAsia" w:cs="宋体"/>
                <w:szCs w:val="24"/>
                <w:highlight w:val="none"/>
              </w:rPr>
              <w:t>2</w:t>
            </w:r>
          </w:p>
        </w:tc>
      </w:tr>
      <w:tr>
        <w:tblPrEx>
          <w:tblCellMar>
            <w:top w:w="0" w:type="dxa"/>
            <w:left w:w="108" w:type="dxa"/>
            <w:bottom w:w="0" w:type="dxa"/>
            <w:right w:w="108" w:type="dxa"/>
          </w:tblCellMar>
        </w:tblPrEx>
        <w:trPr>
          <w:trHeight w:val="3357" w:hRule="atLeast"/>
        </w:trPr>
        <w:tc>
          <w:tcPr>
            <w:tcW w:w="392" w:type="pct"/>
            <w:tcBorders>
              <w:top w:val="nil"/>
              <w:left w:val="single" w:color="auto" w:sz="4" w:space="0"/>
              <w:bottom w:val="single" w:color="auto" w:sz="4" w:space="0"/>
              <w:right w:val="single" w:color="auto" w:sz="4" w:space="0"/>
            </w:tcBorders>
            <w:noWrap w:val="0"/>
            <w:vAlign w:val="center"/>
          </w:tcPr>
          <w:p>
            <w:pPr>
              <w:widowControl/>
              <w:shd w:val="clear" w:color="auto" w:fill="auto"/>
              <w:spacing w:line="360" w:lineRule="auto"/>
              <w:jc w:val="center"/>
              <w:rPr>
                <w:rFonts w:hint="eastAsia" w:cs="宋体"/>
                <w:szCs w:val="24"/>
                <w:highlight w:val="none"/>
              </w:rPr>
            </w:pPr>
            <w:r>
              <w:rPr>
                <w:rFonts w:hint="eastAsia" w:cs="宋体"/>
                <w:szCs w:val="24"/>
                <w:highlight w:val="none"/>
              </w:rPr>
              <w:t>2</w:t>
            </w:r>
          </w:p>
        </w:tc>
        <w:tc>
          <w:tcPr>
            <w:tcW w:w="700" w:type="pct"/>
            <w:tcBorders>
              <w:top w:val="nil"/>
              <w:left w:val="nil"/>
              <w:bottom w:val="single" w:color="auto" w:sz="4" w:space="0"/>
              <w:right w:val="single" w:color="auto" w:sz="4" w:space="0"/>
            </w:tcBorders>
            <w:noWrap w:val="0"/>
            <w:vAlign w:val="center"/>
          </w:tcPr>
          <w:p>
            <w:pPr>
              <w:widowControl/>
              <w:shd w:val="clear" w:color="auto" w:fill="auto"/>
              <w:spacing w:line="360" w:lineRule="auto"/>
              <w:jc w:val="center"/>
              <w:rPr>
                <w:rFonts w:hint="eastAsia" w:cs="宋体"/>
                <w:szCs w:val="24"/>
                <w:highlight w:val="none"/>
              </w:rPr>
            </w:pPr>
            <w:r>
              <w:rPr>
                <w:rFonts w:hint="eastAsia" w:cs="宋体"/>
                <w:szCs w:val="24"/>
                <w:highlight w:val="none"/>
              </w:rPr>
              <w:t>视联网会议管理系统</w:t>
            </w:r>
          </w:p>
        </w:tc>
        <w:tc>
          <w:tcPr>
            <w:tcW w:w="3423" w:type="pct"/>
            <w:tcBorders>
              <w:top w:val="nil"/>
              <w:left w:val="nil"/>
              <w:bottom w:val="single" w:color="auto" w:sz="4" w:space="0"/>
              <w:right w:val="single" w:color="auto" w:sz="4" w:space="0"/>
            </w:tcBorders>
            <w:noWrap w:val="0"/>
            <w:vAlign w:val="center"/>
          </w:tcPr>
          <w:p>
            <w:pPr>
              <w:widowControl/>
              <w:shd w:val="clear" w:color="auto" w:fill="auto"/>
              <w:spacing w:line="360" w:lineRule="auto"/>
              <w:jc w:val="left"/>
              <w:rPr>
                <w:rFonts w:hint="eastAsia"/>
                <w:highlight w:val="none"/>
                <w:lang w:eastAsia="zh-CN"/>
              </w:rPr>
            </w:pPr>
            <w:r>
              <w:rPr>
                <w:rFonts w:hint="eastAsia"/>
                <w:highlight w:val="none"/>
                <w:lang w:val="en-US" w:eastAsia="zh-CN"/>
              </w:rPr>
              <w:t>1.</w:t>
            </w:r>
            <w:r>
              <w:rPr>
                <w:rFonts w:hint="eastAsia"/>
                <w:highlight w:val="none"/>
              </w:rPr>
              <w:t>支持全网会议统一管理；</w:t>
            </w:r>
          </w:p>
          <w:p>
            <w:pPr>
              <w:widowControl/>
              <w:shd w:val="clear" w:color="auto" w:fill="auto"/>
              <w:spacing w:line="360" w:lineRule="auto"/>
              <w:jc w:val="left"/>
              <w:rPr>
                <w:rFonts w:hint="eastAsia"/>
                <w:highlight w:val="none"/>
                <w:lang w:eastAsia="zh-CN"/>
              </w:rPr>
            </w:pPr>
            <w:r>
              <w:rPr>
                <w:rFonts w:hint="eastAsia"/>
                <w:highlight w:val="none"/>
                <w:lang w:val="en-US" w:eastAsia="zh-CN"/>
              </w:rPr>
              <w:t>2.</w:t>
            </w:r>
            <w:r>
              <w:rPr>
                <w:rFonts w:hint="eastAsia"/>
                <w:highlight w:val="none"/>
              </w:rPr>
              <w:t>支持智能检测预约主席是否冲突；</w:t>
            </w:r>
          </w:p>
          <w:p>
            <w:pPr>
              <w:widowControl/>
              <w:shd w:val="clear" w:color="auto" w:fill="auto"/>
              <w:spacing w:line="360" w:lineRule="auto"/>
              <w:jc w:val="left"/>
              <w:rPr>
                <w:rFonts w:hint="eastAsia"/>
                <w:highlight w:val="none"/>
                <w:lang w:eastAsia="zh-CN"/>
              </w:rPr>
            </w:pPr>
            <w:r>
              <w:rPr>
                <w:rFonts w:hint="eastAsia"/>
                <w:highlight w:val="none"/>
                <w:lang w:val="en-US" w:eastAsia="zh-CN"/>
              </w:rPr>
              <w:t>3.</w:t>
            </w:r>
            <w:r>
              <w:rPr>
                <w:rFonts w:hint="eastAsia"/>
                <w:highlight w:val="none"/>
              </w:rPr>
              <w:t>支持会议预约创建、短信提醒功能；</w:t>
            </w:r>
          </w:p>
          <w:p>
            <w:pPr>
              <w:widowControl/>
              <w:shd w:val="clear" w:color="auto" w:fill="auto"/>
              <w:spacing w:line="360" w:lineRule="auto"/>
              <w:jc w:val="left"/>
              <w:rPr>
                <w:rFonts w:hint="eastAsia"/>
                <w:highlight w:val="none"/>
                <w:lang w:eastAsia="zh-CN"/>
              </w:rPr>
            </w:pPr>
            <w:r>
              <w:rPr>
                <w:rFonts w:hint="eastAsia"/>
                <w:highlight w:val="none"/>
                <w:lang w:val="en-US" w:eastAsia="zh-CN"/>
              </w:rPr>
              <w:t>4.</w:t>
            </w:r>
            <w:r>
              <w:rPr>
                <w:rFonts w:hint="eastAsia"/>
                <w:highlight w:val="none"/>
              </w:rPr>
              <w:t>支持以饼图、柱状图方式展示当前会议数、各</w:t>
            </w:r>
            <w:r>
              <w:rPr>
                <w:rFonts w:hint="eastAsia"/>
                <w:highlight w:val="none"/>
                <w:lang w:val="en-US" w:eastAsia="zh-CN"/>
              </w:rPr>
              <w:t>5.</w:t>
            </w:r>
            <w:r>
              <w:rPr>
                <w:rFonts w:hint="eastAsia"/>
                <w:highlight w:val="none"/>
              </w:rPr>
              <w:t>会议参会人员统计、预约情况、历史会议统计；</w:t>
            </w:r>
          </w:p>
          <w:p>
            <w:pPr>
              <w:widowControl/>
              <w:shd w:val="clear" w:color="auto" w:fill="auto"/>
              <w:spacing w:line="360" w:lineRule="auto"/>
              <w:jc w:val="left"/>
              <w:rPr>
                <w:rFonts w:hint="eastAsia"/>
                <w:highlight w:val="none"/>
                <w:lang w:eastAsia="zh-CN"/>
              </w:rPr>
            </w:pPr>
            <w:r>
              <w:rPr>
                <w:rFonts w:hint="eastAsia"/>
                <w:highlight w:val="none"/>
                <w:lang w:val="en-US" w:eastAsia="zh-CN"/>
              </w:rPr>
              <w:t>6.</w:t>
            </w:r>
            <w:r>
              <w:rPr>
                <w:rFonts w:hint="eastAsia"/>
                <w:highlight w:val="none"/>
              </w:rPr>
              <w:t>支持按照审批状态进行搜索，支持日志管理功能；</w:t>
            </w:r>
          </w:p>
          <w:p>
            <w:pPr>
              <w:widowControl/>
              <w:shd w:val="clear" w:color="auto" w:fill="auto"/>
              <w:spacing w:line="360" w:lineRule="auto"/>
              <w:jc w:val="left"/>
              <w:rPr>
                <w:rFonts w:hint="eastAsia" w:ascii="宋体" w:hAnsi="宋体" w:eastAsia="宋体" w:cs="Times New Roman"/>
                <w:highlight w:val="none"/>
              </w:rPr>
            </w:pPr>
            <w:r>
              <w:rPr>
                <w:rFonts w:hint="eastAsia"/>
                <w:highlight w:val="none"/>
                <w:lang w:val="en-US" w:eastAsia="zh-CN"/>
              </w:rPr>
              <w:t>7.</w:t>
            </w:r>
            <w:r>
              <w:rPr>
                <w:rFonts w:hint="eastAsia"/>
                <w:highlight w:val="none"/>
              </w:rPr>
              <w:t>支持用户管理功能，须支持对所有用户的创</w:t>
            </w:r>
            <w:r>
              <w:rPr>
                <w:rFonts w:hint="eastAsia" w:ascii="宋体" w:hAnsi="宋体" w:eastAsia="宋体" w:cs="Times New Roman"/>
                <w:highlight w:val="none"/>
              </w:rPr>
              <w:t>建、修改、删除功能。</w:t>
            </w:r>
          </w:p>
          <w:p>
            <w:pPr>
              <w:widowControl/>
              <w:shd w:val="clear" w:color="auto" w:fill="auto"/>
              <w:spacing w:line="360" w:lineRule="auto"/>
              <w:jc w:val="left"/>
              <w:rPr>
                <w:rFonts w:hint="default" w:eastAsia="宋体"/>
                <w:highlight w:val="none"/>
                <w:lang w:val="en-US" w:eastAsia="zh-CN"/>
              </w:rPr>
            </w:pPr>
            <w:r>
              <w:rPr>
                <w:rFonts w:hint="eastAsia" w:ascii="宋体" w:hAnsi="宋体" w:eastAsia="宋体" w:cs="Times New Roman"/>
                <w:highlight w:val="none"/>
                <w:lang w:val="en-US" w:eastAsia="zh-CN"/>
              </w:rPr>
              <w:t>8.可</w:t>
            </w:r>
            <w:r>
              <w:rPr>
                <w:rFonts w:hint="eastAsia" w:ascii="宋体" w:hAnsi="宋体" w:eastAsia="宋体" w:cs="Times New Roman"/>
                <w:highlight w:val="none"/>
              </w:rPr>
              <w:t>用于会议预约审核、会议统计分析、用户权限审核。县级、街道级组建会议必备。具有400路接入权限</w:t>
            </w:r>
          </w:p>
        </w:tc>
        <w:tc>
          <w:tcPr>
            <w:tcW w:w="483" w:type="pct"/>
            <w:tcBorders>
              <w:top w:val="nil"/>
              <w:left w:val="nil"/>
              <w:bottom w:val="single" w:color="auto" w:sz="4" w:space="0"/>
              <w:right w:val="single" w:color="auto" w:sz="4" w:space="0"/>
            </w:tcBorders>
            <w:noWrap w:val="0"/>
            <w:vAlign w:val="center"/>
          </w:tcPr>
          <w:p>
            <w:pPr>
              <w:widowControl/>
              <w:shd w:val="clear" w:color="auto" w:fill="auto"/>
              <w:spacing w:line="360" w:lineRule="auto"/>
              <w:jc w:val="center"/>
              <w:rPr>
                <w:rFonts w:hint="eastAsia" w:cs="宋体"/>
                <w:szCs w:val="24"/>
                <w:highlight w:val="none"/>
              </w:rPr>
            </w:pPr>
            <w:r>
              <w:rPr>
                <w:rFonts w:hint="eastAsia" w:cs="宋体"/>
                <w:szCs w:val="24"/>
                <w:highlight w:val="none"/>
              </w:rPr>
              <w:t>1</w:t>
            </w:r>
          </w:p>
        </w:tc>
      </w:tr>
      <w:tr>
        <w:tblPrEx>
          <w:tblCellMar>
            <w:top w:w="0" w:type="dxa"/>
            <w:left w:w="108" w:type="dxa"/>
            <w:bottom w:w="0" w:type="dxa"/>
            <w:right w:w="108" w:type="dxa"/>
          </w:tblCellMar>
        </w:tblPrEx>
        <w:trPr>
          <w:trHeight w:val="3636" w:hRule="atLeast"/>
        </w:trPr>
        <w:tc>
          <w:tcPr>
            <w:tcW w:w="392" w:type="pct"/>
            <w:tcBorders>
              <w:top w:val="nil"/>
              <w:left w:val="single" w:color="auto" w:sz="4" w:space="0"/>
              <w:bottom w:val="single" w:color="auto" w:sz="4" w:space="0"/>
              <w:right w:val="single" w:color="auto" w:sz="4" w:space="0"/>
            </w:tcBorders>
            <w:noWrap w:val="0"/>
            <w:vAlign w:val="center"/>
          </w:tcPr>
          <w:p>
            <w:pPr>
              <w:widowControl/>
              <w:shd w:val="clear" w:color="auto" w:fill="auto"/>
              <w:spacing w:line="360" w:lineRule="auto"/>
              <w:jc w:val="center"/>
              <w:rPr>
                <w:rFonts w:hint="eastAsia" w:cs="宋体"/>
                <w:szCs w:val="24"/>
                <w:highlight w:val="none"/>
              </w:rPr>
            </w:pPr>
            <w:r>
              <w:rPr>
                <w:rFonts w:hint="eastAsia" w:cs="宋体"/>
                <w:szCs w:val="24"/>
                <w:highlight w:val="none"/>
              </w:rPr>
              <w:t>3</w:t>
            </w:r>
          </w:p>
        </w:tc>
        <w:tc>
          <w:tcPr>
            <w:tcW w:w="700" w:type="pct"/>
            <w:tcBorders>
              <w:top w:val="nil"/>
              <w:left w:val="nil"/>
              <w:bottom w:val="single" w:color="auto" w:sz="4" w:space="0"/>
              <w:right w:val="single" w:color="auto" w:sz="4" w:space="0"/>
            </w:tcBorders>
            <w:noWrap w:val="0"/>
            <w:vAlign w:val="center"/>
          </w:tcPr>
          <w:p>
            <w:pPr>
              <w:widowControl/>
              <w:shd w:val="clear" w:color="auto" w:fill="auto"/>
              <w:spacing w:line="360" w:lineRule="auto"/>
              <w:jc w:val="center"/>
              <w:rPr>
                <w:rFonts w:hint="eastAsia" w:cs="宋体"/>
                <w:szCs w:val="24"/>
                <w:highlight w:val="none"/>
              </w:rPr>
            </w:pPr>
            <w:r>
              <w:rPr>
                <w:rFonts w:hint="eastAsia" w:cs="宋体"/>
                <w:szCs w:val="24"/>
                <w:highlight w:val="none"/>
              </w:rPr>
              <w:t>视联网存储服务系统</w:t>
            </w:r>
          </w:p>
        </w:tc>
        <w:tc>
          <w:tcPr>
            <w:tcW w:w="3423" w:type="pct"/>
            <w:tcBorders>
              <w:top w:val="nil"/>
              <w:left w:val="nil"/>
              <w:bottom w:val="single" w:color="auto" w:sz="4" w:space="0"/>
              <w:right w:val="single" w:color="auto" w:sz="4" w:space="0"/>
            </w:tcBorders>
            <w:noWrap w:val="0"/>
            <w:vAlign w:val="center"/>
          </w:tcPr>
          <w:p>
            <w:pPr>
              <w:widowControl/>
              <w:shd w:val="clear" w:color="auto" w:fill="auto"/>
              <w:spacing w:line="360" w:lineRule="auto"/>
              <w:jc w:val="left"/>
              <w:rPr>
                <w:rFonts w:hint="eastAsia"/>
                <w:highlight w:val="none"/>
                <w:lang w:eastAsia="zh-CN"/>
              </w:rPr>
            </w:pPr>
            <w:r>
              <w:rPr>
                <w:rFonts w:hint="eastAsia"/>
                <w:highlight w:val="none"/>
                <w:lang w:val="en-US" w:eastAsia="zh-CN"/>
              </w:rPr>
              <w:t>1.</w:t>
            </w:r>
            <w:r>
              <w:rPr>
                <w:rFonts w:hint="eastAsia"/>
                <w:highlight w:val="none"/>
              </w:rPr>
              <w:t>录制带宽：512Kbps-2Mbps；</w:t>
            </w:r>
          </w:p>
          <w:p>
            <w:pPr>
              <w:widowControl/>
              <w:shd w:val="clear" w:color="auto" w:fill="auto"/>
              <w:spacing w:line="360" w:lineRule="auto"/>
              <w:jc w:val="left"/>
              <w:rPr>
                <w:rFonts w:hint="eastAsia"/>
                <w:highlight w:val="none"/>
                <w:lang w:eastAsia="zh-CN"/>
              </w:rPr>
            </w:pPr>
            <w:r>
              <w:rPr>
                <w:rFonts w:hint="eastAsia"/>
                <w:highlight w:val="none"/>
                <w:lang w:val="en-US" w:eastAsia="zh-CN"/>
              </w:rPr>
              <w:t>2.</w:t>
            </w:r>
            <w:r>
              <w:rPr>
                <w:rFonts w:hint="eastAsia"/>
                <w:highlight w:val="none"/>
              </w:rPr>
              <w:t>至少支持FLV录制格式；</w:t>
            </w:r>
          </w:p>
          <w:p>
            <w:pPr>
              <w:widowControl/>
              <w:shd w:val="clear" w:color="auto" w:fill="auto"/>
              <w:spacing w:line="360" w:lineRule="auto"/>
              <w:jc w:val="left"/>
              <w:rPr>
                <w:rFonts w:hint="eastAsia"/>
                <w:highlight w:val="none"/>
                <w:lang w:eastAsia="zh-CN"/>
              </w:rPr>
            </w:pPr>
            <w:r>
              <w:rPr>
                <w:rFonts w:hint="eastAsia"/>
                <w:highlight w:val="none"/>
                <w:lang w:val="en-US" w:eastAsia="zh-CN"/>
              </w:rPr>
              <w:t>3.</w:t>
            </w:r>
            <w:r>
              <w:rPr>
                <w:rFonts w:hint="eastAsia"/>
                <w:highlight w:val="none"/>
              </w:rPr>
              <w:t>支持不少于6路单画面会议视频并发录制；</w:t>
            </w:r>
          </w:p>
          <w:p>
            <w:pPr>
              <w:widowControl/>
              <w:shd w:val="clear" w:color="auto" w:fill="auto"/>
              <w:spacing w:line="360" w:lineRule="auto"/>
              <w:jc w:val="left"/>
              <w:rPr>
                <w:rFonts w:hint="eastAsia"/>
                <w:highlight w:val="none"/>
                <w:lang w:eastAsia="zh-CN"/>
              </w:rPr>
            </w:pPr>
            <w:r>
              <w:rPr>
                <w:rFonts w:hint="eastAsia"/>
                <w:highlight w:val="none"/>
                <w:lang w:val="en-US" w:eastAsia="zh-CN"/>
              </w:rPr>
              <w:t>4.</w:t>
            </w:r>
            <w:r>
              <w:rPr>
                <w:rFonts w:hint="eastAsia"/>
                <w:highlight w:val="none"/>
              </w:rPr>
              <w:t>支持定时、手动、自动录制方式；</w:t>
            </w:r>
          </w:p>
          <w:p>
            <w:pPr>
              <w:widowControl/>
              <w:shd w:val="clear" w:color="auto" w:fill="auto"/>
              <w:spacing w:line="360" w:lineRule="auto"/>
              <w:jc w:val="left"/>
              <w:rPr>
                <w:rFonts w:hint="eastAsia"/>
                <w:highlight w:val="none"/>
                <w:lang w:eastAsia="zh-CN"/>
              </w:rPr>
            </w:pPr>
            <w:r>
              <w:rPr>
                <w:rFonts w:hint="eastAsia"/>
                <w:highlight w:val="none"/>
                <w:lang w:val="en-US" w:eastAsia="zh-CN"/>
              </w:rPr>
              <w:t>5.</w:t>
            </w:r>
            <w:r>
              <w:rPr>
                <w:rFonts w:hint="eastAsia"/>
                <w:highlight w:val="none"/>
              </w:rPr>
              <w:t>支持对已录制存储的视频资源管理与分类；</w:t>
            </w:r>
          </w:p>
          <w:p>
            <w:pPr>
              <w:widowControl/>
              <w:shd w:val="clear" w:color="auto" w:fill="auto"/>
              <w:spacing w:line="360" w:lineRule="auto"/>
              <w:jc w:val="left"/>
              <w:rPr>
                <w:rFonts w:hint="eastAsia"/>
                <w:highlight w:val="none"/>
                <w:lang w:eastAsia="zh-CN"/>
              </w:rPr>
            </w:pPr>
            <w:r>
              <w:rPr>
                <w:rFonts w:hint="eastAsia"/>
                <w:highlight w:val="none"/>
                <w:lang w:val="en-US" w:eastAsia="zh-CN"/>
              </w:rPr>
              <w:t>6.</w:t>
            </w:r>
            <w:r>
              <w:rPr>
                <w:rFonts w:hint="eastAsia"/>
                <w:highlight w:val="none"/>
              </w:rPr>
              <w:t>支持多用户并行播放同一文件，支持录制的同时进行视频播放；</w:t>
            </w:r>
          </w:p>
          <w:p>
            <w:pPr>
              <w:widowControl/>
              <w:shd w:val="clear" w:color="auto" w:fill="auto"/>
              <w:spacing w:line="360" w:lineRule="auto"/>
              <w:jc w:val="left"/>
              <w:rPr>
                <w:rFonts w:hint="eastAsia"/>
                <w:highlight w:val="none"/>
                <w:lang w:eastAsia="zh-CN"/>
              </w:rPr>
            </w:pPr>
            <w:r>
              <w:rPr>
                <w:rFonts w:hint="eastAsia"/>
                <w:highlight w:val="none"/>
                <w:lang w:val="en-US" w:eastAsia="zh-CN"/>
              </w:rPr>
              <w:t>7.</w:t>
            </w:r>
            <w:r>
              <w:rPr>
                <w:rFonts w:hint="eastAsia"/>
                <w:highlight w:val="none"/>
              </w:rPr>
              <w:t>本地存储硬盘不小于2T、支持不少于3个盘位的扩容。</w:t>
            </w:r>
          </w:p>
          <w:p>
            <w:pPr>
              <w:widowControl/>
              <w:shd w:val="clear" w:color="auto" w:fill="auto"/>
              <w:spacing w:line="360" w:lineRule="auto"/>
              <w:jc w:val="left"/>
              <w:rPr>
                <w:rFonts w:hint="eastAsia" w:ascii="宋体" w:hAnsi="宋体" w:eastAsia="宋体" w:cs="Times New Roman"/>
                <w:highlight w:val="none"/>
                <w:lang w:eastAsia="zh-CN"/>
              </w:rPr>
            </w:pPr>
            <w:r>
              <w:rPr>
                <w:rFonts w:hint="eastAsia"/>
                <w:highlight w:val="none"/>
                <w:lang w:val="en-US" w:eastAsia="zh-CN"/>
              </w:rPr>
              <w:t>8.</w:t>
            </w:r>
            <w:r>
              <w:rPr>
                <w:rFonts w:hint="eastAsia"/>
                <w:highlight w:val="none"/>
              </w:rPr>
              <w:t>支持用户管理功能，支持设备</w:t>
            </w:r>
            <w:r>
              <w:rPr>
                <w:rFonts w:hint="eastAsia" w:ascii="宋体" w:hAnsi="宋体" w:eastAsia="宋体" w:cs="Times New Roman"/>
                <w:highlight w:val="none"/>
                <w:lang w:eastAsia="zh-CN"/>
              </w:rPr>
              <w:t>管理、日志管理操作，支持对异常任务进行自动上报；</w:t>
            </w:r>
          </w:p>
          <w:p>
            <w:pPr>
              <w:widowControl/>
              <w:shd w:val="clear" w:color="auto" w:fill="auto"/>
              <w:spacing w:line="360" w:lineRule="auto"/>
              <w:jc w:val="left"/>
              <w:rPr>
                <w:rFonts w:hint="default" w:eastAsia="宋体"/>
                <w:highlight w:val="none"/>
                <w:lang w:val="en-US" w:eastAsia="zh-CN"/>
              </w:rPr>
            </w:pPr>
            <w:r>
              <w:rPr>
                <w:rFonts w:hint="eastAsia" w:ascii="宋体" w:hAnsi="宋体" w:eastAsia="宋体" w:cs="Times New Roman"/>
                <w:highlight w:val="none"/>
                <w:lang w:val="en-US" w:eastAsia="zh-CN"/>
              </w:rPr>
              <w:t>9.会议视频录播存储。具有400路接入权限与录播能力</w:t>
            </w:r>
          </w:p>
        </w:tc>
        <w:tc>
          <w:tcPr>
            <w:tcW w:w="483" w:type="pct"/>
            <w:tcBorders>
              <w:top w:val="nil"/>
              <w:left w:val="nil"/>
              <w:bottom w:val="single" w:color="auto" w:sz="4" w:space="0"/>
              <w:right w:val="single" w:color="auto" w:sz="4" w:space="0"/>
            </w:tcBorders>
            <w:noWrap w:val="0"/>
            <w:vAlign w:val="center"/>
          </w:tcPr>
          <w:p>
            <w:pPr>
              <w:widowControl/>
              <w:shd w:val="clear" w:color="auto" w:fill="auto"/>
              <w:spacing w:line="360" w:lineRule="auto"/>
              <w:jc w:val="center"/>
              <w:rPr>
                <w:rFonts w:hint="eastAsia" w:cs="宋体"/>
                <w:szCs w:val="24"/>
                <w:highlight w:val="none"/>
              </w:rPr>
            </w:pPr>
            <w:r>
              <w:rPr>
                <w:rFonts w:hint="eastAsia" w:cs="宋体"/>
                <w:szCs w:val="24"/>
                <w:highlight w:val="none"/>
              </w:rPr>
              <w:t>1</w:t>
            </w:r>
          </w:p>
        </w:tc>
      </w:tr>
      <w:tr>
        <w:tblPrEx>
          <w:tblCellMar>
            <w:top w:w="0" w:type="dxa"/>
            <w:left w:w="108" w:type="dxa"/>
            <w:bottom w:w="0" w:type="dxa"/>
            <w:right w:w="108" w:type="dxa"/>
          </w:tblCellMar>
        </w:tblPrEx>
        <w:trPr>
          <w:trHeight w:val="565" w:hRule="atLeast"/>
        </w:trPr>
        <w:tc>
          <w:tcPr>
            <w:tcW w:w="392" w:type="pct"/>
            <w:tcBorders>
              <w:top w:val="nil"/>
              <w:left w:val="single" w:color="auto" w:sz="4" w:space="0"/>
              <w:bottom w:val="single" w:color="auto" w:sz="4" w:space="0"/>
              <w:right w:val="single" w:color="auto" w:sz="4" w:space="0"/>
            </w:tcBorders>
            <w:noWrap w:val="0"/>
            <w:vAlign w:val="center"/>
          </w:tcPr>
          <w:p>
            <w:pPr>
              <w:widowControl/>
              <w:shd w:val="clear" w:color="auto" w:fill="auto"/>
              <w:spacing w:line="360" w:lineRule="auto"/>
              <w:jc w:val="center"/>
              <w:rPr>
                <w:rFonts w:hint="eastAsia" w:cs="宋体"/>
                <w:szCs w:val="24"/>
                <w:highlight w:val="none"/>
              </w:rPr>
            </w:pPr>
            <w:r>
              <w:rPr>
                <w:rFonts w:hint="eastAsia" w:cs="宋体"/>
                <w:szCs w:val="24"/>
                <w:highlight w:val="none"/>
              </w:rPr>
              <w:t>4</w:t>
            </w:r>
          </w:p>
        </w:tc>
        <w:tc>
          <w:tcPr>
            <w:tcW w:w="700" w:type="pct"/>
            <w:tcBorders>
              <w:top w:val="nil"/>
              <w:left w:val="nil"/>
              <w:bottom w:val="single" w:color="auto" w:sz="4" w:space="0"/>
              <w:right w:val="single" w:color="auto" w:sz="4" w:space="0"/>
            </w:tcBorders>
            <w:noWrap w:val="0"/>
            <w:vAlign w:val="center"/>
          </w:tcPr>
          <w:p>
            <w:pPr>
              <w:widowControl/>
              <w:shd w:val="clear" w:color="auto" w:fill="auto"/>
              <w:spacing w:line="360" w:lineRule="auto"/>
              <w:jc w:val="center"/>
              <w:rPr>
                <w:rFonts w:hint="eastAsia" w:cs="宋体"/>
                <w:szCs w:val="24"/>
                <w:highlight w:val="none"/>
              </w:rPr>
            </w:pPr>
            <w:r>
              <w:rPr>
                <w:rFonts w:hint="eastAsia" w:cs="宋体"/>
                <w:szCs w:val="24"/>
                <w:highlight w:val="none"/>
              </w:rPr>
              <w:t>42 U机柜</w:t>
            </w:r>
          </w:p>
        </w:tc>
        <w:tc>
          <w:tcPr>
            <w:tcW w:w="3423" w:type="pct"/>
            <w:tcBorders>
              <w:top w:val="single" w:color="auto" w:sz="4" w:space="0"/>
              <w:left w:val="nil"/>
              <w:bottom w:val="single" w:color="auto" w:sz="4" w:space="0"/>
              <w:right w:val="single" w:color="auto" w:sz="4" w:space="0"/>
            </w:tcBorders>
            <w:noWrap w:val="0"/>
            <w:vAlign w:val="center"/>
          </w:tcPr>
          <w:p>
            <w:pPr>
              <w:widowControl/>
              <w:shd w:val="clear" w:color="auto" w:fill="auto"/>
              <w:spacing w:line="360" w:lineRule="auto"/>
              <w:jc w:val="left"/>
              <w:rPr>
                <w:rFonts w:hint="eastAsia" w:cs="宋体"/>
                <w:szCs w:val="24"/>
                <w:highlight w:val="none"/>
              </w:rPr>
            </w:pPr>
            <w:r>
              <w:rPr>
                <w:rFonts w:hint="eastAsia" w:cs="宋体"/>
                <w:szCs w:val="24"/>
                <w:highlight w:val="none"/>
              </w:rPr>
              <w:t>42 U服务器机柜（600*1200*2000mm），含PDU插座（2组8口的PDU）</w:t>
            </w:r>
          </w:p>
        </w:tc>
        <w:tc>
          <w:tcPr>
            <w:tcW w:w="483" w:type="pct"/>
            <w:tcBorders>
              <w:top w:val="nil"/>
              <w:left w:val="nil"/>
              <w:bottom w:val="single" w:color="auto" w:sz="4" w:space="0"/>
              <w:right w:val="single" w:color="auto" w:sz="4" w:space="0"/>
            </w:tcBorders>
            <w:noWrap w:val="0"/>
            <w:vAlign w:val="center"/>
          </w:tcPr>
          <w:p>
            <w:pPr>
              <w:widowControl/>
              <w:shd w:val="clear" w:color="auto" w:fill="auto"/>
              <w:spacing w:line="360" w:lineRule="auto"/>
              <w:jc w:val="center"/>
              <w:rPr>
                <w:rFonts w:hint="eastAsia" w:cs="宋体"/>
                <w:szCs w:val="24"/>
                <w:highlight w:val="none"/>
              </w:rPr>
            </w:pPr>
            <w:r>
              <w:rPr>
                <w:rFonts w:hint="eastAsia" w:cs="宋体"/>
                <w:szCs w:val="24"/>
                <w:highlight w:val="none"/>
              </w:rPr>
              <w:t>1</w:t>
            </w:r>
          </w:p>
        </w:tc>
      </w:tr>
      <w:tr>
        <w:tblPrEx>
          <w:tblCellMar>
            <w:top w:w="0" w:type="dxa"/>
            <w:left w:w="108" w:type="dxa"/>
            <w:bottom w:w="0" w:type="dxa"/>
            <w:right w:w="108" w:type="dxa"/>
          </w:tblCellMar>
        </w:tblPrEx>
        <w:trPr>
          <w:trHeight w:val="1118" w:hRule="atLeast"/>
        </w:trPr>
        <w:tc>
          <w:tcPr>
            <w:tcW w:w="392" w:type="pct"/>
            <w:tcBorders>
              <w:top w:val="nil"/>
              <w:left w:val="single" w:color="auto" w:sz="4" w:space="0"/>
              <w:bottom w:val="single" w:color="auto" w:sz="4" w:space="0"/>
              <w:right w:val="single" w:color="auto" w:sz="4" w:space="0"/>
            </w:tcBorders>
            <w:noWrap w:val="0"/>
            <w:vAlign w:val="center"/>
          </w:tcPr>
          <w:p>
            <w:pPr>
              <w:widowControl/>
              <w:shd w:val="clear" w:color="auto" w:fill="auto"/>
              <w:spacing w:line="360" w:lineRule="auto"/>
              <w:jc w:val="center"/>
              <w:rPr>
                <w:rFonts w:hint="eastAsia" w:cs="宋体"/>
                <w:szCs w:val="24"/>
                <w:highlight w:val="none"/>
              </w:rPr>
            </w:pPr>
            <w:r>
              <w:rPr>
                <w:rFonts w:hint="eastAsia" w:cs="宋体"/>
                <w:szCs w:val="24"/>
                <w:highlight w:val="none"/>
              </w:rPr>
              <w:t>5</w:t>
            </w:r>
          </w:p>
        </w:tc>
        <w:tc>
          <w:tcPr>
            <w:tcW w:w="700" w:type="pct"/>
            <w:tcBorders>
              <w:top w:val="nil"/>
              <w:left w:val="nil"/>
              <w:bottom w:val="single" w:color="auto" w:sz="4" w:space="0"/>
              <w:right w:val="single" w:color="auto" w:sz="4" w:space="0"/>
            </w:tcBorders>
            <w:noWrap w:val="0"/>
            <w:vAlign w:val="center"/>
          </w:tcPr>
          <w:p>
            <w:pPr>
              <w:widowControl/>
              <w:shd w:val="clear" w:color="auto" w:fill="auto"/>
              <w:spacing w:line="360" w:lineRule="auto"/>
              <w:jc w:val="center"/>
              <w:rPr>
                <w:rFonts w:hint="eastAsia" w:cs="宋体"/>
                <w:szCs w:val="24"/>
                <w:highlight w:val="none"/>
              </w:rPr>
            </w:pPr>
            <w:r>
              <w:rPr>
                <w:rFonts w:hint="eastAsia" w:cs="宋体"/>
                <w:szCs w:val="24"/>
                <w:highlight w:val="none"/>
              </w:rPr>
              <w:t>核心交换机</w:t>
            </w:r>
          </w:p>
        </w:tc>
        <w:tc>
          <w:tcPr>
            <w:tcW w:w="3423" w:type="pct"/>
            <w:tcBorders>
              <w:top w:val="nil"/>
              <w:left w:val="nil"/>
              <w:bottom w:val="single" w:color="auto" w:sz="4" w:space="0"/>
              <w:right w:val="single" w:color="auto" w:sz="4" w:space="0"/>
            </w:tcBorders>
            <w:noWrap w:val="0"/>
            <w:vAlign w:val="center"/>
          </w:tcPr>
          <w:p>
            <w:pPr>
              <w:widowControl/>
              <w:shd w:val="clear" w:color="auto" w:fill="auto"/>
              <w:spacing w:line="360" w:lineRule="auto"/>
              <w:jc w:val="left"/>
              <w:rPr>
                <w:rFonts w:hint="eastAsia" w:eastAsia="宋体" w:cs="宋体"/>
                <w:szCs w:val="24"/>
                <w:highlight w:val="none"/>
                <w:lang w:eastAsia="zh-CN"/>
              </w:rPr>
            </w:pPr>
            <w:r>
              <w:rPr>
                <w:rFonts w:hint="eastAsia" w:cs="宋体"/>
                <w:szCs w:val="24"/>
                <w:highlight w:val="none"/>
                <w:lang w:val="en-US" w:eastAsia="zh-CN"/>
              </w:rPr>
              <w:t>1.</w:t>
            </w:r>
            <w:r>
              <w:rPr>
                <w:rFonts w:hint="eastAsia" w:cs="宋体"/>
                <w:szCs w:val="24"/>
                <w:highlight w:val="none"/>
              </w:rPr>
              <w:t>具备三层万兆交换能力</w:t>
            </w:r>
          </w:p>
          <w:p>
            <w:pPr>
              <w:widowControl/>
              <w:shd w:val="clear" w:color="auto" w:fill="auto"/>
              <w:spacing w:line="360" w:lineRule="auto"/>
              <w:jc w:val="left"/>
              <w:rPr>
                <w:rFonts w:hint="eastAsia" w:eastAsia="宋体" w:cs="宋体"/>
                <w:szCs w:val="24"/>
                <w:highlight w:val="none"/>
                <w:lang w:eastAsia="zh-CN"/>
              </w:rPr>
            </w:pPr>
            <w:r>
              <w:rPr>
                <w:rFonts w:hint="eastAsia" w:cs="宋体"/>
                <w:szCs w:val="24"/>
                <w:highlight w:val="none"/>
                <w:lang w:val="en-US" w:eastAsia="zh-CN"/>
              </w:rPr>
              <w:t>2.</w:t>
            </w:r>
            <w:r>
              <w:rPr>
                <w:rFonts w:hint="eastAsia" w:cs="宋体"/>
                <w:szCs w:val="24"/>
                <w:highlight w:val="none"/>
              </w:rPr>
              <w:t>引擎主板（不含接口）*1</w:t>
            </w:r>
          </w:p>
          <w:p>
            <w:pPr>
              <w:widowControl/>
              <w:shd w:val="clear" w:color="auto" w:fill="auto"/>
              <w:spacing w:line="360" w:lineRule="auto"/>
              <w:jc w:val="left"/>
              <w:rPr>
                <w:rFonts w:hint="eastAsia" w:eastAsia="宋体" w:cs="宋体"/>
                <w:szCs w:val="24"/>
                <w:highlight w:val="none"/>
                <w:lang w:eastAsia="zh-CN"/>
              </w:rPr>
            </w:pPr>
            <w:r>
              <w:rPr>
                <w:rFonts w:hint="eastAsia" w:cs="宋体"/>
                <w:szCs w:val="24"/>
                <w:highlight w:val="none"/>
                <w:lang w:val="en-US" w:eastAsia="zh-CN"/>
              </w:rPr>
              <w:t>3.</w:t>
            </w:r>
            <w:r>
              <w:rPr>
                <w:rFonts w:hint="eastAsia" w:cs="宋体"/>
                <w:szCs w:val="24"/>
                <w:highlight w:val="none"/>
              </w:rPr>
              <w:t>电源模块（交流，300W）*1</w:t>
            </w:r>
          </w:p>
          <w:p>
            <w:pPr>
              <w:widowControl/>
              <w:shd w:val="clear" w:color="auto" w:fill="auto"/>
              <w:spacing w:line="360" w:lineRule="auto"/>
              <w:jc w:val="left"/>
              <w:rPr>
                <w:rFonts w:hint="eastAsia" w:eastAsia="宋体" w:cs="宋体"/>
                <w:szCs w:val="24"/>
                <w:highlight w:val="none"/>
                <w:lang w:eastAsia="zh-CN"/>
              </w:rPr>
            </w:pPr>
            <w:r>
              <w:rPr>
                <w:rFonts w:hint="eastAsia" w:cs="宋体"/>
                <w:szCs w:val="24"/>
                <w:highlight w:val="none"/>
                <w:lang w:val="en-US" w:eastAsia="zh-CN"/>
              </w:rPr>
              <w:t>4.</w:t>
            </w:r>
            <w:r>
              <w:rPr>
                <w:rFonts w:hint="eastAsia" w:cs="宋体"/>
                <w:szCs w:val="24"/>
                <w:highlight w:val="none"/>
              </w:rPr>
              <w:t>24端口千兆以太网电口复用(RJ45)+4端口万兆以太网光口(SFP+,LC)</w:t>
            </w:r>
          </w:p>
          <w:p>
            <w:pPr>
              <w:widowControl/>
              <w:shd w:val="clear" w:color="auto" w:fill="auto"/>
              <w:spacing w:line="360" w:lineRule="auto"/>
              <w:jc w:val="left"/>
              <w:rPr>
                <w:rFonts w:hint="eastAsia" w:cs="宋体"/>
                <w:szCs w:val="24"/>
                <w:highlight w:val="none"/>
              </w:rPr>
            </w:pPr>
            <w:r>
              <w:rPr>
                <w:rFonts w:hint="eastAsia" w:cs="宋体"/>
                <w:szCs w:val="24"/>
                <w:highlight w:val="none"/>
                <w:lang w:val="en-US" w:eastAsia="zh-CN"/>
              </w:rPr>
              <w:t>5.</w:t>
            </w:r>
            <w:r>
              <w:rPr>
                <w:rFonts w:hint="eastAsia" w:cs="宋体"/>
                <w:szCs w:val="24"/>
                <w:highlight w:val="none"/>
              </w:rPr>
              <w:t>含4个10G光模块</w:t>
            </w:r>
          </w:p>
        </w:tc>
        <w:tc>
          <w:tcPr>
            <w:tcW w:w="483" w:type="pct"/>
            <w:tcBorders>
              <w:top w:val="nil"/>
              <w:left w:val="nil"/>
              <w:bottom w:val="single" w:color="auto" w:sz="4" w:space="0"/>
              <w:right w:val="single" w:color="auto" w:sz="4" w:space="0"/>
            </w:tcBorders>
            <w:noWrap w:val="0"/>
            <w:vAlign w:val="center"/>
          </w:tcPr>
          <w:p>
            <w:pPr>
              <w:widowControl/>
              <w:shd w:val="clear" w:color="auto" w:fill="auto"/>
              <w:spacing w:line="360" w:lineRule="auto"/>
              <w:jc w:val="center"/>
              <w:rPr>
                <w:rFonts w:hint="eastAsia" w:cs="宋体"/>
                <w:szCs w:val="24"/>
                <w:highlight w:val="none"/>
              </w:rPr>
            </w:pPr>
            <w:r>
              <w:rPr>
                <w:rFonts w:hint="eastAsia" w:cs="宋体"/>
                <w:szCs w:val="24"/>
                <w:highlight w:val="none"/>
              </w:rPr>
              <w:t>1</w:t>
            </w:r>
          </w:p>
        </w:tc>
      </w:tr>
      <w:tr>
        <w:tblPrEx>
          <w:tblCellMar>
            <w:top w:w="0" w:type="dxa"/>
            <w:left w:w="108" w:type="dxa"/>
            <w:bottom w:w="0" w:type="dxa"/>
            <w:right w:w="108" w:type="dxa"/>
          </w:tblCellMar>
        </w:tblPrEx>
        <w:trPr>
          <w:trHeight w:val="1682" w:hRule="atLeast"/>
        </w:trPr>
        <w:tc>
          <w:tcPr>
            <w:tcW w:w="392" w:type="pct"/>
            <w:tcBorders>
              <w:top w:val="nil"/>
              <w:left w:val="single" w:color="auto" w:sz="4" w:space="0"/>
              <w:bottom w:val="single" w:color="auto" w:sz="4" w:space="0"/>
              <w:right w:val="single" w:color="auto" w:sz="4" w:space="0"/>
            </w:tcBorders>
            <w:noWrap w:val="0"/>
            <w:vAlign w:val="center"/>
          </w:tcPr>
          <w:p>
            <w:pPr>
              <w:widowControl/>
              <w:shd w:val="clear" w:color="auto" w:fill="auto"/>
              <w:spacing w:line="360" w:lineRule="auto"/>
              <w:jc w:val="center"/>
              <w:rPr>
                <w:rFonts w:hint="eastAsia" w:cs="宋体"/>
                <w:szCs w:val="24"/>
                <w:highlight w:val="none"/>
              </w:rPr>
            </w:pPr>
            <w:r>
              <w:rPr>
                <w:rFonts w:hint="eastAsia" w:cs="宋体"/>
                <w:szCs w:val="24"/>
                <w:highlight w:val="none"/>
              </w:rPr>
              <w:t>6</w:t>
            </w:r>
          </w:p>
        </w:tc>
        <w:tc>
          <w:tcPr>
            <w:tcW w:w="700" w:type="pct"/>
            <w:tcBorders>
              <w:top w:val="nil"/>
              <w:left w:val="nil"/>
              <w:bottom w:val="single" w:color="auto" w:sz="4" w:space="0"/>
              <w:right w:val="single" w:color="auto" w:sz="4" w:space="0"/>
            </w:tcBorders>
            <w:noWrap w:val="0"/>
            <w:vAlign w:val="center"/>
          </w:tcPr>
          <w:p>
            <w:pPr>
              <w:widowControl/>
              <w:shd w:val="clear" w:color="auto" w:fill="auto"/>
              <w:spacing w:line="360" w:lineRule="auto"/>
              <w:jc w:val="left"/>
              <w:rPr>
                <w:rFonts w:hint="eastAsia" w:cs="宋体"/>
                <w:szCs w:val="24"/>
                <w:highlight w:val="none"/>
              </w:rPr>
            </w:pPr>
            <w:r>
              <w:rPr>
                <w:rFonts w:hint="eastAsia" w:cs="宋体"/>
                <w:szCs w:val="24"/>
                <w:highlight w:val="none"/>
              </w:rPr>
              <w:t>社区/村视联终端（核心设备）</w:t>
            </w:r>
          </w:p>
        </w:tc>
        <w:tc>
          <w:tcPr>
            <w:tcW w:w="3423" w:type="pct"/>
            <w:tcBorders>
              <w:top w:val="nil"/>
              <w:left w:val="nil"/>
              <w:bottom w:val="single" w:color="auto" w:sz="4" w:space="0"/>
              <w:right w:val="single" w:color="auto" w:sz="4" w:space="0"/>
            </w:tcBorders>
            <w:noWrap w:val="0"/>
            <w:vAlign w:val="center"/>
          </w:tcPr>
          <w:p>
            <w:pPr>
              <w:widowControl/>
              <w:shd w:val="clear" w:color="auto" w:fill="auto"/>
              <w:spacing w:line="360" w:lineRule="auto"/>
              <w:jc w:val="left"/>
              <w:rPr>
                <w:rFonts w:hint="eastAsia"/>
                <w:highlight w:val="none"/>
                <w:lang w:eastAsia="zh-CN"/>
              </w:rPr>
            </w:pPr>
            <w:r>
              <w:rPr>
                <w:rFonts w:hint="eastAsia"/>
                <w:highlight w:val="none"/>
                <w:lang w:val="en-US" w:eastAsia="zh-CN"/>
              </w:rPr>
              <w:t>1.</w:t>
            </w:r>
            <w:r>
              <w:rPr>
                <w:rFonts w:hint="eastAsia"/>
                <w:highlight w:val="none"/>
              </w:rPr>
              <w:t>考虑系统的兼容性、稳定性，须实现与现有综治视联网系统互联互通；</w:t>
            </w:r>
          </w:p>
          <w:p>
            <w:pPr>
              <w:widowControl/>
              <w:shd w:val="clear" w:color="auto" w:fill="auto"/>
              <w:spacing w:line="360" w:lineRule="auto"/>
              <w:jc w:val="left"/>
              <w:rPr>
                <w:rFonts w:hint="eastAsia"/>
                <w:highlight w:val="none"/>
                <w:lang w:eastAsia="zh-CN"/>
              </w:rPr>
            </w:pPr>
            <w:r>
              <w:rPr>
                <w:rFonts w:hint="eastAsia"/>
                <w:highlight w:val="none"/>
                <w:lang w:val="en-US" w:eastAsia="zh-CN"/>
              </w:rPr>
              <w:t>2.</w:t>
            </w:r>
            <w:r>
              <w:rPr>
                <w:rFonts w:hint="eastAsia"/>
                <w:highlight w:val="none"/>
              </w:rPr>
              <w:t>符合以太网802.3标准；</w:t>
            </w:r>
          </w:p>
          <w:p>
            <w:pPr>
              <w:widowControl/>
              <w:shd w:val="clear" w:color="auto" w:fill="auto"/>
              <w:spacing w:line="360" w:lineRule="auto"/>
              <w:jc w:val="left"/>
              <w:rPr>
                <w:rFonts w:hint="eastAsia"/>
                <w:highlight w:val="none"/>
                <w:lang w:eastAsia="zh-CN"/>
              </w:rPr>
            </w:pPr>
            <w:r>
              <w:rPr>
                <w:rFonts w:hint="eastAsia"/>
                <w:highlight w:val="none"/>
                <w:lang w:val="en-US" w:eastAsia="zh-CN"/>
              </w:rPr>
              <w:t>3.</w:t>
            </w:r>
            <w:r>
              <w:rPr>
                <w:rFonts w:hint="eastAsia"/>
                <w:highlight w:val="none"/>
              </w:rPr>
              <w:t>采用嵌入式操作系统；</w:t>
            </w:r>
          </w:p>
          <w:p>
            <w:pPr>
              <w:widowControl/>
              <w:shd w:val="clear" w:color="auto" w:fill="auto"/>
              <w:spacing w:line="360" w:lineRule="auto"/>
              <w:jc w:val="left"/>
              <w:rPr>
                <w:rFonts w:hint="eastAsia"/>
                <w:highlight w:val="none"/>
                <w:lang w:eastAsia="zh-CN"/>
              </w:rPr>
            </w:pPr>
            <w:r>
              <w:rPr>
                <w:rFonts w:hint="eastAsia"/>
                <w:highlight w:val="none"/>
                <w:lang w:val="en-US" w:eastAsia="zh-CN"/>
              </w:rPr>
              <w:t>4.</w:t>
            </w:r>
            <w:r>
              <w:rPr>
                <w:rFonts w:hint="eastAsia"/>
                <w:highlight w:val="none"/>
              </w:rPr>
              <w:t>支持H.264视频编解码协议；</w:t>
            </w:r>
          </w:p>
          <w:p>
            <w:pPr>
              <w:widowControl/>
              <w:shd w:val="clear" w:color="auto" w:fill="auto"/>
              <w:spacing w:line="360" w:lineRule="auto"/>
              <w:jc w:val="left"/>
              <w:rPr>
                <w:rFonts w:hint="eastAsia"/>
                <w:highlight w:val="none"/>
                <w:lang w:eastAsia="zh-CN"/>
              </w:rPr>
            </w:pPr>
            <w:r>
              <w:rPr>
                <w:rFonts w:hint="eastAsia"/>
                <w:highlight w:val="none"/>
                <w:lang w:val="en-US" w:eastAsia="zh-CN"/>
              </w:rPr>
              <w:t>5.</w:t>
            </w:r>
            <w:r>
              <w:rPr>
                <w:rFonts w:hint="eastAsia"/>
                <w:highlight w:val="none"/>
              </w:rPr>
              <w:t>视频分辨率支持1080P、720P格式，且向下兼容；</w:t>
            </w:r>
          </w:p>
          <w:p>
            <w:pPr>
              <w:widowControl/>
              <w:shd w:val="clear" w:color="auto" w:fill="auto"/>
              <w:spacing w:line="360" w:lineRule="auto"/>
              <w:jc w:val="left"/>
              <w:rPr>
                <w:rFonts w:hint="eastAsia"/>
                <w:highlight w:val="none"/>
                <w:lang w:eastAsia="zh-CN"/>
              </w:rPr>
            </w:pPr>
            <w:r>
              <w:rPr>
                <w:rFonts w:hint="eastAsia"/>
                <w:highlight w:val="none"/>
                <w:lang w:val="en-US" w:eastAsia="zh-CN"/>
              </w:rPr>
              <w:t>6.</w:t>
            </w:r>
            <w:r>
              <w:rPr>
                <w:rFonts w:hint="eastAsia"/>
                <w:highlight w:val="none"/>
              </w:rPr>
              <w:t>支持≥2路视频输入接口，≥1路视频输出接口，须具有HDMI接口；</w:t>
            </w:r>
          </w:p>
          <w:p>
            <w:pPr>
              <w:widowControl/>
              <w:shd w:val="clear" w:color="auto" w:fill="auto"/>
              <w:spacing w:line="360" w:lineRule="auto"/>
              <w:jc w:val="left"/>
              <w:rPr>
                <w:rFonts w:hint="eastAsia"/>
                <w:highlight w:val="none"/>
                <w:lang w:eastAsia="zh-CN"/>
              </w:rPr>
            </w:pPr>
            <w:r>
              <w:rPr>
                <w:rFonts w:hint="eastAsia"/>
                <w:highlight w:val="none"/>
                <w:lang w:val="en-US" w:eastAsia="zh-CN"/>
              </w:rPr>
              <w:t>7.</w:t>
            </w:r>
            <w:r>
              <w:rPr>
                <w:rFonts w:hint="eastAsia"/>
                <w:highlight w:val="none"/>
              </w:rPr>
              <w:t>支持≥1路音频输入和1路音频输出接口；</w:t>
            </w:r>
          </w:p>
          <w:p>
            <w:pPr>
              <w:widowControl/>
              <w:shd w:val="clear" w:color="auto" w:fill="auto"/>
              <w:spacing w:line="360" w:lineRule="auto"/>
              <w:jc w:val="left"/>
              <w:rPr>
                <w:rFonts w:hint="eastAsia"/>
                <w:highlight w:val="none"/>
                <w:lang w:eastAsia="zh-CN"/>
              </w:rPr>
            </w:pPr>
            <w:r>
              <w:rPr>
                <w:rFonts w:hint="eastAsia"/>
                <w:highlight w:val="none"/>
                <w:lang w:val="en-US" w:eastAsia="zh-CN"/>
              </w:rPr>
              <w:t>8.</w:t>
            </w:r>
            <w:r>
              <w:rPr>
                <w:rFonts w:hint="eastAsia"/>
                <w:highlight w:val="none"/>
              </w:rPr>
              <w:t>其他接口：≥1路RJ45 100M自适应网口；</w:t>
            </w:r>
          </w:p>
          <w:p>
            <w:pPr>
              <w:widowControl/>
              <w:shd w:val="clear" w:color="auto" w:fill="auto"/>
              <w:spacing w:line="360" w:lineRule="auto"/>
              <w:jc w:val="left"/>
              <w:rPr>
                <w:rFonts w:hint="eastAsia"/>
                <w:highlight w:val="none"/>
                <w:lang w:eastAsia="zh-CN"/>
              </w:rPr>
            </w:pPr>
            <w:r>
              <w:rPr>
                <w:rFonts w:hint="eastAsia"/>
                <w:highlight w:val="none"/>
                <w:lang w:val="en-US" w:eastAsia="zh-CN"/>
              </w:rPr>
              <w:t>9.</w:t>
            </w:r>
            <w:r>
              <w:rPr>
                <w:rFonts w:hint="eastAsia"/>
                <w:highlight w:val="none"/>
              </w:rPr>
              <w:t>支持多画面功能，在一组会议中，与会终端可自由选择所收看画面及组合模式，支持≥2种画面显示模式。</w:t>
            </w:r>
          </w:p>
          <w:p>
            <w:pPr>
              <w:widowControl/>
              <w:shd w:val="clear" w:color="auto" w:fill="auto"/>
              <w:spacing w:line="360" w:lineRule="auto"/>
              <w:jc w:val="left"/>
              <w:rPr>
                <w:rFonts w:hint="eastAsia"/>
                <w:highlight w:val="none"/>
                <w:lang w:eastAsia="zh-CN"/>
              </w:rPr>
            </w:pPr>
            <w:r>
              <w:rPr>
                <w:rFonts w:hint="eastAsia"/>
                <w:highlight w:val="none"/>
                <w:lang w:val="en-US" w:eastAsia="zh-CN"/>
              </w:rPr>
              <w:t>10.</w:t>
            </w:r>
            <w:r>
              <w:rPr>
                <w:rFonts w:hint="eastAsia"/>
                <w:highlight w:val="none"/>
              </w:rPr>
              <w:t>支持唇音同步、自动噪声抑制功能；x</w:t>
            </w:r>
          </w:p>
          <w:p>
            <w:pPr>
              <w:widowControl/>
              <w:shd w:val="clear" w:color="auto" w:fill="auto"/>
              <w:spacing w:line="360" w:lineRule="auto"/>
              <w:jc w:val="left"/>
              <w:rPr>
                <w:rFonts w:hint="eastAsia"/>
                <w:b/>
                <w:bCs/>
                <w:highlight w:val="none"/>
                <w:lang w:eastAsia="zh-CN"/>
              </w:rPr>
            </w:pPr>
            <w:r>
              <w:rPr>
                <w:rFonts w:hint="eastAsia"/>
                <w:b/>
                <w:bCs/>
                <w:sz w:val="28"/>
                <w:szCs w:val="21"/>
                <w:highlight w:val="none"/>
              </w:rPr>
              <w:t>*</w:t>
            </w:r>
            <w:r>
              <w:rPr>
                <w:rFonts w:hint="eastAsia"/>
                <w:b/>
                <w:bCs/>
                <w:highlight w:val="none"/>
                <w:lang w:val="en-US" w:eastAsia="zh-CN"/>
              </w:rPr>
              <w:t>11.</w:t>
            </w:r>
            <w:r>
              <w:rPr>
                <w:rFonts w:hint="eastAsia"/>
                <w:b/>
                <w:bCs/>
                <w:highlight w:val="none"/>
              </w:rPr>
              <w:t>支持高清视频会议、可视电话、发布直播功能；</w:t>
            </w:r>
            <w:r>
              <w:rPr>
                <w:rFonts w:hint="eastAsia"/>
                <w:b/>
                <w:bCs/>
                <w:highlight w:val="none"/>
                <w:lang w:eastAsia="zh-CN"/>
              </w:rPr>
              <w:t>（</w:t>
            </w:r>
            <w:r>
              <w:rPr>
                <w:rFonts w:hint="eastAsia"/>
                <w:b/>
                <w:bCs/>
                <w:highlight w:val="none"/>
                <w:lang w:val="en-US" w:eastAsia="zh-CN"/>
              </w:rPr>
              <w:t>可出</w:t>
            </w:r>
            <w:r>
              <w:rPr>
                <w:rFonts w:hint="eastAsia"/>
                <w:b/>
                <w:bCs/>
                <w:highlight w:val="none"/>
              </w:rPr>
              <w:t>具相应的证明材料，包括但不限于功能检测报告或相关软件著作权证书等</w:t>
            </w:r>
            <w:r>
              <w:rPr>
                <w:rFonts w:hint="eastAsia"/>
                <w:b/>
                <w:bCs/>
                <w:highlight w:val="none"/>
                <w:lang w:eastAsia="zh-CN"/>
              </w:rPr>
              <w:t>）</w:t>
            </w:r>
            <w:r>
              <w:rPr>
                <w:rFonts w:hint="eastAsia"/>
                <w:b/>
                <w:bCs/>
                <w:highlight w:val="none"/>
              </w:rPr>
              <w:t>。</w:t>
            </w:r>
          </w:p>
          <w:p>
            <w:pPr>
              <w:widowControl/>
              <w:shd w:val="clear" w:color="auto" w:fill="auto"/>
              <w:spacing w:line="360" w:lineRule="auto"/>
              <w:jc w:val="left"/>
              <w:rPr>
                <w:rFonts w:hint="eastAsia"/>
                <w:b/>
                <w:bCs/>
                <w:highlight w:val="none"/>
                <w:lang w:eastAsia="zh-CN"/>
              </w:rPr>
            </w:pPr>
            <w:r>
              <w:rPr>
                <w:rFonts w:hint="eastAsia"/>
                <w:b/>
                <w:bCs/>
                <w:sz w:val="28"/>
                <w:szCs w:val="21"/>
                <w:highlight w:val="none"/>
              </w:rPr>
              <w:t>*</w:t>
            </w:r>
            <w:r>
              <w:rPr>
                <w:rFonts w:hint="eastAsia"/>
                <w:b/>
                <w:bCs/>
                <w:highlight w:val="none"/>
                <w:lang w:val="en-US" w:eastAsia="zh-CN"/>
              </w:rPr>
              <w:t>12.</w:t>
            </w:r>
            <w:r>
              <w:rPr>
                <w:rFonts w:hint="eastAsia"/>
                <w:b/>
                <w:bCs/>
                <w:highlight w:val="none"/>
              </w:rPr>
              <w:t>提供高清终端服务系统相应的证明材料，包括但不限于功能检测报告或相关软件著作权证书等</w:t>
            </w:r>
            <w:r>
              <w:rPr>
                <w:rFonts w:hint="eastAsia"/>
                <w:b/>
                <w:bCs/>
                <w:highlight w:val="none"/>
                <w:lang w:eastAsia="zh-CN"/>
              </w:rPr>
              <w:t>。</w:t>
            </w:r>
          </w:p>
          <w:p>
            <w:pPr>
              <w:widowControl/>
              <w:shd w:val="clear" w:color="auto" w:fill="auto"/>
              <w:spacing w:line="360" w:lineRule="auto"/>
              <w:jc w:val="left"/>
              <w:rPr>
                <w:rFonts w:hint="eastAsia"/>
                <w:highlight w:val="none"/>
                <w:lang w:eastAsia="zh-CN"/>
              </w:rPr>
            </w:pPr>
            <w:r>
              <w:rPr>
                <w:rFonts w:hint="eastAsia"/>
                <w:highlight w:val="none"/>
                <w:lang w:val="en-US" w:eastAsia="zh-CN"/>
              </w:rPr>
              <w:t>13.</w:t>
            </w:r>
            <w:r>
              <w:rPr>
                <w:rFonts w:hint="eastAsia"/>
                <w:highlight w:val="none"/>
              </w:rPr>
              <w:t>含：1*桌面高清摄像机；</w:t>
            </w:r>
          </w:p>
          <w:p>
            <w:pPr>
              <w:widowControl/>
              <w:shd w:val="clear" w:color="auto" w:fill="auto"/>
              <w:spacing w:line="360" w:lineRule="auto"/>
              <w:jc w:val="left"/>
              <w:rPr>
                <w:rFonts w:hint="eastAsia"/>
                <w:highlight w:val="none"/>
                <w:lang w:eastAsia="zh-CN"/>
              </w:rPr>
            </w:pPr>
            <w:r>
              <w:rPr>
                <w:rFonts w:hint="eastAsia"/>
                <w:highlight w:val="none"/>
                <w:lang w:val="en-US" w:eastAsia="zh-CN"/>
              </w:rPr>
              <w:t>14.</w:t>
            </w:r>
            <w:r>
              <w:rPr>
                <w:rFonts w:hint="eastAsia"/>
                <w:highlight w:val="none"/>
              </w:rPr>
              <w:t>支持H.264图形加速，1080P高清视频；</w:t>
            </w:r>
          </w:p>
          <w:p>
            <w:pPr>
              <w:widowControl/>
              <w:shd w:val="clear" w:color="auto" w:fill="auto"/>
              <w:spacing w:line="360" w:lineRule="auto"/>
              <w:jc w:val="left"/>
              <w:rPr>
                <w:rFonts w:hint="eastAsia"/>
                <w:highlight w:val="none"/>
                <w:lang w:eastAsia="zh-CN"/>
              </w:rPr>
            </w:pPr>
            <w:r>
              <w:rPr>
                <w:rFonts w:hint="eastAsia"/>
                <w:highlight w:val="none"/>
              </w:rPr>
              <w:t>支持USB接口。</w:t>
            </w:r>
          </w:p>
          <w:p>
            <w:pPr>
              <w:widowControl/>
              <w:shd w:val="clear" w:color="auto" w:fill="auto"/>
              <w:spacing w:line="360" w:lineRule="auto"/>
              <w:jc w:val="left"/>
              <w:rPr>
                <w:rFonts w:hint="eastAsia"/>
                <w:highlight w:val="none"/>
                <w:lang w:eastAsia="zh-CN"/>
              </w:rPr>
            </w:pPr>
            <w:r>
              <w:rPr>
                <w:rFonts w:hint="eastAsia"/>
                <w:highlight w:val="none"/>
                <w:lang w:val="en-US" w:eastAsia="zh-CN"/>
              </w:rPr>
              <w:t>15.</w:t>
            </w:r>
            <w:r>
              <w:rPr>
                <w:rFonts w:hint="eastAsia"/>
                <w:highlight w:val="none"/>
              </w:rPr>
              <w:t>1*定向鹅颈麦克风</w:t>
            </w:r>
          </w:p>
          <w:p>
            <w:pPr>
              <w:widowControl/>
              <w:shd w:val="clear" w:color="auto" w:fill="auto"/>
              <w:spacing w:line="360" w:lineRule="auto"/>
              <w:jc w:val="left"/>
              <w:rPr>
                <w:rFonts w:hint="eastAsia" w:ascii="宋体" w:hAnsi="宋体" w:eastAsia="宋体" w:cs="Times New Roman"/>
                <w:highlight w:val="none"/>
                <w:lang w:eastAsia="zh-CN"/>
              </w:rPr>
            </w:pPr>
            <w:r>
              <w:rPr>
                <w:rFonts w:hint="eastAsia"/>
                <w:highlight w:val="none"/>
                <w:lang w:val="en-US" w:eastAsia="zh-CN"/>
              </w:rPr>
              <w:t>16.</w:t>
            </w:r>
            <w:r>
              <w:rPr>
                <w:rFonts w:hint="eastAsia"/>
                <w:highlight w:val="none"/>
              </w:rPr>
              <w:t xml:space="preserve">指向性： </w:t>
            </w:r>
            <w:r>
              <w:rPr>
                <w:rFonts w:hint="eastAsia" w:ascii="宋体" w:hAnsi="宋体" w:eastAsia="宋体" w:cs="Times New Roman"/>
                <w:highlight w:val="none"/>
              </w:rPr>
              <w:t>超心型指向；</w:t>
            </w:r>
          </w:p>
          <w:p>
            <w:pPr>
              <w:widowControl/>
              <w:shd w:val="clear" w:color="auto" w:fill="auto"/>
              <w:spacing w:line="360" w:lineRule="auto"/>
              <w:jc w:val="left"/>
              <w:rPr>
                <w:rFonts w:hint="eastAsia" w:ascii="宋体" w:hAnsi="宋体" w:eastAsia="宋体" w:cs="Times New Roman"/>
                <w:highlight w:val="none"/>
                <w:lang w:eastAsia="zh-CN"/>
              </w:rPr>
            </w:pPr>
            <w:r>
              <w:rPr>
                <w:rFonts w:hint="eastAsia" w:ascii="宋体" w:hAnsi="宋体" w:eastAsia="宋体" w:cs="Times New Roman"/>
                <w:highlight w:val="none"/>
                <w:lang w:val="en-US" w:eastAsia="zh-CN"/>
              </w:rPr>
              <w:t>17.</w:t>
            </w:r>
            <w:r>
              <w:rPr>
                <w:rFonts w:hint="eastAsia" w:ascii="宋体" w:hAnsi="宋体" w:eastAsia="宋体" w:cs="Times New Roman"/>
                <w:highlight w:val="none"/>
              </w:rPr>
              <w:t xml:space="preserve">灵敏度： -40dB±2dB； </w:t>
            </w:r>
          </w:p>
          <w:p>
            <w:pPr>
              <w:widowControl/>
              <w:shd w:val="clear" w:color="auto" w:fill="auto"/>
              <w:spacing w:line="360" w:lineRule="auto"/>
              <w:jc w:val="left"/>
              <w:rPr>
                <w:rFonts w:hint="eastAsia" w:ascii="宋体" w:hAnsi="宋体" w:eastAsia="宋体" w:cs="Times New Roman"/>
                <w:highlight w:val="none"/>
              </w:rPr>
            </w:pPr>
            <w:r>
              <w:rPr>
                <w:rFonts w:hint="eastAsia" w:ascii="宋体" w:hAnsi="宋体" w:eastAsia="宋体" w:cs="Times New Roman"/>
                <w:highlight w:val="none"/>
                <w:lang w:val="en-US" w:eastAsia="zh-CN"/>
              </w:rPr>
              <w:t>18.</w:t>
            </w:r>
            <w:r>
              <w:rPr>
                <w:rFonts w:hint="eastAsia" w:ascii="宋体" w:hAnsi="宋体" w:eastAsia="宋体" w:cs="Times New Roman"/>
                <w:highlight w:val="none"/>
              </w:rPr>
              <w:t>支持卡侬口</w:t>
            </w:r>
          </w:p>
          <w:p>
            <w:pPr>
              <w:widowControl/>
              <w:shd w:val="clear" w:color="auto" w:fill="auto"/>
              <w:spacing w:line="360" w:lineRule="auto"/>
              <w:jc w:val="left"/>
              <w:rPr>
                <w:rFonts w:hint="default" w:eastAsia="宋体"/>
                <w:highlight w:val="none"/>
                <w:lang w:val="en-US" w:eastAsia="zh-CN"/>
              </w:rPr>
            </w:pPr>
            <w:r>
              <w:rPr>
                <w:rFonts w:hint="eastAsia" w:ascii="宋体" w:hAnsi="宋体" w:eastAsia="宋体" w:cs="Times New Roman"/>
                <w:highlight w:val="none"/>
                <w:lang w:val="en-US" w:eastAsia="zh-CN"/>
              </w:rPr>
              <w:t>19.</w:t>
            </w:r>
            <w:r>
              <w:rPr>
                <w:rFonts w:hint="eastAsia" w:ascii="宋体" w:hAnsi="宋体" w:eastAsia="宋体" w:cs="Times New Roman"/>
                <w:highlight w:val="none"/>
              </w:rPr>
              <w:t>用于日常会议、重大事件指挥调度、议题讨论、视频通讯、视频点播、可视电话。</w:t>
            </w:r>
          </w:p>
        </w:tc>
        <w:tc>
          <w:tcPr>
            <w:tcW w:w="483" w:type="pct"/>
            <w:tcBorders>
              <w:top w:val="nil"/>
              <w:left w:val="nil"/>
              <w:bottom w:val="single" w:color="auto" w:sz="4" w:space="0"/>
              <w:right w:val="single" w:color="auto" w:sz="4" w:space="0"/>
            </w:tcBorders>
            <w:noWrap w:val="0"/>
            <w:vAlign w:val="center"/>
          </w:tcPr>
          <w:p>
            <w:pPr>
              <w:widowControl/>
              <w:shd w:val="clear" w:color="auto" w:fill="auto"/>
              <w:spacing w:line="360" w:lineRule="auto"/>
              <w:jc w:val="center"/>
              <w:rPr>
                <w:rFonts w:hint="eastAsia" w:cs="宋体"/>
                <w:szCs w:val="24"/>
                <w:highlight w:val="none"/>
              </w:rPr>
            </w:pPr>
            <w:r>
              <w:rPr>
                <w:rFonts w:hint="eastAsia" w:cs="宋体"/>
                <w:szCs w:val="24"/>
                <w:highlight w:val="none"/>
              </w:rPr>
              <w:t>337</w:t>
            </w:r>
          </w:p>
        </w:tc>
      </w:tr>
      <w:tr>
        <w:tblPrEx>
          <w:tblCellMar>
            <w:top w:w="0" w:type="dxa"/>
            <w:left w:w="108" w:type="dxa"/>
            <w:bottom w:w="0" w:type="dxa"/>
            <w:right w:w="108" w:type="dxa"/>
          </w:tblCellMar>
        </w:tblPrEx>
        <w:trPr>
          <w:trHeight w:val="565" w:hRule="atLeast"/>
        </w:trPr>
        <w:tc>
          <w:tcPr>
            <w:tcW w:w="392" w:type="pct"/>
            <w:tcBorders>
              <w:top w:val="nil"/>
              <w:left w:val="single" w:color="auto" w:sz="4" w:space="0"/>
              <w:bottom w:val="single" w:color="auto" w:sz="4" w:space="0"/>
              <w:right w:val="single" w:color="auto" w:sz="4" w:space="0"/>
            </w:tcBorders>
            <w:noWrap w:val="0"/>
            <w:vAlign w:val="center"/>
          </w:tcPr>
          <w:p>
            <w:pPr>
              <w:widowControl/>
              <w:shd w:val="clear" w:color="auto" w:fill="auto"/>
              <w:spacing w:line="360" w:lineRule="auto"/>
              <w:jc w:val="center"/>
              <w:rPr>
                <w:rFonts w:hint="eastAsia" w:cs="宋体"/>
                <w:szCs w:val="24"/>
                <w:highlight w:val="none"/>
              </w:rPr>
            </w:pPr>
            <w:r>
              <w:rPr>
                <w:rFonts w:hint="eastAsia" w:cs="宋体"/>
                <w:szCs w:val="24"/>
                <w:highlight w:val="none"/>
              </w:rPr>
              <w:t>7</w:t>
            </w:r>
          </w:p>
        </w:tc>
        <w:tc>
          <w:tcPr>
            <w:tcW w:w="700" w:type="pct"/>
            <w:tcBorders>
              <w:top w:val="nil"/>
              <w:left w:val="nil"/>
              <w:bottom w:val="single" w:color="auto" w:sz="4" w:space="0"/>
              <w:right w:val="single" w:color="auto" w:sz="4" w:space="0"/>
            </w:tcBorders>
            <w:noWrap w:val="0"/>
            <w:vAlign w:val="center"/>
          </w:tcPr>
          <w:p>
            <w:pPr>
              <w:widowControl/>
              <w:shd w:val="clear" w:color="auto" w:fill="auto"/>
              <w:spacing w:line="360" w:lineRule="auto"/>
              <w:jc w:val="center"/>
              <w:rPr>
                <w:rFonts w:hint="eastAsia" w:cs="宋体"/>
                <w:szCs w:val="24"/>
                <w:highlight w:val="none"/>
              </w:rPr>
            </w:pPr>
            <w:r>
              <w:rPr>
                <w:rFonts w:hint="eastAsia" w:cs="宋体"/>
                <w:szCs w:val="24"/>
                <w:highlight w:val="none"/>
              </w:rPr>
              <w:t>辅料辅材</w:t>
            </w:r>
          </w:p>
        </w:tc>
        <w:tc>
          <w:tcPr>
            <w:tcW w:w="3423" w:type="pct"/>
            <w:tcBorders>
              <w:top w:val="nil"/>
              <w:left w:val="nil"/>
              <w:bottom w:val="single" w:color="auto" w:sz="4" w:space="0"/>
              <w:right w:val="single" w:color="auto" w:sz="4" w:space="0"/>
            </w:tcBorders>
            <w:noWrap w:val="0"/>
            <w:vAlign w:val="center"/>
          </w:tcPr>
          <w:p>
            <w:pPr>
              <w:widowControl/>
              <w:shd w:val="clear" w:color="auto" w:fill="auto"/>
              <w:spacing w:line="360" w:lineRule="auto"/>
              <w:jc w:val="left"/>
              <w:rPr>
                <w:rFonts w:hint="eastAsia" w:cs="宋体"/>
                <w:szCs w:val="24"/>
                <w:highlight w:val="none"/>
              </w:rPr>
            </w:pPr>
            <w:r>
              <w:rPr>
                <w:rFonts w:hint="eastAsia" w:cs="宋体"/>
                <w:szCs w:val="24"/>
                <w:highlight w:val="none"/>
              </w:rPr>
              <w:t>网线、跳线、电线、轧带、pe管等辅材辅料</w:t>
            </w:r>
          </w:p>
        </w:tc>
        <w:tc>
          <w:tcPr>
            <w:tcW w:w="483" w:type="pct"/>
            <w:tcBorders>
              <w:top w:val="nil"/>
              <w:left w:val="nil"/>
              <w:bottom w:val="single" w:color="auto" w:sz="4" w:space="0"/>
              <w:right w:val="single" w:color="auto" w:sz="4" w:space="0"/>
            </w:tcBorders>
            <w:noWrap w:val="0"/>
            <w:vAlign w:val="center"/>
          </w:tcPr>
          <w:p>
            <w:pPr>
              <w:widowControl/>
              <w:shd w:val="clear" w:color="auto" w:fill="auto"/>
              <w:spacing w:line="360" w:lineRule="auto"/>
              <w:jc w:val="center"/>
              <w:rPr>
                <w:rFonts w:hint="eastAsia" w:cs="宋体"/>
                <w:szCs w:val="24"/>
                <w:highlight w:val="none"/>
              </w:rPr>
            </w:pPr>
            <w:r>
              <w:rPr>
                <w:rFonts w:hint="eastAsia" w:cs="宋体"/>
                <w:szCs w:val="24"/>
                <w:highlight w:val="none"/>
              </w:rPr>
              <w:t>337</w:t>
            </w:r>
          </w:p>
        </w:tc>
      </w:tr>
      <w:tr>
        <w:tblPrEx>
          <w:tblCellMar>
            <w:top w:w="0" w:type="dxa"/>
            <w:left w:w="108" w:type="dxa"/>
            <w:bottom w:w="0" w:type="dxa"/>
            <w:right w:w="108" w:type="dxa"/>
          </w:tblCellMar>
        </w:tblPrEx>
        <w:trPr>
          <w:trHeight w:val="1682" w:hRule="atLeast"/>
        </w:trPr>
        <w:tc>
          <w:tcPr>
            <w:tcW w:w="392" w:type="pct"/>
            <w:tcBorders>
              <w:top w:val="nil"/>
              <w:left w:val="single" w:color="auto" w:sz="4" w:space="0"/>
              <w:bottom w:val="single" w:color="auto" w:sz="4" w:space="0"/>
              <w:right w:val="single" w:color="auto" w:sz="4" w:space="0"/>
            </w:tcBorders>
            <w:noWrap w:val="0"/>
            <w:vAlign w:val="center"/>
          </w:tcPr>
          <w:p>
            <w:pPr>
              <w:widowControl/>
              <w:shd w:val="clear" w:color="auto" w:fill="auto"/>
              <w:spacing w:line="360" w:lineRule="auto"/>
              <w:jc w:val="center"/>
              <w:rPr>
                <w:rFonts w:hint="eastAsia" w:cs="宋体"/>
                <w:szCs w:val="24"/>
                <w:highlight w:val="none"/>
              </w:rPr>
            </w:pPr>
            <w:r>
              <w:rPr>
                <w:rFonts w:hint="eastAsia" w:cs="宋体"/>
                <w:szCs w:val="24"/>
                <w:highlight w:val="none"/>
              </w:rPr>
              <w:t>8</w:t>
            </w:r>
          </w:p>
        </w:tc>
        <w:tc>
          <w:tcPr>
            <w:tcW w:w="700" w:type="pct"/>
            <w:tcBorders>
              <w:top w:val="nil"/>
              <w:left w:val="nil"/>
              <w:bottom w:val="single" w:color="auto" w:sz="4" w:space="0"/>
              <w:right w:val="single" w:color="auto" w:sz="4" w:space="0"/>
            </w:tcBorders>
            <w:noWrap w:val="0"/>
            <w:vAlign w:val="center"/>
          </w:tcPr>
          <w:p>
            <w:pPr>
              <w:widowControl/>
              <w:shd w:val="clear" w:color="auto" w:fill="auto"/>
              <w:spacing w:line="360" w:lineRule="auto"/>
              <w:jc w:val="center"/>
              <w:rPr>
                <w:rFonts w:hint="eastAsia" w:cs="宋体"/>
                <w:szCs w:val="24"/>
                <w:highlight w:val="none"/>
              </w:rPr>
            </w:pPr>
            <w:r>
              <w:rPr>
                <w:rFonts w:hint="eastAsia" w:cs="宋体"/>
                <w:szCs w:val="24"/>
                <w:highlight w:val="none"/>
              </w:rPr>
              <w:t>视联网专网</w:t>
            </w:r>
          </w:p>
        </w:tc>
        <w:tc>
          <w:tcPr>
            <w:tcW w:w="3423" w:type="pct"/>
            <w:tcBorders>
              <w:top w:val="nil"/>
              <w:left w:val="nil"/>
              <w:bottom w:val="single" w:color="auto" w:sz="4" w:space="0"/>
              <w:right w:val="single" w:color="auto" w:sz="4" w:space="0"/>
            </w:tcBorders>
            <w:noWrap w:val="0"/>
            <w:vAlign w:val="center"/>
          </w:tcPr>
          <w:p>
            <w:pPr>
              <w:widowControl/>
              <w:shd w:val="clear" w:color="auto" w:fill="auto"/>
              <w:spacing w:line="360" w:lineRule="auto"/>
              <w:jc w:val="left"/>
              <w:rPr>
                <w:rFonts w:hint="eastAsia" w:ascii="宋体" w:hAnsi="宋体" w:eastAsia="宋体" w:cs="Times New Roman"/>
                <w:highlight w:val="none"/>
                <w:lang w:eastAsia="zh-CN"/>
              </w:rPr>
            </w:pPr>
            <w:r>
              <w:rPr>
                <w:rFonts w:hint="eastAsia"/>
                <w:highlight w:val="none"/>
              </w:rPr>
              <w:t>1</w:t>
            </w:r>
            <w:r>
              <w:rPr>
                <w:rFonts w:hint="eastAsia"/>
                <w:highlight w:val="none"/>
                <w:lang w:val="en-US" w:eastAsia="zh-CN"/>
              </w:rPr>
              <w:t>.</w:t>
            </w:r>
            <w:r>
              <w:rPr>
                <w:rFonts w:hint="eastAsia"/>
                <w:highlight w:val="none"/>
              </w:rPr>
              <w:t>1条中心侧汇聚主链路，1G/条大带宽需求，含1组固定IP，用于每年全县视联网专线的收敛汇聚端口</w:t>
            </w:r>
          </w:p>
          <w:p>
            <w:pPr>
              <w:widowControl/>
              <w:shd w:val="clear" w:color="auto" w:fill="auto"/>
              <w:spacing w:line="360" w:lineRule="auto"/>
              <w:jc w:val="left"/>
              <w:rPr>
                <w:rFonts w:hint="eastAsia" w:ascii="宋体" w:hAnsi="宋体" w:eastAsia="宋体" w:cs="Times New Roman"/>
                <w:highlight w:val="none"/>
              </w:rPr>
            </w:pPr>
            <w:r>
              <w:rPr>
                <w:rFonts w:hint="eastAsia" w:ascii="宋体" w:hAnsi="宋体" w:eastAsia="宋体" w:cs="Times New Roman"/>
                <w:highlight w:val="none"/>
              </w:rPr>
              <w:t>2</w:t>
            </w:r>
            <w:r>
              <w:rPr>
                <w:rFonts w:hint="eastAsia" w:ascii="宋体" w:hAnsi="宋体" w:eastAsia="宋体" w:cs="Times New Roman"/>
                <w:highlight w:val="none"/>
                <w:lang w:val="en-US" w:eastAsia="zh-CN"/>
              </w:rPr>
              <w:t>.</w:t>
            </w:r>
            <w:r>
              <w:rPr>
                <w:rFonts w:hint="eastAsia" w:ascii="宋体" w:hAnsi="宋体" w:eastAsia="宋体" w:cs="Times New Roman"/>
                <w:highlight w:val="none"/>
              </w:rPr>
              <w:t>337条前端接入链路，100M/条需求，用于每年视频通讯终端接入联网。</w:t>
            </w:r>
          </w:p>
          <w:p>
            <w:pPr>
              <w:widowControl/>
              <w:shd w:val="clear" w:color="auto" w:fill="auto"/>
              <w:spacing w:line="360" w:lineRule="auto"/>
              <w:jc w:val="left"/>
              <w:rPr>
                <w:rFonts w:hint="eastAsia" w:eastAsia="宋体"/>
                <w:highlight w:val="none"/>
                <w:lang w:val="en-US" w:eastAsia="zh-CN"/>
              </w:rPr>
            </w:pPr>
            <w:r>
              <w:rPr>
                <w:rFonts w:hint="eastAsia" w:ascii="宋体" w:hAnsi="宋体" w:eastAsia="宋体" w:cs="Times New Roman"/>
                <w:highlight w:val="none"/>
                <w:lang w:val="en-US" w:eastAsia="zh-CN"/>
              </w:rPr>
              <w:t>3.</w:t>
            </w:r>
            <w:r>
              <w:rPr>
                <w:rFonts w:hint="eastAsia" w:ascii="宋体" w:hAnsi="宋体" w:eastAsia="宋体" w:cs="Times New Roman"/>
                <w:highlight w:val="none"/>
              </w:rPr>
              <w:t>通过视联网专线网络实现系统数据传输</w:t>
            </w:r>
            <w:r>
              <w:rPr>
                <w:rFonts w:hint="eastAsia" w:ascii="宋体" w:hAnsi="宋体" w:eastAsia="宋体" w:cs="Times New Roman"/>
                <w:highlight w:val="none"/>
                <w:lang w:eastAsia="zh-CN"/>
              </w:rPr>
              <w:t>。</w:t>
            </w:r>
          </w:p>
        </w:tc>
        <w:tc>
          <w:tcPr>
            <w:tcW w:w="483" w:type="pct"/>
            <w:tcBorders>
              <w:top w:val="nil"/>
              <w:left w:val="nil"/>
              <w:bottom w:val="single" w:color="auto" w:sz="4" w:space="0"/>
              <w:right w:val="single" w:color="auto" w:sz="4" w:space="0"/>
            </w:tcBorders>
            <w:noWrap w:val="0"/>
            <w:vAlign w:val="center"/>
          </w:tcPr>
          <w:p>
            <w:pPr>
              <w:widowControl/>
              <w:shd w:val="clear" w:color="auto" w:fill="auto"/>
              <w:spacing w:line="360" w:lineRule="auto"/>
              <w:jc w:val="center"/>
              <w:rPr>
                <w:rFonts w:hint="eastAsia" w:cs="宋体"/>
                <w:szCs w:val="24"/>
                <w:highlight w:val="none"/>
              </w:rPr>
            </w:pPr>
            <w:r>
              <w:rPr>
                <w:rFonts w:hint="eastAsia" w:cs="宋体"/>
                <w:szCs w:val="24"/>
                <w:highlight w:val="none"/>
              </w:rPr>
              <w:t>337</w:t>
            </w:r>
          </w:p>
        </w:tc>
      </w:tr>
      <w:tr>
        <w:tblPrEx>
          <w:tblCellMar>
            <w:top w:w="0" w:type="dxa"/>
            <w:left w:w="108" w:type="dxa"/>
            <w:bottom w:w="0" w:type="dxa"/>
            <w:right w:w="108" w:type="dxa"/>
          </w:tblCellMar>
        </w:tblPrEx>
        <w:trPr>
          <w:trHeight w:val="570" w:hRule="atLeast"/>
        </w:trPr>
        <w:tc>
          <w:tcPr>
            <w:tcW w:w="392" w:type="pct"/>
            <w:tcBorders>
              <w:top w:val="nil"/>
              <w:left w:val="single" w:color="auto" w:sz="4" w:space="0"/>
              <w:bottom w:val="single" w:color="auto" w:sz="4" w:space="0"/>
              <w:right w:val="single" w:color="auto" w:sz="4" w:space="0"/>
            </w:tcBorders>
            <w:noWrap w:val="0"/>
            <w:vAlign w:val="center"/>
          </w:tcPr>
          <w:p>
            <w:pPr>
              <w:widowControl/>
              <w:shd w:val="clear" w:color="auto" w:fill="auto"/>
              <w:spacing w:line="360" w:lineRule="auto"/>
              <w:jc w:val="center"/>
              <w:rPr>
                <w:rFonts w:hint="eastAsia" w:cs="宋体"/>
                <w:szCs w:val="24"/>
                <w:highlight w:val="none"/>
              </w:rPr>
            </w:pPr>
            <w:r>
              <w:rPr>
                <w:rFonts w:hint="eastAsia" w:cs="宋体"/>
                <w:szCs w:val="24"/>
                <w:highlight w:val="none"/>
              </w:rPr>
              <w:t>9</w:t>
            </w:r>
          </w:p>
        </w:tc>
        <w:tc>
          <w:tcPr>
            <w:tcW w:w="700" w:type="pct"/>
            <w:tcBorders>
              <w:top w:val="nil"/>
              <w:left w:val="nil"/>
              <w:bottom w:val="single" w:color="auto" w:sz="4" w:space="0"/>
              <w:right w:val="single" w:color="auto" w:sz="4" w:space="0"/>
            </w:tcBorders>
            <w:noWrap w:val="0"/>
            <w:vAlign w:val="center"/>
          </w:tcPr>
          <w:p>
            <w:pPr>
              <w:widowControl/>
              <w:shd w:val="clear" w:color="auto" w:fill="auto"/>
              <w:spacing w:line="360" w:lineRule="auto"/>
              <w:jc w:val="center"/>
              <w:rPr>
                <w:rFonts w:hint="eastAsia" w:cs="宋体"/>
                <w:szCs w:val="24"/>
                <w:highlight w:val="none"/>
              </w:rPr>
            </w:pPr>
            <w:r>
              <w:rPr>
                <w:rFonts w:hint="eastAsia" w:cs="宋体"/>
                <w:szCs w:val="24"/>
                <w:highlight w:val="none"/>
              </w:rPr>
              <w:t>安装维护服务</w:t>
            </w:r>
          </w:p>
        </w:tc>
        <w:tc>
          <w:tcPr>
            <w:tcW w:w="3423" w:type="pct"/>
            <w:tcBorders>
              <w:top w:val="single" w:color="auto" w:sz="4" w:space="0"/>
              <w:left w:val="nil"/>
              <w:bottom w:val="single" w:color="auto" w:sz="4" w:space="0"/>
              <w:right w:val="single" w:color="auto" w:sz="4" w:space="0"/>
            </w:tcBorders>
            <w:noWrap w:val="0"/>
            <w:vAlign w:val="center"/>
          </w:tcPr>
          <w:p>
            <w:pPr>
              <w:widowControl/>
              <w:shd w:val="clear" w:color="auto" w:fill="auto"/>
              <w:spacing w:line="360" w:lineRule="auto"/>
              <w:jc w:val="left"/>
              <w:rPr>
                <w:rFonts w:hint="eastAsia" w:cs="宋体"/>
                <w:szCs w:val="24"/>
                <w:highlight w:val="none"/>
              </w:rPr>
            </w:pPr>
            <w:r>
              <w:rPr>
                <w:rFonts w:hint="eastAsia" w:cs="宋体"/>
                <w:szCs w:val="24"/>
                <w:highlight w:val="none"/>
              </w:rPr>
              <w:t>项目各设备系统实施安装、集成调试等，以及1年期内的维护维保服务</w:t>
            </w:r>
          </w:p>
        </w:tc>
        <w:tc>
          <w:tcPr>
            <w:tcW w:w="483" w:type="pct"/>
            <w:tcBorders>
              <w:top w:val="nil"/>
              <w:left w:val="nil"/>
              <w:bottom w:val="single" w:color="auto" w:sz="4" w:space="0"/>
              <w:right w:val="single" w:color="auto" w:sz="4" w:space="0"/>
            </w:tcBorders>
            <w:noWrap w:val="0"/>
            <w:vAlign w:val="center"/>
          </w:tcPr>
          <w:p>
            <w:pPr>
              <w:widowControl/>
              <w:shd w:val="clear" w:color="auto" w:fill="auto"/>
              <w:spacing w:line="360" w:lineRule="auto"/>
              <w:jc w:val="center"/>
              <w:rPr>
                <w:rFonts w:hint="eastAsia" w:cs="宋体"/>
                <w:szCs w:val="24"/>
                <w:highlight w:val="none"/>
              </w:rPr>
            </w:pPr>
            <w:r>
              <w:rPr>
                <w:rFonts w:hint="eastAsia" w:cs="宋体"/>
                <w:szCs w:val="24"/>
                <w:highlight w:val="none"/>
              </w:rPr>
              <w:t>337</w:t>
            </w:r>
          </w:p>
        </w:tc>
      </w:tr>
    </w:tbl>
    <w:p>
      <w:pPr>
        <w:pBdr>
          <w:bottom w:val="single" w:color="auto" w:sz="4" w:space="1"/>
        </w:pBdr>
        <w:spacing w:beforeLines="100"/>
        <w:ind w:firstLine="492" w:firstLineChars="175"/>
        <w:rPr>
          <w:rFonts w:hint="eastAsia" w:ascii="仿宋" w:hAnsi="仿宋" w:eastAsia="仿宋" w:cs="宋体"/>
          <w:kern w:val="0"/>
          <w:sz w:val="28"/>
          <w:szCs w:val="28"/>
          <w:lang w:val="en-US" w:eastAsia="zh-CN" w:bidi="ar-SA"/>
        </w:rPr>
      </w:pPr>
      <w:r>
        <w:rPr>
          <w:rFonts w:hint="eastAsia" w:ascii="仿宋" w:hAnsi="仿宋" w:eastAsia="仿宋" w:cs="宋体"/>
          <w:b/>
          <w:kern w:val="0"/>
          <w:sz w:val="28"/>
          <w:szCs w:val="28"/>
        </w:rPr>
        <w:t>四、</w:t>
      </w:r>
      <w:r>
        <w:rPr>
          <w:rFonts w:hint="eastAsia" w:ascii="仿宋" w:hAnsi="仿宋" w:eastAsia="仿宋" w:cs="宋体"/>
          <w:b/>
          <w:kern w:val="0"/>
          <w:sz w:val="28"/>
          <w:szCs w:val="28"/>
          <w:lang w:val="en-US" w:eastAsia="zh-CN"/>
        </w:rPr>
        <w:t>货物</w:t>
      </w:r>
      <w:r>
        <w:rPr>
          <w:rFonts w:hint="eastAsia" w:ascii="仿宋" w:hAnsi="仿宋" w:eastAsia="仿宋" w:cs="宋体"/>
          <w:b/>
          <w:kern w:val="0"/>
          <w:sz w:val="28"/>
          <w:szCs w:val="28"/>
        </w:rPr>
        <w:t>要求（如对</w:t>
      </w:r>
      <w:r>
        <w:rPr>
          <w:rFonts w:hint="eastAsia" w:ascii="仿宋" w:hAnsi="仿宋" w:eastAsia="仿宋" w:cs="宋体"/>
          <w:b/>
          <w:kern w:val="0"/>
          <w:sz w:val="28"/>
          <w:szCs w:val="28"/>
          <w:lang w:val="en-US" w:eastAsia="zh-CN"/>
        </w:rPr>
        <w:t>包装、运输、安装调试</w:t>
      </w:r>
      <w:r>
        <w:rPr>
          <w:rFonts w:hint="eastAsia" w:ascii="仿宋" w:hAnsi="仿宋" w:eastAsia="仿宋" w:cs="宋体"/>
          <w:b/>
          <w:kern w:val="0"/>
          <w:sz w:val="28"/>
          <w:szCs w:val="28"/>
        </w:rPr>
        <w:t>等）</w:t>
      </w:r>
    </w:p>
    <w:p>
      <w:pPr>
        <w:shd w:val="clear" w:color="auto" w:fill="auto"/>
        <w:autoSpaceDN w:val="0"/>
        <w:adjustRightInd w:val="0"/>
        <w:snapToGrid w:val="0"/>
        <w:spacing w:line="360" w:lineRule="auto"/>
        <w:ind w:firstLine="560" w:firstLineChars="20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rPr>
        <w:t>4.1、</w:t>
      </w:r>
      <w:r>
        <w:rPr>
          <w:rFonts w:hint="eastAsia" w:ascii="仿宋" w:hAnsi="仿宋" w:eastAsia="仿宋" w:cs="宋体"/>
          <w:kern w:val="0"/>
          <w:sz w:val="28"/>
          <w:szCs w:val="28"/>
        </w:rPr>
        <w:t>符合国家、行业规定及采购人相关要求。</w:t>
      </w:r>
    </w:p>
    <w:p>
      <w:pPr>
        <w:shd w:val="clear" w:color="auto" w:fill="auto"/>
        <w:autoSpaceDN w:val="0"/>
        <w:adjustRightInd w:val="0"/>
        <w:snapToGrid w:val="0"/>
        <w:spacing w:line="360" w:lineRule="auto"/>
        <w:ind w:firstLine="560" w:firstLineChars="20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4.2、包装（硬件设备）：应采取防潮、防晒、防腐蚀、防震动及防止其它损坏的必要措施。中标人应承担由于其包装或防护措施不妥而引起的货物锈蚀、损坏和丢失等任何损失造成的责任或费用。</w:t>
      </w:r>
    </w:p>
    <w:p>
      <w:pPr>
        <w:shd w:val="clear" w:color="auto" w:fill="auto"/>
        <w:autoSpaceDN w:val="0"/>
        <w:adjustRightInd w:val="0"/>
        <w:snapToGrid w:val="0"/>
        <w:spacing w:line="360" w:lineRule="auto"/>
        <w:ind w:firstLine="560" w:firstLineChars="20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4.3、运输（硬件设备）：选择运输风险小、运费低、距离短的运输路线。运杂费一次包死在总价内，包括生产厂到施工现场所需的装卸、运输（含保险费）、现场保管费、二次倒运费、吊装费等费用。</w:t>
      </w:r>
    </w:p>
    <w:p>
      <w:pPr>
        <w:shd w:val="clear" w:color="auto" w:fill="auto"/>
        <w:autoSpaceDN w:val="0"/>
        <w:adjustRightInd w:val="0"/>
        <w:snapToGrid w:val="0"/>
        <w:spacing w:line="360" w:lineRule="auto"/>
        <w:ind w:firstLine="560" w:firstLineChars="20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4.4、安装、调试及培训（硬件设备）：中标人负责所有设备的安装、调试、培训工作，所有费用一次包死在总价内。</w:t>
      </w:r>
      <w:bookmarkStart w:id="0" w:name="_Toc167715259"/>
      <w:bookmarkStart w:id="1" w:name="_Toc167714062"/>
      <w:bookmarkStart w:id="2" w:name="_Toc167712864"/>
      <w:r>
        <w:rPr>
          <w:rFonts w:hint="eastAsia" w:ascii="仿宋" w:hAnsi="仿宋" w:eastAsia="仿宋" w:cs="宋体"/>
          <w:kern w:val="0"/>
          <w:sz w:val="28"/>
          <w:szCs w:val="28"/>
          <w:lang w:val="en-US" w:eastAsia="zh-CN" w:bidi="ar-SA"/>
        </w:rPr>
        <w:t>每套设备安装调试完毕后，中标人必须安排技术人员对使用单位的设备管理人员进行操作应用及维护保养方面的技能培训</w:t>
      </w:r>
      <w:bookmarkEnd w:id="0"/>
      <w:bookmarkEnd w:id="1"/>
      <w:bookmarkEnd w:id="2"/>
      <w:r>
        <w:rPr>
          <w:rFonts w:hint="eastAsia" w:ascii="仿宋" w:hAnsi="仿宋" w:eastAsia="仿宋" w:cs="宋体"/>
          <w:kern w:val="0"/>
          <w:sz w:val="28"/>
          <w:szCs w:val="28"/>
          <w:lang w:val="en-US" w:eastAsia="zh-CN" w:bidi="ar-SA"/>
        </w:rPr>
        <w:t>，使其掌握基本技能。</w:t>
      </w:r>
    </w:p>
    <w:p>
      <w:pPr>
        <w:pBdr>
          <w:bottom w:val="single" w:color="auto" w:sz="4" w:space="0"/>
        </w:pBdr>
        <w:spacing w:beforeLines="100"/>
        <w:ind w:firstLine="492" w:firstLineChars="175"/>
        <w:rPr>
          <w:rFonts w:ascii="仿宋" w:hAnsi="仿宋" w:eastAsia="仿宋" w:cs="宋体"/>
          <w:b/>
          <w:kern w:val="0"/>
          <w:sz w:val="28"/>
          <w:szCs w:val="28"/>
        </w:rPr>
      </w:pPr>
      <w:r>
        <w:rPr>
          <w:rFonts w:hint="eastAsia" w:ascii="仿宋" w:hAnsi="仿宋" w:eastAsia="仿宋" w:cs="宋体"/>
          <w:b/>
          <w:kern w:val="0"/>
          <w:sz w:val="28"/>
          <w:szCs w:val="28"/>
        </w:rPr>
        <w:t>五、商务要求（如服务期限、款项结算等）</w:t>
      </w:r>
    </w:p>
    <w:p>
      <w:pPr>
        <w:spacing w:line="400" w:lineRule="exact"/>
        <w:ind w:firstLine="422" w:firstLineChars="175"/>
        <w:rPr>
          <w:rFonts w:ascii="宋体" w:hAnsi="宋体" w:cs="宋体"/>
          <w:b/>
          <w:bCs/>
          <w:color w:val="000000" w:themeColor="text1"/>
          <w:sz w:val="24"/>
          <w:szCs w:val="24"/>
          <w14:textFill>
            <w14:solidFill>
              <w14:schemeClr w14:val="tx1"/>
            </w14:solidFill>
          </w14:textFill>
        </w:rPr>
      </w:pPr>
    </w:p>
    <w:p>
      <w:pPr>
        <w:spacing w:line="400" w:lineRule="exact"/>
        <w:ind w:firstLine="492" w:firstLineChars="175"/>
        <w:rPr>
          <w:rFonts w:ascii="仿宋" w:hAnsi="仿宋" w:eastAsia="仿宋" w:cs="宋体"/>
          <w:b/>
          <w:kern w:val="0"/>
          <w:sz w:val="28"/>
          <w:szCs w:val="28"/>
        </w:rPr>
      </w:pPr>
      <w:r>
        <w:rPr>
          <w:rFonts w:hint="eastAsia" w:ascii="仿宋" w:hAnsi="仿宋" w:eastAsia="仿宋" w:cs="宋体"/>
          <w:b/>
          <w:kern w:val="0"/>
          <w:sz w:val="28"/>
          <w:szCs w:val="28"/>
        </w:rPr>
        <w:t>（一）服务期限</w:t>
      </w:r>
    </w:p>
    <w:p>
      <w:pPr>
        <w:pStyle w:val="42"/>
        <w:spacing w:line="360" w:lineRule="auto"/>
        <w:ind w:firstLine="492" w:firstLineChars="175"/>
        <w:rPr>
          <w:rFonts w:hint="eastAsia" w:ascii="仿宋" w:hAnsi="仿宋" w:eastAsia="仿宋" w:cs="宋体"/>
          <w:b/>
          <w:kern w:val="0"/>
          <w:sz w:val="28"/>
          <w:szCs w:val="28"/>
          <w:lang w:eastAsia="zh-CN"/>
        </w:rPr>
      </w:pPr>
      <w:r>
        <w:rPr>
          <w:rFonts w:hint="eastAsia" w:ascii="仿宋" w:hAnsi="仿宋" w:eastAsia="仿宋" w:cs="宋体"/>
          <w:b/>
          <w:kern w:val="0"/>
          <w:sz w:val="28"/>
          <w:szCs w:val="28"/>
        </w:rPr>
        <w:t>1、服务期：自合同签订之日起30日历天内完成</w:t>
      </w:r>
      <w:r>
        <w:rPr>
          <w:rFonts w:hint="eastAsia" w:ascii="仿宋" w:hAnsi="仿宋" w:eastAsia="仿宋" w:cs="宋体"/>
          <w:b/>
          <w:kern w:val="0"/>
          <w:sz w:val="28"/>
          <w:szCs w:val="28"/>
          <w:lang w:eastAsia="zh-CN"/>
        </w:rPr>
        <w:t>。</w:t>
      </w:r>
    </w:p>
    <w:p>
      <w:pPr>
        <w:spacing w:line="360" w:lineRule="auto"/>
        <w:ind w:firstLine="492" w:firstLineChars="175"/>
        <w:rPr>
          <w:rFonts w:hint="eastAsia" w:ascii="仿宋" w:hAnsi="仿宋" w:eastAsia="仿宋" w:cs="宋体"/>
          <w:b/>
          <w:kern w:val="0"/>
          <w:sz w:val="28"/>
          <w:szCs w:val="28"/>
        </w:rPr>
      </w:pPr>
      <w:r>
        <w:rPr>
          <w:rFonts w:hint="eastAsia" w:ascii="仿宋" w:hAnsi="仿宋" w:eastAsia="仿宋" w:cs="宋体"/>
          <w:b/>
          <w:kern w:val="0"/>
          <w:sz w:val="28"/>
          <w:szCs w:val="28"/>
        </w:rPr>
        <w:t>2、款项结算</w:t>
      </w:r>
    </w:p>
    <w:p>
      <w:pPr>
        <w:spacing w:line="360" w:lineRule="auto"/>
        <w:ind w:firstLine="490" w:firstLineChars="175"/>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自项目验收合格之日起15日历天内，支付中标金额的40%作为第一年款项；第二年同期支付中标金额的30%；第三年同期支付中标金额的30%（具体详见采购文件）。</w:t>
      </w:r>
    </w:p>
    <w:p>
      <w:pPr>
        <w:pBdr>
          <w:bottom w:val="single" w:color="auto" w:sz="4" w:space="0"/>
        </w:pBdr>
        <w:spacing w:beforeLines="100"/>
        <w:ind w:firstLine="492" w:firstLineChars="175"/>
        <w:rPr>
          <w:rFonts w:ascii="仿宋" w:hAnsi="仿宋" w:eastAsia="仿宋" w:cs="宋体"/>
          <w:b/>
          <w:kern w:val="0"/>
          <w:sz w:val="28"/>
          <w:szCs w:val="28"/>
        </w:rPr>
      </w:pPr>
      <w:r>
        <w:rPr>
          <w:rFonts w:hint="eastAsia" w:ascii="仿宋" w:hAnsi="仿宋" w:eastAsia="仿宋" w:cs="宋体"/>
          <w:b/>
          <w:kern w:val="0"/>
          <w:sz w:val="28"/>
          <w:szCs w:val="28"/>
        </w:rPr>
        <w:t>六、其他（如有要求。请写明）</w:t>
      </w:r>
    </w:p>
    <w:p>
      <w:pPr>
        <w:shd w:val="clear" w:color="auto" w:fill="auto"/>
        <w:autoSpaceDN w:val="0"/>
        <w:adjustRightInd w:val="0"/>
        <w:snapToGrid w:val="0"/>
        <w:spacing w:line="360" w:lineRule="auto"/>
        <w:ind w:firstLine="560" w:firstLineChars="20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一、对供应商业绩的要求</w:t>
      </w:r>
    </w:p>
    <w:p>
      <w:pPr>
        <w:shd w:val="clear" w:color="auto" w:fill="auto"/>
        <w:autoSpaceDN w:val="0"/>
        <w:adjustRightInd w:val="0"/>
        <w:snapToGrid w:val="0"/>
        <w:spacing w:line="360" w:lineRule="auto"/>
        <w:ind w:firstLine="560" w:firstLineChars="200"/>
        <w:rPr>
          <w:rFonts w:hint="default" w:ascii="仿宋" w:hAnsi="仿宋" w:eastAsia="仿宋" w:cs="宋体"/>
          <w:kern w:val="0"/>
          <w:sz w:val="28"/>
          <w:szCs w:val="28"/>
          <w:lang w:val="en-US" w:eastAsia="zh-CN" w:bidi="ar-SA"/>
        </w:rPr>
      </w:pPr>
      <w:r>
        <w:rPr>
          <w:rFonts w:hint="default" w:ascii="仿宋" w:hAnsi="仿宋" w:eastAsia="仿宋" w:cs="宋体"/>
          <w:kern w:val="0"/>
          <w:sz w:val="28"/>
          <w:szCs w:val="28"/>
          <w:lang w:val="en-US" w:eastAsia="zh-CN" w:bidi="ar-SA"/>
        </w:rPr>
        <w:t>以投标人2020年1月1日至今（招标公告发布之日）类似业绩，（以加盖公章的销售合同复印件为准）。</w:t>
      </w:r>
    </w:p>
    <w:p>
      <w:pPr>
        <w:shd w:val="clear" w:color="auto" w:fill="auto"/>
        <w:autoSpaceDN w:val="0"/>
        <w:adjustRightInd w:val="0"/>
        <w:snapToGrid w:val="0"/>
        <w:spacing w:line="360" w:lineRule="auto"/>
        <w:ind w:firstLine="560" w:firstLineChars="20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二、质量验收标准或规范</w:t>
      </w:r>
    </w:p>
    <w:p>
      <w:pPr>
        <w:shd w:val="clear" w:color="auto" w:fill="auto"/>
        <w:autoSpaceDN w:val="0"/>
        <w:adjustRightInd w:val="0"/>
        <w:snapToGrid w:val="0"/>
        <w:spacing w:line="360" w:lineRule="auto"/>
        <w:ind w:firstLine="560" w:firstLineChars="20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符合国家、行业规定及采购人相关要求</w:t>
      </w:r>
    </w:p>
    <w:p>
      <w:pPr>
        <w:shd w:val="clear" w:color="auto" w:fill="auto"/>
        <w:autoSpaceDN w:val="0"/>
        <w:adjustRightInd w:val="0"/>
        <w:snapToGrid w:val="0"/>
        <w:spacing w:line="360" w:lineRule="auto"/>
        <w:ind w:firstLine="560" w:firstLineChars="200"/>
        <w:rPr>
          <w:rFonts w:hint="default"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三、产品质保期</w:t>
      </w:r>
    </w:p>
    <w:p>
      <w:pPr>
        <w:shd w:val="clear" w:color="auto" w:fill="auto"/>
        <w:autoSpaceDN w:val="0"/>
        <w:adjustRightInd w:val="0"/>
        <w:snapToGrid w:val="0"/>
        <w:spacing w:line="360" w:lineRule="auto"/>
        <w:ind w:firstLine="560" w:firstLineChars="20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3.1、质保期为验收合格后不少于 1 年。中标人承诺的质保时间超过招标文件要求的，按其承诺时间质保。</w:t>
      </w:r>
    </w:p>
    <w:p>
      <w:pPr>
        <w:shd w:val="clear" w:color="auto" w:fill="auto"/>
        <w:autoSpaceDN w:val="0"/>
        <w:adjustRightInd w:val="0"/>
        <w:snapToGrid w:val="0"/>
        <w:spacing w:line="360" w:lineRule="auto"/>
        <w:ind w:firstLine="560" w:firstLineChars="20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3.2、中标人承诺的质保期起始时间为终验合格之日。</w:t>
      </w:r>
      <w:bookmarkStart w:id="3" w:name="_Toc167714053"/>
      <w:bookmarkStart w:id="4" w:name="_Toc167712855"/>
      <w:bookmarkStart w:id="5" w:name="_Toc167715250"/>
    </w:p>
    <w:p>
      <w:pPr>
        <w:shd w:val="clear" w:color="auto" w:fill="auto"/>
        <w:autoSpaceDN w:val="0"/>
        <w:adjustRightInd w:val="0"/>
        <w:snapToGrid w:val="0"/>
        <w:spacing w:line="360" w:lineRule="auto"/>
        <w:ind w:firstLine="560" w:firstLineChars="20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3.3、所有产品质量必须符合国家有关规范和相关政策。所有设备及辅材必须是未使用过的新产品，质量优良、渠道正当，配置合理。</w:t>
      </w:r>
      <w:bookmarkEnd w:id="3"/>
      <w:bookmarkEnd w:id="4"/>
      <w:bookmarkEnd w:id="5"/>
      <w:bookmarkStart w:id="6" w:name="_Toc167712856"/>
      <w:bookmarkStart w:id="7" w:name="_Toc167715251"/>
      <w:bookmarkStart w:id="8" w:name="_Toc167714054"/>
    </w:p>
    <w:p>
      <w:pPr>
        <w:shd w:val="clear" w:color="auto" w:fill="auto"/>
        <w:autoSpaceDN w:val="0"/>
        <w:adjustRightInd w:val="0"/>
        <w:snapToGrid w:val="0"/>
        <w:spacing w:line="360" w:lineRule="auto"/>
        <w:ind w:firstLine="560" w:firstLineChars="20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3.4、质保期出现的质量问题由中标人负责解决并承担所有费用。质保期后如需更换零部件，中标人应以优惠价提供。</w:t>
      </w:r>
      <w:bookmarkEnd w:id="6"/>
      <w:bookmarkEnd w:id="7"/>
      <w:bookmarkEnd w:id="8"/>
      <w:r>
        <w:rPr>
          <w:rFonts w:hint="eastAsia" w:ascii="仿宋" w:hAnsi="仿宋" w:eastAsia="仿宋" w:cs="宋体"/>
          <w:kern w:val="0"/>
          <w:sz w:val="28"/>
          <w:szCs w:val="28"/>
          <w:lang w:val="en-US" w:eastAsia="zh-CN" w:bidi="ar-SA"/>
        </w:rPr>
        <w:t>质保期结束后，其售后维护费用不超过同期市场价格。</w:t>
      </w:r>
    </w:p>
    <w:p>
      <w:pPr>
        <w:shd w:val="clear" w:color="auto" w:fill="auto"/>
        <w:autoSpaceDN w:val="0"/>
        <w:adjustRightInd w:val="0"/>
        <w:snapToGrid w:val="0"/>
        <w:spacing w:line="360" w:lineRule="auto"/>
        <w:ind w:firstLine="560" w:firstLineChars="20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四、违约责任</w:t>
      </w:r>
    </w:p>
    <w:p>
      <w:pPr>
        <w:shd w:val="clear" w:color="auto" w:fill="auto"/>
        <w:autoSpaceDN w:val="0"/>
        <w:adjustRightInd w:val="0"/>
        <w:snapToGrid w:val="0"/>
        <w:spacing w:line="360" w:lineRule="auto"/>
        <w:ind w:firstLine="560" w:firstLineChars="200"/>
        <w:rPr>
          <w:rFonts w:hint="default"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详见采购文件合同条跨内容</w:t>
      </w:r>
    </w:p>
    <w:p>
      <w:pPr>
        <w:shd w:val="clear" w:color="auto" w:fill="auto"/>
        <w:autoSpaceDN w:val="0"/>
        <w:adjustRightInd w:val="0"/>
        <w:snapToGrid w:val="0"/>
        <w:spacing w:line="360" w:lineRule="auto"/>
        <w:ind w:firstLine="560" w:firstLineChars="200"/>
        <w:rPr>
          <w:rFonts w:hint="eastAsia" w:ascii="仿宋" w:hAnsi="仿宋" w:eastAsia="仿宋" w:cs="宋体"/>
          <w:kern w:val="0"/>
          <w:sz w:val="28"/>
          <w:szCs w:val="28"/>
          <w:lang w:val="en-US" w:eastAsia="zh-CN" w:bidi="ar-SA"/>
        </w:rPr>
      </w:pPr>
    </w:p>
    <w:p>
      <w:pPr>
        <w:spacing w:line="400" w:lineRule="exact"/>
        <w:ind w:firstLine="420" w:firstLineChars="200"/>
        <w:rPr>
          <w:rFonts w:ascii="宋体" w:hAnsi="宋体" w:cs="宋体"/>
        </w:rPr>
      </w:pPr>
    </w:p>
    <w:sectPr>
      <w:headerReference r:id="rId3" w:type="default"/>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removePersonalInformation/>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MTM0ODVlY2IzY2RjNTI0NjMyNzJiMTM3YTFkZjcifQ=="/>
  </w:docVars>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B5ACF"/>
    <w:rsid w:val="000B6858"/>
    <w:rsid w:val="000C048C"/>
    <w:rsid w:val="000C078B"/>
    <w:rsid w:val="000C21A4"/>
    <w:rsid w:val="000C538D"/>
    <w:rsid w:val="000C59A5"/>
    <w:rsid w:val="000D0AF3"/>
    <w:rsid w:val="000D0DE1"/>
    <w:rsid w:val="000D1277"/>
    <w:rsid w:val="000D4097"/>
    <w:rsid w:val="000E3FB5"/>
    <w:rsid w:val="000E6AE7"/>
    <w:rsid w:val="000F0C8A"/>
    <w:rsid w:val="000F1A9A"/>
    <w:rsid w:val="000F27AD"/>
    <w:rsid w:val="000F2BEC"/>
    <w:rsid w:val="000F3064"/>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4F9"/>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4F72"/>
    <w:rsid w:val="00187846"/>
    <w:rsid w:val="00191A7E"/>
    <w:rsid w:val="00193B5F"/>
    <w:rsid w:val="001947E8"/>
    <w:rsid w:val="00194890"/>
    <w:rsid w:val="00196A1C"/>
    <w:rsid w:val="001A2103"/>
    <w:rsid w:val="001A5309"/>
    <w:rsid w:val="001A5764"/>
    <w:rsid w:val="001B0699"/>
    <w:rsid w:val="001B2019"/>
    <w:rsid w:val="001B49FD"/>
    <w:rsid w:val="001B6B99"/>
    <w:rsid w:val="001C0BA3"/>
    <w:rsid w:val="001C0BBD"/>
    <w:rsid w:val="001C25ED"/>
    <w:rsid w:val="001D0B39"/>
    <w:rsid w:val="001D1BCB"/>
    <w:rsid w:val="001D22C0"/>
    <w:rsid w:val="001D4171"/>
    <w:rsid w:val="001D576E"/>
    <w:rsid w:val="001D70BC"/>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47DA"/>
    <w:rsid w:val="002174B0"/>
    <w:rsid w:val="00220787"/>
    <w:rsid w:val="0022387C"/>
    <w:rsid w:val="00230C6A"/>
    <w:rsid w:val="00232AB2"/>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29F"/>
    <w:rsid w:val="00266611"/>
    <w:rsid w:val="002677C6"/>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5C1A"/>
    <w:rsid w:val="002D7418"/>
    <w:rsid w:val="002E1660"/>
    <w:rsid w:val="002E43F6"/>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6470"/>
    <w:rsid w:val="00311862"/>
    <w:rsid w:val="00316D60"/>
    <w:rsid w:val="003172BB"/>
    <w:rsid w:val="00322208"/>
    <w:rsid w:val="003245F8"/>
    <w:rsid w:val="00325D47"/>
    <w:rsid w:val="00325EF1"/>
    <w:rsid w:val="003276DE"/>
    <w:rsid w:val="00332A7C"/>
    <w:rsid w:val="00337CFC"/>
    <w:rsid w:val="003406B1"/>
    <w:rsid w:val="00343305"/>
    <w:rsid w:val="003443D3"/>
    <w:rsid w:val="003450CD"/>
    <w:rsid w:val="00345F35"/>
    <w:rsid w:val="00351734"/>
    <w:rsid w:val="00354FCF"/>
    <w:rsid w:val="00360830"/>
    <w:rsid w:val="00364896"/>
    <w:rsid w:val="00366A2C"/>
    <w:rsid w:val="00372CF8"/>
    <w:rsid w:val="00373AE9"/>
    <w:rsid w:val="00374506"/>
    <w:rsid w:val="0037495D"/>
    <w:rsid w:val="00375819"/>
    <w:rsid w:val="00375C89"/>
    <w:rsid w:val="00376DAF"/>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36D18"/>
    <w:rsid w:val="005372E0"/>
    <w:rsid w:val="005406CD"/>
    <w:rsid w:val="00542C65"/>
    <w:rsid w:val="00544037"/>
    <w:rsid w:val="0054537C"/>
    <w:rsid w:val="00547AD0"/>
    <w:rsid w:val="005509F0"/>
    <w:rsid w:val="00553778"/>
    <w:rsid w:val="00553AC5"/>
    <w:rsid w:val="00554646"/>
    <w:rsid w:val="005555A0"/>
    <w:rsid w:val="00556272"/>
    <w:rsid w:val="0056216F"/>
    <w:rsid w:val="005627E9"/>
    <w:rsid w:val="00572506"/>
    <w:rsid w:val="00573AC9"/>
    <w:rsid w:val="00581DBA"/>
    <w:rsid w:val="00581F60"/>
    <w:rsid w:val="005829C2"/>
    <w:rsid w:val="00582A46"/>
    <w:rsid w:val="0058322B"/>
    <w:rsid w:val="00583A5C"/>
    <w:rsid w:val="0058471F"/>
    <w:rsid w:val="0058487A"/>
    <w:rsid w:val="005863EF"/>
    <w:rsid w:val="00592CFD"/>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6C4F"/>
    <w:rsid w:val="005D000E"/>
    <w:rsid w:val="005D62E5"/>
    <w:rsid w:val="005D7216"/>
    <w:rsid w:val="005E12F7"/>
    <w:rsid w:val="005E548A"/>
    <w:rsid w:val="005E5BCC"/>
    <w:rsid w:val="005E5CCE"/>
    <w:rsid w:val="005E6CCC"/>
    <w:rsid w:val="005F19BB"/>
    <w:rsid w:val="005F3B5B"/>
    <w:rsid w:val="006022C0"/>
    <w:rsid w:val="00602E4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46D76"/>
    <w:rsid w:val="007552A7"/>
    <w:rsid w:val="00757FC1"/>
    <w:rsid w:val="00760265"/>
    <w:rsid w:val="00763522"/>
    <w:rsid w:val="00770D89"/>
    <w:rsid w:val="00771FBD"/>
    <w:rsid w:val="00772751"/>
    <w:rsid w:val="00772BFA"/>
    <w:rsid w:val="007732E5"/>
    <w:rsid w:val="00773A1F"/>
    <w:rsid w:val="007750D4"/>
    <w:rsid w:val="00775725"/>
    <w:rsid w:val="00781A2A"/>
    <w:rsid w:val="007821ED"/>
    <w:rsid w:val="0079003B"/>
    <w:rsid w:val="00797959"/>
    <w:rsid w:val="007A0298"/>
    <w:rsid w:val="007A0EED"/>
    <w:rsid w:val="007A1F61"/>
    <w:rsid w:val="007A2D00"/>
    <w:rsid w:val="007A3433"/>
    <w:rsid w:val="007A5B38"/>
    <w:rsid w:val="007A7AC5"/>
    <w:rsid w:val="007B0FC2"/>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3DA2"/>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22A"/>
    <w:rsid w:val="00843C41"/>
    <w:rsid w:val="0084500E"/>
    <w:rsid w:val="008455FB"/>
    <w:rsid w:val="0084584F"/>
    <w:rsid w:val="00850BC8"/>
    <w:rsid w:val="00850E33"/>
    <w:rsid w:val="00856715"/>
    <w:rsid w:val="00856DC0"/>
    <w:rsid w:val="00861CE7"/>
    <w:rsid w:val="00864D01"/>
    <w:rsid w:val="00865BFC"/>
    <w:rsid w:val="0087394A"/>
    <w:rsid w:val="00874D32"/>
    <w:rsid w:val="00881B84"/>
    <w:rsid w:val="008876A3"/>
    <w:rsid w:val="00887DFB"/>
    <w:rsid w:val="0089283A"/>
    <w:rsid w:val="00892ADC"/>
    <w:rsid w:val="00893813"/>
    <w:rsid w:val="00893886"/>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D68A5"/>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33F00"/>
    <w:rsid w:val="00935401"/>
    <w:rsid w:val="0094003A"/>
    <w:rsid w:val="0094004A"/>
    <w:rsid w:val="00946173"/>
    <w:rsid w:val="00946A82"/>
    <w:rsid w:val="00951071"/>
    <w:rsid w:val="0095333C"/>
    <w:rsid w:val="00955186"/>
    <w:rsid w:val="00956EE8"/>
    <w:rsid w:val="009643C2"/>
    <w:rsid w:val="00966B6A"/>
    <w:rsid w:val="0097057C"/>
    <w:rsid w:val="009715C5"/>
    <w:rsid w:val="00971AF2"/>
    <w:rsid w:val="009723B8"/>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0732"/>
    <w:rsid w:val="009F1DBD"/>
    <w:rsid w:val="009F22FE"/>
    <w:rsid w:val="009F750B"/>
    <w:rsid w:val="00A00435"/>
    <w:rsid w:val="00A03071"/>
    <w:rsid w:val="00A03602"/>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23B0"/>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1668"/>
    <w:rsid w:val="00B32FCD"/>
    <w:rsid w:val="00B34577"/>
    <w:rsid w:val="00B34E07"/>
    <w:rsid w:val="00B43464"/>
    <w:rsid w:val="00B45223"/>
    <w:rsid w:val="00B45C7D"/>
    <w:rsid w:val="00B461F3"/>
    <w:rsid w:val="00B50C36"/>
    <w:rsid w:val="00B51C5E"/>
    <w:rsid w:val="00B52083"/>
    <w:rsid w:val="00B52525"/>
    <w:rsid w:val="00B52B44"/>
    <w:rsid w:val="00B52D72"/>
    <w:rsid w:val="00B56BAC"/>
    <w:rsid w:val="00B56D99"/>
    <w:rsid w:val="00B571F4"/>
    <w:rsid w:val="00B64780"/>
    <w:rsid w:val="00B6494B"/>
    <w:rsid w:val="00B65E8E"/>
    <w:rsid w:val="00B67926"/>
    <w:rsid w:val="00B679FA"/>
    <w:rsid w:val="00B71667"/>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3E10"/>
    <w:rsid w:val="00C25539"/>
    <w:rsid w:val="00C25C2B"/>
    <w:rsid w:val="00C34D95"/>
    <w:rsid w:val="00C357EB"/>
    <w:rsid w:val="00C37015"/>
    <w:rsid w:val="00C40072"/>
    <w:rsid w:val="00C4213E"/>
    <w:rsid w:val="00C438D5"/>
    <w:rsid w:val="00C45741"/>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D0BAA"/>
    <w:rsid w:val="00CD2668"/>
    <w:rsid w:val="00CD2FAC"/>
    <w:rsid w:val="00CD495B"/>
    <w:rsid w:val="00CD6EAC"/>
    <w:rsid w:val="00CD79D5"/>
    <w:rsid w:val="00CD7C0B"/>
    <w:rsid w:val="00CD7C6C"/>
    <w:rsid w:val="00CE351D"/>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22AA"/>
    <w:rsid w:val="00D23DB6"/>
    <w:rsid w:val="00D242FC"/>
    <w:rsid w:val="00D26400"/>
    <w:rsid w:val="00D264F9"/>
    <w:rsid w:val="00D35E6A"/>
    <w:rsid w:val="00D361F7"/>
    <w:rsid w:val="00D37A4D"/>
    <w:rsid w:val="00D37BDA"/>
    <w:rsid w:val="00D409F8"/>
    <w:rsid w:val="00D41D8D"/>
    <w:rsid w:val="00D50FE0"/>
    <w:rsid w:val="00D51C08"/>
    <w:rsid w:val="00D51F3E"/>
    <w:rsid w:val="00D55D74"/>
    <w:rsid w:val="00D568D6"/>
    <w:rsid w:val="00D613B2"/>
    <w:rsid w:val="00D61D4F"/>
    <w:rsid w:val="00D62526"/>
    <w:rsid w:val="00D65B3B"/>
    <w:rsid w:val="00D6655A"/>
    <w:rsid w:val="00D73BEF"/>
    <w:rsid w:val="00D75DD7"/>
    <w:rsid w:val="00D80BB1"/>
    <w:rsid w:val="00D8461E"/>
    <w:rsid w:val="00D848AF"/>
    <w:rsid w:val="00D84D41"/>
    <w:rsid w:val="00D85867"/>
    <w:rsid w:val="00D90438"/>
    <w:rsid w:val="00D90F7C"/>
    <w:rsid w:val="00D93BBB"/>
    <w:rsid w:val="00D9483F"/>
    <w:rsid w:val="00D9612C"/>
    <w:rsid w:val="00DA0DFD"/>
    <w:rsid w:val="00DA26D1"/>
    <w:rsid w:val="00DB18FC"/>
    <w:rsid w:val="00DB2769"/>
    <w:rsid w:val="00DB3FFB"/>
    <w:rsid w:val="00DB4762"/>
    <w:rsid w:val="00DB630A"/>
    <w:rsid w:val="00DB6473"/>
    <w:rsid w:val="00DC4AE1"/>
    <w:rsid w:val="00DC6B38"/>
    <w:rsid w:val="00DC767D"/>
    <w:rsid w:val="00DC7A15"/>
    <w:rsid w:val="00DD0CDD"/>
    <w:rsid w:val="00DD26EA"/>
    <w:rsid w:val="00DD35BB"/>
    <w:rsid w:val="00DD7198"/>
    <w:rsid w:val="00DE3310"/>
    <w:rsid w:val="00DE3B48"/>
    <w:rsid w:val="00DF0FF1"/>
    <w:rsid w:val="00DF1557"/>
    <w:rsid w:val="00DF7197"/>
    <w:rsid w:val="00DF7223"/>
    <w:rsid w:val="00DF749E"/>
    <w:rsid w:val="00DF7988"/>
    <w:rsid w:val="00E0112E"/>
    <w:rsid w:val="00E02056"/>
    <w:rsid w:val="00E037D5"/>
    <w:rsid w:val="00E07EB9"/>
    <w:rsid w:val="00E10A87"/>
    <w:rsid w:val="00E114BC"/>
    <w:rsid w:val="00E11D50"/>
    <w:rsid w:val="00E12A45"/>
    <w:rsid w:val="00E13609"/>
    <w:rsid w:val="00E14B3C"/>
    <w:rsid w:val="00E16067"/>
    <w:rsid w:val="00E16681"/>
    <w:rsid w:val="00E17358"/>
    <w:rsid w:val="00E212E3"/>
    <w:rsid w:val="00E227F4"/>
    <w:rsid w:val="00E23903"/>
    <w:rsid w:val="00E2575E"/>
    <w:rsid w:val="00E27DAA"/>
    <w:rsid w:val="00E27FDC"/>
    <w:rsid w:val="00E30E7D"/>
    <w:rsid w:val="00E31BA9"/>
    <w:rsid w:val="00E40872"/>
    <w:rsid w:val="00E41594"/>
    <w:rsid w:val="00E46A08"/>
    <w:rsid w:val="00E55B23"/>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21D20"/>
    <w:rsid w:val="00F22674"/>
    <w:rsid w:val="00F22B78"/>
    <w:rsid w:val="00F244F9"/>
    <w:rsid w:val="00F25220"/>
    <w:rsid w:val="00F25320"/>
    <w:rsid w:val="00F26FA6"/>
    <w:rsid w:val="00F306D7"/>
    <w:rsid w:val="00F308B7"/>
    <w:rsid w:val="00F31736"/>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059C"/>
    <w:rsid w:val="00FD1428"/>
    <w:rsid w:val="00FD20C5"/>
    <w:rsid w:val="00FD2761"/>
    <w:rsid w:val="00FD37B5"/>
    <w:rsid w:val="00FD4568"/>
    <w:rsid w:val="00FD5B5E"/>
    <w:rsid w:val="00FD5D95"/>
    <w:rsid w:val="00FD613E"/>
    <w:rsid w:val="00FD6F4D"/>
    <w:rsid w:val="00FE05A0"/>
    <w:rsid w:val="00FE3FCF"/>
    <w:rsid w:val="00FF2E19"/>
    <w:rsid w:val="00FF756F"/>
    <w:rsid w:val="050B0AD9"/>
    <w:rsid w:val="17340801"/>
    <w:rsid w:val="18ED28B3"/>
    <w:rsid w:val="1A0561FD"/>
    <w:rsid w:val="1A415DD9"/>
    <w:rsid w:val="1A81003C"/>
    <w:rsid w:val="1B0F0923"/>
    <w:rsid w:val="1F670CDD"/>
    <w:rsid w:val="238E0693"/>
    <w:rsid w:val="2451679D"/>
    <w:rsid w:val="25F9277E"/>
    <w:rsid w:val="2708024A"/>
    <w:rsid w:val="28E374EB"/>
    <w:rsid w:val="2917768B"/>
    <w:rsid w:val="2CFA1945"/>
    <w:rsid w:val="2FF755E5"/>
    <w:rsid w:val="36E042EE"/>
    <w:rsid w:val="38477972"/>
    <w:rsid w:val="3A304090"/>
    <w:rsid w:val="3E823E0B"/>
    <w:rsid w:val="3F1A1920"/>
    <w:rsid w:val="41044638"/>
    <w:rsid w:val="4129396E"/>
    <w:rsid w:val="42B63889"/>
    <w:rsid w:val="46364CA7"/>
    <w:rsid w:val="46F3242F"/>
    <w:rsid w:val="4B73730E"/>
    <w:rsid w:val="4DD43225"/>
    <w:rsid w:val="4FF32022"/>
    <w:rsid w:val="52FE4F46"/>
    <w:rsid w:val="56C6283C"/>
    <w:rsid w:val="5A8303EF"/>
    <w:rsid w:val="5B1C6DEC"/>
    <w:rsid w:val="5B5900C0"/>
    <w:rsid w:val="60A34C05"/>
    <w:rsid w:val="652C2B1D"/>
    <w:rsid w:val="669707F9"/>
    <w:rsid w:val="6D0203CD"/>
    <w:rsid w:val="701D28B0"/>
    <w:rsid w:val="70A670F1"/>
    <w:rsid w:val="710B6BAC"/>
    <w:rsid w:val="77B27308"/>
    <w:rsid w:val="79596A0D"/>
    <w:rsid w:val="79D9159C"/>
    <w:rsid w:val="7A02406E"/>
    <w:rsid w:val="7A775AB9"/>
    <w:rsid w:val="7AC45085"/>
    <w:rsid w:val="7B711B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8"/>
    <w:unhideWhenUsed/>
    <w:qFormat/>
    <w:uiPriority w:val="99"/>
    <w:pPr>
      <w:tabs>
        <w:tab w:val="center" w:pos="4153"/>
        <w:tab w:val="right" w:pos="8306"/>
      </w:tabs>
      <w:snapToGrid w:val="0"/>
      <w:jc w:val="left"/>
    </w:pPr>
    <w:rPr>
      <w:sz w:val="18"/>
      <w:szCs w:val="18"/>
    </w:rPr>
  </w:style>
  <w:style w:type="paragraph" w:styleId="3">
    <w:name w:val="Normal Indent"/>
    <w:basedOn w:val="1"/>
    <w:qFormat/>
    <w:uiPriority w:val="0"/>
    <w:pPr>
      <w:ind w:firstLine="420"/>
    </w:pPr>
    <w:rPr>
      <w:szCs w:val="20"/>
    </w:rPr>
  </w:style>
  <w:style w:type="paragraph" w:styleId="4">
    <w:name w:val="annotation text"/>
    <w:basedOn w:val="1"/>
    <w:link w:val="39"/>
    <w:semiHidden/>
    <w:unhideWhenUsed/>
    <w:qFormat/>
    <w:uiPriority w:val="99"/>
    <w:pPr>
      <w:jc w:val="left"/>
    </w:pPr>
  </w:style>
  <w:style w:type="paragraph" w:styleId="5">
    <w:name w:val="Body Text"/>
    <w:basedOn w:val="1"/>
    <w:next w:val="1"/>
    <w:qFormat/>
    <w:uiPriority w:val="0"/>
    <w:rPr>
      <w:sz w:val="24"/>
    </w:rPr>
  </w:style>
  <w:style w:type="paragraph" w:styleId="6">
    <w:name w:val="Balloon Text"/>
    <w:basedOn w:val="1"/>
    <w:link w:val="41"/>
    <w:semiHidden/>
    <w:unhideWhenUsed/>
    <w:qFormat/>
    <w:uiPriority w:val="99"/>
    <w:rPr>
      <w:sz w:val="18"/>
      <w:szCs w:val="18"/>
    </w:rPr>
  </w:style>
  <w:style w:type="paragraph" w:styleId="7">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40"/>
    <w:semiHidden/>
    <w:unhideWhenUsed/>
    <w:qFormat/>
    <w:uiPriority w:val="99"/>
    <w:rPr>
      <w:b/>
      <w:bCs/>
    </w:rPr>
  </w:style>
  <w:style w:type="character" w:styleId="12">
    <w:name w:val="FollowedHyperlink"/>
    <w:basedOn w:val="11"/>
    <w:semiHidden/>
    <w:unhideWhenUsed/>
    <w:qFormat/>
    <w:uiPriority w:val="99"/>
    <w:rPr>
      <w:color w:val="333333"/>
      <w:u w:val="none"/>
    </w:rPr>
  </w:style>
  <w:style w:type="character" w:styleId="13">
    <w:name w:val="Hyperlink"/>
    <w:basedOn w:val="11"/>
    <w:semiHidden/>
    <w:unhideWhenUsed/>
    <w:qFormat/>
    <w:uiPriority w:val="99"/>
    <w:rPr>
      <w:color w:val="333333"/>
      <w:u w:val="none"/>
    </w:rPr>
  </w:style>
  <w:style w:type="character" w:styleId="14">
    <w:name w:val="annotation reference"/>
    <w:basedOn w:val="11"/>
    <w:semiHidden/>
    <w:unhideWhenUsed/>
    <w:qFormat/>
    <w:uiPriority w:val="99"/>
    <w:rPr>
      <w:sz w:val="21"/>
      <w:szCs w:val="21"/>
    </w:rPr>
  </w:style>
  <w:style w:type="paragraph" w:customStyle="1" w:styleId="15">
    <w:name w:val="※封面大标题"/>
    <w:basedOn w:val="1"/>
    <w:next w:val="1"/>
    <w:qFormat/>
    <w:uiPriority w:val="0"/>
    <w:pPr>
      <w:widowControl/>
      <w:jc w:val="center"/>
    </w:pPr>
    <w:rPr>
      <w:rFonts w:ascii="华文中宋" w:hAnsi="华文中宋" w:eastAsia="华文中宋"/>
      <w:sz w:val="96"/>
      <w:szCs w:val="96"/>
    </w:rPr>
  </w:style>
  <w:style w:type="paragraph" w:customStyle="1" w:styleId="16">
    <w:name w:val="※封面题颌"/>
    <w:basedOn w:val="1"/>
    <w:next w:val="1"/>
    <w:qFormat/>
    <w:uiPriority w:val="0"/>
    <w:pPr>
      <w:widowControl/>
      <w:jc w:val="center"/>
    </w:pPr>
    <w:rPr>
      <w:rFonts w:ascii="Calibri Light" w:hAnsi="Calibri Light" w:eastAsia="华文仿宋"/>
      <w:sz w:val="36"/>
      <w:szCs w:val="36"/>
    </w:rPr>
  </w:style>
  <w:style w:type="paragraph" w:customStyle="1" w:styleId="17">
    <w:name w:val="※封面题眉"/>
    <w:basedOn w:val="1"/>
    <w:next w:val="15"/>
    <w:qFormat/>
    <w:uiPriority w:val="0"/>
    <w:pPr>
      <w:widowControl/>
      <w:jc w:val="center"/>
    </w:pPr>
    <w:rPr>
      <w:rFonts w:ascii="华文仿宋" w:hAnsi="华文仿宋" w:eastAsia="华文仿宋"/>
      <w:sz w:val="52"/>
      <w:szCs w:val="28"/>
    </w:rPr>
  </w:style>
  <w:style w:type="paragraph" w:customStyle="1" w:styleId="18">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9">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20">
    <w:name w:val="※目录（主）"/>
    <w:basedOn w:val="1"/>
    <w:qFormat/>
    <w:uiPriority w:val="0"/>
    <w:pPr>
      <w:widowControl/>
      <w:tabs>
        <w:tab w:val="right" w:leader="hyphen" w:pos="8400"/>
      </w:tabs>
      <w:spacing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21">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22">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23">
    <w:name w:val="※小标题 一"/>
    <w:basedOn w:val="22"/>
    <w:next w:val="22"/>
    <w:qFormat/>
    <w:uiPriority w:val="0"/>
    <w:pPr>
      <w:spacing w:before="120" w:line="240" w:lineRule="auto"/>
      <w:outlineLvl w:val="2"/>
    </w:pPr>
    <w:rPr>
      <w:b/>
      <w:color w:val="203864" w:themeColor="accent5" w:themeShade="80"/>
      <w:sz w:val="32"/>
    </w:rPr>
  </w:style>
  <w:style w:type="paragraph" w:customStyle="1" w:styleId="24">
    <w:name w:val="※小标题（1）"/>
    <w:basedOn w:val="1"/>
    <w:next w:val="22"/>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5">
    <w:name w:val="※小标题（一）"/>
    <w:basedOn w:val="1"/>
    <w:next w:val="22"/>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6">
    <w:name w:val="※页脚（横屏）"/>
    <w:basedOn w:val="1"/>
    <w:qFormat/>
    <w:uiPriority w:val="0"/>
    <w:pPr>
      <w:widowControl/>
      <w:tabs>
        <w:tab w:val="center" w:pos="7000"/>
      </w:tabs>
      <w:wordWrap w:val="0"/>
      <w:spacing w:line="240" w:lineRule="atLeast"/>
      <w:jc w:val="left"/>
    </w:pPr>
    <w:rPr>
      <w:rFonts w:ascii="宋体" w:hAnsi="宋体"/>
      <w:sz w:val="18"/>
      <w:szCs w:val="18"/>
    </w:rPr>
  </w:style>
  <w:style w:type="paragraph" w:customStyle="1" w:styleId="27">
    <w:name w:val="※页脚（竖屏）"/>
    <w:basedOn w:val="1"/>
    <w:qFormat/>
    <w:uiPriority w:val="0"/>
    <w:pPr>
      <w:widowControl/>
      <w:tabs>
        <w:tab w:val="center" w:pos="4536"/>
      </w:tabs>
      <w:wordWrap w:val="0"/>
      <w:spacing w:line="240" w:lineRule="atLeast"/>
      <w:jc w:val="left"/>
    </w:pPr>
    <w:rPr>
      <w:rFonts w:ascii="宋体" w:hAnsi="宋体"/>
      <w:sz w:val="18"/>
      <w:szCs w:val="18"/>
    </w:rPr>
  </w:style>
  <w:style w:type="paragraph" w:customStyle="1" w:styleId="28">
    <w:name w:val="※页眉"/>
    <w:basedOn w:val="22"/>
    <w:qFormat/>
    <w:uiPriority w:val="0"/>
    <w:pPr>
      <w:pBdr>
        <w:bottom w:val="single" w:color="auto" w:sz="4" w:space="1"/>
      </w:pBdr>
      <w:spacing w:line="240" w:lineRule="atLeast"/>
      <w:jc w:val="right"/>
    </w:pPr>
    <w:rPr>
      <w:rFonts w:ascii="宋体" w:hAnsi="宋体" w:eastAsia="宋体"/>
      <w:sz w:val="18"/>
    </w:rPr>
  </w:style>
  <w:style w:type="paragraph" w:customStyle="1" w:styleId="29">
    <w:name w:val="※章节标题（第X章）"/>
    <w:basedOn w:val="1"/>
    <w:qFormat/>
    <w:uiPriority w:val="0"/>
    <w:pPr>
      <w:widowControl/>
      <w:jc w:val="center"/>
      <w:outlineLvl w:val="0"/>
    </w:pPr>
    <w:rPr>
      <w:rFonts w:ascii="Calibri Light" w:hAnsi="Calibri Light" w:eastAsia="黑体"/>
      <w:sz w:val="36"/>
      <w:szCs w:val="28"/>
    </w:rPr>
  </w:style>
  <w:style w:type="paragraph" w:customStyle="1" w:styleId="30">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31">
    <w:name w:val="※章节标题（第Z部分分项）"/>
    <w:basedOn w:val="30"/>
    <w:qFormat/>
    <w:uiPriority w:val="0"/>
    <w:pPr>
      <w:outlineLvl w:val="2"/>
    </w:pPr>
  </w:style>
  <w:style w:type="paragraph" w:customStyle="1" w:styleId="32">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33">
    <w:name w:val="※正文（缩进2）"/>
    <w:basedOn w:val="22"/>
    <w:qFormat/>
    <w:uiPriority w:val="0"/>
    <w:pPr>
      <w:ind w:firstLine="200" w:firstLineChars="200"/>
    </w:pPr>
  </w:style>
  <w:style w:type="paragraph" w:customStyle="1" w:styleId="34">
    <w:name w:val="※正文（缩进4）"/>
    <w:basedOn w:val="22"/>
    <w:qFormat/>
    <w:uiPriority w:val="0"/>
    <w:pPr>
      <w:ind w:firstLine="400" w:firstLineChars="400"/>
    </w:pPr>
  </w:style>
  <w:style w:type="paragraph" w:customStyle="1" w:styleId="35">
    <w:name w:val="样式"/>
    <w:link w:val="36"/>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6">
    <w:name w:val="样式 Char Char"/>
    <w:link w:val="35"/>
    <w:qFormat/>
    <w:locked/>
    <w:uiPriority w:val="0"/>
    <w:rPr>
      <w:rFonts w:ascii="宋体" w:hAnsi="宋体" w:eastAsia="宋体" w:cs="宋体"/>
      <w:kern w:val="0"/>
      <w:sz w:val="24"/>
      <w:szCs w:val="24"/>
    </w:rPr>
  </w:style>
  <w:style w:type="character" w:customStyle="1" w:styleId="37">
    <w:name w:val="页眉 Char"/>
    <w:basedOn w:val="11"/>
    <w:link w:val="7"/>
    <w:qFormat/>
    <w:uiPriority w:val="99"/>
    <w:rPr>
      <w:rFonts w:ascii="Calibri" w:hAnsi="Calibri" w:eastAsia="宋体" w:cs="Times New Roman"/>
      <w:sz w:val="18"/>
      <w:szCs w:val="18"/>
    </w:rPr>
  </w:style>
  <w:style w:type="character" w:customStyle="1" w:styleId="38">
    <w:name w:val="页脚 Char"/>
    <w:basedOn w:val="11"/>
    <w:link w:val="2"/>
    <w:qFormat/>
    <w:uiPriority w:val="99"/>
    <w:rPr>
      <w:rFonts w:ascii="Calibri" w:hAnsi="Calibri" w:eastAsia="宋体" w:cs="Times New Roman"/>
      <w:sz w:val="18"/>
      <w:szCs w:val="18"/>
    </w:rPr>
  </w:style>
  <w:style w:type="character" w:customStyle="1" w:styleId="39">
    <w:name w:val="批注文字 Char"/>
    <w:basedOn w:val="11"/>
    <w:link w:val="4"/>
    <w:semiHidden/>
    <w:qFormat/>
    <w:uiPriority w:val="99"/>
    <w:rPr>
      <w:rFonts w:ascii="Calibri" w:hAnsi="Calibri" w:eastAsia="宋体" w:cs="Times New Roman"/>
    </w:rPr>
  </w:style>
  <w:style w:type="character" w:customStyle="1" w:styleId="40">
    <w:name w:val="批注主题 Char"/>
    <w:basedOn w:val="39"/>
    <w:link w:val="9"/>
    <w:semiHidden/>
    <w:qFormat/>
    <w:uiPriority w:val="99"/>
    <w:rPr>
      <w:rFonts w:ascii="Calibri" w:hAnsi="Calibri" w:eastAsia="宋体" w:cs="Times New Roman"/>
      <w:b/>
      <w:bCs/>
    </w:rPr>
  </w:style>
  <w:style w:type="character" w:customStyle="1" w:styleId="41">
    <w:name w:val="批注框文本 Char"/>
    <w:basedOn w:val="11"/>
    <w:link w:val="6"/>
    <w:semiHidden/>
    <w:qFormat/>
    <w:uiPriority w:val="99"/>
    <w:rPr>
      <w:rFonts w:ascii="Calibri" w:hAnsi="Calibri" w:eastAsia="宋体" w:cs="Times New Roman"/>
      <w:sz w:val="18"/>
      <w:szCs w:val="18"/>
    </w:rPr>
  </w:style>
  <w:style w:type="paragraph" w:styleId="42">
    <w:name w:val="List Paragraph"/>
    <w:basedOn w:val="1"/>
    <w:qFormat/>
    <w:uiPriority w:val="34"/>
    <w:pPr>
      <w:ind w:firstLine="420" w:firstLineChars="200"/>
    </w:pPr>
    <w:rPr>
      <w:rFonts w:asciiTheme="minorHAnsi" w:hAnsiTheme="minorHAnsi" w:eastAsiaTheme="minorEastAsia" w:cstheme="minorBidi"/>
    </w:rPr>
  </w:style>
  <w:style w:type="paragraph" w:customStyle="1" w:styleId="4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4">
    <w:name w:val="font41"/>
    <w:qFormat/>
    <w:uiPriority w:val="0"/>
    <w:rPr>
      <w:rFonts w:hint="default" w:ascii="仿宋_GB2312" w:eastAsia="仿宋_GB2312" w:cs="仿宋_GB2312"/>
      <w:color w:val="000000"/>
      <w:sz w:val="21"/>
      <w:szCs w:val="21"/>
      <w:u w:val="none"/>
    </w:rPr>
  </w:style>
  <w:style w:type="character" w:customStyle="1" w:styleId="45">
    <w:name w:val="font31"/>
    <w:qFormat/>
    <w:uiPriority w:val="0"/>
    <w:rPr>
      <w:rFonts w:ascii="宋体" w:hAnsi="宋体" w:eastAsia="宋体" w:cs="宋体"/>
      <w:color w:val="000000"/>
      <w:sz w:val="21"/>
      <w:szCs w:val="21"/>
      <w:u w:val="none"/>
    </w:rPr>
  </w:style>
  <w:style w:type="paragraph" w:customStyle="1" w:styleId="46">
    <w:name w:val="样式 首行缩进:  2 字符"/>
    <w:basedOn w:val="1"/>
    <w:qFormat/>
    <w:uiPriority w:val="0"/>
    <w:pPr>
      <w:ind w:firstLine="420" w:firstLineChars="200"/>
    </w:pPr>
    <w:rPr>
      <w:rFonts w:cs="宋体"/>
      <w:szCs w:val="20"/>
    </w:rPr>
  </w:style>
  <w:style w:type="paragraph" w:customStyle="1" w:styleId="47">
    <w:name w:val="cucd-TB"/>
    <w:qFormat/>
    <w:uiPriority w:val="0"/>
    <w:pPr>
      <w:spacing w:line="360" w:lineRule="auto"/>
      <w:jc w:val="center"/>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4866</Words>
  <Characters>5402</Characters>
  <Lines>20</Lines>
  <Paragraphs>5</Paragraphs>
  <TotalTime>3</TotalTime>
  <ScaleCrop>false</ScaleCrop>
  <LinksUpToDate>false</LinksUpToDate>
  <CharactersWithSpaces>5438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2021-03-19T04:47:00Z</dcterms:created>
  <cp:lastPrinted>2021-03-24T02:37:00Z</cp:lastPrinted>
  <dcterms:modified xsi:type="dcterms:W3CDTF">2023-04-11T09:13:02Z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58A1FA02D4D34431A78F5D1D4371E258</vt:lpwstr>
  </property>
</Properties>
</file>