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周至县骆峪镇人民政府骆峪镇骆峪村金田园观光农业项目竞争性磋商公告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 w:lineRule="atLeas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骆峪镇骆峪村金田园观光农业项目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陕西省咸阳市秦都区康定路中铁.港沣国际1705室</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2023年05月22日 09时30分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750" w:lineRule="atLeas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项目编号：YC23312010CGB-ZFCG</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项目名称：骆峪镇骆峪村金田园观光农业项目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预算金额：1,741,200.00元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合同包1(骆峪镇骆峪村金田园观光农业项目):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合同包预算金额：1,741,200.00元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合同包最高限价：1,741,200.00元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11"/>
        <w:gridCol w:w="1086"/>
        <w:gridCol w:w="1563"/>
        <w:gridCol w:w="981"/>
        <w:gridCol w:w="1300"/>
        <w:gridCol w:w="1502"/>
        <w:gridCol w:w="150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tLeas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tLeas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tLeas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tLeas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tLeas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tLeas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tLeas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tLeas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tLeas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其他构筑物工程施工</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tLeas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骆峪镇骆峪村金田园观光农业项目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tLeas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tLeas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right="0"/>
              <w:jc w:val="right"/>
              <w:textAlignment w:val="auto"/>
              <w:rPr>
                <w:sz w:val="21"/>
                <w:szCs w:val="21"/>
              </w:rPr>
            </w:pPr>
            <w:r>
              <w:rPr>
                <w:rFonts w:ascii="宋体" w:hAnsi="宋体" w:eastAsia="宋体" w:cs="宋体"/>
                <w:kern w:val="0"/>
                <w:sz w:val="21"/>
                <w:szCs w:val="21"/>
                <w:bdr w:val="none" w:color="auto" w:sz="0" w:space="0"/>
                <w:lang w:val="en-US" w:eastAsia="zh-CN" w:bidi="ar"/>
              </w:rPr>
              <w:t>1,741,200.00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right="0"/>
              <w:jc w:val="right"/>
              <w:textAlignment w:val="auto"/>
              <w:rPr>
                <w:sz w:val="21"/>
                <w:szCs w:val="21"/>
              </w:rPr>
            </w:pPr>
            <w:r>
              <w:rPr>
                <w:rFonts w:ascii="宋体" w:hAnsi="宋体" w:eastAsia="宋体" w:cs="宋体"/>
                <w:kern w:val="0"/>
                <w:sz w:val="21"/>
                <w:szCs w:val="21"/>
                <w:bdr w:val="none" w:color="auto" w:sz="0" w:space="0"/>
                <w:lang w:val="en-US" w:eastAsia="zh-CN" w:bidi="ar"/>
              </w:rPr>
              <w:t>1,741,200.00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合同履行期限：自合同签订之日起150日历天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750" w:lineRule="atLeas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合同包1(骆峪镇骆峪村金田园观光农业项目)落实政府采购政策需满足的资格要求如下: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2）《财政部司法部关于政府采购支持监狱企业发展有关问题的通知》（财库〔2014〕68号）；（3）《国务院办公厅关于建立政府强制采购节能产品制度的通知》（国办发〔2007〕51号）；（4）《财政部关于促进政府采购公平竞争优化营商环境的通知》财库〔2019〕38号；（5）《节能产品政府采购实施意见》（财库〔2004〕185号）；（6）《关于落实降低企业杠杆率税收支持政策的通知》财税〔2016〕125号；（7）《环境标志产品政府采购实施的意见》（财库〔2006〕90号）；（8）《关于促进残疾人就业政府采购政策的通知》财库〔2017〕141号；（9）《财政部 发展改革委 生态环境部 市场监管总局关于调整优化节能产品、环境标志产品政府采购执行机制的通知》（财库〔2019〕9号）；（10）《财政部 国务院扶贫办关于运用政府采购政策支持脱贫攻坚的通知》（财库〔2019〕27号）；（11）《陕西省中小企业政府采购信用融资办法》（陕财办采〔2018〕23号）；（12）《财政部关于进一步加大政府采购支持中小企业力度的通知》（财库〔2022〕19号）。（13）本项目为专门面向中小企业采购，供应商应为中型企业或小型、微型企业或监狱企业或残疾人福利性单位。供应商为中型、小型、微型企业的，提供《中小企业声明函》；供应商为监狱企业的，应提供监狱企业的证明文件；供应商为残疾人福利性单位的，应提供《残疾人福利性单位声明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合同包1(骆峪镇骆峪村金田园观光农业项目)特定资格要求如下: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为具有独立承担民事责任能力的法人、其他组织或自然人。企业法人应提供合法有效的标识有统一社会信用代码的营业执照；事业法人应提供事业单位法人证书；其他组织应提供合法登记证明文件；自然人应提供身份证；2)法定代表人或负责人授权书（附法定代表人或负责人身份证复印件）及被授权人身份证；（法定代表人或负责人直接参加磋商只须提供法定代表人或负责人身份证）；3)财务状况报告：供应商需提供2021年度或2022年度的财务报告（至少包括财务报告、资产负债表、利润表（或损益表）、现金流量表及财务报表附注，成立时间至递交响应文件截止时间不足一年的可提供成立后任意时段的资产负债表），或其开标前三个月内基本存款账户开户银行出具的资信证明及基本存款账户开户信息，其他组织和自然人提供银行出具的资信证明或财务报表；4）社会保障资金缴纳证明：依法缴纳社会保障资金的良好记录（提供截止至开标时间前12个月内任意一个月的缴费凭据或社保机构开具的社会保险参保缴费情况证明，依法不需要缴纳社会保障资金的单位应提供相关证明材料）；5）税收缴纳证明：依法缴纳税收的良好记录（提供截止至开标时间前12个月内任意一个月的纳税证明或完税证明,依法免税的单位应提供相关证明材料）；6）供应商参加政府采购活动前3年内在经营活动中没有重大违法记录的书面声明。7）具备履行合同所必需的设备和专业技术能力的证明材料(由投标人根据项目需求提供说明材料或者承诺)；8）供应商具备有效的建设行政主管部门颁发的市政公用工程施工总承包三级以上（含三级）资质，及有效的安全生产许可证；9）供应商拟派项目经理具备有效的市政公用工程专业二级以上（含二级）建造师注册证，及行政主管部门颁发的安全生产考核合格证（B证），且在本单位注册，无在建工程。10）投标人不得为“信用中国”网站中列入失信被执行人（核查平台“中国执行信息公开网”网站（http://zxgk.court.gov.cn/shixin/））、重大税收违法案件当事人和政府采购不良行为记录名单的供应商，不得为中国政府采购网（www.ccgp.gov.cn）政府采购严重违法失信行为记录名单中被财政部门禁止参加政府采购活动的供应商；11）投标人基本信息及项目经理（建造师）的基本信息在“陕西建设网 （http://www.shaanxijs.gov.cn/）陕西省建筑市场监管与诚信信息发布平台”可查询；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750" w:lineRule="atLeas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2023年05月12日 至 2023年05月18日 ，每天上午 08:30:00 至 12:00:00 ，下午 14:30:00 至 17:30:00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陕西省咸阳市秦都区康定路中铁.港沣国际1705室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750" w:lineRule="atLeas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2023年05月22日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陕西省咸阳市秦都区康定路中铁.港沣国际1705室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750" w:lineRule="atLeas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五、开启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2023年05月22日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陕西省咸阳市秦都区康定路中铁.港沣国际1705室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750" w:lineRule="atLeas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六、公告期限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750" w:lineRule="atLeas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注：1、领取磋商文件时须携带单位介绍信原件、经办人身份证原件及盖章复印件（法定节假日除外）。2、请供应商按照陕西省财政厅关于政府采购供应商注册登记有关事项的通知中的要求，通过陕西省政府采购网（http://www.ccgp-shaanxi.gov.cn/）注册登记加入陕西省政府采购供应商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750" w:lineRule="atLeas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 w:lineRule="atLeast"/>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周至县骆峪镇人民政府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西安市周至县骆峪镇骆峪村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17391972111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 w:lineRule="atLeast"/>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亿诚建设项目管理有限公司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陕西省西安市雁塔区吉祥路135号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19916300364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 w:lineRule="atLeast"/>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庞英英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19916300364</w:t>
      </w:r>
    </w:p>
    <w:p>
      <w:r>
        <w:br w:type="page"/>
      </w:r>
    </w:p>
    <w:p>
      <w:pPr>
        <w:rPr>
          <w:rFonts w:hint="eastAsia"/>
          <w:lang w:eastAsia="zh-CN"/>
        </w:rPr>
      </w:pPr>
      <w:r>
        <w:rPr>
          <w:rFonts w:hint="eastAsia"/>
          <w:lang w:eastAsia="zh-CN"/>
        </w:rPr>
        <w:t>采购需求</w:t>
      </w:r>
    </w:p>
    <w:p>
      <w:pPr>
        <w:rPr>
          <w:rFonts w:hint="eastAsia"/>
          <w:lang w:eastAsia="zh-CN"/>
        </w:rPr>
      </w:pPr>
      <w:r>
        <w:rPr>
          <w:rFonts w:hint="eastAsia"/>
          <w:lang w:eastAsia="zh-CN"/>
        </w:rPr>
        <w:t>1、55亩水稻观光园;</w:t>
      </w:r>
    </w:p>
    <w:p>
      <w:pPr>
        <w:rPr>
          <w:rFonts w:hint="eastAsia"/>
          <w:lang w:eastAsia="zh-CN"/>
        </w:rPr>
      </w:pPr>
      <w:r>
        <w:rPr>
          <w:rFonts w:hint="eastAsia"/>
          <w:lang w:eastAsia="zh-CN"/>
        </w:rPr>
        <w:t>2、6亩油桃和李子自采园;</w:t>
      </w:r>
    </w:p>
    <w:p>
      <w:pPr>
        <w:rPr>
          <w:rFonts w:hint="eastAsia"/>
          <w:lang w:eastAsia="zh-CN"/>
        </w:rPr>
      </w:pPr>
      <w:r>
        <w:rPr>
          <w:rFonts w:hint="eastAsia"/>
          <w:lang w:eastAsia="zh-CN"/>
        </w:rPr>
        <w:t>3、购置水稻收割机一台(50KW);</w:t>
      </w:r>
    </w:p>
    <w:p>
      <w:pPr>
        <w:rPr>
          <w:rFonts w:hint="eastAsia"/>
          <w:lang w:eastAsia="zh-CN"/>
        </w:rPr>
      </w:pPr>
      <w:r>
        <w:rPr>
          <w:rFonts w:hint="eastAsia"/>
          <w:lang w:eastAsia="zh-CN"/>
        </w:rPr>
        <w:t>4、购置自走式六行插秧机一台(3.0kW)，手摇插秧机一台(2行);</w:t>
      </w:r>
    </w:p>
    <w:p>
      <w:pPr>
        <w:rPr>
          <w:rFonts w:hint="eastAsia"/>
          <w:lang w:eastAsia="zh-CN"/>
        </w:rPr>
      </w:pPr>
      <w:r>
        <w:rPr>
          <w:rFonts w:hint="eastAsia"/>
          <w:lang w:eastAsia="zh-CN"/>
        </w:rPr>
        <w:t>5、农药喷洒机一辆(HY-190);</w:t>
      </w:r>
    </w:p>
    <w:p>
      <w:pPr>
        <w:rPr>
          <w:rFonts w:hint="eastAsia"/>
          <w:lang w:eastAsia="zh-CN"/>
        </w:rPr>
      </w:pPr>
      <w:r>
        <w:rPr>
          <w:rFonts w:hint="eastAsia"/>
          <w:lang w:eastAsia="zh-CN"/>
        </w:rPr>
        <w:t>6、水源引水管道1000米;</w:t>
      </w:r>
    </w:p>
    <w:p>
      <w:pPr>
        <w:rPr>
          <w:rFonts w:hint="eastAsia"/>
          <w:lang w:eastAsia="zh-CN"/>
        </w:rPr>
      </w:pPr>
      <w:r>
        <w:rPr>
          <w:rFonts w:hint="eastAsia"/>
          <w:lang w:eastAsia="zh-CN"/>
        </w:rPr>
        <w:t>7、观赏平</w:t>
      </w:r>
      <w:bookmarkStart w:id="0" w:name="_GoBack"/>
      <w:bookmarkEnd w:id="0"/>
      <w:r>
        <w:rPr>
          <w:rFonts w:hint="eastAsia"/>
          <w:lang w:eastAsia="zh-CN"/>
        </w:rPr>
        <w:t>台 135 平方米;</w:t>
      </w:r>
    </w:p>
    <w:p>
      <w:pPr>
        <w:rPr>
          <w:rFonts w:hint="eastAsia"/>
          <w:lang w:eastAsia="zh-CN"/>
        </w:rPr>
      </w:pPr>
      <w:r>
        <w:rPr>
          <w:rFonts w:hint="eastAsia"/>
          <w:lang w:eastAsia="zh-CN"/>
        </w:rPr>
        <w:t>8、售货木屋23 平方米;</w:t>
      </w:r>
    </w:p>
    <w:p>
      <w:pPr>
        <w:rPr>
          <w:rFonts w:hint="eastAsia"/>
          <w:lang w:eastAsia="zh-CN"/>
        </w:rPr>
      </w:pPr>
      <w:r>
        <w:rPr>
          <w:rFonts w:hint="eastAsia"/>
          <w:lang w:eastAsia="zh-CN"/>
        </w:rPr>
        <w:t>9、生态公厕(移动公厕)2 座，共 12 平方米;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OTIxNWE1ODJhMDZmOGYzNzNiZDViMjA0Mzg0NDIifQ=="/>
  </w:docVars>
  <w:rsids>
    <w:rsidRoot w:val="24C5563A"/>
    <w:rsid w:val="24C5563A"/>
    <w:rsid w:val="497D4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2411</Words>
  <Characters>2771</Characters>
  <Lines>0</Lines>
  <Paragraphs>0</Paragraphs>
  <TotalTime>2</TotalTime>
  <ScaleCrop>false</ScaleCrop>
  <LinksUpToDate>false</LinksUpToDate>
  <CharactersWithSpaces>2798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2023-05-11T11:16:00Z</dcterms:created>
  <dc:creator>️☆彡</dc:creator>
  <cp:lastModifiedBy>️☆彡</cp:lastModifiedBy>
  <dcterms:modified xsi:type="dcterms:W3CDTF">2023-05-11T11:19:49Z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3E61FDD1CBFA4F48A950A67A7E0C1C47_11</vt:lpwstr>
  </property>
</Properties>
</file>