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周至县骆峪镇人民政府骆峪镇尚兴村艾草种植与加工项目竞争性磋商公告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骆峪镇尚兴村艾草种植与加工项目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陕西省咸阳市秦都区康定路中铁.港沣国际1705室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项目编号：YC23312011CGB-ZFCG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项目名称：骆峪镇尚兴村艾草种植与加工项目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预算金额：967,000.00元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合同包1(骆峪镇尚兴村艾草种植与加工项目):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合同包预算金额：967,000.00元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合同包最高限价：967,000.00元</w:t>
      </w:r>
    </w:p>
    <w:tbl>
      <w:tblPr>
        <w:tblW w:w="88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23"/>
        <w:gridCol w:w="1231"/>
        <w:gridCol w:w="1683"/>
        <w:gridCol w:w="1082"/>
        <w:gridCol w:w="1500"/>
        <w:gridCol w:w="1168"/>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04" w:hRule="atLeast"/>
          <w:tblHeader/>
        </w:trPr>
        <w:tc>
          <w:tcPr>
            <w:tcW w:w="9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6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0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14" w:hRule="atLeast"/>
        </w:trPr>
        <w:tc>
          <w:tcPr>
            <w:tcW w:w="9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2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sz w:val="21"/>
                <w:szCs w:val="21"/>
              </w:rPr>
            </w:pPr>
            <w:r>
              <w:rPr>
                <w:rFonts w:ascii="宋体" w:hAnsi="宋体" w:eastAsia="宋体" w:cs="宋体"/>
                <w:kern w:val="0"/>
                <w:sz w:val="21"/>
                <w:szCs w:val="21"/>
                <w:bdr w:val="none" w:color="auto" w:sz="0" w:space="0"/>
                <w:lang w:val="en-US" w:eastAsia="zh-CN" w:bidi="ar"/>
              </w:rPr>
              <w:t>其他构筑物工程施工</w:t>
            </w:r>
          </w:p>
        </w:tc>
        <w:tc>
          <w:tcPr>
            <w:tcW w:w="16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sz w:val="21"/>
                <w:szCs w:val="21"/>
              </w:rPr>
            </w:pPr>
            <w:r>
              <w:rPr>
                <w:rFonts w:ascii="宋体" w:hAnsi="宋体" w:eastAsia="宋体" w:cs="宋体"/>
                <w:kern w:val="0"/>
                <w:sz w:val="21"/>
                <w:szCs w:val="21"/>
                <w:bdr w:val="none" w:color="auto" w:sz="0" w:space="0"/>
                <w:lang w:val="en-US" w:eastAsia="zh-CN" w:bidi="ar"/>
              </w:rPr>
              <w:t>骆峪镇尚兴村艾草种植与加工项目</w:t>
            </w:r>
          </w:p>
        </w:tc>
        <w:tc>
          <w:tcPr>
            <w:tcW w:w="10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sz w:val="21"/>
                <w:szCs w:val="21"/>
              </w:rPr>
            </w:pPr>
            <w:r>
              <w:rPr>
                <w:rFonts w:ascii="宋体" w:hAnsi="宋体" w:eastAsia="宋体" w:cs="宋体"/>
                <w:kern w:val="0"/>
                <w:sz w:val="21"/>
                <w:szCs w:val="21"/>
                <w:bdr w:val="none" w:color="auto" w:sz="0" w:space="0"/>
                <w:lang w:val="en-US" w:eastAsia="zh-CN" w:bidi="ar"/>
              </w:rPr>
              <w:t>1(项)</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11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967,000.00</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967,000.00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合同履行期限：自合同签订之日起150日历天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合同包1(骆峪镇尚兴村艾草种植与加工项目)落实政府采购政策需满足的资格要求如下: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司法部关于政府采购支持监狱企业发展有关问题的通知》（财库〔2014〕68号）；（3）《国务院办公厅关于建立政府强制采购节能产品制度的通知》（国办发〔2007〕51号）；（4）《财政部关于促进政府采购公平竞争优化营商环境的通知》财库〔2019〕38号；（5）《节能产品政府采购实施意见》（财库〔2004〕185号）；（6）《关于落实降低企业杠杆率税收支持政策的通知》财税〔2016〕125号；（7）《环境标志产品政府采购实施的意见》（财库〔2006〕90号）；（8）《关于促进残疾人就业政府采购政策的通知》财库〔2017〕141号；（9）《财政部 发展改革委 生态环境部 市场监管总局关于调整优化节能产品、环境标志产品政府采购执行机制的通知》（财库〔2019〕9号）；（10）《财政部 国务院扶贫办关于运用政府采购政策支持脱贫攻坚的通知》（财库〔2019〕27号）；（11）《陕西省中小企业政府采购信用融资办法》（陕财办采〔2018〕23号）；（12）《财政部关于进一步加大政府采购支持中小企业力度的通知》（财库〔2022〕19号）。（13）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合同包1(骆峪镇尚兴村艾草种植与加工项目)特定资格要求如下: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或负责人授权书（附法定代表人或负责人身份证复印件）及被授权人身份证；（法定代表人或负责人直接参加磋商只须提供法定代表人或负责人身份证）；3)财务状况报告：供应商需提供2021年度或2022年度的财务报告（至少包括财务报告、资产负债表、利润表（或损益表）、现金流量表及财务报表附注，成立时间至递交响应文件截止时间不足一年的可提供成立后任意时段的资产负债表），或其开标前三个月内基本存款账户开户银行出具的资信证明及基本存款账户开户信息，其他组织和自然人提供银行出具的资信证明或财务报表；4）社会保障资金缴纳证明：依法缴纳社会保障资金的良好记录（提供截止至开标时间前12个月内任意一个月的缴费凭据或社保机构开具的社会保险参保缴费情况证明，依法不需要缴纳社会保障资金的单位应提供相关证明材料）；5）税收缴纳证明：依法缴纳税收的良好记录（提供截止至开标时间前12个月内任意一个月的纳税证明或完税证明,依法免税的单位应提供相关证明材料）；6）供应商参加政府采购活动前3年内在经营活动中没有重大违法记录的书面声明。7）具备履行合同所必需的设备和专业技术能力的证明材料(由投标人根据项目需求提供说明材料或者承诺)；8）供应商具备有效的建设行政主管部门颁发的建筑工程施工总承包三级以上（含三级）资质，及有效的安全生产许可证；9）供应商拟派项目经理具备有效的建筑工程专业二级以上（含二级）建造师注册证，及行政主管部门颁发的安全生产考核合格证（B证），且在本单位注册，无在建工程。10）投标人不得为“信用中国”网站中列入失信被执行人（核查平台“中国执行信息公开网”网站（http://zxgk.court.gov.cn/shixin/））、重大税收违法案件当事人和政府采购不良行为记录名单的供应商，不得为中国政府采购网（www.ccgp.gov.cn）政府采购严重违法失信行为记录名单中被财政部门禁止参加政府采购活动的供应商；11）投标人基本信息及项目经理（建造师）的基本信息在“陕西建设网 （http://www.shaanxijs.gov.cn/）陕西省建筑市场监管与诚信信息发布平台”可查询；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2023年05月12日 至 2023年05月18日 ，每天上午 08:30:00 至 12:00:00 ，下午 14:30:00 至 17:30:00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陕西省咸阳市秦都区康定路中铁.港沣国际1705室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陕西省咸阳市秦都区康定路中铁.港沣国际1705室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陕西省咸阳市秦都区康定路中铁.港沣国际1705室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注：1、领取磋商文件时须携带单位介绍信原件、经办人身份证原件及盖章复印件（法定节假日除外）。2、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周至县骆峪镇人民政府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西安市周至县骆峪镇骆峪村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17391972111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亿诚建设项目管理有限公司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陕西省西安市雁塔区吉祥路135号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19916300364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庞英英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19916300364</w:t>
      </w:r>
    </w:p>
    <w:p>
      <w:r>
        <w:br w:type="page"/>
      </w:r>
    </w:p>
    <w:p>
      <w:pPr>
        <w:rPr>
          <w:rFonts w:hint="eastAsia" w:eastAsiaTheme="minorEastAsia"/>
          <w:sz w:val="28"/>
          <w:szCs w:val="36"/>
          <w:lang w:eastAsia="zh-CN"/>
        </w:rPr>
      </w:pPr>
      <w:r>
        <w:rPr>
          <w:rFonts w:hint="eastAsia"/>
          <w:sz w:val="28"/>
          <w:szCs w:val="36"/>
          <w:lang w:eastAsia="zh-CN"/>
        </w:rPr>
        <w:t>采购需求</w:t>
      </w:r>
      <w:bookmarkStart w:id="0" w:name="_GoBack"/>
      <w:bookmarkEnd w:id="0"/>
    </w:p>
    <w:p>
      <w:pPr>
        <w:rPr>
          <w:rFonts w:hint="eastAsia" w:eastAsiaTheme="minorEastAsia"/>
          <w:sz w:val="28"/>
          <w:szCs w:val="36"/>
          <w:lang w:val="en-US" w:eastAsia="zh-CN"/>
        </w:rPr>
      </w:pPr>
      <w:r>
        <w:rPr>
          <w:rFonts w:hint="eastAsia"/>
          <w:sz w:val="28"/>
          <w:szCs w:val="36"/>
        </w:rPr>
        <w:t xml:space="preserve"> 1 整理土地60亩;2 购买艾草种苗每亩5000株，共计30万株;3、闲置民房改建为钢构厂房3间，共计90平米;4、购买产品货架7套，单套规格2.2m*2m;5 购置DXD系列全自动包装机1台;6 购置15公分艾棒包装机10台，18公分艾棒包装机10台，3公分艾棒包装机</w:t>
      </w:r>
      <w:r>
        <w:rPr>
          <w:rFonts w:hint="eastAsia"/>
          <w:sz w:val="28"/>
          <w:szCs w:val="36"/>
          <w:lang w:val="en-US" w:eastAsia="zh-CN"/>
        </w:rPr>
        <w:t>3台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TIxNWE1ODJhMDZmOGYzNzNiZDViMjA0Mzg0NDIifQ=="/>
  </w:docVars>
  <w:rsids>
    <w:rsidRoot w:val="7BD75BDE"/>
    <w:rsid w:val="73045661"/>
    <w:rsid w:val="7BD7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2407</Words>
  <Characters>2757</Characters>
  <Lines>0</Lines>
  <Paragraphs>0</Paragraphs>
  <TotalTime>5</TotalTime>
  <ScaleCrop>false</ScaleCrop>
  <LinksUpToDate>false</LinksUpToDate>
  <CharactersWithSpaces>2784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2023-05-11T11:26:00Z</dcterms:created>
  <dc:creator>️☆彡</dc:creator>
  <cp:lastModifiedBy>️☆彡</cp:lastModifiedBy>
  <dcterms:modified xsi:type="dcterms:W3CDTF">2023-05-11T11:32:49Z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B96B76F9F3A542668B9E064A9E3B02DC_11</vt:lpwstr>
  </property>
</Properties>
</file>