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color w:val="000000" w:themeColor="text1"/>
          <w:sz w:val="44"/>
          <w:szCs w:val="44"/>
          <w:lang w:val="en-US" w:eastAsia="zh-CN"/>
          <w14:textFill>
            <w14:solidFill>
              <w14:schemeClr w14:val="tx1"/>
            </w14:solidFill>
          </w14:textFill>
        </w:rPr>
        <w:t>采购需求、采购实施方案</w:t>
      </w:r>
    </w:p>
    <w:tbl>
      <w:tblPr>
        <w:tblStyle w:val="10"/>
        <w:tblpPr w:leftFromText="180" w:rightFromText="180" w:vertAnchor="text" w:horzAnchor="page" w:tblpX="1359" w:tblpY="1073"/>
        <w:tblOverlap w:val="never"/>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序号</w:t>
            </w:r>
          </w:p>
        </w:tc>
        <w:tc>
          <w:tcPr>
            <w:tcW w:w="1556" w:type="dxa"/>
            <w:vAlign w:val="center"/>
          </w:tcPr>
          <w:p>
            <w:pPr>
              <w:pStyle w:val="34"/>
              <w:ind w:left="38"/>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关键事项</w:t>
            </w:r>
          </w:p>
        </w:tc>
        <w:tc>
          <w:tcPr>
            <w:tcW w:w="7067" w:type="dxa"/>
            <w:vAlign w:val="center"/>
          </w:tcPr>
          <w:p>
            <w:pPr>
              <w:pStyle w:val="34"/>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1</w:t>
            </w:r>
          </w:p>
        </w:tc>
        <w:tc>
          <w:tcPr>
            <w:tcW w:w="1556" w:type="dxa"/>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采购预算</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000000" w:themeColor="text1"/>
                <w:kern w:val="2"/>
                <w:u w:val="single"/>
                <w14:textFill>
                  <w14:solidFill>
                    <w14:schemeClr w14:val="tx1"/>
                  </w14:solidFill>
                </w14:textFill>
              </w:rPr>
              <w:t>210000.00</w:t>
            </w:r>
            <w:r>
              <w:rPr>
                <w:rFonts w:hint="eastAsia"/>
                <w:b/>
                <w:color w:val="000000" w:themeColor="text1"/>
                <w:kern w:val="2"/>
                <w:lang w:val="zh-CN"/>
                <w14:textFill>
                  <w14:solidFill>
                    <w14:schemeClr w14:val="tx1"/>
                  </w14:solidFill>
                </w14:textFill>
              </w:rPr>
              <w:t>元</w:t>
            </w:r>
          </w:p>
          <w:p>
            <w:pPr>
              <w:pStyle w:val="34"/>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2</w:t>
            </w:r>
          </w:p>
        </w:tc>
        <w:tc>
          <w:tcPr>
            <w:tcW w:w="1556" w:type="dxa"/>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最高限价</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b/>
                <w:color w:val="000000" w:themeColor="text1"/>
                <w:kern w:val="2"/>
                <w:lang w:val="zh-CN"/>
                <w14:textFill>
                  <w14:solidFill>
                    <w14:schemeClr w14:val="tx1"/>
                  </w14:solidFill>
                </w14:textFill>
              </w:rPr>
              <w:t>_</w:t>
            </w:r>
            <w:r>
              <w:rPr>
                <w:rFonts w:hint="eastAsia"/>
                <w:b/>
                <w:color w:val="000000" w:themeColor="text1"/>
                <w:kern w:val="2"/>
                <w:u w:val="single"/>
                <w14:textFill>
                  <w14:solidFill>
                    <w14:schemeClr w14:val="tx1"/>
                  </w14:solidFill>
                </w14:textFill>
              </w:rPr>
              <w:t>210000.00</w:t>
            </w:r>
            <w:r>
              <w:rPr>
                <w:rFonts w:hint="eastAsia"/>
                <w:b/>
                <w:color w:val="000000" w:themeColor="text1"/>
                <w:kern w:val="2"/>
                <w:lang w:val="zh-CN"/>
                <w14:textFill>
                  <w14:solidFill>
                    <w14:schemeClr w14:val="tx1"/>
                  </w14:solidFill>
                </w14:textFill>
              </w:rPr>
              <w:t>元</w:t>
            </w:r>
          </w:p>
          <w:p>
            <w:pPr>
              <w:pStyle w:val="34"/>
              <w:ind w:left="38"/>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8" w:hRule="atLeast"/>
        </w:trPr>
        <w:tc>
          <w:tcPr>
            <w:tcW w:w="689" w:type="dxa"/>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3</w:t>
            </w:r>
          </w:p>
        </w:tc>
        <w:tc>
          <w:tcPr>
            <w:tcW w:w="1556" w:type="dxa"/>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项目性质</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14:textFill>
                  <w14:solidFill>
                    <w14:schemeClr w14:val="tx1"/>
                  </w14:solidFill>
                </w14:textFill>
              </w:rPr>
              <w:t>√</w:t>
            </w:r>
            <w:r>
              <w:rPr>
                <w:rFonts w:hint="eastAsia"/>
                <w:b/>
                <w:color w:val="000000" w:themeColor="text1"/>
                <w:kern w:val="2"/>
                <w:lang w:val="zh-CN"/>
                <w14:textFill>
                  <w14:solidFill>
                    <w14:schemeClr w14:val="tx1"/>
                  </w14:solidFill>
                </w14:textFill>
              </w:rPr>
              <w:t>专门面向中小企业采购</w:t>
            </w:r>
          </w:p>
          <w:p>
            <w:pPr>
              <w:pStyle w:val="34"/>
              <w:ind w:left="38"/>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4</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对供应商的</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资格要求</w:t>
            </w:r>
          </w:p>
        </w:tc>
        <w:tc>
          <w:tcPr>
            <w:tcW w:w="7067" w:type="dxa"/>
            <w:vAlign w:val="center"/>
          </w:tcPr>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1、具有独立承担民事责任能力的法人、其他组织或自然人，并出具合法有效的营业执照或事业单位法人证书等国家规定的相关证明，自然人参与的提供其身份证明； </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2、法定代表人授权书（附法定代表人、被授权人身份证复印件）及被授权人身份证（法定代表人参加投标需提供法人证明书及其身份证）；</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3、提供财务审计报告或资信证明； </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4、具有履行合同所必需的设备和专业技术能力； </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5、社会保障资金缴纳证明；</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6、税收缴纳证明；</w:t>
            </w:r>
          </w:p>
          <w:p>
            <w:pPr>
              <w:pStyle w:val="8"/>
              <w:wordWrap w:val="0"/>
              <w:spacing w:before="0" w:beforeAutospacing="0" w:after="0" w:afterAutospacing="0" w:line="480" w:lineRule="atLeast"/>
              <w:rPr>
                <w:rFonts w:cs="宋体"/>
                <w:sz w:val="24"/>
                <w:szCs w:val="24"/>
                <w:shd w:val="clear" w:color="auto" w:fill="FFFFFF"/>
              </w:rPr>
            </w:pPr>
            <w:r>
              <w:rPr>
                <w:rFonts w:hint="eastAsia" w:cs="宋体"/>
                <w:sz w:val="24"/>
                <w:szCs w:val="24"/>
                <w:shd w:val="clear" w:color="auto" w:fill="FFFFFF"/>
              </w:rPr>
              <w:t>7、单位负责人为同一人或者存在控股、管理关系的不同单位，不得同时参加本招标项目投标；</w:t>
            </w:r>
          </w:p>
          <w:p>
            <w:pPr>
              <w:pStyle w:val="8"/>
              <w:wordWrap w:val="0"/>
              <w:adjustRightInd w:val="0"/>
              <w:snapToGrid w:val="0"/>
              <w:spacing w:before="0" w:beforeAutospacing="0" w:after="0" w:afterAutospacing="0" w:line="360" w:lineRule="auto"/>
              <w:rPr>
                <w:rFonts w:cs="宋体"/>
                <w:sz w:val="24"/>
                <w:szCs w:val="24"/>
                <w:shd w:val="clear" w:color="auto" w:fill="FFFFFF"/>
              </w:rPr>
            </w:pPr>
            <w:r>
              <w:rPr>
                <w:rFonts w:hint="eastAsia" w:cs="宋体"/>
                <w:sz w:val="24"/>
                <w:szCs w:val="24"/>
                <w:shd w:val="clear" w:color="auto" w:fill="FFFFFF"/>
              </w:rPr>
              <w:t>8、供应商提供参加政府采购活动前三年内在经营活动中没有重大违法记录的承诺函；</w:t>
            </w:r>
          </w:p>
          <w:p>
            <w:pPr>
              <w:pStyle w:val="8"/>
              <w:wordWrap w:val="0"/>
              <w:adjustRightInd w:val="0"/>
              <w:snapToGrid w:val="0"/>
              <w:spacing w:before="0" w:beforeAutospacing="0" w:after="0" w:afterAutospacing="0" w:line="360" w:lineRule="auto"/>
              <w:rPr>
                <w:rFonts w:cs="宋体"/>
                <w:sz w:val="24"/>
                <w:szCs w:val="24"/>
                <w:shd w:val="clear" w:color="auto" w:fill="FFFFFF"/>
              </w:rPr>
            </w:pPr>
            <w:r>
              <w:rPr>
                <w:rFonts w:hint="eastAsia" w:cs="宋体"/>
                <w:sz w:val="24"/>
                <w:szCs w:val="24"/>
                <w:shd w:val="clear" w:color="auto" w:fill="FFFFFF"/>
              </w:rPr>
              <w:t>9、本项目专门面向中小企业采购，供应商应填写中小企业声明函并对真实性负责；</w:t>
            </w:r>
          </w:p>
          <w:p>
            <w:pPr>
              <w:pStyle w:val="34"/>
              <w:jc w:val="both"/>
              <w:rPr>
                <w:bCs/>
                <w:color w:val="000000" w:themeColor="text1"/>
                <w:kern w:val="2"/>
                <w:lang w:val="zh-CN"/>
                <w14:textFill>
                  <w14:solidFill>
                    <w14:schemeClr w14:val="tx1"/>
                  </w14:solidFill>
                </w14:textFill>
              </w:rPr>
            </w:pPr>
            <w:r>
              <w:rPr>
                <w:rFonts w:hint="eastAsia"/>
                <w:shd w:val="clear" w:color="auto"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bCs/>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5" w:hRule="atLeast"/>
        </w:trPr>
        <w:tc>
          <w:tcPr>
            <w:tcW w:w="689" w:type="dxa"/>
            <w:vMerge w:val="restart"/>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5</w:t>
            </w:r>
          </w:p>
        </w:tc>
        <w:tc>
          <w:tcPr>
            <w:tcW w:w="1556" w:type="dxa"/>
            <w:vMerge w:val="restart"/>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是否允许</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进口产品</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kern w:val="2"/>
                <w:lang w:val="zh-CN"/>
                <w14:textFill>
                  <w14:solidFill>
                    <w14:schemeClr w14:val="tx1"/>
                  </w14:solidFill>
                </w14:textFill>
              </w:rPr>
              <w:t>不允许</w:t>
            </w:r>
          </w:p>
          <w:p>
            <w:pPr>
              <w:pStyle w:val="34"/>
              <w:jc w:val="both"/>
              <w:rPr>
                <w:bCs/>
                <w:color w:val="000000" w:themeColor="text1"/>
                <w:kern w:val="2"/>
                <w:lang w:val="zh-CN"/>
                <w14:textFill>
                  <w14:solidFill>
                    <w14:schemeClr w14:val="tx1"/>
                  </w14:solidFill>
                </w14:textFill>
              </w:rPr>
            </w:pPr>
            <w:r>
              <w:rPr>
                <w:bCs/>
                <w:color w:val="000000" w:themeColor="text1"/>
                <w:kern w:val="2"/>
                <w:sz w:val="21"/>
                <w:szCs w:val="21"/>
                <w:lang w:val="zh-CN"/>
                <w14:textFill>
                  <w14:solidFill>
                    <w14:schemeClr w14:val="tx1"/>
                  </w14:solidFill>
                </w14:textFill>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6</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是否</w:t>
            </w:r>
            <w:r>
              <w:rPr>
                <w:rFonts w:hint="eastAsia"/>
                <w:bCs/>
                <w:color w:val="000000" w:themeColor="text1"/>
                <w:kern w:val="2"/>
                <w:lang w:val="zh-CN"/>
                <w14:textFill>
                  <w14:solidFill>
                    <w14:schemeClr w14:val="tx1"/>
                  </w14:solidFill>
                </w14:textFill>
              </w:rPr>
              <w:t>接受</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联合体投标</w:t>
            </w:r>
          </w:p>
        </w:tc>
        <w:tc>
          <w:tcPr>
            <w:tcW w:w="7067" w:type="dxa"/>
            <w:vAlign w:val="center"/>
          </w:tcPr>
          <w:p>
            <w:pPr>
              <w:pStyle w:val="34"/>
              <w:jc w:val="both"/>
              <w:rPr>
                <w:bCs/>
                <w:color w:val="000000" w:themeColor="text1"/>
                <w:kern w:val="2"/>
                <w:lang w:val="zh-CN"/>
                <w14:textFill>
                  <w14:solidFill>
                    <w14:schemeClr w14:val="tx1"/>
                  </w14:solidFill>
                </w14:textFill>
              </w:rPr>
            </w:pPr>
            <w:r>
              <w:rPr>
                <w:rFonts w:hint="eastAsia"/>
                <w:b/>
                <w:color w:val="000000" w:themeColor="text1"/>
                <w14:textFill>
                  <w14:solidFill>
                    <w14:schemeClr w14:val="tx1"/>
                  </w14:solidFill>
                </w14:textFill>
              </w:rPr>
              <w:t>√</w:t>
            </w:r>
            <w:r>
              <w:rPr>
                <w:rFonts w:hint="eastAsia"/>
                <w:b/>
                <w:color w:val="000000" w:themeColor="text1"/>
                <w:kern w:val="2"/>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7</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现场踏勘和集中答疑</w:t>
            </w:r>
          </w:p>
        </w:tc>
        <w:tc>
          <w:tcPr>
            <w:tcW w:w="7067" w:type="dxa"/>
            <w:vAlign w:val="center"/>
          </w:tcPr>
          <w:p>
            <w:pPr>
              <w:ind w:right="94" w:rightChars="45"/>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○组织，集结地点为：</w:t>
            </w:r>
            <w:r>
              <w:rPr>
                <w:rFonts w:hint="eastAsia" w:ascii="宋体" w:hAnsi="宋体"/>
                <w:b/>
                <w:color w:val="000000" w:themeColor="text1"/>
                <w:sz w:val="24"/>
                <w14:textFill>
                  <w14:solidFill>
                    <w14:schemeClr w14:val="tx1"/>
                  </w14:solidFill>
                </w14:textFill>
              </w:rPr>
              <w:t>_______________________</w:t>
            </w:r>
          </w:p>
          <w:p>
            <w:pPr>
              <w:ind w:right="94" w:rightChars="45"/>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8</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价格分比重</w:t>
            </w:r>
          </w:p>
        </w:tc>
        <w:tc>
          <w:tcPr>
            <w:tcW w:w="7067" w:type="dxa"/>
            <w:vAlign w:val="center"/>
          </w:tcPr>
          <w:p>
            <w:pPr>
              <w:widowControl/>
              <w:rPr>
                <w:rFonts w:ascii="宋体" w:hAnsi="宋体" w:cs="宋体"/>
                <w:b/>
                <w:color w:val="000000" w:themeColor="text1"/>
                <w:kern w:val="0"/>
                <w:sz w:val="24"/>
                <w:szCs w:val="24"/>
                <w:lang w:val="zh-CN"/>
                <w14:textFill>
                  <w14:solidFill>
                    <w14:schemeClr w14:val="tx1"/>
                  </w14:solidFill>
                </w14:textFill>
              </w:rPr>
            </w:pPr>
            <w:r>
              <w:rPr>
                <w:rFonts w:ascii="宋体" w:hAnsi="宋体" w:cs="宋体"/>
                <w:b/>
                <w:color w:val="000000" w:themeColor="text1"/>
                <w:kern w:val="0"/>
                <w:sz w:val="24"/>
                <w:szCs w:val="24"/>
                <w:lang w:val="zh-CN"/>
                <w14:textFill>
                  <w14:solidFill>
                    <w14:schemeClr w14:val="tx1"/>
                  </w14:solidFill>
                </w14:textFill>
              </w:rPr>
              <w:t>占总分值的</w:t>
            </w:r>
            <w:r>
              <w:rPr>
                <w:rFonts w:hint="eastAsia" w:ascii="宋体" w:hAnsi="宋体" w:cs="宋体"/>
                <w:b/>
                <w:color w:val="000000" w:themeColor="text1"/>
                <w:kern w:val="0"/>
                <w:sz w:val="24"/>
                <w:szCs w:val="24"/>
                <w14:textFill>
                  <w14:solidFill>
                    <w14:schemeClr w14:val="tx1"/>
                  </w14:solidFill>
                </w14:textFill>
              </w:rPr>
              <w:t>40</w:t>
            </w:r>
            <w:r>
              <w:rPr>
                <w:rFonts w:hint="eastAsia" w:ascii="宋体" w:hAnsi="宋体" w:cs="宋体"/>
                <w:b/>
                <w:color w:val="000000" w:themeColor="text1"/>
                <w:kern w:val="0"/>
                <w:sz w:val="24"/>
                <w:szCs w:val="24"/>
                <w:lang w:val="zh-CN"/>
                <w14:textFill>
                  <w14:solidFill>
                    <w14:schemeClr w14:val="tx1"/>
                  </w14:solidFill>
                </w14:textFill>
              </w:rPr>
              <w:t>%</w:t>
            </w:r>
          </w:p>
          <w:p>
            <w:pPr>
              <w:widowControl/>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[招标]根据《政府采购货物和服务招标投标管理办法》（财政部87号令）的规定，综合</w:t>
            </w:r>
            <w:r>
              <w:rPr>
                <w:rFonts w:ascii="宋体" w:hAnsi="宋体" w:cs="宋体"/>
                <w:bCs/>
                <w:color w:val="000000" w:themeColor="text1"/>
                <w:kern w:val="0"/>
                <w:szCs w:val="21"/>
                <w:lang w:val="zh-CN"/>
                <w14:textFill>
                  <w14:solidFill>
                    <w14:schemeClr w14:val="tx1"/>
                  </w14:solidFill>
                </w14:textFill>
              </w:rPr>
              <w:t>评分法</w:t>
            </w:r>
            <w:r>
              <w:rPr>
                <w:rFonts w:hint="eastAsia" w:ascii="宋体" w:hAnsi="宋体" w:cs="宋体"/>
                <w:bCs/>
                <w:color w:val="000000" w:themeColor="text1"/>
                <w:kern w:val="0"/>
                <w:szCs w:val="21"/>
                <w:lang w:val="zh-CN"/>
                <w14:textFill>
                  <w14:solidFill>
                    <w14:schemeClr w14:val="tx1"/>
                  </w14:solidFill>
                </w14:textFill>
              </w:rPr>
              <w:t>货物项目的价格分值占总分值的比重不得低于30%。执行国家统一定价标准和采用固定价格采购的项目，其价格不列为评审因素。</w:t>
            </w:r>
          </w:p>
          <w:p>
            <w:pPr>
              <w:widowControl/>
              <w:rPr>
                <w:rFonts w:ascii="宋体" w:hAnsi="宋体" w:cs="宋体"/>
                <w:bCs/>
                <w:color w:val="000000" w:themeColor="text1"/>
                <w:kern w:val="0"/>
                <w:szCs w:val="21"/>
                <w:lang w:val="zh-CN"/>
                <w14:textFill>
                  <w14:solidFill>
                    <w14:schemeClr w14:val="tx1"/>
                  </w14:solidFill>
                </w14:textFill>
              </w:rPr>
            </w:pPr>
            <w:r>
              <w:rPr>
                <w:rFonts w:ascii="宋体" w:hAnsi="宋体" w:cs="宋体"/>
                <w:bCs/>
                <w:color w:val="000000" w:themeColor="text1"/>
                <w:kern w:val="0"/>
                <w:szCs w:val="21"/>
                <w:lang w:val="zh-CN"/>
                <w14:textFill>
                  <w14:solidFill>
                    <w14:schemeClr w14:val="tx1"/>
                  </w14:solidFill>
                </w14:textFill>
              </w:rPr>
              <w:t>[磋商</w:t>
            </w:r>
            <w:r>
              <w:rPr>
                <w:rFonts w:hint="eastAsia" w:ascii="宋体" w:hAnsi="宋体" w:cs="宋体"/>
                <w:bCs/>
                <w:color w:val="000000" w:themeColor="text1"/>
                <w:kern w:val="0"/>
                <w:szCs w:val="21"/>
                <w:lang w:val="zh-CN"/>
                <w14:textFill>
                  <w14:solidFill>
                    <w14:schemeClr w14:val="tx1"/>
                  </w14:solidFill>
                </w14:textFill>
              </w:rPr>
              <w:t>]根据《政府采购竞争性磋商采购方式管理暂行办法》（财库〔2014〕214号）的规定，货物项目的价格分值占总分值的比重(即权值)为30%-60%。</w:t>
            </w:r>
          </w:p>
          <w:p>
            <w:pPr>
              <w:widowControl/>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9</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合同类型</w:t>
            </w:r>
          </w:p>
        </w:tc>
        <w:tc>
          <w:tcPr>
            <w:tcW w:w="7067" w:type="dxa"/>
            <w:vAlign w:val="center"/>
          </w:tcPr>
          <w:p>
            <w:pPr>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lang w:val="zh-CN"/>
                <w14:textFill>
                  <w14:solidFill>
                    <w14:schemeClr w14:val="tx1"/>
                  </w14:solidFill>
                </w14:textFill>
              </w:rPr>
              <w:t>固定总价</w:t>
            </w:r>
          </w:p>
          <w:p>
            <w:pPr>
              <w:rPr>
                <w:rFonts w:ascii="宋体" w:hAnsi="宋体"/>
                <w:b/>
                <w:color w:val="000000" w:themeColor="text1"/>
                <w:sz w:val="24"/>
                <w:lang w:val="zh-CN"/>
                <w14:textFill>
                  <w14:solidFill>
                    <w14:schemeClr w14:val="tx1"/>
                  </w14:solidFill>
                </w14:textFill>
              </w:rPr>
            </w:pPr>
            <w:r>
              <w:rPr>
                <w:rFonts w:ascii="宋体" w:hAnsi="宋体"/>
                <w:b/>
                <w:color w:val="000000" w:themeColor="text1"/>
                <w:sz w:val="24"/>
                <w:lang w:val="zh-CN"/>
                <w14:textFill>
                  <w14:solidFill>
                    <w14:schemeClr w14:val="tx1"/>
                  </w14:solidFill>
                </w14:textFill>
              </w:rPr>
              <w:t>○固定单价（适用于采购数量不定的情形）</w:t>
            </w:r>
          </w:p>
          <w:p>
            <w:pPr>
              <w:rPr>
                <w:rFonts w:ascii="宋体" w:hAnsi="宋体"/>
                <w:bCs/>
                <w:color w:val="000000" w:themeColor="text1"/>
                <w:sz w:val="24"/>
                <w:lang w:val="zh-CN"/>
                <w14:textFill>
                  <w14:solidFill>
                    <w14:schemeClr w14:val="tx1"/>
                  </w14:solidFill>
                </w14:textFill>
              </w:rPr>
            </w:pPr>
            <w:r>
              <w:rPr>
                <w:rFonts w:ascii="宋体" w:hAnsi="宋体"/>
                <w:b/>
                <w:color w:val="000000" w:themeColor="text1"/>
                <w:sz w:val="24"/>
                <w:lang w:val="zh-CN"/>
                <w14:textFill>
                  <w14:solidFill>
                    <w14:schemeClr w14:val="tx1"/>
                  </w14:solidFill>
                </w14:textFill>
              </w:rPr>
              <w:t>○其他：</w:t>
            </w:r>
            <w:r>
              <w:rPr>
                <w:rFonts w:hint="eastAsia" w:ascii="宋体" w:hAnsi="宋体"/>
                <w:bCs/>
                <w:color w:val="000000" w:themeColor="text1"/>
                <w:sz w:val="24"/>
                <w:lang w:val="zh-CN"/>
                <w14:textFill>
                  <w14:solidFill>
                    <w14:schemeClr w14:val="tx1"/>
                  </w14:solidFill>
                </w14:textFill>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10</w:t>
            </w:r>
          </w:p>
        </w:tc>
        <w:tc>
          <w:tcPr>
            <w:tcW w:w="1556" w:type="dxa"/>
            <w:vAlign w:val="center"/>
          </w:tcPr>
          <w:p>
            <w:pPr>
              <w:tabs>
                <w:tab w:val="left" w:pos="7665"/>
              </w:tabs>
              <w:snapToGrid w:val="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争议解决途径</w:t>
            </w:r>
          </w:p>
        </w:tc>
        <w:tc>
          <w:tcPr>
            <w:tcW w:w="7067" w:type="dxa"/>
            <w:vAlign w:val="center"/>
          </w:tcPr>
          <w:p>
            <w:pPr>
              <w:tabs>
                <w:tab w:val="left" w:pos="7665"/>
              </w:tabs>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向有管辖权的人民法院提起诉讼</w:t>
            </w:r>
          </w:p>
          <w:p>
            <w:pPr>
              <w:tabs>
                <w:tab w:val="left" w:pos="7665"/>
              </w:tabs>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向西安仲裁委员会提请仲裁</w:t>
            </w:r>
          </w:p>
          <w:p>
            <w:pPr>
              <w:tabs>
                <w:tab w:val="left" w:pos="7665"/>
              </w:tabs>
              <w:snapToGrid w:val="0"/>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89" w:type="dxa"/>
            <w:vAlign w:val="center"/>
          </w:tcPr>
          <w:p>
            <w:pPr>
              <w:snapToGrid w:val="0"/>
              <w:spacing w:after="200"/>
              <w:jc w:val="center"/>
              <w:rPr>
                <w:rFonts w:hint="eastAsia" w:ascii="宋体" w:hAnsi="宋体" w:eastAsia="宋体"/>
                <w:bCs/>
                <w:color w:val="000000" w:themeColor="text1"/>
                <w:sz w:val="24"/>
                <w:lang w:val="en-US" w:eastAsia="zh-CN"/>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1</w:t>
            </w:r>
          </w:p>
        </w:tc>
        <w:tc>
          <w:tcPr>
            <w:tcW w:w="1556" w:type="dxa"/>
            <w:vAlign w:val="center"/>
          </w:tcPr>
          <w:p>
            <w:pPr>
              <w:snapToGrid w:val="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联系方式</w:t>
            </w:r>
          </w:p>
        </w:tc>
        <w:tc>
          <w:tcPr>
            <w:tcW w:w="7067" w:type="dxa"/>
            <w:vAlign w:val="center"/>
          </w:tcPr>
          <w:p>
            <w:pPr>
              <w:tabs>
                <w:tab w:val="left" w:pos="7665"/>
              </w:tabs>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项目对接人：赵工</w:t>
            </w:r>
          </w:p>
          <w:p>
            <w:pPr>
              <w:tabs>
                <w:tab w:val="left" w:pos="7665"/>
              </w:tabs>
              <w:snapToGrid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联系电话：</w:t>
            </w:r>
            <w:r>
              <w:rPr>
                <w:rFonts w:hint="eastAsia" w:ascii="宋体" w:hAnsi="宋体"/>
                <w:b/>
                <w:color w:val="000000" w:themeColor="text1"/>
                <w:sz w:val="24"/>
                <w14:textFill>
                  <w14:solidFill>
                    <w14:schemeClr w14:val="tx1"/>
                  </w14:solidFill>
                </w14:textFill>
              </w:rPr>
              <w:t>17629177402</w:t>
            </w:r>
          </w:p>
          <w:p>
            <w:pPr>
              <w:tabs>
                <w:tab w:val="left" w:pos="7665"/>
              </w:tabs>
              <w:snapToGrid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电子邮箱：</w:t>
            </w:r>
            <w:r>
              <w:fldChar w:fldCharType="begin"/>
            </w:r>
            <w:r>
              <w:instrText xml:space="preserve"> HYPERLINK "mailto:1161030959@qq.com" </w:instrText>
            </w:r>
            <w:r>
              <w:fldChar w:fldCharType="separate"/>
            </w:r>
            <w:r>
              <w:rPr>
                <w:rStyle w:val="12"/>
                <w:rFonts w:hint="eastAsia" w:ascii="宋体" w:hAnsi="宋体"/>
                <w:b/>
                <w:sz w:val="24"/>
              </w:rPr>
              <w:t>1161030959@qq.com</w:t>
            </w:r>
            <w:r>
              <w:rPr>
                <w:rStyle w:val="12"/>
                <w:rFonts w:hint="eastAsia" w:ascii="宋体" w:hAnsi="宋体"/>
                <w:b/>
                <w:sz w:val="24"/>
              </w:rPr>
              <w:fldChar w:fldCharType="end"/>
            </w:r>
          </w:p>
          <w:p>
            <w:pPr>
              <w:pStyle w:val="2"/>
            </w:pPr>
            <w:r>
              <w:rPr>
                <w:rFonts w:hint="eastAsia"/>
              </w:rPr>
              <w:t xml:space="preserve">13772115043 李科长 </w:t>
            </w:r>
          </w:p>
        </w:tc>
      </w:tr>
    </w:tbl>
    <w:p>
      <w:pPr>
        <w:widowControl/>
        <w:ind w:firstLine="2570" w:firstLineChars="800"/>
        <w:jc w:val="left"/>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ind w:firstLine="2570" w:firstLineChars="800"/>
        <w:jc w:val="both"/>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w:t>
      </w:r>
      <w:r>
        <w:rPr>
          <w:rFonts w:hint="eastAsia" w:ascii="仿宋" w:hAnsi="仿宋" w:eastAsia="仿宋"/>
          <w:b/>
          <w:sz w:val="32"/>
          <w:szCs w:val="32"/>
          <w:lang w:val="en-US" w:eastAsia="zh-CN"/>
        </w:rPr>
        <w:t>服务</w:t>
      </w:r>
      <w:r>
        <w:rPr>
          <w:rFonts w:hint="eastAsia" w:ascii="仿宋" w:hAnsi="仿宋" w:eastAsia="仿宋"/>
          <w:b/>
          <w:sz w:val="32"/>
          <w:szCs w:val="32"/>
        </w:rPr>
        <w:t>类</w:t>
      </w:r>
      <w:r>
        <w:rPr>
          <w:rFonts w:ascii="仿宋" w:hAnsi="仿宋" w:eastAsia="仿宋"/>
          <w:b/>
          <w:sz w:val="32"/>
          <w:szCs w:val="32"/>
        </w:rPr>
        <w:t>）</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spacing w:line="400" w:lineRule="exact"/>
        <w:ind w:firstLine="480" w:firstLineChars="200"/>
        <w:rPr>
          <w:rFonts w:ascii="仿宋" w:hAnsi="仿宋" w:eastAsia="仿宋"/>
          <w:sz w:val="28"/>
          <w:szCs w:val="28"/>
          <w:highlight w:val="red"/>
        </w:rPr>
      </w:pPr>
      <w:r>
        <w:rPr>
          <w:rFonts w:hint="eastAsia" w:ascii="仿宋_GB2312" w:hAnsi="仿宋_GB2312" w:eastAsia="仿宋_GB2312" w:cs="仿宋_GB2312"/>
          <w:color w:val="000000"/>
          <w:sz w:val="24"/>
          <w:szCs w:val="24"/>
        </w:rPr>
        <w:t>我院整体搬迁暨门诊综合楼建设项目办理能评验收时，按要求需安装能耗监测系统。主要内容为：安装</w:t>
      </w:r>
      <w:r>
        <w:rPr>
          <w:rFonts w:hint="eastAsia" w:ascii="仿宋_GB2312" w:hAnsi="仿宋_GB2312" w:eastAsia="仿宋_GB2312" w:cs="仿宋_GB2312"/>
          <w:sz w:val="24"/>
          <w:szCs w:val="24"/>
        </w:rPr>
        <w:t>能源计量管理系统软件1套，包含能耗数据采集器2台、交换机1台、服务器1台。安装远传水表8台、远传能量表6台等。完工后进行综合调试及测试运行，</w:t>
      </w:r>
      <w:r>
        <w:rPr>
          <w:rFonts w:hint="eastAsia" w:ascii="仿宋_GB2312" w:hAnsi="仿宋_GB2312" w:eastAsia="仿宋_GB2312" w:cs="仿宋_GB2312"/>
          <w:color w:val="000000"/>
          <w:sz w:val="24"/>
          <w:szCs w:val="24"/>
        </w:rPr>
        <w:t>把医院建筑物能源消耗数据上传至西安市公共建筑能耗监测平台。该项目资金预算约为21万元。</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二、采购内容（包括采购品目、规格和数量）</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采购品目较多时，应当合理划分标段。如办公设备归为一类、办公家具归为另一类。</w:t>
      </w:r>
    </w:p>
    <w:p>
      <w:pPr>
        <w:numPr>
          <w:ilvl w:val="0"/>
          <w:numId w:val="1"/>
        </w:numPr>
        <w:rPr>
          <w:rFonts w:ascii="仿宋" w:hAnsi="仿宋" w:eastAsia="仿宋"/>
          <w:sz w:val="28"/>
          <w:szCs w:val="28"/>
        </w:rPr>
      </w:pPr>
      <w:r>
        <w:rPr>
          <w:rFonts w:hint="eastAsia" w:ascii="仿宋" w:hAnsi="仿宋" w:eastAsia="仿宋"/>
          <w:sz w:val="28"/>
          <w:szCs w:val="28"/>
        </w:rPr>
        <w:t>陈述式：</w:t>
      </w:r>
    </w:p>
    <w:p>
      <w:pPr>
        <w:pStyle w:val="2"/>
        <w:numPr>
          <w:ilvl w:val="0"/>
          <w:numId w:val="2"/>
        </w:numPr>
        <w:ind w:left="20" w:leftChars="0" w:firstLineChars="0"/>
        <w:jc w:val="left"/>
        <w:rPr>
          <w:rFonts w:ascii="Arial" w:hAnsi="Arial" w:cs="Arial"/>
          <w:kern w:val="0"/>
          <w:sz w:val="20"/>
          <w:szCs w:val="28"/>
        </w:rPr>
      </w:pPr>
      <w:r>
        <w:rPr>
          <w:rFonts w:hint="eastAsia"/>
        </w:rPr>
        <w:t>能耗数据采集器</w:t>
      </w:r>
      <w:r>
        <w:rPr>
          <w:rFonts w:hint="eastAsia" w:ascii="Arial" w:hAnsi="Arial" w:cs="Arial"/>
          <w:kern w:val="0"/>
          <w:sz w:val="20"/>
          <w:szCs w:val="28"/>
        </w:rPr>
        <w:t xml:space="preserve">2台，技术参数：支持1路RJ45、4路RS485、1路M-BUS。输出12DC和24DC电源。上下行可配置；第一个Q：代表企业协议；第二个S:代表硬件标配；   </w:t>
      </w:r>
    </w:p>
    <w:p>
      <w:pPr>
        <w:pStyle w:val="2"/>
        <w:numPr>
          <w:ilvl w:val="0"/>
          <w:numId w:val="2"/>
        </w:numPr>
        <w:ind w:left="20" w:leftChars="0" w:firstLine="400" w:firstLineChars="0"/>
        <w:jc w:val="left"/>
        <w:rPr>
          <w:rFonts w:ascii="Arial" w:hAnsi="Arial" w:cs="Arial"/>
          <w:kern w:val="0"/>
          <w:sz w:val="20"/>
          <w:szCs w:val="28"/>
        </w:rPr>
      </w:pPr>
      <w:r>
        <w:rPr>
          <w:rFonts w:hint="eastAsia" w:ascii="Arial" w:hAnsi="Arial" w:cs="Arial"/>
          <w:kern w:val="0"/>
          <w:sz w:val="20"/>
          <w:szCs w:val="28"/>
        </w:rPr>
        <w:t>能源计量管理系统软件1套，技术参数：1、B/S架构，应用于园区或单栋建筑；2、以能耗数据采集器为采集设备的系统；3、主要用于能耗查看。功能:能耗支路分析:单仪表状态值、用量值的分析图表；2、区域能耗报表:计量区域的每个采集点能耗统计报表，包括水电气、能量型、时间型、VAV；3、基础模块:仪表数据采集、仪表资料、建筑资料、授权中心等模块，以及设备故障报警、抄表报警和上传报警等语音、弹窗报警。4、建筑能耗分析:建筑及其计量区域的能耗分类分项的分析图表、多栋建筑排名、同比、指标、建筑类别的能耗分析:5、空调能效分析:时间型当量空调用量分析图表、区域空调用冷分析，及空调系统能效系数、单价核算、单位建筑面积用冷量分析6、建筑能耗报表:整栋建筑的分项用电、分类能耗、建筑类别电耗的统计报表;7、建筑能耗预警:区域能耗超标、跑冒滴漏以及用能异常等预警；</w:t>
      </w:r>
    </w:p>
    <w:p>
      <w:pPr>
        <w:pStyle w:val="2"/>
        <w:numPr>
          <w:ilvl w:val="0"/>
          <w:numId w:val="2"/>
        </w:numPr>
        <w:ind w:left="20" w:leftChars="0" w:firstLineChars="0"/>
        <w:jc w:val="left"/>
      </w:pPr>
      <w:r>
        <w:rPr>
          <w:rFonts w:hint="eastAsia"/>
        </w:rPr>
        <w:t>能耗数据上传</w:t>
      </w:r>
      <w:r>
        <w:rPr>
          <w:rFonts w:hint="eastAsia" w:ascii="Arial" w:hAnsi="Arial" w:cs="Arial"/>
          <w:kern w:val="0"/>
          <w:sz w:val="20"/>
          <w:szCs w:val="28"/>
        </w:rPr>
        <w:t>1套，技术参数：按国家建筑能耗监测系统技术导则将能耗数据上传至政府建筑能耗监测中心；</w:t>
      </w:r>
    </w:p>
    <w:p>
      <w:pPr>
        <w:pStyle w:val="2"/>
        <w:numPr>
          <w:ilvl w:val="0"/>
          <w:numId w:val="2"/>
        </w:numPr>
        <w:ind w:left="20" w:leftChars="0" w:firstLineChars="0"/>
      </w:pPr>
      <w:r>
        <w:rPr>
          <w:rFonts w:hint="eastAsia"/>
        </w:rPr>
        <w:t>数据对接</w:t>
      </w:r>
      <w:r>
        <w:rPr>
          <w:rFonts w:hint="eastAsia" w:ascii="Arial" w:hAnsi="Arial" w:cs="Arial"/>
          <w:kern w:val="0"/>
          <w:sz w:val="20"/>
          <w:szCs w:val="28"/>
        </w:rPr>
        <w:t>1套，技术参数：通过艾科智慧建筑能源管理平台软件直接采集对接客户软件系统仪表数据。2、适用于智慧建筑能源管理平台 V3.1。</w:t>
      </w:r>
    </w:p>
    <w:p>
      <w:pPr>
        <w:pStyle w:val="2"/>
        <w:numPr>
          <w:ilvl w:val="0"/>
          <w:numId w:val="2"/>
        </w:numPr>
        <w:ind w:left="20" w:leftChars="0" w:firstLine="400" w:firstLineChars="0"/>
      </w:pPr>
      <w:r>
        <w:rPr>
          <w:rFonts w:hint="eastAsia" w:ascii="Arial" w:hAnsi="Arial" w:cs="Arial"/>
          <w:kern w:val="0"/>
          <w:sz w:val="20"/>
          <w:szCs w:val="28"/>
        </w:rPr>
        <w:t>H-WJLLJ(外夹式)远传水表3台，技术参数：DN100；</w:t>
      </w:r>
    </w:p>
    <w:p>
      <w:pPr>
        <w:pStyle w:val="2"/>
        <w:numPr>
          <w:ilvl w:val="0"/>
          <w:numId w:val="2"/>
        </w:numPr>
        <w:ind w:left="20" w:leftChars="0" w:firstLine="400" w:firstLineChars="0"/>
      </w:pPr>
      <w:r>
        <w:rPr>
          <w:rFonts w:hint="eastAsia" w:ascii="Arial" w:hAnsi="Arial" w:cs="Arial"/>
          <w:kern w:val="0"/>
          <w:sz w:val="20"/>
          <w:szCs w:val="28"/>
        </w:rPr>
        <w:t>H-WJLLJ(外夹式)远传水表2台，技术参数：</w:t>
      </w:r>
      <w:r>
        <w:rPr>
          <w:rFonts w:hint="eastAsia"/>
          <w:sz w:val="24"/>
          <w:szCs w:val="24"/>
        </w:rPr>
        <w:t>DN150</w:t>
      </w:r>
      <w:r>
        <w:rPr>
          <w:rFonts w:hint="eastAsia" w:ascii="Arial" w:hAnsi="Arial" w:cs="Arial"/>
          <w:kern w:val="0"/>
          <w:sz w:val="20"/>
          <w:szCs w:val="28"/>
        </w:rPr>
        <w:t>；</w:t>
      </w:r>
    </w:p>
    <w:p>
      <w:pPr>
        <w:pStyle w:val="2"/>
        <w:numPr>
          <w:ilvl w:val="0"/>
          <w:numId w:val="2"/>
        </w:numPr>
        <w:ind w:left="20" w:leftChars="0" w:firstLine="400" w:firstLineChars="0"/>
      </w:pPr>
      <w:r>
        <w:rPr>
          <w:rFonts w:hint="eastAsia" w:ascii="Arial" w:hAnsi="Arial" w:cs="Arial"/>
          <w:kern w:val="0"/>
          <w:sz w:val="20"/>
          <w:szCs w:val="28"/>
        </w:rPr>
        <w:t>H-WJLLJ(外夹式)远传水表1台，技术参数：DN65；</w:t>
      </w:r>
    </w:p>
    <w:p>
      <w:pPr>
        <w:pStyle w:val="2"/>
        <w:numPr>
          <w:ilvl w:val="0"/>
          <w:numId w:val="2"/>
        </w:numPr>
        <w:ind w:left="20" w:leftChars="0" w:firstLine="400" w:firstLineChars="0"/>
      </w:pPr>
      <w:r>
        <w:rPr>
          <w:rFonts w:hint="eastAsia" w:ascii="Arial" w:hAnsi="Arial" w:cs="Arial"/>
          <w:kern w:val="0"/>
          <w:sz w:val="20"/>
          <w:szCs w:val="28"/>
        </w:rPr>
        <w:t>H-WJLLJ(外夹式)远传水表1台，技术参数：DN50；</w:t>
      </w:r>
    </w:p>
    <w:p>
      <w:pPr>
        <w:pStyle w:val="2"/>
        <w:numPr>
          <w:ilvl w:val="0"/>
          <w:numId w:val="2"/>
        </w:numPr>
        <w:ind w:left="20" w:leftChars="0" w:firstLine="400" w:firstLineChars="0"/>
      </w:pPr>
      <w:r>
        <w:rPr>
          <w:rFonts w:hint="eastAsia" w:ascii="Arial" w:hAnsi="Arial" w:cs="Arial"/>
          <w:kern w:val="0"/>
          <w:sz w:val="20"/>
          <w:szCs w:val="28"/>
        </w:rPr>
        <w:t>捷先远传水表1台，技术参数：</w:t>
      </w:r>
      <w:r>
        <w:rPr>
          <w:rFonts w:hint="eastAsia"/>
          <w:sz w:val="24"/>
          <w:szCs w:val="24"/>
        </w:rPr>
        <w:t>DN50；</w:t>
      </w:r>
    </w:p>
    <w:p>
      <w:pPr>
        <w:pStyle w:val="2"/>
        <w:numPr>
          <w:ilvl w:val="0"/>
          <w:numId w:val="2"/>
        </w:numPr>
        <w:ind w:left="20" w:leftChars="0" w:firstLine="400" w:firstLineChars="0"/>
      </w:pPr>
      <w:r>
        <w:rPr>
          <w:rFonts w:hint="eastAsia" w:ascii="Arial" w:hAnsi="Arial" w:cs="Arial"/>
          <w:kern w:val="0"/>
          <w:sz w:val="20"/>
          <w:szCs w:val="28"/>
        </w:rPr>
        <w:t>H-WJLRLC外夹式)远传能量表2台，技术参数：</w:t>
      </w:r>
      <w:r>
        <w:rPr>
          <w:rFonts w:hint="eastAsia"/>
          <w:sz w:val="24"/>
          <w:szCs w:val="24"/>
        </w:rPr>
        <w:t>DN150</w:t>
      </w:r>
      <w:r>
        <w:rPr>
          <w:rFonts w:hint="eastAsia" w:ascii="Arial" w:hAnsi="Arial" w:cs="Arial"/>
          <w:kern w:val="0"/>
          <w:sz w:val="20"/>
          <w:szCs w:val="28"/>
        </w:rPr>
        <w:t>；</w:t>
      </w:r>
    </w:p>
    <w:p>
      <w:pPr>
        <w:pStyle w:val="2"/>
        <w:numPr>
          <w:ilvl w:val="0"/>
          <w:numId w:val="2"/>
        </w:numPr>
        <w:ind w:left="20" w:leftChars="0" w:firstLine="400" w:firstLineChars="0"/>
      </w:pPr>
      <w:r>
        <w:rPr>
          <w:rFonts w:hint="eastAsia" w:ascii="Arial" w:hAnsi="Arial" w:cs="Arial"/>
          <w:kern w:val="0"/>
          <w:sz w:val="20"/>
          <w:szCs w:val="28"/>
        </w:rPr>
        <w:t>H-WJLRL(外夹式)远传能量表2台，技术参数：</w:t>
      </w:r>
      <w:r>
        <w:rPr>
          <w:rFonts w:hint="eastAsia"/>
          <w:sz w:val="24"/>
          <w:szCs w:val="24"/>
        </w:rPr>
        <w:t>DN350</w:t>
      </w:r>
      <w:r>
        <w:rPr>
          <w:rFonts w:hint="eastAsia" w:ascii="Arial" w:hAnsi="Arial" w:cs="Arial"/>
          <w:kern w:val="0"/>
          <w:sz w:val="20"/>
          <w:szCs w:val="28"/>
        </w:rPr>
        <w:t>；</w:t>
      </w:r>
    </w:p>
    <w:p>
      <w:pPr>
        <w:pStyle w:val="2"/>
        <w:numPr>
          <w:ilvl w:val="0"/>
          <w:numId w:val="2"/>
        </w:numPr>
        <w:ind w:left="20" w:leftChars="0" w:firstLine="400" w:firstLineChars="0"/>
      </w:pPr>
      <w:r>
        <w:rPr>
          <w:rFonts w:hint="eastAsia" w:ascii="Arial" w:hAnsi="Arial" w:cs="Arial"/>
          <w:kern w:val="0"/>
          <w:sz w:val="20"/>
          <w:szCs w:val="28"/>
        </w:rPr>
        <w:t>H-WJLRL(外夹式)远传能量表1台，技术参数：DN250；</w:t>
      </w:r>
    </w:p>
    <w:p>
      <w:pPr>
        <w:pStyle w:val="2"/>
        <w:numPr>
          <w:ilvl w:val="0"/>
          <w:numId w:val="2"/>
        </w:numPr>
        <w:ind w:left="20" w:leftChars="0" w:firstLine="400" w:firstLineChars="0"/>
      </w:pPr>
      <w:r>
        <w:rPr>
          <w:rFonts w:hint="eastAsia" w:ascii="Arial" w:hAnsi="Arial" w:cs="Arial"/>
          <w:kern w:val="0"/>
          <w:sz w:val="20"/>
          <w:szCs w:val="28"/>
        </w:rPr>
        <w:t>H-WJLRL(外夹式)远传能量表1台，技术参数：</w:t>
      </w:r>
      <w:r>
        <w:rPr>
          <w:rFonts w:hint="eastAsia"/>
          <w:sz w:val="24"/>
          <w:szCs w:val="24"/>
        </w:rPr>
        <w:t>DN500</w:t>
      </w:r>
      <w:r>
        <w:rPr>
          <w:rFonts w:hint="eastAsia" w:ascii="Arial" w:hAnsi="Arial" w:cs="Arial"/>
          <w:kern w:val="0"/>
          <w:sz w:val="20"/>
          <w:szCs w:val="28"/>
        </w:rPr>
        <w:t>；</w:t>
      </w:r>
    </w:p>
    <w:p>
      <w:pPr>
        <w:pStyle w:val="2"/>
        <w:numPr>
          <w:ilvl w:val="0"/>
          <w:numId w:val="2"/>
        </w:numPr>
        <w:ind w:left="20" w:leftChars="0" w:firstLine="400" w:firstLineChars="0"/>
      </w:pPr>
      <w:r>
        <w:rPr>
          <w:rFonts w:hint="eastAsia" w:ascii="Arial" w:hAnsi="Arial" w:cs="Arial"/>
          <w:kern w:val="0"/>
          <w:sz w:val="20"/>
          <w:szCs w:val="28"/>
        </w:rPr>
        <w:t>TP-LINK交换机1台，技术参数：</w:t>
      </w:r>
      <w:r>
        <w:rPr>
          <w:rFonts w:hint="eastAsia"/>
          <w:sz w:val="24"/>
          <w:szCs w:val="24"/>
        </w:rPr>
        <w:t>8口网络交换机</w:t>
      </w:r>
      <w:r>
        <w:rPr>
          <w:rFonts w:hint="eastAsia" w:ascii="Arial" w:hAnsi="Arial" w:cs="Arial"/>
          <w:kern w:val="0"/>
          <w:sz w:val="20"/>
          <w:szCs w:val="28"/>
        </w:rPr>
        <w:t>；</w:t>
      </w:r>
      <w:r>
        <w:rPr>
          <w:rFonts w:hint="eastAsia" w:ascii="Arial" w:hAnsi="Arial" w:cs="Arial"/>
          <w:kern w:val="0"/>
          <w:sz w:val="20"/>
          <w:szCs w:val="28"/>
        </w:rPr>
        <w:tab/>
      </w:r>
    </w:p>
    <w:p>
      <w:pPr>
        <w:pStyle w:val="2"/>
        <w:numPr>
          <w:ilvl w:val="0"/>
          <w:numId w:val="2"/>
        </w:numPr>
        <w:ind w:left="20" w:leftChars="0" w:firstLine="400" w:firstLineChars="0"/>
      </w:pPr>
      <w:r>
        <w:rPr>
          <w:rFonts w:hint="eastAsia" w:ascii="Arial" w:hAnsi="Arial" w:cs="Arial"/>
          <w:kern w:val="0"/>
          <w:sz w:val="20"/>
          <w:szCs w:val="28"/>
        </w:rPr>
        <w:t>联想/DELL服务器</w:t>
      </w:r>
      <w:r>
        <w:rPr>
          <w:rFonts w:hint="eastAsia" w:ascii="Arial" w:hAnsi="Arial" w:cs="Arial"/>
          <w:kern w:val="0"/>
          <w:sz w:val="20"/>
          <w:szCs w:val="28"/>
        </w:rPr>
        <w:tab/>
      </w:r>
      <w:r>
        <w:rPr>
          <w:rFonts w:hint="eastAsia" w:ascii="Arial" w:hAnsi="Arial" w:cs="Arial"/>
          <w:kern w:val="0"/>
          <w:sz w:val="20"/>
          <w:szCs w:val="28"/>
        </w:rPr>
        <w:t>1台，技术参数：硬件环境:(1)500G以上.(2) 内存:8GB及以上(3)CPU:15及以上(4)显示器尺寸建议19寸及以上.。</w:t>
      </w:r>
    </w:p>
    <w:p>
      <w:pPr>
        <w:pStyle w:val="2"/>
        <w:numPr>
          <w:numId w:val="0"/>
        </w:numPr>
        <w:ind w:left="420" w:leftChars="0"/>
        <w:rPr>
          <w:rFonts w:hint="eastAsia" w:ascii="Arial" w:hAnsi="Arial" w:cs="Arial"/>
          <w:kern w:val="0"/>
          <w:sz w:val="20"/>
          <w:szCs w:val="28"/>
          <w:lang w:eastAsia="zh-CN"/>
        </w:rPr>
      </w:pPr>
    </w:p>
    <w:p>
      <w:pPr>
        <w:pStyle w:val="2"/>
        <w:numPr>
          <w:numId w:val="0"/>
        </w:numPr>
        <w:ind w:left="420" w:leftChars="0"/>
      </w:pPr>
      <w:r>
        <w:rPr>
          <w:rFonts w:hint="eastAsia" w:ascii="仿宋" w:hAnsi="仿宋" w:eastAsia="仿宋" w:cs="Times New Roman"/>
          <w:kern w:val="2"/>
          <w:sz w:val="28"/>
          <w:szCs w:val="28"/>
          <w:lang w:val="en-US" w:eastAsia="zh-CN" w:bidi="ar-SA"/>
        </w:rPr>
        <w:t>（二）清单式：</w:t>
      </w:r>
      <w:r>
        <w:rPr>
          <w:rFonts w:hint="eastAsia" w:ascii="Arial" w:hAnsi="Arial" w:cs="Arial"/>
          <w:kern w:val="0"/>
          <w:sz w:val="20"/>
          <w:szCs w:val="28"/>
        </w:rPr>
        <w:tab/>
      </w:r>
    </w:p>
    <w:tbl>
      <w:tblPr>
        <w:tblStyle w:val="42"/>
        <w:tblpPr w:leftFromText="180" w:rightFromText="180" w:vertAnchor="text" w:horzAnchor="page" w:tblpX="1657" w:tblpY="616"/>
        <w:tblOverlap w:val="never"/>
        <w:tblW w:w="8698"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Grid>
        <w:gridCol w:w="870"/>
        <w:gridCol w:w="1478"/>
        <w:gridCol w:w="1029"/>
        <w:gridCol w:w="1574"/>
        <w:gridCol w:w="3747"/>
      </w:tblGrid>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tcBorders>
              <w:top w:val="single" w:color="A5A5A5" w:themeColor="accent3" w:sz="4" w:space="0"/>
              <w:left w:val="single" w:color="A5A5A5" w:themeColor="accent3" w:sz="4" w:space="0"/>
              <w:bottom w:val="single" w:color="A5A5A5" w:themeColor="accent3" w:sz="4" w:space="0"/>
              <w:right w:val="nil"/>
              <w:insideH w:val="single" w:sz="4" w:space="0"/>
              <w:insideV w:val="nil"/>
            </w:tcBorders>
            <w:shd w:val="clear" w:color="auto" w:fill="A5A5A5" w:themeFill="accent3"/>
            <w:vAlign w:val="center"/>
          </w:tcPr>
          <w:p>
            <w:pPr>
              <w:widowControl/>
              <w:jc w:val="center"/>
              <w:rPr>
                <w:rFonts w:ascii="Arial" w:hAnsi="Arial" w:cs="Arial"/>
                <w:b w:val="0"/>
                <w:bCs w:val="0"/>
                <w:color w:val="FFFFFF" w:themeColor="background1"/>
                <w:kern w:val="0"/>
                <w:sz w:val="24"/>
                <w:szCs w:val="24"/>
                <w14:textFill>
                  <w14:solidFill>
                    <w14:schemeClr w14:val="bg1"/>
                  </w14:solidFill>
                </w14:textFill>
              </w:rPr>
            </w:pPr>
            <w:r>
              <w:rPr>
                <w:rFonts w:hAnsi="Arial" w:cs="Arial"/>
                <w:b/>
                <w:bCs/>
                <w:color w:val="auto"/>
                <w:kern w:val="24"/>
                <w:sz w:val="24"/>
                <w:szCs w:val="24"/>
              </w:rPr>
              <w:t>序号</w:t>
            </w:r>
          </w:p>
        </w:tc>
        <w:tc>
          <w:tcPr>
            <w:tcW w:w="1478" w:type="dxa"/>
            <w:tcBorders>
              <w:top w:val="single" w:color="A5A5A5" w:themeColor="accent3" w:sz="4" w:space="0"/>
              <w:bottom w:val="single" w:color="A5A5A5" w:themeColor="accent3" w:sz="4" w:space="0"/>
              <w:right w:val="nil"/>
              <w:insideH w:val="single" w:sz="4" w:space="0"/>
              <w:insideV w:val="nil"/>
            </w:tcBorders>
            <w:shd w:val="clear" w:color="auto" w:fill="A5A5A5" w:themeFill="accent3"/>
            <w:vAlign w:val="center"/>
          </w:tcPr>
          <w:p>
            <w:pPr>
              <w:widowControl/>
              <w:jc w:val="center"/>
              <w:rPr>
                <w:rFonts w:ascii="Arial" w:hAnsi="Arial" w:cs="Arial"/>
                <w:b w:val="0"/>
                <w:bCs w:val="0"/>
                <w:color w:val="FFFFFF" w:themeColor="background1"/>
                <w:kern w:val="0"/>
                <w:sz w:val="24"/>
                <w:szCs w:val="24"/>
                <w14:textFill>
                  <w14:solidFill>
                    <w14:schemeClr w14:val="bg1"/>
                  </w14:solidFill>
                </w14:textFill>
              </w:rPr>
            </w:pPr>
            <w:r>
              <w:rPr>
                <w:rFonts w:hAnsi="Arial" w:cs="Arial"/>
                <w:b/>
                <w:bCs/>
                <w:color w:val="auto"/>
                <w:kern w:val="24"/>
                <w:sz w:val="24"/>
                <w:szCs w:val="24"/>
              </w:rPr>
              <w:t>货物名称</w:t>
            </w:r>
          </w:p>
        </w:tc>
        <w:tc>
          <w:tcPr>
            <w:tcW w:w="1029" w:type="dxa"/>
            <w:tcBorders>
              <w:top w:val="single" w:color="A5A5A5" w:themeColor="accent3" w:sz="4" w:space="0"/>
              <w:bottom w:val="single" w:color="A5A5A5" w:themeColor="accent3" w:sz="4" w:space="0"/>
              <w:right w:val="nil"/>
              <w:insideH w:val="single" w:sz="4" w:space="0"/>
              <w:insideV w:val="nil"/>
            </w:tcBorders>
            <w:shd w:val="clear" w:color="auto" w:fill="A5A5A5" w:themeFill="accent3"/>
            <w:vAlign w:val="center"/>
          </w:tcPr>
          <w:p>
            <w:pPr>
              <w:widowControl/>
              <w:jc w:val="center"/>
              <w:rPr>
                <w:rFonts w:ascii="Arial" w:hAnsi="Arial" w:cs="Arial"/>
                <w:b w:val="0"/>
                <w:bCs w:val="0"/>
                <w:color w:val="FFFFFF" w:themeColor="background1"/>
                <w:kern w:val="0"/>
                <w:sz w:val="24"/>
                <w:szCs w:val="24"/>
                <w14:textFill>
                  <w14:solidFill>
                    <w14:schemeClr w14:val="bg1"/>
                  </w14:solidFill>
                </w14:textFill>
              </w:rPr>
            </w:pPr>
            <w:r>
              <w:rPr>
                <w:rFonts w:hAnsi="Arial" w:cs="Arial"/>
                <w:b/>
                <w:bCs/>
                <w:color w:val="auto"/>
                <w:kern w:val="24"/>
                <w:sz w:val="24"/>
                <w:szCs w:val="24"/>
              </w:rPr>
              <w:t>数量</w:t>
            </w:r>
          </w:p>
        </w:tc>
        <w:tc>
          <w:tcPr>
            <w:tcW w:w="1574" w:type="dxa"/>
            <w:tcBorders>
              <w:top w:val="single" w:color="A5A5A5" w:themeColor="accent3" w:sz="4" w:space="0"/>
              <w:bottom w:val="single" w:color="A5A5A5" w:themeColor="accent3" w:sz="4" w:space="0"/>
              <w:right w:val="nil"/>
              <w:insideH w:val="single" w:sz="4" w:space="0"/>
              <w:insideV w:val="nil"/>
            </w:tcBorders>
            <w:shd w:val="clear" w:color="auto" w:fill="A5A5A5" w:themeFill="accent3"/>
            <w:vAlign w:val="center"/>
          </w:tcPr>
          <w:p>
            <w:pPr>
              <w:widowControl/>
              <w:jc w:val="center"/>
              <w:rPr>
                <w:rFonts w:ascii="Arial" w:hAnsi="Arial" w:cs="Arial"/>
                <w:b w:val="0"/>
                <w:bCs w:val="0"/>
                <w:color w:val="FFFFFF" w:themeColor="background1"/>
                <w:kern w:val="0"/>
                <w:sz w:val="24"/>
                <w:szCs w:val="24"/>
                <w14:textFill>
                  <w14:solidFill>
                    <w14:schemeClr w14:val="bg1"/>
                  </w14:solidFill>
                </w14:textFill>
              </w:rPr>
            </w:pPr>
            <w:r>
              <w:rPr>
                <w:rFonts w:hAnsi="Arial" w:cs="Arial"/>
                <w:b/>
                <w:bCs/>
                <w:color w:val="auto"/>
                <w:kern w:val="24"/>
                <w:sz w:val="24"/>
                <w:szCs w:val="24"/>
              </w:rPr>
              <w:t>规格</w:t>
            </w:r>
          </w:p>
        </w:tc>
        <w:tc>
          <w:tcPr>
            <w:tcW w:w="3747" w:type="dxa"/>
            <w:tcBorders>
              <w:top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vAlign w:val="center"/>
          </w:tcPr>
          <w:p>
            <w:pPr>
              <w:widowControl/>
              <w:jc w:val="center"/>
              <w:rPr>
                <w:rFonts w:hAnsi="Arial" w:cs="Arial"/>
                <w:b w:val="0"/>
                <w:bCs w:val="0"/>
                <w:color w:val="FFFFFF" w:themeColor="background1"/>
                <w:kern w:val="24"/>
                <w:sz w:val="24"/>
                <w:szCs w:val="24"/>
                <w14:textFill>
                  <w14:solidFill>
                    <w14:schemeClr w14:val="bg1"/>
                  </w14:solidFill>
                </w14:textFill>
              </w:rPr>
            </w:pPr>
            <w:r>
              <w:rPr>
                <w:rFonts w:hint="eastAsia" w:hAnsi="Arial" w:cs="Arial"/>
                <w:b/>
                <w:bCs/>
                <w:color w:val="auto"/>
                <w:kern w:val="24"/>
                <w:sz w:val="24"/>
                <w:szCs w:val="24"/>
              </w:rPr>
              <w:t>技术参数</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ascii="Arial" w:hAnsi="Arial" w:cs="Arial"/>
                <w:b/>
                <w:bCs/>
                <w:kern w:val="0"/>
                <w:sz w:val="24"/>
                <w:szCs w:val="24"/>
              </w:rPr>
            </w:pPr>
            <w:r>
              <w:rPr>
                <w:rFonts w:cs="Arial"/>
                <w:b/>
                <w:bCs/>
                <w:kern w:val="24"/>
                <w:sz w:val="24"/>
                <w:szCs w:val="24"/>
              </w:rPr>
              <w:t>1</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能耗数据采集器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2台</w:t>
            </w:r>
          </w:p>
        </w:tc>
        <w:tc>
          <w:tcPr>
            <w:tcW w:w="1574" w:type="dxa"/>
            <w:shd w:val="clear" w:color="auto" w:fill="ECECEC" w:themeFill="accent3" w:themeFillTint="33"/>
            <w:vAlign w:val="center"/>
          </w:tcPr>
          <w:p>
            <w:pPr>
              <w:jc w:val="center"/>
              <w:rPr>
                <w:sz w:val="24"/>
                <w:szCs w:val="24"/>
              </w:rPr>
            </w:pPr>
          </w:p>
        </w:tc>
        <w:tc>
          <w:tcPr>
            <w:tcW w:w="3747" w:type="dxa"/>
            <w:shd w:val="clear" w:color="auto" w:fill="ECECEC" w:themeFill="accent3" w:themeFillTint="33"/>
            <w:vAlign w:val="center"/>
          </w:tcPr>
          <w:p>
            <w:pPr>
              <w:jc w:val="center"/>
              <w:rPr>
                <w:sz w:val="24"/>
                <w:szCs w:val="24"/>
              </w:rPr>
            </w:pPr>
            <w:r>
              <w:rPr>
                <w:rFonts w:hint="eastAsia"/>
                <w:sz w:val="24"/>
                <w:szCs w:val="24"/>
              </w:rPr>
              <w:t>支持1路RJ45、4路RS485、1路M-BUS。输出12DC和24DC电源。</w:t>
            </w:r>
          </w:p>
          <w:p>
            <w:pPr>
              <w:jc w:val="center"/>
              <w:rPr>
                <w:sz w:val="24"/>
                <w:szCs w:val="24"/>
              </w:rPr>
            </w:pPr>
            <w:r>
              <w:rPr>
                <w:rFonts w:hint="eastAsia"/>
                <w:sz w:val="24"/>
                <w:szCs w:val="24"/>
              </w:rPr>
              <w:t>上下行可配置；</w:t>
            </w:r>
          </w:p>
          <w:p>
            <w:pPr>
              <w:jc w:val="center"/>
              <w:rPr>
                <w:sz w:val="24"/>
                <w:szCs w:val="24"/>
              </w:rPr>
            </w:pPr>
            <w:r>
              <w:rPr>
                <w:rFonts w:hint="eastAsia"/>
                <w:sz w:val="24"/>
                <w:szCs w:val="24"/>
              </w:rPr>
              <w:t>第一个Q：代表企业协议；</w:t>
            </w:r>
          </w:p>
          <w:p>
            <w:pPr>
              <w:jc w:val="center"/>
              <w:rPr>
                <w:sz w:val="24"/>
                <w:szCs w:val="24"/>
              </w:rPr>
            </w:pPr>
            <w:r>
              <w:rPr>
                <w:rFonts w:hint="eastAsia"/>
                <w:sz w:val="24"/>
                <w:szCs w:val="24"/>
              </w:rPr>
              <w:t>第二个S:代表硬件标配</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vAlign w:val="center"/>
          </w:tcPr>
          <w:p>
            <w:pPr>
              <w:widowControl/>
              <w:jc w:val="center"/>
              <w:rPr>
                <w:rFonts w:ascii="Arial" w:hAnsi="Arial" w:cs="Arial"/>
                <w:b/>
                <w:bCs/>
                <w:kern w:val="0"/>
                <w:sz w:val="24"/>
                <w:szCs w:val="24"/>
              </w:rPr>
            </w:pPr>
            <w:r>
              <w:rPr>
                <w:rFonts w:cs="Arial"/>
                <w:b/>
                <w:bCs/>
                <w:kern w:val="24"/>
                <w:sz w:val="24"/>
                <w:szCs w:val="24"/>
              </w:rPr>
              <w:t>2</w:t>
            </w:r>
          </w:p>
        </w:tc>
        <w:tc>
          <w:tcPr>
            <w:tcW w:w="1478" w:type="dxa"/>
            <w:vAlign w:val="center"/>
          </w:tcPr>
          <w:p>
            <w:pPr>
              <w:widowControl/>
              <w:jc w:val="center"/>
              <w:rPr>
                <w:rFonts w:ascii="Arial" w:hAnsi="Arial" w:cs="Arial"/>
                <w:kern w:val="0"/>
                <w:sz w:val="24"/>
                <w:szCs w:val="24"/>
              </w:rPr>
            </w:pPr>
            <w:r>
              <w:rPr>
                <w:rFonts w:hint="eastAsia" w:ascii="Arial" w:hAnsi="Arial" w:cs="Arial"/>
                <w:kern w:val="0"/>
                <w:sz w:val="24"/>
                <w:szCs w:val="24"/>
              </w:rPr>
              <w:t>能源计量管理系统软件</w:t>
            </w:r>
          </w:p>
        </w:tc>
        <w:tc>
          <w:tcPr>
            <w:tcW w:w="1029" w:type="dxa"/>
            <w:vAlign w:val="center"/>
          </w:tcPr>
          <w:p>
            <w:pPr>
              <w:widowControl/>
              <w:jc w:val="center"/>
              <w:rPr>
                <w:rFonts w:ascii="Arial" w:hAnsi="Arial" w:cs="Arial"/>
                <w:kern w:val="0"/>
                <w:sz w:val="24"/>
                <w:szCs w:val="24"/>
              </w:rPr>
            </w:pPr>
            <w:r>
              <w:rPr>
                <w:rFonts w:hint="eastAsia" w:ascii="Arial" w:hAnsi="Arial" w:cs="Arial"/>
                <w:kern w:val="0"/>
                <w:sz w:val="24"/>
                <w:szCs w:val="24"/>
              </w:rPr>
              <w:t>1套</w:t>
            </w:r>
          </w:p>
        </w:tc>
        <w:tc>
          <w:tcPr>
            <w:tcW w:w="1574" w:type="dxa"/>
            <w:vAlign w:val="center"/>
          </w:tcPr>
          <w:p>
            <w:pPr>
              <w:widowControl/>
              <w:jc w:val="center"/>
              <w:rPr>
                <w:rFonts w:ascii="Arial" w:hAnsi="Arial" w:cs="Arial"/>
                <w:kern w:val="0"/>
                <w:sz w:val="24"/>
                <w:szCs w:val="24"/>
              </w:rPr>
            </w:pPr>
          </w:p>
        </w:tc>
        <w:tc>
          <w:tcPr>
            <w:tcW w:w="3747" w:type="dxa"/>
            <w:vAlign w:val="center"/>
          </w:tcPr>
          <w:p>
            <w:pPr>
              <w:widowControl/>
              <w:jc w:val="center"/>
              <w:rPr>
                <w:rFonts w:ascii="Arial" w:hAnsi="Arial" w:cs="Arial"/>
                <w:kern w:val="0"/>
                <w:sz w:val="24"/>
                <w:szCs w:val="24"/>
              </w:rPr>
            </w:pPr>
            <w:r>
              <w:rPr>
                <w:rFonts w:hint="eastAsia" w:ascii="Arial" w:hAnsi="Arial" w:cs="Arial"/>
                <w:kern w:val="0"/>
                <w:sz w:val="24"/>
                <w:szCs w:val="24"/>
              </w:rPr>
              <w:t>1、B/S架构，应用于园区或单栋建筑；</w:t>
            </w:r>
          </w:p>
          <w:p>
            <w:pPr>
              <w:widowControl/>
              <w:jc w:val="center"/>
              <w:rPr>
                <w:rFonts w:ascii="Arial" w:hAnsi="Arial" w:cs="Arial"/>
                <w:kern w:val="0"/>
                <w:sz w:val="24"/>
                <w:szCs w:val="24"/>
              </w:rPr>
            </w:pPr>
            <w:r>
              <w:rPr>
                <w:rFonts w:hint="eastAsia" w:ascii="Arial" w:hAnsi="Arial" w:cs="Arial"/>
                <w:kern w:val="0"/>
                <w:sz w:val="24"/>
                <w:szCs w:val="24"/>
              </w:rPr>
              <w:t>2、以能耗数据采集器为采集设备的系统；</w:t>
            </w:r>
          </w:p>
          <w:p>
            <w:pPr>
              <w:widowControl/>
              <w:jc w:val="center"/>
              <w:rPr>
                <w:rFonts w:ascii="Arial" w:hAnsi="Arial" w:cs="Arial"/>
                <w:kern w:val="0"/>
                <w:sz w:val="24"/>
                <w:szCs w:val="24"/>
              </w:rPr>
            </w:pPr>
            <w:r>
              <w:rPr>
                <w:rFonts w:hint="eastAsia" w:ascii="Arial" w:hAnsi="Arial" w:cs="Arial"/>
                <w:kern w:val="0"/>
                <w:sz w:val="24"/>
                <w:szCs w:val="24"/>
              </w:rPr>
              <w:t>3、主要用于能耗查看。</w:t>
            </w:r>
          </w:p>
          <w:p>
            <w:pPr>
              <w:widowControl/>
              <w:jc w:val="center"/>
              <w:rPr>
                <w:rFonts w:ascii="Arial" w:hAnsi="Arial" w:cs="Arial"/>
                <w:kern w:val="0"/>
                <w:sz w:val="24"/>
                <w:szCs w:val="24"/>
              </w:rPr>
            </w:pPr>
            <w:r>
              <w:rPr>
                <w:rFonts w:hint="eastAsia" w:ascii="Arial" w:hAnsi="Arial" w:cs="Arial"/>
                <w:kern w:val="0"/>
                <w:sz w:val="24"/>
                <w:szCs w:val="24"/>
              </w:rPr>
              <w:t>功能:</w:t>
            </w:r>
          </w:p>
          <w:p>
            <w:pPr>
              <w:widowControl/>
              <w:numPr>
                <w:ilvl w:val="0"/>
                <w:numId w:val="3"/>
              </w:numPr>
              <w:jc w:val="center"/>
              <w:rPr>
                <w:rFonts w:ascii="Arial" w:hAnsi="Arial" w:cs="Arial"/>
                <w:kern w:val="0"/>
                <w:sz w:val="24"/>
                <w:szCs w:val="24"/>
              </w:rPr>
            </w:pPr>
            <w:r>
              <w:rPr>
                <w:rFonts w:hint="eastAsia" w:ascii="Arial" w:hAnsi="Arial" w:cs="Arial"/>
                <w:kern w:val="0"/>
                <w:sz w:val="24"/>
                <w:szCs w:val="24"/>
              </w:rPr>
              <w:t>能耗支路分析:单仪表状态值、用量值的分析图表；</w:t>
            </w:r>
          </w:p>
          <w:p>
            <w:pPr>
              <w:widowControl/>
              <w:jc w:val="center"/>
              <w:rPr>
                <w:rFonts w:ascii="Arial" w:hAnsi="Arial" w:cs="Arial"/>
                <w:kern w:val="0"/>
                <w:sz w:val="24"/>
                <w:szCs w:val="24"/>
              </w:rPr>
            </w:pPr>
            <w:r>
              <w:rPr>
                <w:rFonts w:hint="eastAsia" w:ascii="Arial" w:hAnsi="Arial" w:cs="Arial"/>
                <w:kern w:val="0"/>
                <w:sz w:val="24"/>
                <w:szCs w:val="24"/>
              </w:rPr>
              <w:t>2、区域能耗报表:计量区域的每个采集点能耗统计报表，包括水电气、能量型、时间型、VAV；</w:t>
            </w:r>
          </w:p>
          <w:p>
            <w:pPr>
              <w:widowControl/>
              <w:jc w:val="center"/>
              <w:rPr>
                <w:rFonts w:ascii="Arial" w:hAnsi="Arial" w:cs="Arial"/>
                <w:kern w:val="0"/>
                <w:sz w:val="24"/>
                <w:szCs w:val="24"/>
              </w:rPr>
            </w:pPr>
            <w:r>
              <w:rPr>
                <w:rFonts w:hint="eastAsia" w:ascii="Arial" w:hAnsi="Arial" w:cs="Arial"/>
                <w:kern w:val="0"/>
                <w:sz w:val="24"/>
                <w:szCs w:val="24"/>
              </w:rPr>
              <w:t>3、基础模块:仪表数据采集、仪表资料、建筑资料、授权中心等模块，以及设备故障报警、抄表报警和上传报警等语音、弹窗报警。</w:t>
            </w:r>
          </w:p>
          <w:p>
            <w:pPr>
              <w:widowControl/>
              <w:jc w:val="center"/>
              <w:rPr>
                <w:rFonts w:ascii="Arial" w:hAnsi="Arial" w:cs="Arial"/>
                <w:kern w:val="0"/>
                <w:sz w:val="24"/>
                <w:szCs w:val="24"/>
              </w:rPr>
            </w:pPr>
            <w:r>
              <w:rPr>
                <w:rFonts w:hint="eastAsia" w:ascii="Arial" w:hAnsi="Arial" w:cs="Arial"/>
                <w:kern w:val="0"/>
                <w:sz w:val="24"/>
                <w:szCs w:val="24"/>
              </w:rPr>
              <w:t>4、建筑能耗分析:建筑及其计量区域的能耗分类分项的分析图表、多栋建筑排名、同比、指标、建筑类别的能耗分析:</w:t>
            </w:r>
          </w:p>
          <w:p>
            <w:pPr>
              <w:widowControl/>
              <w:jc w:val="center"/>
              <w:rPr>
                <w:rFonts w:ascii="Arial" w:hAnsi="Arial" w:cs="Arial"/>
                <w:kern w:val="0"/>
                <w:sz w:val="24"/>
                <w:szCs w:val="24"/>
              </w:rPr>
            </w:pPr>
            <w:r>
              <w:rPr>
                <w:rFonts w:hint="eastAsia" w:ascii="Arial" w:hAnsi="Arial" w:cs="Arial"/>
                <w:kern w:val="0"/>
                <w:sz w:val="24"/>
                <w:szCs w:val="24"/>
              </w:rPr>
              <w:t>5、空调能效分析:时间型当量空调用量分析图表、区域空调用冷分析，及空调系统能效系数、单价核算、单位建筑面积用冷量分析</w:t>
            </w:r>
          </w:p>
          <w:p>
            <w:pPr>
              <w:widowControl/>
              <w:jc w:val="center"/>
              <w:rPr>
                <w:rFonts w:ascii="Arial" w:hAnsi="Arial" w:cs="Arial"/>
                <w:kern w:val="0"/>
                <w:sz w:val="24"/>
                <w:szCs w:val="24"/>
              </w:rPr>
            </w:pPr>
            <w:r>
              <w:rPr>
                <w:rFonts w:hint="eastAsia" w:ascii="Arial" w:hAnsi="Arial" w:cs="Arial"/>
                <w:kern w:val="0"/>
                <w:sz w:val="24"/>
                <w:szCs w:val="24"/>
              </w:rPr>
              <w:t>6、建筑能耗报表:整栋建筑的分项用电、分类能耗、建筑类别电耗的统计报表;</w:t>
            </w:r>
          </w:p>
          <w:p>
            <w:pPr>
              <w:widowControl/>
              <w:jc w:val="center"/>
              <w:rPr>
                <w:rFonts w:ascii="Arial" w:hAnsi="Arial" w:cs="Arial"/>
                <w:kern w:val="0"/>
                <w:sz w:val="24"/>
                <w:szCs w:val="24"/>
              </w:rPr>
            </w:pPr>
            <w:r>
              <w:rPr>
                <w:rFonts w:hint="eastAsia" w:ascii="Arial" w:hAnsi="Arial" w:cs="Arial"/>
                <w:kern w:val="0"/>
                <w:sz w:val="24"/>
                <w:szCs w:val="24"/>
              </w:rPr>
              <w:t>7、建筑能耗预警:区域能耗超标、跑冒滴漏以及用能异常等预警；</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ascii="Arial" w:hAnsi="Arial" w:cs="Arial"/>
                <w:b/>
                <w:bCs/>
                <w:kern w:val="0"/>
                <w:sz w:val="24"/>
                <w:szCs w:val="24"/>
              </w:rPr>
            </w:pPr>
            <w:r>
              <w:rPr>
                <w:rFonts w:cs="Arial"/>
                <w:b/>
                <w:bCs/>
                <w:kern w:val="24"/>
                <w:sz w:val="24"/>
                <w:szCs w:val="24"/>
              </w:rPr>
              <w:t>3</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能耗数据上传</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1套</w:t>
            </w:r>
          </w:p>
        </w:tc>
        <w:tc>
          <w:tcPr>
            <w:tcW w:w="1574" w:type="dxa"/>
            <w:shd w:val="clear" w:color="auto" w:fill="ECECEC" w:themeFill="accent3" w:themeFillTint="33"/>
            <w:vAlign w:val="center"/>
          </w:tcPr>
          <w:p>
            <w:pPr>
              <w:widowControl/>
              <w:jc w:val="center"/>
              <w:rPr>
                <w:rFonts w:ascii="Arial" w:hAnsi="Arial" w:cs="Arial"/>
                <w:color w:val="FF0000"/>
                <w:kern w:val="0"/>
                <w:sz w:val="24"/>
                <w:szCs w:val="24"/>
              </w:rPr>
            </w:pPr>
          </w:p>
        </w:tc>
        <w:tc>
          <w:tcPr>
            <w:tcW w:w="3747" w:type="dxa"/>
            <w:shd w:val="clear" w:color="auto" w:fill="ECECEC" w:themeFill="accent3" w:themeFillTint="33"/>
            <w:vAlign w:val="center"/>
          </w:tcPr>
          <w:p>
            <w:pPr>
              <w:widowControl/>
              <w:jc w:val="center"/>
              <w:rPr>
                <w:sz w:val="24"/>
                <w:szCs w:val="24"/>
              </w:rPr>
            </w:pPr>
            <w:r>
              <w:rPr>
                <w:rFonts w:hint="eastAsia"/>
                <w:sz w:val="24"/>
                <w:szCs w:val="24"/>
              </w:rPr>
              <w:t>按国家建筑能耗监测系统技术导则将能耗数据上传至政府建筑能耗监测中心</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4</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数据对接</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1套</w:t>
            </w:r>
          </w:p>
        </w:tc>
        <w:tc>
          <w:tcPr>
            <w:tcW w:w="1574" w:type="dxa"/>
            <w:shd w:val="clear" w:color="auto" w:fill="ECECEC" w:themeFill="accent3" w:themeFillTint="33"/>
            <w:vAlign w:val="center"/>
          </w:tcPr>
          <w:p>
            <w:pPr>
              <w:widowControl/>
              <w:jc w:val="center"/>
              <w:rPr>
                <w:rFonts w:ascii="Arial" w:hAnsi="Arial" w:cs="Arial"/>
                <w:color w:val="FF0000"/>
                <w:kern w:val="0"/>
                <w:sz w:val="24"/>
                <w:szCs w:val="24"/>
              </w:rPr>
            </w:pPr>
          </w:p>
        </w:tc>
        <w:tc>
          <w:tcPr>
            <w:tcW w:w="3747" w:type="dxa"/>
            <w:shd w:val="clear" w:color="auto" w:fill="ECECEC" w:themeFill="accent3" w:themeFillTint="33"/>
            <w:vAlign w:val="center"/>
          </w:tcPr>
          <w:p>
            <w:pPr>
              <w:widowControl/>
              <w:numPr>
                <w:ilvl w:val="0"/>
                <w:numId w:val="4"/>
              </w:numPr>
              <w:jc w:val="center"/>
              <w:rPr>
                <w:sz w:val="24"/>
                <w:szCs w:val="24"/>
              </w:rPr>
            </w:pPr>
            <w:r>
              <w:rPr>
                <w:rFonts w:hint="eastAsia"/>
                <w:sz w:val="24"/>
                <w:szCs w:val="24"/>
              </w:rPr>
              <w:t>通过艾科智慧建筑能源管理平台软件直接采集对接客户软件系统仪表数据</w:t>
            </w:r>
          </w:p>
          <w:p>
            <w:pPr>
              <w:widowControl/>
              <w:jc w:val="center"/>
              <w:rPr>
                <w:sz w:val="24"/>
                <w:szCs w:val="24"/>
              </w:rPr>
            </w:pPr>
            <w:r>
              <w:rPr>
                <w:rFonts w:hint="eastAsia"/>
                <w:sz w:val="24"/>
                <w:szCs w:val="24"/>
              </w:rPr>
              <w:t>2、适用于智慧建筑能源管理平台 V3.1。</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36"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5</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远传水表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3台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H-WJLLJ(外夹式)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DN100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6</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远传水表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2台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H-WJLLJ(外夹式)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DN150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7</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远传水表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H-WJLLJ(外夹式)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DN65</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8</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远传水表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H-WJLLJ(外夹式)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9</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远传水表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捷先</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10</w:t>
            </w:r>
          </w:p>
        </w:tc>
        <w:tc>
          <w:tcPr>
            <w:tcW w:w="1478"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远传能量表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2台</w:t>
            </w:r>
          </w:p>
        </w:tc>
        <w:tc>
          <w:tcPr>
            <w:tcW w:w="1574" w:type="dxa"/>
            <w:shd w:val="clear" w:color="auto" w:fill="ECECEC" w:themeFill="accent3" w:themeFillTint="33"/>
            <w:vAlign w:val="center"/>
          </w:tcPr>
          <w:p>
            <w:pPr>
              <w:widowControl/>
              <w:jc w:val="center"/>
              <w:rPr>
                <w:rFonts w:ascii="Arial" w:hAnsi="Arial" w:cs="Arial"/>
                <w:kern w:val="0"/>
                <w:sz w:val="24"/>
                <w:szCs w:val="24"/>
              </w:rPr>
            </w:pPr>
            <w:r>
              <w:rPr>
                <w:rFonts w:hint="eastAsia"/>
                <w:sz w:val="24"/>
                <w:szCs w:val="24"/>
              </w:rPr>
              <w:t>H-WJLRLC外夹式)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DN150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11</w:t>
            </w:r>
          </w:p>
        </w:tc>
        <w:tc>
          <w:tcPr>
            <w:tcW w:w="1478" w:type="dxa"/>
            <w:shd w:val="clear" w:color="auto" w:fill="ECECEC" w:themeFill="accent3" w:themeFillTint="33"/>
            <w:vAlign w:val="center"/>
          </w:tcPr>
          <w:p>
            <w:pPr>
              <w:widowControl/>
              <w:jc w:val="center"/>
              <w:rPr>
                <w:sz w:val="24"/>
                <w:szCs w:val="24"/>
              </w:rPr>
            </w:pPr>
            <w:r>
              <w:rPr>
                <w:rFonts w:hint="eastAsia"/>
                <w:sz w:val="24"/>
                <w:szCs w:val="24"/>
              </w:rPr>
              <w:t>远传能量表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2台</w:t>
            </w:r>
          </w:p>
        </w:tc>
        <w:tc>
          <w:tcPr>
            <w:tcW w:w="1574" w:type="dxa"/>
            <w:shd w:val="clear" w:color="auto" w:fill="ECECEC" w:themeFill="accent3" w:themeFillTint="33"/>
            <w:vAlign w:val="center"/>
          </w:tcPr>
          <w:p>
            <w:pPr>
              <w:widowControl/>
              <w:jc w:val="center"/>
              <w:rPr>
                <w:sz w:val="24"/>
                <w:szCs w:val="24"/>
              </w:rPr>
            </w:pPr>
            <w:r>
              <w:rPr>
                <w:rFonts w:hint="eastAsia"/>
                <w:sz w:val="24"/>
                <w:szCs w:val="24"/>
              </w:rPr>
              <w:t>H-WJLRL(外夹式)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DN350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12</w:t>
            </w:r>
          </w:p>
        </w:tc>
        <w:tc>
          <w:tcPr>
            <w:tcW w:w="1478" w:type="dxa"/>
            <w:shd w:val="clear" w:color="auto" w:fill="ECECEC" w:themeFill="accent3" w:themeFillTint="33"/>
            <w:vAlign w:val="center"/>
          </w:tcPr>
          <w:p>
            <w:pPr>
              <w:widowControl/>
              <w:jc w:val="center"/>
              <w:rPr>
                <w:sz w:val="24"/>
                <w:szCs w:val="24"/>
              </w:rPr>
            </w:pPr>
            <w:r>
              <w:rPr>
                <w:rFonts w:hint="eastAsia"/>
                <w:sz w:val="24"/>
                <w:szCs w:val="24"/>
              </w:rPr>
              <w:t>远传能量表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sz w:val="24"/>
                <w:szCs w:val="24"/>
              </w:rPr>
            </w:pPr>
            <w:r>
              <w:rPr>
                <w:rFonts w:hint="eastAsia"/>
                <w:sz w:val="24"/>
                <w:szCs w:val="24"/>
              </w:rPr>
              <w:t>H-WJLRL(外夹式)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DN250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13</w:t>
            </w:r>
          </w:p>
        </w:tc>
        <w:tc>
          <w:tcPr>
            <w:tcW w:w="1478" w:type="dxa"/>
            <w:shd w:val="clear" w:color="auto" w:fill="ECECEC" w:themeFill="accent3" w:themeFillTint="33"/>
            <w:vAlign w:val="center"/>
          </w:tcPr>
          <w:p>
            <w:pPr>
              <w:widowControl/>
              <w:jc w:val="center"/>
              <w:rPr>
                <w:sz w:val="24"/>
                <w:szCs w:val="24"/>
              </w:rPr>
            </w:pPr>
            <w:r>
              <w:rPr>
                <w:rFonts w:hint="eastAsia"/>
                <w:sz w:val="24"/>
                <w:szCs w:val="24"/>
              </w:rPr>
              <w:t>远传能量表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sz w:val="24"/>
                <w:szCs w:val="24"/>
              </w:rPr>
            </w:pPr>
            <w:r>
              <w:rPr>
                <w:rFonts w:hint="eastAsia"/>
                <w:sz w:val="24"/>
                <w:szCs w:val="24"/>
              </w:rPr>
              <w:t>H-WJLRL(外夹式)</w:t>
            </w:r>
          </w:p>
        </w:tc>
        <w:tc>
          <w:tcPr>
            <w:tcW w:w="3747" w:type="dxa"/>
            <w:shd w:val="clear" w:color="auto" w:fill="ECECEC" w:themeFill="accent3" w:themeFillTint="33"/>
            <w:vAlign w:val="center"/>
          </w:tcPr>
          <w:p>
            <w:pPr>
              <w:widowControl/>
              <w:jc w:val="center"/>
              <w:rPr>
                <w:sz w:val="24"/>
                <w:szCs w:val="24"/>
              </w:rPr>
            </w:pPr>
            <w:r>
              <w:rPr>
                <w:rFonts w:hint="eastAsia"/>
                <w:sz w:val="24"/>
                <w:szCs w:val="24"/>
              </w:rPr>
              <w:t>DN500</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25"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14</w:t>
            </w:r>
          </w:p>
        </w:tc>
        <w:tc>
          <w:tcPr>
            <w:tcW w:w="1478" w:type="dxa"/>
            <w:shd w:val="clear" w:color="auto" w:fill="ECECEC" w:themeFill="accent3" w:themeFillTint="33"/>
            <w:vAlign w:val="center"/>
          </w:tcPr>
          <w:p>
            <w:pPr>
              <w:widowControl/>
              <w:jc w:val="center"/>
              <w:rPr>
                <w:sz w:val="24"/>
                <w:szCs w:val="24"/>
              </w:rPr>
            </w:pPr>
            <w:r>
              <w:rPr>
                <w:rFonts w:hint="eastAsia"/>
                <w:sz w:val="24"/>
                <w:szCs w:val="24"/>
              </w:rPr>
              <w:t>交换机</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sz w:val="24"/>
                <w:szCs w:val="24"/>
              </w:rPr>
            </w:pPr>
            <w:r>
              <w:rPr>
                <w:rFonts w:hint="eastAsia"/>
                <w:sz w:val="24"/>
                <w:szCs w:val="24"/>
              </w:rPr>
              <w:t>TP-LINK</w:t>
            </w:r>
          </w:p>
        </w:tc>
        <w:tc>
          <w:tcPr>
            <w:tcW w:w="3747" w:type="dxa"/>
            <w:shd w:val="clear" w:color="auto" w:fill="ECECEC" w:themeFill="accent3" w:themeFillTint="33"/>
            <w:vAlign w:val="center"/>
          </w:tcPr>
          <w:p>
            <w:pPr>
              <w:widowControl/>
              <w:jc w:val="center"/>
              <w:rPr>
                <w:sz w:val="24"/>
                <w:szCs w:val="24"/>
              </w:rPr>
            </w:pPr>
            <w:r>
              <w:rPr>
                <w:rFonts w:hint="eastAsia"/>
                <w:sz w:val="24"/>
                <w:szCs w:val="24"/>
              </w:rPr>
              <w:t>8口网络交换机</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34" w:hRule="atLeast"/>
        </w:trPr>
        <w:tc>
          <w:tcPr>
            <w:tcW w:w="870" w:type="dxa"/>
            <w:shd w:val="clear" w:color="auto" w:fill="ECECEC" w:themeFill="accent3" w:themeFillTint="33"/>
            <w:vAlign w:val="center"/>
          </w:tcPr>
          <w:p>
            <w:pPr>
              <w:widowControl/>
              <w:jc w:val="center"/>
              <w:rPr>
                <w:rFonts w:cs="Arial"/>
                <w:b/>
                <w:bCs/>
                <w:kern w:val="24"/>
                <w:sz w:val="24"/>
                <w:szCs w:val="24"/>
              </w:rPr>
            </w:pPr>
            <w:r>
              <w:rPr>
                <w:rFonts w:hint="eastAsia" w:cs="Arial"/>
                <w:b/>
                <w:bCs/>
                <w:kern w:val="24"/>
                <w:sz w:val="24"/>
                <w:szCs w:val="24"/>
              </w:rPr>
              <w:t>15</w:t>
            </w:r>
          </w:p>
        </w:tc>
        <w:tc>
          <w:tcPr>
            <w:tcW w:w="1478" w:type="dxa"/>
            <w:shd w:val="clear" w:color="auto" w:fill="ECECEC" w:themeFill="accent3" w:themeFillTint="33"/>
            <w:vAlign w:val="center"/>
          </w:tcPr>
          <w:p>
            <w:pPr>
              <w:widowControl/>
              <w:jc w:val="center"/>
              <w:rPr>
                <w:sz w:val="24"/>
                <w:szCs w:val="24"/>
              </w:rPr>
            </w:pPr>
            <w:r>
              <w:rPr>
                <w:rFonts w:hint="eastAsia"/>
                <w:sz w:val="24"/>
                <w:szCs w:val="24"/>
              </w:rPr>
              <w:t>服务器</w:t>
            </w:r>
          </w:p>
        </w:tc>
        <w:tc>
          <w:tcPr>
            <w:tcW w:w="1029" w:type="dxa"/>
            <w:shd w:val="clear" w:color="auto" w:fill="ECECEC" w:themeFill="accent3" w:themeFillTint="33"/>
            <w:vAlign w:val="center"/>
          </w:tcPr>
          <w:p>
            <w:pPr>
              <w:widowControl/>
              <w:jc w:val="center"/>
              <w:rPr>
                <w:rFonts w:ascii="Arial" w:hAnsi="Arial" w:cs="Arial"/>
                <w:kern w:val="0"/>
                <w:sz w:val="24"/>
                <w:szCs w:val="24"/>
              </w:rPr>
            </w:pPr>
            <w:r>
              <w:rPr>
                <w:rFonts w:hint="eastAsia" w:ascii="Arial" w:hAnsi="Arial" w:cs="Arial"/>
                <w:kern w:val="0"/>
                <w:sz w:val="24"/>
                <w:szCs w:val="24"/>
              </w:rPr>
              <w:t>1台</w:t>
            </w:r>
          </w:p>
        </w:tc>
        <w:tc>
          <w:tcPr>
            <w:tcW w:w="1574" w:type="dxa"/>
            <w:shd w:val="clear" w:color="auto" w:fill="ECECEC" w:themeFill="accent3" w:themeFillTint="33"/>
            <w:vAlign w:val="center"/>
          </w:tcPr>
          <w:p>
            <w:pPr>
              <w:widowControl/>
              <w:jc w:val="center"/>
              <w:rPr>
                <w:sz w:val="24"/>
                <w:szCs w:val="24"/>
              </w:rPr>
            </w:pPr>
            <w:r>
              <w:rPr>
                <w:rFonts w:hint="eastAsia"/>
                <w:sz w:val="24"/>
                <w:szCs w:val="24"/>
              </w:rPr>
              <w:t>联想/DELL</w:t>
            </w:r>
          </w:p>
        </w:tc>
        <w:tc>
          <w:tcPr>
            <w:tcW w:w="3747" w:type="dxa"/>
            <w:shd w:val="clear" w:color="auto" w:fill="ECECEC" w:themeFill="accent3" w:themeFillTint="33"/>
            <w:vAlign w:val="center"/>
          </w:tcPr>
          <w:p>
            <w:pPr>
              <w:widowControl/>
              <w:jc w:val="center"/>
              <w:rPr>
                <w:sz w:val="24"/>
                <w:szCs w:val="24"/>
              </w:rPr>
            </w:pPr>
            <w:r>
              <w:rPr>
                <w:rFonts w:hint="eastAsia"/>
                <w:sz w:val="24"/>
                <w:szCs w:val="24"/>
              </w:rPr>
              <w:t>硬件环境:(1)500G以上.(2) 内存:8GB及以上(3)CPU:15及以上(4)显示器尺寸建议19寸及以上.</w:t>
            </w:r>
          </w:p>
        </w:tc>
      </w:tr>
    </w:tbl>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三、技术要求（包括对产品的认证、检验报告等）</w:t>
      </w:r>
    </w:p>
    <w:p>
      <w:pPr>
        <w:kinsoku w:val="0"/>
        <w:ind w:right="-218" w:rightChars="-104" w:firstLine="600" w:firstLineChars="250"/>
        <w:rPr>
          <w:rFonts w:ascii="楷体" w:hAnsi="楷体" w:eastAsia="楷体"/>
          <w:sz w:val="24"/>
          <w:szCs w:val="28"/>
        </w:rPr>
      </w:pPr>
    </w:p>
    <w:p>
      <w:pPr>
        <w:kinsoku w:val="0"/>
        <w:spacing w:line="360" w:lineRule="auto"/>
        <w:ind w:right="-218" w:rightChars="-104" w:firstLine="700" w:firstLineChars="250"/>
        <w:rPr>
          <w:rFonts w:ascii="楷体" w:hAnsi="楷体" w:eastAsia="楷体"/>
          <w:sz w:val="24"/>
          <w:szCs w:val="28"/>
        </w:rPr>
      </w:pPr>
      <w:r>
        <w:rPr>
          <w:rFonts w:hint="eastAsia" w:ascii="仿宋" w:hAnsi="仿宋" w:eastAsia="仿宋" w:cs="仿宋"/>
          <w:sz w:val="28"/>
          <w:szCs w:val="28"/>
        </w:rPr>
        <w:t>供</w:t>
      </w:r>
      <w:r>
        <w:rPr>
          <w:rFonts w:hint="eastAsia" w:ascii="仿宋" w:hAnsi="仿宋" w:eastAsia="仿宋" w:cs="仿宋"/>
          <w:sz w:val="28"/>
          <w:szCs w:val="28"/>
          <w:lang w:val="en-US" w:eastAsia="zh-CN"/>
        </w:rPr>
        <w:t>应</w:t>
      </w:r>
      <w:r>
        <w:rPr>
          <w:rFonts w:hint="eastAsia" w:ascii="仿宋" w:hAnsi="仿宋" w:eastAsia="仿宋" w:cs="仿宋"/>
          <w:sz w:val="28"/>
          <w:szCs w:val="28"/>
        </w:rPr>
        <w:t>商保证所提供的产品质量可靠，进货渠道正常，配置合理，技术性能完全满足采购文</w:t>
      </w:r>
      <w:bookmarkStart w:id="0" w:name="_GoBack"/>
      <w:bookmarkEnd w:id="0"/>
      <w:r>
        <w:rPr>
          <w:rFonts w:hint="eastAsia" w:ascii="仿宋" w:hAnsi="仿宋" w:eastAsia="仿宋" w:cs="仿宋"/>
          <w:sz w:val="28"/>
          <w:szCs w:val="28"/>
        </w:rPr>
        <w:t>件要求；若产品所用原材料或加工工艺造成的质量和内外观缺陷问题，由乙方负责解决并承担费用。卖方保证货物是全新的、未曾使用过的、以工艺及材料制造，并保证所供产品的完整性，本合同产品为成套供货，合同总价中已包括满足产品完整运行的附件，备件，配套件等，产品质量应符合国标标准和要求,卖方应随机提供产品检验报告。</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四、服务要求</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供应商签订合同后，乙方负责按合同确定的产品规格、型号及配套内容进行供货，及时运到甲方指定交货地点安装调试，确保所有产品达到最佳运行状态，做好售后服务工作。</w:t>
      </w:r>
    </w:p>
    <w:p>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rPr>
        <w:t>五、商务要求</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服务</w:t>
      </w:r>
      <w:r>
        <w:rPr>
          <w:rFonts w:hint="eastAsia" w:ascii="仿宋" w:hAnsi="仿宋" w:eastAsia="仿宋" w:cs="仿宋"/>
          <w:sz w:val="28"/>
          <w:szCs w:val="28"/>
        </w:rPr>
        <w:t>期：</w:t>
      </w:r>
      <w:r>
        <w:rPr>
          <w:rFonts w:hint="eastAsia" w:ascii="仿宋" w:hAnsi="仿宋" w:eastAsia="仿宋" w:cs="仿宋"/>
          <w:sz w:val="28"/>
          <w:szCs w:val="28"/>
          <w:u w:val="single"/>
        </w:rPr>
        <w:t>自合同签订之日起 30 个日历日</w:t>
      </w:r>
      <w:r>
        <w:rPr>
          <w:rFonts w:hint="eastAsia" w:ascii="仿宋" w:hAnsi="仿宋" w:eastAsia="仿宋" w:cs="仿宋"/>
          <w:sz w:val="28"/>
          <w:szCs w:val="28"/>
        </w:rPr>
        <w:t>完成全部项目内容，并交付采购人验收合格。</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2、款项结算：</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双方签订合同后，产品交付甲方指定地点；安装调试结束终验合格，支付合同总金额的</w:t>
      </w:r>
      <w:r>
        <w:rPr>
          <w:rFonts w:hint="eastAsia" w:ascii="仿宋" w:hAnsi="仿宋" w:eastAsia="仿宋" w:cs="仿宋"/>
          <w:sz w:val="28"/>
          <w:szCs w:val="28"/>
          <w:u w:val="single"/>
        </w:rPr>
        <w:t>百分之九十七（97%）</w:t>
      </w:r>
      <w:r>
        <w:rPr>
          <w:rFonts w:hint="eastAsia" w:ascii="仿宋" w:hAnsi="仿宋" w:eastAsia="仿宋" w:cs="仿宋"/>
          <w:sz w:val="28"/>
          <w:szCs w:val="28"/>
        </w:rPr>
        <w:t>；验收合格后满一年，支付合同总金额的</w:t>
      </w:r>
      <w:r>
        <w:rPr>
          <w:rFonts w:hint="eastAsia" w:ascii="仿宋" w:hAnsi="仿宋" w:eastAsia="仿宋" w:cs="仿宋"/>
          <w:sz w:val="28"/>
          <w:szCs w:val="28"/>
          <w:u w:val="single"/>
        </w:rPr>
        <w:t>百分之三（3%）</w:t>
      </w:r>
      <w:r>
        <w:rPr>
          <w:rFonts w:hint="eastAsia" w:ascii="仿宋" w:hAnsi="仿宋" w:eastAsia="仿宋" w:cs="仿宋"/>
          <w:sz w:val="28"/>
          <w:szCs w:val="28"/>
        </w:rPr>
        <w:t>。如遇政策变化，则按照相关政策文件执行。</w:t>
      </w:r>
    </w:p>
    <w:p>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rPr>
        <w:t>六、其他</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sz w:val="28"/>
          <w:szCs w:val="28"/>
        </w:rPr>
        <w:t>（</w:t>
      </w:r>
      <w:r>
        <w:rPr>
          <w:rFonts w:hint="eastAsia" w:ascii="仿宋" w:hAnsi="仿宋" w:eastAsia="仿宋" w:cs="仿宋"/>
          <w:sz w:val="28"/>
          <w:szCs w:val="28"/>
        </w:rPr>
        <w:t>一）对供应商业绩的要求。</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供应商提供（2020年1月1日至今）类似项目业绩，(以合同为准，复印件加盖公章装订在投标文件中)</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（二）质量验收标准或规范</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卖方保证货物是全新的、未曾使用过的、以工艺及材料制造，并保证所供产品的完整性，本项目采购的产品为成套供货的，应包括满足产品完整运行的附件，备件，配套件等，产品质量应符合国标标准和行业要求,卖方应随机提供产品检验报告。）</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（三）产品质保期</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除计算机类质保期为3年外，其余产品按照标的品类的国家“三包”政策进行质保，最低不少于国家规定的同类产品质保期限。</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（四）违约责任</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1、按《中华人民共和国合同法》中的相关条款执行。</w:t>
      </w:r>
    </w:p>
    <w:p>
      <w:pPr>
        <w:kinsoku w:val="0"/>
        <w:spacing w:line="360" w:lineRule="auto"/>
        <w:ind w:right="-218" w:rightChars="-104" w:firstLine="700" w:firstLineChars="250"/>
        <w:rPr>
          <w:rFonts w:ascii="仿宋" w:hAnsi="仿宋" w:eastAsia="仿宋" w:cs="仿宋"/>
          <w:sz w:val="28"/>
          <w:szCs w:val="28"/>
        </w:rPr>
      </w:pPr>
      <w:r>
        <w:rPr>
          <w:rFonts w:hint="eastAsia" w:ascii="仿宋" w:hAnsi="仿宋" w:eastAsia="仿宋" w:cs="仿宋"/>
          <w:sz w:val="28"/>
          <w:szCs w:val="28"/>
        </w:rPr>
        <w:t>2、未按合同要求提供产品或产品质量不能满足合同约定的技术要求，采购单位有权终止合同，成交供应商须无条件全额退回甲方已付给乙方的货款，并向采购单位支付合同总价款百分之十的违约金。并保留追究成交供应商违约责任的权利。</w:t>
      </w:r>
    </w:p>
    <w:p>
      <w:pPr>
        <w:kinsoku w:val="0"/>
        <w:spacing w:line="360" w:lineRule="auto"/>
        <w:ind w:right="-218" w:rightChars="-104" w:firstLine="700" w:firstLineChars="250"/>
      </w:pPr>
      <w:r>
        <w:rPr>
          <w:rFonts w:hint="eastAsia" w:ascii="仿宋" w:hAnsi="仿宋" w:eastAsia="仿宋" w:cs="仿宋"/>
          <w:sz w:val="28"/>
          <w:szCs w:val="28"/>
        </w:rPr>
        <w:t>3、时间迟延的，违约方按照每天1‰向对方承担违约责任，延迟30天以上，采购单位有权解除合同。产品质量问题违约的，除了按照迟延时间计算违约金外，另可以采取退货、换货等方式，由供方承担一切费用。</w:t>
      </w:r>
    </w:p>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CE8DF"/>
    <w:multiLevelType w:val="singleLevel"/>
    <w:tmpl w:val="928CE8DF"/>
    <w:lvl w:ilvl="0" w:tentative="0">
      <w:start w:val="1"/>
      <w:numFmt w:val="decimal"/>
      <w:suff w:val="nothing"/>
      <w:lvlText w:val="%1、"/>
      <w:lvlJc w:val="left"/>
    </w:lvl>
  </w:abstractNum>
  <w:abstractNum w:abstractNumId="1">
    <w:nsid w:val="A356B1E4"/>
    <w:multiLevelType w:val="singleLevel"/>
    <w:tmpl w:val="A356B1E4"/>
    <w:lvl w:ilvl="0" w:tentative="0">
      <w:start w:val="1"/>
      <w:numFmt w:val="decimal"/>
      <w:suff w:val="nothing"/>
      <w:lvlText w:val="%1、"/>
      <w:lvlJc w:val="left"/>
      <w:pPr>
        <w:ind w:left="20"/>
      </w:pPr>
    </w:lvl>
  </w:abstractNum>
  <w:abstractNum w:abstractNumId="2">
    <w:nsid w:val="3CB1338D"/>
    <w:multiLevelType w:val="singleLevel"/>
    <w:tmpl w:val="3CB1338D"/>
    <w:lvl w:ilvl="0" w:tentative="0">
      <w:start w:val="1"/>
      <w:numFmt w:val="chineseCounting"/>
      <w:suff w:val="nothing"/>
      <w:lvlText w:val="（%1）"/>
      <w:lvlJc w:val="left"/>
      <w:rPr>
        <w:rFonts w:hint="eastAsia"/>
      </w:rPr>
    </w:lvl>
  </w:abstractNum>
  <w:abstractNum w:abstractNumId="3">
    <w:nsid w:val="669C9494"/>
    <w:multiLevelType w:val="singleLevel"/>
    <w:tmpl w:val="669C949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GExMWMwNjcxZTZiYTEzNDViZTk0MmM0NzEzNG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267B2"/>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2E26"/>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02A"/>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DC31A4"/>
    <w:rsid w:val="06311195"/>
    <w:rsid w:val="06F735AB"/>
    <w:rsid w:val="09F60D71"/>
    <w:rsid w:val="0D1576D5"/>
    <w:rsid w:val="142165AE"/>
    <w:rsid w:val="14D8043E"/>
    <w:rsid w:val="15BE10CA"/>
    <w:rsid w:val="178B3A0C"/>
    <w:rsid w:val="196532CE"/>
    <w:rsid w:val="1F11603D"/>
    <w:rsid w:val="2BE31EF4"/>
    <w:rsid w:val="53064908"/>
    <w:rsid w:val="59DC09C3"/>
    <w:rsid w:val="60F972BF"/>
    <w:rsid w:val="689F50D4"/>
    <w:rsid w:val="732E3254"/>
    <w:rsid w:val="7975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38"/>
    <w:semiHidden/>
    <w:unhideWhenUsed/>
    <w:qFormat/>
    <w:uiPriority w:val="99"/>
    <w:pPr>
      <w:jc w:val="left"/>
    </w:pPr>
  </w:style>
  <w:style w:type="paragraph" w:styleId="4">
    <w:name w:val="Balloon Text"/>
    <w:basedOn w:val="1"/>
    <w:link w:val="40"/>
    <w:semiHidden/>
    <w:unhideWhenUsed/>
    <w:qFormat/>
    <w:uiPriority w:val="99"/>
    <w:rPr>
      <w:sz w:val="18"/>
      <w:szCs w:val="18"/>
    </w:rPr>
  </w:style>
  <w:style w:type="paragraph" w:styleId="5">
    <w:name w:val="footer"/>
    <w:basedOn w:val="1"/>
    <w:link w:val="37"/>
    <w:unhideWhenUsed/>
    <w:qFormat/>
    <w:uiPriority w:val="99"/>
    <w:pPr>
      <w:tabs>
        <w:tab w:val="center" w:pos="4153"/>
        <w:tab w:val="right" w:pos="8306"/>
      </w:tabs>
      <w:snapToGrid w:val="0"/>
      <w:jc w:val="left"/>
    </w:pPr>
    <w:rPr>
      <w:sz w:val="18"/>
      <w:szCs w:val="18"/>
    </w:rPr>
  </w:style>
  <w:style w:type="paragraph" w:styleId="6">
    <w:name w:val="envelope return"/>
    <w:basedOn w:val="1"/>
    <w:qFormat/>
    <w:uiPriority w:val="0"/>
    <w:pPr>
      <w:snapToGrid w:val="0"/>
    </w:pPr>
    <w:rPr>
      <w:rFonts w:ascii="Arial" w:hAnsi="Arial"/>
    </w:rPr>
  </w:style>
  <w:style w:type="paragraph" w:styleId="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6"/>
    <w:qFormat/>
    <w:uiPriority w:val="0"/>
    <w:pPr>
      <w:widowControl/>
      <w:spacing w:before="100" w:beforeAutospacing="1" w:after="100" w:afterAutospacing="1"/>
    </w:pPr>
    <w:rPr>
      <w:rFonts w:ascii="宋体" w:hAnsi="宋体"/>
      <w:szCs w:val="20"/>
    </w:rPr>
  </w:style>
  <w:style w:type="paragraph" w:styleId="9">
    <w:name w:val="annotation subject"/>
    <w:basedOn w:val="3"/>
    <w:next w:val="3"/>
    <w:link w:val="39"/>
    <w:semiHidden/>
    <w:unhideWhenUsed/>
    <w:qFormat/>
    <w:uiPriority w:val="99"/>
    <w:rPr>
      <w:b/>
      <w:bCs/>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1"/>
    <w:link w:val="7"/>
    <w:qFormat/>
    <w:uiPriority w:val="99"/>
    <w:rPr>
      <w:rFonts w:ascii="Calibri" w:hAnsi="Calibri" w:eastAsia="宋体" w:cs="Times New Roman"/>
      <w:sz w:val="18"/>
      <w:szCs w:val="18"/>
    </w:rPr>
  </w:style>
  <w:style w:type="character" w:customStyle="1" w:styleId="37">
    <w:name w:val="页脚 Char"/>
    <w:basedOn w:val="11"/>
    <w:link w:val="5"/>
    <w:qFormat/>
    <w:uiPriority w:val="99"/>
    <w:rPr>
      <w:rFonts w:ascii="Calibri" w:hAnsi="Calibri" w:eastAsia="宋体" w:cs="Times New Roman"/>
      <w:sz w:val="18"/>
      <w:szCs w:val="18"/>
    </w:rPr>
  </w:style>
  <w:style w:type="character" w:customStyle="1" w:styleId="38">
    <w:name w:val="批注文字 Char"/>
    <w:basedOn w:val="11"/>
    <w:link w:val="3"/>
    <w:semiHidden/>
    <w:qFormat/>
    <w:uiPriority w:val="99"/>
    <w:rPr>
      <w:rFonts w:ascii="Calibri" w:hAnsi="Calibri" w:eastAsia="宋体" w:cs="Times New Roman"/>
    </w:rPr>
  </w:style>
  <w:style w:type="character" w:customStyle="1" w:styleId="39">
    <w:name w:val="批注主题 Char"/>
    <w:basedOn w:val="38"/>
    <w:link w:val="9"/>
    <w:semiHidden/>
    <w:qFormat/>
    <w:uiPriority w:val="99"/>
    <w:rPr>
      <w:rFonts w:ascii="Calibri" w:hAnsi="Calibri" w:eastAsia="宋体" w:cs="Times New Roman"/>
      <w:b/>
      <w:bCs/>
    </w:rPr>
  </w:style>
  <w:style w:type="character" w:customStyle="1" w:styleId="40">
    <w:name w:val="批注框文本 Char"/>
    <w:basedOn w:val="11"/>
    <w:link w:val="4"/>
    <w:semiHidden/>
    <w:qFormat/>
    <w:uiPriority w:val="99"/>
    <w:rPr>
      <w:rFonts w:ascii="Calibri" w:hAnsi="Calibri" w:eastAsia="宋体" w:cs="Times New Roman"/>
      <w:sz w:val="18"/>
      <w:szCs w:val="18"/>
    </w:rPr>
  </w:style>
  <w:style w:type="paragraph" w:styleId="41">
    <w:name w:val="List Paragraph"/>
    <w:basedOn w:val="1"/>
    <w:qFormat/>
    <w:uiPriority w:val="34"/>
    <w:pPr>
      <w:ind w:firstLine="420" w:firstLineChars="200"/>
    </w:pPr>
    <w:rPr>
      <w:rFonts w:asciiTheme="minorHAnsi" w:hAnsiTheme="minorHAnsi" w:eastAsiaTheme="minorEastAsia" w:cstheme="minorBidi"/>
    </w:rPr>
  </w:style>
  <w:style w:type="table" w:customStyle="1" w:styleId="42">
    <w:name w:val="Grid Table 4 Accent 3"/>
    <w:basedOn w:val="10"/>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3776</Words>
  <Characters>4330</Characters>
  <Lines>33</Lines>
  <Paragraphs>9</Paragraphs>
  <TotalTime>3</TotalTime>
  <ScaleCrop>false</ScaleCrop>
  <LinksUpToDate>false</LinksUpToDate>
  <CharactersWithSpaces>4347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北海朝南</cp:lastModifiedBy>
  <cp:lastPrinted>2021-03-24T02:30:00Z</cp:lastPrinted>
  <dcterms:modified xsi:type="dcterms:W3CDTF">2023-03-16T08:50:59Z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4BEE7B8467184BC089822E1BED4ADA0B</vt:lpwstr>
  </property>
</Properties>
</file>