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rFonts w:hint="eastAsia" w:ascii="仿宋" w:hAnsi="仿宋" w:eastAsia="仿宋"/>
          <w:b/>
          <w:sz w:val="32"/>
          <w:szCs w:val="32"/>
          <w:lang w:eastAsia="zh-CN"/>
        </w:rPr>
        <w:t>附件</w:t>
      </w:r>
      <w:r>
        <w:rPr>
          <w:rFonts w:hint="eastAsia" w:ascii="仿宋" w:hAnsi="仿宋" w:eastAsia="仿宋"/>
          <w:b/>
          <w:sz w:val="32"/>
          <w:szCs w:val="32"/>
          <w:lang w:val="en-US" w:eastAsia="zh-CN"/>
        </w:rPr>
        <w:t>2：政府采购需求书范本（服务类）</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pPr>
              <w:pStyle w:val="31"/>
              <w:ind w:left="38"/>
              <w:jc w:val="center"/>
              <w:rPr>
                <w:b/>
                <w:kern w:val="2"/>
                <w:lang w:val="zh-CN"/>
              </w:rPr>
            </w:pPr>
            <w:r>
              <w:rPr>
                <w:rFonts w:hint="eastAsia"/>
                <w:b/>
                <w:kern w:val="2"/>
                <w:sz w:val="28"/>
                <w:szCs w:val="28"/>
                <w:lang w:val="zh-CN"/>
              </w:rPr>
              <w:t>关键事项</w:t>
            </w:r>
          </w:p>
        </w:tc>
        <w:tc>
          <w:tcPr>
            <w:tcW w:w="7067" w:type="dxa"/>
            <w:vAlign w:val="center"/>
          </w:tcPr>
          <w:p>
            <w:pPr>
              <w:pStyle w:val="31"/>
              <w:jc w:val="center"/>
              <w:rPr>
                <w:b/>
                <w:kern w:val="2"/>
                <w:lang w:val="zh-CN"/>
              </w:rPr>
            </w:pPr>
            <w:r>
              <w:rPr>
                <w:rFonts w:hint="eastAsia"/>
                <w:b/>
                <w:kern w:val="2"/>
                <w:sz w:val="28"/>
                <w:szCs w:val="28"/>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pPr>
              <w:pStyle w:val="31"/>
              <w:ind w:left="38"/>
              <w:jc w:val="center"/>
              <w:rPr>
                <w:kern w:val="2"/>
                <w:lang w:val="zh-CN"/>
              </w:rPr>
            </w:pPr>
            <w:r>
              <w:rPr>
                <w:rFonts w:hint="eastAsia"/>
                <w:kern w:val="2"/>
                <w:lang w:val="zh-CN"/>
              </w:rPr>
              <w:t>采购预算</w:t>
            </w:r>
          </w:p>
        </w:tc>
        <w:tc>
          <w:tcPr>
            <w:tcW w:w="7067" w:type="dxa"/>
            <w:vAlign w:val="center"/>
          </w:tcPr>
          <w:p>
            <w:pPr>
              <w:pStyle w:val="31"/>
              <w:jc w:val="both"/>
              <w:rPr>
                <w:b/>
                <w:kern w:val="2"/>
                <w:lang w:val="zh-CN"/>
              </w:rPr>
            </w:pPr>
            <w:r>
              <w:rPr>
                <w:rFonts w:hint="eastAsia"/>
                <w:b/>
                <w:kern w:val="2"/>
                <w:lang w:val="zh-CN"/>
              </w:rPr>
              <w:t>人民币</w:t>
            </w:r>
            <w:r>
              <w:rPr>
                <w:rFonts w:hint="eastAsia"/>
                <w:b/>
                <w:kern w:val="2"/>
                <w:lang w:val="en-US" w:eastAsia="zh-CN"/>
              </w:rPr>
              <w:t>1200000</w:t>
            </w:r>
            <w:r>
              <w:rPr>
                <w:b/>
                <w:kern w:val="2"/>
                <w:lang w:val="zh-CN"/>
              </w:rPr>
              <w:t>_</w:t>
            </w:r>
            <w:r>
              <w:rPr>
                <w:rFonts w:hint="eastAsia"/>
                <w:b/>
                <w:kern w:val="2"/>
                <w:lang w:val="zh-CN"/>
              </w:rPr>
              <w:t>元</w:t>
            </w:r>
          </w:p>
          <w:p>
            <w:pPr>
              <w:pStyle w:val="31"/>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pPr>
              <w:pStyle w:val="31"/>
              <w:ind w:left="38"/>
              <w:jc w:val="center"/>
              <w:rPr>
                <w:kern w:val="2"/>
                <w:lang w:val="zh-CN"/>
              </w:rPr>
            </w:pPr>
            <w:r>
              <w:rPr>
                <w:rFonts w:hint="eastAsia"/>
                <w:kern w:val="2"/>
                <w:lang w:val="zh-CN"/>
              </w:rPr>
              <w:t>最高限价</w:t>
            </w:r>
          </w:p>
        </w:tc>
        <w:tc>
          <w:tcPr>
            <w:tcW w:w="7067" w:type="dxa"/>
            <w:vAlign w:val="center"/>
          </w:tcPr>
          <w:p>
            <w:pPr>
              <w:pStyle w:val="31"/>
              <w:jc w:val="both"/>
              <w:rPr>
                <w:b/>
                <w:kern w:val="2"/>
                <w:lang w:val="zh-CN"/>
              </w:rPr>
            </w:pPr>
            <w:r>
              <w:rPr>
                <w:rFonts w:hint="eastAsia"/>
                <w:b/>
                <w:kern w:val="2"/>
                <w:lang w:val="zh-CN"/>
              </w:rPr>
              <w:t>人民币</w:t>
            </w:r>
            <w:r>
              <w:rPr>
                <w:rFonts w:hint="eastAsia"/>
                <w:b/>
                <w:kern w:val="2"/>
                <w:lang w:val="en-US" w:eastAsia="zh-CN"/>
              </w:rPr>
              <w:t>1200000</w:t>
            </w:r>
            <w:r>
              <w:rPr>
                <w:b/>
                <w:kern w:val="2"/>
                <w:lang w:val="zh-CN"/>
              </w:rPr>
              <w:t>_</w:t>
            </w:r>
            <w:r>
              <w:rPr>
                <w:rFonts w:hint="eastAsia"/>
                <w:b/>
                <w:kern w:val="2"/>
                <w:lang w:val="zh-CN"/>
              </w:rPr>
              <w:t>元</w:t>
            </w:r>
          </w:p>
          <w:p>
            <w:pPr>
              <w:pStyle w:val="31"/>
              <w:ind w:left="38"/>
              <w:jc w:val="both"/>
              <w:rPr>
                <w:b/>
                <w:kern w:val="2"/>
                <w:lang w:val="zh-CN"/>
              </w:rPr>
            </w:pPr>
            <w:r>
              <w:rPr>
                <w:rFonts w:hint="eastAsia"/>
                <w:kern w:val="2"/>
                <w:sz w:val="21"/>
                <w:szCs w:val="21"/>
                <w:lang w:val="zh-CN"/>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pPr>
              <w:pStyle w:val="31"/>
              <w:ind w:left="38"/>
              <w:jc w:val="center"/>
              <w:rPr>
                <w:rFonts w:hint="eastAsia"/>
                <w:kern w:val="2"/>
                <w:lang w:val="zh-CN"/>
              </w:rPr>
            </w:pPr>
            <w:r>
              <w:rPr>
                <w:rFonts w:hint="eastAsia"/>
                <w:kern w:val="2"/>
                <w:lang w:val="zh-CN"/>
              </w:rPr>
              <w:t>项目性质</w:t>
            </w:r>
          </w:p>
        </w:tc>
        <w:tc>
          <w:tcPr>
            <w:tcW w:w="7067" w:type="dxa"/>
            <w:vAlign w:val="center"/>
          </w:tcPr>
          <w:p>
            <w:pPr>
              <w:pStyle w:val="31"/>
              <w:jc w:val="both"/>
              <w:rPr>
                <w:b/>
                <w:kern w:val="2"/>
                <w:lang w:val="zh-CN"/>
              </w:rPr>
            </w:pPr>
            <w:r>
              <w:rPr>
                <w:rFonts w:hint="eastAsia"/>
                <w:b/>
                <w:kern w:val="2"/>
                <w:lang w:val="zh-CN"/>
              </w:rPr>
              <w:t>○专门面向中小企业采购</w:t>
            </w:r>
          </w:p>
          <w:p>
            <w:pPr>
              <w:pStyle w:val="31"/>
              <w:ind w:left="38"/>
              <w:jc w:val="both"/>
              <w:rPr>
                <w:rFonts w:hint="eastAsia"/>
                <w:b/>
                <w:kern w:val="2"/>
                <w:lang w:val="zh-CN"/>
              </w:rPr>
            </w:pPr>
            <w:r>
              <w:rPr>
                <w:rFonts w:hint="eastAsia"/>
                <w:kern w:val="2"/>
                <w:sz w:val="21"/>
                <w:szCs w:val="21"/>
                <w:lang w:val="zh-CN"/>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b/>
                <w:sz w:val="28"/>
                <w:szCs w:val="28"/>
                <w:lang w:val="zh-CN"/>
              </w:rPr>
            </w:pPr>
          </w:p>
        </w:tc>
        <w:tc>
          <w:tcPr>
            <w:tcW w:w="1556" w:type="dxa"/>
            <w:vMerge w:val="continue"/>
            <w:vAlign w:val="center"/>
          </w:tcPr>
          <w:p>
            <w:pPr>
              <w:pStyle w:val="31"/>
              <w:ind w:left="96"/>
              <w:jc w:val="center"/>
              <w:rPr>
                <w:kern w:val="2"/>
                <w:lang w:val="zh-CN"/>
              </w:rPr>
            </w:pPr>
          </w:p>
        </w:tc>
        <w:tc>
          <w:tcPr>
            <w:tcW w:w="7067" w:type="dxa"/>
            <w:vAlign w:val="center"/>
          </w:tcPr>
          <w:p>
            <w:pPr>
              <w:rPr>
                <w:rFonts w:ascii="宋体" w:hAnsi="宋体" w:cs="宋体"/>
                <w:b/>
                <w:color w:val="0000FF"/>
                <w:sz w:val="24"/>
                <w:szCs w:val="24"/>
                <w:lang w:val="zh-CN"/>
              </w:rPr>
            </w:pPr>
            <w:r>
              <w:rPr>
                <w:rFonts w:hint="eastAsia" w:ascii="宋体" w:hAnsi="宋体" w:cs="宋体"/>
                <w:b/>
                <w:color w:val="0000FF"/>
                <w:sz w:val="24"/>
                <w:szCs w:val="24"/>
                <w:lang w:val="en-US" w:eastAsia="zh-CN"/>
              </w:rPr>
              <w:t>√</w:t>
            </w:r>
            <w:r>
              <w:rPr>
                <w:rFonts w:hint="eastAsia" w:ascii="宋体" w:hAnsi="宋体" w:cs="宋体"/>
                <w:b/>
                <w:color w:val="0000FF"/>
                <w:sz w:val="24"/>
                <w:szCs w:val="24"/>
                <w:lang w:val="zh-CN"/>
              </w:rPr>
              <w:t>非专门面向中小企业采购</w:t>
            </w:r>
          </w:p>
          <w:p>
            <w:pPr>
              <w:ind w:right="94" w:rightChars="45"/>
              <w:rPr>
                <w:rFonts w:ascii="宋体" w:hAnsi="宋体"/>
                <w:b/>
                <w:color w:val="0000FF"/>
                <w:szCs w:val="21"/>
              </w:rPr>
            </w:pPr>
            <w:r>
              <w:rPr>
                <w:rFonts w:hint="eastAsia" w:ascii="宋体" w:hAnsi="宋体" w:cs="宋体"/>
                <w:color w:val="0000FF"/>
                <w:kern w:val="0"/>
                <w:szCs w:val="21"/>
                <w:lang w:val="zh-CN"/>
              </w:rPr>
              <w:t>对符合《政府采购促进中小企业发展管理办法》（财库〔2020〕46号）规定的小微企业（监狱企业视同小型、微型企业）的报价</w:t>
            </w:r>
            <w:r>
              <w:rPr>
                <w:rFonts w:hint="eastAsia" w:ascii="宋体" w:hAnsi="宋体" w:cs="宋体"/>
                <w:b/>
                <w:color w:val="0000FF"/>
                <w:kern w:val="0"/>
                <w:szCs w:val="21"/>
                <w:lang w:val="zh-CN"/>
              </w:rPr>
              <w:t>给予_</w:t>
            </w:r>
            <w:r>
              <w:rPr>
                <w:rFonts w:hint="eastAsia" w:ascii="宋体" w:hAnsi="宋体" w:cs="宋体"/>
                <w:b/>
                <w:color w:val="0000FF"/>
                <w:kern w:val="0"/>
                <w:szCs w:val="21"/>
                <w:u w:val="single"/>
                <w:lang w:val="en-US" w:eastAsia="zh-CN"/>
              </w:rPr>
              <w:t xml:space="preserve"> 10</w:t>
            </w:r>
            <w:r>
              <w:rPr>
                <w:rFonts w:hint="eastAsia" w:ascii="宋体" w:hAnsi="宋体" w:cs="宋体"/>
                <w:b/>
                <w:color w:val="0000FF"/>
                <w:kern w:val="0"/>
                <w:szCs w:val="21"/>
                <w:u w:val="single"/>
                <w:lang w:val="zh-CN"/>
              </w:rPr>
              <w:t>_</w:t>
            </w:r>
            <w:r>
              <w:rPr>
                <w:rFonts w:hint="eastAsia" w:ascii="宋体" w:hAnsi="宋体" w:cs="宋体"/>
                <w:b/>
                <w:color w:val="0000FF"/>
                <w:kern w:val="0"/>
                <w:szCs w:val="21"/>
                <w:u w:val="single"/>
                <w:lang w:val="en-US" w:eastAsia="zh-CN"/>
              </w:rPr>
              <w:t xml:space="preserve"> </w:t>
            </w:r>
            <w:r>
              <w:rPr>
                <w:rFonts w:hint="eastAsia" w:ascii="宋体" w:hAnsi="宋体" w:cs="宋体"/>
                <w:b/>
                <w:color w:val="0000FF"/>
                <w:kern w:val="0"/>
                <w:szCs w:val="21"/>
                <w:lang w:val="zh-CN"/>
              </w:rPr>
              <w:t>_%（</w:t>
            </w:r>
            <w:r>
              <w:rPr>
                <w:rFonts w:hint="eastAsia" w:ascii="宋体" w:hAnsi="宋体" w:cs="宋体"/>
                <w:b/>
                <w:color w:val="0000FF"/>
                <w:kern w:val="0"/>
                <w:szCs w:val="21"/>
                <w:lang w:val="en-US" w:eastAsia="zh-CN"/>
              </w:rPr>
              <w:t>10</w:t>
            </w:r>
            <w:r>
              <w:rPr>
                <w:rFonts w:hint="eastAsia" w:ascii="宋体" w:hAnsi="宋体" w:cs="宋体"/>
                <w:b/>
                <w:color w:val="0000FF"/>
                <w:kern w:val="0"/>
                <w:szCs w:val="21"/>
                <w:lang w:val="zh-CN"/>
              </w:rPr>
              <w:t>%-</w:t>
            </w:r>
            <w:r>
              <w:rPr>
                <w:rFonts w:hint="eastAsia" w:ascii="宋体" w:hAnsi="宋体" w:cs="宋体"/>
                <w:b/>
                <w:color w:val="0000FF"/>
                <w:kern w:val="0"/>
                <w:szCs w:val="21"/>
                <w:lang w:val="en-US" w:eastAsia="zh-CN"/>
              </w:rPr>
              <w:t>2</w:t>
            </w:r>
            <w:r>
              <w:rPr>
                <w:rFonts w:ascii="宋体" w:hAnsi="宋体" w:cs="宋体"/>
                <w:b/>
                <w:color w:val="0000FF"/>
                <w:kern w:val="0"/>
                <w:szCs w:val="21"/>
                <w:lang w:val="zh-CN"/>
              </w:rPr>
              <w:t>0%</w:t>
            </w:r>
            <w:r>
              <w:rPr>
                <w:rFonts w:hint="eastAsia" w:ascii="宋体" w:hAnsi="宋体" w:cs="宋体"/>
                <w:b/>
                <w:color w:val="0000FF"/>
                <w:kern w:val="0"/>
                <w:szCs w:val="21"/>
                <w:lang w:val="zh-CN"/>
              </w:rPr>
              <w:t>）的扣除</w:t>
            </w:r>
            <w:r>
              <w:rPr>
                <w:rFonts w:hint="eastAsia" w:ascii="宋体" w:hAnsi="宋体" w:cs="宋体"/>
                <w:color w:val="0000FF"/>
                <w:kern w:val="0"/>
                <w:szCs w:val="21"/>
                <w:lang w:val="zh-CN"/>
              </w:rPr>
              <w:t>，用扣除后的价格参加评审。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4</w:t>
            </w:r>
          </w:p>
        </w:tc>
        <w:tc>
          <w:tcPr>
            <w:tcW w:w="1556" w:type="dxa"/>
            <w:vAlign w:val="center"/>
          </w:tcPr>
          <w:p>
            <w:pPr>
              <w:pStyle w:val="31"/>
              <w:ind w:left="96"/>
              <w:jc w:val="center"/>
              <w:rPr>
                <w:kern w:val="2"/>
                <w:lang w:val="zh-CN"/>
              </w:rPr>
            </w:pPr>
            <w:r>
              <w:rPr>
                <w:kern w:val="2"/>
                <w:lang w:val="zh-CN"/>
              </w:rPr>
              <w:t>对供应商的</w:t>
            </w:r>
            <w:r>
              <w:rPr>
                <w:kern w:val="2"/>
                <w:lang w:val="zh-CN"/>
              </w:rPr>
              <w:br w:type="textWrapping"/>
            </w:r>
            <w:r>
              <w:rPr>
                <w:kern w:val="2"/>
                <w:lang w:val="zh-CN"/>
              </w:rPr>
              <w:t>资格要求</w:t>
            </w:r>
          </w:p>
        </w:tc>
        <w:tc>
          <w:tcPr>
            <w:tcW w:w="7067"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BFDFE"/>
              <w:spacing w:before="0" w:beforeAutospacing="0" w:after="0" w:afterAutospacing="0"/>
              <w:ind w:right="0"/>
              <w:rPr>
                <w:rFonts w:hint="eastAsia" w:ascii="宋体" w:hAnsi="宋体" w:eastAsia="宋体" w:cs="宋体"/>
                <w:i w:val="0"/>
                <w:iCs w:val="0"/>
                <w:caps w:val="0"/>
                <w:color w:val="333333"/>
                <w:spacing w:val="0"/>
                <w:sz w:val="21"/>
                <w:szCs w:val="21"/>
              </w:rPr>
            </w:pPr>
            <w:r>
              <w:rPr>
                <w:rFonts w:hint="eastAsia"/>
                <w:b/>
                <w:kern w:val="2"/>
                <w:lang w:val="zh-CN"/>
              </w:rPr>
              <w:t>1、</w:t>
            </w:r>
            <w:r>
              <w:rPr>
                <w:rFonts w:hint="eastAsia" w:ascii="宋体" w:hAnsi="宋体" w:eastAsia="宋体" w:cs="宋体"/>
                <w:i w:val="0"/>
                <w:iCs w:val="0"/>
                <w:caps w:val="0"/>
                <w:color w:val="333333"/>
                <w:spacing w:val="0"/>
                <w:kern w:val="0"/>
                <w:sz w:val="21"/>
                <w:szCs w:val="21"/>
                <w:shd w:val="clear" w:fill="FBFDFE"/>
                <w:lang w:val="zh-CN" w:eastAsia="zh-CN" w:bidi="ar-SA"/>
              </w:rPr>
              <w:t>供应商须具有城乡规划编制乙级（含乙级）以上资质</w:t>
            </w:r>
            <w:r>
              <w:rPr>
                <w:rFonts w:hint="eastAsia" w:ascii="宋体" w:hAnsi="宋体" w:cs="宋体"/>
                <w:i w:val="0"/>
                <w:iCs w:val="0"/>
                <w:caps w:val="0"/>
                <w:color w:val="333333"/>
                <w:spacing w:val="0"/>
                <w:kern w:val="0"/>
                <w:sz w:val="21"/>
                <w:szCs w:val="21"/>
                <w:shd w:val="clear" w:fill="FBFDFE"/>
                <w:lang w:val="zh-CN" w:eastAsia="zh-CN" w:bidi="ar-SA"/>
              </w:rPr>
              <w:t>，</w:t>
            </w:r>
            <w:r>
              <w:rPr>
                <w:rFonts w:hint="eastAsia" w:ascii="宋体" w:hAnsi="宋体" w:eastAsia="宋体" w:cs="宋体"/>
                <w:i w:val="0"/>
                <w:iCs w:val="0"/>
                <w:caps w:val="0"/>
                <w:color w:val="333333"/>
                <w:spacing w:val="0"/>
                <w:kern w:val="0"/>
                <w:sz w:val="21"/>
                <w:szCs w:val="21"/>
                <w:shd w:val="clear" w:fill="FBFDFE"/>
                <w:lang w:val="en-US" w:eastAsia="zh-CN" w:bidi="ar-SA"/>
              </w:rPr>
              <w:t>具</w:t>
            </w:r>
            <w:r>
              <w:rPr>
                <w:rFonts w:hint="eastAsia" w:ascii="宋体" w:hAnsi="宋体" w:eastAsia="宋体" w:cs="宋体"/>
                <w:i w:val="0"/>
                <w:iCs w:val="0"/>
                <w:caps w:val="0"/>
                <w:color w:val="333333"/>
                <w:spacing w:val="0"/>
                <w:sz w:val="21"/>
                <w:szCs w:val="21"/>
                <w:shd w:val="clear" w:fill="FBFDFE"/>
              </w:rPr>
              <w:t>有专业服务团队进行产业规划的编制能力；</w:t>
            </w:r>
          </w:p>
          <w:p>
            <w:pPr>
              <w:pStyle w:val="31"/>
              <w:jc w:val="both"/>
              <w:rPr>
                <w:rFonts w:hint="eastAsia" w:eastAsia="宋体"/>
                <w:b/>
                <w:kern w:val="2"/>
                <w:lang w:val="zh-CN" w:eastAsia="zh-CN"/>
              </w:rPr>
            </w:pPr>
            <w:r>
              <w:rPr>
                <w:rFonts w:hint="eastAsia"/>
                <w:b/>
                <w:kern w:val="2"/>
                <w:lang w:val="zh-CN"/>
              </w:rPr>
              <w:t>2、</w:t>
            </w:r>
            <w:r>
              <w:rPr>
                <w:rFonts w:hint="eastAsia" w:ascii="宋体" w:hAnsi="宋体" w:eastAsia="宋体" w:cs="宋体"/>
                <w:i w:val="0"/>
                <w:iCs w:val="0"/>
                <w:caps w:val="0"/>
                <w:color w:val="333333"/>
                <w:spacing w:val="0"/>
                <w:sz w:val="21"/>
                <w:szCs w:val="21"/>
                <w:shd w:val="clear" w:fill="FBFDFE"/>
              </w:rPr>
              <w:t>竞标人须提供参加本项目投标活动前三年内，在经营活动中无重大违法记录</w:t>
            </w:r>
            <w:r>
              <w:rPr>
                <w:rFonts w:hint="eastAsia" w:cs="宋体"/>
                <w:i w:val="0"/>
                <w:iCs w:val="0"/>
                <w:caps w:val="0"/>
                <w:color w:val="333333"/>
                <w:spacing w:val="0"/>
                <w:sz w:val="21"/>
                <w:szCs w:val="21"/>
                <w:shd w:val="clear" w:fill="FBFDFE"/>
                <w:lang w:eastAsia="zh-CN"/>
              </w:rPr>
              <w:t>；</w:t>
            </w:r>
          </w:p>
          <w:p>
            <w:pPr>
              <w:pStyle w:val="31"/>
              <w:jc w:val="both"/>
              <w:rPr>
                <w:kern w:val="2"/>
                <w:lang w:val="zh-CN"/>
              </w:rPr>
            </w:pPr>
            <w:r>
              <w:rPr>
                <w:rFonts w:hint="eastAsia"/>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5</w:t>
            </w:r>
          </w:p>
        </w:tc>
        <w:tc>
          <w:tcPr>
            <w:tcW w:w="1556" w:type="dxa"/>
            <w:vMerge w:val="restart"/>
            <w:vAlign w:val="center"/>
          </w:tcPr>
          <w:p>
            <w:pPr>
              <w:pStyle w:val="31"/>
              <w:ind w:left="96"/>
              <w:jc w:val="center"/>
              <w:rPr>
                <w:rFonts w:hint="eastAsia"/>
                <w:kern w:val="2"/>
                <w:lang w:val="zh-CN"/>
              </w:rPr>
            </w:pPr>
            <w:r>
              <w:rPr>
                <w:kern w:val="2"/>
                <w:lang w:val="zh-CN"/>
              </w:rPr>
              <w:t>是否</w:t>
            </w:r>
            <w:r>
              <w:rPr>
                <w:rFonts w:hint="eastAsia"/>
                <w:kern w:val="2"/>
                <w:lang w:val="zh-CN"/>
              </w:rPr>
              <w:t>接受</w:t>
            </w:r>
            <w:r>
              <w:rPr>
                <w:kern w:val="2"/>
                <w:lang w:val="zh-CN"/>
              </w:rPr>
              <w:br w:type="textWrapping"/>
            </w:r>
            <w:r>
              <w:rPr>
                <w:kern w:val="2"/>
                <w:lang w:val="zh-CN"/>
              </w:rPr>
              <w:t>联合体投标</w:t>
            </w:r>
          </w:p>
        </w:tc>
        <w:tc>
          <w:tcPr>
            <w:tcW w:w="7067" w:type="dxa"/>
            <w:vAlign w:val="center"/>
          </w:tcPr>
          <w:p>
            <w:pPr>
              <w:pStyle w:val="31"/>
              <w:jc w:val="both"/>
              <w:rPr>
                <w:b/>
                <w:kern w:val="2"/>
                <w:lang w:val="zh-CN"/>
              </w:rPr>
            </w:pPr>
            <w:r>
              <w:rPr>
                <w:rFonts w:hint="eastAsia"/>
                <w:b/>
                <w:kern w:val="2"/>
                <w:lang w:val="zh-CN"/>
              </w:rPr>
              <w:t>○接受</w:t>
            </w:r>
          </w:p>
          <w:p>
            <w:pPr>
              <w:pStyle w:val="31"/>
              <w:jc w:val="both"/>
              <w:rPr>
                <w:rFonts w:hint="eastAsia"/>
                <w:b/>
                <w:kern w:val="2"/>
                <w:lang w:val="zh-CN"/>
              </w:rPr>
            </w:pPr>
            <w:r>
              <w:rPr>
                <w:rFonts w:hint="eastAsia"/>
                <w:color w:val="0000FF"/>
                <w:kern w:val="2"/>
                <w:sz w:val="21"/>
                <w:szCs w:val="21"/>
                <w:lang w:val="zh-CN"/>
              </w:rPr>
              <w:t>对于联合体协议或者分包意向协议约定小微企业的合同份额占到合同总金额30%以上的，对联合体或者大中型企业的报价</w:t>
            </w:r>
            <w:r>
              <w:rPr>
                <w:rFonts w:hint="eastAsia"/>
                <w:b/>
                <w:color w:val="0000FF"/>
                <w:kern w:val="2"/>
                <w:sz w:val="21"/>
                <w:szCs w:val="21"/>
                <w:lang w:val="zh-CN"/>
              </w:rPr>
              <w:t>给予___%（</w:t>
            </w:r>
            <w:r>
              <w:rPr>
                <w:rFonts w:hint="eastAsia"/>
                <w:b/>
                <w:color w:val="0000FF"/>
                <w:kern w:val="2"/>
                <w:sz w:val="21"/>
                <w:szCs w:val="21"/>
                <w:lang w:val="en-US" w:eastAsia="zh-CN"/>
              </w:rPr>
              <w:t>4</w:t>
            </w:r>
            <w:r>
              <w:rPr>
                <w:rFonts w:hint="eastAsia"/>
                <w:b/>
                <w:color w:val="0000FF"/>
                <w:kern w:val="2"/>
                <w:sz w:val="21"/>
                <w:szCs w:val="21"/>
                <w:lang w:val="zh-CN"/>
              </w:rPr>
              <w:t>%-</w:t>
            </w:r>
            <w:r>
              <w:rPr>
                <w:rFonts w:hint="eastAsia"/>
                <w:b/>
                <w:color w:val="0000FF"/>
                <w:kern w:val="2"/>
                <w:sz w:val="21"/>
                <w:szCs w:val="21"/>
                <w:lang w:val="en-US" w:eastAsia="zh-CN"/>
              </w:rPr>
              <w:t>6</w:t>
            </w:r>
            <w:r>
              <w:rPr>
                <w:b/>
                <w:color w:val="0000FF"/>
                <w:kern w:val="2"/>
                <w:sz w:val="21"/>
                <w:szCs w:val="21"/>
                <w:lang w:val="zh-CN"/>
              </w:rPr>
              <w:t>%</w:t>
            </w:r>
            <w:r>
              <w:rPr>
                <w:rFonts w:hint="eastAsia"/>
                <w:b/>
                <w:color w:val="0000FF"/>
                <w:kern w:val="2"/>
                <w:sz w:val="21"/>
                <w:szCs w:val="21"/>
                <w:lang w:val="zh-CN"/>
              </w:rPr>
              <w:t>）的扣除</w:t>
            </w:r>
            <w:r>
              <w:rPr>
                <w:rFonts w:hint="eastAsia"/>
                <w:color w:val="0000FF"/>
                <w:kern w:val="2"/>
                <w:sz w:val="21"/>
                <w:szCs w:val="21"/>
                <w:lang w:val="zh-CN"/>
              </w:rPr>
              <w:t>，用扣除后的报价参加评审。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1"/>
              <w:ind w:left="96"/>
              <w:jc w:val="center"/>
              <w:rPr>
                <w:kern w:val="2"/>
                <w:lang w:val="zh-CN"/>
              </w:rPr>
            </w:pPr>
          </w:p>
        </w:tc>
        <w:tc>
          <w:tcPr>
            <w:tcW w:w="7067" w:type="dxa"/>
            <w:vAlign w:val="center"/>
          </w:tcPr>
          <w:p>
            <w:pPr>
              <w:pStyle w:val="31"/>
              <w:jc w:val="both"/>
              <w:rPr>
                <w:rFonts w:hint="eastAsia"/>
                <w:b/>
                <w:kern w:val="2"/>
                <w:lang w:val="zh-CN"/>
              </w:rPr>
            </w:pPr>
            <w:r>
              <w:rPr>
                <w:rFonts w:hint="eastAsia"/>
                <w:b/>
                <w:kern w:val="2"/>
                <w:lang w:val="en-US" w:eastAsia="zh-CN"/>
              </w:rPr>
              <w:t>√</w:t>
            </w:r>
            <w:r>
              <w:rPr>
                <w:rFonts w:hint="eastAsia"/>
                <w:b/>
                <w:kern w:val="2"/>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6</w:t>
            </w:r>
          </w:p>
        </w:tc>
        <w:tc>
          <w:tcPr>
            <w:tcW w:w="1556" w:type="dxa"/>
            <w:vMerge w:val="restart"/>
            <w:vAlign w:val="center"/>
          </w:tcPr>
          <w:p>
            <w:pPr>
              <w:pStyle w:val="31"/>
              <w:ind w:left="96"/>
              <w:jc w:val="center"/>
              <w:rPr>
                <w:kern w:val="2"/>
                <w:lang w:val="zh-CN"/>
              </w:rPr>
            </w:pPr>
            <w:r>
              <w:rPr>
                <w:kern w:val="2"/>
                <w:lang w:val="zh-CN"/>
              </w:rPr>
              <w:t>履约保证金</w:t>
            </w:r>
          </w:p>
        </w:tc>
        <w:tc>
          <w:tcPr>
            <w:tcW w:w="7067" w:type="dxa"/>
            <w:vAlign w:val="center"/>
          </w:tcPr>
          <w:p>
            <w:pPr>
              <w:ind w:right="94" w:rightChars="45"/>
              <w:rPr>
                <w:rFonts w:ascii="宋体" w:hAnsi="宋体"/>
                <w:b/>
                <w:sz w:val="24"/>
              </w:rPr>
            </w:pPr>
            <w:r>
              <w:rPr>
                <w:rFonts w:ascii="宋体" w:hAnsi="宋体"/>
                <w:b/>
                <w:sz w:val="24"/>
              </w:rPr>
              <w:t>占政府采购合同金额的</w:t>
            </w:r>
            <w:r>
              <w:rPr>
                <w:rFonts w:hint="eastAsia" w:ascii="宋体" w:hAnsi="宋体"/>
                <w:b/>
                <w:sz w:val="24"/>
              </w:rPr>
              <w:t>_</w:t>
            </w:r>
            <w:r>
              <w:rPr>
                <w:rFonts w:hint="eastAsia" w:ascii="宋体" w:hAnsi="宋体"/>
                <w:b/>
                <w:sz w:val="24"/>
                <w:u w:val="single"/>
                <w:lang w:val="en-US" w:eastAsia="zh-CN"/>
              </w:rPr>
              <w:t>0</w:t>
            </w:r>
            <w:r>
              <w:rPr>
                <w:rFonts w:hint="eastAsia" w:ascii="宋体" w:hAnsi="宋体"/>
                <w:b/>
                <w:sz w:val="24"/>
              </w:rPr>
              <w:t>__%</w:t>
            </w:r>
          </w:p>
          <w:p>
            <w:pPr>
              <w:ind w:right="94" w:rightChars="45"/>
              <w:rPr>
                <w:rFonts w:hint="eastAsia" w:ascii="宋体" w:hAnsi="宋体"/>
                <w:szCs w:val="21"/>
              </w:rPr>
            </w:pPr>
            <w:r>
              <w:rPr>
                <w:rFonts w:hint="eastAsia" w:ascii="宋体" w:hAnsi="宋体"/>
                <w:szCs w:val="21"/>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1"/>
              <w:ind w:left="96"/>
              <w:jc w:val="center"/>
              <w:rPr>
                <w:kern w:val="2"/>
                <w:lang w:val="zh-CN"/>
              </w:rPr>
            </w:pPr>
          </w:p>
        </w:tc>
        <w:tc>
          <w:tcPr>
            <w:tcW w:w="7067" w:type="dxa"/>
            <w:vAlign w:val="center"/>
          </w:tcPr>
          <w:p>
            <w:pPr>
              <w:ind w:right="94" w:rightChars="45"/>
              <w:rPr>
                <w:rFonts w:ascii="宋体" w:hAnsi="宋体"/>
                <w:b/>
                <w:sz w:val="24"/>
              </w:rPr>
            </w:pPr>
            <w:r>
              <w:rPr>
                <w:rFonts w:ascii="宋体" w:hAnsi="宋体"/>
                <w:b/>
                <w:sz w:val="24"/>
              </w:rPr>
              <w:t>○由采购单位自行收退</w:t>
            </w:r>
          </w:p>
          <w:p>
            <w:pPr>
              <w:ind w:right="94" w:rightChars="45"/>
              <w:rPr>
                <w:rFonts w:hint="eastAsia" w:ascii="宋体" w:hAnsi="宋体"/>
                <w:b/>
                <w:sz w:val="24"/>
              </w:rPr>
            </w:pPr>
            <w:r>
              <w:rPr>
                <w:rFonts w:ascii="宋体" w:hAnsi="宋体"/>
                <w:b/>
                <w:sz w:val="24"/>
              </w:rPr>
              <w:t>○由代理机构</w:t>
            </w:r>
            <w:bookmarkStart w:id="0" w:name="_GoBack"/>
            <w:bookmarkEnd w:id="0"/>
            <w:r>
              <w:rPr>
                <w:rFonts w:ascii="宋体" w:hAnsi="宋体"/>
                <w:b/>
                <w:sz w:val="24"/>
              </w:rPr>
              <w:t>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7</w:t>
            </w:r>
          </w:p>
        </w:tc>
        <w:tc>
          <w:tcPr>
            <w:tcW w:w="1556" w:type="dxa"/>
            <w:vAlign w:val="center"/>
          </w:tcPr>
          <w:p>
            <w:pPr>
              <w:pStyle w:val="31"/>
              <w:ind w:left="96"/>
              <w:jc w:val="center"/>
              <w:rPr>
                <w:kern w:val="2"/>
                <w:lang w:val="zh-CN"/>
              </w:rPr>
            </w:pPr>
            <w:r>
              <w:rPr>
                <w:kern w:val="2"/>
                <w:lang w:val="zh-CN"/>
              </w:rPr>
              <w:t>集中答疑</w:t>
            </w:r>
          </w:p>
        </w:tc>
        <w:tc>
          <w:tcPr>
            <w:tcW w:w="7067" w:type="dxa"/>
            <w:vAlign w:val="center"/>
          </w:tcPr>
          <w:p>
            <w:pPr>
              <w:ind w:right="94" w:rightChars="45"/>
              <w:rPr>
                <w:rFonts w:hint="eastAsia" w:ascii="宋体" w:hAnsi="宋体"/>
                <w:b/>
                <w:sz w:val="24"/>
              </w:rPr>
            </w:pPr>
            <w:r>
              <w:rPr>
                <w:rFonts w:ascii="宋体" w:hAnsi="宋体"/>
                <w:b/>
                <w:sz w:val="24"/>
              </w:rPr>
              <w:t>○组织，答疑地点为：</w:t>
            </w:r>
            <w:r>
              <w:rPr>
                <w:rFonts w:hint="eastAsia" w:ascii="宋体" w:hAnsi="宋体"/>
                <w:b/>
                <w:sz w:val="24"/>
              </w:rPr>
              <w:t>_______________________</w:t>
            </w:r>
          </w:p>
          <w:p>
            <w:pPr>
              <w:ind w:right="94" w:rightChars="45"/>
              <w:rPr>
                <w:rFonts w:ascii="宋体" w:hAnsi="宋体"/>
                <w:b/>
                <w:sz w:val="24"/>
              </w:rPr>
            </w:pPr>
            <w:r>
              <w:rPr>
                <w:rFonts w:hint="eastAsia" w:ascii="宋体" w:hAnsi="宋体"/>
                <w:b/>
                <w:sz w:val="24"/>
                <w:lang w:val="en-US" w:eastAsia="zh-CN"/>
              </w:rPr>
              <w:t>√</w:t>
            </w:r>
            <w:r>
              <w:rPr>
                <w:rFonts w:ascii="宋体" w:hAnsi="宋体"/>
                <w:b/>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8</w:t>
            </w:r>
          </w:p>
        </w:tc>
        <w:tc>
          <w:tcPr>
            <w:tcW w:w="1556" w:type="dxa"/>
            <w:vAlign w:val="center"/>
          </w:tcPr>
          <w:p>
            <w:pPr>
              <w:pStyle w:val="31"/>
              <w:ind w:left="96"/>
              <w:jc w:val="center"/>
              <w:rPr>
                <w:kern w:val="2"/>
                <w:lang w:val="zh-CN"/>
              </w:rPr>
            </w:pPr>
            <w:r>
              <w:rPr>
                <w:kern w:val="2"/>
                <w:lang w:val="zh-CN"/>
              </w:rPr>
              <w:t>价格分比重</w:t>
            </w:r>
          </w:p>
        </w:tc>
        <w:tc>
          <w:tcPr>
            <w:tcW w:w="7067" w:type="dxa"/>
            <w:vAlign w:val="center"/>
          </w:tcPr>
          <w:p>
            <w:pPr>
              <w:widowControl/>
              <w:rPr>
                <w:rFonts w:hint="eastAsia" w:ascii="宋体" w:hAnsi="宋体" w:cs="宋体"/>
                <w:b/>
                <w:kern w:val="0"/>
                <w:sz w:val="24"/>
                <w:szCs w:val="24"/>
                <w:lang w:val="zh-CN"/>
              </w:rPr>
            </w:pPr>
            <w:r>
              <w:rPr>
                <w:rFonts w:ascii="宋体" w:hAnsi="宋体" w:cs="宋体"/>
                <w:b/>
                <w:kern w:val="0"/>
                <w:sz w:val="24"/>
                <w:szCs w:val="24"/>
                <w:lang w:val="zh-CN"/>
              </w:rPr>
              <w:t>占总分值的</w:t>
            </w:r>
            <w:r>
              <w:rPr>
                <w:rFonts w:hint="eastAsia" w:ascii="宋体" w:hAnsi="宋体" w:cs="宋体"/>
                <w:b/>
                <w:kern w:val="0"/>
                <w:sz w:val="24"/>
                <w:szCs w:val="24"/>
                <w:u w:val="single"/>
                <w:lang w:val="en-US" w:eastAsia="zh-CN"/>
              </w:rPr>
              <w:t xml:space="preserve">  10  </w:t>
            </w:r>
            <w:r>
              <w:rPr>
                <w:rFonts w:hint="eastAsia" w:ascii="宋体" w:hAnsi="宋体" w:cs="宋体"/>
                <w:b/>
                <w:kern w:val="0"/>
                <w:sz w:val="24"/>
                <w:szCs w:val="24"/>
                <w:lang w:val="zh-CN"/>
              </w:rPr>
              <w:t>%</w:t>
            </w:r>
          </w:p>
          <w:p>
            <w:pPr>
              <w:widowControl/>
              <w:rPr>
                <w:rFonts w:ascii="宋体" w:hAnsi="宋体" w:cs="宋体"/>
                <w:kern w:val="0"/>
                <w:szCs w:val="21"/>
                <w:lang w:val="zh-CN"/>
              </w:rPr>
            </w:pPr>
            <w:r>
              <w:rPr>
                <w:rFonts w:hint="eastAsia" w:ascii="宋体" w:hAnsi="宋体" w:cs="宋体"/>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hint="eastAsia" w:ascii="宋体" w:hAnsi="宋体" w:cs="宋体"/>
                <w:kern w:val="0"/>
                <w:szCs w:val="21"/>
                <w:lang w:val="zh-CN"/>
              </w:rPr>
              <w:t>项目的价格分值占总分值的比重不得低于</w:t>
            </w:r>
            <w:r>
              <w:rPr>
                <w:rFonts w:ascii="宋体" w:hAnsi="宋体" w:cs="宋体"/>
                <w:kern w:val="0"/>
                <w:szCs w:val="21"/>
                <w:lang w:val="zh-CN"/>
              </w:rPr>
              <w:t>1</w:t>
            </w:r>
            <w:r>
              <w:rPr>
                <w:rFonts w:hint="eastAsia" w:ascii="宋体" w:hAnsi="宋体" w:cs="宋体"/>
                <w:kern w:val="0"/>
                <w:szCs w:val="21"/>
                <w:lang w:val="zh-CN"/>
              </w:rPr>
              <w:t>0%。执行国家统一定价标准和采用固定价格采购的项目，其价格不列为评审因素。</w:t>
            </w:r>
          </w:p>
          <w:p>
            <w:pPr>
              <w:widowControl/>
              <w:rPr>
                <w:rFonts w:hint="eastAsia" w:ascii="宋体" w:hAnsi="宋体" w:cs="宋体"/>
                <w:kern w:val="0"/>
                <w:szCs w:val="21"/>
                <w:lang w:val="zh-CN"/>
              </w:rPr>
            </w:pPr>
            <w:r>
              <w:rPr>
                <w:rFonts w:ascii="宋体" w:hAnsi="宋体" w:cs="宋体"/>
                <w:kern w:val="0"/>
                <w:szCs w:val="21"/>
                <w:lang w:val="zh-CN"/>
              </w:rPr>
              <w:t>[磋商</w:t>
            </w:r>
            <w:r>
              <w:rPr>
                <w:rFonts w:hint="eastAsia" w:ascii="宋体" w:hAnsi="宋体" w:cs="宋体"/>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hint="eastAsia" w:ascii="宋体" w:hAnsi="宋体" w:cs="宋体"/>
                <w:kern w:val="0"/>
                <w:szCs w:val="21"/>
                <w:lang w:val="zh-CN"/>
              </w:rPr>
              <w:t>0%-</w:t>
            </w:r>
            <w:r>
              <w:rPr>
                <w:rFonts w:ascii="宋体" w:hAnsi="宋体" w:cs="宋体"/>
                <w:kern w:val="0"/>
                <w:szCs w:val="21"/>
                <w:lang w:val="zh-CN"/>
              </w:rPr>
              <w:t>3</w:t>
            </w:r>
            <w:r>
              <w:rPr>
                <w:rFonts w:hint="eastAsia" w:ascii="宋体" w:hAnsi="宋体" w:cs="宋体"/>
                <w:kern w:val="0"/>
                <w:szCs w:val="21"/>
                <w:lang w:val="zh-CN"/>
              </w:rPr>
              <w:t>0%。</w:t>
            </w:r>
          </w:p>
          <w:p>
            <w:pPr>
              <w:widowControl/>
              <w:rPr>
                <w:rFonts w:hint="eastAsia" w:ascii="宋体" w:hAnsi="宋体" w:cs="宋体"/>
                <w:kern w:val="0"/>
                <w:szCs w:val="21"/>
                <w:lang w:val="zh-CN"/>
              </w:rPr>
            </w:pPr>
            <w:r>
              <w:rPr>
                <w:rFonts w:hint="eastAsia" w:ascii="宋体" w:hAnsi="宋体" w:cs="宋体"/>
                <w:kern w:val="0"/>
                <w:szCs w:val="21"/>
                <w:lang w:val="zh-CN"/>
              </w:rPr>
              <w:t>[其他采购方式]无须设置。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9</w:t>
            </w:r>
          </w:p>
        </w:tc>
        <w:tc>
          <w:tcPr>
            <w:tcW w:w="1556" w:type="dxa"/>
            <w:vAlign w:val="center"/>
          </w:tcPr>
          <w:p>
            <w:pPr>
              <w:pStyle w:val="31"/>
              <w:ind w:left="96"/>
              <w:jc w:val="center"/>
              <w:rPr>
                <w:kern w:val="2"/>
                <w:lang w:val="zh-CN"/>
              </w:rPr>
            </w:pPr>
            <w:r>
              <w:rPr>
                <w:kern w:val="2"/>
                <w:lang w:val="zh-CN"/>
              </w:rPr>
              <w:t>合同类型</w:t>
            </w:r>
          </w:p>
        </w:tc>
        <w:tc>
          <w:tcPr>
            <w:tcW w:w="7067" w:type="dxa"/>
            <w:vAlign w:val="center"/>
          </w:tcPr>
          <w:p>
            <w:pPr>
              <w:rPr>
                <w:rFonts w:ascii="宋体" w:hAnsi="宋体"/>
                <w:b/>
                <w:sz w:val="24"/>
                <w:lang w:val="zh-CN"/>
              </w:rPr>
            </w:pPr>
            <w:r>
              <w:rPr>
                <w:rFonts w:hint="eastAsia" w:ascii="宋体" w:hAnsi="宋体"/>
                <w:b/>
                <w:sz w:val="24"/>
                <w:lang w:val="en-US" w:eastAsia="zh-CN"/>
              </w:rPr>
              <w:t>√</w:t>
            </w:r>
            <w:r>
              <w:rPr>
                <w:rFonts w:ascii="宋体" w:hAnsi="宋体"/>
                <w:b/>
                <w:sz w:val="24"/>
                <w:lang w:val="zh-CN"/>
              </w:rPr>
              <w:t>固定总价</w:t>
            </w:r>
          </w:p>
          <w:p>
            <w:pPr>
              <w:rPr>
                <w:rFonts w:ascii="宋体" w:hAnsi="宋体"/>
                <w:b/>
                <w:sz w:val="24"/>
                <w:lang w:val="zh-CN"/>
              </w:rPr>
            </w:pPr>
            <w:r>
              <w:rPr>
                <w:rFonts w:ascii="宋体" w:hAnsi="宋体"/>
                <w:b/>
                <w:sz w:val="24"/>
                <w:lang w:val="zh-CN"/>
              </w:rPr>
              <w:t>○固定单价（适用于采购数量不定的情形）</w:t>
            </w:r>
          </w:p>
          <w:p>
            <w:pPr>
              <w:rPr>
                <w:rFonts w:hint="eastAsia" w:ascii="宋体" w:hAnsi="宋体"/>
                <w:sz w:val="24"/>
                <w:lang w:val="zh-CN"/>
              </w:rPr>
            </w:pPr>
            <w:r>
              <w:rPr>
                <w:rFonts w:ascii="宋体" w:hAnsi="宋体"/>
                <w:b/>
                <w:sz w:val="24"/>
                <w:lang w:val="zh-CN"/>
              </w:rPr>
              <w:t>○其他</w:t>
            </w:r>
            <w:r>
              <w:rPr>
                <w:rFonts w:hint="eastAsia" w:ascii="宋体" w:hAnsi="宋体"/>
                <w:b/>
                <w:sz w:val="24"/>
                <w:lang w:val="zh-CN"/>
              </w:rPr>
              <w:t>：_____________________________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10</w:t>
            </w:r>
          </w:p>
        </w:tc>
        <w:tc>
          <w:tcPr>
            <w:tcW w:w="1556" w:type="dxa"/>
            <w:vAlign w:val="center"/>
          </w:tcPr>
          <w:p>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pPr>
              <w:tabs>
                <w:tab w:val="left" w:pos="7665"/>
              </w:tabs>
              <w:snapToGrid w:val="0"/>
              <w:rPr>
                <w:rFonts w:ascii="宋体" w:hAnsi="宋体"/>
                <w:b/>
                <w:sz w:val="24"/>
              </w:rPr>
            </w:pPr>
            <w:r>
              <w:rPr>
                <w:rFonts w:hint="eastAsia" w:ascii="宋体" w:hAnsi="宋体"/>
                <w:b/>
                <w:sz w:val="24"/>
                <w:lang w:val="en-US" w:eastAsia="zh-CN"/>
              </w:rPr>
              <w:t>√</w:t>
            </w:r>
            <w:r>
              <w:rPr>
                <w:rFonts w:ascii="宋体" w:hAnsi="宋体"/>
                <w:b/>
                <w:sz w:val="24"/>
              </w:rPr>
              <w:t>向有管辖权的人民法院提起诉讼</w:t>
            </w:r>
          </w:p>
          <w:p>
            <w:pPr>
              <w:tabs>
                <w:tab w:val="left" w:pos="7665"/>
              </w:tabs>
              <w:snapToGrid w:val="0"/>
              <w:rPr>
                <w:rFonts w:ascii="宋体" w:hAnsi="宋体"/>
                <w:b/>
                <w:sz w:val="24"/>
              </w:rPr>
            </w:pPr>
            <w:r>
              <w:rPr>
                <w:rFonts w:ascii="宋体" w:hAnsi="宋体"/>
                <w:b/>
                <w:sz w:val="24"/>
              </w:rPr>
              <w:t>○向西安仲裁委员会提请仲裁</w:t>
            </w:r>
          </w:p>
          <w:p>
            <w:pPr>
              <w:tabs>
                <w:tab w:val="left" w:pos="7665"/>
              </w:tabs>
              <w:snapToGrid w:val="0"/>
              <w:rPr>
                <w:rFonts w:hint="eastAsia" w:ascii="宋体" w:hAnsi="宋体"/>
                <w:sz w:val="24"/>
              </w:rPr>
            </w:pPr>
            <w:r>
              <w:rPr>
                <w:rFonts w:ascii="宋体" w:hAnsi="宋体"/>
                <w:b/>
                <w:sz w:val="24"/>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11</w:t>
            </w:r>
          </w:p>
        </w:tc>
        <w:tc>
          <w:tcPr>
            <w:tcW w:w="1556" w:type="dxa"/>
            <w:vAlign w:val="center"/>
          </w:tcPr>
          <w:p>
            <w:pPr>
              <w:snapToGrid w:val="0"/>
              <w:jc w:val="center"/>
              <w:rPr>
                <w:rFonts w:hint="eastAsia" w:ascii="宋体" w:hAnsi="宋体"/>
                <w:sz w:val="24"/>
              </w:rPr>
            </w:pPr>
            <w:r>
              <w:rPr>
                <w:rFonts w:hint="eastAsia" w:ascii="宋体" w:hAnsi="宋体"/>
                <w:sz w:val="24"/>
              </w:rPr>
              <w:t>联系方式</w:t>
            </w:r>
          </w:p>
        </w:tc>
        <w:tc>
          <w:tcPr>
            <w:tcW w:w="7067" w:type="dxa"/>
            <w:vAlign w:val="center"/>
          </w:tcPr>
          <w:p>
            <w:pPr>
              <w:tabs>
                <w:tab w:val="left" w:pos="7665"/>
              </w:tabs>
              <w:snapToGrid w:val="0"/>
              <w:rPr>
                <w:rFonts w:hint="eastAsia" w:ascii="宋体" w:hAnsi="宋体"/>
                <w:b/>
                <w:bCs/>
                <w:sz w:val="24"/>
              </w:rPr>
            </w:pPr>
            <w:r>
              <w:rPr>
                <w:rFonts w:hint="eastAsia" w:ascii="宋体" w:hAnsi="宋体"/>
                <w:b/>
                <w:bCs/>
                <w:sz w:val="24"/>
              </w:rPr>
              <w:t>项目对接人：_____________</w:t>
            </w:r>
          </w:p>
          <w:p>
            <w:pPr>
              <w:tabs>
                <w:tab w:val="left" w:pos="7665"/>
              </w:tabs>
              <w:snapToGrid w:val="0"/>
              <w:rPr>
                <w:rFonts w:hint="eastAsia" w:ascii="宋体" w:hAnsi="宋体"/>
                <w:b/>
                <w:bCs/>
                <w:sz w:val="24"/>
              </w:rPr>
            </w:pPr>
            <w:r>
              <w:rPr>
                <w:rFonts w:ascii="宋体" w:hAnsi="宋体"/>
                <w:b/>
                <w:bCs/>
                <w:sz w:val="24"/>
              </w:rPr>
              <w:t>联系电话：</w:t>
            </w:r>
            <w:r>
              <w:rPr>
                <w:rFonts w:hint="eastAsia" w:ascii="宋体" w:hAnsi="宋体"/>
                <w:b/>
                <w:bCs/>
                <w:sz w:val="24"/>
              </w:rPr>
              <w:t>_______________</w:t>
            </w:r>
          </w:p>
          <w:p>
            <w:pPr>
              <w:tabs>
                <w:tab w:val="left" w:pos="7665"/>
              </w:tabs>
              <w:snapToGrid w:val="0"/>
              <w:rPr>
                <w:rFonts w:hint="eastAsia" w:ascii="宋体" w:hAnsi="宋体"/>
                <w:sz w:val="24"/>
              </w:rPr>
            </w:pPr>
            <w:r>
              <w:rPr>
                <w:rFonts w:ascii="宋体" w:hAnsi="宋体"/>
                <w:b/>
                <w:bCs/>
                <w:sz w:val="24"/>
              </w:rPr>
              <w:t>电子邮箱：</w:t>
            </w:r>
            <w:r>
              <w:rPr>
                <w:rFonts w:hint="eastAsia" w:ascii="宋体" w:hAnsi="宋体"/>
                <w:b/>
                <w:bCs/>
                <w:sz w:val="24"/>
              </w:rPr>
              <w:t>_______________</w:t>
            </w:r>
          </w:p>
        </w:tc>
      </w:tr>
    </w:tbl>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ind w:firstLine="560" w:firstLineChars="200"/>
        <w:rPr>
          <w:rFonts w:ascii="仿宋" w:hAnsi="仿宋" w:eastAsia="仿宋"/>
          <w:sz w:val="28"/>
          <w:szCs w:val="28"/>
        </w:rPr>
      </w:pPr>
      <w:r>
        <w:rPr>
          <w:rFonts w:hint="eastAsia" w:ascii="仿宋" w:hAnsi="仿宋" w:eastAsia="仿宋"/>
          <w:sz w:val="28"/>
          <w:szCs w:val="28"/>
        </w:rPr>
        <w:t>用简要扼要的描述，清晰表达采购意图，目的是让服务商对项目需求有整体上的了解，引起服务商参与的积极性。</w:t>
      </w:r>
      <w:r>
        <w:rPr>
          <w:rFonts w:ascii="仿宋" w:hAnsi="仿宋" w:eastAsia="仿宋"/>
          <w:sz w:val="28"/>
          <w:szCs w:val="28"/>
        </w:rPr>
        <w:t>与</w:t>
      </w:r>
      <w:r>
        <w:rPr>
          <w:rFonts w:hint="eastAsia" w:ascii="仿宋" w:hAnsi="仿宋" w:eastAsia="仿宋"/>
          <w:sz w:val="28"/>
          <w:szCs w:val="28"/>
        </w:rPr>
        <w:t>本次项目</w:t>
      </w:r>
      <w:r>
        <w:rPr>
          <w:rFonts w:ascii="仿宋" w:hAnsi="仿宋" w:eastAsia="仿宋"/>
          <w:sz w:val="28"/>
          <w:szCs w:val="28"/>
        </w:rPr>
        <w:t>无关的文字</w:t>
      </w:r>
      <w:r>
        <w:rPr>
          <w:rFonts w:hint="eastAsia" w:ascii="仿宋" w:hAnsi="仿宋" w:eastAsia="仿宋"/>
          <w:sz w:val="28"/>
          <w:szCs w:val="28"/>
        </w:rPr>
        <w:t>请</w:t>
      </w:r>
      <w:r>
        <w:rPr>
          <w:rFonts w:ascii="仿宋" w:hAnsi="仿宋" w:eastAsia="仿宋"/>
          <w:sz w:val="28"/>
          <w:szCs w:val="28"/>
        </w:rPr>
        <w:t>尽量精简。</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根据《西安市鄠邑区国土空间规划编制工作方案》要求，全面开展全区国土空间规划编制工作，我局承担文化服务设施、区全域旅游、区文物保护管理、区体育设施空间布局等4项专项规划任务。</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二、服务内容（包括工作区域、工作内容等）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采购品目较多时，应结合《政府采购品类分类目录》和市场主体的承接能力，合理划分标段。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要坚持新发展理念，坚持生态优先、绿色发展，按照高质量发展和高品质生活要求，编制区文化服务设施、区全域旅游、区文物保护管理、区体育设施空间布局等4项专项规划。</w:t>
      </w:r>
    </w:p>
    <w:p>
      <w:pPr>
        <w:numPr>
          <w:ilvl w:val="0"/>
          <w:numId w:val="1"/>
        </w:numPr>
        <w:pBdr>
          <w:bottom w:val="single" w:color="auto" w:sz="4" w:space="1"/>
        </w:pBdr>
        <w:spacing w:before="312" w:beforeLines="100"/>
        <w:ind w:left="420" w:hanging="420"/>
        <w:rPr>
          <w:rFonts w:hint="eastAsia" w:ascii="仿宋" w:hAnsi="仿宋" w:eastAsia="仿宋"/>
          <w:b/>
          <w:sz w:val="28"/>
          <w:szCs w:val="28"/>
        </w:rPr>
      </w:pPr>
      <w:r>
        <w:rPr>
          <w:rFonts w:hint="eastAsia" w:ascii="仿宋" w:hAnsi="仿宋" w:eastAsia="仿宋"/>
          <w:b/>
          <w:sz w:val="28"/>
          <w:szCs w:val="28"/>
        </w:rPr>
        <w:t>技术要求（如有，一般适合于技术服务项目）</w:t>
      </w:r>
    </w:p>
    <w:p>
      <w:pPr>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312" w:beforeLines="100"/>
        <w:ind w:leftChars="0" w:firstLine="560" w:firstLineChars="200"/>
        <w:textAlignment w:val="auto"/>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因地制宜，突出特色，根据鄠邑的自然禀赋、人文特色和发展阶段，增强创新发展动力，弥补发展短板。</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四、服务要求（如对人员配置、专业设备、服务标准等）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sz w:val="28"/>
          <w:szCs w:val="28"/>
        </w:rPr>
      </w:pPr>
      <w:r>
        <w:rPr>
          <w:rFonts w:hint="eastAsia" w:ascii="仿宋" w:hAnsi="仿宋" w:eastAsia="仿宋"/>
          <w:sz w:val="28"/>
          <w:szCs w:val="28"/>
        </w:rPr>
        <w:t>在合同执行过程中需要服务商应执行的相关服务标准和应当履行的相关义务。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因地制宜，突出特色，根据鄠邑的自然禀赋、人文特色和发展阶段，增强创新发展动力，弥补发展短板。</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五、商务要求（如服务期限、款项结算等）</w:t>
      </w:r>
    </w:p>
    <w:p>
      <w:pPr>
        <w:spacing w:line="400" w:lineRule="exact"/>
        <w:rPr>
          <w:rFonts w:ascii="仿宋" w:hAnsi="仿宋" w:eastAsia="仿宋"/>
          <w:sz w:val="28"/>
          <w:szCs w:val="28"/>
        </w:rPr>
      </w:pPr>
      <w:r>
        <w:rPr>
          <w:rFonts w:hint="eastAsia" w:ascii="仿宋" w:hAnsi="仿宋" w:eastAsia="仿宋"/>
          <w:sz w:val="28"/>
          <w:szCs w:val="28"/>
        </w:rPr>
        <w:t>（一）服务期限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合同签订之日起1年内交付最终成果。</w:t>
      </w:r>
    </w:p>
    <w:p>
      <w:pPr>
        <w:rPr>
          <w:rFonts w:ascii="仿宋" w:hAnsi="仿宋" w:eastAsia="仿宋"/>
          <w:sz w:val="28"/>
          <w:szCs w:val="28"/>
        </w:rPr>
      </w:pPr>
      <w:r>
        <w:rPr>
          <w:rFonts w:hint="eastAsia" w:ascii="仿宋" w:hAnsi="仿宋" w:eastAsia="仿宋"/>
          <w:sz w:val="28"/>
          <w:szCs w:val="28"/>
        </w:rPr>
        <w:t>（二）款项结算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款项结算采用分批支付的方式。自本合同签订后</w:t>
      </w:r>
      <w:r>
        <w:rPr>
          <w:rFonts w:ascii="仿宋" w:hAnsi="仿宋" w:eastAsia="仿宋"/>
          <w:sz w:val="28"/>
          <w:szCs w:val="28"/>
        </w:rPr>
        <w:t>7</w:t>
      </w:r>
      <w:r>
        <w:rPr>
          <w:rFonts w:hint="eastAsia" w:ascii="仿宋" w:hAnsi="仿宋" w:eastAsia="仿宋"/>
          <w:sz w:val="28"/>
          <w:szCs w:val="28"/>
        </w:rPr>
        <w:t>日内，甲方应支付合同总价款的</w:t>
      </w:r>
      <w:r>
        <w:rPr>
          <w:rFonts w:ascii="仿宋" w:hAnsi="仿宋" w:eastAsia="仿宋"/>
          <w:sz w:val="28"/>
          <w:szCs w:val="28"/>
        </w:rPr>
        <w:t>50</w:t>
      </w:r>
      <w:r>
        <w:rPr>
          <w:rFonts w:hint="eastAsia" w:ascii="仿宋" w:hAnsi="仿宋" w:eastAsia="仿宋"/>
          <w:sz w:val="28"/>
          <w:szCs w:val="28"/>
        </w:rPr>
        <w:t>％，乙方以预付款到账时间作为项目组正式开展规划编制工作；待项目初稿完成，并通过相关专家会议审查后，支付合同总价款的3</w:t>
      </w:r>
      <w:r>
        <w:rPr>
          <w:rFonts w:ascii="仿宋" w:hAnsi="仿宋" w:eastAsia="仿宋"/>
          <w:sz w:val="28"/>
          <w:szCs w:val="28"/>
        </w:rPr>
        <w:t>0</w:t>
      </w:r>
      <w:r>
        <w:rPr>
          <w:rFonts w:hint="eastAsia" w:ascii="仿宋" w:hAnsi="仿宋" w:eastAsia="仿宋"/>
          <w:sz w:val="28"/>
          <w:szCs w:val="28"/>
        </w:rPr>
        <w:t>％；规划最终成果提交1</w:t>
      </w:r>
      <w:r>
        <w:rPr>
          <w:rFonts w:ascii="仿宋" w:hAnsi="仿宋" w:eastAsia="仿宋"/>
          <w:sz w:val="28"/>
          <w:szCs w:val="28"/>
        </w:rPr>
        <w:t>5</w:t>
      </w:r>
      <w:r>
        <w:rPr>
          <w:rFonts w:hint="eastAsia" w:ascii="仿宋" w:hAnsi="仿宋" w:eastAsia="仿宋"/>
          <w:sz w:val="28"/>
          <w:szCs w:val="28"/>
        </w:rPr>
        <w:t>个工作日内支付合同总价款的2</w:t>
      </w:r>
      <w:r>
        <w:rPr>
          <w:rFonts w:ascii="仿宋" w:hAnsi="仿宋" w:eastAsia="仿宋"/>
          <w:sz w:val="28"/>
          <w:szCs w:val="28"/>
        </w:rPr>
        <w:t>0</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乙方须向甲方出具合法有效的完税发票，甲方进行支付结算。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结算方式：银行转账。</w:t>
      </w:r>
    </w:p>
    <w:p>
      <w:pPr>
        <w:rPr>
          <w:rFonts w:ascii="仿宋" w:hAnsi="仿宋" w:eastAsia="仿宋"/>
          <w:sz w:val="28"/>
          <w:szCs w:val="28"/>
        </w:rPr>
      </w:pPr>
    </w:p>
    <w:p>
      <w:pPr>
        <w:pBdr>
          <w:bottom w:val="single" w:color="auto" w:sz="4" w:space="1"/>
        </w:pBdr>
        <w:spacing w:before="312" w:beforeLines="100"/>
        <w:rPr>
          <w:rFonts w:ascii="仿宋" w:hAnsi="仿宋" w:eastAsia="仿宋"/>
          <w:b/>
          <w:sz w:val="28"/>
          <w:szCs w:val="28"/>
        </w:rPr>
      </w:pPr>
      <w:r>
        <w:rPr>
          <w:rFonts w:hint="eastAsia" w:ascii="仿宋" w:hAnsi="仿宋" w:eastAsia="仿宋"/>
          <w:b/>
          <w:sz w:val="28"/>
          <w:szCs w:val="28"/>
        </w:rPr>
        <w:t>六、其他（如有要求，请写明）</w:t>
      </w:r>
    </w:p>
    <w:p>
      <w:pPr>
        <w:rPr>
          <w:rFonts w:ascii="仿宋" w:hAnsi="仿宋" w:eastAsia="仿宋"/>
          <w:sz w:val="28"/>
          <w:szCs w:val="28"/>
        </w:rPr>
      </w:pPr>
      <w:r>
        <w:rPr>
          <w:rFonts w:hint="eastAsia" w:ascii="仿宋" w:hAnsi="仿宋" w:eastAsia="仿宋"/>
          <w:sz w:val="28"/>
          <w:szCs w:val="28"/>
        </w:rPr>
        <w:t>（一）对服务商的业绩要求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对供应商业绩的要求</w:t>
      </w:r>
      <w:r>
        <w:rPr>
          <w:rFonts w:hint="eastAsia" w:ascii="仿宋" w:hAnsi="仿宋" w:eastAsia="仿宋"/>
          <w:sz w:val="28"/>
          <w:szCs w:val="28"/>
          <w:lang w:eastAsia="zh-CN"/>
        </w:rPr>
        <w:t>：</w:t>
      </w:r>
      <w:r>
        <w:rPr>
          <w:rFonts w:hint="eastAsia" w:ascii="仿宋" w:hAnsi="仿宋" w:eastAsia="仿宋"/>
          <w:sz w:val="28"/>
          <w:szCs w:val="28"/>
        </w:rPr>
        <w:t>近三年类似项目业绩合同</w:t>
      </w:r>
      <w:r>
        <w:rPr>
          <w:rFonts w:hint="eastAsia" w:ascii="仿宋" w:hAnsi="仿宋" w:eastAsia="仿宋"/>
          <w:sz w:val="28"/>
          <w:szCs w:val="28"/>
          <w:lang w:eastAsia="zh-CN"/>
        </w:rPr>
        <w:t>。</w:t>
      </w:r>
    </w:p>
    <w:p>
      <w:pPr>
        <w:rPr>
          <w:rFonts w:ascii="仿宋" w:hAnsi="仿宋" w:eastAsia="仿宋"/>
          <w:sz w:val="28"/>
          <w:szCs w:val="28"/>
        </w:rPr>
      </w:pPr>
      <w:r>
        <w:rPr>
          <w:rFonts w:hint="eastAsia" w:ascii="仿宋" w:hAnsi="仿宋" w:eastAsia="仿宋"/>
          <w:sz w:val="28"/>
          <w:szCs w:val="28"/>
        </w:rPr>
        <w:t>（二）进度要求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款项结算采用分批支付的方式。自本合同签订后</w:t>
      </w:r>
      <w:r>
        <w:rPr>
          <w:rFonts w:ascii="仿宋" w:hAnsi="仿宋" w:eastAsia="仿宋"/>
          <w:sz w:val="28"/>
          <w:szCs w:val="28"/>
        </w:rPr>
        <w:t>7</w:t>
      </w:r>
      <w:r>
        <w:rPr>
          <w:rFonts w:hint="eastAsia" w:ascii="仿宋" w:hAnsi="仿宋" w:eastAsia="仿宋"/>
          <w:sz w:val="28"/>
          <w:szCs w:val="28"/>
        </w:rPr>
        <w:t>日内，甲方应支付合同总价款的</w:t>
      </w:r>
      <w:r>
        <w:rPr>
          <w:rFonts w:ascii="仿宋" w:hAnsi="仿宋" w:eastAsia="仿宋"/>
          <w:sz w:val="28"/>
          <w:szCs w:val="28"/>
        </w:rPr>
        <w:t>50</w:t>
      </w:r>
      <w:r>
        <w:rPr>
          <w:rFonts w:hint="eastAsia" w:ascii="仿宋" w:hAnsi="仿宋" w:eastAsia="仿宋"/>
          <w:sz w:val="28"/>
          <w:szCs w:val="28"/>
        </w:rPr>
        <w:t>％，乙方以预付款到账时间作为项目组正式开展规划编制工作；待项目初稿完成，并通过相关专家会议审查后，支付合同总价款的3</w:t>
      </w:r>
      <w:r>
        <w:rPr>
          <w:rFonts w:ascii="仿宋" w:hAnsi="仿宋" w:eastAsia="仿宋"/>
          <w:sz w:val="28"/>
          <w:szCs w:val="28"/>
        </w:rPr>
        <w:t>0</w:t>
      </w:r>
      <w:r>
        <w:rPr>
          <w:rFonts w:hint="eastAsia" w:ascii="仿宋" w:hAnsi="仿宋" w:eastAsia="仿宋"/>
          <w:sz w:val="28"/>
          <w:szCs w:val="28"/>
        </w:rPr>
        <w:t>％；规划最终成果提交1</w:t>
      </w:r>
      <w:r>
        <w:rPr>
          <w:rFonts w:ascii="仿宋" w:hAnsi="仿宋" w:eastAsia="仿宋"/>
          <w:sz w:val="28"/>
          <w:szCs w:val="28"/>
        </w:rPr>
        <w:t>5</w:t>
      </w:r>
      <w:r>
        <w:rPr>
          <w:rFonts w:hint="eastAsia" w:ascii="仿宋" w:hAnsi="仿宋" w:eastAsia="仿宋"/>
          <w:sz w:val="28"/>
          <w:szCs w:val="28"/>
        </w:rPr>
        <w:t>个工作日内支付合同总价款的2</w:t>
      </w:r>
      <w:r>
        <w:rPr>
          <w:rFonts w:ascii="仿宋" w:hAnsi="仿宋" w:eastAsia="仿宋"/>
          <w:sz w:val="28"/>
          <w:szCs w:val="28"/>
        </w:rPr>
        <w:t>0</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乙方须向甲方出具合法有效的完税发票，甲方进行支付结算。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结算方式：银行转账。</w:t>
      </w:r>
    </w:p>
    <w:p>
      <w:pPr>
        <w:rPr>
          <w:rFonts w:ascii="仿宋" w:hAnsi="仿宋" w:eastAsia="仿宋"/>
          <w:sz w:val="28"/>
          <w:szCs w:val="28"/>
        </w:rPr>
      </w:pPr>
      <w:r>
        <w:rPr>
          <w:rFonts w:hint="eastAsia" w:ascii="仿宋" w:hAnsi="仿宋" w:eastAsia="仿宋"/>
          <w:sz w:val="28"/>
          <w:szCs w:val="28"/>
        </w:rPr>
        <w:t>（三）成果交付要求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成果提交内容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（1）文字成果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规划成果文本；相关附件成果，包括规划编制过程中形成的工作报告、专家论证意见、公众参与记录等。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（2）图件成果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规划成果图集，包括：基础分析图、规划图等。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（3）规划数据库成果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规划数据库包括符合建库标准的规划图件的栅格数据和矢量数据、规划文档、规划表格等。规划数据库内容应与纸质规划成果一致。</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成果文件数量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（1）提交的最终成果应包括电子成果、纸质成果。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（2）电子成果1份、规划纸质成果4份，并配合采购人通过上级主管部门的评审。</w:t>
      </w:r>
    </w:p>
    <w:p>
      <w:pPr>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质量验收标准或规范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sz w:val="28"/>
          <w:szCs w:val="28"/>
        </w:rPr>
        <w:t>现行的国家标准或国家行政部门颁布的法律法规、规章制度等，是项目验收的另一个重要依据。没有国家标准的，可以参考行业标准。</w:t>
      </w:r>
    </w:p>
    <w:p>
      <w:pPr>
        <w:numPr>
          <w:ilvl w:val="0"/>
          <w:numId w:val="2"/>
        </w:numPr>
        <w:rPr>
          <w:rFonts w:ascii="仿宋" w:hAnsi="仿宋" w:eastAsia="仿宋"/>
          <w:sz w:val="28"/>
          <w:szCs w:val="28"/>
        </w:rPr>
      </w:pPr>
      <w:r>
        <w:rPr>
          <w:rFonts w:ascii="仿宋" w:hAnsi="仿宋" w:eastAsia="仿宋"/>
          <w:sz w:val="28"/>
          <w:szCs w:val="28"/>
        </w:rPr>
        <w:t>违约责任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ascii="仿宋" w:hAnsi="仿宋" w:eastAsia="仿宋"/>
          <w:sz w:val="28"/>
          <w:szCs w:val="28"/>
        </w:rPr>
        <w:t>一般与合同款项的支付相关，注意不要超出《民法典》中对于违约的责任上限。</w:t>
      </w:r>
    </w:p>
    <w:p>
      <w:pPr>
        <w:rPr>
          <w:rFonts w:ascii="仿宋" w:hAnsi="仿宋" w:eastAsia="仿宋"/>
          <w:sz w:val="28"/>
          <w:szCs w:val="28"/>
        </w:rPr>
      </w:pPr>
    </w:p>
    <w:p>
      <w:pPr>
        <w:rPr>
          <w:rFonts w:hint="eastAsia" w:ascii="仿宋" w:hAnsi="仿宋" w:eastAsia="仿宋"/>
          <w:sz w:val="28"/>
          <w:szCs w:val="28"/>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8C827"/>
    <w:multiLevelType w:val="singleLevel"/>
    <w:tmpl w:val="47F8C827"/>
    <w:lvl w:ilvl="0" w:tentative="0">
      <w:start w:val="3"/>
      <w:numFmt w:val="chineseCounting"/>
      <w:suff w:val="nothing"/>
      <w:lvlText w:val="%1、"/>
      <w:lvlJc w:val="left"/>
      <w:rPr>
        <w:rFonts w:hint="eastAsia"/>
      </w:rPr>
    </w:lvl>
  </w:abstractNum>
  <w:abstractNum w:abstractNumId="1">
    <w:nsid w:val="547894B9"/>
    <w:multiLevelType w:val="singleLevel"/>
    <w:tmpl w:val="547894B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1ZTU2NzhlM2EyNThhZmY0NjEwNDY2ZDVkODRkYWU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1CE6DBD"/>
    <w:rsid w:val="07EE04C3"/>
    <w:rsid w:val="0B2B77D7"/>
    <w:rsid w:val="127E28E2"/>
    <w:rsid w:val="12E12E71"/>
    <w:rsid w:val="19234653"/>
    <w:rsid w:val="252879E9"/>
    <w:rsid w:val="26F251F5"/>
    <w:rsid w:val="294C6E3F"/>
    <w:rsid w:val="2CFC2E35"/>
    <w:rsid w:val="34B955A4"/>
    <w:rsid w:val="3D5C1616"/>
    <w:rsid w:val="407C5E04"/>
    <w:rsid w:val="4A0D5D1E"/>
    <w:rsid w:val="5154153B"/>
    <w:rsid w:val="518C1C1F"/>
    <w:rsid w:val="54DD1EA3"/>
    <w:rsid w:val="56841877"/>
    <w:rsid w:val="63E91153"/>
    <w:rsid w:val="66216982"/>
    <w:rsid w:val="6B565135"/>
    <w:rsid w:val="6C7C3CEF"/>
    <w:rsid w:val="7B9A3006"/>
    <w:rsid w:val="7B9D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qFormat/>
    <w:uiPriority w:val="99"/>
    <w:pPr>
      <w:jc w:val="left"/>
    </w:pPr>
  </w:style>
  <w:style w:type="paragraph" w:styleId="3">
    <w:name w:val="Balloon Text"/>
    <w:basedOn w:val="1"/>
    <w:link w:val="37"/>
    <w:semiHidden/>
    <w:unhideWhenUsed/>
    <w:qFormat/>
    <w:uiPriority w:val="99"/>
    <w:rPr>
      <w:sz w:val="18"/>
      <w:szCs w:val="18"/>
    </w:rPr>
  </w:style>
  <w:style w:type="paragraph" w:styleId="4">
    <w:name w:val="footer"/>
    <w:basedOn w:val="1"/>
    <w:link w:val="34"/>
    <w:unhideWhenUsed/>
    <w:qFormat/>
    <w:uiPriority w:val="99"/>
    <w:pPr>
      <w:tabs>
        <w:tab w:val="center" w:pos="4153"/>
        <w:tab w:val="right" w:pos="8306"/>
      </w:tabs>
      <w:snapToGrid w:val="0"/>
      <w:jc w:val="left"/>
    </w:pPr>
    <w:rPr>
      <w:sz w:val="18"/>
      <w:szCs w:val="18"/>
    </w:rPr>
  </w:style>
  <w:style w:type="paragraph" w:styleId="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5"/>
    <w:qFormat/>
    <w:uiPriority w:val="99"/>
    <w:rPr>
      <w:rFonts w:ascii="Calibri" w:hAnsi="Calibri" w:eastAsia="宋体" w:cs="Times New Roman"/>
      <w:sz w:val="18"/>
      <w:szCs w:val="18"/>
    </w:rPr>
  </w:style>
  <w:style w:type="character" w:customStyle="1" w:styleId="34">
    <w:name w:val="页脚 Char"/>
    <w:basedOn w:val="9"/>
    <w:link w:val="4"/>
    <w:qFormat/>
    <w:uiPriority w:val="99"/>
    <w:rPr>
      <w:rFonts w:ascii="Calibri" w:hAnsi="Calibri" w:eastAsia="宋体" w:cs="Times New Roman"/>
      <w:sz w:val="18"/>
      <w:szCs w:val="18"/>
    </w:rPr>
  </w:style>
  <w:style w:type="character" w:customStyle="1" w:styleId="35">
    <w:name w:val="批注文字 Char"/>
    <w:basedOn w:val="9"/>
    <w:link w:val="2"/>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2248</Words>
  <Characters>2419</Characters>
  <Lines>21</Lines>
  <Paragraphs>6</Paragraphs>
  <TotalTime>4</TotalTime>
  <ScaleCrop>false</ScaleCrop>
  <LinksUpToDate>false</LinksUpToDate>
  <CharactersWithSpaces>2425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衡</cp:lastModifiedBy>
  <dcterms:modified xsi:type="dcterms:W3CDTF">2023-07-11T09:25:29Z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626358508EF84430B91D0BAA6650578A</vt:lpwstr>
  </property>
</Properties>
</file>