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360" w:lineRule="auto"/>
        <w:ind w:firstLine="643" w:firstLineChars="200"/>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一、项目概况</w:t>
      </w:r>
    </w:p>
    <w:p>
      <w:pPr>
        <w:shd w:val="clear"/>
        <w:bidi w:val="0"/>
        <w:spacing w:line="360" w:lineRule="auto"/>
        <w:ind w:firstLine="640" w:firstLineChars="200"/>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zh-CN" w:eastAsia="zh-CN" w:bidi="ar-SA"/>
        </w:rPr>
        <w:t>西安国际港务区2023年环境监测辅助服务</w:t>
      </w:r>
      <w:r>
        <w:rPr>
          <w:rFonts w:hint="eastAsia" w:ascii="仿宋_GB2312" w:hAnsi="仿宋_GB2312" w:eastAsia="仿宋_GB2312" w:cs="仿宋_GB2312"/>
          <w:color w:val="auto"/>
          <w:kern w:val="0"/>
          <w:sz w:val="32"/>
          <w:szCs w:val="32"/>
          <w:highlight w:val="none"/>
          <w:lang w:val="en-US" w:eastAsia="zh-CN" w:bidi="ar-SA"/>
        </w:rPr>
        <w:t>项目，主要服务内容包括提供对区内企业的水、气、噪声、土壤等污染物排放情况及灞河断面、集中供水、区域环境空气质量等进行定期监测服务。具体划分为五个包，对应包内容如下。</w:t>
      </w:r>
    </w:p>
    <w:p>
      <w:pPr>
        <w:pStyle w:val="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第一包：环境质量监测，预算金额：400,000.00元</w:t>
      </w:r>
    </w:p>
    <w:p>
      <w:pPr>
        <w:pStyle w:val="4"/>
        <w:shd w:val="clear"/>
        <w:adjustRightInd w:val="0"/>
        <w:snapToGrid w:val="0"/>
        <w:spacing w:before="0" w:beforeAutospacing="0" w:after="0" w:afterAutospacing="0" w:line="360" w:lineRule="auto"/>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第二包：废气监测，预算金额：350,000.00元</w:t>
      </w:r>
    </w:p>
    <w:p>
      <w:pPr>
        <w:pStyle w:val="4"/>
        <w:shd w:val="clear"/>
        <w:adjustRightInd w:val="0"/>
        <w:snapToGrid w:val="0"/>
        <w:spacing w:before="0" w:beforeAutospacing="0" w:after="0" w:afterAutospacing="0" w:line="360" w:lineRule="auto"/>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第三包：水质监测，预算金额：300,000.00元</w:t>
      </w:r>
    </w:p>
    <w:p>
      <w:pPr>
        <w:pStyle w:val="4"/>
        <w:shd w:val="clear"/>
        <w:adjustRightInd w:val="0"/>
        <w:snapToGrid w:val="0"/>
        <w:spacing w:before="0" w:beforeAutospacing="0" w:after="0" w:afterAutospacing="0" w:line="360" w:lineRule="auto"/>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第四包：噪声监测，预算金额：250,000.00元</w:t>
      </w:r>
    </w:p>
    <w:p>
      <w:pPr>
        <w:pStyle w:val="4"/>
        <w:shd w:val="clear"/>
        <w:adjustRightInd w:val="0"/>
        <w:snapToGrid w:val="0"/>
        <w:spacing w:before="0" w:beforeAutospacing="0" w:after="0" w:afterAutospacing="0" w:line="360" w:lineRule="auto"/>
        <w:ind w:firstLine="640" w:firstLineChars="200"/>
        <w:rPr>
          <w:rFonts w:hint="eastAsia"/>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第五包：应急监测，预算金额：200,000.00元</w:t>
      </w:r>
    </w:p>
    <w:p>
      <w:pPr>
        <w:pStyle w:val="3"/>
        <w:shd w:val="clear"/>
        <w:bidi w:val="0"/>
        <w:spacing w:line="360" w:lineRule="auto"/>
        <w:ind w:firstLine="643" w:firstLineChars="200"/>
        <w:rPr>
          <w:rFonts w:hint="default"/>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二、服务内容</w:t>
      </w:r>
    </w:p>
    <w:p>
      <w:pPr>
        <w:shd w:val="clear"/>
        <w:spacing w:line="360" w:lineRule="auto"/>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对港务区内企业的水、气、噪声、土壤等污染物排放情况及灞河断面、集中供水、区域环境空气质量等进行定期监测服务。</w:t>
      </w:r>
    </w:p>
    <w:p>
      <w:pPr>
        <w:pStyle w:val="3"/>
        <w:bidi w:val="0"/>
        <w:spacing w:line="360" w:lineRule="auto"/>
        <w:ind w:firstLine="643" w:firstLineChars="200"/>
        <w:rPr>
          <w:rFonts w:hint="eastAsia"/>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三、技术要求</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02"/>
        <w:gridCol w:w="1236"/>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84"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665" w:type="pct"/>
            <w:gridSpan w:val="2"/>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类别</w:t>
            </w:r>
          </w:p>
        </w:tc>
        <w:tc>
          <w:tcPr>
            <w:tcW w:w="2849" w:type="pct"/>
            <w:noWrap w:val="0"/>
            <w:vAlign w:val="center"/>
          </w:tcPr>
          <w:p>
            <w:pPr>
              <w:spacing w:line="540" w:lineRule="exact"/>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监测</w:t>
            </w:r>
            <w:r>
              <w:rPr>
                <w:rFonts w:hint="eastAsia" w:ascii="仿宋" w:hAnsi="仿宋" w:eastAsia="仿宋"/>
                <w:color w:val="auto"/>
                <w:sz w:val="28"/>
                <w:szCs w:val="28"/>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84" w:type="pct"/>
            <w:vMerge w:val="restar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940" w:type="pct"/>
            <w:vMerge w:val="restar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水和废水</w:t>
            </w:r>
          </w:p>
        </w:tc>
        <w:tc>
          <w:tcPr>
            <w:tcW w:w="725"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地表水</w:t>
            </w:r>
          </w:p>
        </w:tc>
        <w:tc>
          <w:tcPr>
            <w:tcW w:w="2849" w:type="pct"/>
            <w:noWrap w:val="0"/>
            <w:vAlign w:val="top"/>
          </w:tcPr>
          <w:p>
            <w:pPr>
              <w:spacing w:line="540" w:lineRule="exact"/>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水温、pH、溶解氧、化学需氧量、五日生化需氧量、氨氮、总磷、铜、锌、砷、汞、铬、六价铬、粪大肠菌群、硫酸盐、氯化物、铁、锰、甲醛、高锰酸盐指数、总</w:t>
            </w:r>
            <w:r>
              <w:rPr>
                <w:rFonts w:hint="eastAsia" w:ascii="仿宋" w:hAnsi="仿宋" w:eastAsia="仿宋" w:cs="Times New Roman"/>
                <w:color w:val="auto"/>
                <w:sz w:val="28"/>
                <w:szCs w:val="28"/>
                <w:highlight w:val="none"/>
              </w:rPr>
              <w:t>氮、悬浮物、透明度、阴离子表面活性剂、挥发酚</w:t>
            </w:r>
            <w:r>
              <w:rPr>
                <w:rFonts w:hint="eastAsia" w:ascii="仿宋" w:hAnsi="仿宋" w:eastAsia="仿宋" w:cs="Times New Roman"/>
                <w:color w:val="auto"/>
                <w:sz w:val="28"/>
                <w:szCs w:val="28"/>
                <w:highlight w:val="none"/>
                <w:lang w:eastAsia="zh-CN"/>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84" w:type="pct"/>
            <w:vMerge w:val="continue"/>
            <w:noWrap w:val="0"/>
            <w:vAlign w:val="center"/>
          </w:tcPr>
          <w:p>
            <w:pPr>
              <w:spacing w:line="540" w:lineRule="exact"/>
              <w:jc w:val="center"/>
              <w:rPr>
                <w:rFonts w:hint="eastAsia" w:ascii="仿宋" w:hAnsi="仿宋" w:eastAsia="仿宋"/>
                <w:color w:val="auto"/>
                <w:sz w:val="28"/>
                <w:szCs w:val="28"/>
                <w:highlight w:val="none"/>
              </w:rPr>
            </w:pPr>
          </w:p>
        </w:tc>
        <w:tc>
          <w:tcPr>
            <w:tcW w:w="940" w:type="pct"/>
            <w:vMerge w:val="continue"/>
            <w:noWrap w:val="0"/>
            <w:vAlign w:val="center"/>
          </w:tcPr>
          <w:p>
            <w:pPr>
              <w:spacing w:line="540" w:lineRule="exact"/>
              <w:jc w:val="center"/>
              <w:rPr>
                <w:rFonts w:hint="eastAsia" w:ascii="仿宋" w:hAnsi="仿宋" w:eastAsia="仿宋"/>
                <w:color w:val="auto"/>
                <w:sz w:val="28"/>
                <w:szCs w:val="28"/>
                <w:highlight w:val="none"/>
              </w:rPr>
            </w:pPr>
          </w:p>
        </w:tc>
        <w:tc>
          <w:tcPr>
            <w:tcW w:w="725"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废水</w:t>
            </w:r>
          </w:p>
        </w:tc>
        <w:tc>
          <w:tcPr>
            <w:tcW w:w="2849" w:type="pct"/>
            <w:noWrap w:val="0"/>
            <w:vAlign w:val="top"/>
          </w:tcPr>
          <w:p>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流量、色度、水温、pH、悬浮物、溶解氧、总氯、氨氮、化学需氧量、五日生化需氧量、总磷、粪大肠菌群、铜、锌、铅、铬、六价铬、总砷、总汞、铁、锰、石油类、动植物油类、阴离子表面活性剂、总磷、总氮、透明度、余氯、挥发酚</w:t>
            </w:r>
            <w:r>
              <w:rPr>
                <w:rFonts w:hint="eastAsia" w:ascii="仿宋" w:hAnsi="仿宋" w:eastAsia="仿宋" w:cs="Times New Roman"/>
                <w:color w:val="auto"/>
                <w:sz w:val="28"/>
                <w:szCs w:val="28"/>
                <w:highlight w:val="none"/>
                <w:lang w:eastAsia="zh-CN"/>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84" w:type="pct"/>
            <w:vMerge w:val="restar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p>
        </w:tc>
        <w:tc>
          <w:tcPr>
            <w:tcW w:w="940" w:type="pct"/>
            <w:vMerge w:val="restar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环境空气和废气</w:t>
            </w:r>
          </w:p>
        </w:tc>
        <w:tc>
          <w:tcPr>
            <w:tcW w:w="725"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环境空气</w:t>
            </w:r>
          </w:p>
        </w:tc>
        <w:tc>
          <w:tcPr>
            <w:tcW w:w="2849" w:type="pct"/>
            <w:noWrap w:val="0"/>
            <w:vAlign w:val="center"/>
          </w:tcPr>
          <w:p>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二氧化氮、氮氧化物、氨、甲醛、二氧化硫、总悬浮颗粒物、PM10、PM2.5、总烃、铅、汞、氟化物</w:t>
            </w:r>
            <w:r>
              <w:rPr>
                <w:rFonts w:hint="eastAsia" w:ascii="仿宋" w:hAnsi="仿宋" w:eastAsia="仿宋" w:cs="Times New Roman"/>
                <w:color w:val="auto"/>
                <w:sz w:val="28"/>
                <w:szCs w:val="28"/>
                <w:highlight w:val="none"/>
                <w:lang w:eastAsia="zh-CN"/>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84" w:type="pct"/>
            <w:vMerge w:val="continue"/>
            <w:noWrap w:val="0"/>
            <w:vAlign w:val="center"/>
          </w:tcPr>
          <w:p>
            <w:pPr>
              <w:spacing w:line="540" w:lineRule="exact"/>
              <w:jc w:val="center"/>
              <w:rPr>
                <w:rFonts w:hint="eastAsia" w:ascii="仿宋" w:hAnsi="仿宋" w:eastAsia="仿宋"/>
                <w:color w:val="auto"/>
                <w:sz w:val="28"/>
                <w:szCs w:val="28"/>
                <w:highlight w:val="none"/>
              </w:rPr>
            </w:pPr>
          </w:p>
        </w:tc>
        <w:tc>
          <w:tcPr>
            <w:tcW w:w="940" w:type="pct"/>
            <w:vMerge w:val="continue"/>
            <w:noWrap w:val="0"/>
            <w:vAlign w:val="center"/>
          </w:tcPr>
          <w:p>
            <w:pPr>
              <w:spacing w:line="540" w:lineRule="exact"/>
              <w:jc w:val="center"/>
              <w:rPr>
                <w:rFonts w:hint="eastAsia" w:ascii="仿宋" w:hAnsi="仿宋" w:eastAsia="仿宋"/>
                <w:color w:val="auto"/>
                <w:sz w:val="28"/>
                <w:szCs w:val="28"/>
                <w:highlight w:val="none"/>
              </w:rPr>
            </w:pPr>
          </w:p>
        </w:tc>
        <w:tc>
          <w:tcPr>
            <w:tcW w:w="725"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废气</w:t>
            </w:r>
          </w:p>
        </w:tc>
        <w:tc>
          <w:tcPr>
            <w:tcW w:w="2849" w:type="pct"/>
            <w:noWrap w:val="0"/>
            <w:vAlign w:val="center"/>
          </w:tcPr>
          <w:p>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氧化氮、氮氧化物、氨、二氧化硫、铅、汞、烟气黑度、餐饮油烟、硫化氢、一氧化碳、二氧化碳、总烃、非甲烷总烃、甲烷、颗粒物、低浓度颗粒物、苯并芘、沥青烟、臭气浓度、苯系物、氟化物、甲醛、乙酸酯类</w:t>
            </w:r>
            <w:r>
              <w:rPr>
                <w:rFonts w:hint="eastAsia" w:ascii="仿宋" w:hAnsi="仿宋" w:eastAsia="仿宋"/>
                <w:color w:val="auto"/>
                <w:sz w:val="28"/>
                <w:szCs w:val="28"/>
                <w:highlight w:val="none"/>
                <w:lang w:eastAsia="zh-CN"/>
              </w:rPr>
              <w:t>、二次油气回收（液阻、密闭性、气液比）</w:t>
            </w:r>
            <w:r>
              <w:rPr>
                <w:rFonts w:hint="eastAsia" w:ascii="仿宋" w:hAnsi="仿宋" w:eastAsia="仿宋" w:cs="Times New Roman"/>
                <w:color w:val="auto"/>
                <w:sz w:val="28"/>
                <w:szCs w:val="28"/>
                <w:highlight w:val="none"/>
                <w:lang w:eastAsia="zh-CN"/>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84"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w:t>
            </w:r>
          </w:p>
        </w:tc>
        <w:tc>
          <w:tcPr>
            <w:tcW w:w="940"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噪声和震动</w:t>
            </w:r>
          </w:p>
        </w:tc>
        <w:tc>
          <w:tcPr>
            <w:tcW w:w="725" w:type="pct"/>
            <w:noWrap w:val="0"/>
            <w:vAlign w:val="center"/>
          </w:tcPr>
          <w:p>
            <w:pPr>
              <w:spacing w:line="540" w:lineRule="exact"/>
              <w:jc w:val="center"/>
              <w:rPr>
                <w:rFonts w:hint="eastAsia" w:ascii="仿宋" w:hAnsi="仿宋" w:eastAsia="仿宋"/>
                <w:color w:val="auto"/>
                <w:sz w:val="28"/>
                <w:szCs w:val="28"/>
                <w:highlight w:val="none"/>
              </w:rPr>
            </w:pPr>
          </w:p>
        </w:tc>
        <w:tc>
          <w:tcPr>
            <w:tcW w:w="2849" w:type="pct"/>
            <w:noWrap w:val="0"/>
            <w:vAlign w:val="center"/>
          </w:tcPr>
          <w:p>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环境噪声、社会生活噪声、厂界噪声、建筑工地场界噪声、铁路边界噪声、城市区域环境振动</w:t>
            </w:r>
            <w:r>
              <w:rPr>
                <w:rFonts w:hint="eastAsia" w:ascii="仿宋" w:hAnsi="仿宋" w:eastAsia="仿宋" w:cs="Times New Roman"/>
                <w:color w:val="auto"/>
                <w:sz w:val="28"/>
                <w:szCs w:val="28"/>
                <w:highlight w:val="none"/>
                <w:lang w:eastAsia="zh-CN"/>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84"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w:t>
            </w:r>
          </w:p>
        </w:tc>
        <w:tc>
          <w:tcPr>
            <w:tcW w:w="940"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土壤</w:t>
            </w:r>
          </w:p>
        </w:tc>
        <w:tc>
          <w:tcPr>
            <w:tcW w:w="725" w:type="pct"/>
            <w:noWrap w:val="0"/>
            <w:vAlign w:val="center"/>
          </w:tcPr>
          <w:p>
            <w:pPr>
              <w:spacing w:line="540" w:lineRule="exact"/>
              <w:jc w:val="center"/>
              <w:rPr>
                <w:rFonts w:hint="eastAsia" w:ascii="仿宋" w:hAnsi="仿宋" w:eastAsia="仿宋"/>
                <w:color w:val="auto"/>
                <w:sz w:val="28"/>
                <w:szCs w:val="28"/>
                <w:highlight w:val="none"/>
              </w:rPr>
            </w:pPr>
          </w:p>
        </w:tc>
        <w:tc>
          <w:tcPr>
            <w:tcW w:w="2849" w:type="pct"/>
            <w:noWrap w:val="0"/>
            <w:vAlign w:val="center"/>
          </w:tcPr>
          <w:p>
            <w:pPr>
              <w:spacing w:line="540" w:lineRule="exact"/>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PH、水分、氨氮、干物质、铬、六价铬、铅、铜、锌、镍、汞</w:t>
            </w:r>
            <w:r>
              <w:rPr>
                <w:rFonts w:hint="eastAsia" w:ascii="仿宋" w:hAnsi="仿宋" w:eastAsia="仿宋" w:cs="Times New Roman"/>
                <w:color w:val="auto"/>
                <w:sz w:val="28"/>
                <w:szCs w:val="28"/>
                <w:highlight w:val="none"/>
                <w:lang w:eastAsia="zh-CN"/>
              </w:rPr>
              <w:t>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84" w:type="pct"/>
            <w:noWrap w:val="0"/>
            <w:vAlign w:val="center"/>
          </w:tcPr>
          <w:p>
            <w:pPr>
              <w:spacing w:line="540" w:lineRule="exact"/>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5</w:t>
            </w:r>
          </w:p>
        </w:tc>
        <w:tc>
          <w:tcPr>
            <w:tcW w:w="940" w:type="pct"/>
            <w:noWrap w:val="0"/>
            <w:vAlign w:val="center"/>
          </w:tcPr>
          <w:p>
            <w:pPr>
              <w:spacing w:line="54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污泥</w:t>
            </w:r>
          </w:p>
        </w:tc>
        <w:tc>
          <w:tcPr>
            <w:tcW w:w="725" w:type="pct"/>
            <w:noWrap w:val="0"/>
            <w:vAlign w:val="center"/>
          </w:tcPr>
          <w:p>
            <w:pPr>
              <w:spacing w:line="540" w:lineRule="exact"/>
              <w:jc w:val="center"/>
              <w:rPr>
                <w:rFonts w:hint="eastAsia" w:ascii="仿宋" w:hAnsi="仿宋" w:eastAsia="仿宋"/>
                <w:color w:val="auto"/>
                <w:sz w:val="28"/>
                <w:szCs w:val="28"/>
                <w:highlight w:val="none"/>
              </w:rPr>
            </w:pPr>
          </w:p>
        </w:tc>
        <w:tc>
          <w:tcPr>
            <w:tcW w:w="2849" w:type="pct"/>
            <w:noWrap w:val="0"/>
            <w:vAlign w:val="center"/>
          </w:tcPr>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PH、含水率、总养分、有机物含量、总汞、总铅、总铬、总锌、总铜、总镍、矿物油、总镉、粪大肠菌群、种子发芽率、EC值、总砷</w:t>
            </w:r>
            <w:r>
              <w:rPr>
                <w:rFonts w:hint="eastAsia" w:ascii="仿宋" w:hAnsi="仿宋" w:eastAsia="仿宋" w:cs="Times New Roman"/>
                <w:color w:val="auto"/>
                <w:sz w:val="28"/>
                <w:szCs w:val="28"/>
                <w:highlight w:val="none"/>
                <w:lang w:eastAsia="zh-CN"/>
              </w:rPr>
              <w:t>等项目</w:t>
            </w:r>
          </w:p>
        </w:tc>
      </w:tr>
    </w:tbl>
    <w:p>
      <w:pPr>
        <w:pStyle w:val="3"/>
        <w:keepNext/>
        <w:keepLines w:val="0"/>
        <w:pageBreakBefore w:val="0"/>
        <w:widowControl w:val="0"/>
        <w:shd w:val="clear"/>
        <w:kinsoku/>
        <w:wordWrap/>
        <w:overflowPunct/>
        <w:topLinePunct w:val="0"/>
        <w:autoSpaceDE/>
        <w:autoSpaceDN/>
        <w:bidi w:val="0"/>
        <w:adjustRightInd/>
        <w:snapToGrid/>
        <w:spacing w:before="157" w:beforeLines="50" w:line="360" w:lineRule="auto"/>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四、监测报告编制的基本要求</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zh-CN"/>
        </w:rPr>
        <w:t>）监测报告应充分如实地反映现场检查和现场监测的实际情况。对发现的问题，应进行必要和符合实际的分析。对污染物排放浓度、排放速率和总量控制的达标情况和检查情况等给出明确的结论和进行必要的描述。</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锅炉</w:t>
      </w:r>
      <w:r>
        <w:rPr>
          <w:rFonts w:hint="eastAsia" w:ascii="仿宋_GB2312" w:hAnsi="仿宋_GB2312" w:eastAsia="仿宋_GB2312" w:cs="仿宋_GB2312"/>
          <w:sz w:val="32"/>
          <w:szCs w:val="32"/>
          <w:highlight w:val="none"/>
          <w:lang w:val="zh-CN"/>
        </w:rPr>
        <w:t>监测报告备注监测期间运行工况负荷。</w:t>
      </w:r>
    </w:p>
    <w:p>
      <w:pPr>
        <w:shd w:val="clear"/>
        <w:bidi w:val="0"/>
        <w:ind w:firstLine="643" w:firstLineChars="200"/>
        <w:rPr>
          <w:rFonts w:hint="eastAsia" w:eastAsia="宋体"/>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五、监测的质量保证和质量控制</w:t>
      </w:r>
    </w:p>
    <w:p>
      <w:pPr>
        <w:shd w:val="clear"/>
        <w:bidi w:val="0"/>
        <w:rPr>
          <w:rFonts w:hint="eastAsia"/>
          <w:highlight w:val="none"/>
          <w:lang w:val="en-US" w:eastAsia="zh-CN"/>
        </w:rPr>
      </w:pP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zh-CN"/>
        </w:rPr>
        <w:t>）采样和测试及其质量保证和质量控制</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rPr>
        <w:t>现场采样和测试应严格按相应监测规范进行，并对监测期间发生的各种异常情况进行详细记录，每批次增加平行样、空白样、密码样等质控措施，保存监测全过程视频资料。</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rPr>
        <w:t>监测中使用的布点、采样、分析测试方法，应首先选择适用的国家和行业标准分析方法、监测技术规范，其次是国家环保总局推荐的统一分析方法或试行分析方法以及有关规定等。</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质量保证和质量控制，按国家有关规定、监测技术规范和有关质量控制手册进行。</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 xml:space="preserve"> 参加监测采样和测试的人员，应按国家有关规定持证上岗。</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水质监测分析过程中的质量保证和质量控制：应在分析的同时做10%质控样品分析；对无标准样品或质量控制样品的项目，且可进行加标回收测试的，应在分析的同时做10%加标回收样品分析。</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zh-CN"/>
        </w:rPr>
        <w:t>气体监测分析过程中的质量保证和质量控制：采样器在进现场前应对气体分析、采样器流量计等进行校核。</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zh-CN"/>
        </w:rPr>
        <w:t xml:space="preserve"> 噪声监测分析过程中的质量保证和质量控制：监测时应使用经计量部门检定、并在有效使用期内的声级计。</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固体废弃物监测分析过程中的质量保证和质量控制：应同时做不少于10%标准样品或质控样品；对不可得到标准样品或质量控制样品，但可以做加标回收样品的项目，应同时做不少于10%的加标回收样品。</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val="zh-CN"/>
        </w:rPr>
        <w:t>采样记录及分析结果</w:t>
      </w: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highlight w:val="none"/>
          <w:lang w:val="en-US" w:eastAsia="zh-CN"/>
        </w:rPr>
      </w:pPr>
      <w:r>
        <w:rPr>
          <w:rFonts w:hint="eastAsia" w:ascii="仿宋_GB2312" w:hAnsi="仿宋_GB2312" w:eastAsia="仿宋_GB2312" w:cs="仿宋_GB2312"/>
          <w:sz w:val="32"/>
          <w:szCs w:val="32"/>
          <w:highlight w:val="none"/>
          <w:lang w:val="zh-CN"/>
        </w:rPr>
        <w:t>监测的采样记录及分析测试结果，按国家标准和监测技术规范有关要求进行数据处理和填报，并按有关规定和要求进行三级审核。</w:t>
      </w:r>
    </w:p>
    <w:p>
      <w:pPr>
        <w:shd w:val="clear"/>
        <w:bidi w:val="0"/>
        <w:ind w:firstLine="643" w:firstLineChars="200"/>
        <w:rPr>
          <w:rFonts w:hint="default"/>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六、计费依据</w:t>
      </w:r>
    </w:p>
    <w:p>
      <w:pPr>
        <w:shd w:val="clear"/>
        <w:bidi w:val="0"/>
        <w:rPr>
          <w:rFonts w:hint="eastAsia"/>
          <w:highlight w:val="none"/>
          <w:lang w:val="en-US" w:eastAsia="zh-CN"/>
        </w:rPr>
      </w:pPr>
    </w:p>
    <w:p>
      <w:pPr>
        <w:keepNext w:val="0"/>
        <w:keepLines w:val="0"/>
        <w:pageBreakBefore w:val="0"/>
        <w:widowControl w:val="0"/>
        <w:shd w:val="clear"/>
        <w:kinsoku/>
        <w:wordWrap/>
        <w:overflowPunct/>
        <w:topLinePunct w:val="0"/>
        <w:autoSpaceDE w:val="0"/>
        <w:autoSpaceDN w:val="0"/>
        <w:bidi w:val="0"/>
        <w:adjustRightInd w:val="0"/>
        <w:spacing w:line="360" w:lineRule="auto"/>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本项目计费依据</w:t>
      </w:r>
      <w:r>
        <w:rPr>
          <w:rFonts w:hint="eastAsia" w:ascii="仿宋_GB2312" w:hAnsi="仿宋_GB2312" w:eastAsia="仿宋_GB2312" w:cs="仿宋_GB2312"/>
          <w:sz w:val="32"/>
          <w:szCs w:val="32"/>
          <w:highlight w:val="none"/>
          <w:lang w:val="zh-CN"/>
        </w:rPr>
        <w:t>监测服务费</w:t>
      </w:r>
      <w:r>
        <w:rPr>
          <w:rFonts w:hint="eastAsia" w:ascii="仿宋_GB2312" w:hAnsi="仿宋_GB2312" w:eastAsia="仿宋_GB2312" w:cs="仿宋_GB2312"/>
          <w:sz w:val="32"/>
          <w:szCs w:val="32"/>
          <w:highlight w:val="none"/>
          <w:lang w:val="en-US" w:eastAsia="zh-CN"/>
        </w:rPr>
        <w:t>依据</w:t>
      </w:r>
      <w:r>
        <w:rPr>
          <w:rFonts w:hint="eastAsia" w:ascii="仿宋_GB2312" w:hAnsi="仿宋_GB2312" w:eastAsia="仿宋_GB2312" w:cs="仿宋_GB2312"/>
          <w:sz w:val="32"/>
          <w:szCs w:val="32"/>
          <w:highlight w:val="none"/>
          <w:lang w:val="zh-CN"/>
        </w:rPr>
        <w:t>陕西省环境监测中心站关于印发《陕西省环境监测技术服务收费标准》（陕环站字【2009】75号文件）</w:t>
      </w:r>
      <w:r>
        <w:rPr>
          <w:rFonts w:hint="eastAsia" w:ascii="仿宋_GB2312" w:hAnsi="仿宋_GB2312" w:eastAsia="仿宋_GB2312" w:cs="仿宋_GB2312"/>
          <w:sz w:val="32"/>
          <w:szCs w:val="32"/>
          <w:highlight w:val="none"/>
          <w:lang w:val="zh-CN" w:eastAsia="zh-CN"/>
        </w:rPr>
        <w:t>。</w:t>
      </w:r>
    </w:p>
    <w:p>
      <w:pPr>
        <w:pStyle w:val="3"/>
        <w:shd w:val="clear"/>
        <w:bidi w:val="0"/>
        <w:spacing w:line="360" w:lineRule="auto"/>
        <w:ind w:firstLine="643" w:firstLineChars="200"/>
        <w:rPr>
          <w:color w:val="auto"/>
          <w:highlight w:val="none"/>
        </w:rPr>
      </w:pPr>
      <w:r>
        <w:rPr>
          <w:rFonts w:hint="eastAsia" w:ascii="仿宋_GB2312" w:hAnsi="仿宋_GB2312" w:eastAsia="仿宋_GB2312" w:cs="仿宋_GB2312"/>
          <w:b/>
          <w:bCs/>
          <w:color w:val="auto"/>
          <w:sz w:val="32"/>
          <w:szCs w:val="32"/>
          <w:highlight w:val="none"/>
          <w:lang w:val="en-US" w:eastAsia="zh-CN"/>
        </w:rPr>
        <w:t>七、商务要求</w:t>
      </w:r>
    </w:p>
    <w:p>
      <w:pPr>
        <w:pStyle w:val="2"/>
        <w:shd w:val="clea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（一）服务期限：合同生效后一年。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TQwMzRmZmM5ZDE3MGZkODE3OWM1ZDgxMjY2NmIifQ=="/>
  </w:docVars>
  <w:rsids>
    <w:rsidRoot w:val="5931191A"/>
    <w:rsid w:val="22BF13EF"/>
    <w:rsid w:val="5931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kern w:val="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样式2"/>
    <w:basedOn w:val="1"/>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1609</Words>
  <Characters>1689</Characters>
  <Lines>0</Lines>
  <Paragraphs>0</Paragraphs>
  <TotalTime>0</TotalTime>
  <ScaleCrop>false</ScaleCrop>
  <LinksUpToDate>false</LinksUpToDate>
  <CharactersWithSpaces>1691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2023-07-10T02:51:00Z</dcterms:created>
  <dc:creator>123</dc:creator>
  <cp:lastModifiedBy>123</cp:lastModifiedBy>
  <dcterms:modified xsi:type="dcterms:W3CDTF">2023-07-10T02:52:12Z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5542CF7C2D924CA88951C7A385762355_11</vt:lpwstr>
  </property>
</Properties>
</file>