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hint="eastAsia" w:ascii="宋体" w:hAnsi="宋体" w:eastAsia="宋体" w:cs="宋体"/>
          <w:b/>
          <w:sz w:val="32"/>
          <w:szCs w:val="24"/>
          <w:highlight w:val="none"/>
        </w:rPr>
      </w:pPr>
      <w:bookmarkStart w:id="0" w:name="_Hlk74683467"/>
      <w:bookmarkEnd w:id="0"/>
      <w:r>
        <w:rPr>
          <w:rFonts w:hint="eastAsia" w:ascii="宋体" w:hAnsi="宋体" w:eastAsia="宋体" w:cs="宋体"/>
          <w:b/>
          <w:sz w:val="28"/>
          <w:szCs w:val="28"/>
          <w:highlight w:val="none"/>
        </w:rPr>
        <w:t>政府采购项目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90" w:lineRule="atLeast"/>
        <w:ind w:left="0" w:right="0"/>
        <w:jc w:val="left"/>
        <w:rPr>
          <w:rFonts w:hint="default" w:ascii="宋体" w:hAnsi="宋体" w:eastAsia="宋体" w:cs="宋体"/>
          <w:color w:val="3D4B64"/>
          <w:sz w:val="19"/>
          <w:szCs w:val="19"/>
          <w:highlight w:val="none"/>
          <w:lang w:val="en-US" w:eastAsia="zh-CN"/>
        </w:rPr>
      </w:pPr>
      <w:r>
        <w:rPr>
          <w:rFonts w:hint="eastAsia" w:ascii="宋体" w:hAnsi="宋体" w:eastAsia="宋体" w:cs="宋体"/>
          <w:b/>
          <w:sz w:val="32"/>
          <w:szCs w:val="24"/>
          <w:highlight w:val="none"/>
        </w:rPr>
        <w:t>项目编号：</w:t>
      </w:r>
      <w:r>
        <w:rPr>
          <w:rFonts w:hint="eastAsia" w:ascii="宋体" w:hAnsi="宋体" w:cs="宋体"/>
          <w:b/>
          <w:sz w:val="32"/>
          <w:szCs w:val="24"/>
          <w:highlight w:val="none"/>
          <w:lang w:val="en-US" w:eastAsia="zh-CN"/>
        </w:rPr>
        <w:t>ZRS-2023-ZC-011</w:t>
      </w:r>
    </w:p>
    <w:p>
      <w:pPr>
        <w:rPr>
          <w:rFonts w:hint="eastAsia" w:ascii="宋体" w:hAnsi="宋体" w:eastAsia="宋体" w:cs="宋体"/>
          <w:b/>
          <w:sz w:val="32"/>
          <w:szCs w:val="24"/>
          <w:highlight w:val="none"/>
          <w:lang w:val="en-US" w:eastAsia="zh-CN"/>
        </w:rPr>
      </w:pPr>
    </w:p>
    <w:p>
      <w:pPr>
        <w:pStyle w:val="24"/>
        <w:rPr>
          <w:rFonts w:hint="eastAsia" w:ascii="宋体" w:hAnsi="宋体" w:eastAsia="宋体" w:cs="宋体"/>
          <w:highlight w:val="none"/>
          <w:lang w:eastAsia="zh-CN"/>
        </w:rPr>
      </w:pPr>
    </w:p>
    <w:p>
      <w:pPr>
        <w:shd w:val="clear" w:color="auto" w:fill="FFFFFF"/>
        <w:spacing w:before="300" w:after="300" w:line="525" w:lineRule="atLeast"/>
        <w:jc w:val="center"/>
        <w:outlineLvl w:val="9"/>
        <w:rPr>
          <w:rFonts w:hint="eastAsia" w:ascii="宋体" w:hAnsi="宋体" w:eastAsia="宋体" w:cs="宋体"/>
          <w:b/>
          <w:bCs w:val="0"/>
          <w:spacing w:val="26"/>
          <w:sz w:val="52"/>
          <w:szCs w:val="52"/>
          <w:highlight w:val="none"/>
          <w:lang w:eastAsia="zh-CN"/>
        </w:rPr>
      </w:pPr>
      <w:r>
        <w:rPr>
          <w:rFonts w:hint="eastAsia" w:ascii="宋体" w:hAnsi="宋体" w:cs="宋体"/>
          <w:b/>
          <w:bCs w:val="0"/>
          <w:spacing w:val="26"/>
          <w:sz w:val="52"/>
          <w:szCs w:val="52"/>
          <w:highlight w:val="none"/>
          <w:lang w:eastAsia="zh-CN"/>
        </w:rPr>
        <w:t>西安经开第八小学校舍及操场维修改造项目</w:t>
      </w:r>
    </w:p>
    <w:p>
      <w:pPr>
        <w:pStyle w:val="15"/>
        <w:jc w:val="center"/>
        <w:rPr>
          <w:rFonts w:hint="eastAsia" w:ascii="宋体" w:hAnsi="宋体" w:eastAsia="宋体" w:cs="宋体"/>
          <w:b/>
          <w:bCs/>
          <w:sz w:val="24"/>
          <w:highlight w:val="none"/>
        </w:rPr>
      </w:pPr>
    </w:p>
    <w:p>
      <w:pPr>
        <w:spacing w:line="600" w:lineRule="auto"/>
        <w:jc w:val="center"/>
        <w:rPr>
          <w:rFonts w:hint="eastAsia" w:ascii="宋体" w:hAnsi="宋体" w:eastAsia="宋体" w:cs="宋体"/>
          <w:b/>
          <w:bCs/>
          <w:sz w:val="84"/>
          <w:szCs w:val="84"/>
          <w:highlight w:val="none"/>
        </w:rPr>
      </w:pPr>
    </w:p>
    <w:p>
      <w:pPr>
        <w:spacing w:line="600" w:lineRule="auto"/>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招标文件</w:t>
      </w:r>
    </w:p>
    <w:p>
      <w:pPr>
        <w:pStyle w:val="15"/>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15"/>
        <w:rPr>
          <w:rFonts w:hint="eastAsia" w:ascii="宋体" w:hAnsi="宋体" w:eastAsia="宋体" w:cs="宋体"/>
          <w:highlight w:val="none"/>
        </w:rPr>
      </w:pPr>
    </w:p>
    <w:p>
      <w:pPr>
        <w:rPr>
          <w:rFonts w:hint="eastAsia" w:ascii="宋体" w:hAnsi="宋体" w:eastAsia="宋体" w:cs="宋体"/>
          <w:highlight w:val="none"/>
        </w:rPr>
      </w:pPr>
    </w:p>
    <w:p>
      <w:pPr>
        <w:pStyle w:val="15"/>
        <w:rPr>
          <w:rFonts w:hint="eastAsia" w:ascii="宋体" w:hAnsi="宋体" w:eastAsia="宋体" w:cs="宋体"/>
          <w:highlight w:val="none"/>
        </w:rPr>
      </w:pPr>
    </w:p>
    <w:p>
      <w:pPr>
        <w:rPr>
          <w:rFonts w:hint="eastAsia" w:ascii="宋体" w:hAnsi="宋体" w:eastAsia="宋体" w:cs="宋体"/>
          <w:highlight w:val="none"/>
        </w:rPr>
      </w:pPr>
    </w:p>
    <w:p>
      <w:pPr>
        <w:pStyle w:val="24"/>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jc w:val="both"/>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采</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购</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人：</w:t>
      </w:r>
      <w:r>
        <w:rPr>
          <w:rFonts w:hint="eastAsia" w:ascii="宋体" w:hAnsi="宋体" w:cs="宋体"/>
          <w:b/>
          <w:bCs/>
          <w:sz w:val="32"/>
          <w:szCs w:val="32"/>
          <w:highlight w:val="none"/>
          <w:lang w:eastAsia="zh-CN"/>
        </w:rPr>
        <w:t>西安经开第八小学</w:t>
      </w:r>
    </w:p>
    <w:p>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jc w:val="both"/>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招标代理机构：</w:t>
      </w:r>
      <w:r>
        <w:rPr>
          <w:rFonts w:hint="eastAsia" w:ascii="宋体" w:hAnsi="宋体" w:cs="宋体"/>
          <w:b/>
          <w:bCs/>
          <w:sz w:val="32"/>
          <w:szCs w:val="32"/>
          <w:highlight w:val="none"/>
          <w:lang w:eastAsia="zh-CN"/>
        </w:rPr>
        <w:t>陕西卓尔盛工程项目管理有限公司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日期：二〇二</w:t>
      </w:r>
      <w:r>
        <w:rPr>
          <w:rFonts w:hint="eastAsia" w:ascii="宋体" w:hAnsi="宋体" w:cs="宋体"/>
          <w:b/>
          <w:bCs/>
          <w:sz w:val="32"/>
          <w:szCs w:val="32"/>
          <w:highlight w:val="none"/>
          <w:lang w:eastAsia="zh-CN"/>
        </w:rPr>
        <w:t>三</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eastAsia="zh-CN"/>
        </w:rPr>
        <w:t>四</w:t>
      </w:r>
      <w:r>
        <w:rPr>
          <w:rFonts w:hint="eastAsia" w:ascii="宋体" w:hAnsi="宋体" w:eastAsia="宋体" w:cs="宋体"/>
          <w:b/>
          <w:bCs/>
          <w:sz w:val="32"/>
          <w:szCs w:val="32"/>
          <w:highlight w:val="none"/>
        </w:rPr>
        <w:t>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48"/>
          <w:szCs w:val="48"/>
          <w:highlight w:val="none"/>
        </w:rPr>
        <w:sectPr>
          <w:headerReference r:id="rId4" w:type="first"/>
          <w:headerReference r:id="rId3" w:type="default"/>
          <w:footerReference r:id="rId5" w:type="default"/>
          <w:pgSz w:w="11907" w:h="16840"/>
          <w:pgMar w:top="1440" w:right="1588" w:bottom="1440" w:left="1588" w:header="851" w:footer="992" w:gutter="0"/>
          <w:cols w:space="720" w:num="1"/>
          <w:docGrid w:type="linesAndChars" w:linePitch="312" w:charSpace="0"/>
        </w:sectPr>
      </w:pPr>
    </w:p>
    <w:p>
      <w:pPr>
        <w:pStyle w:val="29"/>
        <w:rPr>
          <w:rFonts w:hint="eastAsia"/>
          <w:highlight w:val="none"/>
        </w:rPr>
      </w:pP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w:t>
      </w:r>
      <w:r>
        <w:rPr>
          <w:rFonts w:hint="eastAsia" w:ascii="宋体" w:hAnsi="宋体" w:eastAsia="宋体" w:cs="宋体"/>
          <w:b/>
          <w:sz w:val="48"/>
          <w:szCs w:val="48"/>
          <w:highlight w:val="none"/>
          <w:lang w:val="en-US" w:eastAsia="zh-CN"/>
        </w:rPr>
        <w:t xml:space="preserve">   </w:t>
      </w:r>
      <w:r>
        <w:rPr>
          <w:rFonts w:hint="eastAsia" w:ascii="宋体" w:hAnsi="宋体" w:eastAsia="宋体" w:cs="宋体"/>
          <w:b/>
          <w:sz w:val="48"/>
          <w:szCs w:val="48"/>
          <w:highlight w:val="none"/>
        </w:rPr>
        <w:t>录</w:t>
      </w:r>
    </w:p>
    <w:p>
      <w:pPr>
        <w:pStyle w:val="24"/>
        <w:tabs>
          <w:tab w:val="right" w:leader="dot" w:pos="8731"/>
        </w:tabs>
        <w:rPr>
          <w:rFonts w:hint="eastAsia" w:ascii="宋体" w:hAnsi="宋体" w:eastAsia="宋体" w:cs="宋体"/>
          <w:b/>
          <w:sz w:val="44"/>
          <w:highlight w:val="none"/>
        </w:rPr>
      </w:pPr>
    </w:p>
    <w:p>
      <w:pPr>
        <w:pStyle w:val="24"/>
        <w:keepNext w:val="0"/>
        <w:keepLines w:val="0"/>
        <w:pageBreakBefore w:val="0"/>
        <w:widowControl w:val="0"/>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highlight w:val="none"/>
        </w:rPr>
      </w:pPr>
      <w:r>
        <w:rPr>
          <w:rFonts w:hint="eastAsia" w:ascii="宋体" w:hAnsi="宋体" w:eastAsia="宋体" w:cs="宋体"/>
          <w:b/>
          <w:sz w:val="44"/>
          <w:highlight w:val="none"/>
        </w:rPr>
        <w:fldChar w:fldCharType="begin"/>
      </w:r>
      <w:r>
        <w:rPr>
          <w:rFonts w:hint="eastAsia" w:ascii="宋体" w:hAnsi="宋体" w:eastAsia="宋体" w:cs="宋体"/>
          <w:b/>
          <w:sz w:val="44"/>
          <w:highlight w:val="none"/>
        </w:rPr>
        <w:instrText xml:space="preserve">TOC \o "1-3" \h \u </w:instrText>
      </w:r>
      <w:r>
        <w:rPr>
          <w:rFonts w:hint="eastAsia" w:ascii="宋体" w:hAnsi="宋体" w:eastAsia="宋体" w:cs="宋体"/>
          <w:b/>
          <w:sz w:val="44"/>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_Toc1141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_Toc1141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24"/>
        <w:keepNext w:val="0"/>
        <w:keepLines w:val="0"/>
        <w:pageBreakBefore w:val="0"/>
        <w:widowControl w:val="0"/>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_Toc27184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须知及前附表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fldChar w:fldCharType="end"/>
      </w:r>
    </w:p>
    <w:p>
      <w:pPr>
        <w:pStyle w:val="24"/>
        <w:keepNext w:val="0"/>
        <w:keepLines w:val="0"/>
        <w:pageBreakBefore w:val="0"/>
        <w:widowControl w:val="0"/>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_Toc16504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_Toc16504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24"/>
        <w:keepNext w:val="0"/>
        <w:keepLines w:val="0"/>
        <w:pageBreakBefore w:val="0"/>
        <w:widowControl w:val="0"/>
        <w:tabs>
          <w:tab w:val="right" w:leader="dot" w:pos="8731"/>
        </w:tabs>
        <w:kinsoku/>
        <w:wordWrap/>
        <w:overflowPunct/>
        <w:topLinePunct w:val="0"/>
        <w:autoSpaceDE/>
        <w:autoSpaceDN/>
        <w:bidi w:val="0"/>
        <w:adjustRightInd w:val="0"/>
        <w:snapToGrid w:val="0"/>
        <w:spacing w:line="480" w:lineRule="auto"/>
        <w:textAlignment w:val="auto"/>
        <w:rPr>
          <w:rFonts w:hint="default" w:ascii="宋体" w:hAnsi="宋体" w:eastAsia="宋体" w:cs="宋体"/>
          <w:bCs/>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_Toc3522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第四章</w:t>
      </w:r>
      <w:r>
        <w:rPr>
          <w:rFonts w:hint="eastAsia" w:ascii="宋体" w:hAnsi="宋体" w:eastAsia="宋体" w:cs="宋体"/>
          <w:bCs/>
          <w:sz w:val="28"/>
          <w:szCs w:val="28"/>
          <w:highlight w:val="none"/>
          <w:lang w:val="en-US" w:eastAsia="zh-CN"/>
        </w:rPr>
        <w:t xml:space="preserve">  工程量清单</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35</w:t>
      </w:r>
    </w:p>
    <w:p>
      <w:pPr>
        <w:pStyle w:val="24"/>
        <w:keepNext w:val="0"/>
        <w:keepLines w:val="0"/>
        <w:pageBreakBefore w:val="0"/>
        <w:widowControl w:val="0"/>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highlight w:val="none"/>
          <w:lang w:val="en-US" w:eastAsia="zh-CN"/>
        </w:rPr>
      </w:pPr>
      <w:r>
        <w:rPr>
          <w:rFonts w:hint="eastAsia" w:ascii="宋体" w:hAnsi="宋体" w:eastAsia="宋体" w:cs="宋体"/>
          <w:bCs/>
          <w:sz w:val="28"/>
          <w:szCs w:val="28"/>
          <w:highlight w:val="none"/>
          <w:lang w:val="en-US" w:eastAsia="zh-CN"/>
        </w:rPr>
        <w:t xml:space="preserve">第六章  </w:t>
      </w:r>
      <w:r>
        <w:rPr>
          <w:rFonts w:hint="eastAsia" w:ascii="宋体" w:hAnsi="宋体" w:eastAsia="宋体" w:cs="宋体"/>
          <w:bCs/>
          <w:sz w:val="28"/>
          <w:szCs w:val="28"/>
          <w:highlight w:val="none"/>
        </w:rPr>
        <w:t>合同文本及条款</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37</w:t>
      </w:r>
      <w:r>
        <w:rPr>
          <w:rFonts w:hint="eastAsia" w:ascii="宋体" w:hAnsi="宋体" w:eastAsia="宋体" w:cs="宋体"/>
          <w:sz w:val="28"/>
          <w:szCs w:val="28"/>
          <w:highlight w:val="none"/>
        </w:rPr>
        <w:fldChar w:fldCharType="end"/>
      </w:r>
    </w:p>
    <w:p>
      <w:pPr>
        <w:pStyle w:val="24"/>
        <w:keepNext w:val="0"/>
        <w:keepLines w:val="0"/>
        <w:pageBreakBefore w:val="0"/>
        <w:widowControl w:val="0"/>
        <w:tabs>
          <w:tab w:val="right" w:leader="dot" w:pos="8731"/>
        </w:tabs>
        <w:kinsoku/>
        <w:wordWrap/>
        <w:overflowPunct/>
        <w:topLinePunct w:val="0"/>
        <w:autoSpaceDE/>
        <w:autoSpaceDN/>
        <w:bidi w:val="0"/>
        <w:adjustRightInd w:val="0"/>
        <w:snapToGrid w:val="0"/>
        <w:spacing w:line="480" w:lineRule="auto"/>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_Toc18198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技术部分标准和商务要求</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136</w:t>
      </w:r>
      <w:r>
        <w:rPr>
          <w:rFonts w:hint="eastAsia" w:ascii="宋体" w:hAnsi="宋体" w:eastAsia="宋体" w:cs="宋体"/>
          <w:sz w:val="28"/>
          <w:szCs w:val="28"/>
          <w:highlight w:val="none"/>
        </w:rPr>
        <w:fldChar w:fldCharType="end"/>
      </w:r>
    </w:p>
    <w:p>
      <w:pPr>
        <w:pStyle w:val="17"/>
        <w:keepNext w:val="0"/>
        <w:keepLines w:val="0"/>
        <w:pageBreakBefore w:val="0"/>
        <w:widowControl w:val="0"/>
        <w:tabs>
          <w:tab w:val="right" w:leader="dot" w:pos="8731"/>
        </w:tabs>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i w:val="0"/>
          <w:iCs w:val="0"/>
          <w:caps/>
          <w:kern w:val="2"/>
          <w:sz w:val="28"/>
          <w:szCs w:val="28"/>
          <w:highlight w:val="none"/>
          <w:lang w:val="en-US" w:eastAsia="zh-CN" w:bidi="ar-SA"/>
        </w:rPr>
        <w:t>第八章  投标文件格式</w:t>
      </w:r>
      <w:r>
        <w:rPr>
          <w:rFonts w:hint="eastAsia" w:ascii="宋体" w:hAnsi="宋体" w:eastAsia="宋体" w:cs="宋体"/>
          <w:b/>
          <w:bCs/>
          <w:sz w:val="28"/>
          <w:szCs w:val="28"/>
          <w:highlight w:val="none"/>
        </w:rPr>
        <w:tab/>
      </w:r>
      <w:r>
        <w:rPr>
          <w:rFonts w:hint="eastAsia" w:ascii="宋体" w:hAnsi="宋体" w:eastAsia="宋体" w:cs="宋体"/>
          <w:b/>
          <w:bCs/>
          <w:i w:val="0"/>
          <w:iCs w:val="0"/>
          <w:sz w:val="28"/>
          <w:szCs w:val="28"/>
          <w:highlight w:val="none"/>
        </w:rPr>
        <w:fldChar w:fldCharType="begin"/>
      </w:r>
      <w:r>
        <w:rPr>
          <w:rFonts w:hint="eastAsia" w:ascii="宋体" w:hAnsi="宋体" w:eastAsia="宋体" w:cs="宋体"/>
          <w:b/>
          <w:bCs/>
          <w:i w:val="0"/>
          <w:iCs w:val="0"/>
          <w:sz w:val="28"/>
          <w:szCs w:val="28"/>
          <w:highlight w:val="none"/>
        </w:rPr>
        <w:instrText xml:space="preserve"> PAGEREF _Toc7433 \h </w:instrText>
      </w:r>
      <w:r>
        <w:rPr>
          <w:rFonts w:hint="eastAsia" w:ascii="宋体" w:hAnsi="宋体" w:eastAsia="宋体" w:cs="宋体"/>
          <w:b/>
          <w:bCs/>
          <w:i w:val="0"/>
          <w:iCs w:val="0"/>
          <w:sz w:val="28"/>
          <w:szCs w:val="28"/>
          <w:highlight w:val="none"/>
        </w:rPr>
        <w:fldChar w:fldCharType="separate"/>
      </w:r>
      <w:r>
        <w:rPr>
          <w:rFonts w:hint="eastAsia" w:ascii="宋体" w:hAnsi="宋体" w:eastAsia="宋体" w:cs="宋体"/>
          <w:b/>
          <w:bCs/>
          <w:i w:val="0"/>
          <w:iCs w:val="0"/>
          <w:sz w:val="28"/>
          <w:szCs w:val="28"/>
          <w:highlight w:val="none"/>
        </w:rPr>
        <w:t>139</w:t>
      </w:r>
      <w:r>
        <w:rPr>
          <w:rFonts w:hint="eastAsia" w:ascii="宋体" w:hAnsi="宋体" w:eastAsia="宋体" w:cs="宋体"/>
          <w:b/>
          <w:bCs/>
          <w:i w:val="0"/>
          <w:iCs w:val="0"/>
          <w:sz w:val="28"/>
          <w:szCs w:val="28"/>
          <w:highlight w:val="none"/>
        </w:rPr>
        <w:fldChar w:fldCharType="end"/>
      </w:r>
    </w:p>
    <w:p>
      <w:pPr>
        <w:pStyle w:val="24"/>
        <w:tabs>
          <w:tab w:val="right" w:leader="dot" w:pos="8731"/>
        </w:tabs>
        <w:rPr>
          <w:rFonts w:hint="eastAsia" w:ascii="宋体" w:hAnsi="宋体" w:eastAsia="宋体" w:cs="宋体"/>
          <w:highlight w:val="none"/>
        </w:rPr>
      </w:pPr>
    </w:p>
    <w:p>
      <w:pPr>
        <w:tabs>
          <w:tab w:val="right" w:leader="middleDot" w:pos="8731"/>
        </w:tabs>
        <w:rPr>
          <w:rFonts w:hint="eastAsia" w:ascii="宋体" w:hAnsi="宋体" w:eastAsia="宋体" w:cs="宋体"/>
          <w:b/>
          <w:sz w:val="44"/>
          <w:highlight w:val="none"/>
        </w:rPr>
      </w:pPr>
      <w:r>
        <w:rPr>
          <w:rFonts w:hint="eastAsia" w:ascii="宋体" w:hAnsi="宋体" w:eastAsia="宋体" w:cs="宋体"/>
          <w:highlight w:val="none"/>
        </w:rPr>
        <w:fldChar w:fldCharType="end"/>
      </w:r>
    </w:p>
    <w:p>
      <w:pPr>
        <w:pStyle w:val="6"/>
        <w:rPr>
          <w:rFonts w:hint="eastAsia" w:ascii="宋体" w:hAnsi="宋体" w:eastAsia="宋体" w:cs="宋体"/>
          <w:highlight w:val="none"/>
        </w:rPr>
      </w:pPr>
    </w:p>
    <w:p>
      <w:pPr>
        <w:bidi w:val="0"/>
        <w:rPr>
          <w:rFonts w:hint="eastAsia"/>
          <w:highlight w:val="none"/>
        </w:rPr>
      </w:pPr>
    </w:p>
    <w:p>
      <w:pPr>
        <w:bidi w:val="0"/>
        <w:rPr>
          <w:rFonts w:hint="eastAsia"/>
          <w:highlight w:val="none"/>
        </w:rPr>
      </w:pPr>
    </w:p>
    <w:p>
      <w:pPr>
        <w:tabs>
          <w:tab w:val="left" w:pos="6254"/>
        </w:tabs>
        <w:bidi w:val="0"/>
        <w:jc w:val="left"/>
        <w:rPr>
          <w:rFonts w:hint="eastAsia" w:eastAsia="宋体"/>
          <w:highlight w:val="none"/>
          <w:lang w:eastAsia="zh-CN"/>
        </w:rPr>
        <w:sectPr>
          <w:footerReference r:id="rId6" w:type="default"/>
          <w:pgSz w:w="11907" w:h="16840"/>
          <w:pgMar w:top="1440" w:right="1588" w:bottom="1440" w:left="1588" w:header="851" w:footer="992" w:gutter="0"/>
          <w:pgNumType w:fmt="decimal" w:start="1"/>
          <w:cols w:space="720" w:num="1"/>
          <w:docGrid w:type="linesAndChars" w:linePitch="312" w:charSpace="0"/>
        </w:sectPr>
      </w:pPr>
      <w:r>
        <w:rPr>
          <w:rFonts w:hint="eastAsia"/>
          <w:highlight w:val="none"/>
          <w:lang w:eastAsia="zh-CN"/>
        </w:rPr>
        <w:tab/>
      </w:r>
    </w:p>
    <w:p>
      <w:pPr>
        <w:pStyle w:val="6"/>
        <w:keepLines w:val="0"/>
        <w:pageBreakBefore w:val="0"/>
        <w:widowControl w:val="0"/>
        <w:numPr>
          <w:ilvl w:val="0"/>
          <w:numId w:val="1"/>
        </w:numPr>
        <w:kinsoku/>
        <w:wordWrap/>
        <w:overflowPunct/>
        <w:topLinePunct w:val="0"/>
        <w:autoSpaceDE/>
        <w:autoSpaceDN/>
        <w:bidi w:val="0"/>
        <w:spacing w:line="336" w:lineRule="auto"/>
        <w:textAlignment w:val="auto"/>
        <w:rPr>
          <w:rFonts w:hint="eastAsia" w:ascii="宋体" w:hAnsi="宋体" w:eastAsia="宋体" w:cs="宋体"/>
          <w:b/>
          <w:bCs/>
          <w:sz w:val="44"/>
          <w:szCs w:val="44"/>
          <w:highlight w:val="none"/>
        </w:rPr>
      </w:pPr>
      <w:bookmarkStart w:id="1" w:name="_Toc1141"/>
      <w:bookmarkStart w:id="2" w:name="_Toc4527"/>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招标公告</w:t>
      </w:r>
      <w:bookmarkEnd w:id="1"/>
      <w:bookmarkEnd w:id="2"/>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jc w:val="left"/>
        <w:rPr>
          <w:rFonts w:hint="eastAsia" w:ascii="宋体" w:hAnsi="宋体" w:eastAsia="宋体" w:cs="宋体"/>
          <w:b w:val="0"/>
          <w:bCs w:val="0"/>
          <w:color w:val="auto"/>
          <w:sz w:val="24"/>
          <w:szCs w:val="24"/>
          <w:highlight w:val="none"/>
        </w:rPr>
      </w:pPr>
      <w:bookmarkStart w:id="3" w:name="_Toc27184"/>
      <w:bookmarkStart w:id="4" w:name="_Toc16498"/>
      <w:bookmarkStart w:id="5" w:name="_Toc29347"/>
      <w:bookmarkStart w:id="6" w:name="_Toc30158"/>
      <w:r>
        <w:rPr>
          <w:rStyle w:val="38"/>
          <w:rFonts w:hint="eastAsia" w:ascii="宋体" w:hAnsi="宋体" w:eastAsia="宋体" w:cs="宋体"/>
          <w:b/>
          <w:bCs/>
          <w:i w:val="0"/>
          <w:iCs w:val="0"/>
          <w:caps w:val="0"/>
          <w:color w:val="auto"/>
          <w:spacing w:val="0"/>
          <w:sz w:val="24"/>
          <w:szCs w:val="24"/>
          <w:highlight w:val="none"/>
          <w:shd w:val="clear" w:color="auto" w:fill="FFFFFF"/>
        </w:rPr>
        <w:t>项目概况</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开第八小学校舍及操场维修改造项目招标项目的潜在投标人应在全国公共资源交易平台（陕西省·西安市）网站〖首页〉电子交易平台〉陕西政府采购交易系统〉企业端〗下载本项目电子招标文件（*.SXSZF）获取招标文件，并于 2023年05月10日 09时00分 （北京时间）前递交投标文件。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Style w:val="38"/>
          <w:rFonts w:hint="eastAsia" w:ascii="宋体" w:hAnsi="宋体" w:eastAsia="宋体" w:cs="宋体"/>
          <w:b/>
          <w:bCs/>
          <w:i w:val="0"/>
          <w:iCs w:val="0"/>
          <w:caps w:val="0"/>
          <w:color w:val="auto"/>
          <w:spacing w:val="0"/>
          <w:sz w:val="24"/>
          <w:szCs w:val="24"/>
          <w:highlight w:val="none"/>
          <w:shd w:val="clear" w:color="auto" w:fill="FFFFFF"/>
        </w:rPr>
        <w:t>一、项目基本情况</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项目编号：ZRS-2023-ZC-011</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项目名称：经开第八小学校舍及操场维修改造项目</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预算金额：5,347,079.94元</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合同包1(西安经开第八小学校舍及操场维修改造项目):</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合同包预算金额：5,347,079.94元</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合同包最高限价：5,347,079.94元</w:t>
      </w:r>
    </w:p>
    <w:tbl>
      <w:tblPr>
        <w:tblStyle w:val="35"/>
        <w:tblW w:w="10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3"/>
        <w:gridCol w:w="2046"/>
        <w:gridCol w:w="2046"/>
        <w:gridCol w:w="849"/>
        <w:gridCol w:w="1482"/>
        <w:gridCol w:w="1500"/>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4" w:hRule="atLeast"/>
          <w:tblHeader/>
        </w:trPr>
        <w:tc>
          <w:tcPr>
            <w:tcW w:w="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品目号</w:t>
            </w:r>
          </w:p>
        </w:tc>
        <w:tc>
          <w:tcPr>
            <w:tcW w:w="2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品目名称</w:t>
            </w:r>
          </w:p>
        </w:tc>
        <w:tc>
          <w:tcPr>
            <w:tcW w:w="2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采购标的</w:t>
            </w:r>
          </w:p>
        </w:tc>
        <w:tc>
          <w:tcPr>
            <w:tcW w:w="8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数量（单位）</w:t>
            </w:r>
          </w:p>
        </w:tc>
        <w:tc>
          <w:tcPr>
            <w:tcW w:w="1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技术规格、参数及要求</w:t>
            </w:r>
          </w:p>
        </w:tc>
        <w:tc>
          <w:tcPr>
            <w:tcW w:w="1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品目预算(元)</w:t>
            </w:r>
          </w:p>
        </w:tc>
        <w:tc>
          <w:tcPr>
            <w:tcW w:w="12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highlight w:val="none"/>
              </w:rPr>
            </w:pPr>
            <w:r>
              <w:rPr>
                <w:rFonts w:ascii="宋体" w:hAnsi="宋体" w:eastAsia="宋体" w:cs="宋体"/>
                <w:kern w:val="0"/>
                <w:sz w:val="21"/>
                <w:szCs w:val="21"/>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highlight w:val="none"/>
              </w:rPr>
            </w:pPr>
            <w:r>
              <w:rPr>
                <w:rFonts w:ascii="宋体" w:hAnsi="宋体" w:eastAsia="宋体" w:cs="宋体"/>
                <w:kern w:val="0"/>
                <w:sz w:val="21"/>
                <w:szCs w:val="21"/>
                <w:highlight w:val="none"/>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highlight w:val="none"/>
              </w:rPr>
            </w:pPr>
            <w:r>
              <w:rPr>
                <w:rFonts w:ascii="宋体" w:hAnsi="宋体" w:eastAsia="宋体" w:cs="宋体"/>
                <w:kern w:val="0"/>
                <w:sz w:val="21"/>
                <w:szCs w:val="21"/>
                <w:highlight w:val="none"/>
                <w:lang w:val="en-US" w:eastAsia="zh-CN" w:bidi="ar"/>
              </w:rPr>
              <w:t>校舍及操场维修改造</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highlight w:val="none"/>
              </w:rPr>
            </w:pPr>
            <w:r>
              <w:rPr>
                <w:rFonts w:ascii="宋体" w:hAnsi="宋体" w:eastAsia="宋体" w:cs="宋体"/>
                <w:kern w:val="0"/>
                <w:sz w:val="21"/>
                <w:szCs w:val="21"/>
                <w:highlight w:val="none"/>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1"/>
                <w:szCs w:val="21"/>
                <w:highlight w:val="none"/>
              </w:rPr>
            </w:pPr>
            <w:r>
              <w:rPr>
                <w:rFonts w:ascii="宋体" w:hAnsi="宋体" w:eastAsia="宋体" w:cs="宋体"/>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1"/>
                <w:szCs w:val="21"/>
                <w:highlight w:val="none"/>
              </w:rPr>
            </w:pPr>
            <w:r>
              <w:rPr>
                <w:rFonts w:ascii="宋体" w:hAnsi="宋体" w:eastAsia="宋体" w:cs="宋体"/>
                <w:kern w:val="0"/>
                <w:sz w:val="21"/>
                <w:szCs w:val="21"/>
                <w:highlight w:val="none"/>
                <w:vertAlign w:val="baseline"/>
                <w:lang w:val="en-US" w:eastAsia="zh-CN" w:bidi="ar"/>
              </w:rPr>
              <w:t>5,347,079.94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1"/>
                <w:szCs w:val="21"/>
                <w:highlight w:val="none"/>
              </w:rPr>
            </w:pPr>
            <w:r>
              <w:rPr>
                <w:rFonts w:ascii="宋体" w:hAnsi="宋体" w:eastAsia="宋体" w:cs="宋体"/>
                <w:kern w:val="0"/>
                <w:sz w:val="21"/>
                <w:szCs w:val="21"/>
                <w:highlight w:val="none"/>
                <w:vertAlign w:val="baseline"/>
                <w:lang w:val="en-US" w:eastAsia="zh-CN" w:bidi="ar"/>
              </w:rPr>
              <w:t>5,347,079.94</w:t>
            </w:r>
          </w:p>
        </w:tc>
      </w:tr>
    </w:tbl>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本合同包不接受联合体投标</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Style w:val="38"/>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color w:val="auto"/>
          <w:sz w:val="24"/>
          <w:szCs w:val="24"/>
          <w:highlight w:val="none"/>
        </w:rPr>
        <w:t>合同履行期限：计划工期：90日历天</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7"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Style w:val="38"/>
          <w:rFonts w:hint="eastAsia" w:ascii="宋体" w:hAnsi="宋体" w:eastAsia="宋体" w:cs="宋体"/>
          <w:b/>
          <w:bCs/>
          <w:i w:val="0"/>
          <w:iCs w:val="0"/>
          <w:caps w:val="0"/>
          <w:color w:val="auto"/>
          <w:spacing w:val="0"/>
          <w:sz w:val="24"/>
          <w:szCs w:val="24"/>
          <w:highlight w:val="none"/>
          <w:shd w:val="clear" w:color="auto" w:fill="FFFFFF"/>
        </w:rPr>
        <w:t>二、申请人的资格要求：</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合同包1(西安经开第八小学校舍及操场维修改造项目)落实政府采购政策需满足的资格要求如下:</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（1）《政府采购促进中小企业发展管理办法》（财库〔2020〕46号）；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（2）《财政部司法部关于政府采购支持监狱企业发展有关问题的通知》（财库〔2014〕68号）；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（3）《国务院办公厅关于建立政府强制采购节能产品制度的通知》（国办发〔2007〕51号）；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（4）《关于调整优化节能产品、环境标志产品政府采购执行机制的通知》（财库〔2019〕9号）；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（5）《关于印发环境标志产品政府采购品目清单的通知》（财库〔2019〕18号）；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（6）《关于印发节能产品政府采购品目清单的通知》（财库〔2019〕19号）；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（7）《三部门联合发布关于促进残疾人就业政府采购政策的通知》（财库〔2017〕141号）；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（8）《财政部发展改革委生态环境部市场监管总局关于调整优化节能产品、环境标志产品政府采购执行机制的通知》（财库〔2019〕9号）；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（9）《财政部农业农村部国家乡村振兴局关于运用政府采购政策支持乡村产业振兴的通知》（财库〔2021〕19号）；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（10）《陕西省财政厅关于加快推进我省中小企业政府采购信用融资工作的通知》（陕财办采〔2020〕15号）；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（11）《西安市财政局关于促进政府采购公平竞争优化营商环境的通知》（市财函〔2021〕431号）；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（12）《关于深入开展政府采购脱贫地区农副产品工作推进乡村产业振兴的实施意见》的通知（财库〔2021〕20号）；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（13）其他需要落实的政府采购政策。</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合同包1(西安经开第八小学校舍及操场维修改造项目)特定资格要求如下:</w:t>
      </w:r>
    </w:p>
    <w:p>
      <w:pPr>
        <w:pStyle w:val="31"/>
        <w:keepNext w:val="0"/>
        <w:keepLines w:val="0"/>
        <w:widowControl/>
        <w:suppressLineNumbers w:val="0"/>
        <w:pBdr>
          <w:top w:val="none" w:color="auto" w:sz="0" w:space="0"/>
          <w:left w:val="none" w:color="auto" w:sz="0" w:space="0"/>
          <w:bottom w:val="none" w:color="auto" w:sz="0" w:space="0"/>
          <w:right w:val="none" w:color="auto" w:sz="0" w:space="0"/>
        </w:pBdr>
        <w:wordWrap w:val="0"/>
        <w:spacing w:before="68" w:beforeAutospacing="0" w:after="68" w:afterAutospacing="0" w:line="360" w:lineRule="auto"/>
        <w:ind w:left="0" w:right="0" w:firstLine="21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本项目为专门面向中小企业的项目。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（1）具有独立承担民事责任能力的法人、其他组织或自然人，营业执照、组织机构代码证、税务登记证（三证合一只提供营业执照，事业单位提供事业单位法人证书，自然人应提供身份证）合法有效；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（2）法定代表人参加投标时，提供本人身份证；授权代表参加投标时，提供法定代表人授权书和被授权人身份证；非法人单位参照执行；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（3）须具备建设部门颁发的建筑工程施工总承包三级（含）及以上资质，且具有有效的安全生产许可证；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（4）拟委派项目经理须具有有效的相关专业贰级（含）及以上注册建造师资质并具有有效的安全生产考核合格证（B证），在本单位注册且无在建工程；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（5）单位负责人为同一人或者存在控股、管理关系的不同单位不得同时进行投标；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（6）参加政府采购活动前三年内，在经营活动中没有重大违法记录的书面声明；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（7）税收缴纳证明：提供开标前近六个月内已缴纳任意一个月完税凭证或税务机关开具的完税证明（任意税种）；依法免税的应提供相关文件证明；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（8）社会保障资金缴纳证明：提供开标前近六个月内已缴存的任意一个月的社会保障资金缴存证明或社保机构开具的社会保险参保缴费情况证明；依法不需要缴纳社会保障资金的应提供相关文件证明；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六个月内基本存款账户开户银行出具的资信证明，或信用担保机构出具的投标担保函。（以上三种形式的资料提供任何一种）；</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（10）投标单位不得为“信用中国”网站（www.creditchina.gov.cn）和中国政府采购网（www.ccgp.gov.cn）中被列入失信被执行人、重大税收违法案件当事人名单、政府采购严重违法失信行为记录名单的单位。</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（11）本项目不接受联合体投标。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8"/>
          <w:rFonts w:hint="eastAsia" w:ascii="宋体" w:hAnsi="宋体" w:eastAsia="宋体" w:cs="宋体"/>
          <w:b/>
          <w:bCs/>
          <w:i w:val="0"/>
          <w:iCs w:val="0"/>
          <w:caps w:val="0"/>
          <w:color w:val="333333"/>
          <w:spacing w:val="0"/>
          <w:sz w:val="24"/>
          <w:szCs w:val="24"/>
          <w:highlight w:val="none"/>
          <w:shd w:val="clear" w:fill="FFFFFF"/>
          <w:vertAlign w:val="baseline"/>
        </w:rPr>
        <w:t>三、获取招标文件</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时间：2023年04月15日至2023年04月21日，每天上午 00:00:00 至 12:00:00 ，下午 12:00:00 至 23:59:59 （北京时间）</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途径：全国公共资源交易平台（陕西省·西安市）网站〖首页〉电子交易平台〉陕西政府采购交易系统〉企业端〗下载本项目电子招标文件（*.SXSZF）</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方式：在线获取</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售价： 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kinsoku/>
        <w:wordWrap/>
        <w:overflowPunct/>
        <w:topLinePunct w:val="0"/>
        <w:autoSpaceDE/>
        <w:autoSpaceDN/>
        <w:bidi w:val="0"/>
        <w:adjustRightInd/>
        <w:snapToGrid/>
        <w:spacing w:before="150" w:beforeAutospacing="0" w:after="0" w:afterAutospacing="0" w:line="520" w:lineRule="exact"/>
        <w:ind w:left="0" w:right="0" w:firstLine="0"/>
        <w:jc w:val="left"/>
        <w:textAlignment w:val="baseline"/>
        <w:rPr>
          <w:rStyle w:val="38"/>
          <w:rFonts w:hint="eastAsia" w:ascii="宋体" w:hAnsi="宋体" w:eastAsia="宋体" w:cs="宋体"/>
          <w:b/>
          <w:bCs/>
          <w:i w:val="0"/>
          <w:iCs w:val="0"/>
          <w:caps w:val="0"/>
          <w:color w:val="333333"/>
          <w:spacing w:val="0"/>
          <w:sz w:val="24"/>
          <w:szCs w:val="24"/>
          <w:highlight w:val="none"/>
          <w:shd w:val="clear" w:fill="FFFFFF"/>
          <w:vertAlign w:val="baseline"/>
        </w:rPr>
      </w:pPr>
      <w:r>
        <w:rPr>
          <w:rStyle w:val="38"/>
          <w:rFonts w:hint="eastAsia" w:ascii="宋体" w:hAnsi="宋体" w:eastAsia="宋体" w:cs="宋体"/>
          <w:b/>
          <w:bCs/>
          <w:i w:val="0"/>
          <w:iCs w:val="0"/>
          <w:caps w:val="0"/>
          <w:color w:val="333333"/>
          <w:spacing w:val="0"/>
          <w:sz w:val="24"/>
          <w:szCs w:val="24"/>
          <w:highlight w:val="none"/>
          <w:shd w:val="clear" w:fill="FFFFFF"/>
          <w:vertAlign w:val="baseline"/>
        </w:rPr>
        <w:t>四、提交投标文件截止时间、开标时间和地点</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时间：2023年05月10日 09时00分00秒 （北京时间）</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提交投标文件地点：全国公共资源交易平台（陕西省·西安市）网站〖首页〉电子交易平台〉陕西政府采购交易系统〉企业端〗，在线提交。</w:t>
      </w:r>
    </w:p>
    <w:p>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开标地点：全国公共资源交易平台（陕西省·西安市）网站〖首页〉电子交易平台〉陕西政府采购交易系统〉企业端〗，不见面开标。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kinsoku/>
        <w:wordWrap/>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8"/>
          <w:rFonts w:hint="eastAsia" w:ascii="宋体" w:hAnsi="宋体" w:eastAsia="宋体" w:cs="宋体"/>
          <w:b/>
          <w:bCs/>
          <w:i w:val="0"/>
          <w:iCs w:val="0"/>
          <w:caps w:val="0"/>
          <w:color w:val="333333"/>
          <w:spacing w:val="0"/>
          <w:sz w:val="24"/>
          <w:szCs w:val="24"/>
          <w:highlight w:val="none"/>
          <w:shd w:val="clear" w:fill="FFFFFF"/>
          <w:vertAlign w:val="baseline"/>
        </w:rPr>
        <w:t>五、公告期限</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自本公告发布之日起5个工作日。</w:t>
      </w:r>
    </w:p>
    <w:p>
      <w:pPr>
        <w:rPr>
          <w:rFonts w:hint="eastAsia" w:ascii="宋体" w:hAnsi="宋体" w:eastAsia="宋体" w:cs="宋体"/>
          <w:highlight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kinsoku/>
        <w:wordWrap/>
        <w:overflowPunct/>
        <w:topLinePunct w:val="0"/>
        <w:autoSpaceDE/>
        <w:autoSpaceDN/>
        <w:bidi w:val="0"/>
        <w:adjustRightInd/>
        <w:snapToGrid/>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8"/>
          <w:rFonts w:hint="eastAsia" w:ascii="宋体" w:hAnsi="宋体" w:eastAsia="宋体" w:cs="宋体"/>
          <w:b/>
          <w:bCs/>
          <w:i w:val="0"/>
          <w:iCs w:val="0"/>
          <w:caps w:val="0"/>
          <w:color w:val="333333"/>
          <w:spacing w:val="0"/>
          <w:sz w:val="24"/>
          <w:szCs w:val="24"/>
          <w:highlight w:val="none"/>
          <w:shd w:val="clear" w:fill="FFFFFF"/>
          <w:vertAlign w:val="baseline"/>
        </w:rPr>
        <w:t>六、其他补充事宜</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本项目采用“不见面开标”方式</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1.供应商初次使用电子交易平台时,请先阅读【全国公共资源交易平台(陕西省·西安市)】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3.请供应商务必及时下载项目招标文件并做好备份,否则会影响投标文件编制及后续投标活动。</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4.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5.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6.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7.本项目采用“不见面开标 ”形式,供应商可登录全国公共资源交易平台(陕西省 ·西安市)网站〖首页〉不见面开标〗系统,在线参加开标过程 。操作手册详见〖首页〉服务指南〉下载专区〗中的《西安公共资源交易不见面开标大厅供应商操作手册》。</w:t>
      </w:r>
    </w:p>
    <w:p>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vertAlign w:val="baseline"/>
          <w:lang w:val="en-US" w:eastAsia="zh-CN" w:bidi="ar"/>
        </w:rPr>
        <w:t>8.按照陕西省财政厅《关于政府采购供应商注册登记有关事项的通知》中的要求,供应商应及时通过陕西省政府采购网(http://www.ccgp-shaanxi.gov.cn/)注册登记 ,加入陕西省政府采购供应商库。</w:t>
      </w:r>
    </w:p>
    <w:p>
      <w:pPr>
        <w:rPr>
          <w:rFonts w:hint="eastAsia" w:ascii="宋体" w:hAnsi="宋体" w:eastAsia="宋体" w:cs="宋体"/>
          <w:highlight w:val="none"/>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0" w:beforeAutospacing="0" w:after="0" w:afterAutospacing="0" w:line="24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38"/>
          <w:rFonts w:hint="eastAsia" w:ascii="宋体" w:hAnsi="宋体" w:eastAsia="宋体" w:cs="宋体"/>
          <w:b/>
          <w:bCs/>
          <w:i w:val="0"/>
          <w:iCs w:val="0"/>
          <w:caps w:val="0"/>
          <w:color w:val="333333"/>
          <w:spacing w:val="0"/>
          <w:sz w:val="24"/>
          <w:szCs w:val="24"/>
          <w:highlight w:val="none"/>
          <w:shd w:val="clear" w:fill="FFFFFF"/>
          <w:vertAlign w:val="baseline"/>
        </w:rPr>
        <w:t>七、对本次招标提出询问，请按以下方式联系。</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1.采购人信息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名称：西安经开第八小学</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地址：西安经济技术开发区尚稷路与尚宏路十字东北角</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联系方式：15691289016</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2.采购代理机构信息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名称：陕西卓尔盛工程项目管理有限公司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地址：西安市经济技术开发区凤城七路明丰国际10楼1006室</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联系方式：17792396362</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3.项目联系方式</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项目联系人：夏工</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电话：17792396362</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right"/>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陕西卓尔盛工程项目管理有限公司</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right"/>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2023年04月14日</w:t>
      </w:r>
    </w:p>
    <w:p>
      <w:pPr>
        <w:pStyle w:val="6"/>
        <w:bidi w:val="0"/>
        <w:rPr>
          <w:rFonts w:hint="eastAsia" w:ascii="宋体" w:hAnsi="宋体" w:eastAsia="宋体" w:cs="宋体"/>
          <w:szCs w:val="44"/>
          <w:highlight w:val="none"/>
        </w:rPr>
      </w:pPr>
      <w:r>
        <w:rPr>
          <w:rFonts w:hint="eastAsia" w:ascii="宋体" w:hAnsi="宋体" w:eastAsia="宋体" w:cs="宋体"/>
          <w:b/>
          <w:bCs/>
          <w:sz w:val="44"/>
          <w:szCs w:val="44"/>
          <w:highlight w:val="none"/>
        </w:rPr>
        <w:t>第二章</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lang w:eastAsia="zh-CN"/>
        </w:rPr>
        <w:t>供应商</w:t>
      </w:r>
      <w:r>
        <w:rPr>
          <w:rFonts w:hint="eastAsia" w:ascii="宋体" w:hAnsi="宋体" w:eastAsia="宋体" w:cs="宋体"/>
          <w:b/>
          <w:bCs/>
          <w:sz w:val="44"/>
          <w:szCs w:val="44"/>
          <w:highlight w:val="none"/>
        </w:rPr>
        <w:t>须知及前附表</w:t>
      </w:r>
      <w:bookmarkEnd w:id="3"/>
      <w:bookmarkEnd w:id="4"/>
      <w:bookmarkEnd w:id="5"/>
      <w:bookmarkEnd w:id="6"/>
    </w:p>
    <w:p>
      <w:pPr>
        <w:pStyle w:val="7"/>
        <w:bidi w:val="0"/>
        <w:rPr>
          <w:rFonts w:hint="eastAsia" w:ascii="宋体" w:hAnsi="宋体" w:eastAsia="宋体" w:cs="宋体"/>
          <w:szCs w:val="36"/>
          <w:highlight w:val="none"/>
        </w:rPr>
      </w:pPr>
      <w:bookmarkStart w:id="7" w:name="_Toc513557025"/>
      <w:bookmarkStart w:id="8" w:name="_Toc27359"/>
      <w:bookmarkStart w:id="9" w:name="_Toc4777"/>
      <w:bookmarkStart w:id="10" w:name="_Toc6313"/>
      <w:r>
        <w:rPr>
          <w:rFonts w:hint="eastAsia" w:ascii="宋体" w:hAnsi="宋体" w:eastAsia="宋体" w:cs="宋体"/>
          <w:highlight w:val="none"/>
        </w:rPr>
        <w:t>（一）</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bookmarkEnd w:id="7"/>
      <w:bookmarkEnd w:id="8"/>
      <w:bookmarkEnd w:id="9"/>
      <w:bookmarkEnd w:id="10"/>
    </w:p>
    <w:tbl>
      <w:tblPr>
        <w:tblStyle w:val="35"/>
        <w:tblW w:w="9488" w:type="dxa"/>
        <w:jc w:val="center"/>
        <w:tblLayout w:type="fixed"/>
        <w:tblCellMar>
          <w:top w:w="0" w:type="dxa"/>
          <w:left w:w="108" w:type="dxa"/>
          <w:bottom w:w="0" w:type="dxa"/>
          <w:right w:w="108" w:type="dxa"/>
        </w:tblCellMar>
      </w:tblPr>
      <w:tblGrid>
        <w:gridCol w:w="1063"/>
        <w:gridCol w:w="1948"/>
        <w:gridCol w:w="6477"/>
      </w:tblGrid>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left="472" w:leftChars="24" w:hanging="422" w:hangingChars="17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编列内容</w:t>
            </w:r>
          </w:p>
        </w:tc>
      </w:tr>
      <w:tr>
        <w:tblPrEx>
          <w:tblCellMar>
            <w:top w:w="0" w:type="dxa"/>
            <w:left w:w="108" w:type="dxa"/>
            <w:bottom w:w="0" w:type="dxa"/>
            <w:right w:w="108" w:type="dxa"/>
          </w:tblCellMar>
        </w:tblPrEx>
        <w:trPr>
          <w:trHeight w:val="712"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采购人</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西安经开第八小学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w:t>
            </w:r>
            <w:r>
              <w:rPr>
                <w:rFonts w:hint="eastAsia" w:ascii="宋体" w:hAnsi="宋体" w:cs="宋体"/>
                <w:sz w:val="24"/>
                <w:szCs w:val="24"/>
                <w:highlight w:val="none"/>
                <w:lang w:val="en-US" w:eastAsia="zh-CN"/>
              </w:rPr>
              <w:t>西安市经开区尚宏路与尚稷路交叉口东北角</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李老师</w:t>
            </w:r>
          </w:p>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电话：15691289016</w:t>
            </w:r>
          </w:p>
        </w:tc>
      </w:tr>
      <w:tr>
        <w:tblPrEx>
          <w:tblCellMar>
            <w:top w:w="0" w:type="dxa"/>
            <w:left w:w="108" w:type="dxa"/>
            <w:bottom w:w="0" w:type="dxa"/>
            <w:right w:w="108" w:type="dxa"/>
          </w:tblCellMar>
        </w:tblPrEx>
        <w:trPr>
          <w:trHeight w:val="9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1.1.3</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w:t>
            </w:r>
            <w:r>
              <w:rPr>
                <w:rFonts w:hint="eastAsia" w:ascii="宋体" w:hAnsi="宋体" w:cs="宋体"/>
                <w:sz w:val="24"/>
                <w:szCs w:val="24"/>
                <w:highlight w:val="none"/>
                <w:lang w:val="en-US" w:eastAsia="zh-CN"/>
              </w:rPr>
              <w:t>陕西卓尔盛工程项目管理有限公司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w:t>
            </w:r>
            <w:r>
              <w:rPr>
                <w:rFonts w:hint="eastAsia" w:ascii="宋体" w:hAnsi="宋体" w:cs="宋体"/>
                <w:sz w:val="24"/>
                <w:szCs w:val="24"/>
                <w:highlight w:val="none"/>
                <w:lang w:val="en-US" w:eastAsia="zh-CN"/>
              </w:rPr>
              <w:t>西安市经济技术开发区凤城七路明丰国际10楼1006室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电话：</w:t>
            </w:r>
            <w:r>
              <w:rPr>
                <w:rFonts w:hint="eastAsia" w:ascii="宋体" w:hAnsi="宋体" w:eastAsia="宋体" w:cs="宋体"/>
                <w:i w:val="0"/>
                <w:iCs w:val="0"/>
                <w:caps w:val="0"/>
                <w:color w:val="333333"/>
                <w:spacing w:val="0"/>
                <w:sz w:val="24"/>
                <w:szCs w:val="24"/>
                <w:highlight w:val="none"/>
                <w:shd w:val="clear" w:fill="FFFFFF"/>
                <w:vertAlign w:val="baseline"/>
              </w:rPr>
              <w:t>17792396362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邮箱：</w:t>
            </w:r>
            <w:r>
              <w:rPr>
                <w:rFonts w:hint="eastAsia" w:ascii="宋体" w:hAnsi="宋体" w:cs="宋体"/>
                <w:sz w:val="24"/>
                <w:szCs w:val="24"/>
                <w:highlight w:val="none"/>
                <w:lang w:val="en-US" w:eastAsia="zh-CN"/>
              </w:rPr>
              <w:t>3263004863@qq.com</w:t>
            </w:r>
          </w:p>
        </w:tc>
      </w:tr>
      <w:tr>
        <w:tblPrEx>
          <w:tblCellMar>
            <w:top w:w="0" w:type="dxa"/>
            <w:left w:w="108" w:type="dxa"/>
            <w:bottom w:w="0" w:type="dxa"/>
            <w:right w:w="108" w:type="dxa"/>
          </w:tblCellMar>
        </w:tblPrEx>
        <w:trPr>
          <w:trHeight w:val="615"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1.1.4</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西安经开第八小学校舍及操场维修改造项目</w:t>
            </w:r>
          </w:p>
        </w:tc>
      </w:tr>
      <w:tr>
        <w:tblPrEx>
          <w:tblCellMar>
            <w:top w:w="0" w:type="dxa"/>
            <w:left w:w="108" w:type="dxa"/>
            <w:bottom w:w="0" w:type="dxa"/>
            <w:right w:w="108" w:type="dxa"/>
          </w:tblCellMar>
        </w:tblPrEx>
        <w:trPr>
          <w:trHeight w:val="688"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1.1.5</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工程地点</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西安经开第八小学校园内</w:t>
            </w:r>
          </w:p>
        </w:tc>
      </w:tr>
      <w:tr>
        <w:tblPrEx>
          <w:tblCellMar>
            <w:top w:w="0" w:type="dxa"/>
            <w:left w:w="108" w:type="dxa"/>
            <w:bottom w:w="0" w:type="dxa"/>
            <w:right w:w="108" w:type="dxa"/>
          </w:tblCellMar>
        </w:tblPrEx>
        <w:trPr>
          <w:trHeight w:val="9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1.1.6</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采购预算</w:t>
            </w:r>
            <w:r>
              <w:rPr>
                <w:rFonts w:hint="eastAsia" w:ascii="宋体" w:hAnsi="宋体" w:eastAsia="宋体" w:cs="宋体"/>
                <w:sz w:val="24"/>
                <w:szCs w:val="24"/>
                <w:highlight w:val="none"/>
                <w:lang w:eastAsia="zh-CN"/>
              </w:rPr>
              <w:t>及最高限价</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最高限价编制依据：</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（一）国家或省级建设主管部门颁发的计价依据</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1、《建设工程工程量清单计价规范》（GB50500-2008）；</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2、《关于印发2009陕西省建设工程工程量清单计价依据的通知》（陕建发〔2009〕199号）；</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3、《关于调整我省建设工程计价依据的通知》（陕建发〔2019〕45号）；</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4、《关于发布我省落实建筑工人实名制管理计价依据的通知》（陕建发〔2019〕1246号）；</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5、《关于增加建设工程扬尘治理专项措施费及综合人工单价调整的通知》（陕建发〔2017〕270号）；</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6、《关于建筑施工安全生产责任保险费用计价的通知》（陕建发〔2020〕1097号）；</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7、《陕西省住房和城乡建设厅关于全省统一停止收缴建筑业劳保费用的通知》陕建发〔2021〕1021号；</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8、《关于加强建筑行业养老保险费用缴纳和养老保险费用计价监管有关事项的通知》（陕建发〔2021〕61号）。</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（二）陕西省现行工程量清单编制规定</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1、《陕西省建设工程工程量清单计价规则》（2009）；</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2、《陕西省建设工程工程量清单计价费率》（2009）；</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3、《陕西省建设工程工程量清单计价规则》（2009）配套文件中工程量计算办法。</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（三）陕西省现行定额、价目表</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1、《陕西省建筑、装饰、安装工程消耗量定额》（2004）；</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2、《陕西省建筑、装饰、安装工程价目表》（2009）；</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3、《全统修缮定额土建、安装工程陕西省价目表》（2001）；</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4、《陕西省室内装饰工程定额》（2002）；</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5、定额补充说明、解释。</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（四）工程造价信息</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1、陕西省建设工程造价信息（2023年10月）；</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2、信息价中无相关造价信息选用市场调研价。</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（五）设计文件</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1、建设单位提供的“</w:t>
            </w:r>
            <w:r>
              <w:rPr>
                <w:rFonts w:hint="eastAsia" w:ascii="宋体" w:hAnsi="宋体" w:cs="宋体"/>
                <w:sz w:val="24"/>
                <w:szCs w:val="24"/>
                <w:highlight w:val="none"/>
                <w:lang w:eastAsia="zh-CN"/>
              </w:rPr>
              <w:t>西安经开第八小学校舍及操场维修改造项目</w:t>
            </w:r>
            <w:r>
              <w:rPr>
                <w:rFonts w:hint="eastAsia" w:ascii="宋体" w:hAnsi="宋体" w:eastAsia="宋体" w:cs="宋体"/>
                <w:sz w:val="24"/>
                <w:szCs w:val="24"/>
                <w:highlight w:val="none"/>
                <w:lang w:eastAsia="zh-CN"/>
              </w:rPr>
              <w:t>”图纸。</w:t>
            </w:r>
          </w:p>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（六）其他依据</w:t>
            </w:r>
          </w:p>
          <w:p>
            <w:pPr>
              <w:adjustRightInd w:val="0"/>
              <w:snapToGrid w:val="0"/>
              <w:spacing w:line="240" w:lineRule="auto"/>
              <w:jc w:val="left"/>
              <w:rPr>
                <w:rFonts w:hint="eastAsia"/>
                <w:sz w:val="24"/>
                <w:szCs w:val="24"/>
                <w:highlight w:val="none"/>
              </w:rPr>
            </w:pPr>
            <w:r>
              <w:rPr>
                <w:rFonts w:hint="eastAsia" w:ascii="宋体" w:hAnsi="宋体" w:eastAsia="宋体" w:cs="宋体"/>
                <w:sz w:val="24"/>
                <w:szCs w:val="24"/>
                <w:highlight w:val="none"/>
                <w:lang w:eastAsia="zh-CN"/>
              </w:rPr>
              <w:t>1、常规的施工组织设计和施工方案。</w:t>
            </w:r>
          </w:p>
        </w:tc>
      </w:tr>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财政性资金</w:t>
            </w:r>
          </w:p>
        </w:tc>
      </w:tr>
      <w:tr>
        <w:tblPrEx>
          <w:tblCellMar>
            <w:top w:w="0" w:type="dxa"/>
            <w:left w:w="108" w:type="dxa"/>
            <w:bottom w:w="0" w:type="dxa"/>
            <w:right w:w="108" w:type="dxa"/>
          </w:tblCellMar>
        </w:tblPrEx>
        <w:trPr>
          <w:trHeight w:val="737"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1.2.2</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已落实</w:t>
            </w:r>
          </w:p>
        </w:tc>
      </w:tr>
      <w:tr>
        <w:tblPrEx>
          <w:tblCellMar>
            <w:top w:w="0" w:type="dxa"/>
            <w:left w:w="108" w:type="dxa"/>
            <w:bottom w:w="0" w:type="dxa"/>
            <w:right w:w="108" w:type="dxa"/>
          </w:tblCellMar>
        </w:tblPrEx>
        <w:trPr>
          <w:trHeight w:val="776"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招标范围</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highlight w:val="none"/>
                <w:lang w:val="en-US" w:eastAsia="zh-CN"/>
              </w:rPr>
              <w:t>本项目施工图纸、工程量清单及招标文件规定的所有内容</w:t>
            </w:r>
          </w:p>
        </w:tc>
      </w:tr>
      <w:tr>
        <w:tblPrEx>
          <w:tblCellMar>
            <w:top w:w="0" w:type="dxa"/>
            <w:left w:w="108" w:type="dxa"/>
            <w:bottom w:w="0" w:type="dxa"/>
            <w:right w:w="108" w:type="dxa"/>
          </w:tblCellMar>
        </w:tblPrEx>
        <w:trPr>
          <w:trHeight w:val="1019"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1.3.2</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pStyle w:val="14"/>
              <w:topLinePunct/>
              <w:adjustRightInd w:val="0"/>
              <w:snapToGrid w:val="0"/>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计划工期：</w:t>
            </w:r>
            <w:r>
              <w:rPr>
                <w:rFonts w:hint="eastAsia" w:ascii="宋体" w:hAnsi="宋体" w:cs="宋体"/>
                <w:kern w:val="2"/>
                <w:sz w:val="24"/>
                <w:szCs w:val="24"/>
                <w:highlight w:val="none"/>
                <w:lang w:val="en-US" w:eastAsia="zh-CN" w:bidi="ar-SA"/>
              </w:rPr>
              <w:t>90</w:t>
            </w:r>
            <w:r>
              <w:rPr>
                <w:rFonts w:hint="eastAsia" w:ascii="宋体" w:hAnsi="宋体" w:eastAsia="宋体" w:cs="宋体"/>
                <w:kern w:val="2"/>
                <w:sz w:val="24"/>
                <w:szCs w:val="24"/>
                <w:highlight w:val="none"/>
                <w:lang w:val="en-US" w:eastAsia="zh-CN" w:bidi="ar-SA"/>
              </w:rPr>
              <w:t xml:space="preserve"> 日历天</w:t>
            </w:r>
          </w:p>
          <w:p>
            <w:pPr>
              <w:pStyle w:val="14"/>
              <w:topLinePunct/>
              <w:adjustRightInd w:val="0"/>
              <w:snapToGrid w:val="0"/>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具体开工日期以实际开工日期为准。</w:t>
            </w:r>
          </w:p>
        </w:tc>
      </w:tr>
      <w:tr>
        <w:tblPrEx>
          <w:tblCellMar>
            <w:top w:w="0" w:type="dxa"/>
            <w:left w:w="108" w:type="dxa"/>
            <w:bottom w:w="0" w:type="dxa"/>
            <w:right w:w="108" w:type="dxa"/>
          </w:tblCellMar>
        </w:tblPrEx>
        <w:trPr>
          <w:trHeight w:val="505"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1.3.3</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质量要求</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达到国家现行施工验收规范“合格”标准。</w:t>
            </w:r>
          </w:p>
        </w:tc>
      </w:tr>
      <w:tr>
        <w:tblPrEx>
          <w:tblCellMar>
            <w:top w:w="0" w:type="dxa"/>
            <w:left w:w="108" w:type="dxa"/>
            <w:bottom w:w="0" w:type="dxa"/>
            <w:right w:w="108" w:type="dxa"/>
          </w:tblCellMar>
        </w:tblPrEx>
        <w:trPr>
          <w:trHeight w:val="505"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1.3.4</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付款方式</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中标单位进场后，支付合同总价款的40%，施工完毕并经验收合格后14天内支付合同总价款的60%</w:t>
            </w:r>
            <w:r>
              <w:rPr>
                <w:rFonts w:hint="eastAsia" w:ascii="宋体" w:hAnsi="宋体" w:eastAsia="宋体" w:cs="宋体"/>
                <w:kern w:val="2"/>
                <w:sz w:val="24"/>
                <w:szCs w:val="24"/>
                <w:highlight w:val="none"/>
                <w:lang w:val="en-US" w:eastAsia="zh-CN" w:bidi="ar-SA"/>
              </w:rPr>
              <w:t>。</w:t>
            </w:r>
          </w:p>
          <w:p>
            <w:pPr>
              <w:adjustRightInd w:val="0"/>
              <w:snapToGri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中标</w:t>
            </w:r>
            <w:r>
              <w:rPr>
                <w:rFonts w:hint="eastAsia" w:ascii="宋体" w:hAnsi="宋体" w:eastAsia="宋体" w:cs="宋体"/>
                <w:kern w:val="2"/>
                <w:sz w:val="24"/>
                <w:szCs w:val="24"/>
                <w:highlight w:val="none"/>
                <w:lang w:val="en-US" w:eastAsia="zh-CN" w:bidi="ar-SA"/>
              </w:rPr>
              <w:t>单位承诺在招标人办理以上各期付款的支付手续前，为招标人出具等额的符合国家规定的发票。</w:t>
            </w:r>
          </w:p>
        </w:tc>
      </w:tr>
      <w:tr>
        <w:tblPrEx>
          <w:tblCellMar>
            <w:top w:w="0" w:type="dxa"/>
            <w:left w:w="108" w:type="dxa"/>
            <w:bottom w:w="0" w:type="dxa"/>
            <w:right w:w="108" w:type="dxa"/>
          </w:tblCellMar>
        </w:tblPrEx>
        <w:trPr>
          <w:trHeight w:val="735"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资质条件</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after="0"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详见本项目招标文件“第一章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招标公告”中</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资格要求</w:t>
            </w:r>
          </w:p>
        </w:tc>
      </w:tr>
      <w:tr>
        <w:tblPrEx>
          <w:tblCellMar>
            <w:top w:w="0" w:type="dxa"/>
            <w:left w:w="108" w:type="dxa"/>
            <w:bottom w:w="0" w:type="dxa"/>
            <w:right w:w="108" w:type="dxa"/>
          </w:tblCellMar>
        </w:tblPrEx>
        <w:trPr>
          <w:trHeight w:val="735"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是否接受联合体</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pStyle w:val="15"/>
              <w:adjustRightInd w:val="0"/>
              <w:snapToGrid w:val="0"/>
              <w:spacing w:after="0"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lang w:eastAsia="zh-CN"/>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 xml:space="preserve">不允许。 </w:t>
            </w:r>
          </w:p>
          <w:p>
            <w:pPr>
              <w:pStyle w:val="15"/>
              <w:adjustRightInd w:val="0"/>
              <w:snapToGrid w:val="0"/>
              <w:spacing w:after="0"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允许。</w:t>
            </w:r>
          </w:p>
        </w:tc>
      </w:tr>
      <w:tr>
        <w:tblPrEx>
          <w:tblCellMar>
            <w:top w:w="0" w:type="dxa"/>
            <w:left w:w="108" w:type="dxa"/>
            <w:bottom w:w="0" w:type="dxa"/>
            <w:right w:w="108" w:type="dxa"/>
          </w:tblCellMar>
        </w:tblPrEx>
        <w:trPr>
          <w:trHeight w:val="623"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1.4.4</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信用信息查询渠道及截止时</w:t>
            </w:r>
            <w:r>
              <w:rPr>
                <w:rFonts w:hint="eastAsia" w:ascii="宋体" w:hAnsi="宋体" w:eastAsia="宋体" w:cs="宋体"/>
                <w:sz w:val="24"/>
                <w:szCs w:val="24"/>
                <w:highlight w:val="none"/>
                <w:lang w:eastAsia="zh-CN"/>
              </w:rPr>
              <w:t>间</w:t>
            </w:r>
            <w:r>
              <w:rPr>
                <w:rFonts w:hint="eastAsia" w:ascii="宋体" w:hAnsi="宋体" w:eastAsia="宋体" w:cs="宋体"/>
                <w:sz w:val="24"/>
                <w:szCs w:val="24"/>
                <w:highlight w:val="none"/>
              </w:rPr>
              <w:t>点</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查询渠道：中国政府采购网、信用中国</w:t>
            </w:r>
          </w:p>
          <w:p>
            <w:pPr>
              <w:pStyle w:val="5"/>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截止时间点：开标当日</w:t>
            </w:r>
          </w:p>
        </w:tc>
      </w:tr>
      <w:tr>
        <w:tblPrEx>
          <w:tblCellMar>
            <w:top w:w="0" w:type="dxa"/>
            <w:left w:w="108" w:type="dxa"/>
            <w:bottom w:w="0" w:type="dxa"/>
            <w:right w:w="108" w:type="dxa"/>
          </w:tblCellMar>
        </w:tblPrEx>
        <w:trPr>
          <w:trHeight w:val="623"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lang w:eastAsia="zh-CN"/>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sz w:val="24"/>
                <w:szCs w:val="24"/>
                <w:highlight w:val="none"/>
                <w:lang w:eastAsia="zh-CN"/>
              </w:rPr>
              <w:t>不组织踏勘</w:t>
            </w:r>
          </w:p>
          <w:p>
            <w:pPr>
              <w:adjustRightInd w:val="0"/>
              <w:snapToGrid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position w:val="-4"/>
                <w:sz w:val="36"/>
                <w:szCs w:val="24"/>
                <w:highlight w:val="none"/>
              </w:rPr>
              <w:instrText xml:space="preserve">□</w:instrText>
            </w:r>
            <w:r>
              <w:rPr>
                <w:rFonts w:hint="eastAsia" w:ascii="宋体" w:hAnsi="宋体" w:eastAsia="宋体" w:cs="宋体"/>
                <w:position w:val="0"/>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sz w:val="24"/>
                <w:szCs w:val="24"/>
                <w:highlight w:val="none"/>
                <w:lang w:val="en-US" w:eastAsia="zh-CN"/>
              </w:rPr>
              <w:t>组织踏勘</w:t>
            </w:r>
          </w:p>
        </w:tc>
      </w:tr>
      <w:tr>
        <w:tblPrEx>
          <w:tblCellMar>
            <w:top w:w="0" w:type="dxa"/>
            <w:left w:w="108" w:type="dxa"/>
            <w:bottom w:w="0" w:type="dxa"/>
            <w:right w:w="108" w:type="dxa"/>
          </w:tblCellMar>
        </w:tblPrEx>
        <w:trPr>
          <w:trHeight w:val="1776"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1.10</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答疑</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已领取本招标文件的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对本招标文件有疑问需要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招标代理机构</w:t>
            </w:r>
            <w:r>
              <w:rPr>
                <w:rFonts w:hint="eastAsia" w:ascii="宋体" w:hAnsi="宋体" w:eastAsia="宋体" w:cs="宋体"/>
                <w:sz w:val="24"/>
                <w:szCs w:val="24"/>
                <w:highlight w:val="none"/>
              </w:rPr>
              <w:t>回复的各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应在投标截止时间前10天前，向</w:t>
            </w:r>
            <w:r>
              <w:rPr>
                <w:rFonts w:hint="eastAsia" w:ascii="宋体" w:hAnsi="宋体" w:eastAsia="宋体" w:cs="宋体"/>
                <w:sz w:val="24"/>
                <w:szCs w:val="24"/>
                <w:highlight w:val="none"/>
                <w:lang w:eastAsia="zh-CN"/>
              </w:rPr>
              <w:t>招标代理机构</w:t>
            </w:r>
            <w:r>
              <w:rPr>
                <w:rFonts w:hint="eastAsia" w:ascii="宋体" w:hAnsi="宋体" w:eastAsia="宋体" w:cs="宋体"/>
                <w:sz w:val="24"/>
                <w:szCs w:val="24"/>
                <w:highlight w:val="none"/>
              </w:rPr>
              <w:t>指定邮箱提交全部的word版电子文件以及加盖公章的扫描件，发送至</w:t>
            </w:r>
            <w:r>
              <w:rPr>
                <w:rFonts w:hint="eastAsia" w:ascii="宋体" w:hAnsi="宋体" w:eastAsia="宋体" w:cs="宋体"/>
                <w:sz w:val="24"/>
                <w:szCs w:val="24"/>
                <w:highlight w:val="none"/>
                <w:lang w:eastAsia="zh-CN"/>
              </w:rPr>
              <w:t>招标代理机构</w:t>
            </w:r>
            <w:r>
              <w:rPr>
                <w:rFonts w:hint="eastAsia" w:ascii="宋体" w:hAnsi="宋体" w:eastAsia="宋体" w:cs="宋体"/>
                <w:sz w:val="24"/>
                <w:szCs w:val="24"/>
                <w:highlight w:val="none"/>
              </w:rPr>
              <w:t>邮箱的书面答疑问题如缺少材料或逾期提交的，</w:t>
            </w:r>
            <w:r>
              <w:rPr>
                <w:rFonts w:hint="eastAsia" w:ascii="宋体" w:hAnsi="宋体" w:eastAsia="宋体" w:cs="宋体"/>
                <w:sz w:val="24"/>
                <w:szCs w:val="24"/>
                <w:highlight w:val="none"/>
                <w:lang w:eastAsia="zh-CN"/>
              </w:rPr>
              <w:t>招标代理机构</w:t>
            </w:r>
            <w:r>
              <w:rPr>
                <w:rFonts w:hint="eastAsia" w:ascii="宋体" w:hAnsi="宋体" w:eastAsia="宋体" w:cs="宋体"/>
                <w:sz w:val="24"/>
                <w:szCs w:val="24"/>
                <w:highlight w:val="none"/>
              </w:rPr>
              <w:t>将不予接收且不予进行回复。指定邮箱为：</w:t>
            </w:r>
            <w:r>
              <w:rPr>
                <w:rFonts w:hint="eastAsia" w:ascii="宋体" w:hAnsi="宋体" w:cs="宋体"/>
                <w:kern w:val="0"/>
                <w:sz w:val="24"/>
                <w:szCs w:val="24"/>
                <w:highlight w:val="none"/>
                <w:u w:val="single"/>
                <w:lang w:val="en-US" w:eastAsia="zh-CN"/>
              </w:rPr>
              <w:t>3263004863@qq.com</w:t>
            </w:r>
          </w:p>
        </w:tc>
      </w:tr>
      <w:tr>
        <w:tblPrEx>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pStyle w:val="14"/>
              <w:topLinePunct/>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本项目不允许分包</w:t>
            </w:r>
          </w:p>
        </w:tc>
      </w:tr>
      <w:tr>
        <w:tblPrEx>
          <w:tblCellMar>
            <w:top w:w="0" w:type="dxa"/>
            <w:left w:w="108" w:type="dxa"/>
            <w:bottom w:w="0" w:type="dxa"/>
            <w:right w:w="108" w:type="dxa"/>
          </w:tblCellMar>
        </w:tblPrEx>
        <w:trPr>
          <w:trHeight w:val="1345"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1.12</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pStyle w:val="14"/>
              <w:topLinePunct/>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不满足评标办法中初步评审标准的，视为发生重大偏离，其投标被否决。其余偏离视为细微偏离，评标委员会将通过澄清方式对细微偏离进行澄清或修改。</w:t>
            </w:r>
          </w:p>
        </w:tc>
      </w:tr>
      <w:tr>
        <w:tblPrEx>
          <w:tblCellMar>
            <w:top w:w="0" w:type="dxa"/>
            <w:left w:w="108" w:type="dxa"/>
            <w:bottom w:w="0" w:type="dxa"/>
            <w:right w:w="108" w:type="dxa"/>
          </w:tblCellMar>
        </w:tblPrEx>
        <w:trPr>
          <w:trHeight w:val="812"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2023年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rPr>
              <w:t>时</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rPr>
              <w:t>分</w:t>
            </w:r>
          </w:p>
        </w:tc>
      </w:tr>
      <w:tr>
        <w:tblPrEx>
          <w:tblCellMar>
            <w:top w:w="0" w:type="dxa"/>
            <w:left w:w="108" w:type="dxa"/>
            <w:bottom w:w="0" w:type="dxa"/>
            <w:right w:w="108" w:type="dxa"/>
          </w:tblCellMar>
        </w:tblPrEx>
        <w:trPr>
          <w:trHeight w:val="2726"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3.2.3</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投标报价</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sz w:val="24"/>
                <w:szCs w:val="24"/>
                <w:highlight w:val="none"/>
                <w:lang w:val="en-US" w:eastAsia="zh-CN"/>
              </w:rPr>
            </w:pPr>
            <w:r>
              <w:rPr>
                <w:rFonts w:hint="eastAsia"/>
                <w:sz w:val="24"/>
                <w:szCs w:val="24"/>
                <w:highlight w:val="none"/>
                <w:lang w:val="en-US" w:eastAsia="zh-CN"/>
              </w:rPr>
              <w:t>报价方式：供应商应按“工程量清单”的要求进行投标报价，供应商在投标截止时间前修改投标函中的投标总报价，应同时修改第五章“工程量清单”中的相应报价，投标报价须含暂列金及暂估价、增值税和其他与所提供本工程有关的全部税费。</w:t>
            </w:r>
          </w:p>
        </w:tc>
      </w:tr>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3.3.1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自投标文件递交截止之日起90日历天</w:t>
            </w:r>
          </w:p>
        </w:tc>
      </w:tr>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w:t>
            </w:r>
            <w:r>
              <w:rPr>
                <w:rFonts w:hint="eastAsia" w:ascii="宋体" w:hAnsi="宋体" w:eastAsia="宋体" w:cs="宋体"/>
                <w:b/>
                <w:bCs/>
                <w:i/>
                <w:iCs/>
                <w:sz w:val="24"/>
                <w:szCs w:val="24"/>
                <w:highlight w:val="none"/>
                <w:lang w:eastAsia="zh-CN"/>
              </w:rPr>
              <w:t>不要求</w:t>
            </w:r>
            <w:r>
              <w:rPr>
                <w:rFonts w:hint="eastAsia" w:ascii="宋体" w:hAnsi="宋体" w:eastAsia="宋体" w:cs="宋体"/>
                <w:sz w:val="24"/>
                <w:szCs w:val="24"/>
                <w:highlight w:val="none"/>
                <w:lang w:eastAsia="zh-CN"/>
              </w:rPr>
              <w:t>缴纳投标保证金</w:t>
            </w:r>
            <w:r>
              <w:rPr>
                <w:rFonts w:hint="eastAsia" w:ascii="宋体" w:hAnsi="宋体" w:eastAsia="宋体" w:cs="宋体"/>
                <w:b/>
                <w:bCs/>
                <w:sz w:val="24"/>
                <w:szCs w:val="24"/>
                <w:highlight w:val="none"/>
                <w:lang w:eastAsia="zh-CN"/>
              </w:rPr>
              <w:t>（</w:t>
            </w:r>
            <w:r>
              <w:rPr>
                <w:rFonts w:hint="eastAsia" w:ascii="宋体" w:hAnsi="宋体" w:eastAsia="宋体" w:cs="宋体"/>
                <w:b/>
                <w:bCs/>
                <w:caps w:val="0"/>
                <w:shadow w:val="0"/>
                <w:color w:val="auto"/>
                <w:sz w:val="24"/>
                <w:szCs w:val="24"/>
                <w:highlight w:val="none"/>
                <w:lang w:eastAsia="zh-CN"/>
              </w:rPr>
              <w:t>本文件中涉及到投标保证金要求均不适用</w:t>
            </w:r>
            <w:r>
              <w:rPr>
                <w:rFonts w:hint="eastAsia" w:ascii="宋体" w:hAnsi="宋体" w:eastAsia="宋体" w:cs="宋体"/>
                <w:b/>
                <w:bCs/>
                <w:sz w:val="24"/>
                <w:szCs w:val="24"/>
                <w:highlight w:val="none"/>
                <w:lang w:eastAsia="zh-CN"/>
              </w:rPr>
              <w:t>）</w:t>
            </w:r>
          </w:p>
        </w:tc>
      </w:tr>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jc w:val="center"/>
              <w:outlineLvl w:val="0"/>
              <w:rPr>
                <w:rFonts w:hint="eastAsia" w:ascii="宋体" w:hAnsi="宋体" w:eastAsia="宋体" w:cs="宋体"/>
                <w:b/>
                <w:bCs/>
                <w:sz w:val="24"/>
                <w:szCs w:val="24"/>
                <w:highlight w:val="none"/>
                <w:lang w:eastAsia="zh-CN"/>
              </w:rPr>
            </w:pPr>
          </w:p>
          <w:p>
            <w:pPr>
              <w:keepNext/>
              <w:adjustRightInd w:val="0"/>
              <w:snapToGrid w:val="0"/>
              <w:spacing w:line="360" w:lineRule="auto"/>
              <w:jc w:val="center"/>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资格审查资料</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ind w:firstLine="420" w:firstLineChars="200"/>
              <w:outlineLvl w:val="0"/>
              <w:rPr>
                <w:rFonts w:hint="eastAsia"/>
              </w:rPr>
            </w:pPr>
            <w:r>
              <w:rPr>
                <w:rFonts w:hint="eastAsia"/>
              </w:rPr>
              <w:t>以</w:t>
            </w:r>
            <w:r>
              <w:rPr>
                <w:rFonts w:hint="eastAsia"/>
                <w:lang w:eastAsia="zh-CN"/>
              </w:rPr>
              <w:t>下</w:t>
            </w:r>
            <w:r>
              <w:rPr>
                <w:rFonts w:hint="eastAsia"/>
              </w:rPr>
              <w:t>资格审查资料</w:t>
            </w:r>
            <w:r>
              <w:rPr>
                <w:rFonts w:hint="eastAsia"/>
                <w:lang w:eastAsia="zh-CN"/>
              </w:rPr>
              <w:t>，供应商</w:t>
            </w:r>
            <w:r>
              <w:rPr>
                <w:rFonts w:hint="eastAsia"/>
              </w:rPr>
              <w:t>必须全部提供，凡有一项未提供或不合格者，均按无效</w:t>
            </w:r>
            <w:r>
              <w:rPr>
                <w:rFonts w:hint="eastAsia"/>
                <w:lang w:eastAsia="zh-CN"/>
              </w:rPr>
              <w:t>投标</w:t>
            </w:r>
            <w:r>
              <w:rPr>
                <w:rFonts w:hint="eastAsia"/>
              </w:rPr>
              <w:t>处理</w:t>
            </w:r>
            <w:r>
              <w:rPr>
                <w:rFonts w:hint="eastAsia"/>
                <w:lang w:eastAsia="zh-CN"/>
              </w:rPr>
              <w:t>，不再进入下一步评审环节</w:t>
            </w:r>
            <w:r>
              <w:rPr>
                <w:rFonts w:hint="eastAsia"/>
              </w:rPr>
              <w:t>。</w:t>
            </w:r>
          </w:p>
          <w:p>
            <w:pPr>
              <w:keepNext/>
              <w:adjustRightInd w:val="0"/>
              <w:snapToGrid w:val="0"/>
              <w:spacing w:line="360" w:lineRule="auto"/>
              <w:ind w:firstLine="420" w:firstLineChars="200"/>
              <w:outlineLvl w:val="0"/>
              <w:rPr>
                <w:rFonts w:hint="eastAsia"/>
                <w:lang w:eastAsia="zh-CN"/>
              </w:rPr>
            </w:pPr>
            <w:r>
              <w:rPr>
                <w:rFonts w:hint="eastAsia"/>
                <w:lang w:eastAsia="zh-CN"/>
              </w:rPr>
              <w:t>本项目专门面向中小企业，供应商须填写中小企业声明函，并对真实性负责。</w:t>
            </w:r>
          </w:p>
          <w:p>
            <w:pPr>
              <w:pStyle w:val="31"/>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213"/>
              <w:jc w:val="both"/>
              <w:rPr>
                <w:rFonts w:hint="eastAsia"/>
              </w:rPr>
            </w:pPr>
            <w:r>
              <w:rPr>
                <w:rFonts w:hint="eastAsia"/>
              </w:rPr>
              <w:t>具有独立承担民事责任能力的法人、其他组织或自然人，营业执照、组织机构代码证、税务登记证（三证合一只提供营业执照，事业单位提供事业单位法人证书，自然人应提供身份证）合法有效； </w:t>
            </w:r>
            <w:r>
              <w:rPr>
                <w:rFonts w:hint="eastAsia"/>
              </w:rPr>
              <w:br w:type="textWrapping"/>
            </w:r>
            <w:r>
              <w:rPr>
                <w:rFonts w:hint="eastAsia"/>
              </w:rPr>
              <w:t>（2）法定代表人参加</w:t>
            </w:r>
            <w:r>
              <w:rPr>
                <w:rFonts w:hint="eastAsia"/>
                <w:lang w:eastAsia="zh-CN"/>
              </w:rPr>
              <w:t>投标</w:t>
            </w:r>
            <w:r>
              <w:rPr>
                <w:rFonts w:hint="eastAsia"/>
              </w:rPr>
              <w:t>时，提供本人身份证；授权代表参加</w:t>
            </w:r>
            <w:r>
              <w:rPr>
                <w:rFonts w:hint="eastAsia"/>
                <w:lang w:eastAsia="zh-CN"/>
              </w:rPr>
              <w:t>投标</w:t>
            </w:r>
            <w:r>
              <w:rPr>
                <w:rFonts w:hint="eastAsia"/>
              </w:rPr>
              <w:t>时，提供法定代表人授权书和被授权人身份证；非法人单位参照执行；</w:t>
            </w:r>
            <w:r>
              <w:rPr>
                <w:rFonts w:hint="eastAsia"/>
              </w:rPr>
              <w:br w:type="textWrapping"/>
            </w:r>
            <w:r>
              <w:rPr>
                <w:rFonts w:hint="eastAsia"/>
              </w:rPr>
              <w:t>（3）</w:t>
            </w:r>
            <w:r>
              <w:rPr>
                <w:rFonts w:hint="eastAsia"/>
                <w:lang w:eastAsia="zh-CN"/>
              </w:rPr>
              <w:t>须具备建设部门颁发的建筑工程施工总承包三级（含）及以上资质，且具有有效的安全生产许可证；</w:t>
            </w:r>
            <w:r>
              <w:rPr>
                <w:rFonts w:hint="eastAsia"/>
              </w:rPr>
              <w:br w:type="textWrapping"/>
            </w:r>
            <w:r>
              <w:rPr>
                <w:rFonts w:hint="eastAsia"/>
              </w:rPr>
              <w:t>（4）拟委派项目经理须具有有效的相关专业贰级（含）及以上注册建造师资质并具有有效的安全生产考核合格证（B证），在本单位注册且无在建工程；</w:t>
            </w:r>
            <w:r>
              <w:rPr>
                <w:rFonts w:hint="eastAsia"/>
              </w:rPr>
              <w:br w:type="textWrapping"/>
            </w:r>
            <w:r>
              <w:rPr>
                <w:rFonts w:hint="eastAsia"/>
              </w:rPr>
              <w:t>（5）单位负责人为同一人或者存在控股、管理关系的不同单位不得同时进行</w:t>
            </w:r>
            <w:r>
              <w:rPr>
                <w:rFonts w:hint="eastAsia"/>
                <w:lang w:eastAsia="zh-CN"/>
              </w:rPr>
              <w:t>投标</w:t>
            </w:r>
            <w:r>
              <w:rPr>
                <w:rFonts w:hint="eastAsia"/>
              </w:rPr>
              <w:t>；</w:t>
            </w:r>
            <w:r>
              <w:rPr>
                <w:rFonts w:hint="eastAsia"/>
              </w:rPr>
              <w:br w:type="textWrapping"/>
            </w:r>
            <w:r>
              <w:rPr>
                <w:rFonts w:hint="eastAsia"/>
              </w:rPr>
              <w:t>（6）参加政府采购活动前三年内，在经营活动中没有重大违法记录的书面声明；</w:t>
            </w:r>
            <w:r>
              <w:rPr>
                <w:rFonts w:hint="eastAsia"/>
              </w:rPr>
              <w:br w:type="textWrapping"/>
            </w:r>
            <w:r>
              <w:rPr>
                <w:rFonts w:hint="eastAsia"/>
              </w:rPr>
              <w:t>（7）税收缴纳证明：提供开标前近六个月内已缴纳任意一个月完税凭证或税务机关开具的完税证明（任意税种）；依法免税的应提供相关文件证明；</w:t>
            </w:r>
            <w:r>
              <w:rPr>
                <w:rFonts w:hint="eastAsia"/>
              </w:rPr>
              <w:br w:type="textWrapping"/>
            </w:r>
            <w:r>
              <w:rPr>
                <w:rFonts w:hint="eastAsia"/>
              </w:rPr>
              <w:t>（8）社会保障资金缴纳证明：提供开标前近六个月内已缴存的任意一个月的社会保障资金缴存证明或社保机构开具的社会保险参保缴费情况证明；依法不需要缴纳社会保障资金的应提供相关文件证明；</w:t>
            </w:r>
            <w:r>
              <w:rPr>
                <w:rFonts w:hint="eastAsia"/>
              </w:rPr>
              <w:br w:type="textWrapping"/>
            </w:r>
            <w:r>
              <w:rPr>
                <w:rFonts w:hint="eastAsia"/>
              </w:rPr>
              <w:t>（9）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六个月内基本存款账户开户银行出具的资信证明，或信用担保机构出具的投标担保函。（以上三种形式的资料提供任何一种）；</w:t>
            </w:r>
            <w:r>
              <w:rPr>
                <w:rFonts w:hint="eastAsia"/>
              </w:rPr>
              <w:br w:type="textWrapping"/>
            </w:r>
            <w:r>
              <w:rPr>
                <w:rFonts w:hint="eastAsia"/>
              </w:rPr>
              <w:t>（10）</w:t>
            </w:r>
            <w:r>
              <w:rPr>
                <w:rFonts w:hint="eastAsia"/>
                <w:lang w:eastAsia="zh-CN"/>
              </w:rPr>
              <w:t>投标</w:t>
            </w:r>
            <w:r>
              <w:rPr>
                <w:rFonts w:hint="eastAsia"/>
              </w:rPr>
              <w:t>单位不得为“信用中国”网站（www.creditchina.gov.cn）和中国政府采购网（www.ccgp.gov.cn）中被列入失信被执行人、重大税收违法案件当事人名单、政府采购严重违法失信行为记录名单的单位。</w:t>
            </w:r>
            <w:r>
              <w:rPr>
                <w:rFonts w:hint="eastAsia"/>
              </w:rPr>
              <w:br w:type="textWrapping"/>
            </w:r>
            <w:r>
              <w:rPr>
                <w:rFonts w:hint="eastAsia"/>
              </w:rPr>
              <w:t>（11）本项目不接受联合体</w:t>
            </w:r>
            <w:r>
              <w:rPr>
                <w:rFonts w:hint="eastAsia"/>
                <w:lang w:eastAsia="zh-CN"/>
              </w:rPr>
              <w:t>投标</w:t>
            </w:r>
            <w:r>
              <w:rPr>
                <w:rFonts w:hint="eastAsia"/>
              </w:rPr>
              <w:t>。</w:t>
            </w:r>
          </w:p>
          <w:p>
            <w:pPr>
              <w:spacing w:line="500" w:lineRule="exact"/>
              <w:rPr>
                <w:rFonts w:hint="eastAsia"/>
              </w:rPr>
            </w:pPr>
            <w:r>
              <w:rPr>
                <w:rFonts w:hint="eastAsia" w:ascii="宋体" w:hAnsi="宋体" w:eastAsia="宋体" w:cs="宋体"/>
                <w:b/>
              </w:rPr>
              <w:t>以上</w:t>
            </w:r>
            <w:r>
              <w:rPr>
                <w:rFonts w:hint="eastAsia" w:ascii="宋体" w:hAnsi="宋体" w:eastAsia="宋体" w:cs="宋体"/>
                <w:b/>
                <w:lang w:eastAsia="zh-CN"/>
              </w:rPr>
              <w:t>投标人</w:t>
            </w:r>
            <w:r>
              <w:rPr>
                <w:rFonts w:hint="eastAsia" w:ascii="宋体" w:hAnsi="宋体" w:eastAsia="宋体" w:cs="宋体"/>
                <w:b/>
              </w:rPr>
              <w:t>资格要求为必备资质，缺一项或某项达不到要求，按无效投标处理。以上资质须附在投标文件中（复印件加盖公章</w:t>
            </w:r>
            <w:r>
              <w:rPr>
                <w:rFonts w:hint="eastAsia" w:ascii="宋体" w:hAnsi="宋体" w:eastAsia="宋体" w:cs="宋体"/>
                <w:b/>
                <w:lang w:eastAsia="zh-CN"/>
              </w:rPr>
              <w:t>）</w:t>
            </w:r>
            <w:r>
              <w:rPr>
                <w:rFonts w:hint="eastAsia" w:ascii="宋体" w:hAnsi="宋体" w:eastAsia="宋体" w:cs="宋体"/>
                <w:b/>
                <w:szCs w:val="24"/>
              </w:rPr>
              <w:t>，资格审查时以投标文件中所附证明材料为准，原件备查。</w:t>
            </w:r>
          </w:p>
        </w:tc>
      </w:tr>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是否允许递交备选投标方案</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tblPrEx>
          <w:tblCellMar>
            <w:top w:w="0" w:type="dxa"/>
            <w:left w:w="108" w:type="dxa"/>
            <w:bottom w:w="0" w:type="dxa"/>
            <w:right w:w="108" w:type="dxa"/>
          </w:tblCellMar>
        </w:tblPrEx>
        <w:trPr>
          <w:trHeight w:val="756"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3.7.3</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电子投标文件制作过程中，需要法定代表人签字或盖章</w:t>
            </w:r>
            <w:r>
              <w:rPr>
                <w:rFonts w:hint="eastAsia" w:ascii="宋体" w:hAnsi="宋体" w:eastAsia="宋体" w:cs="宋体"/>
                <w:sz w:val="24"/>
                <w:szCs w:val="24"/>
                <w:highlight w:val="none"/>
                <w:lang w:eastAsia="zh-CN"/>
              </w:rPr>
              <w:t>（联合体牵头单位）</w:t>
            </w:r>
            <w:r>
              <w:rPr>
                <w:rFonts w:hint="eastAsia" w:ascii="宋体" w:hAnsi="宋体" w:eastAsia="宋体" w:cs="宋体"/>
                <w:sz w:val="24"/>
                <w:szCs w:val="24"/>
                <w:highlight w:val="none"/>
              </w:rPr>
              <w:t>的地方，请使用“法人CA锁”进行签章；需要加盖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的地方，请使用“企业CA锁”进行签章。若导出的PDF文件里看不到签章，请尝试使用专用制作软件中的“查看投标文件工具”打开未加密的电子投标文件重新导出。在制作过程中，如有其他技术性问题，请先翻阅操作手册，或致电软件开发商。</w:t>
            </w:r>
          </w:p>
        </w:tc>
      </w:tr>
      <w:tr>
        <w:tblPrEx>
          <w:tblCellMar>
            <w:top w:w="0" w:type="dxa"/>
            <w:left w:w="108" w:type="dxa"/>
            <w:bottom w:w="0" w:type="dxa"/>
            <w:right w:w="108" w:type="dxa"/>
          </w:tblCellMar>
        </w:tblPrEx>
        <w:trPr>
          <w:trHeight w:val="889"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3.7.4</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纸质版</w:t>
            </w:r>
            <w:r>
              <w:rPr>
                <w:rFonts w:hint="eastAsia" w:ascii="宋体" w:hAnsi="宋体" w:eastAsia="宋体" w:cs="宋体"/>
                <w:sz w:val="24"/>
                <w:szCs w:val="24"/>
                <w:highlight w:val="none"/>
              </w:rPr>
              <w:t>投标文件份数</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无</w:t>
            </w:r>
          </w:p>
        </w:tc>
      </w:tr>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4.1.2</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投标文件格式</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详见第八章“投标文件格式”部分</w:t>
            </w:r>
          </w:p>
        </w:tc>
      </w:tr>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4.2.2</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w:t>
            </w:r>
          </w:p>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全国公共资源交易平台（陕西省·西安市）</w:t>
            </w:r>
          </w:p>
        </w:tc>
      </w:tr>
      <w:tr>
        <w:tblPrEx>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4.2.3</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是否退还投标</w:t>
            </w:r>
          </w:p>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文件</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tblPrEx>
          <w:tblCellMar>
            <w:top w:w="0" w:type="dxa"/>
            <w:left w:w="108" w:type="dxa"/>
            <w:bottom w:w="0" w:type="dxa"/>
            <w:right w:w="108" w:type="dxa"/>
          </w:tblCellMar>
        </w:tblPrEx>
        <w:trPr>
          <w:trHeight w:val="90"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5.1</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64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cs="宋体"/>
                <w:sz w:val="24"/>
                <w:szCs w:val="24"/>
                <w:highlight w:val="none"/>
                <w:u w:val="none"/>
                <w:lang w:eastAsia="zh-CN"/>
              </w:rPr>
              <w:t>2023年</w:t>
            </w:r>
            <w:r>
              <w:rPr>
                <w:rFonts w:hint="eastAsia" w:ascii="宋体" w:hAnsi="宋体" w:cs="宋体"/>
                <w:sz w:val="24"/>
                <w:szCs w:val="24"/>
                <w:highlight w:val="none"/>
                <w:u w:val="none"/>
                <w:lang w:val="en-US" w:eastAsia="zh-CN"/>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rPr>
              <w:t>:</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rPr>
              <w:t>（同投标截止时间）</w:t>
            </w:r>
          </w:p>
          <w:p>
            <w:pPr>
              <w:adjustRightInd w:val="0"/>
              <w:snapToGrid w:val="0"/>
              <w:spacing w:line="360" w:lineRule="auto"/>
              <w:jc w:val="lef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开标地点</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全国公共资源交易平台（陕西省·西安市）网站〖首页〉电子交易平台〉陕西政府采购交易系统〉企业端〗，不见面开标</w:t>
            </w:r>
            <w:r>
              <w:rPr>
                <w:rFonts w:hint="eastAsia" w:ascii="宋体" w:hAnsi="宋体" w:cs="宋体"/>
                <w:sz w:val="24"/>
                <w:szCs w:val="24"/>
                <w:highlight w:val="none"/>
                <w:lang w:val="en-US" w:eastAsia="zh-CN"/>
              </w:rPr>
              <w:t>。</w:t>
            </w:r>
          </w:p>
        </w:tc>
      </w:tr>
      <w:tr>
        <w:tblPrEx>
          <w:tblCellMar>
            <w:top w:w="0" w:type="dxa"/>
            <w:left w:w="108" w:type="dxa"/>
            <w:bottom w:w="0" w:type="dxa"/>
            <w:right w:w="108" w:type="dxa"/>
          </w:tblCellMar>
        </w:tblPrEx>
        <w:trPr>
          <w:trHeight w:val="416" w:hRule="atLeast"/>
          <w:jc w:val="center"/>
        </w:trPr>
        <w:tc>
          <w:tcPr>
            <w:tcW w:w="1063"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6.1.1</w:t>
            </w:r>
          </w:p>
        </w:tc>
        <w:tc>
          <w:tcPr>
            <w:tcW w:w="1948"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w:t>
            </w:r>
          </w:p>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的组建</w:t>
            </w:r>
          </w:p>
        </w:tc>
        <w:tc>
          <w:tcPr>
            <w:tcW w:w="6477"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评标委员会构成：依法组成。</w:t>
            </w:r>
          </w:p>
          <w:p>
            <w:pPr>
              <w:pStyle w:val="1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评标委员会构成：</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 人，其中采购人代表 </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 xml:space="preserve"> 人，评标专家</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 xml:space="preserve"> 人。</w:t>
            </w:r>
          </w:p>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评标专家确定方式：评标</w:t>
            </w:r>
            <w:r>
              <w:rPr>
                <w:rFonts w:hint="eastAsia" w:ascii="宋体" w:hAnsi="宋体" w:eastAsia="宋体" w:cs="宋体"/>
                <w:sz w:val="24"/>
                <w:szCs w:val="24"/>
                <w:highlight w:val="none"/>
                <w:lang w:eastAsia="zh-CN"/>
              </w:rPr>
              <w:t>当天在陕西省政府采购网</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专家库中随机抽取专家。</w:t>
            </w:r>
          </w:p>
        </w:tc>
      </w:tr>
      <w:tr>
        <w:tblPrEx>
          <w:tblCellMar>
            <w:top w:w="0" w:type="dxa"/>
            <w:left w:w="108" w:type="dxa"/>
            <w:bottom w:w="0" w:type="dxa"/>
            <w:right w:w="108" w:type="dxa"/>
          </w:tblCellMar>
        </w:tblPrEx>
        <w:trPr>
          <w:trHeight w:val="783" w:hRule="atLeast"/>
          <w:jc w:val="center"/>
        </w:trPr>
        <w:tc>
          <w:tcPr>
            <w:tcW w:w="1063"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1948" w:type="dxa"/>
            <w:tcBorders>
              <w:top w:val="single" w:color="auto" w:sz="4" w:space="0"/>
              <w:left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是否授权评标委员会确定</w:t>
            </w:r>
            <w:r>
              <w:rPr>
                <w:rFonts w:hint="eastAsia" w:ascii="宋体" w:hAnsi="宋体" w:eastAsia="宋体" w:cs="宋体"/>
                <w:sz w:val="24"/>
                <w:szCs w:val="24"/>
                <w:highlight w:val="none"/>
                <w:lang w:eastAsia="zh-CN"/>
              </w:rPr>
              <w:t>中标供应商</w:t>
            </w:r>
          </w:p>
        </w:tc>
        <w:tc>
          <w:tcPr>
            <w:tcW w:w="6477"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否，由评标委员会推选得分较高的前三名为中标候选人</w:t>
            </w:r>
          </w:p>
        </w:tc>
      </w:tr>
      <w:tr>
        <w:tblPrEx>
          <w:tblCellMar>
            <w:top w:w="0" w:type="dxa"/>
            <w:left w:w="108" w:type="dxa"/>
            <w:bottom w:w="0" w:type="dxa"/>
            <w:right w:w="108" w:type="dxa"/>
          </w:tblCellMar>
        </w:tblPrEx>
        <w:trPr>
          <w:trHeight w:val="783" w:hRule="atLeast"/>
          <w:jc w:val="center"/>
        </w:trPr>
        <w:tc>
          <w:tcPr>
            <w:tcW w:w="1063"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7.3</w:t>
            </w:r>
          </w:p>
        </w:tc>
        <w:tc>
          <w:tcPr>
            <w:tcW w:w="1948"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履约</w:t>
            </w:r>
            <w:r>
              <w:rPr>
                <w:rFonts w:hint="eastAsia" w:ascii="宋体" w:hAnsi="宋体" w:eastAsia="宋体" w:cs="宋体"/>
                <w:sz w:val="24"/>
                <w:szCs w:val="24"/>
                <w:highlight w:val="none"/>
                <w:lang w:eastAsia="zh-CN"/>
              </w:rPr>
              <w:t>保证金</w:t>
            </w:r>
          </w:p>
        </w:tc>
        <w:tc>
          <w:tcPr>
            <w:tcW w:w="6477"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tblPrEx>
          <w:tblCellMar>
            <w:top w:w="0" w:type="dxa"/>
            <w:left w:w="108" w:type="dxa"/>
            <w:bottom w:w="0" w:type="dxa"/>
            <w:right w:w="108" w:type="dxa"/>
          </w:tblCellMar>
        </w:tblPrEx>
        <w:trPr>
          <w:trHeight w:val="464" w:hRule="atLeast"/>
          <w:jc w:val="center"/>
        </w:trPr>
        <w:tc>
          <w:tcPr>
            <w:tcW w:w="1063"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948" w:type="dxa"/>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w:t>
            </w:r>
          </w:p>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其他内容</w:t>
            </w:r>
          </w:p>
        </w:tc>
        <w:tc>
          <w:tcPr>
            <w:tcW w:w="6477"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国家发展计划委员会文件计价格【2002】1980号、《国家发展和改革委员会办公厅关于招标代理服务收费有关问题的通知》（发改办价格〔2003〕857号）、发改价格【2011】534号、发改价格的【2015】299号及陕价行发【2014】88号，招标代理费用及造价咨询费根据实际</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价格据实结算，由</w:t>
            </w:r>
            <w:r>
              <w:rPr>
                <w:rFonts w:hint="eastAsia" w:ascii="宋体" w:hAnsi="宋体" w:cs="宋体"/>
                <w:sz w:val="24"/>
                <w:szCs w:val="24"/>
                <w:highlight w:val="none"/>
                <w:lang w:val="en-US" w:eastAsia="zh-CN"/>
              </w:rPr>
              <w:t>中标单位</w:t>
            </w:r>
            <w:r>
              <w:rPr>
                <w:rFonts w:hint="eastAsia" w:ascii="宋体" w:hAnsi="宋体" w:eastAsia="宋体" w:cs="宋体"/>
                <w:sz w:val="24"/>
                <w:szCs w:val="24"/>
                <w:highlight w:val="none"/>
                <w:lang w:val="en-US" w:eastAsia="zh-CN"/>
              </w:rPr>
              <w:t>进行支付。</w:t>
            </w:r>
          </w:p>
          <w:p>
            <w:pPr>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开户名称：陕西卓尔盛工程项目管理有限公司</w:t>
            </w:r>
          </w:p>
          <w:p>
            <w:pPr>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开户银行：兴业银行股份有限公司西安分行营业部</w:t>
            </w:r>
          </w:p>
          <w:p>
            <w:pPr>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 号：456010100100759661</w:t>
            </w:r>
          </w:p>
          <w:p>
            <w:pPr>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备注：项目名称+招标代理服务费</w:t>
            </w:r>
          </w:p>
          <w:p>
            <w:pPr>
              <w:adjustRightInd w:val="0"/>
              <w:snapToGrid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10.2本项目项目所属行业类别：建筑业</w:t>
            </w:r>
          </w:p>
          <w:p>
            <w:pPr>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知识产权：构成本招标文件各个组成部分的文件，未经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书面同意，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不得擅自复印和用于非本招标项目所需的其他目的。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全部或者部分使用未</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投标文件中的技术成果或技术方案时，需征得其书面同意，并不得擅自复印或提供给第三人；</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10.4按照《西安市财政局关于促进政府采购公平竞争优化营商环境的 通知》(市财函〔2020〕431 号)规定:供应商登记免费领取采购文 件的，如不参与项目投标，应在递交投标(或响应)文件截止时间前 一日以书面形式告知采购代理机构。否则，采购代理机构可以向财政 部门反映情况并提供相应的作证。供应商一年内累计出现三次该情形， 将被监管部门记录为失信行为；</w:t>
            </w:r>
          </w:p>
          <w:p>
            <w:pPr>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10.5</w:t>
            </w:r>
            <w:r>
              <w:rPr>
                <w:rFonts w:hint="eastAsia" w:ascii="宋体" w:hAnsi="宋体" w:eastAsia="宋体" w:cs="宋体"/>
                <w:sz w:val="24"/>
                <w:szCs w:val="24"/>
                <w:highlight w:val="none"/>
              </w:rPr>
              <w:t>本招标文件未明确的其他事项，按照有关法律、法规或省市有关规定执行。本招标文件由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和招标代理机构负责解释</w:t>
            </w:r>
            <w:r>
              <w:rPr>
                <w:rFonts w:hint="eastAsia" w:ascii="宋体" w:hAnsi="宋体" w:eastAsia="宋体" w:cs="宋体"/>
                <w:sz w:val="24"/>
                <w:szCs w:val="24"/>
                <w:highlight w:val="none"/>
                <w:lang w:eastAsia="zh-CN"/>
              </w:rPr>
              <w:t>；</w:t>
            </w:r>
          </w:p>
          <w:p>
            <w:pPr>
              <w:adjustRightInd w:val="0"/>
              <w:snapToGrid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10.6本项目为专门面向中小企业项目。</w:t>
            </w:r>
          </w:p>
        </w:tc>
      </w:tr>
      <w:tr>
        <w:tblPrEx>
          <w:tblCellMar>
            <w:top w:w="0" w:type="dxa"/>
            <w:left w:w="108" w:type="dxa"/>
            <w:bottom w:w="0" w:type="dxa"/>
            <w:right w:w="108" w:type="dxa"/>
          </w:tblCellMar>
        </w:tblPrEx>
        <w:trPr>
          <w:trHeight w:val="464" w:hRule="atLeast"/>
          <w:jc w:val="center"/>
        </w:trPr>
        <w:tc>
          <w:tcPr>
            <w:tcW w:w="9488" w:type="dxa"/>
            <w:gridSpan w:val="3"/>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kern w:val="0"/>
                <w:sz w:val="24"/>
                <w:highlight w:val="none"/>
              </w:rPr>
              <w:t>本</w:t>
            </w:r>
            <w:r>
              <w:rPr>
                <w:rFonts w:hint="eastAsia" w:ascii="宋体" w:hAnsi="宋体" w:eastAsia="宋体" w:cs="宋体"/>
                <w:b/>
                <w:bCs/>
                <w:kern w:val="0"/>
                <w:sz w:val="24"/>
                <w:highlight w:val="none"/>
                <w:lang w:eastAsia="zh-CN"/>
              </w:rPr>
              <w:t>项目</w:t>
            </w:r>
            <w:r>
              <w:rPr>
                <w:rFonts w:hint="eastAsia" w:ascii="宋体" w:hAnsi="宋体" w:eastAsia="宋体" w:cs="宋体"/>
                <w:b/>
                <w:bCs/>
                <w:kern w:val="0"/>
                <w:sz w:val="24"/>
                <w:highlight w:val="none"/>
              </w:rPr>
              <w:t>合同价款采用_</w:t>
            </w:r>
            <w:r>
              <w:rPr>
                <w:rFonts w:hint="eastAsia" w:ascii="宋体" w:hAnsi="宋体" w:eastAsia="宋体" w:cs="宋体"/>
                <w:b/>
                <w:bCs/>
                <w:sz w:val="24"/>
                <w:highlight w:val="none"/>
                <w:u w:val="single"/>
              </w:rPr>
              <w:t>固定总价合同</w:t>
            </w:r>
            <w:r>
              <w:rPr>
                <w:rFonts w:hint="eastAsia" w:ascii="宋体" w:hAnsi="宋体" w:eastAsia="宋体" w:cs="宋体"/>
                <w:b/>
                <w:bCs/>
                <w:kern w:val="0"/>
                <w:sz w:val="24"/>
                <w:highlight w:val="none"/>
              </w:rPr>
              <w:t>方式确定</w:t>
            </w:r>
            <w:r>
              <w:rPr>
                <w:rFonts w:hint="eastAsia" w:ascii="宋体" w:hAnsi="宋体" w:eastAsia="宋体" w:cs="宋体"/>
                <w:b/>
                <w:bCs/>
                <w:kern w:val="0"/>
                <w:sz w:val="24"/>
                <w:highlight w:val="none"/>
                <w:lang w:eastAsia="zh-CN"/>
              </w:rPr>
              <w:t>。</w:t>
            </w:r>
          </w:p>
        </w:tc>
      </w:tr>
      <w:tr>
        <w:tblPrEx>
          <w:tblCellMar>
            <w:top w:w="0" w:type="dxa"/>
            <w:left w:w="108" w:type="dxa"/>
            <w:bottom w:w="0" w:type="dxa"/>
            <w:right w:w="108" w:type="dxa"/>
          </w:tblCellMar>
        </w:tblPrEx>
        <w:trPr>
          <w:trHeight w:val="585" w:hRule="atLeast"/>
          <w:jc w:val="center"/>
        </w:trPr>
        <w:tc>
          <w:tcPr>
            <w:tcW w:w="948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本表是对</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须知的提示、补充和修改，如有矛盾，应以本表为准。如本表未说明的，以本招标文件内容为准。</w:t>
            </w:r>
          </w:p>
        </w:tc>
      </w:tr>
    </w:tbl>
    <w:p>
      <w:pPr>
        <w:pStyle w:val="7"/>
        <w:rPr>
          <w:rFonts w:hint="eastAsia" w:ascii="宋体" w:hAnsi="宋体" w:eastAsia="宋体" w:cs="宋体"/>
          <w:sz w:val="44"/>
          <w:szCs w:val="44"/>
          <w:highlight w:val="none"/>
        </w:rPr>
      </w:pPr>
      <w:bookmarkStart w:id="11" w:name="_Toc513557026"/>
      <w:r>
        <w:rPr>
          <w:rFonts w:hint="eastAsia" w:ascii="宋体" w:hAnsi="宋体" w:eastAsia="宋体" w:cs="宋体"/>
          <w:b w:val="0"/>
          <w:sz w:val="44"/>
          <w:szCs w:val="44"/>
          <w:highlight w:val="none"/>
        </w:rPr>
        <w:br w:type="page"/>
      </w:r>
      <w:bookmarkStart w:id="12" w:name="_Toc9685"/>
      <w:bookmarkStart w:id="13" w:name="_Toc9350"/>
      <w:bookmarkStart w:id="14" w:name="_Toc30340"/>
      <w:r>
        <w:rPr>
          <w:rFonts w:hint="eastAsia" w:ascii="宋体" w:hAnsi="宋体" w:eastAsia="宋体" w:cs="宋体"/>
          <w:b w:val="0"/>
          <w:sz w:val="44"/>
          <w:szCs w:val="44"/>
          <w:highlight w:val="none"/>
        </w:rPr>
        <w:t>（二）</w:t>
      </w:r>
      <w:r>
        <w:rPr>
          <w:rFonts w:hint="eastAsia" w:ascii="宋体" w:hAnsi="宋体" w:eastAsia="宋体" w:cs="宋体"/>
          <w:sz w:val="44"/>
          <w:szCs w:val="44"/>
          <w:highlight w:val="none"/>
          <w:lang w:eastAsia="zh-CN"/>
        </w:rPr>
        <w:t>供应商</w:t>
      </w:r>
      <w:r>
        <w:rPr>
          <w:rFonts w:hint="eastAsia" w:ascii="宋体" w:hAnsi="宋体" w:eastAsia="宋体" w:cs="宋体"/>
          <w:sz w:val="44"/>
          <w:szCs w:val="44"/>
          <w:highlight w:val="none"/>
        </w:rPr>
        <w:t>须知</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before="0" w:after="0" w:line="460" w:lineRule="exact"/>
        <w:ind w:firstLine="482" w:firstLineChars="200"/>
        <w:textAlignment w:val="auto"/>
        <w:outlineLvl w:val="9"/>
        <w:rPr>
          <w:rFonts w:hint="eastAsia" w:ascii="宋体" w:hAnsi="宋体" w:eastAsia="宋体" w:cs="宋体"/>
          <w:b/>
          <w:bCs w:val="0"/>
          <w:sz w:val="24"/>
          <w:szCs w:val="24"/>
          <w:highlight w:val="none"/>
        </w:rPr>
      </w:pPr>
      <w:bookmarkStart w:id="15" w:name="_Toc4294"/>
      <w:bookmarkStart w:id="16" w:name="_Toc12291"/>
      <w:bookmarkStart w:id="17" w:name="_Toc513557036"/>
      <w:bookmarkStart w:id="18" w:name="_Toc17398"/>
      <w:bookmarkStart w:id="19" w:name="_Toc28620"/>
      <w:r>
        <w:rPr>
          <w:rFonts w:hint="eastAsia" w:ascii="宋体" w:hAnsi="宋体" w:eastAsia="宋体" w:cs="宋体"/>
          <w:b/>
          <w:bCs w:val="0"/>
          <w:sz w:val="24"/>
          <w:szCs w:val="24"/>
          <w:highlight w:val="none"/>
        </w:rPr>
        <w:t>1.总则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0" w:name="_Toc152045530"/>
      <w:bookmarkStart w:id="21" w:name="_Toc152042306"/>
      <w:bookmarkStart w:id="22" w:name="_Toc11972"/>
      <w:bookmarkStart w:id="23" w:name="_Toc144974498"/>
      <w:bookmarkStart w:id="24" w:name="_Toc179632547"/>
      <w:r>
        <w:rPr>
          <w:rFonts w:hint="eastAsia" w:ascii="宋体" w:hAnsi="宋体" w:eastAsia="宋体" w:cs="宋体"/>
          <w:sz w:val="24"/>
          <w:szCs w:val="24"/>
          <w:highlight w:val="none"/>
        </w:rPr>
        <w:t>1.1 项目概况</w:t>
      </w:r>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5" w:name="_Toc24898"/>
      <w:r>
        <w:rPr>
          <w:rFonts w:hint="eastAsia" w:ascii="宋体" w:hAnsi="宋体" w:eastAsia="宋体" w:cs="宋体"/>
          <w:sz w:val="24"/>
          <w:szCs w:val="24"/>
          <w:highlight w:val="none"/>
        </w:rPr>
        <w:t>1.1.1根据《中华人民共和国政府采购法》</w:t>
      </w:r>
      <w:r>
        <w:rPr>
          <w:rFonts w:hint="eastAsia" w:ascii="宋体" w:hAnsi="宋体" w:eastAsia="宋体" w:cs="宋体"/>
          <w:sz w:val="24"/>
          <w:szCs w:val="24"/>
          <w:highlight w:val="none"/>
          <w:lang w:eastAsia="zh-CN"/>
        </w:rPr>
        <w:t>《中华人民共和国招标投标法》</w:t>
      </w:r>
      <w:r>
        <w:rPr>
          <w:rFonts w:hint="eastAsia" w:ascii="宋体" w:hAnsi="宋体" w:eastAsia="宋体" w:cs="宋体"/>
          <w:sz w:val="24"/>
          <w:szCs w:val="24"/>
          <w:highlight w:val="none"/>
        </w:rPr>
        <w:t>以及有关法律、法规和规章的规定，本招标项目已具备招标条件，现对本项目进行招标。</w:t>
      </w:r>
      <w:bookmarkEnd w:id="2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6" w:name="_Toc14474"/>
      <w:r>
        <w:rPr>
          <w:rFonts w:hint="eastAsia" w:ascii="宋体" w:hAnsi="宋体" w:eastAsia="宋体" w:cs="宋体"/>
          <w:sz w:val="24"/>
          <w:szCs w:val="24"/>
          <w:highlight w:val="none"/>
        </w:rPr>
        <w:t>1.1.2 采购人：见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2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7" w:name="_Toc30938"/>
      <w:r>
        <w:rPr>
          <w:rFonts w:hint="eastAsia" w:ascii="宋体" w:hAnsi="宋体" w:eastAsia="宋体" w:cs="宋体"/>
          <w:sz w:val="24"/>
          <w:szCs w:val="24"/>
          <w:highlight w:val="none"/>
        </w:rPr>
        <w:t>1.1.3 采购代理机构：见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2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8" w:name="_Toc28187"/>
      <w:r>
        <w:rPr>
          <w:rFonts w:hint="eastAsia" w:ascii="宋体" w:hAnsi="宋体" w:eastAsia="宋体" w:cs="宋体"/>
          <w:sz w:val="24"/>
          <w:szCs w:val="24"/>
          <w:highlight w:val="none"/>
        </w:rPr>
        <w:t>1.1.4 项目名称：见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2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9" w:name="_Toc4535"/>
      <w:r>
        <w:rPr>
          <w:rFonts w:hint="eastAsia" w:ascii="宋体" w:hAnsi="宋体" w:eastAsia="宋体" w:cs="宋体"/>
          <w:sz w:val="24"/>
          <w:szCs w:val="24"/>
          <w:highlight w:val="none"/>
        </w:rPr>
        <w:t>1.1.5 交货地点：见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2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0" w:name="_Toc152045531"/>
      <w:bookmarkStart w:id="31" w:name="_Toc27387"/>
      <w:bookmarkStart w:id="32" w:name="_Toc144974499"/>
      <w:bookmarkStart w:id="33" w:name="_Toc152042307"/>
      <w:bookmarkStart w:id="34" w:name="_Toc179632548"/>
      <w:r>
        <w:rPr>
          <w:rFonts w:hint="eastAsia" w:ascii="宋体" w:hAnsi="宋体" w:eastAsia="宋体" w:cs="宋体"/>
          <w:sz w:val="24"/>
          <w:szCs w:val="24"/>
          <w:highlight w:val="none"/>
        </w:rPr>
        <w:t>1.2 资金来源和落实情况</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5" w:name="_Toc26715"/>
      <w:r>
        <w:rPr>
          <w:rFonts w:hint="eastAsia" w:ascii="宋体" w:hAnsi="宋体" w:eastAsia="宋体" w:cs="宋体"/>
          <w:sz w:val="24"/>
          <w:szCs w:val="24"/>
          <w:highlight w:val="none"/>
        </w:rPr>
        <w:t>1.2.1 资金来源：见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3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6" w:name="_Toc5223"/>
      <w:r>
        <w:rPr>
          <w:rFonts w:hint="eastAsia" w:ascii="宋体" w:hAnsi="宋体" w:eastAsia="宋体" w:cs="宋体"/>
          <w:sz w:val="24"/>
          <w:szCs w:val="24"/>
          <w:highlight w:val="none"/>
        </w:rPr>
        <w:t>1.2.2 资金落实情况：见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3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7" w:name="_Toc9392"/>
      <w:bookmarkStart w:id="38" w:name="_Toc144974500"/>
      <w:bookmarkStart w:id="39" w:name="_Toc179632549"/>
      <w:bookmarkStart w:id="40" w:name="_Toc152045532"/>
      <w:bookmarkStart w:id="41" w:name="_Toc152042308"/>
      <w:r>
        <w:rPr>
          <w:rFonts w:hint="eastAsia" w:ascii="宋体" w:hAnsi="宋体" w:eastAsia="宋体" w:cs="宋体"/>
          <w:sz w:val="24"/>
          <w:szCs w:val="24"/>
          <w:highlight w:val="none"/>
        </w:rPr>
        <w:t>1.3 采购范围、供货期、交货时间和质量要求</w:t>
      </w:r>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42" w:name="_Toc29629"/>
      <w:r>
        <w:rPr>
          <w:rFonts w:hint="eastAsia" w:ascii="宋体" w:hAnsi="宋体" w:eastAsia="宋体" w:cs="宋体"/>
          <w:sz w:val="24"/>
          <w:szCs w:val="24"/>
          <w:highlight w:val="none"/>
        </w:rPr>
        <w:t>1.3.1 采购范围：见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4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43" w:name="_Toc3919"/>
      <w:r>
        <w:rPr>
          <w:rFonts w:hint="eastAsia" w:ascii="宋体" w:hAnsi="宋体" w:eastAsia="宋体" w:cs="宋体"/>
          <w:sz w:val="24"/>
          <w:szCs w:val="24"/>
          <w:highlight w:val="none"/>
        </w:rPr>
        <w:t>1.3.2 计划工期：见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4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44" w:name="_Toc18714"/>
      <w:r>
        <w:rPr>
          <w:rFonts w:hint="eastAsia" w:ascii="宋体" w:hAnsi="宋体" w:eastAsia="宋体" w:cs="宋体"/>
          <w:sz w:val="24"/>
          <w:szCs w:val="24"/>
          <w:highlight w:val="none"/>
        </w:rPr>
        <w:t>1.3.3 质量要求：见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4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45" w:name="_Toc152045533"/>
      <w:bookmarkStart w:id="46" w:name="_Toc144974501"/>
      <w:bookmarkStart w:id="47" w:name="_Toc152042309"/>
      <w:bookmarkStart w:id="48" w:name="_Toc16930"/>
      <w:bookmarkStart w:id="49" w:name="_Toc179632550"/>
      <w:r>
        <w:rPr>
          <w:rFonts w:hint="eastAsia" w:ascii="宋体" w:hAnsi="宋体" w:eastAsia="宋体" w:cs="宋体"/>
          <w:sz w:val="24"/>
          <w:szCs w:val="24"/>
          <w:highlight w:val="none"/>
        </w:rPr>
        <w:t xml:space="preserve">1.4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资格要求</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0" w:name="_Toc16382"/>
      <w:r>
        <w:rPr>
          <w:rFonts w:hint="eastAsia" w:ascii="宋体" w:hAnsi="宋体" w:eastAsia="宋体" w:cs="宋体"/>
          <w:sz w:val="24"/>
          <w:szCs w:val="24"/>
          <w:highlight w:val="none"/>
        </w:rPr>
        <w:t>1.4.1</w:t>
      </w:r>
      <w:bookmarkEnd w:id="50"/>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资质条件</w:t>
      </w:r>
      <w:bookmarkStart w:id="51" w:name="_Toc14078"/>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5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2" w:name="_Toc15859"/>
      <w:r>
        <w:rPr>
          <w:rFonts w:hint="eastAsia" w:ascii="宋体" w:hAnsi="宋体" w:eastAsia="宋体" w:cs="宋体"/>
          <w:sz w:val="24"/>
          <w:szCs w:val="24"/>
          <w:highlight w:val="none"/>
        </w:rPr>
        <w:t xml:space="preserve">1.4.2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不得存在下列情形之一：</w:t>
      </w:r>
      <w:bookmarkEnd w:id="5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3" w:name="_Toc27686"/>
      <w:r>
        <w:rPr>
          <w:rFonts w:hint="eastAsia" w:ascii="宋体" w:hAnsi="宋体" w:eastAsia="宋体" w:cs="宋体"/>
          <w:sz w:val="24"/>
          <w:szCs w:val="24"/>
          <w:highlight w:val="none"/>
        </w:rPr>
        <w:t>（1）为采购人不具有独立法人资格的附属机构（单位）；</w:t>
      </w:r>
      <w:bookmarkEnd w:id="53"/>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4" w:name="_Toc17289"/>
      <w:r>
        <w:rPr>
          <w:rFonts w:hint="eastAsia" w:ascii="宋体" w:hAnsi="宋体" w:eastAsia="宋体" w:cs="宋体"/>
          <w:sz w:val="24"/>
          <w:szCs w:val="24"/>
          <w:highlight w:val="none"/>
        </w:rPr>
        <w:t>（2）为本招标项目前期准备为提供整体设计、规范编制或者项目管理、监理、检测等服务的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bookmarkEnd w:id="54"/>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5" w:name="_Toc21977"/>
      <w:r>
        <w:rPr>
          <w:rFonts w:hint="eastAsia" w:ascii="宋体" w:hAnsi="宋体" w:eastAsia="宋体" w:cs="宋体"/>
          <w:sz w:val="24"/>
          <w:szCs w:val="24"/>
          <w:highlight w:val="none"/>
        </w:rPr>
        <w:t>（3）为本招标项目提供采购代理服务的；</w:t>
      </w:r>
      <w:bookmarkEnd w:id="5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6" w:name="_Toc23085"/>
      <w:r>
        <w:rPr>
          <w:rFonts w:hint="eastAsia" w:ascii="宋体" w:hAnsi="宋体" w:eastAsia="宋体" w:cs="宋体"/>
          <w:sz w:val="24"/>
          <w:szCs w:val="24"/>
          <w:highlight w:val="none"/>
        </w:rPr>
        <w:t>（4）与本招标项目的采购代理机构同为一个法定代表人的；</w:t>
      </w:r>
      <w:bookmarkEnd w:id="56"/>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7" w:name="_Toc19800"/>
      <w:r>
        <w:rPr>
          <w:rFonts w:hint="eastAsia" w:ascii="宋体" w:hAnsi="宋体" w:eastAsia="宋体" w:cs="宋体"/>
          <w:sz w:val="24"/>
          <w:szCs w:val="24"/>
          <w:highlight w:val="none"/>
        </w:rPr>
        <w:t>（5）与本招标项目的采购代理机构相互控股或参股的；</w:t>
      </w:r>
      <w:bookmarkEnd w:id="57"/>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8" w:name="_Toc7576"/>
      <w:r>
        <w:rPr>
          <w:rFonts w:hint="eastAsia" w:ascii="宋体" w:hAnsi="宋体" w:eastAsia="宋体" w:cs="宋体"/>
          <w:sz w:val="24"/>
          <w:szCs w:val="24"/>
          <w:highlight w:val="none"/>
        </w:rPr>
        <w:t>（6）与本招标项目的采购代理机构相互任职或工作的；</w:t>
      </w:r>
      <w:bookmarkEnd w:id="5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59" w:name="_Toc28929"/>
      <w:r>
        <w:rPr>
          <w:rFonts w:hint="eastAsia" w:ascii="宋体" w:hAnsi="宋体" w:eastAsia="宋体" w:cs="宋体"/>
          <w:sz w:val="24"/>
          <w:szCs w:val="24"/>
          <w:highlight w:val="none"/>
        </w:rPr>
        <w:t>（7）投标单位负责人为同一人或者存在控股、管理关系的不同单位的；</w:t>
      </w:r>
      <w:bookmarkEnd w:id="5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60" w:name="_Toc9718"/>
      <w:r>
        <w:rPr>
          <w:rFonts w:hint="eastAsia" w:ascii="宋体" w:hAnsi="宋体" w:eastAsia="宋体" w:cs="宋体"/>
          <w:sz w:val="24"/>
          <w:szCs w:val="24"/>
          <w:highlight w:val="none"/>
        </w:rPr>
        <w:t>（8）被政府有关部门责令停业的；</w:t>
      </w:r>
      <w:bookmarkEnd w:id="6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61" w:name="_Toc18044"/>
      <w:r>
        <w:rPr>
          <w:rFonts w:hint="eastAsia" w:ascii="宋体" w:hAnsi="宋体" w:eastAsia="宋体" w:cs="宋体"/>
          <w:sz w:val="24"/>
          <w:szCs w:val="24"/>
          <w:highlight w:val="none"/>
        </w:rPr>
        <w:t>（9）被暂停或取消投标资格的；</w:t>
      </w:r>
      <w:bookmarkEnd w:id="6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62" w:name="_Toc32746"/>
      <w:r>
        <w:rPr>
          <w:rFonts w:hint="eastAsia" w:ascii="宋体" w:hAnsi="宋体" w:eastAsia="宋体" w:cs="宋体"/>
          <w:sz w:val="24"/>
          <w:szCs w:val="24"/>
          <w:highlight w:val="none"/>
        </w:rPr>
        <w:t>（10）财产被接管或冻结的；</w:t>
      </w:r>
      <w:bookmarkEnd w:id="62"/>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63" w:name="_Toc14089"/>
      <w:r>
        <w:rPr>
          <w:rFonts w:hint="eastAsia" w:ascii="宋体" w:hAnsi="宋体" w:eastAsia="宋体" w:cs="宋体"/>
          <w:sz w:val="24"/>
          <w:szCs w:val="24"/>
          <w:highlight w:val="none"/>
        </w:rPr>
        <w:t>（11）在最近三年内有骗取中标或严重违约或重大质量问题的；</w:t>
      </w:r>
      <w:bookmarkEnd w:id="6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64" w:name="_Toc2594"/>
      <w:r>
        <w:rPr>
          <w:rFonts w:hint="eastAsia" w:ascii="宋体" w:hAnsi="宋体" w:eastAsia="宋体" w:cs="宋体"/>
          <w:sz w:val="24"/>
          <w:szCs w:val="24"/>
          <w:highlight w:val="none"/>
        </w:rPr>
        <w:t>1.4.3 是否接受联合体投标：见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6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65" w:name="_Toc32616"/>
      <w:bookmarkStart w:id="66" w:name="_Toc179632552"/>
      <w:bookmarkStart w:id="67" w:name="_Toc144974503"/>
      <w:bookmarkStart w:id="68" w:name="_Toc152042311"/>
      <w:bookmarkStart w:id="69" w:name="_Toc152045535"/>
      <w:r>
        <w:rPr>
          <w:rFonts w:hint="eastAsia" w:ascii="宋体" w:hAnsi="宋体" w:eastAsia="宋体" w:cs="宋体"/>
          <w:sz w:val="24"/>
          <w:szCs w:val="24"/>
          <w:highlight w:val="none"/>
        </w:rPr>
        <w:t>1.4.4</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信用信息查询渠道及截止时点：见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 费用承担</w:t>
      </w:r>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70" w:name="_Toc3094"/>
      <w:r>
        <w:rPr>
          <w:rFonts w:hint="eastAsia" w:ascii="宋体" w:hAnsi="宋体" w:eastAsia="宋体" w:cs="宋体"/>
          <w:sz w:val="24"/>
          <w:szCs w:val="24"/>
          <w:highlight w:val="none"/>
        </w:rPr>
        <w:t>1.5.1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准备和参加投标活动发生的费用自理。</w:t>
      </w:r>
      <w:bookmarkEnd w:id="7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71" w:name="_Toc144974504"/>
      <w:bookmarkStart w:id="72" w:name="_Toc152045536"/>
      <w:bookmarkStart w:id="73" w:name="_Toc14333"/>
      <w:bookmarkStart w:id="74" w:name="_Toc179632553"/>
      <w:bookmarkStart w:id="75" w:name="_Toc152042312"/>
      <w:r>
        <w:rPr>
          <w:rFonts w:hint="eastAsia" w:ascii="宋体" w:hAnsi="宋体" w:eastAsia="宋体" w:cs="宋体"/>
          <w:sz w:val="24"/>
          <w:szCs w:val="24"/>
          <w:highlight w:val="none"/>
        </w:rPr>
        <w:t>1.6 保密</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76" w:name="_Toc14369"/>
      <w:r>
        <w:rPr>
          <w:rFonts w:hint="eastAsia" w:ascii="宋体" w:hAnsi="宋体" w:eastAsia="宋体" w:cs="宋体"/>
          <w:sz w:val="24"/>
          <w:szCs w:val="24"/>
          <w:highlight w:val="none"/>
        </w:rPr>
        <w:t>参与招标投标活动的各方应对招标文件和投标文件中的商业和技术等秘密保密，违者应对由此造成的后果承担法律责任。</w:t>
      </w:r>
      <w:bookmarkEnd w:id="76"/>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77" w:name="_Toc144974505"/>
      <w:bookmarkStart w:id="78" w:name="_Toc152045537"/>
      <w:bookmarkStart w:id="79" w:name="_Toc152042313"/>
      <w:bookmarkStart w:id="80" w:name="_Toc32542"/>
      <w:bookmarkStart w:id="81" w:name="_Toc179632554"/>
      <w:r>
        <w:rPr>
          <w:rFonts w:hint="eastAsia" w:ascii="宋体" w:hAnsi="宋体" w:eastAsia="宋体" w:cs="宋体"/>
          <w:sz w:val="24"/>
          <w:szCs w:val="24"/>
          <w:highlight w:val="none"/>
        </w:rPr>
        <w:t>1.7 语言</w:t>
      </w:r>
      <w:bookmarkEnd w:id="77"/>
      <w:r>
        <w:rPr>
          <w:rFonts w:hint="eastAsia" w:ascii="宋体" w:hAnsi="宋体" w:eastAsia="宋体" w:cs="宋体"/>
          <w:sz w:val="24"/>
          <w:szCs w:val="24"/>
          <w:highlight w:val="none"/>
        </w:rPr>
        <w:t>文字</w:t>
      </w:r>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82" w:name="_Toc6943"/>
      <w:r>
        <w:rPr>
          <w:rFonts w:hint="eastAsia" w:ascii="宋体" w:hAnsi="宋体" w:eastAsia="宋体" w:cs="宋体"/>
          <w:sz w:val="24"/>
          <w:szCs w:val="24"/>
          <w:highlight w:val="none"/>
        </w:rPr>
        <w:t>除专用术语外，与招标投标有关的语言均使用中文。必要时专用术语应附有中文注释。</w:t>
      </w:r>
      <w:bookmarkEnd w:id="8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83" w:name="_Toc144974506"/>
      <w:bookmarkStart w:id="84" w:name="_Toc179632555"/>
      <w:bookmarkStart w:id="85" w:name="_Toc24227"/>
      <w:bookmarkStart w:id="86" w:name="_Toc152045538"/>
      <w:bookmarkStart w:id="87" w:name="_Toc152042314"/>
      <w:r>
        <w:rPr>
          <w:rFonts w:hint="eastAsia" w:ascii="宋体" w:hAnsi="宋体" w:eastAsia="宋体" w:cs="宋体"/>
          <w:sz w:val="24"/>
          <w:szCs w:val="24"/>
          <w:highlight w:val="none"/>
        </w:rPr>
        <w:t>1.8 计量单位</w:t>
      </w:r>
      <w:bookmarkEnd w:id="83"/>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88" w:name="_Toc20014"/>
      <w:r>
        <w:rPr>
          <w:rFonts w:hint="eastAsia" w:ascii="宋体" w:hAnsi="宋体" w:eastAsia="宋体" w:cs="宋体"/>
          <w:sz w:val="24"/>
          <w:szCs w:val="24"/>
          <w:highlight w:val="none"/>
        </w:rPr>
        <w:t>所有计量均采用中华人民共和国法定计量单位。</w:t>
      </w:r>
      <w:bookmarkEnd w:id="8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89" w:name="_Toc179632556"/>
      <w:bookmarkStart w:id="90" w:name="_Toc3896"/>
      <w:bookmarkStart w:id="91" w:name="_Toc144974507"/>
      <w:bookmarkStart w:id="92" w:name="_Toc152042315"/>
      <w:bookmarkStart w:id="93" w:name="_Toc152045539"/>
      <w:r>
        <w:rPr>
          <w:rFonts w:hint="eastAsia" w:ascii="宋体" w:hAnsi="宋体" w:eastAsia="宋体" w:cs="宋体"/>
          <w:sz w:val="24"/>
          <w:szCs w:val="24"/>
          <w:highlight w:val="none"/>
        </w:rPr>
        <w:t>1.9 踏勘现场</w:t>
      </w:r>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94" w:name="_Toc9032"/>
      <w:bookmarkStart w:id="95" w:name="_Toc179632557"/>
      <w:bookmarkStart w:id="96" w:name="_Toc152042316"/>
      <w:bookmarkStart w:id="97" w:name="_Toc152045540"/>
      <w:bookmarkStart w:id="98" w:name="_Toc12330"/>
      <w:bookmarkStart w:id="99" w:name="_Toc144974508"/>
      <w:r>
        <w:rPr>
          <w:rFonts w:hint="eastAsia" w:ascii="宋体" w:hAnsi="宋体" w:eastAsia="宋体" w:cs="宋体"/>
          <w:sz w:val="24"/>
          <w:szCs w:val="24"/>
          <w:highlight w:val="none"/>
        </w:rPr>
        <w:t>1.9.1 踏勘现场：见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94"/>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00" w:name="_Toc3840"/>
      <w:r>
        <w:rPr>
          <w:rFonts w:hint="eastAsia" w:ascii="宋体" w:hAnsi="宋体" w:eastAsia="宋体" w:cs="宋体"/>
          <w:sz w:val="24"/>
          <w:szCs w:val="24"/>
          <w:highlight w:val="none"/>
        </w:rPr>
        <w:t xml:space="preserve">1.9.2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踏勘现场发生的费用自理</w:t>
      </w:r>
      <w:bookmarkEnd w:id="100"/>
      <w:bookmarkStart w:id="101" w:name="_Toc3018"/>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自行负责在踏勘现场中所发生的人员伤亡和财产损失。</w:t>
      </w:r>
      <w:bookmarkEnd w:id="10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02" w:name="_Toc28297"/>
      <w:r>
        <w:rPr>
          <w:rFonts w:hint="eastAsia" w:ascii="宋体" w:hAnsi="宋体" w:eastAsia="宋体" w:cs="宋体"/>
          <w:sz w:val="24"/>
          <w:szCs w:val="24"/>
          <w:highlight w:val="none"/>
        </w:rPr>
        <w:t xml:space="preserve">1.9.3 </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在踏勘现场中介绍的场地和相关的周边环境情况，供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在编制投标文件时参考，</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据此作出的判断和决策负责。</w:t>
      </w:r>
      <w:bookmarkEnd w:id="10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1.10 答疑</w:t>
      </w:r>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03" w:name="_Toc10857"/>
      <w:r>
        <w:rPr>
          <w:rFonts w:hint="eastAsia" w:ascii="宋体" w:hAnsi="宋体" w:eastAsia="宋体" w:cs="宋体"/>
          <w:sz w:val="24"/>
          <w:szCs w:val="24"/>
          <w:highlight w:val="none"/>
        </w:rPr>
        <w:t>答疑内容为招标文件的组成部分。</w:t>
      </w:r>
      <w:bookmarkEnd w:id="103"/>
      <w:bookmarkStart w:id="104" w:name="_Toc3614"/>
      <w:r>
        <w:rPr>
          <w:rFonts w:hint="eastAsia" w:ascii="宋体" w:hAnsi="宋体" w:eastAsia="宋体" w:cs="宋体"/>
          <w:sz w:val="24"/>
          <w:szCs w:val="24"/>
          <w:highlight w:val="none"/>
        </w:rPr>
        <w:t>具体要求见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10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05" w:name="_Toc144974509"/>
      <w:bookmarkStart w:id="106" w:name="_Toc152045541"/>
      <w:bookmarkStart w:id="107" w:name="_Toc152042317"/>
      <w:bookmarkStart w:id="108" w:name="_Toc179632558"/>
      <w:bookmarkStart w:id="109" w:name="_Toc5889"/>
      <w:r>
        <w:rPr>
          <w:rFonts w:hint="eastAsia" w:ascii="宋体" w:hAnsi="宋体" w:eastAsia="宋体" w:cs="宋体"/>
          <w:sz w:val="24"/>
          <w:szCs w:val="24"/>
          <w:highlight w:val="none"/>
        </w:rPr>
        <w:t>1.11 分包</w:t>
      </w:r>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lang w:eastAsia="zh-CN"/>
        </w:rPr>
      </w:pPr>
      <w:bookmarkStart w:id="110" w:name="_Toc8451"/>
      <w:bookmarkStart w:id="111" w:name="_Toc179632559"/>
      <w:r>
        <w:rPr>
          <w:rFonts w:hint="eastAsia" w:ascii="宋体" w:hAnsi="宋体" w:eastAsia="宋体" w:cs="宋体"/>
          <w:sz w:val="24"/>
          <w:szCs w:val="24"/>
          <w:highlight w:val="none"/>
        </w:rPr>
        <w:t>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须知前附表规定的特殊情形外，本项目不得再次分包给</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外的第三方。</w:t>
      </w:r>
      <w:bookmarkEnd w:id="11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1.12 招标内容的实质性响应要求：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bookmarkEnd w:id="111"/>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2.招标文件的组成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12" w:name="_Toc144974511"/>
      <w:bookmarkStart w:id="113" w:name="_Toc152045543"/>
      <w:bookmarkStart w:id="114" w:name="_Toc6865"/>
      <w:bookmarkStart w:id="115" w:name="_Toc179632561"/>
      <w:bookmarkStart w:id="116" w:name="_Toc152042319"/>
      <w:r>
        <w:rPr>
          <w:rFonts w:hint="eastAsia" w:ascii="宋体" w:hAnsi="宋体" w:eastAsia="宋体" w:cs="宋体"/>
          <w:sz w:val="24"/>
          <w:szCs w:val="24"/>
          <w:highlight w:val="none"/>
        </w:rPr>
        <w:t>2.1 招标文件的组成</w:t>
      </w:r>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17" w:name="_Toc8529"/>
      <w:r>
        <w:rPr>
          <w:rFonts w:hint="eastAsia" w:ascii="宋体" w:hAnsi="宋体" w:eastAsia="宋体" w:cs="宋体"/>
          <w:sz w:val="24"/>
          <w:szCs w:val="24"/>
          <w:highlight w:val="none"/>
        </w:rPr>
        <w:t>2.1.1本招标文件包括：</w:t>
      </w:r>
      <w:bookmarkEnd w:id="11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18" w:name="_Toc16680"/>
      <w:r>
        <w:rPr>
          <w:rFonts w:hint="eastAsia" w:ascii="宋体" w:hAnsi="宋体" w:eastAsia="宋体" w:cs="宋体"/>
          <w:sz w:val="24"/>
          <w:szCs w:val="24"/>
          <w:highlight w:val="none"/>
        </w:rPr>
        <w:t>（1）招标公告；</w:t>
      </w:r>
      <w:bookmarkEnd w:id="11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19" w:name="_Toc17485"/>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须知及前附表；</w:t>
      </w:r>
      <w:bookmarkEnd w:id="11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（3）评标办法</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lang w:eastAsia="zh-CN"/>
        </w:rPr>
      </w:pPr>
      <w:bookmarkStart w:id="120" w:name="_Toc23760"/>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工程量清单；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）图纸</w:t>
      </w:r>
      <w:bookmarkEnd w:id="120"/>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lang w:eastAsia="zh-CN"/>
        </w:rPr>
      </w:pPr>
      <w:bookmarkStart w:id="121" w:name="_Toc4000"/>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合同文本及条款；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）技术部分标准和要求</w:t>
      </w:r>
      <w:r>
        <w:rPr>
          <w:rFonts w:hint="eastAsia" w:ascii="宋体" w:hAnsi="宋体" w:eastAsia="宋体" w:cs="宋体"/>
          <w:sz w:val="24"/>
          <w:szCs w:val="24"/>
          <w:highlight w:val="none"/>
        </w:rPr>
        <w:t>；</w:t>
      </w:r>
      <w:bookmarkEnd w:id="12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22" w:name="_Toc7065"/>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）投标文件格式；</w:t>
      </w:r>
      <w:bookmarkEnd w:id="122"/>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23" w:name="_Toc10269"/>
      <w:r>
        <w:rPr>
          <w:rFonts w:hint="eastAsia" w:ascii="宋体" w:hAnsi="宋体" w:eastAsia="宋体" w:cs="宋体"/>
          <w:sz w:val="24"/>
          <w:szCs w:val="24"/>
          <w:highlight w:val="none"/>
        </w:rPr>
        <w:t>根据本章第1.10款、第2.2款和第2.3款对招标文件所作的澄清、修改，均构成招标文件的组成部分。</w:t>
      </w:r>
      <w:bookmarkEnd w:id="12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应及时购买并获取招标文件，否则引起的一切风险由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24" w:name="_Toc18080"/>
      <w:bookmarkStart w:id="125" w:name="_Toc152042320"/>
      <w:bookmarkStart w:id="126" w:name="_Toc144974512"/>
      <w:bookmarkStart w:id="127" w:name="_Toc152045544"/>
      <w:bookmarkStart w:id="128" w:name="_Toc179632562"/>
      <w:r>
        <w:rPr>
          <w:rFonts w:hint="eastAsia" w:ascii="宋体" w:hAnsi="宋体" w:eastAsia="宋体" w:cs="宋体"/>
          <w:sz w:val="24"/>
          <w:szCs w:val="24"/>
          <w:highlight w:val="none"/>
        </w:rPr>
        <w:t>2.2 招标文件的澄清</w:t>
      </w:r>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29" w:name="_Toc8736"/>
      <w:r>
        <w:rPr>
          <w:rFonts w:hint="eastAsia" w:ascii="宋体" w:hAnsi="宋体" w:eastAsia="宋体" w:cs="宋体"/>
          <w:sz w:val="24"/>
          <w:szCs w:val="24"/>
          <w:highlight w:val="none"/>
        </w:rPr>
        <w:t>2.2.1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应仔细阅读和检查招标文件的全部内容。如发现缺页或附件不全，应及时向采购人提出，以便补齐。如有疑问，按照前附表要求向采购人提出疑问，要求采购人对招标文件予以澄清。</w:t>
      </w:r>
      <w:bookmarkEnd w:id="12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30" w:name="_Toc1339"/>
      <w:r>
        <w:rPr>
          <w:rFonts w:hint="eastAsia" w:ascii="宋体" w:hAnsi="宋体" w:eastAsia="宋体" w:cs="宋体"/>
          <w:sz w:val="24"/>
          <w:szCs w:val="24"/>
          <w:highlight w:val="none"/>
        </w:rPr>
        <w:t>2.2.2 澄清或者修改的内容可能影响投标文件编制的，采购代理机构将在投标截止时间至少15日前，以书面形式通知所有获取招标文件的潜在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；不足15日的，采购代理机构将顺延提交投标文件的截止时间。</w:t>
      </w:r>
      <w:bookmarkEnd w:id="13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31" w:name="_Toc27398"/>
      <w:r>
        <w:rPr>
          <w:rFonts w:hint="eastAsia" w:ascii="宋体" w:hAnsi="宋体" w:eastAsia="宋体" w:cs="宋体"/>
          <w:sz w:val="24"/>
          <w:szCs w:val="24"/>
          <w:highlight w:val="none"/>
        </w:rPr>
        <w:t xml:space="preserve">2.2.3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应及时领取并获取澄清和修改后的招标文件，未按澄清和修改后的招标文件编制的投标文件有可能被评标委员会否决。</w:t>
      </w:r>
      <w:bookmarkEnd w:id="13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32" w:name="_Toc152042321"/>
      <w:bookmarkStart w:id="133" w:name="_Toc152045545"/>
      <w:bookmarkStart w:id="134" w:name="_Toc31866"/>
      <w:bookmarkStart w:id="135" w:name="_Toc179632563"/>
      <w:bookmarkStart w:id="136" w:name="_Toc144974513"/>
      <w:r>
        <w:rPr>
          <w:rFonts w:hint="eastAsia" w:ascii="宋体" w:hAnsi="宋体" w:eastAsia="宋体" w:cs="宋体"/>
          <w:sz w:val="24"/>
          <w:szCs w:val="24"/>
          <w:highlight w:val="none"/>
        </w:rPr>
        <w:t>2.3 招标文件的修改</w:t>
      </w:r>
      <w:bookmarkEnd w:id="132"/>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37" w:name="_Toc28432"/>
      <w:r>
        <w:rPr>
          <w:rFonts w:hint="eastAsia" w:ascii="宋体" w:hAnsi="宋体" w:eastAsia="宋体" w:cs="宋体"/>
          <w:sz w:val="24"/>
          <w:szCs w:val="24"/>
          <w:highlight w:val="none"/>
        </w:rPr>
        <w:t>2.3.1 在投标截止时间15日前，采购人可以修改招标文件，并向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发布。如果修改招标文件的时间距投标截止时间不足15日时，采购人将酌情延长投标截止时间。</w:t>
      </w:r>
      <w:bookmarkEnd w:id="137"/>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38" w:name="_Toc5166"/>
      <w:r>
        <w:rPr>
          <w:rFonts w:hint="eastAsia" w:ascii="宋体" w:hAnsi="宋体" w:eastAsia="宋体" w:cs="宋体"/>
          <w:sz w:val="24"/>
          <w:szCs w:val="24"/>
          <w:highlight w:val="none"/>
        </w:rPr>
        <w:t xml:space="preserve">2.3.2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应及时登录相应网站查看本项目的招标变更信息，否则引起的一切后果由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自负。</w:t>
      </w:r>
      <w:bookmarkEnd w:id="13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2.3.3 招标文件、招标文件澄清（答疑）纪要、招标文件修改（补充）文件等内容均以发布的为准。当招标文件、招标文件澄清（答疑）纪要、招标文件修改（补充）文件在同一内容的表述上不一致时，以时间在后的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39" w:name="_Toc6441"/>
      <w:r>
        <w:rPr>
          <w:rFonts w:hint="eastAsia" w:ascii="宋体" w:hAnsi="宋体" w:eastAsia="宋体" w:cs="宋体"/>
          <w:sz w:val="24"/>
          <w:szCs w:val="24"/>
          <w:highlight w:val="none"/>
        </w:rPr>
        <w:t>2.3.4招标文件的质疑答复</w:t>
      </w:r>
      <w:bookmarkEnd w:id="13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已经购买招标文件的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对招标文件有疑问或者认为招标文件使自己的权益受到损害的，应当在7个工作日内以书面形式向采购代理机构提出询问或者质疑。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对于在规定时间内收到的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依法提出的询问或者质疑，招标代理机构将在三个工作日内答复询问，七个工作日内答复质疑。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应在法定质疑期内一次性提出针对同一采购程序环节的质疑，提出质疑应当有明确的请求和必要的证明材料。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bookmarkStart w:id="140" w:name="_Toc363119280"/>
      <w:bookmarkStart w:id="141" w:name="_Toc510859688"/>
      <w:bookmarkStart w:id="142" w:name="_Toc511585902"/>
      <w:bookmarkStart w:id="143" w:name="_Toc510859894"/>
      <w:bookmarkStart w:id="144" w:name="_Toc9377"/>
      <w:bookmarkStart w:id="145" w:name="_Toc9036"/>
      <w:bookmarkStart w:id="146" w:name="_Toc4705"/>
      <w:bookmarkStart w:id="147" w:name="_Toc11364"/>
      <w:r>
        <w:rPr>
          <w:rFonts w:hint="eastAsia" w:ascii="宋体" w:hAnsi="宋体" w:eastAsia="宋体" w:cs="宋体"/>
          <w:b/>
          <w:bCs/>
          <w:sz w:val="24"/>
          <w:szCs w:val="24"/>
          <w:highlight w:val="none"/>
        </w:rPr>
        <w:t>3.投标文件</w:t>
      </w:r>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48" w:name="_Toc152045547"/>
      <w:bookmarkStart w:id="149" w:name="_Toc179632565"/>
      <w:bookmarkStart w:id="150" w:name="_Toc152042323"/>
      <w:bookmarkStart w:id="151" w:name="_Toc144974515"/>
      <w:bookmarkStart w:id="152" w:name="_Toc20122"/>
      <w:r>
        <w:rPr>
          <w:rFonts w:hint="eastAsia" w:ascii="宋体" w:hAnsi="宋体" w:eastAsia="宋体" w:cs="宋体"/>
          <w:sz w:val="24"/>
          <w:szCs w:val="24"/>
          <w:highlight w:val="none"/>
        </w:rPr>
        <w:t>3.1 投标文件的组成</w:t>
      </w:r>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53" w:name="_Toc19703"/>
      <w:r>
        <w:rPr>
          <w:rFonts w:hint="eastAsia" w:ascii="宋体" w:hAnsi="宋体" w:eastAsia="宋体" w:cs="宋体"/>
          <w:sz w:val="24"/>
          <w:szCs w:val="24"/>
          <w:highlight w:val="none"/>
        </w:rPr>
        <w:t>投标文件由投标函、开标一览表、资格审查资料和投标文件电子版文件（如有要求）组成。</w:t>
      </w:r>
      <w:bookmarkEnd w:id="15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54" w:name="_Toc30937"/>
      <w:r>
        <w:rPr>
          <w:rFonts w:hint="eastAsia" w:ascii="宋体" w:hAnsi="宋体" w:eastAsia="宋体" w:cs="宋体"/>
          <w:sz w:val="24"/>
          <w:szCs w:val="24"/>
          <w:highlight w:val="none"/>
        </w:rPr>
        <w:t>3.1.1按照招标文件要求提交的资格审查资料。</w:t>
      </w:r>
      <w:bookmarkEnd w:id="15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55" w:name="_Toc15988"/>
      <w:r>
        <w:rPr>
          <w:rFonts w:hint="eastAsia" w:ascii="宋体" w:hAnsi="宋体" w:eastAsia="宋体" w:cs="宋体"/>
          <w:sz w:val="24"/>
          <w:szCs w:val="24"/>
          <w:highlight w:val="none"/>
        </w:rPr>
        <w:t>3.1.2按照招标文件的要求编制的投标方案。</w:t>
      </w:r>
      <w:bookmarkEnd w:id="15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56" w:name="_Toc5965"/>
      <w:r>
        <w:rPr>
          <w:rFonts w:hint="eastAsia" w:ascii="宋体" w:hAnsi="宋体" w:eastAsia="宋体" w:cs="宋体"/>
          <w:sz w:val="24"/>
          <w:szCs w:val="24"/>
          <w:highlight w:val="none"/>
        </w:rPr>
        <w:t>3.1.3投标文件的制作和签章：见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156"/>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57" w:name="_Toc16247"/>
      <w:r>
        <w:rPr>
          <w:rFonts w:hint="eastAsia" w:ascii="宋体" w:hAnsi="宋体" w:eastAsia="宋体" w:cs="宋体"/>
          <w:sz w:val="24"/>
          <w:szCs w:val="24"/>
          <w:highlight w:val="none"/>
        </w:rPr>
        <w:t>3.1.4投标文件的加密和提交：见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pPr>
        <w:keepNext w:val="0"/>
        <w:keepLines w:val="0"/>
        <w:pageBreakBefore w:val="0"/>
        <w:widowControl w:val="0"/>
        <w:kinsoku/>
        <w:wordWrap/>
        <w:overflowPunct/>
        <w:topLinePunct w:val="0"/>
        <w:autoSpaceDE/>
        <w:autoSpaceDN/>
        <w:bidi w:val="0"/>
        <w:adjustRightInd/>
        <w:snapToGrid/>
        <w:spacing w:line="460" w:lineRule="exact"/>
        <w:ind w:left="479" w:leftChars="228"/>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3.1.5投标文件的补充、修改和撤回：</w:t>
      </w:r>
    </w:p>
    <w:p>
      <w:pPr>
        <w:keepNext w:val="0"/>
        <w:keepLines w:val="0"/>
        <w:pageBreakBefore w:val="0"/>
        <w:widowControl w:val="0"/>
        <w:kinsoku/>
        <w:wordWrap/>
        <w:overflowPunct/>
        <w:topLinePunct w:val="0"/>
        <w:autoSpaceDE/>
        <w:autoSpaceDN/>
        <w:bidi w:val="0"/>
        <w:adjustRightInd/>
        <w:snapToGrid/>
        <w:spacing w:line="460" w:lineRule="exact"/>
        <w:ind w:left="479" w:leftChars="228"/>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在提交投标文件截止时间前，可以对所提交的投标文件进行补</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充、修改或者撤回，并书面通知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、招标代理机构。补充、修改的内容作为投标文件的组成部分。补充、修改的内容与投标文件不一致的，以补充、修改的内容为准。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在提交投标文件截止时间后，撤回投标文件的，投标保证金不予退还。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3.1.6关于投标文件的雷同性分析：根据陕西省公共资源交易中心2021年7月22日印发的《关于在政府采购交易系统中开通标书雷同性分析功能的通知》，在符合性审查环节，将由评标委员会在评标系统中对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的电子投标文件进行雷同性分析。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的电子投标文件出自同一台制作设备，根据《陕西省财政厅关于政府采购有关政策的复函》（陕财办采函〔2019〕18号），该情形可以视为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串通投标，其投标无效。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若“文件创建标识码”一致，则表示不同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使用投标文件制作软件时，使用同一源工程文件，该情形建议由评标委员会结合项目情况综合判定。</w:t>
      </w:r>
    </w:p>
    <w:p>
      <w:pPr>
        <w:keepNext w:val="0"/>
        <w:keepLines w:val="0"/>
        <w:pageBreakBefore w:val="0"/>
        <w:widowControl w:val="0"/>
        <w:kinsoku/>
        <w:wordWrap/>
        <w:overflowPunct/>
        <w:topLinePunct w:val="0"/>
        <w:autoSpaceDE/>
        <w:autoSpaceDN/>
        <w:bidi w:val="0"/>
        <w:adjustRightInd/>
        <w:snapToGrid/>
        <w:spacing w:line="460" w:lineRule="exact"/>
        <w:ind w:left="479" w:leftChars="228"/>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3.1.7投标文件被拒绝接收的情形：</w:t>
      </w:r>
    </w:p>
    <w:p>
      <w:pPr>
        <w:keepNext w:val="0"/>
        <w:keepLines w:val="0"/>
        <w:pageBreakBefore w:val="0"/>
        <w:widowControl w:val="0"/>
        <w:kinsoku/>
        <w:wordWrap/>
        <w:overflowPunct/>
        <w:topLinePunct w:val="0"/>
        <w:autoSpaceDE/>
        <w:autoSpaceDN/>
        <w:bidi w:val="0"/>
        <w:adjustRightInd/>
        <w:snapToGrid/>
        <w:spacing w:line="460" w:lineRule="exact"/>
        <w:ind w:left="479" w:leftChars="228"/>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（1）误投的或采用旧版电子招标文件制作的；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（2）逾期提交电子投标文件的。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3.1.8投标文件电子版文件是投标文件的组成部分，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应无条件使用招标文件中的格式，不按统一规定填报电子投标文件，造成评标软件无法判别时，将按无效投标文件处理。</w:t>
      </w:r>
      <w:bookmarkEnd w:id="15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58" w:name="_Toc152045548"/>
      <w:bookmarkStart w:id="159" w:name="_Toc152042324"/>
      <w:bookmarkStart w:id="160" w:name="_Toc179632566"/>
      <w:bookmarkStart w:id="161" w:name="_Toc24516"/>
      <w:bookmarkStart w:id="162" w:name="_Toc144974516"/>
      <w:r>
        <w:rPr>
          <w:rFonts w:hint="eastAsia" w:ascii="宋体" w:hAnsi="宋体" w:eastAsia="宋体" w:cs="宋体"/>
          <w:sz w:val="24"/>
          <w:szCs w:val="24"/>
          <w:highlight w:val="none"/>
        </w:rPr>
        <w:t>3.2 投标报价</w:t>
      </w:r>
      <w:bookmarkEnd w:id="158"/>
      <w:bookmarkEnd w:id="159"/>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63" w:name="_Toc25009"/>
      <w:r>
        <w:rPr>
          <w:rFonts w:hint="eastAsia" w:ascii="宋体" w:hAnsi="宋体" w:eastAsia="宋体" w:cs="宋体"/>
          <w:sz w:val="24"/>
          <w:szCs w:val="24"/>
          <w:highlight w:val="none"/>
        </w:rPr>
        <w:t>3.2.1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应按照招标文件中的规定和要求报价，任何不符合报价要求的投标将按照废标处理。</w:t>
      </w:r>
      <w:bookmarkEnd w:id="16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64" w:name="_Toc27614"/>
      <w:r>
        <w:rPr>
          <w:rFonts w:hint="eastAsia" w:ascii="宋体" w:hAnsi="宋体" w:eastAsia="宋体" w:cs="宋体"/>
          <w:sz w:val="24"/>
          <w:szCs w:val="24"/>
          <w:highlight w:val="none"/>
        </w:rPr>
        <w:t>3.2.2投标报价表中标明的价格应为履行合同的固定价格，不得以任何理由予以变更。任何有选择的报价及以可调整价格的投标均按照废标处理。</w:t>
      </w:r>
      <w:bookmarkEnd w:id="16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65" w:name="_Toc13351"/>
      <w:r>
        <w:rPr>
          <w:rFonts w:hint="eastAsia" w:ascii="宋体" w:hAnsi="宋体" w:eastAsia="宋体" w:cs="宋体"/>
          <w:sz w:val="24"/>
          <w:szCs w:val="24"/>
          <w:highlight w:val="none"/>
        </w:rPr>
        <w:t>3.2.3投标报价其他要求：见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16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66" w:name="_Toc8914"/>
      <w:r>
        <w:rPr>
          <w:rFonts w:hint="eastAsia" w:ascii="宋体" w:hAnsi="宋体" w:eastAsia="宋体" w:cs="宋体"/>
          <w:sz w:val="24"/>
          <w:szCs w:val="24"/>
          <w:highlight w:val="none"/>
        </w:rPr>
        <w:t>3.2.4本次投标的最小单元见“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须知前附表”中的规定，</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可对任一最小单元进行投标，但不能对最小单元中的内容或者分项内容进行不完全投标。任何不完全的投标将按照无效投标处理。</w:t>
      </w:r>
      <w:bookmarkEnd w:id="16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67" w:name="_Toc152045549"/>
      <w:bookmarkStart w:id="168" w:name="_Toc152042325"/>
      <w:bookmarkStart w:id="169" w:name="_Toc144974517"/>
      <w:bookmarkStart w:id="170" w:name="_Toc179632567"/>
      <w:bookmarkStart w:id="171" w:name="_Toc19568"/>
      <w:r>
        <w:rPr>
          <w:rFonts w:hint="eastAsia" w:ascii="宋体" w:hAnsi="宋体" w:eastAsia="宋体" w:cs="宋体"/>
          <w:sz w:val="24"/>
          <w:szCs w:val="24"/>
          <w:highlight w:val="none"/>
        </w:rPr>
        <w:t>3.3 投标有效期</w:t>
      </w:r>
      <w:bookmarkEnd w:id="167"/>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72" w:name="_Toc18981"/>
      <w:r>
        <w:rPr>
          <w:rFonts w:hint="eastAsia" w:ascii="宋体" w:hAnsi="宋体" w:eastAsia="宋体" w:cs="宋体"/>
          <w:sz w:val="24"/>
          <w:szCs w:val="24"/>
          <w:highlight w:val="none"/>
        </w:rPr>
        <w:t>3.3.1 投标有效期：见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须知前附表。在规定的投标有效期内，</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不得要求撤销或修改其投标文件。</w:t>
      </w:r>
      <w:bookmarkEnd w:id="17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73" w:name="_Toc3847"/>
      <w:r>
        <w:rPr>
          <w:rFonts w:hint="eastAsia" w:ascii="宋体" w:hAnsi="宋体" w:eastAsia="宋体" w:cs="宋体"/>
          <w:sz w:val="24"/>
          <w:szCs w:val="24"/>
          <w:highlight w:val="none"/>
        </w:rPr>
        <w:t>3.3.2在特殊情况下，采购人在原定投标有效期内，可以根据需要以书面形式向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提出延长投标有效期的要求，对此要求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须以书面形式予以答复。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可以拒绝采购人这种要求，而不被没收投标保证金。同意延长投标有效期的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既不能要求也不允许修改其投标文件，但需要相应的延长投标保证金的有效期，在延长的投标有效期内本须知关于投标担保的退还与没收的规定仍然适用。</w:t>
      </w:r>
      <w:bookmarkEnd w:id="17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bCs/>
          <w:sz w:val="24"/>
          <w:szCs w:val="24"/>
          <w:highlight w:val="none"/>
          <w:lang w:eastAsia="zh-CN"/>
        </w:rPr>
      </w:pPr>
      <w:bookmarkStart w:id="174" w:name="_Toc15696"/>
      <w:bookmarkStart w:id="175" w:name="_Toc152042326"/>
      <w:bookmarkStart w:id="176" w:name="_Toc144974518"/>
      <w:bookmarkStart w:id="177" w:name="_Toc179632568"/>
      <w:bookmarkStart w:id="178" w:name="_Toc152045550"/>
      <w:r>
        <w:rPr>
          <w:rFonts w:hint="eastAsia" w:ascii="宋体" w:hAnsi="宋体" w:eastAsia="宋体" w:cs="宋体"/>
          <w:sz w:val="24"/>
          <w:szCs w:val="24"/>
          <w:highlight w:val="none"/>
        </w:rPr>
        <w:t>3.4 投标保证金</w:t>
      </w:r>
      <w:bookmarkEnd w:id="174"/>
      <w:bookmarkEnd w:id="175"/>
      <w:bookmarkEnd w:id="176"/>
      <w:bookmarkEnd w:id="177"/>
      <w:bookmarkEnd w:id="178"/>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本</w:t>
      </w:r>
      <w:r>
        <w:rPr>
          <w:rFonts w:hint="eastAsia" w:ascii="宋体" w:hAnsi="宋体" w:cs="宋体"/>
          <w:b/>
          <w:bCs/>
          <w:sz w:val="24"/>
          <w:szCs w:val="24"/>
          <w:highlight w:val="none"/>
          <w:lang w:eastAsia="zh-CN"/>
        </w:rPr>
        <w:t>项目不收取投标保证金，本</w:t>
      </w:r>
      <w:r>
        <w:rPr>
          <w:rFonts w:hint="eastAsia" w:ascii="宋体" w:hAnsi="宋体" w:eastAsia="宋体" w:cs="宋体"/>
          <w:b/>
          <w:bCs/>
          <w:sz w:val="24"/>
          <w:szCs w:val="24"/>
          <w:highlight w:val="none"/>
        </w:rPr>
        <w:t>文件中涉及到投标保证金要求均不适用</w:t>
      </w:r>
      <w:r>
        <w:rPr>
          <w:rFonts w:hint="eastAsia" w:ascii="宋体" w:hAnsi="宋体" w:eastAsia="宋体" w:cs="宋体"/>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79" w:name="_Toc22238"/>
      <w:r>
        <w:rPr>
          <w:rFonts w:hint="eastAsia" w:ascii="宋体" w:hAnsi="宋体" w:eastAsia="宋体" w:cs="宋体"/>
          <w:sz w:val="24"/>
          <w:szCs w:val="24"/>
          <w:highlight w:val="none"/>
        </w:rPr>
        <w:t xml:space="preserve">3.4.1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在递交投标文件的同时，应按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须知前附表要求的内容、交付形式交纳投标保证金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,并作为投标文件的组成部分。</w:t>
      </w:r>
      <w:bookmarkEnd w:id="179"/>
    </w:p>
    <w:p>
      <w:pPr>
        <w:keepNext w:val="0"/>
        <w:keepLines w:val="0"/>
        <w:pageBreakBefore w:val="0"/>
        <w:widowControl w:val="0"/>
        <w:tabs>
          <w:tab w:val="left" w:pos="429"/>
        </w:tabs>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 资格审查资料：见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pPr>
        <w:keepNext w:val="0"/>
        <w:keepLines w:val="0"/>
        <w:pageBreakBefore w:val="0"/>
        <w:widowControl w:val="0"/>
        <w:tabs>
          <w:tab w:val="left" w:pos="429"/>
        </w:tabs>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cs="宋体"/>
          <w:sz w:val="24"/>
          <w:szCs w:val="24"/>
          <w:highlight w:val="none"/>
          <w:lang w:val="en-US" w:eastAsia="zh-CN"/>
        </w:rPr>
      </w:pPr>
      <w:bookmarkStart w:id="180" w:name="_Toc152042329"/>
      <w:bookmarkStart w:id="181" w:name="_Toc144974521"/>
      <w:bookmarkStart w:id="182" w:name="_Toc152045553"/>
      <w:bookmarkStart w:id="183" w:name="_Toc15100"/>
      <w:bookmarkStart w:id="184" w:name="_Toc179632571"/>
      <w:r>
        <w:rPr>
          <w:rFonts w:hint="eastAsia" w:ascii="宋体" w:hAnsi="宋体" w:eastAsia="宋体" w:cs="宋体"/>
          <w:sz w:val="24"/>
          <w:szCs w:val="24"/>
          <w:highlight w:val="none"/>
        </w:rPr>
        <w:t>3.6 是否允许递交备选投标方案</w:t>
      </w:r>
      <w:bookmarkEnd w:id="180"/>
      <w:bookmarkEnd w:id="181"/>
      <w:bookmarkEnd w:id="182"/>
      <w:bookmarkEnd w:id="183"/>
      <w:bookmarkEnd w:id="184"/>
      <w:r>
        <w:rPr>
          <w:rFonts w:hint="eastAsia" w:ascii="宋体" w:hAnsi="宋体" w:cs="宋体"/>
          <w:sz w:val="24"/>
          <w:szCs w:val="24"/>
          <w:highlight w:val="none"/>
          <w:lang w:eastAsia="zh-CN"/>
        </w:rPr>
        <w:t>（本项目不允许）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85" w:name="_Toc16154"/>
      <w:r>
        <w:rPr>
          <w:rFonts w:hint="eastAsia" w:ascii="宋体" w:hAnsi="宋体" w:eastAsia="宋体" w:cs="宋体"/>
          <w:sz w:val="24"/>
          <w:szCs w:val="24"/>
          <w:highlight w:val="none"/>
        </w:rPr>
        <w:t>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须知前附表另有规定外，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不得递交备选投标方案。允许</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递交备选投标方案的，只有</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所递交的备选投标方案方可予以考虑。评标委员会认为</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的备选投标方案优于其按照招标文件要求编制的投标方案的，采购人可以接受该备选投标方案。</w:t>
      </w:r>
      <w:bookmarkEnd w:id="18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86" w:name="_Toc144974522"/>
      <w:bookmarkStart w:id="187" w:name="_Toc12719"/>
      <w:bookmarkStart w:id="188" w:name="_Toc152042330"/>
      <w:bookmarkStart w:id="189" w:name="_Toc179632572"/>
      <w:bookmarkStart w:id="190" w:name="_Toc152045554"/>
      <w:r>
        <w:rPr>
          <w:rFonts w:hint="eastAsia" w:ascii="宋体" w:hAnsi="宋体" w:eastAsia="宋体" w:cs="宋体"/>
          <w:sz w:val="24"/>
          <w:szCs w:val="24"/>
          <w:highlight w:val="none"/>
        </w:rPr>
        <w:t>3.7 投标文件的编制</w:t>
      </w:r>
      <w:bookmarkEnd w:id="186"/>
      <w:bookmarkEnd w:id="187"/>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3.7.1投标文件应按 “投标文件格式”进行编写，如有必要，可以增加附页，作为投标文件的组成部分。其中，投标函附录在满足招标文件实质性要求的基础上，可以提出比招标文件要求更有利于采购人的承诺。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91" w:name="_Toc18131"/>
      <w:r>
        <w:rPr>
          <w:rFonts w:hint="eastAsia" w:ascii="宋体" w:hAnsi="宋体" w:eastAsia="宋体" w:cs="宋体"/>
          <w:sz w:val="24"/>
          <w:szCs w:val="24"/>
          <w:highlight w:val="none"/>
        </w:rPr>
        <w:t>3.7.2 投标文件应当对招标文件有关</w:t>
      </w:r>
      <w:r>
        <w:rPr>
          <w:rFonts w:hint="eastAsia" w:ascii="宋体" w:hAnsi="宋体" w:eastAsia="宋体" w:cs="宋体"/>
          <w:sz w:val="24"/>
          <w:szCs w:val="24"/>
          <w:highlight w:val="none"/>
          <w:lang w:eastAsia="zh-CN"/>
        </w:rPr>
        <w:t>工期</w:t>
      </w:r>
      <w:r>
        <w:rPr>
          <w:rFonts w:hint="eastAsia" w:ascii="宋体" w:hAnsi="宋体" w:eastAsia="宋体" w:cs="宋体"/>
          <w:sz w:val="24"/>
          <w:szCs w:val="24"/>
          <w:highlight w:val="none"/>
        </w:rPr>
        <w:t>、投标有效期、质量要求、参数及商务要求、采购内容等实质性内容作出响应。</w:t>
      </w:r>
      <w:bookmarkEnd w:id="19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92" w:name="_Toc17325"/>
      <w:r>
        <w:rPr>
          <w:rFonts w:hint="eastAsia" w:ascii="宋体" w:hAnsi="宋体" w:eastAsia="宋体" w:cs="宋体"/>
          <w:sz w:val="24"/>
          <w:szCs w:val="24"/>
          <w:highlight w:val="none"/>
        </w:rPr>
        <w:t>3.7.3签字或盖章的具体要求见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须知前附表。文件封面及其它有要求的部位应加盖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印章并经法定代表人或其委托代理人签字或盖章。由委托代理人签字或盖章的投标文件中须同时提交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签署的授权代理委托书。</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的法定代表人或其授权的代理人签字确认。</w:t>
      </w:r>
      <w:bookmarkEnd w:id="192"/>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bCs/>
          <w:sz w:val="24"/>
          <w:szCs w:val="24"/>
          <w:highlight w:val="none"/>
          <w:lang w:eastAsia="zh-CN"/>
        </w:rPr>
      </w:pPr>
      <w:bookmarkStart w:id="193" w:name="_Toc20354"/>
      <w:r>
        <w:rPr>
          <w:rFonts w:hint="eastAsia" w:ascii="宋体" w:hAnsi="宋体" w:eastAsia="宋体" w:cs="宋体"/>
          <w:sz w:val="24"/>
          <w:szCs w:val="24"/>
          <w:highlight w:val="none"/>
        </w:rPr>
        <w:t>3.7.4 纸质投标文件份数、装订、包装、密封及标记要求：见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须知前附表。正本、副本上应清楚地标记“正本”或“副本”的字样。</w:t>
      </w:r>
      <w:bookmarkEnd w:id="193"/>
      <w:r>
        <w:rPr>
          <w:rFonts w:hint="eastAsia" w:ascii="宋体" w:hAnsi="宋体" w:cs="宋体"/>
          <w:b/>
          <w:bCs/>
          <w:sz w:val="24"/>
          <w:szCs w:val="24"/>
          <w:highlight w:val="none"/>
          <w:lang w:eastAsia="zh-CN"/>
        </w:rPr>
        <w:t>（本项目为电子化投标文件）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194" w:name="_Toc9948"/>
      <w:r>
        <w:rPr>
          <w:rFonts w:hint="eastAsia" w:ascii="宋体" w:hAnsi="宋体" w:eastAsia="宋体" w:cs="宋体"/>
          <w:sz w:val="24"/>
          <w:szCs w:val="24"/>
          <w:highlight w:val="none"/>
        </w:rPr>
        <w:t>（1）投标文件，字迹应清晰易于辨认。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对错误处必须修改外，全套投标文件应无涂改或行间插字和增删。如有修改，修改处应由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的法定代表人、委托代理人签字或盖章。</w:t>
      </w:r>
    </w:p>
    <w:bookmarkEnd w:id="194"/>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bookmarkStart w:id="195" w:name="_Toc510859689"/>
      <w:bookmarkStart w:id="196" w:name="_Toc152045555"/>
      <w:bookmarkStart w:id="197" w:name="_Toc363119281"/>
      <w:bookmarkStart w:id="198" w:name="_Toc152042331"/>
      <w:bookmarkStart w:id="199" w:name="_Toc5025"/>
      <w:bookmarkStart w:id="200" w:name="_Toc7204"/>
      <w:bookmarkStart w:id="201" w:name="_Toc510859895"/>
      <w:bookmarkStart w:id="202" w:name="_Toc9750"/>
      <w:bookmarkStart w:id="203" w:name="_Toc179632573"/>
      <w:bookmarkStart w:id="204" w:name="_Toc17210"/>
      <w:bookmarkStart w:id="205" w:name="_Toc144974523"/>
      <w:bookmarkStart w:id="206" w:name="_Toc511585903"/>
      <w:r>
        <w:rPr>
          <w:rFonts w:hint="eastAsia" w:ascii="宋体" w:hAnsi="宋体" w:eastAsia="宋体" w:cs="宋体"/>
          <w:b/>
          <w:bCs/>
          <w:sz w:val="24"/>
          <w:szCs w:val="24"/>
          <w:highlight w:val="none"/>
        </w:rPr>
        <w:t>4.投标</w:t>
      </w:r>
      <w:bookmarkEnd w:id="195"/>
      <w:bookmarkEnd w:id="196"/>
      <w:bookmarkEnd w:id="197"/>
      <w:bookmarkEnd w:id="198"/>
      <w:bookmarkEnd w:id="199"/>
      <w:bookmarkEnd w:id="200"/>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07" w:name="_Toc179632574"/>
      <w:bookmarkStart w:id="208" w:name="_Toc152045556"/>
      <w:bookmarkStart w:id="209" w:name="_Toc152042332"/>
      <w:bookmarkStart w:id="210" w:name="_Toc144974524"/>
      <w:bookmarkStart w:id="211" w:name="_Toc586"/>
      <w:r>
        <w:rPr>
          <w:rFonts w:hint="eastAsia" w:ascii="宋体" w:hAnsi="宋体" w:eastAsia="宋体" w:cs="宋体"/>
          <w:sz w:val="24"/>
          <w:szCs w:val="24"/>
          <w:highlight w:val="none"/>
        </w:rPr>
        <w:t>4.1 投标文件的密封和标记</w:t>
      </w:r>
      <w:bookmarkEnd w:id="207"/>
      <w:bookmarkEnd w:id="208"/>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bookmarkStart w:id="212" w:name="_Toc31766"/>
      <w:r>
        <w:rPr>
          <w:rFonts w:hint="eastAsia" w:ascii="宋体" w:hAnsi="宋体" w:eastAsia="宋体" w:cs="宋体"/>
          <w:b/>
          <w:bCs/>
          <w:sz w:val="24"/>
          <w:szCs w:val="24"/>
          <w:highlight w:val="none"/>
        </w:rPr>
        <w:t>本项目采用不见面开标模式，采用电子化投标文件，投标人不需要提供纸质投标文件，只需上传电子版投标文件，不再进行纸质版密封和标记。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4.2</w:t>
      </w:r>
      <w:bookmarkEnd w:id="212"/>
      <w:bookmarkStart w:id="213" w:name="_Toc152045557"/>
      <w:bookmarkStart w:id="214" w:name="_Toc179632575"/>
      <w:bookmarkStart w:id="215" w:name="_Toc152042333"/>
      <w:bookmarkStart w:id="216" w:name="_Toc21228"/>
      <w:bookmarkStart w:id="217" w:name="_Toc144974525"/>
      <w:r>
        <w:rPr>
          <w:rFonts w:hint="eastAsia" w:ascii="宋体" w:hAnsi="宋体" w:eastAsia="宋体" w:cs="宋体"/>
          <w:sz w:val="24"/>
          <w:szCs w:val="24"/>
          <w:highlight w:val="none"/>
        </w:rPr>
        <w:t>投标文件的递交</w:t>
      </w:r>
      <w:bookmarkEnd w:id="213"/>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18" w:name="_Toc15951"/>
      <w:r>
        <w:rPr>
          <w:rFonts w:hint="eastAsia" w:ascii="宋体" w:hAnsi="宋体" w:eastAsia="宋体" w:cs="宋体"/>
          <w:sz w:val="24"/>
          <w:szCs w:val="24"/>
          <w:highlight w:val="none"/>
        </w:rPr>
        <w:t xml:space="preserve">4.2.1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递交投标文件截止时间：见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21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19" w:name="_Toc13743"/>
      <w:r>
        <w:rPr>
          <w:rFonts w:hint="eastAsia" w:ascii="宋体" w:hAnsi="宋体" w:eastAsia="宋体" w:cs="宋体"/>
          <w:sz w:val="24"/>
          <w:szCs w:val="24"/>
          <w:highlight w:val="none"/>
        </w:rPr>
        <w:t xml:space="preserve">4.2.2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递交投标文件的地点：见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21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20" w:name="_Toc29162"/>
      <w:r>
        <w:rPr>
          <w:rFonts w:hint="eastAsia" w:ascii="宋体" w:hAnsi="宋体" w:eastAsia="宋体" w:cs="宋体"/>
          <w:sz w:val="24"/>
          <w:szCs w:val="24"/>
          <w:highlight w:val="none"/>
        </w:rPr>
        <w:t>4.2.3 是否退还投标文件：除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须知前附表另有规定外，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所递交的投标文件不予退还。</w:t>
      </w:r>
      <w:bookmarkEnd w:id="22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21" w:name="_Toc10583"/>
      <w:r>
        <w:rPr>
          <w:rFonts w:hint="eastAsia" w:ascii="宋体" w:hAnsi="宋体" w:eastAsia="宋体" w:cs="宋体"/>
          <w:sz w:val="24"/>
          <w:szCs w:val="24"/>
          <w:highlight w:val="none"/>
        </w:rPr>
        <w:t>4.2.4</w:t>
      </w:r>
      <w:bookmarkEnd w:id="221"/>
      <w:bookmarkStart w:id="222" w:name="_Toc1316"/>
      <w:r>
        <w:rPr>
          <w:rFonts w:hint="eastAsia" w:ascii="宋体" w:hAnsi="宋体" w:eastAsia="宋体" w:cs="宋体"/>
          <w:sz w:val="24"/>
          <w:szCs w:val="24"/>
          <w:highlight w:val="none"/>
        </w:rPr>
        <w:t>逾期送达的或者未送达指定地点的投标文件，采购人不予受理。</w:t>
      </w:r>
      <w:bookmarkEnd w:id="22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23" w:name="_Toc179632576"/>
      <w:bookmarkStart w:id="224" w:name="_Toc22578"/>
      <w:bookmarkStart w:id="225" w:name="_Toc144974526"/>
      <w:bookmarkStart w:id="226" w:name="_Toc152042334"/>
      <w:bookmarkStart w:id="227" w:name="_Toc152045558"/>
      <w:r>
        <w:rPr>
          <w:rFonts w:hint="eastAsia" w:ascii="宋体" w:hAnsi="宋体" w:eastAsia="宋体" w:cs="宋体"/>
          <w:sz w:val="24"/>
          <w:szCs w:val="24"/>
          <w:highlight w:val="none"/>
        </w:rPr>
        <w:t>4.3投标文件的修改与撤回</w:t>
      </w:r>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28" w:name="_Toc9623"/>
      <w:r>
        <w:rPr>
          <w:rFonts w:hint="eastAsia" w:ascii="宋体" w:hAnsi="宋体" w:eastAsia="宋体" w:cs="宋体"/>
          <w:sz w:val="24"/>
          <w:szCs w:val="24"/>
          <w:highlight w:val="none"/>
        </w:rPr>
        <w:t>4.3.1 在本章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须知前附表第2.2.2项规定的投标截止时间前，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可以修改或撤回已递交的投标文件，最终投标文件以投标截止时间前完成递交的投标文件为准。</w:t>
      </w:r>
      <w:bookmarkEnd w:id="22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29" w:name="_Toc15339"/>
      <w:r>
        <w:rPr>
          <w:rFonts w:hint="eastAsia" w:ascii="宋体" w:hAnsi="宋体" w:eastAsia="宋体" w:cs="宋体"/>
          <w:sz w:val="24"/>
          <w:szCs w:val="24"/>
          <w:highlight w:val="none"/>
        </w:rPr>
        <w:t xml:space="preserve">4.3.2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修改或撤回已递交投标文件的书面通知应由法定代表人或其授权代理人签字并加盖公章。</w:t>
      </w:r>
      <w:bookmarkEnd w:id="22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30" w:name="_Toc18132"/>
      <w:r>
        <w:rPr>
          <w:rFonts w:hint="eastAsia" w:ascii="宋体" w:hAnsi="宋体" w:eastAsia="宋体" w:cs="宋体"/>
          <w:sz w:val="24"/>
          <w:szCs w:val="24"/>
          <w:highlight w:val="none"/>
        </w:rPr>
        <w:t>4.3.3 修改的内容为投标文件的组成部分。</w:t>
      </w:r>
      <w:bookmarkEnd w:id="23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31" w:name="_Toc8217"/>
      <w:r>
        <w:rPr>
          <w:rFonts w:hint="eastAsia" w:ascii="宋体" w:hAnsi="宋体" w:eastAsia="宋体" w:cs="宋体"/>
          <w:sz w:val="24"/>
          <w:szCs w:val="24"/>
          <w:highlight w:val="none"/>
        </w:rPr>
        <w:t>4.3.4在投标截止时间之后，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不得补充、修改投标文件。</w:t>
      </w:r>
      <w:bookmarkEnd w:id="23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32" w:name="_Toc15161"/>
      <w:r>
        <w:rPr>
          <w:rFonts w:hint="eastAsia" w:ascii="宋体" w:hAnsi="宋体" w:eastAsia="宋体" w:cs="宋体"/>
          <w:sz w:val="24"/>
          <w:szCs w:val="24"/>
          <w:highlight w:val="none"/>
        </w:rPr>
        <w:t>4.3.5在投标截止时间至投标有效期满之前，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不得撤销其投标文件，否则其投标保证金将被没收。</w:t>
      </w:r>
      <w:bookmarkEnd w:id="232"/>
      <w:bookmarkStart w:id="233" w:name="_Toc510859896"/>
      <w:bookmarkStart w:id="234" w:name="_Toc144974527"/>
      <w:bookmarkStart w:id="235" w:name="_Toc179632577"/>
      <w:bookmarkStart w:id="236" w:name="_Toc29322"/>
      <w:bookmarkStart w:id="237" w:name="_Toc28351"/>
      <w:bookmarkStart w:id="238" w:name="_Toc152045559"/>
      <w:bookmarkStart w:id="239" w:name="_Toc510859690"/>
      <w:bookmarkStart w:id="240" w:name="_Toc511585904"/>
      <w:bookmarkStart w:id="241" w:name="_Toc152042335"/>
      <w:bookmarkStart w:id="242" w:name="_Toc11122"/>
      <w:bookmarkStart w:id="243" w:name="_Toc29037"/>
      <w:bookmarkStart w:id="244" w:name="_Toc363119282"/>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5.开标</w:t>
      </w:r>
      <w:bookmarkEnd w:id="233"/>
      <w:bookmarkEnd w:id="234"/>
      <w:bookmarkEnd w:id="235"/>
      <w:bookmarkEnd w:id="236"/>
      <w:bookmarkEnd w:id="237"/>
      <w:bookmarkEnd w:id="238"/>
      <w:bookmarkEnd w:id="239"/>
      <w:bookmarkEnd w:id="240"/>
      <w:bookmarkEnd w:id="241"/>
      <w:bookmarkEnd w:id="242"/>
      <w:bookmarkEnd w:id="243"/>
      <w:bookmarkEnd w:id="244"/>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bookmarkStart w:id="245" w:name="_Toc144974528"/>
      <w:bookmarkStart w:id="246" w:name="_Toc179632578"/>
      <w:bookmarkStart w:id="247" w:name="_Toc152045560"/>
      <w:bookmarkStart w:id="248" w:name="_Toc152042336"/>
      <w:bookmarkStart w:id="249" w:name="_Toc2321"/>
      <w:r>
        <w:rPr>
          <w:rFonts w:hint="eastAsia" w:ascii="宋体" w:hAnsi="宋体" w:eastAsia="宋体" w:cs="宋体"/>
          <w:b/>
          <w:bCs/>
          <w:sz w:val="24"/>
          <w:szCs w:val="24"/>
          <w:highlight w:val="none"/>
        </w:rPr>
        <w:t>5.1 开标时间和地点</w:t>
      </w:r>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50" w:name="_Toc9885"/>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在规定的投标截止时间（开标时间）和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须知前附表规定的地点公开开标，并邀请所有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的法定代表人或其委托代理人准时参加。</w:t>
      </w:r>
      <w:bookmarkEnd w:id="250"/>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bookmarkStart w:id="251" w:name="_Toc152045561"/>
      <w:bookmarkStart w:id="252" w:name="_Toc179632579"/>
      <w:bookmarkStart w:id="253" w:name="_Toc152042337"/>
      <w:bookmarkStart w:id="254" w:name="_Toc10213"/>
      <w:bookmarkStart w:id="255" w:name="_Toc144974529"/>
      <w:r>
        <w:rPr>
          <w:rFonts w:hint="eastAsia" w:ascii="宋体" w:hAnsi="宋体" w:eastAsia="宋体" w:cs="宋体"/>
          <w:b/>
          <w:bCs/>
          <w:sz w:val="24"/>
          <w:szCs w:val="24"/>
          <w:highlight w:val="none"/>
        </w:rPr>
        <w:t>5.2 开标程序</w:t>
      </w:r>
      <w:bookmarkEnd w:id="251"/>
      <w:bookmarkEnd w:id="252"/>
      <w:bookmarkEnd w:id="253"/>
      <w:bookmarkEnd w:id="254"/>
      <w:bookmarkEnd w:id="255"/>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56" w:name="_Toc179632580"/>
      <w:bookmarkStart w:id="257" w:name="_Toc10068"/>
      <w:bookmarkStart w:id="258" w:name="_Toc152042338"/>
      <w:bookmarkStart w:id="259" w:name="_Toc20274"/>
      <w:bookmarkStart w:id="260" w:name="_Toc17998"/>
      <w:bookmarkStart w:id="261" w:name="_Toc510859691"/>
      <w:bookmarkStart w:id="262" w:name="_Toc144974530"/>
      <w:bookmarkStart w:id="263" w:name="_Toc152045562"/>
      <w:bookmarkStart w:id="264" w:name="_Toc363119283"/>
      <w:bookmarkStart w:id="265" w:name="_Toc15910"/>
      <w:bookmarkStart w:id="266" w:name="_Toc511585905"/>
      <w:bookmarkStart w:id="267" w:name="_Toc510859897"/>
      <w:r>
        <w:rPr>
          <w:rFonts w:hint="eastAsia" w:ascii="宋体" w:hAnsi="宋体" w:eastAsia="宋体" w:cs="宋体"/>
          <w:sz w:val="24"/>
          <w:szCs w:val="24"/>
          <w:highlight w:val="none"/>
        </w:rPr>
        <w:t>开标工作由招标代理机构组织实施，整个过程受同级政府采购监管机构的监督、管理。“不见面开标”是依托政府采购云平台实现的投标人在线参与开标的一种组织形式。投标人无需抵达开标现场，即可在线实现开标、解密、澄清等操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投标人登录：开标前，请各投标人商至少提前半小时登录</w:t>
      </w:r>
      <w:r>
        <w:rPr>
          <w:rFonts w:hint="eastAsia" w:ascii="宋体" w:hAnsi="宋体" w:eastAsia="宋体" w:cs="宋体"/>
          <w:sz w:val="24"/>
          <w:szCs w:val="24"/>
          <w:highlight w:val="none"/>
          <w:lang w:eastAsia="zh-CN"/>
        </w:rPr>
        <w:t>陕西省</w:t>
      </w:r>
      <w:r>
        <w:rPr>
          <w:rFonts w:hint="eastAsia" w:ascii="宋体" w:hAnsi="宋体" w:eastAsia="宋体" w:cs="宋体"/>
          <w:sz w:val="24"/>
          <w:szCs w:val="24"/>
          <w:highlight w:val="none"/>
        </w:rPr>
        <w:t>公共资源交易平台〖首页·〉不见面开标〗系统。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主持人宣布开标：提交投标文件截止时间过后，系统将不再接收任何投标文件。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解密投标文件：投标人在收到主持人“开始解密”指令后，应使用“加密该投标文件的 CA 锁（必须是同一把锁）”在线完成投标文件解密。除因【西安市公共资源交易中心】断电、断网、系统故障及其他不可抗力等因素，导致“不见面开标”系统无法正常运行外，投标人应在规定的解密时间内完成解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唱标：对于公开招标项目，“不见面开标”系统将自动展示投标人名单及其投标报价。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开标结束：进入评审环节。投标人请保持在线，评审期间评标委员会可能会要求投标人做相应的澄清。因投标人擅自离席造成的不利后果，由投标人自行承担。 “不见面开标”系统操作说明：详见</w:t>
      </w:r>
      <w:r>
        <w:rPr>
          <w:rFonts w:hint="eastAsia" w:ascii="宋体" w:hAnsi="宋体" w:eastAsia="宋体" w:cs="宋体"/>
          <w:sz w:val="24"/>
          <w:szCs w:val="24"/>
          <w:highlight w:val="none"/>
          <w:lang w:eastAsia="zh-CN"/>
        </w:rPr>
        <w:t>陕西省</w:t>
      </w:r>
      <w:r>
        <w:rPr>
          <w:rFonts w:hint="eastAsia" w:ascii="宋体" w:hAnsi="宋体" w:eastAsia="宋体" w:cs="宋体"/>
          <w:sz w:val="24"/>
          <w:szCs w:val="24"/>
          <w:highlight w:val="none"/>
        </w:rPr>
        <w:t>公共资源交易平台〖首页·〉服 务指南·〉下载专区〗中的不见面开标大厅投标人操作手册</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6.评标</w:t>
      </w:r>
      <w:bookmarkEnd w:id="256"/>
      <w:bookmarkEnd w:id="257"/>
      <w:bookmarkEnd w:id="258"/>
      <w:bookmarkEnd w:id="259"/>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68" w:name="_Toc14991"/>
      <w:bookmarkStart w:id="269" w:name="_Toc179632581"/>
      <w:bookmarkStart w:id="270" w:name="_Toc144974531"/>
      <w:bookmarkStart w:id="271" w:name="_Toc152045563"/>
      <w:bookmarkStart w:id="272" w:name="_Toc152042339"/>
      <w:r>
        <w:rPr>
          <w:rFonts w:hint="eastAsia" w:ascii="宋体" w:hAnsi="宋体" w:eastAsia="宋体" w:cs="宋体"/>
          <w:sz w:val="24"/>
          <w:szCs w:val="24"/>
          <w:highlight w:val="none"/>
        </w:rPr>
        <w:t>6.1 评标委员会</w:t>
      </w:r>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73" w:name="_Toc29293"/>
      <w:r>
        <w:rPr>
          <w:rFonts w:hint="eastAsia" w:ascii="宋体" w:hAnsi="宋体" w:eastAsia="宋体" w:cs="宋体"/>
          <w:sz w:val="24"/>
          <w:szCs w:val="24"/>
          <w:highlight w:val="none"/>
        </w:rPr>
        <w:t>6.1.1 评标由采购人依法组建的评标委员会负责。评标委员会由采购人或其委托的采购代理机构熟悉相关业务的代表，以及有关技术、经济等方面的专家组成。评标委员会成员人数以及技术、经济等方面专家的确定方式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27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74" w:name="_Toc18720"/>
      <w:r>
        <w:rPr>
          <w:rFonts w:hint="eastAsia" w:ascii="宋体" w:hAnsi="宋体" w:eastAsia="宋体" w:cs="宋体"/>
          <w:sz w:val="24"/>
          <w:szCs w:val="24"/>
          <w:highlight w:val="none"/>
        </w:rPr>
        <w:t>6.1.2 评标委员会成员有下列情形之一的，应当回避：</w:t>
      </w:r>
      <w:bookmarkEnd w:id="27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75" w:name="_Toc144974532"/>
      <w:bookmarkStart w:id="276" w:name="_Toc13026"/>
      <w:bookmarkStart w:id="277" w:name="_Toc152045564"/>
      <w:bookmarkStart w:id="278" w:name="_Toc152042340"/>
      <w:bookmarkStart w:id="279" w:name="_Toc179632582"/>
      <w:r>
        <w:rPr>
          <w:rFonts w:hint="eastAsia" w:ascii="宋体" w:hAnsi="宋体" w:eastAsia="宋体" w:cs="宋体"/>
          <w:sz w:val="24"/>
          <w:szCs w:val="24"/>
          <w:highlight w:val="none"/>
        </w:rPr>
        <w:t>（1） 参加采购活动前三年内,与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存在劳动关系,或者担任过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的董事、监事,或者是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的控股股东或实际控制人；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 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 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评标专家发现本人与参加采购活动的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有利害关系的,应当主动提出回避。采购人或者采购代理机构发现评审专家与参加采购活动的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有利害关系的，应当要求其回避。各级财政部门政府采购监督管理工作人员，不得作为评审专家参与政府采购项目的评审活动。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6.2 评标原则</w:t>
      </w:r>
      <w:bookmarkEnd w:id="275"/>
      <w:bookmarkEnd w:id="276"/>
      <w:bookmarkEnd w:id="277"/>
      <w:bookmarkEnd w:id="278"/>
      <w:bookmarkEnd w:id="279"/>
      <w:r>
        <w:rPr>
          <w:rFonts w:hint="eastAsia" w:ascii="宋体" w:hAnsi="宋体" w:eastAsia="宋体" w:cs="宋体"/>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80" w:name="_Toc17094"/>
      <w:r>
        <w:rPr>
          <w:rFonts w:hint="eastAsia" w:ascii="宋体" w:hAnsi="宋体" w:eastAsia="宋体" w:cs="宋体"/>
          <w:sz w:val="24"/>
          <w:szCs w:val="24"/>
          <w:highlight w:val="none"/>
        </w:rPr>
        <w:t>评标活动遵循公平、公正、科学和择优的原则。</w:t>
      </w:r>
      <w:bookmarkEnd w:id="28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81" w:name="_Toc152042341"/>
      <w:bookmarkStart w:id="282" w:name="_Toc23670"/>
      <w:bookmarkStart w:id="283" w:name="_Toc152045565"/>
      <w:bookmarkStart w:id="284" w:name="_Toc144974533"/>
      <w:bookmarkStart w:id="285" w:name="_Toc179632583"/>
      <w:r>
        <w:rPr>
          <w:rFonts w:hint="eastAsia" w:ascii="宋体" w:hAnsi="宋体" w:eastAsia="宋体" w:cs="宋体"/>
          <w:sz w:val="24"/>
          <w:szCs w:val="24"/>
          <w:highlight w:val="none"/>
        </w:rPr>
        <w:t>6.3 评标</w:t>
      </w:r>
      <w:bookmarkEnd w:id="281"/>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86" w:name="_Toc15743"/>
      <w:r>
        <w:rPr>
          <w:rFonts w:hint="eastAsia" w:ascii="宋体" w:hAnsi="宋体" w:eastAsia="宋体" w:cs="宋体"/>
          <w:sz w:val="24"/>
          <w:szCs w:val="24"/>
          <w:highlight w:val="none"/>
        </w:rPr>
        <w:t>6.3.1评标委员会按照“评标办法”规定的方法、评审因素、标准和程序对投标文件进行评审。“评标办法”没有规定的方法、评审因素和标准，不作为评标依据。</w:t>
      </w:r>
      <w:bookmarkEnd w:id="28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87" w:name="_Toc12679"/>
      <w:r>
        <w:rPr>
          <w:rFonts w:hint="eastAsia" w:ascii="宋体" w:hAnsi="宋体" w:eastAsia="宋体" w:cs="宋体"/>
          <w:sz w:val="24"/>
          <w:szCs w:val="24"/>
          <w:highlight w:val="none"/>
        </w:rPr>
        <w:t>6.3.2评标过程的保密</w:t>
      </w:r>
      <w:bookmarkEnd w:id="28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88" w:name="_Toc27575"/>
      <w:r>
        <w:rPr>
          <w:rFonts w:hint="eastAsia" w:ascii="宋体" w:hAnsi="宋体" w:eastAsia="宋体" w:cs="宋体"/>
          <w:sz w:val="24"/>
          <w:szCs w:val="24"/>
          <w:highlight w:val="none"/>
        </w:rPr>
        <w:t>（1） 开标后，直至授予</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合同为止，凡属于对投标文件的审查、补遗、评价和比较的有关资料以及中标候选人的推荐情况等均严格保密。</w:t>
      </w:r>
      <w:bookmarkEnd w:id="28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89" w:name="_Toc10051"/>
      <w:r>
        <w:rPr>
          <w:rFonts w:hint="eastAsia" w:ascii="宋体" w:hAnsi="宋体" w:eastAsia="宋体" w:cs="宋体"/>
          <w:sz w:val="24"/>
          <w:szCs w:val="24"/>
          <w:highlight w:val="none"/>
        </w:rPr>
        <w:t>（2） 在投标文件的评审、中标候选人推荐以及授予合同的过程中，</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向采购人和评标委员会施加影响的任何行为，都将会导致其投标被拒绝直至取消其中标资格。</w:t>
      </w:r>
      <w:bookmarkEnd w:id="28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90" w:name="_Toc28535"/>
      <w:r>
        <w:rPr>
          <w:rFonts w:hint="eastAsia" w:ascii="宋体" w:hAnsi="宋体" w:eastAsia="宋体" w:cs="宋体"/>
          <w:sz w:val="24"/>
          <w:szCs w:val="24"/>
          <w:highlight w:val="none"/>
        </w:rPr>
        <w:t xml:space="preserve">（3） </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确定后，采购人不对未</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就评标过程以及未能中标原因作出任何解释。未</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不得向评标委员会组成人员或其他有关人员索问评标过程的情况和材料。</w:t>
      </w:r>
      <w:bookmarkEnd w:id="290"/>
      <w:bookmarkStart w:id="291" w:name="_Toc152045566"/>
      <w:bookmarkStart w:id="292" w:name="_Toc179632584"/>
      <w:bookmarkStart w:id="293" w:name="_Toc144974534"/>
      <w:bookmarkStart w:id="294" w:name="_Toc15204234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95" w:name="_Toc15037"/>
      <w:r>
        <w:rPr>
          <w:rFonts w:hint="eastAsia" w:ascii="宋体" w:hAnsi="宋体" w:eastAsia="宋体" w:cs="宋体"/>
          <w:sz w:val="24"/>
          <w:szCs w:val="24"/>
          <w:highlight w:val="none"/>
        </w:rPr>
        <w:t>6.3.3投标文件的澄清</w:t>
      </w:r>
      <w:bookmarkEnd w:id="29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96" w:name="_Toc28665"/>
      <w:r>
        <w:rPr>
          <w:rFonts w:hint="eastAsia" w:ascii="宋体" w:hAnsi="宋体" w:eastAsia="宋体" w:cs="宋体"/>
          <w:sz w:val="24"/>
          <w:szCs w:val="24"/>
          <w:highlight w:val="none"/>
        </w:rPr>
        <w:t>（1）为有助于投标文件的审查、评价和比较，评标委员会可以书面形式要求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对投标文件不明确的内容作必要的澄清或说明，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应采用书面形式进行澄清或说明，但不得超出投标文件的范围或投标文件的实质性内容。根据本须知第6.3.4条规定，凡属于评标委员会在评标中发现的计算错误进行核实的修改不在此列。</w:t>
      </w:r>
      <w:bookmarkEnd w:id="29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97" w:name="_Toc17164"/>
      <w:r>
        <w:rPr>
          <w:rFonts w:hint="eastAsia" w:ascii="宋体" w:hAnsi="宋体" w:eastAsia="宋体" w:cs="宋体"/>
          <w:sz w:val="24"/>
          <w:szCs w:val="24"/>
          <w:highlight w:val="none"/>
        </w:rPr>
        <w:t>（2）评标委员会认为有必要时，可向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进行询标。</w:t>
      </w:r>
      <w:bookmarkEnd w:id="29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98" w:name="_Toc2476"/>
      <w:r>
        <w:rPr>
          <w:rFonts w:hint="eastAsia" w:ascii="宋体" w:hAnsi="宋体" w:eastAsia="宋体" w:cs="宋体"/>
          <w:sz w:val="24"/>
          <w:szCs w:val="24"/>
          <w:highlight w:val="none"/>
        </w:rPr>
        <w:t>6.3.4投标文件计算错误的修正</w:t>
      </w:r>
      <w:bookmarkEnd w:id="29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299" w:name="_Toc11239"/>
      <w:r>
        <w:rPr>
          <w:rFonts w:hint="eastAsia" w:ascii="宋体" w:hAnsi="宋体" w:eastAsia="宋体" w:cs="宋体"/>
          <w:sz w:val="24"/>
          <w:szCs w:val="24"/>
          <w:highlight w:val="none"/>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6.3.5投标文件的评审、比较和否决</w:t>
      </w:r>
      <w:bookmarkEnd w:id="29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00" w:name="_Toc228"/>
      <w:r>
        <w:rPr>
          <w:rFonts w:hint="eastAsia" w:ascii="宋体" w:hAnsi="宋体" w:eastAsia="宋体" w:cs="宋体"/>
          <w:sz w:val="24"/>
          <w:szCs w:val="24"/>
          <w:highlight w:val="none"/>
        </w:rPr>
        <w:t>（1）评标委员会仅对在实质上响应招标文件要求的投标文件进行评估和比较。未</w:t>
      </w:r>
      <w:r>
        <w:rPr>
          <w:rFonts w:hint="eastAsia" w:ascii="宋体" w:hAnsi="宋体" w:eastAsia="宋体" w:cs="宋体"/>
          <w:sz w:val="24"/>
          <w:szCs w:val="24"/>
          <w:highlight w:val="none"/>
          <w:lang w:eastAsia="zh-CN"/>
        </w:rPr>
        <w:t>实质性</w:t>
      </w:r>
      <w:r>
        <w:rPr>
          <w:rFonts w:hint="eastAsia" w:ascii="宋体" w:hAnsi="宋体" w:eastAsia="宋体" w:cs="宋体"/>
          <w:sz w:val="24"/>
          <w:szCs w:val="24"/>
          <w:highlight w:val="none"/>
        </w:rPr>
        <w:t>响应招标文件和合同条款的投标文件，不得进行评标。</w:t>
      </w:r>
      <w:bookmarkEnd w:id="30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01" w:name="_Toc20894"/>
      <w:r>
        <w:rPr>
          <w:rFonts w:hint="eastAsia" w:ascii="宋体" w:hAnsi="宋体" w:eastAsia="宋体" w:cs="宋体"/>
          <w:sz w:val="24"/>
          <w:szCs w:val="24"/>
          <w:highlight w:val="none"/>
        </w:rPr>
        <w:t>（2）在评审过程中，评标委员会可以书面形式要求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就投标文件中含义不明确的内容进行书面说明并提供相关材料。</w:t>
      </w:r>
      <w:bookmarkEnd w:id="301"/>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02" w:name="_Toc3668"/>
      <w:r>
        <w:rPr>
          <w:rFonts w:hint="eastAsia" w:ascii="宋体" w:hAnsi="宋体" w:eastAsia="宋体" w:cs="宋体"/>
          <w:sz w:val="24"/>
          <w:szCs w:val="24"/>
          <w:highlight w:val="none"/>
        </w:rPr>
        <w:t>（3）评标委员会依据本次评标标准和方法，对投标文件进行评审，向采购人提出书面评标报告，并根据得分由高到低的顺序，推荐中标候选人。</w:t>
      </w:r>
      <w:bookmarkEnd w:id="302"/>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bookmarkStart w:id="303" w:name="_Toc12726"/>
      <w:bookmarkStart w:id="304" w:name="_Toc29031"/>
      <w:bookmarkStart w:id="305" w:name="_Toc31723"/>
      <w:bookmarkStart w:id="306" w:name="_Toc363119284"/>
      <w:bookmarkStart w:id="307" w:name="_Toc7702"/>
      <w:bookmarkStart w:id="308" w:name="_Toc510859692"/>
      <w:bookmarkStart w:id="309" w:name="_Toc511585906"/>
      <w:bookmarkStart w:id="310" w:name="_Toc510859898"/>
      <w:r>
        <w:rPr>
          <w:rFonts w:hint="eastAsia" w:ascii="宋体" w:hAnsi="宋体" w:eastAsia="宋体" w:cs="宋体"/>
          <w:b/>
          <w:bCs/>
          <w:sz w:val="24"/>
          <w:szCs w:val="24"/>
          <w:highlight w:val="none"/>
        </w:rPr>
        <w:t>7.合同授予</w:t>
      </w:r>
      <w:bookmarkEnd w:id="291"/>
      <w:bookmarkEnd w:id="292"/>
      <w:bookmarkEnd w:id="293"/>
      <w:bookmarkEnd w:id="294"/>
      <w:bookmarkEnd w:id="303"/>
      <w:bookmarkEnd w:id="304"/>
      <w:bookmarkEnd w:id="305"/>
      <w:bookmarkEnd w:id="306"/>
      <w:bookmarkEnd w:id="307"/>
      <w:bookmarkEnd w:id="308"/>
      <w:bookmarkEnd w:id="309"/>
      <w:bookmarkEnd w:id="31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11" w:name="_Toc18545"/>
      <w:bookmarkStart w:id="312" w:name="_Toc152042343"/>
      <w:bookmarkStart w:id="313" w:name="_Toc152045567"/>
      <w:bookmarkStart w:id="314" w:name="_Toc179632585"/>
      <w:bookmarkStart w:id="315" w:name="_Toc144974535"/>
      <w:r>
        <w:rPr>
          <w:rFonts w:hint="eastAsia" w:ascii="宋体" w:hAnsi="宋体" w:eastAsia="宋体" w:cs="宋体"/>
          <w:sz w:val="24"/>
          <w:szCs w:val="24"/>
          <w:highlight w:val="none"/>
        </w:rPr>
        <w:t>7.1 定标方式</w:t>
      </w:r>
      <w:bookmarkEnd w:id="311"/>
      <w:bookmarkEnd w:id="312"/>
      <w:bookmarkEnd w:id="313"/>
      <w:bookmarkEnd w:id="314"/>
      <w:bookmarkEnd w:id="31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16" w:name="_Toc152042344"/>
      <w:bookmarkStart w:id="317" w:name="_Toc144974536"/>
      <w:bookmarkStart w:id="318" w:name="_Toc24719"/>
      <w:bookmarkStart w:id="319" w:name="_Toc152045568"/>
      <w:bookmarkStart w:id="320" w:name="_Toc179632586"/>
      <w:r>
        <w:rPr>
          <w:rFonts w:hint="eastAsia" w:ascii="宋体" w:hAnsi="宋体" w:eastAsia="宋体" w:cs="宋体"/>
          <w:sz w:val="24"/>
          <w:szCs w:val="24"/>
          <w:highlight w:val="none"/>
        </w:rPr>
        <w:t>是否授权评标委员会确定</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除</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须知前附表规定评标委员会直接确定</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外，评标委员会推荐中标候选人的人数见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须知前附表。代理机构在评标结束后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个工作日内将评标报告送达采购</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在收到评标报告后</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个工作日内，按照评标报告中推荐的中标候选人顺序确认第一中标候选人为</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，同时书面复函代理机构；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7.2 中标通知</w:t>
      </w:r>
      <w:bookmarkEnd w:id="316"/>
      <w:bookmarkEnd w:id="317"/>
      <w:bookmarkEnd w:id="318"/>
      <w:bookmarkEnd w:id="319"/>
      <w:bookmarkEnd w:id="320"/>
    </w:p>
    <w:p>
      <w:pPr>
        <w:spacing w:line="500" w:lineRule="exact"/>
        <w:ind w:firstLine="480" w:firstLineChars="200"/>
        <w:jc w:val="left"/>
        <w:rPr>
          <w:rFonts w:hint="eastAsia" w:ascii="宋体" w:hAnsi="宋体" w:eastAsia="宋体" w:cs="宋体"/>
          <w:sz w:val="24"/>
          <w:szCs w:val="24"/>
          <w:highlight w:val="none"/>
        </w:rPr>
      </w:pPr>
      <w:bookmarkStart w:id="321" w:name="_Toc179632587"/>
      <w:bookmarkStart w:id="322" w:name="_Toc152045569"/>
      <w:bookmarkStart w:id="323" w:name="_Toc152042345"/>
      <w:bookmarkStart w:id="324" w:name="_Toc11786"/>
      <w:bookmarkStart w:id="325" w:name="_Toc144974537"/>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代理机构收到采购</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“定标复函”后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个工作日内，在指定的政府采购信息媒体上发布公告，并向</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发出“中标通知书”。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7.3 履约担保</w:t>
      </w:r>
      <w:bookmarkEnd w:id="321"/>
      <w:bookmarkEnd w:id="322"/>
      <w:bookmarkEnd w:id="323"/>
      <w:bookmarkEnd w:id="324"/>
      <w:bookmarkEnd w:id="32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26" w:name="_Toc4551"/>
      <w:r>
        <w:rPr>
          <w:rFonts w:hint="eastAsia" w:ascii="宋体" w:hAnsi="宋体" w:eastAsia="宋体" w:cs="宋体"/>
          <w:sz w:val="24"/>
          <w:szCs w:val="24"/>
          <w:highlight w:val="none"/>
        </w:rPr>
        <w:t>7.3.1在签订合同前，</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应按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须知前附表规定的金额、担保形式和招标文件“合同条款及格式”规定的履约担保格式向采购人提交履约担保。联合体中标的，其履约担保由牵头人递交，并应符合</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须知前附表规定的金额、担保形式和招标文件“合同条款及格式”规定的履约担保格式要求。</w:t>
      </w:r>
      <w:bookmarkEnd w:id="32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27" w:name="_Toc18356"/>
      <w:r>
        <w:rPr>
          <w:rFonts w:hint="eastAsia" w:ascii="宋体" w:hAnsi="宋体" w:eastAsia="宋体" w:cs="宋体"/>
          <w:sz w:val="24"/>
          <w:szCs w:val="24"/>
          <w:highlight w:val="none"/>
        </w:rPr>
        <w:t xml:space="preserve">7.3.2 </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不能按本章第7.3.1项要求提交履约担保的，视为放弃中标，其投标保证金不予退还，给采购人造成的损失超过投标保证金数额的，</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还应当对超过部分予以赔偿。</w:t>
      </w:r>
      <w:bookmarkEnd w:id="32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28" w:name="_Toc152045570"/>
      <w:bookmarkStart w:id="329" w:name="_Toc144974538"/>
      <w:bookmarkStart w:id="330" w:name="_Toc179632588"/>
      <w:bookmarkStart w:id="331" w:name="_Toc28306"/>
      <w:bookmarkStart w:id="332" w:name="_Toc152042346"/>
      <w:r>
        <w:rPr>
          <w:rFonts w:hint="eastAsia" w:ascii="宋体" w:hAnsi="宋体" w:eastAsia="宋体" w:cs="宋体"/>
          <w:sz w:val="24"/>
          <w:szCs w:val="24"/>
          <w:highlight w:val="none"/>
        </w:rPr>
        <w:t>7.4签订合同</w:t>
      </w:r>
      <w:bookmarkEnd w:id="328"/>
      <w:bookmarkEnd w:id="329"/>
      <w:bookmarkEnd w:id="330"/>
      <w:bookmarkEnd w:id="331"/>
      <w:bookmarkEnd w:id="33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33" w:name="_Toc3503"/>
      <w:r>
        <w:rPr>
          <w:rFonts w:hint="eastAsia" w:ascii="宋体" w:hAnsi="宋体" w:eastAsia="宋体" w:cs="宋体"/>
          <w:sz w:val="24"/>
          <w:szCs w:val="24"/>
          <w:highlight w:val="none"/>
        </w:rPr>
        <w:t>7.4.1采购人和</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应当自中标通知书发出之日起30日内，根据招标文件和</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的投标文件订立书面合同。</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无正当理由拒签合同的，采购人取消其中标资格，其投标保证金不予退还；给采购人造成的损失超过投标保证金数额的，</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还应当对超过部分予以赔偿。</w:t>
      </w:r>
      <w:bookmarkEnd w:id="333"/>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34" w:name="_Toc19753"/>
      <w:r>
        <w:rPr>
          <w:rFonts w:hint="eastAsia" w:ascii="宋体" w:hAnsi="宋体" w:eastAsia="宋体" w:cs="宋体"/>
          <w:sz w:val="24"/>
          <w:szCs w:val="24"/>
          <w:highlight w:val="none"/>
        </w:rPr>
        <w:t>7.4.2 发出中标通知书后，采购人无正当理由拒签合同的，采购人向</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退还投标保证金；给</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造成损失的，还应当赔偿损失。</w:t>
      </w:r>
      <w:bookmarkEnd w:id="334"/>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bookmarkStart w:id="335" w:name="_Toc144974539"/>
      <w:bookmarkStart w:id="336" w:name="_Toc363119285"/>
      <w:bookmarkStart w:id="337" w:name="_Toc179632589"/>
      <w:bookmarkStart w:id="338" w:name="_Toc152042347"/>
      <w:bookmarkStart w:id="339" w:name="_Toc511585907"/>
      <w:bookmarkStart w:id="340" w:name="_Toc29932"/>
      <w:bookmarkStart w:id="341" w:name="_Toc5371"/>
      <w:bookmarkStart w:id="342" w:name="_Toc14936"/>
      <w:bookmarkStart w:id="343" w:name="_Toc152045571"/>
      <w:bookmarkStart w:id="344" w:name="_Toc510859693"/>
      <w:bookmarkStart w:id="345" w:name="_Toc510859899"/>
      <w:bookmarkStart w:id="346" w:name="_Toc11948"/>
      <w:r>
        <w:rPr>
          <w:rFonts w:hint="eastAsia" w:ascii="宋体" w:hAnsi="宋体" w:eastAsia="宋体" w:cs="宋体"/>
          <w:b/>
          <w:bCs/>
          <w:sz w:val="24"/>
          <w:szCs w:val="24"/>
          <w:highlight w:val="none"/>
        </w:rPr>
        <w:t>8.重新招标</w:t>
      </w:r>
      <w:bookmarkEnd w:id="335"/>
      <w:bookmarkEnd w:id="336"/>
      <w:bookmarkEnd w:id="337"/>
      <w:bookmarkEnd w:id="338"/>
      <w:bookmarkEnd w:id="339"/>
      <w:bookmarkEnd w:id="340"/>
      <w:bookmarkEnd w:id="341"/>
      <w:bookmarkEnd w:id="342"/>
      <w:bookmarkEnd w:id="343"/>
      <w:bookmarkEnd w:id="344"/>
      <w:bookmarkEnd w:id="345"/>
      <w:bookmarkEnd w:id="34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47" w:name="_Toc152042350"/>
      <w:bookmarkStart w:id="348" w:name="_Toc2309"/>
      <w:bookmarkStart w:id="349" w:name="_Toc152045574"/>
      <w:bookmarkStart w:id="350" w:name="_Toc511585908"/>
      <w:bookmarkStart w:id="351" w:name="_Toc2698"/>
      <w:bookmarkStart w:id="352" w:name="_Toc510859694"/>
      <w:bookmarkStart w:id="353" w:name="_Toc144974542"/>
      <w:bookmarkStart w:id="354" w:name="_Toc4006"/>
      <w:bookmarkStart w:id="355" w:name="_Toc510859900"/>
      <w:bookmarkStart w:id="356" w:name="_Toc363119286"/>
      <w:bookmarkStart w:id="357" w:name="_Toc527"/>
      <w:bookmarkStart w:id="358" w:name="_Toc179632592"/>
      <w:r>
        <w:rPr>
          <w:rFonts w:hint="eastAsia" w:ascii="宋体" w:hAnsi="宋体" w:eastAsia="宋体" w:cs="宋体"/>
          <w:sz w:val="24"/>
          <w:szCs w:val="24"/>
          <w:highlight w:val="none"/>
        </w:rPr>
        <w:t>执行《中华人民共和国政府采购法》</w:t>
      </w:r>
      <w:r>
        <w:rPr>
          <w:rFonts w:hint="eastAsia" w:ascii="宋体" w:hAnsi="宋体" w:eastAsia="宋体" w:cs="宋体"/>
          <w:sz w:val="24"/>
          <w:szCs w:val="24"/>
          <w:highlight w:val="none"/>
          <w:lang w:eastAsia="zh-CN"/>
        </w:rPr>
        <w:t>《中华人民共和国招标投标法》</w:t>
      </w:r>
      <w:r>
        <w:rPr>
          <w:rFonts w:hint="eastAsia" w:ascii="宋体" w:hAnsi="宋体" w:eastAsia="宋体" w:cs="宋体"/>
          <w:sz w:val="24"/>
          <w:szCs w:val="24"/>
          <w:highlight w:val="none"/>
        </w:rPr>
        <w:t>的相关规定。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9.纪律和监督</w:t>
      </w:r>
      <w:bookmarkEnd w:id="347"/>
      <w:bookmarkEnd w:id="348"/>
      <w:bookmarkEnd w:id="349"/>
      <w:bookmarkEnd w:id="350"/>
      <w:bookmarkEnd w:id="351"/>
      <w:bookmarkEnd w:id="352"/>
      <w:bookmarkEnd w:id="353"/>
      <w:bookmarkEnd w:id="354"/>
      <w:bookmarkEnd w:id="355"/>
      <w:bookmarkEnd w:id="356"/>
      <w:bookmarkEnd w:id="357"/>
      <w:bookmarkEnd w:id="358"/>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59" w:name="_Toc152042351"/>
      <w:bookmarkStart w:id="360" w:name="_Toc144974543"/>
      <w:bookmarkStart w:id="361" w:name="_Toc179632593"/>
      <w:bookmarkStart w:id="362" w:name="_Toc10934"/>
      <w:bookmarkStart w:id="363" w:name="_Toc152045575"/>
      <w:r>
        <w:rPr>
          <w:rFonts w:hint="eastAsia" w:ascii="宋体" w:hAnsi="宋体" w:eastAsia="宋体" w:cs="宋体"/>
          <w:sz w:val="24"/>
          <w:szCs w:val="24"/>
          <w:highlight w:val="none"/>
        </w:rPr>
        <w:t>9.1 对采购人的纪律要求</w:t>
      </w:r>
      <w:bookmarkEnd w:id="359"/>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64" w:name="_Toc17134"/>
      <w:r>
        <w:rPr>
          <w:rFonts w:hint="eastAsia" w:ascii="宋体" w:hAnsi="宋体" w:eastAsia="宋体" w:cs="宋体"/>
          <w:sz w:val="24"/>
          <w:szCs w:val="24"/>
          <w:highlight w:val="none"/>
        </w:rPr>
        <w:t>采购人不得泄漏招标投标活动中应当保密的情况和资料，不得与</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串通损害国家利益、社会公共利益或者他人合法权益。</w:t>
      </w:r>
      <w:bookmarkEnd w:id="36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65" w:name="_Toc4911"/>
      <w:bookmarkStart w:id="366" w:name="_Toc179632594"/>
      <w:bookmarkStart w:id="367" w:name="_Toc144974544"/>
      <w:bookmarkStart w:id="368" w:name="_Toc152042352"/>
      <w:bookmarkStart w:id="369" w:name="_Toc152045576"/>
      <w:r>
        <w:rPr>
          <w:rFonts w:hint="eastAsia" w:ascii="宋体" w:hAnsi="宋体" w:eastAsia="宋体" w:cs="宋体"/>
          <w:sz w:val="24"/>
          <w:szCs w:val="24"/>
          <w:highlight w:val="none"/>
        </w:rPr>
        <w:t>9.2 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的纪律要求</w:t>
      </w:r>
      <w:bookmarkEnd w:id="365"/>
      <w:bookmarkEnd w:id="366"/>
      <w:bookmarkEnd w:id="367"/>
      <w:bookmarkEnd w:id="368"/>
      <w:bookmarkEnd w:id="36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70" w:name="_Toc10594"/>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不得相互串通投标或者与采购人串通投标，不得向采购人或者评标委员会成员行贿谋取中标，不得以他人名义投标或者以其他方式弄虚作假骗取中标；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不得以任何方式干扰、影响评标工作。</w:t>
      </w:r>
      <w:bookmarkEnd w:id="37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71" w:name="_Toc144974545"/>
      <w:bookmarkStart w:id="372" w:name="_Toc179632595"/>
      <w:bookmarkStart w:id="373" w:name="_Toc152045577"/>
      <w:bookmarkStart w:id="374" w:name="_Toc7382"/>
      <w:bookmarkStart w:id="375" w:name="_Toc152042353"/>
      <w:r>
        <w:rPr>
          <w:rFonts w:hint="eastAsia" w:ascii="宋体" w:hAnsi="宋体" w:eastAsia="宋体" w:cs="宋体"/>
          <w:sz w:val="24"/>
          <w:szCs w:val="24"/>
          <w:highlight w:val="none"/>
        </w:rPr>
        <w:t>9.3 对评标委员会成员的纪律要求</w:t>
      </w:r>
      <w:bookmarkEnd w:id="371"/>
      <w:bookmarkEnd w:id="372"/>
      <w:bookmarkEnd w:id="373"/>
      <w:bookmarkEnd w:id="374"/>
      <w:bookmarkEnd w:id="37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76" w:name="_Toc32639"/>
      <w:r>
        <w:rPr>
          <w:rFonts w:hint="eastAsia" w:ascii="宋体" w:hAnsi="宋体" w:eastAsia="宋体" w:cs="宋体"/>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bookmarkEnd w:id="37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77" w:name="_Toc152042354"/>
      <w:bookmarkStart w:id="378" w:name="_Toc179632596"/>
      <w:bookmarkStart w:id="379" w:name="_Toc152045578"/>
      <w:bookmarkStart w:id="380" w:name="_Toc17124"/>
      <w:bookmarkStart w:id="381" w:name="_Toc144974546"/>
      <w:r>
        <w:rPr>
          <w:rFonts w:hint="eastAsia" w:ascii="宋体" w:hAnsi="宋体" w:eastAsia="宋体" w:cs="宋体"/>
          <w:sz w:val="24"/>
          <w:szCs w:val="24"/>
          <w:highlight w:val="none"/>
        </w:rPr>
        <w:t>9.4 对与评标活动有关的工作人员的纪律要求</w:t>
      </w:r>
      <w:bookmarkEnd w:id="377"/>
      <w:bookmarkEnd w:id="378"/>
      <w:bookmarkEnd w:id="379"/>
      <w:bookmarkEnd w:id="38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82" w:name="_Toc152042355"/>
      <w:bookmarkStart w:id="383" w:name="_Toc3914"/>
      <w:r>
        <w:rPr>
          <w:rFonts w:hint="eastAsia" w:ascii="宋体" w:hAnsi="宋体" w:eastAsia="宋体" w:cs="宋体"/>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2"/>
      <w:bookmarkEnd w:id="383"/>
    </w:p>
    <w:bookmarkEnd w:id="381"/>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bookmarkStart w:id="384" w:name="_Toc6198"/>
      <w:bookmarkStart w:id="385" w:name="_Toc363119287"/>
      <w:bookmarkStart w:id="386" w:name="_Toc511585909"/>
      <w:bookmarkStart w:id="387" w:name="_Toc14321"/>
      <w:bookmarkStart w:id="388" w:name="_Toc144974547"/>
      <w:bookmarkStart w:id="389" w:name="_Toc510859695"/>
      <w:bookmarkStart w:id="390" w:name="_Toc152045580"/>
      <w:bookmarkStart w:id="391" w:name="_Toc510859901"/>
      <w:bookmarkStart w:id="392" w:name="_Toc27051"/>
      <w:bookmarkStart w:id="393" w:name="_Toc18818"/>
      <w:bookmarkStart w:id="394" w:name="_Toc152042357"/>
      <w:bookmarkStart w:id="395" w:name="_Toc179632598"/>
      <w:r>
        <w:rPr>
          <w:rFonts w:hint="eastAsia" w:ascii="宋体" w:hAnsi="宋体" w:eastAsia="宋体" w:cs="宋体"/>
          <w:sz w:val="24"/>
          <w:szCs w:val="24"/>
          <w:highlight w:val="none"/>
        </w:rPr>
        <w:t>9.5 质疑与投诉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9.5.1.1如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对本次采购活动有疑问，认为需要提出质疑和投诉的，应当按照《政府采购质疑和投诉办法》（财政部94号令）的有关规定办理。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9.5.1.2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本招标文件、开标会议过程或中标结果使自身的合法权益受到损害，应当在法定质疑期内一次性提出针对同一采购程序环节的质疑，按照（财政部94号令）质疑函范本格式要求以书面形式向采购代理机构提出质疑，并附必要的证明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9.5.1.3 质疑函应当包括下列内容：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（2）质疑项目的名称、编号；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（4）事实依据；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（5）必要的法律依据；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（6）提出质疑的日期。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为自然人的，应当由本人签字；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为法人或者其他组织的，应当由法定代表人及其授权代表签字或者盖章，并加盖单位公章。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9.5.1.4质疑人可以委托代理人办理质疑事项，代理人办理质疑事项时，除提交质疑函外，还应当提交质疑人的营业执照、法定代表人身份证明书和授权委托书，以及代理人的有效身份证明材料，授权委托书应当载明委托代理的具体权限期限和相关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9.5.1.5 质疑函范本格式在中国政府采购网站（http://www.ccgp.gov.cn/）下载。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9.5.1.6 接收质疑函的联系部门、联系电话和通讯地址见本招标公告。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9.5.1.7 有下列情形之一的，属于无效质疑，采购代理机构不予受理：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（1）质疑人不是参与本次政府采购项目的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（2）质疑人与质疑事项不存在利害关系的；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（3）质疑人未在法定期限内提出质疑的；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（4）质疑人所提交的质疑以传真形式、电子邮件形式、移动电话短信形式、微信形式等内容收悉提交的质疑材料；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（5）质疑未按照（财政部94号令）质疑函范本格式提出的；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（6）质疑书上无签字、盖章或签字、盖章内容无效的；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（7）以非法手段取得证据、材料的；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（8）质疑答复后，同一质疑人就同一事项再次提出质疑的；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（9）不符合相关法律法规、规章和规范性文件规定的其他条件的。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9.5.1.8 采购代理机构将在收到书面质疑后7个工作日内做出答复，并以书面形式通知质疑人和其他有关</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9.5.2 投诉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9.5.2.1 质疑人对采购代理机构的答复不满意的，或者采购代理机构未在规定时间内作出答复的，可以在答复期满后15个工作日内向相关财政管理部门提起投诉。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9.5.2.2 投诉人投诉时,应当提交投诉书和必要的证明材料，并按照被投诉采购人、采购代理机构（以下简称被投诉人）和与投诉事项有关的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数量提供投诉书的副本。投诉书应当包括下列内容：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（1）投诉人和被投诉人的姓名或者名称、通讯地址、邮编、联系人及联系电话；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（2）质疑和质疑答复情况说明及相关证明材料；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（3）具体、明确的投诉事项和与投诉事项相关的投诉请求；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（4）事实依据；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（5）法律依据；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（6）提起投诉的日期。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诉人可以委托代理人办理投诉事项，代理人办理投诉事项时，除提交投诉函外，还应当提交投诉人的营业执照、法定代表人身份证明书和授权委托书，以及代理人的有效身份证明材料，授权委托书应当载明委托代理的具体权限期限和相关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9.5.2.3 投诉书范本格式在中国政府采购网站（http://www.ccgp.gov.cn/）下载。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9.5.2.4 投诉人提起投诉应当符合下列条件：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（1）提起投诉前已依法进行质疑；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（2）投诉书内容符合财政部94号令的规定；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（3）在投诉有效期限内提起投诉；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（4）同一投诉事项未经财政部门投诉处理；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（5）财政部规定的其他条件。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9.5.2.5  投诉人投诉的事项不得超出已质疑事项的范围，除质疑答复内容提出的投诉事项外。</w:t>
      </w:r>
    </w:p>
    <w:bookmarkEnd w:id="384"/>
    <w:bookmarkEnd w:id="385"/>
    <w:bookmarkEnd w:id="386"/>
    <w:bookmarkEnd w:id="387"/>
    <w:bookmarkEnd w:id="388"/>
    <w:bookmarkEnd w:id="389"/>
    <w:bookmarkEnd w:id="390"/>
    <w:bookmarkEnd w:id="391"/>
    <w:bookmarkEnd w:id="392"/>
    <w:bookmarkEnd w:id="393"/>
    <w:bookmarkEnd w:id="394"/>
    <w:bookmarkEnd w:id="395"/>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10.需要补充的其他内容</w:t>
      </w:r>
      <w:bookmarkStart w:id="396" w:name="_Toc18224"/>
    </w:p>
    <w:bookmarkEnd w:id="15"/>
    <w:bookmarkEnd w:id="16"/>
    <w:bookmarkEnd w:id="17"/>
    <w:bookmarkEnd w:id="18"/>
    <w:bookmarkEnd w:id="19"/>
    <w:bookmarkEnd w:id="396"/>
    <w:p>
      <w:pPr>
        <w:adjustRightInd w:val="0"/>
        <w:snapToGrid w:val="0"/>
        <w:spacing w:line="360" w:lineRule="auto"/>
        <w:ind w:firstLine="480" w:firstLineChars="200"/>
        <w:outlineLvl w:val="9"/>
        <w:rPr>
          <w:rFonts w:hint="eastAsia" w:ascii="宋体" w:hAnsi="宋体" w:eastAsia="宋体" w:cs="宋体"/>
          <w:sz w:val="24"/>
          <w:szCs w:val="24"/>
          <w:highlight w:val="none"/>
        </w:rPr>
      </w:pPr>
      <w:bookmarkStart w:id="397" w:name="_Toc2232"/>
      <w:bookmarkStart w:id="398" w:name="_Toc510859902"/>
      <w:r>
        <w:rPr>
          <w:rFonts w:hint="eastAsia" w:ascii="宋体" w:hAnsi="宋体" w:eastAsia="宋体" w:cs="宋体"/>
          <w:sz w:val="24"/>
          <w:szCs w:val="24"/>
          <w:highlight w:val="none"/>
        </w:rPr>
        <w:t>10.1见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397"/>
    </w:p>
    <w:p>
      <w:pPr>
        <w:adjustRightInd w:val="0"/>
        <w:snapToGrid w:val="0"/>
        <w:spacing w:line="360" w:lineRule="auto"/>
        <w:ind w:firstLine="480" w:firstLineChars="200"/>
        <w:outlineLvl w:val="9"/>
        <w:rPr>
          <w:rFonts w:hint="eastAsia" w:ascii="宋体" w:hAnsi="宋体" w:eastAsia="宋体" w:cs="宋体"/>
          <w:sz w:val="24"/>
          <w:szCs w:val="24"/>
          <w:highlight w:val="none"/>
        </w:rPr>
      </w:pPr>
      <w:bookmarkStart w:id="399" w:name="_Toc11520"/>
      <w:r>
        <w:rPr>
          <w:rFonts w:hint="eastAsia" w:ascii="宋体" w:hAnsi="宋体" w:eastAsia="宋体" w:cs="宋体"/>
          <w:sz w:val="24"/>
          <w:szCs w:val="24"/>
          <w:highlight w:val="none"/>
        </w:rPr>
        <w:t>10.2见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399"/>
    </w:p>
    <w:p>
      <w:pPr>
        <w:adjustRightInd w:val="0"/>
        <w:snapToGrid w:val="0"/>
        <w:spacing w:line="360" w:lineRule="auto"/>
        <w:ind w:firstLine="480" w:firstLineChars="200"/>
        <w:outlineLvl w:val="9"/>
        <w:rPr>
          <w:rFonts w:hint="eastAsia" w:ascii="宋体" w:hAnsi="宋体" w:eastAsia="宋体" w:cs="宋体"/>
          <w:sz w:val="24"/>
          <w:szCs w:val="24"/>
          <w:highlight w:val="none"/>
        </w:rPr>
      </w:pPr>
      <w:bookmarkStart w:id="400" w:name="_Toc8442"/>
      <w:r>
        <w:rPr>
          <w:rFonts w:hint="eastAsia" w:ascii="宋体" w:hAnsi="宋体" w:eastAsia="宋体" w:cs="宋体"/>
          <w:sz w:val="24"/>
          <w:szCs w:val="24"/>
          <w:highlight w:val="none"/>
        </w:rPr>
        <w:t>10.3见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400"/>
    </w:p>
    <w:p>
      <w:pPr>
        <w:adjustRightInd w:val="0"/>
        <w:snapToGrid w:val="0"/>
        <w:spacing w:line="360" w:lineRule="auto"/>
        <w:ind w:firstLine="480" w:firstLineChars="200"/>
        <w:outlineLvl w:val="9"/>
        <w:rPr>
          <w:rFonts w:hint="eastAsia" w:ascii="宋体" w:hAnsi="宋体" w:eastAsia="宋体" w:cs="宋体"/>
          <w:sz w:val="24"/>
          <w:szCs w:val="24"/>
          <w:highlight w:val="none"/>
        </w:rPr>
      </w:pPr>
      <w:bookmarkStart w:id="401" w:name="_Toc21257"/>
      <w:r>
        <w:rPr>
          <w:rFonts w:hint="eastAsia" w:ascii="宋体" w:hAnsi="宋体" w:eastAsia="宋体" w:cs="宋体"/>
          <w:sz w:val="24"/>
          <w:szCs w:val="24"/>
          <w:highlight w:val="none"/>
        </w:rPr>
        <w:t>10.4见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401"/>
    </w:p>
    <w:p>
      <w:pPr>
        <w:adjustRightInd w:val="0"/>
        <w:snapToGrid w:val="0"/>
        <w:spacing w:line="360" w:lineRule="auto"/>
        <w:ind w:firstLine="480" w:firstLineChars="200"/>
        <w:outlineLvl w:val="9"/>
        <w:rPr>
          <w:rFonts w:hint="eastAsia" w:ascii="宋体" w:hAnsi="宋体" w:eastAsia="宋体" w:cs="宋体"/>
          <w:sz w:val="24"/>
          <w:szCs w:val="24"/>
          <w:highlight w:val="none"/>
        </w:rPr>
      </w:pPr>
      <w:bookmarkStart w:id="402" w:name="_Toc16792"/>
      <w:r>
        <w:rPr>
          <w:rFonts w:hint="eastAsia" w:ascii="宋体" w:hAnsi="宋体" w:eastAsia="宋体" w:cs="宋体"/>
          <w:sz w:val="24"/>
          <w:szCs w:val="24"/>
          <w:highlight w:val="none"/>
        </w:rPr>
        <w:t>10.5见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402"/>
    </w:p>
    <w:p>
      <w:pPr>
        <w:adjustRightInd w:val="0"/>
        <w:snapToGrid w:val="0"/>
        <w:spacing w:line="360" w:lineRule="auto"/>
        <w:ind w:firstLine="480" w:firstLineChars="200"/>
        <w:outlineLvl w:val="9"/>
        <w:rPr>
          <w:rFonts w:hint="eastAsia" w:ascii="宋体" w:hAnsi="宋体" w:eastAsia="宋体" w:cs="宋体"/>
          <w:sz w:val="24"/>
          <w:szCs w:val="24"/>
          <w:highlight w:val="none"/>
        </w:rPr>
      </w:pPr>
      <w:bookmarkStart w:id="403" w:name="_Toc7079"/>
      <w:r>
        <w:rPr>
          <w:rFonts w:hint="eastAsia" w:ascii="宋体" w:hAnsi="宋体" w:eastAsia="宋体" w:cs="宋体"/>
          <w:sz w:val="24"/>
          <w:szCs w:val="24"/>
          <w:highlight w:val="none"/>
        </w:rPr>
        <w:t>10.6见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bookmarkEnd w:id="403"/>
    </w:p>
    <w:p>
      <w:pPr>
        <w:pStyle w:val="15"/>
        <w:adjustRightInd w:val="0"/>
        <w:snapToGrid w:val="0"/>
        <w:spacing w:after="0"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10.7信用担保</w:t>
      </w:r>
    </w:p>
    <w:p>
      <w:pPr>
        <w:pStyle w:val="15"/>
        <w:adjustRightInd w:val="0"/>
        <w:snapToGri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（一）陕西省信用担保及信用融资政策</w:t>
      </w:r>
    </w:p>
    <w:p>
      <w:pPr>
        <w:pStyle w:val="15"/>
        <w:adjustRightInd w:val="0"/>
        <w:snapToGri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提供政府采购信用担保，并按照程序确定了合作的担保机构。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在缴纳投标保证金及中标</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缴纳履约保证金时可自愿选择通过担保机构保函的形式缴纳；中标</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如果需要融资贷款服务的，可凭中标通知书、政府采购合同等相关资料，按照文件规定的程序申请办理，具体规定可登陆陕西省政府采购网(www.ccgp-shaanxi.gov.cn/)重要通知专栏中查询了解。</w:t>
      </w:r>
    </w:p>
    <w:p>
      <w:pPr>
        <w:pStyle w:val="15"/>
        <w:numPr>
          <w:ilvl w:val="0"/>
          <w:numId w:val="3"/>
        </w:numPr>
        <w:adjustRightInd w:val="0"/>
        <w:snapToGrid w:val="0"/>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西安市信用担保及信用融资政策</w:t>
      </w:r>
    </w:p>
    <w:p>
      <w:pPr>
        <w:numPr>
          <w:ilvl w:val="0"/>
          <w:numId w:val="0"/>
        </w:numPr>
        <w:spacing w:line="360" w:lineRule="auto"/>
        <w:rPr>
          <w:rFonts w:hint="default" w:ascii="宋体" w:hAnsi="宋体" w:eastAsia="宋体" w:cs="宋体"/>
          <w:kern w:val="2"/>
          <w:sz w:val="24"/>
          <w:szCs w:val="24"/>
          <w:highlight w:val="none"/>
          <w:lang w:val="en-US" w:eastAsia="zh-CN" w:bidi="ar-SA"/>
        </w:rPr>
      </w:pPr>
      <w:r>
        <w:rPr>
          <w:rFonts w:hint="eastAsia"/>
          <w:highlight w:val="none"/>
          <w:lang w:val="en-US" w:eastAsia="zh-CN"/>
        </w:rPr>
        <w:t xml:space="preserve">    </w:t>
      </w:r>
      <w:r>
        <w:rPr>
          <w:rFonts w:hint="eastAsia" w:ascii="宋体" w:hAnsi="宋体" w:eastAsia="宋体" w:cs="宋体"/>
          <w:kern w:val="2"/>
          <w:sz w:val="24"/>
          <w:szCs w:val="24"/>
          <w:highlight w:val="none"/>
          <w:lang w:val="en-US" w:eastAsia="zh-CN" w:bidi="ar-SA"/>
        </w:rPr>
        <w:t>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具体名单见网址：http://xaczj.xa.gov.cn/zfcg/cgfg/5db9054565cbd804f69e97e0.html中《西安市财政局关于进一步做好政府采购信用担保及信用融资工作有关事宜的通知》）</w:t>
      </w:r>
    </w:p>
    <w:bookmarkEnd w:id="398"/>
    <w:p>
      <w:pPr>
        <w:pStyle w:val="8"/>
        <w:pageBreakBefore w:val="0"/>
        <w:widowControl w:val="0"/>
        <w:kinsoku/>
        <w:wordWrap/>
        <w:overflowPunct/>
        <w:topLinePunct w:val="0"/>
        <w:autoSpaceDE/>
        <w:autoSpaceDN/>
        <w:bidi w:val="0"/>
        <w:adjustRightInd w:val="0"/>
        <w:snapToGrid w:val="0"/>
        <w:spacing w:before="60" w:after="60" w:line="348" w:lineRule="auto"/>
        <w:textAlignment w:val="auto"/>
        <w:rPr>
          <w:rFonts w:hint="eastAsia" w:ascii="宋体" w:hAnsi="宋体" w:eastAsia="宋体" w:cs="宋体"/>
          <w:sz w:val="24"/>
          <w:szCs w:val="24"/>
          <w:highlight w:val="none"/>
        </w:rPr>
      </w:pPr>
      <w:bookmarkStart w:id="404" w:name="_Toc324521820"/>
      <w:bookmarkStart w:id="405" w:name="_Toc321812023"/>
      <w:bookmarkStart w:id="406" w:name="_Toc21489"/>
      <w:bookmarkStart w:id="407" w:name="_Toc319699570"/>
      <w:bookmarkStart w:id="408" w:name="_Toc290389724"/>
      <w:bookmarkStart w:id="409" w:name="_Toc184635094"/>
      <w:bookmarkStart w:id="410" w:name="_Toc16504"/>
      <w:bookmarkStart w:id="411" w:name="_Toc5388"/>
      <w:bookmarkStart w:id="412" w:name="_Toc12799"/>
      <w:bookmarkStart w:id="413" w:name="_Toc511146529"/>
      <w:bookmarkStart w:id="414" w:name="_Toc9423"/>
      <w:r>
        <w:rPr>
          <w:rFonts w:hint="eastAsia" w:ascii="宋体" w:hAnsi="宋体" w:eastAsia="宋体" w:cs="宋体"/>
          <w:sz w:val="24"/>
          <w:szCs w:val="24"/>
          <w:highlight w:val="none"/>
        </w:rPr>
        <w:t>2.评审标准</w:t>
      </w:r>
      <w:bookmarkEnd w:id="404"/>
      <w:bookmarkEnd w:id="405"/>
      <w:bookmarkEnd w:id="406"/>
      <w:bookmarkEnd w:id="407"/>
      <w:bookmarkEnd w:id="408"/>
      <w:bookmarkEnd w:id="409"/>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资格评审标准</w:t>
      </w:r>
    </w:p>
    <w:p>
      <w:pPr>
        <w:pageBreakBefore w:val="0"/>
        <w:widowControl w:val="0"/>
        <w:kinsoku/>
        <w:wordWrap/>
        <w:overflowPunct/>
        <w:topLinePunct w:val="0"/>
        <w:autoSpaceDE/>
        <w:autoSpaceDN/>
        <w:bidi w:val="0"/>
        <w:adjustRightInd w:val="0"/>
        <w:snapToGrid w:val="0"/>
        <w:spacing w:before="0" w:after="0" w:line="348" w:lineRule="auto"/>
        <w:ind w:firstLine="600" w:firstLineChars="250"/>
        <w:textAlignment w:val="auto"/>
        <w:outlineLvl w:val="9"/>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资格评审标准：见评标办法前附表。</w:t>
      </w:r>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 </w:t>
      </w:r>
      <w:r>
        <w:rPr>
          <w:rFonts w:hint="eastAsia" w:ascii="宋体" w:hAnsi="宋体" w:eastAsia="宋体" w:cs="宋体"/>
          <w:sz w:val="24"/>
          <w:szCs w:val="24"/>
          <w:highlight w:val="none"/>
          <w:lang w:eastAsia="zh-CN"/>
        </w:rPr>
        <w:t>形式及响应性评审</w:t>
      </w:r>
      <w:r>
        <w:rPr>
          <w:rFonts w:hint="eastAsia" w:ascii="宋体" w:hAnsi="宋体" w:eastAsia="宋体" w:cs="宋体"/>
          <w:sz w:val="24"/>
          <w:szCs w:val="24"/>
          <w:highlight w:val="none"/>
        </w:rPr>
        <w:t>标准</w:t>
      </w:r>
    </w:p>
    <w:p>
      <w:pPr>
        <w:pStyle w:val="9"/>
        <w:pageBreakBefore w:val="0"/>
        <w:widowControl w:val="0"/>
        <w:kinsoku/>
        <w:wordWrap/>
        <w:overflowPunct/>
        <w:topLinePunct w:val="0"/>
        <w:autoSpaceDE/>
        <w:autoSpaceDN/>
        <w:bidi w:val="0"/>
        <w:adjustRightInd w:val="0"/>
        <w:snapToGrid w:val="0"/>
        <w:spacing w:before="0" w:after="0" w:line="348" w:lineRule="auto"/>
        <w:ind w:firstLine="600" w:firstLineChars="25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2.2.1</w:t>
      </w:r>
      <w:r>
        <w:rPr>
          <w:rFonts w:hint="eastAsia" w:ascii="宋体" w:hAnsi="宋体" w:eastAsia="宋体" w:cs="宋体"/>
          <w:b w:val="0"/>
          <w:sz w:val="24"/>
          <w:szCs w:val="24"/>
          <w:highlight w:val="none"/>
        </w:rPr>
        <w:t xml:space="preserve"> 形式评审标准：见评标办法前附表。</w:t>
      </w:r>
    </w:p>
    <w:p>
      <w:pPr>
        <w:pStyle w:val="9"/>
        <w:pageBreakBefore w:val="0"/>
        <w:widowControl w:val="0"/>
        <w:kinsoku/>
        <w:wordWrap/>
        <w:overflowPunct/>
        <w:topLinePunct w:val="0"/>
        <w:autoSpaceDE/>
        <w:autoSpaceDN/>
        <w:bidi w:val="0"/>
        <w:adjustRightInd w:val="0"/>
        <w:snapToGrid w:val="0"/>
        <w:spacing w:before="0" w:after="0" w:line="348" w:lineRule="auto"/>
        <w:ind w:firstLine="600" w:firstLineChars="25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2.2.2</w:t>
      </w:r>
      <w:r>
        <w:rPr>
          <w:rFonts w:hint="eastAsia" w:ascii="宋体" w:hAnsi="宋体" w:eastAsia="宋体" w:cs="宋体"/>
          <w:b w:val="0"/>
          <w:sz w:val="24"/>
          <w:szCs w:val="24"/>
          <w:highlight w:val="none"/>
        </w:rPr>
        <w:t>响应性评审标准：见评标办法前附表。</w:t>
      </w:r>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分值构成与评分标准</w:t>
      </w:r>
    </w:p>
    <w:p>
      <w:pPr>
        <w:pageBreakBefore w:val="0"/>
        <w:widowControl w:val="0"/>
        <w:kinsoku/>
        <w:wordWrap/>
        <w:overflowPunct/>
        <w:topLinePunct w:val="0"/>
        <w:autoSpaceDE/>
        <w:autoSpaceDN/>
        <w:bidi w:val="0"/>
        <w:adjustRightInd w:val="0"/>
        <w:snapToGrid w:val="0"/>
        <w:spacing w:line="348"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 分值构成</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（1）技术部分：见评标办法前附表；</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（2）商务部分：见评标办法前附表。</w:t>
      </w:r>
    </w:p>
    <w:p>
      <w:pPr>
        <w:pageBreakBefore w:val="0"/>
        <w:widowControl w:val="0"/>
        <w:kinsoku/>
        <w:wordWrap/>
        <w:overflowPunct/>
        <w:topLinePunct w:val="0"/>
        <w:autoSpaceDE/>
        <w:autoSpaceDN/>
        <w:bidi w:val="0"/>
        <w:adjustRightInd w:val="0"/>
        <w:snapToGrid w:val="0"/>
        <w:spacing w:line="348"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 评标基准价计算</w:t>
      </w:r>
    </w:p>
    <w:p>
      <w:pPr>
        <w:pageBreakBefore w:val="0"/>
        <w:widowControl w:val="0"/>
        <w:kinsoku/>
        <w:wordWrap/>
        <w:overflowPunct/>
        <w:topLinePunct w:val="0"/>
        <w:autoSpaceDE/>
        <w:autoSpaceDN/>
        <w:bidi w:val="0"/>
        <w:adjustRightInd w:val="0"/>
        <w:snapToGrid w:val="0"/>
        <w:spacing w:line="348" w:lineRule="auto"/>
        <w:ind w:left="4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商务部分报价的评标基准价计算方法：见评标办法前附表。</w:t>
      </w:r>
    </w:p>
    <w:p>
      <w:pPr>
        <w:pageBreakBefore w:val="0"/>
        <w:widowControl w:val="0"/>
        <w:kinsoku/>
        <w:wordWrap/>
        <w:overflowPunct/>
        <w:topLinePunct w:val="0"/>
        <w:autoSpaceDE/>
        <w:autoSpaceDN/>
        <w:bidi w:val="0"/>
        <w:adjustRightInd w:val="0"/>
        <w:snapToGrid w:val="0"/>
        <w:spacing w:line="348"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2.3.3 商务部分报价的偏差率计算</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商务部分报价的偏差率计算公式：见评标办法前附表。</w:t>
      </w:r>
    </w:p>
    <w:p>
      <w:pPr>
        <w:pageBreakBefore w:val="0"/>
        <w:widowControl w:val="0"/>
        <w:kinsoku/>
        <w:wordWrap/>
        <w:overflowPunct/>
        <w:topLinePunct w:val="0"/>
        <w:autoSpaceDE/>
        <w:autoSpaceDN/>
        <w:bidi w:val="0"/>
        <w:adjustRightInd w:val="0"/>
        <w:snapToGrid w:val="0"/>
        <w:spacing w:line="348"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2.3.4 评分标准</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（1）技术部分：见评标办法前附表；</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（2）商务部分：见评标办法前附表。</w:t>
      </w:r>
    </w:p>
    <w:p>
      <w:pPr>
        <w:pStyle w:val="6"/>
        <w:bidi w:val="0"/>
        <w:rPr>
          <w:rFonts w:hint="eastAsia" w:ascii="宋体" w:hAnsi="宋体" w:eastAsia="宋体" w:cs="宋体"/>
          <w:bCs/>
          <w:kern w:val="44"/>
          <w:szCs w:val="32"/>
          <w:highlight w:val="none"/>
        </w:rPr>
      </w:pPr>
      <w:r>
        <w:rPr>
          <w:rFonts w:hint="eastAsia" w:ascii="宋体" w:hAnsi="宋体" w:eastAsia="宋体" w:cs="宋体"/>
          <w:b/>
          <w:bCs/>
          <w:sz w:val="44"/>
          <w:szCs w:val="44"/>
          <w:highlight w:val="none"/>
        </w:rPr>
        <w:br w:type="page"/>
      </w:r>
      <w:r>
        <w:rPr>
          <w:rFonts w:hint="eastAsia" w:ascii="宋体" w:hAnsi="宋体" w:eastAsia="宋体" w:cs="宋体"/>
          <w:b/>
          <w:bCs/>
          <w:sz w:val="44"/>
          <w:szCs w:val="44"/>
          <w:highlight w:val="none"/>
        </w:rPr>
        <w:t>第三章</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评标办法</w:t>
      </w:r>
      <w:bookmarkEnd w:id="410"/>
      <w:bookmarkEnd w:id="411"/>
      <w:bookmarkEnd w:id="412"/>
      <w:bookmarkEnd w:id="413"/>
      <w:bookmarkEnd w:id="414"/>
      <w:bookmarkStart w:id="415" w:name="_Toc513557039"/>
    </w:p>
    <w:bookmarkEnd w:id="415"/>
    <w:p>
      <w:pPr>
        <w:pStyle w:val="7"/>
        <w:rPr>
          <w:rFonts w:hint="eastAsia" w:ascii="宋体" w:hAnsi="宋体" w:eastAsia="宋体" w:cs="宋体"/>
          <w:sz w:val="32"/>
          <w:highlight w:val="none"/>
        </w:rPr>
      </w:pPr>
      <w:bookmarkStart w:id="416" w:name="_Toc9233"/>
      <w:bookmarkStart w:id="417" w:name="_Toc3811"/>
      <w:bookmarkStart w:id="418" w:name="_Toc3195"/>
      <w:r>
        <w:rPr>
          <w:rFonts w:hint="eastAsia" w:ascii="宋体" w:hAnsi="宋体" w:eastAsia="宋体" w:cs="宋体"/>
          <w:sz w:val="32"/>
          <w:highlight w:val="none"/>
        </w:rPr>
        <w:t>评标办法前附表</w:t>
      </w:r>
      <w:bookmarkEnd w:id="416"/>
      <w:bookmarkEnd w:id="417"/>
      <w:bookmarkEnd w:id="418"/>
    </w:p>
    <w:tbl>
      <w:tblPr>
        <w:tblStyle w:val="35"/>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379"/>
        <w:gridCol w:w="2236"/>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40" w:type="dxa"/>
            <w:gridSpan w:val="2"/>
            <w:noWrap w:val="0"/>
            <w:vAlign w:val="center"/>
          </w:tcPr>
          <w:p>
            <w:pPr>
              <w:adjustRightInd w:val="0"/>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条款号</w:t>
            </w:r>
          </w:p>
        </w:tc>
        <w:tc>
          <w:tcPr>
            <w:tcW w:w="2236" w:type="dxa"/>
            <w:noWrap w:val="0"/>
            <w:vAlign w:val="center"/>
          </w:tcPr>
          <w:p>
            <w:pPr>
              <w:adjustRightInd w:val="0"/>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评审因素</w:t>
            </w:r>
          </w:p>
        </w:tc>
        <w:tc>
          <w:tcPr>
            <w:tcW w:w="5225" w:type="dxa"/>
            <w:noWrap w:val="0"/>
            <w:vAlign w:val="center"/>
          </w:tcPr>
          <w:p>
            <w:pPr>
              <w:adjustRightInd w:val="0"/>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p>
        </w:tc>
        <w:tc>
          <w:tcPr>
            <w:tcW w:w="1379" w:type="dxa"/>
            <w:noWrap w:val="0"/>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资格审查</w:t>
            </w:r>
          </w:p>
        </w:tc>
        <w:tc>
          <w:tcPr>
            <w:tcW w:w="7461" w:type="dxa"/>
            <w:gridSpan w:val="2"/>
            <w:noWrap w:val="0"/>
            <w:vAlign w:val="center"/>
          </w:tcPr>
          <w:p>
            <w:pPr>
              <w:adjustRightInd w:val="0"/>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见供应商须知前附表“第</w:t>
            </w:r>
            <w:r>
              <w:rPr>
                <w:rFonts w:hint="eastAsia" w:ascii="宋体" w:hAnsi="宋体" w:eastAsia="宋体" w:cs="宋体"/>
                <w:color w:val="000000"/>
                <w:sz w:val="21"/>
                <w:szCs w:val="21"/>
                <w:highlight w:val="none"/>
                <w:lang w:val="en-US" w:eastAsia="zh-CN"/>
              </w:rPr>
              <w:t>3.5条</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restart"/>
            <w:noWrap w:val="0"/>
            <w:vAlign w:val="center"/>
          </w:tcPr>
          <w:p>
            <w:pPr>
              <w:adjustRightInd w:val="0"/>
              <w:snapToGrid w:val="0"/>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2.1</w:t>
            </w:r>
          </w:p>
        </w:tc>
        <w:tc>
          <w:tcPr>
            <w:tcW w:w="1379" w:type="dxa"/>
            <w:vMerge w:val="restart"/>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形式</w:t>
            </w:r>
          </w:p>
          <w:p>
            <w:pPr>
              <w:adjustRightInd w:val="0"/>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w:t>
            </w:r>
          </w:p>
          <w:p>
            <w:pPr>
              <w:adjustRightInd w:val="0"/>
              <w:snapToGrid w:val="0"/>
              <w:spacing w:line="360" w:lineRule="auto"/>
              <w:jc w:val="center"/>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标准</w:t>
            </w:r>
          </w:p>
        </w:tc>
        <w:tc>
          <w:tcPr>
            <w:tcW w:w="2236" w:type="dxa"/>
            <w:noWrap w:val="0"/>
            <w:vAlign w:val="center"/>
          </w:tcPr>
          <w:p>
            <w:pPr>
              <w:adjustRightInd w:val="0"/>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名称</w:t>
            </w:r>
          </w:p>
        </w:tc>
        <w:tc>
          <w:tcPr>
            <w:tcW w:w="5225" w:type="dxa"/>
            <w:noWrap w:val="0"/>
            <w:vAlign w:val="center"/>
          </w:tcPr>
          <w:p>
            <w:pPr>
              <w:adjustRightInd w:val="0"/>
              <w:snapToGrid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p>
        </w:tc>
        <w:tc>
          <w:tcPr>
            <w:tcW w:w="1379"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shd w:val="pct10" w:color="auto" w:fill="FFFFFF"/>
              </w:rPr>
            </w:pPr>
          </w:p>
        </w:tc>
        <w:tc>
          <w:tcPr>
            <w:tcW w:w="2236" w:type="dxa"/>
            <w:noWrap w:val="0"/>
            <w:vAlign w:val="center"/>
          </w:tcPr>
          <w:p>
            <w:pPr>
              <w:adjustRightInd w:val="0"/>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投标函签字盖章</w:t>
            </w:r>
          </w:p>
        </w:tc>
        <w:tc>
          <w:tcPr>
            <w:tcW w:w="5225" w:type="dxa"/>
            <w:noWrap w:val="0"/>
            <w:vAlign w:val="center"/>
          </w:tcPr>
          <w:p>
            <w:pPr>
              <w:adjustRightInd w:val="0"/>
              <w:snapToGrid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p>
        </w:tc>
        <w:tc>
          <w:tcPr>
            <w:tcW w:w="1379"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shd w:val="pct10" w:color="auto" w:fill="FFFFFF"/>
              </w:rPr>
            </w:pPr>
          </w:p>
        </w:tc>
        <w:tc>
          <w:tcPr>
            <w:tcW w:w="2236" w:type="dxa"/>
            <w:noWrap w:val="0"/>
            <w:vAlign w:val="center"/>
          </w:tcPr>
          <w:p>
            <w:pPr>
              <w:adjustRightInd w:val="0"/>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投标文件格式</w:t>
            </w:r>
          </w:p>
        </w:tc>
        <w:tc>
          <w:tcPr>
            <w:tcW w:w="5225" w:type="dxa"/>
            <w:noWrap w:val="0"/>
            <w:vAlign w:val="center"/>
          </w:tcPr>
          <w:p>
            <w:pPr>
              <w:adjustRightInd w:val="0"/>
              <w:snapToGrid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p>
        </w:tc>
        <w:tc>
          <w:tcPr>
            <w:tcW w:w="1379"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shd w:val="pct10" w:color="auto" w:fill="FFFFFF"/>
              </w:rPr>
            </w:pPr>
          </w:p>
        </w:tc>
        <w:tc>
          <w:tcPr>
            <w:tcW w:w="2236" w:type="dxa"/>
            <w:noWrap w:val="0"/>
            <w:vAlign w:val="center"/>
          </w:tcPr>
          <w:p>
            <w:pPr>
              <w:adjustRightInd w:val="0"/>
              <w:snapToGrid w:val="0"/>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报价唯一</w:t>
            </w:r>
          </w:p>
        </w:tc>
        <w:tc>
          <w:tcPr>
            <w:tcW w:w="5225" w:type="dxa"/>
            <w:noWrap w:val="0"/>
            <w:vAlign w:val="center"/>
          </w:tcPr>
          <w:p>
            <w:pPr>
              <w:adjustRightInd w:val="0"/>
              <w:snapToGrid w:val="0"/>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restart"/>
            <w:noWrap w:val="0"/>
            <w:vAlign w:val="center"/>
          </w:tcPr>
          <w:p>
            <w:pPr>
              <w:adjustRightInd w:val="0"/>
              <w:snapToGrid w:val="0"/>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2.2</w:t>
            </w:r>
          </w:p>
        </w:tc>
        <w:tc>
          <w:tcPr>
            <w:tcW w:w="1379" w:type="dxa"/>
            <w:vMerge w:val="restart"/>
            <w:noWrap w:val="0"/>
            <w:vAlign w:val="center"/>
          </w:tcPr>
          <w:p>
            <w:pPr>
              <w:adjustRightInd w:val="0"/>
              <w:snapToGrid w:val="0"/>
              <w:spacing w:line="360" w:lineRule="auto"/>
              <w:ind w:left="31680" w:hanging="105" w:hangingChars="5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响应性评审标准</w:t>
            </w:r>
          </w:p>
        </w:tc>
        <w:tc>
          <w:tcPr>
            <w:tcW w:w="2236" w:type="dxa"/>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w:t>
            </w:r>
          </w:p>
        </w:tc>
        <w:tc>
          <w:tcPr>
            <w:tcW w:w="5225" w:type="dxa"/>
            <w:noWrap w:val="0"/>
            <w:vAlign w:val="center"/>
          </w:tcPr>
          <w:p>
            <w:pPr>
              <w:adjustRightInd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须知前附表”第1.3.2项规定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p>
        </w:tc>
        <w:tc>
          <w:tcPr>
            <w:tcW w:w="1379"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shd w:val="pct10" w:color="auto" w:fill="FFFFFF"/>
              </w:rPr>
            </w:pPr>
          </w:p>
        </w:tc>
        <w:tc>
          <w:tcPr>
            <w:tcW w:w="2236" w:type="dxa"/>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w:t>
            </w:r>
          </w:p>
        </w:tc>
        <w:tc>
          <w:tcPr>
            <w:tcW w:w="5225" w:type="dxa"/>
            <w:noWrap w:val="0"/>
            <w:vAlign w:val="center"/>
          </w:tcPr>
          <w:p>
            <w:pPr>
              <w:adjustRightInd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p>
        </w:tc>
        <w:tc>
          <w:tcPr>
            <w:tcW w:w="1379"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shd w:val="pct10" w:color="auto" w:fill="FFFFFF"/>
              </w:rPr>
            </w:pPr>
          </w:p>
        </w:tc>
        <w:tc>
          <w:tcPr>
            <w:tcW w:w="2236" w:type="dxa"/>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投标有效期</w:t>
            </w:r>
          </w:p>
        </w:tc>
        <w:tc>
          <w:tcPr>
            <w:tcW w:w="5225" w:type="dxa"/>
            <w:noWrap w:val="0"/>
            <w:vAlign w:val="center"/>
          </w:tcPr>
          <w:p>
            <w:pPr>
              <w:adjustRightInd w:val="0"/>
              <w:snapToGri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符合第二章“</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须知前附表”第3.3.1项规定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rPr>
            </w:pPr>
          </w:p>
        </w:tc>
        <w:tc>
          <w:tcPr>
            <w:tcW w:w="1379" w:type="dxa"/>
            <w:vMerge w:val="continue"/>
            <w:noWrap w:val="0"/>
            <w:vAlign w:val="center"/>
          </w:tcPr>
          <w:p>
            <w:pPr>
              <w:adjustRightInd w:val="0"/>
              <w:snapToGrid w:val="0"/>
              <w:spacing w:line="360" w:lineRule="auto"/>
              <w:jc w:val="center"/>
              <w:rPr>
                <w:rFonts w:hint="eastAsia" w:ascii="宋体" w:hAnsi="宋体" w:eastAsia="宋体" w:cs="宋体"/>
                <w:color w:val="000000"/>
                <w:sz w:val="21"/>
                <w:szCs w:val="21"/>
                <w:highlight w:val="none"/>
                <w:shd w:val="pct10" w:color="auto" w:fill="FFFFFF"/>
              </w:rPr>
            </w:pPr>
          </w:p>
        </w:tc>
        <w:tc>
          <w:tcPr>
            <w:tcW w:w="2236" w:type="dxa"/>
            <w:noWrap w:val="0"/>
            <w:vAlign w:val="center"/>
          </w:tcPr>
          <w:p>
            <w:pPr>
              <w:spacing w:line="300" w:lineRule="exact"/>
              <w:jc w:val="center"/>
              <w:rPr>
                <w:rFonts w:hint="eastAsia" w:ascii="宋体" w:hAnsi="宋体" w:eastAsia="宋体" w:cs="宋体"/>
                <w:color w:val="000000"/>
                <w:sz w:val="21"/>
                <w:szCs w:val="21"/>
                <w:highlight w:val="none"/>
              </w:rPr>
            </w:pPr>
            <w:r>
              <w:rPr>
                <w:rFonts w:hint="eastAsia" w:ascii="宋体" w:hAnsi="宋体"/>
                <w:highlight w:val="none"/>
              </w:rPr>
              <w:t>有效</w:t>
            </w:r>
            <w:r>
              <w:rPr>
                <w:rFonts w:hint="eastAsia" w:ascii="宋体" w:hAnsi="宋体"/>
                <w:highlight w:val="none"/>
                <w:lang w:eastAsia="zh-CN"/>
              </w:rPr>
              <w:t>投标</w:t>
            </w:r>
            <w:r>
              <w:rPr>
                <w:rFonts w:hint="eastAsia" w:ascii="宋体" w:hAnsi="宋体"/>
                <w:highlight w:val="none"/>
              </w:rPr>
              <w:t>报价</w:t>
            </w:r>
          </w:p>
        </w:tc>
        <w:tc>
          <w:tcPr>
            <w:tcW w:w="5225" w:type="dxa"/>
            <w:noWrap w:val="0"/>
            <w:vAlign w:val="center"/>
          </w:tcPr>
          <w:p>
            <w:pPr>
              <w:spacing w:line="300" w:lineRule="exact"/>
              <w:rPr>
                <w:rFonts w:hint="eastAsia" w:ascii="宋体" w:hAnsi="宋体" w:eastAsia="宋体" w:cs="宋体"/>
                <w:color w:val="000000"/>
                <w:sz w:val="21"/>
                <w:szCs w:val="21"/>
                <w:highlight w:val="none"/>
                <w:lang w:eastAsia="zh-CN"/>
              </w:rPr>
            </w:pPr>
            <w:r>
              <w:rPr>
                <w:rFonts w:hint="eastAsia" w:ascii="宋体" w:hAnsi="宋体"/>
                <w:szCs w:val="21"/>
                <w:highlight w:val="none"/>
              </w:rPr>
              <w:t>投标报价小于（含等于）本工程的最高投标限价</w:t>
            </w:r>
          </w:p>
        </w:tc>
      </w:tr>
    </w:tbl>
    <w:p>
      <w:pPr>
        <w:rPr>
          <w:rFonts w:hint="eastAsia" w:eastAsia="宋体"/>
          <w:highlight w:val="none"/>
          <w:lang w:eastAsia="zh-CN"/>
        </w:rPr>
      </w:pPr>
      <w:r>
        <w:rPr>
          <w:rFonts w:hint="eastAsia"/>
          <w:highlight w:val="none"/>
          <w:lang w:eastAsia="zh-CN"/>
        </w:rPr>
        <w:t>详细评审</w:t>
      </w:r>
    </w:p>
    <w:tbl>
      <w:tblPr>
        <w:tblStyle w:val="35"/>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379"/>
        <w:gridCol w:w="3706"/>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2640" w:type="dxa"/>
            <w:gridSpan w:val="2"/>
            <w:noWrap w:val="0"/>
            <w:vAlign w:val="center"/>
          </w:tcPr>
          <w:p>
            <w:pPr>
              <w:widowControl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3706" w:type="dxa"/>
            <w:noWrap w:val="0"/>
            <w:vAlign w:val="center"/>
          </w:tcPr>
          <w:p>
            <w:pPr>
              <w:widowControl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3755" w:type="dxa"/>
            <w:noWrap w:val="0"/>
            <w:vAlign w:val="center"/>
          </w:tcPr>
          <w:p>
            <w:pPr>
              <w:widowControl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640" w:type="dxa"/>
            <w:gridSpan w:val="2"/>
            <w:vMerge w:val="restart"/>
            <w:noWrap w:val="0"/>
            <w:vAlign w:val="center"/>
          </w:tcPr>
          <w:p>
            <w:pPr>
              <w:adjustRightInd w:val="0"/>
              <w:snapToGrid w:val="0"/>
              <w:spacing w:line="360" w:lineRule="auto"/>
              <w:jc w:val="center"/>
              <w:rPr>
                <w:rFonts w:hint="eastAsia" w:ascii="宋体" w:hAnsi="宋体" w:eastAsia="宋体" w:cs="宋体"/>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lang w:val="en-US" w:eastAsia="zh-CN"/>
              </w:rPr>
              <w:t>3.1</w:t>
            </w:r>
          </w:p>
        </w:tc>
        <w:tc>
          <w:tcPr>
            <w:tcW w:w="3706" w:type="dxa"/>
            <w:vMerge w:val="restart"/>
            <w:noWrap w:val="0"/>
            <w:vAlign w:val="center"/>
          </w:tcPr>
          <w:p>
            <w:pPr>
              <w:widowControl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pPr>
              <w:widowControl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3755" w:type="dxa"/>
            <w:noWrap w:val="0"/>
            <w:vAlign w:val="center"/>
          </w:tcPr>
          <w:p>
            <w:pPr>
              <w:widowControl w:val="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技术部分：</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0分</w:t>
            </w:r>
          </w:p>
          <w:p>
            <w:pPr>
              <w:widowControl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1.施工组织方案：</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0分</w:t>
            </w:r>
          </w:p>
          <w:p>
            <w:pPr>
              <w:widowControl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2.类似业绩：10分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40" w:type="dxa"/>
            <w:gridSpan w:val="2"/>
            <w:vMerge w:val="continue"/>
            <w:noWrap w:val="0"/>
            <w:vAlign w:val="center"/>
          </w:tcPr>
          <w:p>
            <w:pPr>
              <w:widowControl w:val="0"/>
              <w:jc w:val="center"/>
              <w:rPr>
                <w:rFonts w:hint="eastAsia" w:ascii="宋体" w:hAnsi="宋体" w:eastAsia="宋体" w:cs="宋体"/>
                <w:sz w:val="21"/>
                <w:szCs w:val="21"/>
                <w:highlight w:val="none"/>
              </w:rPr>
            </w:pPr>
          </w:p>
        </w:tc>
        <w:tc>
          <w:tcPr>
            <w:tcW w:w="3706" w:type="dxa"/>
            <w:vMerge w:val="continue"/>
            <w:noWrap w:val="0"/>
            <w:vAlign w:val="center"/>
          </w:tcPr>
          <w:p>
            <w:pPr>
              <w:widowControl w:val="0"/>
              <w:jc w:val="center"/>
              <w:rPr>
                <w:rFonts w:hint="eastAsia" w:ascii="宋体" w:hAnsi="宋体" w:eastAsia="宋体" w:cs="宋体"/>
                <w:sz w:val="21"/>
                <w:szCs w:val="21"/>
                <w:highlight w:val="none"/>
              </w:rPr>
            </w:pPr>
          </w:p>
        </w:tc>
        <w:tc>
          <w:tcPr>
            <w:tcW w:w="3755" w:type="dxa"/>
            <w:noWrap w:val="0"/>
            <w:vAlign w:val="center"/>
          </w:tcPr>
          <w:p>
            <w:pPr>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u w:val="none"/>
              </w:rPr>
              <w:t>投标报价</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lang w:val="en-US" w:eastAsia="zh-CN"/>
              </w:rPr>
              <w:t>0</w:t>
            </w:r>
            <w:r>
              <w:rPr>
                <w:rFonts w:hint="eastAsia" w:ascii="宋体" w:hAnsi="宋体" w:eastAsia="宋体" w:cs="宋体"/>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640" w:type="dxa"/>
            <w:gridSpan w:val="2"/>
            <w:vMerge w:val="restart"/>
            <w:noWrap w:val="0"/>
            <w:vAlign w:val="center"/>
          </w:tcPr>
          <w:p>
            <w:pPr>
              <w:adjustRightInd w:val="0"/>
              <w:snapToGrid w:val="0"/>
              <w:spacing w:line="360" w:lineRule="auto"/>
              <w:jc w:val="center"/>
              <w:rPr>
                <w:rFonts w:hint="eastAsia" w:ascii="宋体" w:hAnsi="宋体" w:eastAsia="宋体" w:cs="宋体"/>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lang w:val="en-US" w:eastAsia="zh-CN"/>
              </w:rPr>
              <w:t>3</w:t>
            </w:r>
            <w:r>
              <w:rPr>
                <w:rFonts w:ascii="宋体" w:hAnsi="宋体" w:cs="宋体"/>
                <w:color w:val="000000"/>
                <w:sz w:val="21"/>
                <w:szCs w:val="21"/>
                <w:highlight w:val="none"/>
              </w:rPr>
              <w:t>.</w:t>
            </w:r>
            <w:r>
              <w:rPr>
                <w:rFonts w:hint="eastAsia" w:ascii="宋体" w:hAnsi="宋体" w:cs="宋体"/>
                <w:color w:val="000000"/>
                <w:sz w:val="21"/>
                <w:szCs w:val="21"/>
                <w:highlight w:val="none"/>
                <w:lang w:val="en-US" w:eastAsia="zh-CN"/>
              </w:rPr>
              <w:t>2</w:t>
            </w:r>
          </w:p>
        </w:tc>
        <w:tc>
          <w:tcPr>
            <w:tcW w:w="3706" w:type="dxa"/>
            <w:noWrap w:val="0"/>
            <w:vAlign w:val="center"/>
          </w:tcPr>
          <w:p>
            <w:pPr>
              <w:widowControl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                                              评标基准价计算方法</w:t>
            </w:r>
          </w:p>
        </w:tc>
        <w:tc>
          <w:tcPr>
            <w:tcW w:w="3755" w:type="dxa"/>
            <w:noWrap w:val="0"/>
            <w:vAlign w:val="center"/>
          </w:tcPr>
          <w:p>
            <w:pPr>
              <w:widowControl w:val="0"/>
              <w:jc w:val="both"/>
              <w:rPr>
                <w:rFonts w:hint="eastAsia" w:ascii="宋体" w:hAnsi="宋体" w:eastAsia="宋体" w:cs="宋体"/>
                <w:sz w:val="21"/>
                <w:szCs w:val="21"/>
                <w:highlight w:val="none"/>
              </w:rPr>
            </w:pPr>
            <w:r>
              <w:rPr>
                <w:rFonts w:hint="eastAsia" w:ascii="宋体" w:hAnsi="宋体" w:eastAsia="宋体" w:cs="宋体"/>
                <w:szCs w:val="24"/>
                <w:highlight w:val="none"/>
              </w:rPr>
              <w:t>满足招标文件要求且投标价格最低的投标报价为评标基准价，其价格分为满分</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640" w:type="dxa"/>
            <w:gridSpan w:val="2"/>
            <w:vMerge w:val="continue"/>
            <w:noWrap w:val="0"/>
            <w:vAlign w:val="center"/>
          </w:tcPr>
          <w:p>
            <w:pPr>
              <w:widowControl w:val="0"/>
              <w:jc w:val="center"/>
              <w:rPr>
                <w:rFonts w:hint="eastAsia" w:ascii="宋体" w:hAnsi="宋体" w:eastAsia="宋体" w:cs="宋体"/>
                <w:sz w:val="21"/>
                <w:szCs w:val="21"/>
                <w:highlight w:val="none"/>
              </w:rPr>
            </w:pPr>
          </w:p>
        </w:tc>
        <w:tc>
          <w:tcPr>
            <w:tcW w:w="7461" w:type="dxa"/>
            <w:gridSpan w:val="2"/>
            <w:noWrap w:val="0"/>
            <w:vAlign w:val="center"/>
          </w:tcPr>
          <w:p>
            <w:pPr>
              <w:widowControl w:val="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投标报价高于招标工程最高投标限价的为无效报价，该投标不再参与评标和评标过程中的任何计算。投标报价等于或低于招标工程最高投标限价总价的为有效投标报价</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40" w:type="dxa"/>
            <w:gridSpan w:val="2"/>
            <w:noWrap w:val="0"/>
            <w:vAlign w:val="center"/>
          </w:tcPr>
          <w:p>
            <w:pPr>
              <w:widowControl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2.3</w:t>
            </w:r>
            <w:r>
              <w:rPr>
                <w:rFonts w:hint="eastAsia" w:ascii="宋体" w:hAnsi="宋体" w:eastAsia="宋体" w:cs="宋体"/>
                <w:sz w:val="21"/>
                <w:szCs w:val="21"/>
                <w:highlight w:val="none"/>
                <w:lang w:val="en-US" w:eastAsia="zh-CN"/>
              </w:rPr>
              <w:t>.3</w:t>
            </w:r>
          </w:p>
        </w:tc>
        <w:tc>
          <w:tcPr>
            <w:tcW w:w="3706" w:type="dxa"/>
            <w:noWrap w:val="0"/>
            <w:vAlign w:val="center"/>
          </w:tcPr>
          <w:p>
            <w:pPr>
              <w:widowControl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投标报价的偏差率计算公式</w:t>
            </w:r>
          </w:p>
        </w:tc>
        <w:tc>
          <w:tcPr>
            <w:tcW w:w="3755" w:type="dxa"/>
            <w:noWrap w:val="0"/>
            <w:vAlign w:val="center"/>
          </w:tcPr>
          <w:p>
            <w:pPr>
              <w:widowControl w:val="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restart"/>
            <w:noWrap w:val="0"/>
            <w:vAlign w:val="center"/>
          </w:tcPr>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rPr>
            </w:pPr>
          </w:p>
          <w:p>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widowControl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w:t>
            </w:r>
          </w:p>
          <w:p>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部分</w:t>
            </w:r>
          </w:p>
          <w:p>
            <w:pPr>
              <w:widowControl w:val="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70分</w:t>
            </w:r>
            <w:r>
              <w:rPr>
                <w:rFonts w:hint="eastAsia" w:ascii="宋体" w:hAnsi="宋体" w:cs="宋体"/>
                <w:sz w:val="21"/>
                <w:szCs w:val="21"/>
                <w:highlight w:val="none"/>
                <w:lang w:eastAsia="zh-CN"/>
              </w:rPr>
              <w:t>）</w:t>
            </w:r>
          </w:p>
        </w:tc>
        <w:tc>
          <w:tcPr>
            <w:tcW w:w="1379" w:type="dxa"/>
            <w:noWrap w:val="0"/>
            <w:vAlign w:val="center"/>
          </w:tcPr>
          <w:p>
            <w:pPr>
              <w:widowControl w:val="0"/>
              <w:jc w:val="center"/>
              <w:rPr>
                <w:rFonts w:hint="eastAsia" w:ascii="宋体" w:hAnsi="宋体" w:eastAsia="宋体" w:cs="宋体"/>
                <w:sz w:val="21"/>
                <w:szCs w:val="21"/>
                <w:highlight w:val="none"/>
              </w:rPr>
            </w:pPr>
            <w:r>
              <w:rPr>
                <w:rFonts w:ascii="宋体" w:hAnsi="宋体"/>
                <w:sz w:val="21"/>
                <w:szCs w:val="21"/>
                <w:highlight w:val="none"/>
              </w:rPr>
              <w:t>施工方案</w:t>
            </w:r>
            <w:r>
              <w:rPr>
                <w:rFonts w:hint="eastAsia" w:ascii="宋体" w:hAnsi="宋体"/>
                <w:sz w:val="21"/>
                <w:szCs w:val="21"/>
                <w:highlight w:val="none"/>
                <w:lang w:eastAsia="zh-CN"/>
              </w:rPr>
              <w:t>及</w:t>
            </w:r>
            <w:r>
              <w:rPr>
                <w:rFonts w:ascii="宋体" w:hAnsi="宋体"/>
                <w:sz w:val="21"/>
                <w:szCs w:val="21"/>
                <w:highlight w:val="none"/>
              </w:rPr>
              <w:t>技术措施</w:t>
            </w:r>
          </w:p>
        </w:tc>
        <w:tc>
          <w:tcPr>
            <w:tcW w:w="3706" w:type="dxa"/>
            <w:noWrap w:val="0"/>
            <w:vAlign w:val="center"/>
          </w:tcPr>
          <w:p>
            <w:pPr>
              <w:spacing w:line="320" w:lineRule="exact"/>
              <w:rPr>
                <w:rFonts w:hint="eastAsia" w:ascii="宋体" w:hAnsi="宋体" w:eastAsia="宋体" w:cs="宋体"/>
                <w:sz w:val="21"/>
                <w:szCs w:val="21"/>
                <w:highlight w:val="none"/>
              </w:rPr>
            </w:pPr>
            <w:r>
              <w:rPr>
                <w:rFonts w:hint="eastAsia" w:ascii="宋体" w:hAnsi="宋体"/>
                <w:sz w:val="21"/>
                <w:szCs w:val="21"/>
                <w:highlight w:val="none"/>
                <w:lang w:val="en-US" w:eastAsia="zh-CN"/>
              </w:rPr>
              <w:t>根据供应商</w:t>
            </w:r>
            <w:r>
              <w:rPr>
                <w:rFonts w:ascii="宋体" w:hAnsi="宋体"/>
                <w:sz w:val="21"/>
                <w:szCs w:val="21"/>
                <w:highlight w:val="none"/>
              </w:rPr>
              <w:t>结合工程特点，制定施工方案</w:t>
            </w:r>
            <w:r>
              <w:rPr>
                <w:rFonts w:hint="eastAsia" w:ascii="宋体" w:hAnsi="宋体"/>
                <w:sz w:val="21"/>
                <w:szCs w:val="21"/>
                <w:highlight w:val="none"/>
              </w:rPr>
              <w:t>、</w:t>
            </w:r>
            <w:r>
              <w:rPr>
                <w:rFonts w:ascii="宋体" w:hAnsi="宋体"/>
                <w:sz w:val="21"/>
                <w:szCs w:val="21"/>
                <w:highlight w:val="none"/>
              </w:rPr>
              <w:t>方法与技术措施内容</w:t>
            </w:r>
            <w:r>
              <w:rPr>
                <w:rFonts w:hint="eastAsia" w:ascii="宋体" w:hAnsi="宋体"/>
                <w:sz w:val="21"/>
                <w:szCs w:val="21"/>
                <w:highlight w:val="none"/>
                <w:lang w:val="en-US" w:eastAsia="zh-CN"/>
              </w:rPr>
              <w:t>进行综合评审。</w:t>
            </w:r>
          </w:p>
        </w:tc>
        <w:tc>
          <w:tcPr>
            <w:tcW w:w="3755" w:type="dxa"/>
            <w:noWrap w:val="0"/>
            <w:vAlign w:val="center"/>
          </w:tcPr>
          <w:p>
            <w:pPr>
              <w:spacing w:line="320" w:lineRule="exact"/>
              <w:jc w:val="center"/>
              <w:rPr>
                <w:rFonts w:hint="eastAsia" w:ascii="宋体" w:hAnsi="宋体" w:eastAsia="宋体" w:cs="宋体"/>
                <w:sz w:val="21"/>
                <w:szCs w:val="21"/>
                <w:highlight w:val="none"/>
              </w:rPr>
            </w:pPr>
            <w:r>
              <w:rPr>
                <w:rFonts w:hint="eastAsia" w:ascii="宋体" w:hAnsi="宋体"/>
                <w:sz w:val="21"/>
                <w:szCs w:val="21"/>
                <w:highlight w:val="none"/>
                <w:lang w:val="en-US" w:eastAsia="zh-CN"/>
              </w:rPr>
              <w:t>由评审专家进行打分计0-8分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eastAsia" w:ascii="宋体" w:hAnsi="宋体" w:eastAsia="宋体" w:cs="宋体"/>
                <w:sz w:val="21"/>
                <w:szCs w:val="21"/>
                <w:highlight w:val="none"/>
              </w:rPr>
            </w:pPr>
            <w:r>
              <w:rPr>
                <w:rFonts w:hint="eastAsia" w:ascii="宋体" w:hAnsi="宋体"/>
                <w:sz w:val="21"/>
                <w:szCs w:val="21"/>
                <w:highlight w:val="none"/>
              </w:rPr>
              <w:t>项目部人员组成</w:t>
            </w:r>
          </w:p>
        </w:tc>
        <w:tc>
          <w:tcPr>
            <w:tcW w:w="3706" w:type="dxa"/>
            <w:noWrap w:val="0"/>
            <w:vAlign w:val="center"/>
          </w:tcPr>
          <w:p>
            <w:pPr>
              <w:spacing w:line="320" w:lineRule="exact"/>
              <w:rPr>
                <w:rFonts w:hint="eastAsia" w:ascii="宋体" w:hAnsi="宋体" w:eastAsia="宋体" w:cs="宋体"/>
                <w:sz w:val="21"/>
                <w:szCs w:val="21"/>
                <w:highlight w:val="none"/>
              </w:rPr>
            </w:pPr>
            <w:r>
              <w:rPr>
                <w:rFonts w:hint="eastAsia" w:ascii="宋体" w:hAnsi="宋体"/>
                <w:sz w:val="21"/>
                <w:szCs w:val="21"/>
                <w:highlight w:val="none"/>
                <w:lang w:val="en-US" w:eastAsia="zh-CN"/>
              </w:rPr>
              <w:t>根据供应商针对本项目配备的</w:t>
            </w:r>
            <w:r>
              <w:rPr>
                <w:rFonts w:hint="eastAsia" w:ascii="宋体" w:hAnsi="宋体"/>
                <w:sz w:val="21"/>
                <w:szCs w:val="21"/>
                <w:highlight w:val="none"/>
              </w:rPr>
              <w:t>项目部人员</w:t>
            </w:r>
            <w:r>
              <w:rPr>
                <w:rFonts w:hint="eastAsia" w:ascii="宋体" w:hAnsi="宋体"/>
                <w:sz w:val="21"/>
                <w:szCs w:val="21"/>
                <w:highlight w:val="none"/>
                <w:lang w:val="en-US" w:eastAsia="zh-CN"/>
              </w:rPr>
              <w:t>组成进行综合评审。</w:t>
            </w:r>
          </w:p>
        </w:tc>
        <w:tc>
          <w:tcPr>
            <w:tcW w:w="3755" w:type="dxa"/>
            <w:noWrap w:val="0"/>
            <w:vAlign w:val="center"/>
          </w:tcPr>
          <w:p>
            <w:pPr>
              <w:spacing w:line="320" w:lineRule="exact"/>
              <w:jc w:val="center"/>
              <w:rPr>
                <w:rFonts w:hint="eastAsia" w:ascii="宋体" w:hAnsi="宋体" w:eastAsia="宋体" w:cs="宋体"/>
                <w:sz w:val="21"/>
                <w:szCs w:val="21"/>
                <w:highlight w:val="none"/>
              </w:rPr>
            </w:pPr>
            <w:r>
              <w:rPr>
                <w:rFonts w:hint="eastAsia" w:ascii="宋体" w:hAnsi="宋体"/>
                <w:sz w:val="21"/>
                <w:szCs w:val="21"/>
                <w:highlight w:val="none"/>
                <w:lang w:val="en-US" w:eastAsia="zh-CN"/>
              </w:rPr>
              <w:t>由评审专家进行打分计0-8分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eastAsia" w:ascii="宋体" w:hAnsi="宋体" w:eastAsia="宋体" w:cs="宋体"/>
                <w:sz w:val="21"/>
                <w:szCs w:val="21"/>
                <w:highlight w:val="none"/>
              </w:rPr>
            </w:pPr>
            <w:r>
              <w:rPr>
                <w:rFonts w:hint="eastAsia" w:ascii="宋体" w:hAnsi="宋体"/>
                <w:sz w:val="21"/>
                <w:szCs w:val="21"/>
                <w:highlight w:val="none"/>
              </w:rPr>
              <w:t>质量管理体系与措施</w:t>
            </w:r>
          </w:p>
        </w:tc>
        <w:tc>
          <w:tcPr>
            <w:tcW w:w="3706" w:type="dxa"/>
            <w:noWrap w:val="0"/>
            <w:vAlign w:val="center"/>
          </w:tcPr>
          <w:p>
            <w:pPr>
              <w:spacing w:line="320" w:lineRule="exact"/>
              <w:rPr>
                <w:rFonts w:hint="default" w:ascii="宋体" w:hAnsi="宋体" w:eastAsia="宋体" w:cs="宋体"/>
                <w:sz w:val="21"/>
                <w:szCs w:val="21"/>
                <w:highlight w:val="none"/>
                <w:lang w:val="en-US"/>
              </w:rPr>
            </w:pPr>
            <w:r>
              <w:rPr>
                <w:rFonts w:hint="eastAsia" w:ascii="宋体" w:hAnsi="宋体"/>
                <w:sz w:val="21"/>
                <w:szCs w:val="21"/>
                <w:highlight w:val="none"/>
                <w:lang w:val="en-US" w:eastAsia="zh-CN"/>
              </w:rPr>
              <w:t>根据供应商针对本项目提供的质量管理体系与措施进行综合评审。</w:t>
            </w:r>
          </w:p>
        </w:tc>
        <w:tc>
          <w:tcPr>
            <w:tcW w:w="3755" w:type="dxa"/>
            <w:noWrap w:val="0"/>
            <w:vAlign w:val="center"/>
          </w:tcPr>
          <w:p>
            <w:pPr>
              <w:spacing w:line="320" w:lineRule="exact"/>
              <w:jc w:val="center"/>
              <w:rPr>
                <w:rFonts w:hint="eastAsia" w:ascii="宋体" w:hAnsi="宋体" w:eastAsia="宋体" w:cs="宋体"/>
                <w:sz w:val="21"/>
                <w:szCs w:val="21"/>
                <w:highlight w:val="none"/>
              </w:rPr>
            </w:pPr>
            <w:r>
              <w:rPr>
                <w:rFonts w:hint="eastAsia" w:ascii="宋体" w:hAnsi="宋体"/>
                <w:sz w:val="21"/>
                <w:szCs w:val="21"/>
                <w:highlight w:val="none"/>
                <w:lang w:val="en-US" w:eastAsia="zh-CN"/>
              </w:rPr>
              <w:t>由评审专家进行打分计0-8分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eastAsia" w:ascii="宋体" w:hAnsi="宋体" w:eastAsia="宋体" w:cs="宋体"/>
                <w:sz w:val="21"/>
                <w:szCs w:val="21"/>
                <w:highlight w:val="none"/>
              </w:rPr>
            </w:pPr>
            <w:r>
              <w:rPr>
                <w:rFonts w:hint="eastAsia" w:ascii="宋体" w:hAnsi="宋体"/>
                <w:sz w:val="21"/>
                <w:szCs w:val="21"/>
                <w:highlight w:val="none"/>
              </w:rPr>
              <w:t>工程</w:t>
            </w:r>
            <w:r>
              <w:rPr>
                <w:rFonts w:ascii="宋体" w:hAnsi="宋体"/>
                <w:sz w:val="21"/>
                <w:szCs w:val="21"/>
                <w:highlight w:val="none"/>
              </w:rPr>
              <w:t>进度计划</w:t>
            </w:r>
            <w:r>
              <w:rPr>
                <w:rFonts w:hint="eastAsia" w:ascii="宋体" w:hAnsi="宋体"/>
                <w:sz w:val="21"/>
                <w:szCs w:val="21"/>
                <w:highlight w:val="none"/>
              </w:rPr>
              <w:t>与措施</w:t>
            </w:r>
          </w:p>
        </w:tc>
        <w:tc>
          <w:tcPr>
            <w:tcW w:w="3706" w:type="dxa"/>
            <w:noWrap w:val="0"/>
            <w:vAlign w:val="center"/>
          </w:tcPr>
          <w:p>
            <w:pPr>
              <w:spacing w:line="320" w:lineRule="exact"/>
              <w:rPr>
                <w:rFonts w:hint="default" w:ascii="宋体" w:hAnsi="宋体" w:eastAsia="宋体" w:cs="宋体"/>
                <w:sz w:val="21"/>
                <w:szCs w:val="21"/>
                <w:highlight w:val="none"/>
                <w:lang w:val="en-US"/>
              </w:rPr>
            </w:pPr>
            <w:r>
              <w:rPr>
                <w:rFonts w:hint="eastAsia" w:ascii="宋体" w:hAnsi="宋体"/>
                <w:sz w:val="21"/>
                <w:szCs w:val="21"/>
                <w:highlight w:val="none"/>
                <w:lang w:val="en-US" w:eastAsia="zh-CN"/>
              </w:rPr>
              <w:t>根据供应商提供的</w:t>
            </w:r>
            <w:r>
              <w:rPr>
                <w:rFonts w:hint="eastAsia" w:ascii="宋体" w:hAnsi="宋体"/>
                <w:sz w:val="21"/>
                <w:szCs w:val="21"/>
                <w:highlight w:val="none"/>
              </w:rPr>
              <w:t>工期横道图</w:t>
            </w:r>
            <w:r>
              <w:rPr>
                <w:rFonts w:hint="eastAsia" w:ascii="宋体" w:hAnsi="宋体"/>
                <w:sz w:val="21"/>
                <w:szCs w:val="21"/>
                <w:highlight w:val="none"/>
                <w:lang w:val="en-US" w:eastAsia="zh-CN"/>
              </w:rPr>
              <w:t>、</w:t>
            </w:r>
            <w:r>
              <w:rPr>
                <w:rFonts w:hint="eastAsia" w:ascii="宋体" w:hAnsi="宋体"/>
                <w:sz w:val="21"/>
                <w:szCs w:val="21"/>
                <w:highlight w:val="none"/>
              </w:rPr>
              <w:t>工期计划和保证措</w:t>
            </w:r>
            <w:r>
              <w:rPr>
                <w:rFonts w:hint="eastAsia" w:ascii="宋体" w:hAnsi="宋体"/>
                <w:sz w:val="21"/>
                <w:szCs w:val="21"/>
                <w:highlight w:val="none"/>
                <w:lang w:val="en-US" w:eastAsia="zh-CN"/>
              </w:rPr>
              <w:t>施等进行综合评审。</w:t>
            </w:r>
          </w:p>
        </w:tc>
        <w:tc>
          <w:tcPr>
            <w:tcW w:w="3755" w:type="dxa"/>
            <w:noWrap w:val="0"/>
            <w:vAlign w:val="center"/>
          </w:tcPr>
          <w:p>
            <w:pPr>
              <w:spacing w:line="320" w:lineRule="exact"/>
              <w:jc w:val="center"/>
              <w:rPr>
                <w:rFonts w:hint="eastAsia" w:ascii="宋体" w:hAnsi="宋体" w:eastAsia="宋体" w:cs="宋体"/>
                <w:sz w:val="21"/>
                <w:szCs w:val="21"/>
                <w:highlight w:val="none"/>
              </w:rPr>
            </w:pPr>
            <w:r>
              <w:rPr>
                <w:rFonts w:hint="eastAsia" w:ascii="宋体" w:hAnsi="宋体"/>
                <w:sz w:val="21"/>
                <w:szCs w:val="21"/>
                <w:highlight w:val="none"/>
                <w:lang w:val="en-US" w:eastAsia="zh-CN"/>
              </w:rPr>
              <w:t>由评审专家进行打分计0-8分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主要材料和设备选用</w:t>
            </w:r>
          </w:p>
          <w:p>
            <w:pPr>
              <w:widowControl w:val="0"/>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情况</w:t>
            </w:r>
          </w:p>
        </w:tc>
        <w:tc>
          <w:tcPr>
            <w:tcW w:w="3706" w:type="dxa"/>
            <w:noWrap w:val="0"/>
            <w:vAlign w:val="center"/>
          </w:tcPr>
          <w:p>
            <w:pPr>
              <w:spacing w:line="32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根据供应商针对本项目提供的主要材料、设备的品牌、型号、厂家信息及质量相关证明材料进行综合评审</w:t>
            </w:r>
          </w:p>
        </w:tc>
        <w:tc>
          <w:tcPr>
            <w:tcW w:w="3755" w:type="dxa"/>
            <w:noWrap w:val="0"/>
            <w:vAlign w:val="center"/>
          </w:tcPr>
          <w:p>
            <w:pPr>
              <w:spacing w:line="320" w:lineRule="exact"/>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由评审专家进行打分计0-6分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eastAsia" w:ascii="宋体" w:hAnsi="宋体" w:eastAsia="宋体" w:cs="宋体"/>
                <w:sz w:val="21"/>
                <w:szCs w:val="21"/>
                <w:highlight w:val="none"/>
              </w:rPr>
            </w:pPr>
            <w:r>
              <w:rPr>
                <w:rFonts w:hint="eastAsia" w:ascii="宋体" w:hAnsi="宋体"/>
                <w:sz w:val="21"/>
                <w:szCs w:val="21"/>
                <w:highlight w:val="none"/>
              </w:rPr>
              <w:t>安全管理体系与措施</w:t>
            </w:r>
          </w:p>
        </w:tc>
        <w:tc>
          <w:tcPr>
            <w:tcW w:w="3706" w:type="dxa"/>
            <w:noWrap w:val="0"/>
            <w:vAlign w:val="center"/>
          </w:tcPr>
          <w:p>
            <w:pPr>
              <w:spacing w:line="320" w:lineRule="exact"/>
              <w:rPr>
                <w:rFonts w:hint="eastAsia" w:ascii="宋体" w:hAnsi="宋体" w:eastAsia="宋体" w:cs="宋体"/>
                <w:sz w:val="21"/>
                <w:szCs w:val="21"/>
                <w:highlight w:val="none"/>
              </w:rPr>
            </w:pPr>
            <w:r>
              <w:rPr>
                <w:rFonts w:hint="eastAsia" w:ascii="宋体" w:hAnsi="宋体"/>
                <w:sz w:val="21"/>
                <w:szCs w:val="21"/>
                <w:highlight w:val="none"/>
                <w:lang w:val="en-US" w:eastAsia="zh-CN"/>
              </w:rPr>
              <w:t>根据供应商提供的</w:t>
            </w:r>
            <w:r>
              <w:rPr>
                <w:rFonts w:hint="eastAsia" w:ascii="宋体" w:hAnsi="宋体"/>
                <w:sz w:val="21"/>
                <w:szCs w:val="21"/>
                <w:highlight w:val="none"/>
              </w:rPr>
              <w:t>安全管理体系与措施</w:t>
            </w:r>
            <w:r>
              <w:rPr>
                <w:rFonts w:hint="eastAsia" w:ascii="宋体" w:hAnsi="宋体"/>
                <w:sz w:val="21"/>
                <w:szCs w:val="21"/>
                <w:highlight w:val="none"/>
                <w:lang w:val="en-US" w:eastAsia="zh-CN"/>
              </w:rPr>
              <w:t>、</w:t>
            </w:r>
            <w:r>
              <w:rPr>
                <w:rFonts w:hint="eastAsia" w:ascii="宋体" w:hAnsi="宋体"/>
                <w:sz w:val="21"/>
                <w:szCs w:val="21"/>
                <w:highlight w:val="none"/>
              </w:rPr>
              <w:t>安全预案</w:t>
            </w:r>
            <w:r>
              <w:rPr>
                <w:rFonts w:hint="eastAsia" w:ascii="宋体" w:hAnsi="宋体"/>
                <w:sz w:val="21"/>
                <w:szCs w:val="21"/>
                <w:highlight w:val="none"/>
                <w:lang w:val="en-US" w:eastAsia="zh-CN"/>
              </w:rPr>
              <w:t>等进行综合评审。</w:t>
            </w:r>
          </w:p>
        </w:tc>
        <w:tc>
          <w:tcPr>
            <w:tcW w:w="3755" w:type="dxa"/>
            <w:noWrap w:val="0"/>
            <w:vAlign w:val="center"/>
          </w:tcPr>
          <w:p>
            <w:pPr>
              <w:spacing w:line="320" w:lineRule="exact"/>
              <w:jc w:val="center"/>
              <w:rPr>
                <w:rFonts w:hint="eastAsia" w:ascii="宋体" w:hAnsi="宋体" w:eastAsia="宋体" w:cs="宋体"/>
                <w:sz w:val="21"/>
                <w:szCs w:val="21"/>
                <w:highlight w:val="none"/>
              </w:rPr>
            </w:pPr>
            <w:r>
              <w:rPr>
                <w:rFonts w:hint="eastAsia" w:ascii="宋体" w:hAnsi="宋体"/>
                <w:sz w:val="21"/>
                <w:szCs w:val="21"/>
                <w:highlight w:val="none"/>
                <w:lang w:val="en-US" w:eastAsia="zh-CN"/>
              </w:rPr>
              <w:t>由评审专家进行打分计0-6分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eastAsia" w:ascii="宋体" w:hAnsi="宋体" w:eastAsia="宋体" w:cs="宋体"/>
                <w:sz w:val="21"/>
                <w:szCs w:val="21"/>
                <w:highlight w:val="none"/>
              </w:rPr>
            </w:pPr>
            <w:r>
              <w:rPr>
                <w:rFonts w:hint="eastAsia" w:ascii="宋体" w:hAnsi="宋体"/>
                <w:sz w:val="21"/>
                <w:szCs w:val="21"/>
                <w:highlight w:val="none"/>
              </w:rPr>
              <w:t>环境保护管理体系与措施</w:t>
            </w:r>
          </w:p>
        </w:tc>
        <w:tc>
          <w:tcPr>
            <w:tcW w:w="3706" w:type="dxa"/>
            <w:noWrap w:val="0"/>
            <w:vAlign w:val="center"/>
          </w:tcPr>
          <w:p>
            <w:pPr>
              <w:spacing w:line="320" w:lineRule="exact"/>
              <w:rPr>
                <w:rFonts w:hint="eastAsia" w:ascii="宋体" w:hAnsi="宋体" w:eastAsia="宋体" w:cs="宋体"/>
                <w:sz w:val="21"/>
                <w:szCs w:val="21"/>
                <w:highlight w:val="none"/>
              </w:rPr>
            </w:pPr>
            <w:r>
              <w:rPr>
                <w:rFonts w:hint="eastAsia" w:ascii="宋体" w:hAnsi="宋体"/>
                <w:sz w:val="21"/>
                <w:szCs w:val="21"/>
                <w:highlight w:val="none"/>
                <w:lang w:val="en-US" w:eastAsia="zh-CN"/>
              </w:rPr>
              <w:t>根据供应商提供的</w:t>
            </w:r>
            <w:r>
              <w:rPr>
                <w:rFonts w:hint="eastAsia" w:ascii="宋体" w:hAnsi="宋体"/>
                <w:sz w:val="21"/>
                <w:szCs w:val="21"/>
                <w:highlight w:val="none"/>
              </w:rPr>
              <w:t>环境保护管理体系</w:t>
            </w:r>
            <w:r>
              <w:rPr>
                <w:rFonts w:hint="eastAsia" w:ascii="宋体" w:hAnsi="宋体"/>
                <w:sz w:val="21"/>
                <w:szCs w:val="21"/>
                <w:highlight w:val="none"/>
                <w:lang w:val="en-US" w:eastAsia="zh-CN"/>
              </w:rPr>
              <w:t>与</w:t>
            </w:r>
            <w:r>
              <w:rPr>
                <w:rFonts w:hint="eastAsia" w:ascii="宋体" w:hAnsi="宋体"/>
                <w:sz w:val="21"/>
                <w:szCs w:val="21"/>
                <w:highlight w:val="none"/>
              </w:rPr>
              <w:t>措施</w:t>
            </w:r>
            <w:r>
              <w:rPr>
                <w:rFonts w:hint="eastAsia" w:ascii="宋体" w:hAnsi="宋体"/>
                <w:sz w:val="21"/>
                <w:szCs w:val="21"/>
                <w:highlight w:val="none"/>
                <w:lang w:val="en-US" w:eastAsia="zh-CN"/>
              </w:rPr>
              <w:t>进行综合评审。</w:t>
            </w:r>
          </w:p>
        </w:tc>
        <w:tc>
          <w:tcPr>
            <w:tcW w:w="3755" w:type="dxa"/>
            <w:noWrap w:val="0"/>
            <w:vAlign w:val="center"/>
          </w:tcPr>
          <w:p>
            <w:pPr>
              <w:spacing w:line="320" w:lineRule="exact"/>
              <w:jc w:val="center"/>
              <w:rPr>
                <w:rFonts w:hint="eastAsia" w:ascii="宋体" w:hAnsi="宋体" w:eastAsia="宋体" w:cs="宋体"/>
                <w:sz w:val="21"/>
                <w:szCs w:val="21"/>
                <w:highlight w:val="none"/>
              </w:rPr>
            </w:pPr>
            <w:r>
              <w:rPr>
                <w:rFonts w:hint="eastAsia" w:ascii="宋体" w:hAnsi="宋体"/>
                <w:sz w:val="21"/>
                <w:szCs w:val="21"/>
                <w:highlight w:val="none"/>
                <w:lang w:val="en-US" w:eastAsia="zh-CN"/>
              </w:rPr>
              <w:t>由评审专家进行打分计0-6分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eastAsia" w:ascii="宋体" w:hAnsi="宋体" w:eastAsia="宋体" w:cs="宋体"/>
                <w:color w:val="auto"/>
                <w:sz w:val="21"/>
                <w:szCs w:val="21"/>
                <w:highlight w:val="none"/>
              </w:rPr>
            </w:pPr>
            <w:r>
              <w:rPr>
                <w:rFonts w:ascii="宋体" w:hAnsi="宋体"/>
                <w:color w:val="auto"/>
                <w:sz w:val="21"/>
                <w:szCs w:val="21"/>
                <w:highlight w:val="none"/>
              </w:rPr>
              <w:t>劳动力计划安排</w:t>
            </w:r>
            <w:r>
              <w:rPr>
                <w:rFonts w:hint="eastAsia" w:ascii="宋体" w:hAnsi="宋体"/>
                <w:color w:val="auto"/>
                <w:sz w:val="21"/>
                <w:szCs w:val="21"/>
                <w:highlight w:val="none"/>
              </w:rPr>
              <w:t>及设备配置</w:t>
            </w:r>
          </w:p>
        </w:tc>
        <w:tc>
          <w:tcPr>
            <w:tcW w:w="3706" w:type="dxa"/>
            <w:noWrap w:val="0"/>
            <w:vAlign w:val="center"/>
          </w:tcPr>
          <w:p>
            <w:pPr>
              <w:spacing w:line="320" w:lineRule="exact"/>
              <w:rPr>
                <w:rFonts w:hint="eastAsia" w:ascii="宋体" w:hAnsi="宋体" w:eastAsia="宋体" w:cs="宋体"/>
                <w:color w:val="auto"/>
                <w:sz w:val="21"/>
                <w:szCs w:val="21"/>
                <w:highlight w:val="none"/>
              </w:rPr>
            </w:pPr>
            <w:r>
              <w:rPr>
                <w:rFonts w:ascii="宋体" w:hAnsi="宋体"/>
                <w:color w:val="auto"/>
                <w:sz w:val="21"/>
                <w:szCs w:val="21"/>
                <w:highlight w:val="none"/>
              </w:rPr>
              <w:t>根据施工进度需求、</w:t>
            </w:r>
            <w:r>
              <w:rPr>
                <w:rFonts w:hint="eastAsia" w:ascii="宋体" w:hAnsi="宋体"/>
                <w:color w:val="auto"/>
                <w:sz w:val="21"/>
                <w:szCs w:val="21"/>
                <w:highlight w:val="none"/>
                <w:lang w:val="en-US" w:eastAsia="zh-CN"/>
              </w:rPr>
              <w:t>劳动力计划安排及设备配置进行综合评审。</w:t>
            </w:r>
          </w:p>
        </w:tc>
        <w:tc>
          <w:tcPr>
            <w:tcW w:w="3755" w:type="dxa"/>
            <w:noWrap w:val="0"/>
            <w:vAlign w:val="center"/>
          </w:tcPr>
          <w:p>
            <w:pPr>
              <w:spacing w:line="320" w:lineRule="exact"/>
              <w:jc w:val="center"/>
              <w:rPr>
                <w:rFonts w:hint="eastAsia" w:ascii="宋体" w:hAnsi="宋体" w:eastAsia="宋体" w:cs="宋体"/>
                <w:sz w:val="21"/>
                <w:szCs w:val="21"/>
                <w:highlight w:val="none"/>
              </w:rPr>
            </w:pPr>
            <w:r>
              <w:rPr>
                <w:rFonts w:hint="eastAsia" w:ascii="宋体" w:hAnsi="宋体"/>
                <w:sz w:val="21"/>
                <w:szCs w:val="21"/>
                <w:highlight w:val="none"/>
                <w:lang w:val="en-US" w:eastAsia="zh-CN"/>
              </w:rPr>
              <w:t>由评审专家进行打分计0-6分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合理化建议</w:t>
            </w:r>
            <w:r>
              <w:rPr>
                <w:rFonts w:hint="eastAsia" w:ascii="宋体" w:hAnsi="宋体" w:eastAsia="宋体" w:cs="宋体"/>
                <w:color w:val="auto"/>
                <w:sz w:val="21"/>
                <w:szCs w:val="21"/>
                <w:highlight w:val="none"/>
                <w:lang w:val="en-US" w:eastAsia="zh-CN"/>
              </w:rPr>
              <w:t xml:space="preserve">   </w:t>
            </w:r>
          </w:p>
        </w:tc>
        <w:tc>
          <w:tcPr>
            <w:tcW w:w="3706" w:type="dxa"/>
            <w:noWrap w:val="0"/>
            <w:vAlign w:val="center"/>
          </w:tcPr>
          <w:p>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lang w:val="en-US" w:eastAsia="zh-CN"/>
              </w:rPr>
              <w:t>根据供应商提出的对提高工程质量、加快工程进度、降低工程成本的合理化建议进行评审。</w:t>
            </w:r>
          </w:p>
        </w:tc>
        <w:tc>
          <w:tcPr>
            <w:tcW w:w="3755" w:type="dxa"/>
            <w:noWrap w:val="0"/>
            <w:vAlign w:val="center"/>
          </w:tcPr>
          <w:p>
            <w:pPr>
              <w:widowControl w:val="0"/>
              <w:spacing w:line="276" w:lineRule="auto"/>
              <w:jc w:val="center"/>
              <w:rPr>
                <w:rFonts w:hint="default" w:ascii="宋体" w:hAnsi="宋体" w:eastAsia="宋体" w:cs="宋体"/>
                <w:sz w:val="21"/>
                <w:szCs w:val="21"/>
                <w:highlight w:val="none"/>
                <w:lang w:val="en-US" w:eastAsia="zh-CN"/>
              </w:rPr>
            </w:pPr>
            <w:r>
              <w:rPr>
                <w:rFonts w:hint="eastAsia" w:ascii="宋体" w:hAnsi="宋体"/>
                <w:sz w:val="21"/>
                <w:szCs w:val="21"/>
                <w:highlight w:val="none"/>
                <w:lang w:val="en-US" w:eastAsia="zh-CN"/>
              </w:rPr>
              <w:t>由评审专家进行打分计</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8840" w:type="dxa"/>
            <w:gridSpan w:val="3"/>
            <w:noWrap w:val="0"/>
            <w:vAlign w:val="center"/>
          </w:tcPr>
          <w:p>
            <w:pPr>
              <w:widowControl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注：以上内容严重错项、漏项的，经2/3以上评标委员会确认后，该项得0分。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61" w:type="dxa"/>
            <w:vMerge w:val="continue"/>
            <w:noWrap w:val="0"/>
            <w:vAlign w:val="center"/>
          </w:tcPr>
          <w:p>
            <w:pPr>
              <w:widowControl w:val="0"/>
              <w:jc w:val="center"/>
              <w:rPr>
                <w:rFonts w:hint="eastAsia" w:ascii="宋体" w:hAnsi="宋体" w:eastAsia="宋体" w:cs="宋体"/>
                <w:sz w:val="21"/>
                <w:szCs w:val="21"/>
                <w:highlight w:val="none"/>
              </w:rPr>
            </w:pPr>
          </w:p>
        </w:tc>
        <w:tc>
          <w:tcPr>
            <w:tcW w:w="1379" w:type="dxa"/>
            <w:noWrap w:val="0"/>
            <w:vAlign w:val="center"/>
          </w:tcPr>
          <w:p>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类似业绩</w:t>
            </w:r>
          </w:p>
        </w:tc>
        <w:tc>
          <w:tcPr>
            <w:tcW w:w="3706" w:type="dxa"/>
            <w:noWrap w:val="0"/>
            <w:vAlign w:val="center"/>
          </w:tcPr>
          <w:p>
            <w:pPr>
              <w:widowControl w:val="0"/>
              <w:jc w:val="left"/>
              <w:rPr>
                <w:rFonts w:hint="eastAsia" w:eastAsia="宋体"/>
                <w:highlight w:val="none"/>
                <w:lang w:eastAsia="zh-CN"/>
              </w:rPr>
            </w:pPr>
            <w:r>
              <w:rPr>
                <w:rFonts w:hint="eastAsia" w:ascii="宋体" w:hAnsi="宋体" w:eastAsia="宋体" w:cs="宋体"/>
                <w:color w:val="auto"/>
                <w:szCs w:val="24"/>
                <w:highlight w:val="none"/>
              </w:rPr>
              <w:t>提供2</w:t>
            </w:r>
            <w:r>
              <w:rPr>
                <w:rFonts w:hint="eastAsia" w:hAnsi="宋体" w:cs="宋体"/>
                <w:color w:val="auto"/>
                <w:szCs w:val="24"/>
                <w:highlight w:val="none"/>
                <w:lang w:val="en-US" w:eastAsia="zh-CN"/>
              </w:rPr>
              <w:t>020</w:t>
            </w:r>
            <w:r>
              <w:rPr>
                <w:rFonts w:hint="eastAsia" w:ascii="宋体" w:hAnsi="宋体" w:eastAsia="宋体" w:cs="宋体"/>
                <w:color w:val="auto"/>
                <w:szCs w:val="24"/>
                <w:highlight w:val="none"/>
              </w:rPr>
              <w:t>年1月至今同类项目业绩，投标文件中附有其合同文件为依据（提供加盖供应商红色公章的完整复印件，合同以签订时间为准），供应商</w:t>
            </w:r>
            <w:r>
              <w:rPr>
                <w:rFonts w:hint="eastAsia" w:ascii="宋体" w:hAnsi="宋体" w:eastAsia="宋体" w:cs="宋体"/>
                <w:color w:val="auto"/>
                <w:szCs w:val="24"/>
                <w:highlight w:val="none"/>
                <w:lang w:eastAsia="zh-CN"/>
              </w:rPr>
              <w:t>每</w:t>
            </w:r>
            <w:r>
              <w:rPr>
                <w:rFonts w:hint="eastAsia" w:ascii="宋体" w:hAnsi="宋体" w:eastAsia="宋体" w:cs="宋体"/>
                <w:color w:val="auto"/>
                <w:szCs w:val="24"/>
                <w:highlight w:val="none"/>
              </w:rPr>
              <w:t>提供一份业绩得2分，本项最高得</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分。不提供或不按要求提供，本项得0分。</w:t>
            </w:r>
          </w:p>
        </w:tc>
        <w:tc>
          <w:tcPr>
            <w:tcW w:w="3755" w:type="dxa"/>
            <w:noWrap w:val="0"/>
            <w:vAlign w:val="center"/>
          </w:tcPr>
          <w:p>
            <w:pPr>
              <w:widowControl w:val="0"/>
              <w:ind w:firstLine="210" w:firstLineChars="1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261" w:type="dxa"/>
            <w:noWrap w:val="0"/>
            <w:vAlign w:val="center"/>
          </w:tcPr>
          <w:p>
            <w:pPr>
              <w:widowControl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3.4</w:t>
            </w:r>
          </w:p>
          <w:p>
            <w:pPr>
              <w:widowControl w:val="0"/>
              <w:numPr>
                <w:ilvl w:val="0"/>
                <w:numId w:val="4"/>
              </w:numPr>
              <w:jc w:val="center"/>
              <w:rPr>
                <w:rFonts w:hint="eastAsia" w:ascii="宋体" w:hAnsi="宋体" w:eastAsia="宋体" w:cs="宋体"/>
                <w:sz w:val="21"/>
                <w:szCs w:val="21"/>
                <w:highlight w:val="none"/>
                <w:lang w:eastAsia="zh-CN"/>
              </w:rPr>
            </w:pPr>
          </w:p>
          <w:p>
            <w:pPr>
              <w:widowControl w:val="0"/>
              <w:numPr>
                <w:ilvl w:val="0"/>
                <w:numId w:val="0"/>
              </w:num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w:t>
            </w:r>
          </w:p>
          <w:p>
            <w:pPr>
              <w:widowControl w:val="0"/>
              <w:numPr>
                <w:ilvl w:val="0"/>
                <w:numId w:val="0"/>
              </w:num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部分</w:t>
            </w:r>
          </w:p>
          <w:p>
            <w:pPr>
              <w:widowControl w:val="0"/>
              <w:numPr>
                <w:ilvl w:val="0"/>
                <w:numId w:val="0"/>
              </w:num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30分</w:t>
            </w:r>
            <w:r>
              <w:rPr>
                <w:rFonts w:hint="eastAsia" w:ascii="宋体" w:hAnsi="宋体" w:cs="宋体"/>
                <w:sz w:val="21"/>
                <w:szCs w:val="21"/>
                <w:highlight w:val="none"/>
                <w:lang w:eastAsia="zh-CN"/>
              </w:rPr>
              <w:t>）</w:t>
            </w:r>
          </w:p>
        </w:tc>
        <w:tc>
          <w:tcPr>
            <w:tcW w:w="1379" w:type="dxa"/>
            <w:noWrap w:val="0"/>
            <w:vAlign w:val="center"/>
          </w:tcPr>
          <w:p>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商务</w:t>
            </w:r>
            <w:r>
              <w:rPr>
                <w:rFonts w:hint="eastAsia" w:ascii="宋体" w:hAnsi="宋体" w:eastAsia="宋体" w:cs="宋体"/>
                <w:sz w:val="21"/>
                <w:szCs w:val="21"/>
                <w:highlight w:val="none"/>
                <w:lang w:eastAsia="zh-CN"/>
              </w:rPr>
              <w:t>部分</w:t>
            </w:r>
          </w:p>
          <w:p>
            <w:pPr>
              <w:widowControl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3706" w:type="dxa"/>
            <w:noWrap w:val="0"/>
            <w:vAlign w:val="center"/>
          </w:tcPr>
          <w:p>
            <w:pPr>
              <w:widowControl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投标总报价评分标准</w:t>
            </w:r>
          </w:p>
          <w:p>
            <w:pPr>
              <w:widowControl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3755" w:type="dxa"/>
            <w:noWrap w:val="0"/>
            <w:vAlign w:val="center"/>
          </w:tcPr>
          <w:p>
            <w:pPr>
              <w:widowControl w:val="0"/>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满足招标文件要求且投标价格最低的投标报价为评标基准价，其价格分为满分。其他供应商的价格分统一按照下列公式计算：投标报价得分=（评标基准价/投标报价）×30</w:t>
            </w:r>
          </w:p>
        </w:tc>
      </w:tr>
    </w:tbl>
    <w:p>
      <w:pPr>
        <w:pStyle w:val="15"/>
        <w:adjustRightInd w:val="0"/>
        <w:snapToGrid w:val="0"/>
        <w:spacing w:line="240" w:lineRule="auto"/>
        <w:rPr>
          <w:rFonts w:hint="eastAsia" w:ascii="宋体" w:hAnsi="宋体" w:eastAsia="宋体" w:cs="宋体"/>
          <w:b/>
          <w:bCs/>
          <w:sz w:val="24"/>
          <w:highlight w:val="none"/>
        </w:rPr>
      </w:pPr>
      <w:r>
        <w:rPr>
          <w:rFonts w:hint="eastAsia" w:ascii="宋体" w:hAnsi="宋体" w:eastAsia="宋体" w:cs="宋体"/>
          <w:b/>
          <w:bCs/>
          <w:sz w:val="24"/>
          <w:highlight w:val="none"/>
        </w:rPr>
        <w:t>备注：</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若出现综合得分并列时，依次比较投标报价、施工方案</w:t>
      </w:r>
      <w:r>
        <w:rPr>
          <w:rFonts w:hint="eastAsia" w:ascii="宋体" w:hAnsi="宋体" w:eastAsia="宋体" w:cs="宋体"/>
          <w:sz w:val="24"/>
          <w:highlight w:val="none"/>
          <w:lang w:eastAsia="zh-CN"/>
        </w:rPr>
        <w:t>及</w:t>
      </w:r>
      <w:r>
        <w:rPr>
          <w:rFonts w:hint="eastAsia" w:ascii="宋体" w:hAnsi="宋体" w:eastAsia="宋体" w:cs="宋体"/>
          <w:sz w:val="24"/>
          <w:highlight w:val="none"/>
        </w:rPr>
        <w:t>技术措施</w:t>
      </w:r>
      <w:r>
        <w:rPr>
          <w:rFonts w:hint="eastAsia" w:ascii="宋体" w:hAnsi="宋体" w:eastAsia="宋体" w:cs="宋体"/>
          <w:sz w:val="24"/>
          <w:highlight w:val="none"/>
          <w:lang w:eastAsia="zh-CN"/>
        </w:rPr>
        <w:t>、项目组人员组成、</w:t>
      </w:r>
      <w:r>
        <w:rPr>
          <w:rFonts w:hint="eastAsia" w:ascii="宋体" w:hAnsi="宋体" w:eastAsia="宋体" w:cs="宋体"/>
          <w:sz w:val="24"/>
          <w:highlight w:val="none"/>
          <w:lang w:val="en-US" w:eastAsia="zh-CN"/>
        </w:rPr>
        <w:t>主要材料和设备选用情况</w:t>
      </w:r>
      <w:r>
        <w:rPr>
          <w:rFonts w:hint="eastAsia" w:ascii="宋体" w:hAnsi="宋体" w:eastAsia="宋体" w:cs="宋体"/>
          <w:sz w:val="24"/>
          <w:highlight w:val="none"/>
        </w:rPr>
        <w:t>等内容的得分，分项得分高者排序在前；若价得分仍相同，则由评标委员会无记名投票，得票高者排序在前。</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评委需要严格按照以上方法赋分，不得超过分数界限赋分。</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各种计算数字均保留两位小数，第三位“四舍五入”。</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最低报价不是中标的唯一依据。</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废标的情形</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招标采购中，出现下列情形之一的，应予以废标：</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（1）符合专业条件的供应商或者对招标文件作实质响应的供应商不足3家的；</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（3）供应商的报价均超过了采购预算，采购人不能支付的；</w:t>
      </w:r>
    </w:p>
    <w:p>
      <w:pPr>
        <w:pStyle w:val="15"/>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w:t>
      </w:r>
      <w:bookmarkStart w:id="1527" w:name="_GoBack"/>
      <w:r>
        <w:rPr>
          <w:rFonts w:hint="eastAsia" w:ascii="宋体" w:hAnsi="宋体" w:eastAsia="宋体" w:cs="宋体"/>
          <w:sz w:val="24"/>
          <w:highlight w:val="none"/>
        </w:rPr>
        <w:t>因重大变故，采购任务取消的</w:t>
      </w:r>
      <w:bookmarkEnd w:id="1527"/>
      <w:r>
        <w:rPr>
          <w:rFonts w:hint="eastAsia" w:ascii="宋体" w:hAnsi="宋体" w:eastAsia="宋体" w:cs="宋体"/>
          <w:sz w:val="24"/>
          <w:highlight w:val="none"/>
        </w:rPr>
        <w:t>。</w:t>
      </w:r>
    </w:p>
    <w:p>
      <w:pPr>
        <w:pStyle w:val="15"/>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rPr>
        <w:br w:type="page"/>
      </w:r>
      <w:bookmarkStart w:id="419" w:name="_Toc184635093"/>
      <w:bookmarkStart w:id="420" w:name="_Toc16065"/>
      <w:bookmarkStart w:id="421" w:name="_Toc290389723"/>
      <w:bookmarkStart w:id="422" w:name="_Toc324521819"/>
      <w:bookmarkStart w:id="423" w:name="_Toc321812022"/>
      <w:r>
        <w:rPr>
          <w:rFonts w:hint="eastAsia" w:ascii="宋体" w:hAnsi="宋体" w:eastAsia="宋体" w:cs="宋体"/>
          <w:sz w:val="24"/>
          <w:szCs w:val="24"/>
          <w:highlight w:val="none"/>
        </w:rPr>
        <w:t>1.评标办法</w:t>
      </w:r>
      <w:bookmarkEnd w:id="419"/>
      <w:bookmarkEnd w:id="420"/>
      <w:bookmarkEnd w:id="421"/>
      <w:bookmarkEnd w:id="422"/>
      <w:bookmarkEnd w:id="423"/>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法。评标委员会对满足招标文件实质性要求的投标文件，按照本章规定的评分标准进行打分，并按得分由高到低顺序推荐中标候选人。</w:t>
      </w:r>
    </w:p>
    <w:p>
      <w:pPr>
        <w:pStyle w:val="8"/>
        <w:pageBreakBefore w:val="0"/>
        <w:widowControl w:val="0"/>
        <w:kinsoku/>
        <w:wordWrap/>
        <w:overflowPunct/>
        <w:topLinePunct w:val="0"/>
        <w:autoSpaceDE/>
        <w:autoSpaceDN/>
        <w:bidi w:val="0"/>
        <w:adjustRightInd w:val="0"/>
        <w:snapToGrid w:val="0"/>
        <w:spacing w:before="60" w:after="60" w:line="348" w:lineRule="auto"/>
        <w:textAlignment w:val="auto"/>
        <w:rPr>
          <w:rFonts w:hint="eastAsia" w:ascii="宋体" w:hAnsi="宋体" w:eastAsia="宋体" w:cs="宋体"/>
          <w:sz w:val="24"/>
          <w:szCs w:val="24"/>
          <w:highlight w:val="none"/>
        </w:rPr>
      </w:pPr>
      <w:bookmarkStart w:id="424" w:name="_Toc184635095"/>
      <w:bookmarkStart w:id="425" w:name="_Toc290389725"/>
      <w:bookmarkStart w:id="426" w:name="_Toc903"/>
      <w:bookmarkStart w:id="427" w:name="_Toc321812024"/>
      <w:bookmarkStart w:id="428" w:name="_Toc324521821"/>
      <w:r>
        <w:rPr>
          <w:rFonts w:hint="eastAsia" w:ascii="宋体" w:hAnsi="宋体" w:eastAsia="宋体" w:cs="宋体"/>
          <w:sz w:val="24"/>
          <w:szCs w:val="24"/>
          <w:highlight w:val="none"/>
        </w:rPr>
        <w:t>3.评标程序</w:t>
      </w:r>
      <w:bookmarkEnd w:id="424"/>
      <w:bookmarkEnd w:id="425"/>
      <w:bookmarkEnd w:id="426"/>
      <w:bookmarkEnd w:id="427"/>
      <w:bookmarkEnd w:id="428"/>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 </w:t>
      </w:r>
      <w:r>
        <w:rPr>
          <w:rFonts w:hint="eastAsia" w:ascii="宋体" w:hAnsi="宋体" w:eastAsia="宋体" w:cs="宋体"/>
          <w:color w:val="000000"/>
          <w:sz w:val="24"/>
          <w:szCs w:val="24"/>
          <w:highlight w:val="none"/>
        </w:rPr>
        <w:t>资格</w:t>
      </w:r>
      <w:r>
        <w:rPr>
          <w:rFonts w:hint="eastAsia" w:ascii="宋体" w:hAnsi="宋体" w:eastAsia="宋体" w:cs="宋体"/>
          <w:color w:val="000000"/>
          <w:sz w:val="24"/>
          <w:szCs w:val="24"/>
          <w:highlight w:val="none"/>
          <w:lang w:eastAsia="zh-CN"/>
        </w:rPr>
        <w:t>审查</w:t>
      </w:r>
      <w:r>
        <w:rPr>
          <w:rFonts w:hint="eastAsia" w:ascii="宋体" w:hAnsi="宋体" w:eastAsia="宋体" w:cs="宋体"/>
          <w:color w:val="000000"/>
          <w:sz w:val="24"/>
          <w:szCs w:val="24"/>
          <w:highlight w:val="none"/>
        </w:rPr>
        <w:t>部分</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资审委员会</w:t>
      </w:r>
      <w:r>
        <w:rPr>
          <w:rFonts w:hint="eastAsia" w:ascii="宋体" w:hAnsi="宋体" w:eastAsia="宋体" w:cs="宋体"/>
          <w:sz w:val="24"/>
          <w:szCs w:val="24"/>
          <w:highlight w:val="none"/>
        </w:rPr>
        <w:t>依据本章第2.1项规定的资格评审标准对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eastAsia="zh-CN"/>
        </w:rPr>
        <w:t>审查</w:t>
      </w:r>
      <w:r>
        <w:rPr>
          <w:rFonts w:hint="eastAsia" w:ascii="宋体" w:hAnsi="宋体" w:eastAsia="宋体" w:cs="宋体"/>
          <w:sz w:val="24"/>
          <w:szCs w:val="24"/>
          <w:highlight w:val="none"/>
        </w:rPr>
        <w:t>。</w:t>
      </w:r>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 </w:t>
      </w:r>
      <w:r>
        <w:rPr>
          <w:rFonts w:hint="eastAsia" w:ascii="宋体" w:hAnsi="宋体" w:eastAsia="宋体" w:cs="宋体"/>
          <w:color w:val="000000"/>
          <w:sz w:val="24"/>
          <w:szCs w:val="24"/>
          <w:highlight w:val="none"/>
          <w:lang w:eastAsia="zh-CN"/>
        </w:rPr>
        <w:t>形式及响应性评审</w:t>
      </w:r>
    </w:p>
    <w:p>
      <w:pPr>
        <w:pageBreakBefore w:val="0"/>
        <w:widowControl w:val="0"/>
        <w:kinsoku/>
        <w:wordWrap/>
        <w:overflowPunct/>
        <w:topLinePunct w:val="0"/>
        <w:autoSpaceDE/>
        <w:autoSpaceDN/>
        <w:bidi w:val="0"/>
        <w:adjustRightInd w:val="0"/>
        <w:snapToGrid w:val="0"/>
        <w:spacing w:line="348" w:lineRule="auto"/>
        <w:ind w:left="105" w:leftChars="5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 评标委员会依据本章第2.2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项、第2.</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项规定的评审标准对投标文件进行初步评审。有一项不符合评审标准的，否决其投标。</w:t>
      </w:r>
    </w:p>
    <w:p>
      <w:pPr>
        <w:pageBreakBefore w:val="0"/>
        <w:widowControl w:val="0"/>
        <w:kinsoku/>
        <w:wordWrap/>
        <w:overflowPunct/>
        <w:topLinePunct w:val="0"/>
        <w:autoSpaceDE/>
        <w:autoSpaceDN/>
        <w:bidi w:val="0"/>
        <w:adjustRightInd w:val="0"/>
        <w:snapToGrid w:val="0"/>
        <w:spacing w:line="348" w:lineRule="auto"/>
        <w:ind w:left="105" w:leftChars="5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3.2.2投标报价有算术错误的，评标委员会按以下原则对投标报价进行修正，修正的价格经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不接受修正价格的，否决其投标。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（1）投标文件中的大写金额与小写金额不一致的，以大写金额为准；</w:t>
      </w:r>
    </w:p>
    <w:p>
      <w:pPr>
        <w:pageBreakBefore w:val="0"/>
        <w:widowControl w:val="0"/>
        <w:kinsoku/>
        <w:wordWrap/>
        <w:overflowPunct/>
        <w:topLinePunct w:val="0"/>
        <w:autoSpaceDE/>
        <w:autoSpaceDN/>
        <w:bidi w:val="0"/>
        <w:adjustRightInd w:val="0"/>
        <w:snapToGrid w:val="0"/>
        <w:spacing w:line="348" w:lineRule="auto"/>
        <w:ind w:left="105" w:leftChars="5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（2）总价金额与依据单价计算出的结果不一致的，以单价金额为准修正合价、汇总价及总报价，但单价金额小数点有明显错误的除外。</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3.2.3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有本章附件所列情形之一的，否决其投标。</w:t>
      </w:r>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3.3详细评审</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 评标委员会按本章第2.3 款规定的量化因素和分值进行打分，并计算出综合评估得分。</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(1）按本章规定的评审因素和分值对技术部分计算出得分A；</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(2）按本章规定的评审因素和分值对商务部分（投标报价）计算出得分B；</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3.2.3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得分=技术部分得分+商务部分得分=A十B。</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 评标委员会发现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的报价明显低于其他投标报价，或者在设有标底时明显低于标底，使得其投标报价可能低于其个别成本的，应当要求该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做出书面说明并提供相应的证明材料。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不能合理说明或者不能提供相应证明材料的，由评标委员会认定该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以低于成本报价竞标，其投标作否决投标处理。</w:t>
      </w:r>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 投标文件的澄清和补正</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 在评标过程中，评标委员会可以书面形式要求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对所提交投标文件中不明确的内容进行书面澄清或说明，或者对细微偏差进行补正。评标委员会不接受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3.4.2 澄清、说明和补正不得改变投标文件的实质性内容（算术性错误修正的除外）。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的书面澄清、说明和补正属于投标文件的组成部分。</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3.4.3 评标委员会对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进一步澄清、说明或补正，直至满足评标委员会的要求。</w:t>
      </w:r>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3.5 评标结果</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3.5.1 根据第二章“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须知”前附表第7.1条。</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3.5.2 评标委员会完成评标后，应当向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提交书面评标报告。</w:t>
      </w:r>
    </w:p>
    <w:p>
      <w:pPr>
        <w:pStyle w:val="9"/>
        <w:pageBreakBefore w:val="0"/>
        <w:widowControl w:val="0"/>
        <w:kinsoku/>
        <w:wordWrap/>
        <w:overflowPunct/>
        <w:topLinePunct w:val="0"/>
        <w:autoSpaceDE/>
        <w:autoSpaceDN/>
        <w:bidi w:val="0"/>
        <w:adjustRightInd w:val="0"/>
        <w:snapToGrid w:val="0"/>
        <w:spacing w:before="0" w:after="0" w:line="34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3.6其他</w:t>
      </w:r>
    </w:p>
    <w:p>
      <w:pPr>
        <w:pageBreakBefore w:val="0"/>
        <w:widowControl w:val="0"/>
        <w:kinsoku/>
        <w:wordWrap/>
        <w:overflowPunct/>
        <w:topLinePunct w:val="0"/>
        <w:autoSpaceDE/>
        <w:autoSpaceDN/>
        <w:bidi w:val="0"/>
        <w:adjustRightInd w:val="0"/>
        <w:snapToGrid w:val="0"/>
        <w:spacing w:line="348" w:lineRule="auto"/>
        <w:ind w:firstLine="434" w:firstLineChars="200"/>
        <w:textAlignment w:val="auto"/>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（一）特殊情况的处理及评标规则</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①若出现综合得分并列第一时，比较投标总报价得分，此分项得分高者中标，若投标总报得分相同，依次比较技术部分得分，得分高者中标。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②每个评委必须按照本办法据实记分，凡记分不符合本办法规定要求者，均按无效记分对待。</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③评定标过程中，若出现本办法以外的特殊情况时，将暂停评标，有关情况待评标委员会确定后，再行评定。</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④未尽事宜按有关规定执行，没有规定的，由评审委员会研究确定。</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⑤本评标办法由采购人、招标代理机构负责解释。</w:t>
      </w:r>
    </w:p>
    <w:p>
      <w:pPr>
        <w:pageBreakBefore w:val="0"/>
        <w:widowControl w:val="0"/>
        <w:kinsoku/>
        <w:wordWrap/>
        <w:overflowPunct/>
        <w:topLinePunct w:val="0"/>
        <w:autoSpaceDE/>
        <w:autoSpaceDN/>
        <w:bidi w:val="0"/>
        <w:adjustRightInd w:val="0"/>
        <w:snapToGrid w:val="0"/>
        <w:spacing w:line="348" w:lineRule="auto"/>
        <w:ind w:firstLine="325" w:firstLineChars="150"/>
        <w:textAlignment w:val="auto"/>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（二）否决投标的情形</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①供应商或其投标文件有下列情形之一的，否决其投标：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有串通投标或弄虚作假或有其他违法行为的；</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不按评标委员会要求澄清、说明或补正的；</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供应商名称与营业执照或资质证书或安全生产许可证不一致的投标；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投标函签字、盖章不符合要求的投标；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投标文件完整性不符合招标文件规定的投标；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未按招标文件规定的格式填写，或者关键内容不全或关键字迹模糊、无法辨认的投标；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投标报价文件(投标函除外)未经有资格的工程造价专业人员签字并加盖执业专用章的；</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供应商递交两份或多份内容不同的投标文件，或在一份投标文件中对同一招标项目有两个或多个报价的；</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评标委员会认定供应商以低于成本报价竞标的，且供应商不能合理说明或者不能提供相应证明材料的；</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提供的投标文件电子版不能正常参与评标的投标；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投标文件电子版（如要求）与文字版报价数据不一致的投标；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供应商私自改动招标文件提供的工程量清单中的工程数量的投标；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工程量清单投标报价预算书汇总价和投标函中总报价不符的投标；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其他经评委会确认的未能实质性响应招标文件要求的投标；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工期、质量未响应招标文件要求的投标；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法律、法规规定的以及本招标文件规定的其他情形。</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②串通投标的，否决其投标。有下列情形之一的，属于供应商相互串通投标：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供应商之间协商投标报价等投标文件的实质性内容；</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供应商之间约定中标供应商；</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供应商之间约定部分供应商放弃投标或者中标；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属于同一集团、协会、商会等组织成员的供应商按照该组织要求协同投标；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供应商之间为谋取中标或者排斥特定供应商而采取的其他联合行动。</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③串通投标的，否决其投标。有下列情形之一的，视为供应商相互串通投标：</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不同供应商的投标文件由同一单位或者个人编制；</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不同供应商委托同一单位或者个人办理投标事宜；</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不同供应商的投标文件载明的项目管理成员为同一人；</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不同供应商的投标文件异常一致或者投标报价呈规律性差异；</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不同供应商的投标文件相互混装；</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不同供应商的投标保证金从同一单位或者个人的账户转出。</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④弄虚作假的，否决其投标。供应商有下列情形之一的，属于弄虚作假的行为：</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使用伪造、变造的许可证件；</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提供虚假的财务状况或者业绩；</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提供虚假的项目负责人或者主要技术人员简历、劳动关系证明；</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提供虚假的信用状况；</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其他弄虚作假的行为。</w:t>
      </w:r>
    </w:p>
    <w:p>
      <w:pPr>
        <w:pageBreakBefore w:val="0"/>
        <w:widowControl w:val="0"/>
        <w:kinsoku/>
        <w:wordWrap/>
        <w:overflowPunct/>
        <w:topLinePunct w:val="0"/>
        <w:autoSpaceDE/>
        <w:autoSpaceDN/>
        <w:bidi w:val="0"/>
        <w:adjustRightInd w:val="0"/>
        <w:snapToGrid w:val="0"/>
        <w:spacing w:line="348" w:lineRule="auto"/>
        <w:ind w:firstLine="434" w:firstLineChars="200"/>
        <w:textAlignment w:val="auto"/>
        <w:rPr>
          <w:rFonts w:hint="eastAsia" w:ascii="宋体" w:hAnsi="宋体" w:eastAsia="宋体" w:cs="宋体"/>
          <w:b/>
          <w:sz w:val="24"/>
          <w:szCs w:val="24"/>
          <w:highlight w:val="none"/>
        </w:rPr>
      </w:pPr>
      <w:r>
        <w:rPr>
          <w:rFonts w:hint="eastAsia" w:ascii="宋体" w:hAnsi="宋体" w:eastAsia="宋体" w:cs="宋体"/>
          <w:b/>
          <w:spacing w:val="-12"/>
          <w:sz w:val="24"/>
          <w:szCs w:val="24"/>
          <w:highlight w:val="none"/>
        </w:rPr>
        <w:t>（三）</w:t>
      </w:r>
      <w:r>
        <w:rPr>
          <w:rFonts w:hint="eastAsia" w:ascii="宋体" w:hAnsi="宋体" w:eastAsia="宋体" w:cs="宋体"/>
          <w:b/>
          <w:sz w:val="24"/>
          <w:szCs w:val="24"/>
          <w:highlight w:val="none"/>
        </w:rPr>
        <w:t>根据相关法律、法规的规定，对政府采购相关政策落实如下：</w:t>
      </w:r>
    </w:p>
    <w:p>
      <w:pPr>
        <w:pageBreakBefore w:val="0"/>
        <w:widowControl w:val="0"/>
        <w:kinsoku/>
        <w:wordWrap/>
        <w:overflowPunct/>
        <w:topLinePunct w:val="0"/>
        <w:autoSpaceDE/>
        <w:autoSpaceDN/>
        <w:bidi w:val="0"/>
        <w:adjustRightInd w:val="0"/>
        <w:snapToGrid w:val="0"/>
        <w:spacing w:line="348" w:lineRule="auto"/>
        <w:ind w:left="479" w:leftChars="228"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①小微企业：</w:t>
      </w:r>
    </w:p>
    <w:p>
      <w:pPr>
        <w:pageBreakBefore w:val="0"/>
        <w:widowControl w:val="0"/>
        <w:kinsoku/>
        <w:wordWrap/>
        <w:overflowPunct/>
        <w:topLinePunct w:val="0"/>
        <w:autoSpaceDE/>
        <w:autoSpaceDN/>
        <w:bidi w:val="0"/>
        <w:adjustRightInd w:val="0"/>
        <w:snapToGrid w:val="0"/>
        <w:spacing w:line="348" w:lineRule="auto"/>
        <w:ind w:left="479" w:leftChars="228"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根据《政府采购促进中小企业发展管理办法》（财库〔2020〕46号），对</w:t>
      </w:r>
    </w:p>
    <w:p>
      <w:pPr>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于非面向中小微企业采购的项目，对小型、微型企业在评标时价格给予5%的扣除，用扣除后的价格参与评审。</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中小企业参加政府采购活动，须提供《中小企业声明函》（式样见投标文件格式），否则不得享受相关中小企业扶持政策。供应商须保证真实性，如有虚假，将依法承担相应责任。</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小微企业按《政府采购促进中小企业发展管理办法》（财库〔2020〕46号）和《工业和信息化部、国家统计局、国家发展和改革委员会、财政部关于印发&lt;中小企业划型标准规定&gt;的通知》（工信部联企业【2011】300号）文件规定标准确认。</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②环境标志、节能的产品</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评审过程中，具有环境标志、节能的产品给予酌情评审加分。在投标时各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应提供有效证明材料（证明材料须加盖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红色公章），否则不予计分（注：环境标志产品是指由财政部、国家环境保护总局颁布的“环境标志产品政府采购清单”中的有效期内的产品；节能产品是指由财政部、国家发改委颁布的“节能产品政府采购清单”中的有效期内的产品）。</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③监狱企业</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根据《关于政府采购支持监狱企业发展有关问题的通知》规定，在政府采购活动中，监狱企业视同小型、微型企业，享受政府采购促进中小企业发展的政府采购政策。</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监狱企业参加政府采购活动时，应当提供省级以上监狱管理局、戒毒管理局（含新疆生产建设兵团）出具的属于监狱企业的证明文件。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④福利企业</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根据《关于政府采购优先购买福利性企业产品和服务的意见》规定，在政府采购活动中，本省福利性企业享受我省规定的采购扶持政策。</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福利企业参加政府采购活动时，应当提供市级以上民政局、财政局、残联部门出具的福利性企业的证明文件。</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⑤残疾人福利性单位</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中标、成交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为残疾人福利性单位的，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或者其委托的</w:t>
      </w:r>
      <w:r>
        <w:rPr>
          <w:rFonts w:hint="eastAsia" w:ascii="宋体" w:hAnsi="宋体" w:eastAsia="宋体" w:cs="宋体"/>
          <w:sz w:val="24"/>
          <w:szCs w:val="24"/>
          <w:highlight w:val="none"/>
          <w:lang w:eastAsia="zh-CN"/>
        </w:rPr>
        <w:t>招标代理机构</w:t>
      </w:r>
      <w:r>
        <w:rPr>
          <w:rFonts w:hint="eastAsia" w:ascii="宋体" w:hAnsi="宋体" w:eastAsia="宋体" w:cs="宋体"/>
          <w:sz w:val="24"/>
          <w:szCs w:val="24"/>
          <w:highlight w:val="none"/>
        </w:rPr>
        <w:t>应当随中标、成交人结果同时公告其《残疾人福利性单位声明函》，接受社会监督。</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提供的《残疾人福利性单位声明函》与事实不符的，依照《政府采购法》第七十七条第一款的规定追究法律责任。</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为了切实推进政府采购“放、管、服”措施的有效性、针对性和便利性，</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如为残疾人福利性单位，只需在其投标文件中提供《残疾人福利性单位声明函》证明其企业为残疾人福利性单位，评审委员会视同小型、微型企业，享受政府采购促进中小企业发展的政府采购政策。</w:t>
      </w:r>
    </w:p>
    <w:p>
      <w:pPr>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同时提供上述优惠内容，评审委员会只认可其一项有效声明函。</w:t>
      </w:r>
    </w:p>
    <w:p>
      <w:pPr>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本项目为专门面向中小企业项目。</w:t>
      </w:r>
    </w:p>
    <w:p>
      <w:pPr>
        <w:pStyle w:val="6"/>
        <w:numPr>
          <w:ilvl w:val="0"/>
          <w:numId w:val="0"/>
        </w:numPr>
        <w:jc w:val="both"/>
        <w:rPr>
          <w:rFonts w:hint="eastAsia" w:ascii="宋体" w:hAnsi="宋体" w:eastAsia="宋体" w:cs="宋体"/>
          <w:b/>
          <w:bCs w:val="0"/>
          <w:sz w:val="44"/>
          <w:szCs w:val="44"/>
          <w:highlight w:val="none"/>
          <w:lang w:val="en-US" w:eastAsia="zh-CN"/>
        </w:rPr>
      </w:pPr>
      <w:bookmarkStart w:id="429" w:name="_Toc11565"/>
      <w:bookmarkStart w:id="430" w:name="_Toc294110486"/>
      <w:bookmarkStart w:id="431" w:name="_Toc407177517"/>
      <w:bookmarkStart w:id="432" w:name="_Toc16295"/>
      <w:bookmarkStart w:id="433" w:name="_Toc468207026"/>
      <w:r>
        <w:rPr>
          <w:rFonts w:hint="eastAsia" w:ascii="宋体" w:hAnsi="宋体" w:eastAsia="宋体" w:cs="宋体"/>
          <w:sz w:val="32"/>
          <w:szCs w:val="32"/>
          <w:highlight w:val="none"/>
        </w:rPr>
        <w:br w:type="page"/>
      </w:r>
      <w:bookmarkEnd w:id="429"/>
      <w:bookmarkStart w:id="434" w:name="_Toc3522"/>
      <w:bookmarkStart w:id="435" w:name="_Toc24613"/>
      <w:bookmarkStart w:id="436" w:name="_Toc6965"/>
      <w:bookmarkStart w:id="437" w:name="_Toc18198"/>
      <w:r>
        <w:rPr>
          <w:rFonts w:hint="eastAsia" w:ascii="宋体" w:hAnsi="宋体" w:eastAsia="宋体" w:cs="宋体"/>
          <w:sz w:val="32"/>
          <w:szCs w:val="32"/>
          <w:highlight w:val="none"/>
          <w:lang w:val="en-US" w:eastAsia="zh-CN"/>
        </w:rPr>
        <w:t xml:space="preserve"> </w:t>
      </w:r>
      <w:r>
        <w:rPr>
          <w:rFonts w:hint="eastAsia" w:ascii="宋体" w:hAnsi="宋体" w:eastAsia="宋体" w:cs="宋体"/>
          <w:b/>
          <w:bCs w:val="0"/>
          <w:sz w:val="44"/>
          <w:szCs w:val="44"/>
          <w:highlight w:val="none"/>
          <w:lang w:val="en-US" w:eastAsia="zh-CN"/>
        </w:rPr>
        <w:t>工程量清单</w:t>
      </w:r>
    </w:p>
    <w:p>
      <w:pPr>
        <w:numPr>
          <w:ilvl w:val="0"/>
          <w:numId w:val="0"/>
        </w:numPr>
        <w:jc w:val="center"/>
        <w:rPr>
          <w:rFonts w:hint="eastAsia"/>
          <w:sz w:val="32"/>
          <w:szCs w:val="28"/>
          <w:highlight w:val="none"/>
          <w:lang w:val="en-US" w:eastAsia="zh-CN"/>
        </w:rPr>
      </w:pPr>
      <w:r>
        <w:rPr>
          <w:rFonts w:hint="eastAsia"/>
          <w:sz w:val="32"/>
          <w:szCs w:val="28"/>
          <w:highlight w:val="none"/>
          <w:lang w:val="en-US" w:eastAsia="zh-CN"/>
        </w:rPr>
        <w:t>（另册）</w:t>
      </w:r>
    </w:p>
    <w:p>
      <w:pPr>
        <w:pStyle w:val="6"/>
        <w:rPr>
          <w:rFonts w:hint="eastAsia" w:ascii="宋体" w:hAnsi="宋体" w:eastAsia="宋体" w:cs="宋体"/>
          <w:bCs/>
          <w:sz w:val="32"/>
          <w:szCs w:val="32"/>
          <w:highlight w:val="none"/>
        </w:rPr>
      </w:pPr>
      <w:r>
        <w:rPr>
          <w:rFonts w:hint="eastAsia" w:ascii="宋体" w:hAnsi="宋体" w:eastAsia="宋体" w:cs="宋体"/>
          <w:b/>
          <w:bCs w:val="0"/>
          <w:sz w:val="44"/>
          <w:szCs w:val="44"/>
          <w:highlight w:val="none"/>
          <w:lang w:val="en-US" w:eastAsia="zh-CN"/>
        </w:rPr>
        <w:br w:type="page"/>
      </w:r>
      <w:r>
        <w:rPr>
          <w:rFonts w:hint="eastAsia" w:ascii="宋体" w:hAnsi="宋体" w:eastAsia="宋体" w:cs="宋体"/>
          <w:b/>
          <w:bCs w:val="0"/>
          <w:sz w:val="44"/>
          <w:szCs w:val="44"/>
          <w:highlight w:val="none"/>
          <w:lang w:eastAsia="zh-CN"/>
        </w:rPr>
        <w:t>第</w:t>
      </w:r>
      <w:r>
        <w:rPr>
          <w:rFonts w:hint="eastAsia" w:ascii="宋体" w:hAnsi="宋体" w:cs="宋体"/>
          <w:b/>
          <w:bCs w:val="0"/>
          <w:sz w:val="44"/>
          <w:szCs w:val="44"/>
          <w:highlight w:val="none"/>
          <w:lang w:eastAsia="zh-CN"/>
        </w:rPr>
        <w:t>五</w:t>
      </w:r>
      <w:r>
        <w:rPr>
          <w:rFonts w:hint="eastAsia" w:ascii="宋体" w:hAnsi="宋体" w:eastAsia="宋体" w:cs="宋体"/>
          <w:b/>
          <w:bCs w:val="0"/>
          <w:sz w:val="44"/>
          <w:szCs w:val="44"/>
          <w:highlight w:val="none"/>
          <w:lang w:eastAsia="zh-CN"/>
        </w:rPr>
        <w:t>章</w:t>
      </w:r>
      <w:r>
        <w:rPr>
          <w:rFonts w:hint="eastAsia" w:ascii="宋体" w:hAnsi="宋体" w:eastAsia="宋体" w:cs="宋体"/>
          <w:b/>
          <w:bCs w:val="0"/>
          <w:sz w:val="44"/>
          <w:szCs w:val="44"/>
          <w:highlight w:val="none"/>
          <w:lang w:val="en-US" w:eastAsia="zh-CN"/>
        </w:rPr>
        <w:t xml:space="preserve"> </w:t>
      </w:r>
      <w:r>
        <w:rPr>
          <w:rFonts w:hint="eastAsia" w:ascii="宋体" w:hAnsi="宋体" w:eastAsia="宋体" w:cs="宋体"/>
          <w:b/>
          <w:bCs w:val="0"/>
          <w:sz w:val="44"/>
          <w:szCs w:val="44"/>
          <w:highlight w:val="none"/>
        </w:rPr>
        <w:t>合同文本及条款</w:t>
      </w:r>
      <w:bookmarkEnd w:id="434"/>
      <w:bookmarkEnd w:id="435"/>
    </w:p>
    <w:p>
      <w:pPr>
        <w:jc w:val="center"/>
        <w:rPr>
          <w:rFonts w:eastAsia="华文中宋"/>
          <w:bCs/>
          <w:color w:val="000000"/>
          <w:sz w:val="56"/>
          <w:szCs w:val="48"/>
          <w:highlight w:val="none"/>
        </w:rPr>
      </w:pPr>
    </w:p>
    <w:p>
      <w:pPr>
        <w:jc w:val="center"/>
        <w:rPr>
          <w:rFonts w:eastAsia="华文中宋"/>
          <w:bCs/>
          <w:color w:val="000000"/>
          <w:sz w:val="56"/>
          <w:szCs w:val="48"/>
          <w:highlight w:val="none"/>
        </w:rPr>
      </w:pPr>
    </w:p>
    <w:p>
      <w:pPr>
        <w:jc w:val="center"/>
        <w:rPr>
          <w:rFonts w:eastAsia="华文中宋"/>
          <w:bCs/>
          <w:color w:val="000000"/>
          <w:sz w:val="56"/>
          <w:szCs w:val="48"/>
          <w:highlight w:val="none"/>
        </w:rPr>
      </w:pPr>
      <w:r>
        <w:rPr>
          <w:rFonts w:eastAsia="华文中宋"/>
          <w:bCs/>
          <w:color w:val="000000"/>
          <w:sz w:val="56"/>
          <w:szCs w:val="48"/>
          <w:highlight w:val="none"/>
        </w:rPr>
        <w:t>建设工程施工合同</w:t>
      </w:r>
    </w:p>
    <w:p>
      <w:pPr>
        <w:jc w:val="center"/>
        <w:rPr>
          <w:rFonts w:eastAsia="华文中宋"/>
          <w:b/>
          <w:color w:val="000000"/>
          <w:sz w:val="72"/>
          <w:szCs w:val="52"/>
          <w:highlight w:val="none"/>
        </w:rPr>
      </w:pPr>
    </w:p>
    <w:p>
      <w:pPr>
        <w:spacing w:before="295" w:line="360" w:lineRule="auto"/>
        <w:ind w:left="210" w:leftChars="100" w:firstLine="1340" w:firstLineChars="500"/>
        <w:rPr>
          <w:rFonts w:ascii="宋体" w:hAnsi="宋体" w:cs="宋体"/>
          <w:sz w:val="28"/>
          <w:szCs w:val="28"/>
          <w:highlight w:val="none"/>
        </w:rPr>
      </w:pPr>
      <w:r>
        <w:rPr>
          <w:rFonts w:ascii="宋体" w:hAnsi="宋体" w:cs="宋体"/>
          <w:spacing w:val="-6"/>
          <w:sz w:val="28"/>
          <w:szCs w:val="28"/>
          <w:highlight w:val="none"/>
        </w:rPr>
        <w:t>项目名称：</w:t>
      </w:r>
      <w:r>
        <w:rPr>
          <w:rFonts w:hint="eastAsia" w:ascii="宋体" w:hAnsi="宋体" w:cs="宋体"/>
          <w:spacing w:val="-6"/>
          <w:sz w:val="28"/>
          <w:szCs w:val="28"/>
          <w:highlight w:val="none"/>
        </w:rPr>
        <w:t xml:space="preserve"> </w:t>
      </w:r>
      <w:r>
        <w:rPr>
          <w:rFonts w:hint="eastAsia" w:ascii="宋体" w:hAnsi="宋体" w:cs="宋体"/>
          <w:spacing w:val="-4"/>
          <w:sz w:val="28"/>
          <w:szCs w:val="28"/>
          <w:highlight w:val="none"/>
          <w:u w:val="single"/>
        </w:rPr>
        <w:t xml:space="preserve">                                  </w:t>
      </w:r>
    </w:p>
    <w:p>
      <w:pPr>
        <w:spacing w:before="295" w:line="360" w:lineRule="auto"/>
        <w:ind w:left="3210" w:hanging="3154"/>
        <w:rPr>
          <w:rFonts w:ascii="宋体" w:hAnsi="宋体" w:cs="宋体"/>
          <w:sz w:val="28"/>
          <w:szCs w:val="28"/>
          <w:highlight w:val="none"/>
        </w:rPr>
      </w:pPr>
      <w:r>
        <w:rPr>
          <w:rFonts w:hint="eastAsia" w:ascii="宋体" w:hAnsi="宋体" w:cs="宋体"/>
          <w:spacing w:val="-6"/>
          <w:sz w:val="28"/>
          <w:szCs w:val="28"/>
          <w:highlight w:val="none"/>
        </w:rPr>
        <w:t xml:space="preserve">            </w:t>
      </w:r>
      <w:r>
        <w:rPr>
          <w:rFonts w:ascii="宋体" w:hAnsi="宋体" w:cs="宋体"/>
          <w:spacing w:val="-6"/>
          <w:sz w:val="28"/>
          <w:szCs w:val="28"/>
          <w:highlight w:val="none"/>
        </w:rPr>
        <w:t>项</w:t>
      </w:r>
      <w:r>
        <w:rPr>
          <w:rFonts w:ascii="宋体" w:hAnsi="宋体" w:cs="宋体"/>
          <w:spacing w:val="-4"/>
          <w:sz w:val="28"/>
          <w:szCs w:val="28"/>
          <w:highlight w:val="none"/>
        </w:rPr>
        <w:t>目</w:t>
      </w:r>
      <w:r>
        <w:rPr>
          <w:rFonts w:ascii="宋体" w:hAnsi="宋体" w:cs="宋体"/>
          <w:spacing w:val="-3"/>
          <w:sz w:val="28"/>
          <w:szCs w:val="28"/>
          <w:highlight w:val="none"/>
        </w:rPr>
        <w:t>地点：</w:t>
      </w:r>
      <w:r>
        <w:rPr>
          <w:rFonts w:hint="eastAsia" w:ascii="宋体" w:hAnsi="宋体" w:cs="宋体"/>
          <w:spacing w:val="-3"/>
          <w:sz w:val="28"/>
          <w:szCs w:val="28"/>
          <w:highlight w:val="none"/>
          <w:u w:val="single"/>
        </w:rPr>
        <w:t xml:space="preserve">                                  </w:t>
      </w:r>
    </w:p>
    <w:p>
      <w:pPr>
        <w:spacing w:before="222" w:line="360" w:lineRule="auto"/>
        <w:ind w:left="1808" w:right="275" w:hanging="1581"/>
        <w:rPr>
          <w:rFonts w:ascii="宋体" w:hAnsi="宋体" w:cs="宋体"/>
          <w:sz w:val="28"/>
          <w:szCs w:val="28"/>
          <w:highlight w:val="none"/>
          <w:u w:val="single"/>
        </w:rPr>
      </w:pPr>
      <w:r>
        <w:rPr>
          <w:rFonts w:hint="eastAsia" w:ascii="宋体" w:hAnsi="宋体" w:cs="宋体"/>
          <w:spacing w:val="1"/>
          <w:sz w:val="28"/>
          <w:szCs w:val="28"/>
          <w:highlight w:val="none"/>
        </w:rPr>
        <w:t xml:space="preserve">          发包人</w:t>
      </w:r>
      <w:r>
        <w:rPr>
          <w:rFonts w:ascii="宋体" w:hAnsi="宋体" w:cs="宋体"/>
          <w:spacing w:val="1"/>
          <w:sz w:val="28"/>
          <w:szCs w:val="28"/>
          <w:highlight w:val="none"/>
        </w:rPr>
        <w:t>：</w:t>
      </w:r>
      <w:r>
        <w:rPr>
          <w:rFonts w:hint="eastAsia" w:ascii="宋体" w:hAnsi="宋体" w:cs="宋体"/>
          <w:spacing w:val="1"/>
          <w:sz w:val="28"/>
          <w:szCs w:val="28"/>
          <w:highlight w:val="none"/>
          <w:u w:val="single"/>
        </w:rPr>
        <w:t xml:space="preserve">                                 </w:t>
      </w:r>
    </w:p>
    <w:p>
      <w:pPr>
        <w:spacing w:before="222" w:line="360" w:lineRule="auto"/>
        <w:ind w:left="1808" w:right="275" w:hanging="1581"/>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pacing w:val="-1"/>
          <w:sz w:val="28"/>
          <w:szCs w:val="28"/>
          <w:highlight w:val="none"/>
        </w:rPr>
        <w:t>承包人</w:t>
      </w:r>
      <w:r>
        <w:rPr>
          <w:rFonts w:ascii="宋体" w:hAnsi="宋体" w:cs="宋体"/>
          <w:sz w:val="28"/>
          <w:szCs w:val="28"/>
          <w:highlight w:val="none"/>
        </w:rPr>
        <w:t>：</w:t>
      </w:r>
      <w:r>
        <w:rPr>
          <w:rFonts w:hint="eastAsia" w:ascii="宋体" w:hAnsi="宋体" w:cs="宋体"/>
          <w:sz w:val="28"/>
          <w:szCs w:val="28"/>
          <w:highlight w:val="none"/>
          <w:u w:val="single"/>
        </w:rPr>
        <w:t xml:space="preserve">                                  </w:t>
      </w:r>
    </w:p>
    <w:p>
      <w:pPr>
        <w:spacing w:before="2" w:line="360" w:lineRule="auto"/>
        <w:rPr>
          <w:rFonts w:ascii="宋体" w:hAnsi="宋体" w:cs="宋体"/>
          <w:spacing w:val="1"/>
          <w:sz w:val="28"/>
          <w:szCs w:val="28"/>
          <w:highlight w:val="none"/>
        </w:rPr>
      </w:pPr>
    </w:p>
    <w:p>
      <w:pPr>
        <w:spacing w:before="2" w:line="360" w:lineRule="auto"/>
        <w:ind w:firstLine="1692" w:firstLineChars="600"/>
        <w:rPr>
          <w:rFonts w:ascii="宋体" w:hAnsi="宋体" w:cs="宋体"/>
          <w:sz w:val="28"/>
          <w:szCs w:val="28"/>
          <w:highlight w:val="none"/>
        </w:rPr>
      </w:pPr>
      <w:r>
        <w:rPr>
          <w:rFonts w:ascii="宋体" w:hAnsi="宋体" w:cs="宋体"/>
          <w:spacing w:val="1"/>
          <w:sz w:val="28"/>
          <w:szCs w:val="28"/>
          <w:highlight w:val="none"/>
        </w:rPr>
        <w:t>签订日期</w:t>
      </w:r>
      <w:r>
        <w:rPr>
          <w:rFonts w:ascii="宋体" w:hAnsi="宋体" w:cs="宋体"/>
          <w:sz w:val="28"/>
          <w:szCs w:val="28"/>
          <w:highlight w:val="none"/>
        </w:rPr>
        <w:t>：</w:t>
      </w:r>
      <w:r>
        <w:rPr>
          <w:rFonts w:hint="eastAsia" w:ascii="宋体" w:hAnsi="宋体" w:cs="宋体"/>
          <w:sz w:val="28"/>
          <w:szCs w:val="28"/>
          <w:highlight w:val="none"/>
          <w:u w:val="single"/>
        </w:rPr>
        <w:t xml:space="preserve">     </w:t>
      </w:r>
      <w:r>
        <w:rPr>
          <w:rFonts w:ascii="宋体" w:hAnsi="宋体" w:cs="宋体"/>
          <w:sz w:val="28"/>
          <w:szCs w:val="28"/>
          <w:highlight w:val="none"/>
        </w:rPr>
        <w:t>年</w:t>
      </w:r>
      <w:r>
        <w:rPr>
          <w:rFonts w:hint="eastAsia" w:ascii="宋体" w:hAnsi="宋体" w:cs="宋体"/>
          <w:sz w:val="28"/>
          <w:szCs w:val="28"/>
          <w:highlight w:val="none"/>
          <w:u w:val="single"/>
        </w:rPr>
        <w:t xml:space="preserve">   </w:t>
      </w:r>
      <w:r>
        <w:rPr>
          <w:rFonts w:ascii="宋体" w:hAnsi="宋体" w:cs="宋体"/>
          <w:sz w:val="28"/>
          <w:szCs w:val="28"/>
          <w:highlight w:val="none"/>
        </w:rPr>
        <w:t>月</w:t>
      </w:r>
      <w:r>
        <w:rPr>
          <w:rFonts w:hint="eastAsia" w:ascii="宋体" w:hAnsi="宋体" w:cs="宋体"/>
          <w:sz w:val="28"/>
          <w:szCs w:val="28"/>
          <w:highlight w:val="none"/>
          <w:u w:val="single"/>
        </w:rPr>
        <w:t xml:space="preserve">    </w:t>
      </w:r>
      <w:r>
        <w:rPr>
          <w:rFonts w:ascii="宋体" w:hAnsi="宋体" w:cs="宋体"/>
          <w:sz w:val="28"/>
          <w:szCs w:val="28"/>
          <w:highlight w:val="none"/>
        </w:rPr>
        <w:t>日</w:t>
      </w:r>
    </w:p>
    <w:p>
      <w:pPr>
        <w:jc w:val="center"/>
        <w:rPr>
          <w:rFonts w:hint="eastAsia" w:eastAsia="宋体"/>
          <w:b/>
          <w:color w:val="000000"/>
          <w:sz w:val="28"/>
          <w:szCs w:val="28"/>
          <w:highlight w:val="none"/>
          <w:lang w:eastAsia="zh-CN"/>
        </w:rPr>
      </w:pPr>
    </w:p>
    <w:p>
      <w:pPr>
        <w:outlineLvl w:val="9"/>
        <w:rPr>
          <w:rFonts w:hint="eastAsia"/>
          <w:highlight w:val="none"/>
          <w:lang w:eastAsia="zh-CN"/>
        </w:rPr>
      </w:pPr>
    </w:p>
    <w:p>
      <w:pPr>
        <w:rPr>
          <w:b/>
          <w:color w:val="000000"/>
          <w:sz w:val="28"/>
          <w:szCs w:val="28"/>
          <w:highlight w:val="none"/>
        </w:rPr>
      </w:pPr>
    </w:p>
    <w:p>
      <w:pPr>
        <w:ind w:right="2719" w:rightChars="1295" w:firstLine="4189" w:firstLineChars="1304"/>
        <w:jc w:val="distribute"/>
        <w:rPr>
          <w:b/>
          <w:color w:val="000000"/>
          <w:sz w:val="32"/>
          <w:szCs w:val="28"/>
          <w:highlight w:val="none"/>
        </w:rPr>
      </w:pPr>
    </w:p>
    <w:p>
      <w:pPr>
        <w:ind w:right="2719" w:rightChars="1295" w:firstLine="2738" w:firstLineChars="1304"/>
        <w:jc w:val="distribute"/>
        <w:rPr>
          <w:b/>
          <w:color w:val="000000"/>
          <w:sz w:val="32"/>
          <w:szCs w:val="28"/>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zS1x2AAAAAkBAAAPAAAAAAAA&#10;AAEAIAAAACIAAABkcnMvZG93bnJldi54bWxQSwECFAAUAAAACACHTuJAMtaNohICAAAoBAAADgAA&#10;AAAAAAABACAAAAAnAQAAZHJzL2Uyb0RvYy54bWxQSwUGAAAAAAYABgBZAQAAqw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b/>
          <w:color w:val="000000"/>
          <w:sz w:val="32"/>
          <w:szCs w:val="28"/>
          <w:highlight w:val="none"/>
        </w:rPr>
        <w:t>住房城乡建设部</w:t>
      </w:r>
    </w:p>
    <w:p>
      <w:pPr>
        <w:ind w:right="2719" w:rightChars="1295" w:firstLine="2750" w:firstLineChars="856"/>
        <w:jc w:val="distribute"/>
        <w:rPr>
          <w:b/>
          <w:color w:val="000000"/>
          <w:sz w:val="32"/>
          <w:szCs w:val="28"/>
          <w:highlight w:val="none"/>
        </w:rPr>
      </w:pPr>
      <w:r>
        <w:rPr>
          <w:b/>
          <w:color w:val="000000"/>
          <w:sz w:val="32"/>
          <w:szCs w:val="28"/>
          <w:highlight w:val="none"/>
        </w:rPr>
        <w:t>国家工商行政管理总局</w:t>
      </w:r>
    </w:p>
    <w:p>
      <w:pPr>
        <w:rPr>
          <w:highlight w:val="none"/>
        </w:rPr>
      </w:pPr>
    </w:p>
    <w:p>
      <w:pPr>
        <w:numPr>
          <w:ilvl w:val="0"/>
          <w:numId w:val="5"/>
        </w:numPr>
        <w:spacing w:beforeLines="50"/>
        <w:jc w:val="center"/>
        <w:rPr>
          <w:rFonts w:ascii="宋体" w:hAnsi="宋体" w:cs="宋体"/>
          <w:b/>
          <w:bCs/>
          <w:sz w:val="28"/>
          <w:szCs w:val="28"/>
          <w:highlight w:val="none"/>
        </w:rPr>
      </w:pPr>
      <w:bookmarkStart w:id="438" w:name="_Toc30395"/>
      <w:r>
        <w:rPr>
          <w:rFonts w:hint="eastAsia" w:ascii="宋体" w:hAnsi="宋体" w:cs="宋体"/>
          <w:b/>
          <w:bCs/>
          <w:sz w:val="32"/>
          <w:szCs w:val="32"/>
          <w:highlight w:val="none"/>
        </w:rPr>
        <w:br w:type="page"/>
      </w:r>
      <w:bookmarkEnd w:id="438"/>
      <w:r>
        <w:rPr>
          <w:rFonts w:hint="eastAsia" w:ascii="宋体" w:hAnsi="宋体" w:cs="宋体"/>
          <w:b/>
          <w:bCs/>
          <w:sz w:val="28"/>
          <w:szCs w:val="28"/>
          <w:highlight w:val="none"/>
        </w:rPr>
        <w:t>合同协议书</w:t>
      </w:r>
    </w:p>
    <w:p>
      <w:pPr>
        <w:rPr>
          <w:rFonts w:ascii="宋体" w:hAnsi="宋体" w:cs="宋体"/>
          <w:sz w:val="18"/>
          <w:highlight w:val="none"/>
        </w:rPr>
      </w:pPr>
    </w:p>
    <w:p>
      <w:pPr>
        <w:spacing w:line="360" w:lineRule="auto"/>
        <w:rPr>
          <w:rFonts w:ascii="宋体" w:hAnsi="宋体" w:cs="宋体"/>
          <w:b/>
          <w:color w:val="000000"/>
          <w:sz w:val="22"/>
          <w:szCs w:val="22"/>
          <w:highlight w:val="none"/>
          <w:u w:val="single"/>
        </w:rPr>
      </w:pPr>
      <w:r>
        <w:rPr>
          <w:rFonts w:hint="eastAsia" w:ascii="宋体" w:hAnsi="宋体" w:cs="宋体"/>
          <w:b/>
          <w:color w:val="000000"/>
          <w:sz w:val="22"/>
          <w:szCs w:val="22"/>
          <w:highlight w:val="none"/>
        </w:rPr>
        <w:t>发包人（全称）：</w:t>
      </w:r>
      <w:r>
        <w:rPr>
          <w:rFonts w:hint="eastAsia" w:ascii="宋体" w:hAnsi="宋体" w:cs="宋体"/>
          <w:b/>
          <w:color w:val="000000"/>
          <w:sz w:val="22"/>
          <w:szCs w:val="22"/>
          <w:highlight w:val="none"/>
          <w:u w:val="single"/>
        </w:rPr>
        <w:t></w:t>
      </w:r>
      <w:r>
        <w:rPr>
          <w:rFonts w:hint="eastAsia" w:ascii="宋体" w:hAnsi="宋体" w:cs="宋体"/>
          <w:b/>
          <w:color w:val="000000"/>
          <w:sz w:val="22"/>
          <w:szCs w:val="22"/>
          <w:highlight w:val="none"/>
          <w:u w:val="single"/>
          <w:lang w:val="en-US" w:eastAsia="zh-CN"/>
        </w:rPr>
        <w:t xml:space="preserve">                     </w:t>
      </w:r>
      <w:r>
        <w:rPr>
          <w:rFonts w:hint="eastAsia" w:ascii="宋体" w:hAnsi="宋体" w:cs="宋体"/>
          <w:b/>
          <w:color w:val="000000"/>
          <w:sz w:val="22"/>
          <w:szCs w:val="22"/>
          <w:highlight w:val="none"/>
          <w:u w:val="single"/>
        </w:rPr>
        <w:t xml:space="preserve">   </w:t>
      </w:r>
    </w:p>
    <w:p>
      <w:pPr>
        <w:spacing w:line="360" w:lineRule="auto"/>
        <w:rPr>
          <w:rFonts w:ascii="宋体" w:hAnsi="宋体" w:cs="宋体"/>
          <w:b/>
          <w:color w:val="000000"/>
          <w:sz w:val="22"/>
          <w:szCs w:val="22"/>
          <w:highlight w:val="none"/>
          <w:u w:val="single"/>
        </w:rPr>
      </w:pPr>
      <w:r>
        <w:rPr>
          <w:rFonts w:hint="eastAsia" w:ascii="宋体" w:hAnsi="宋体" w:cs="宋体"/>
          <w:b/>
          <w:color w:val="000000"/>
          <w:sz w:val="22"/>
          <w:szCs w:val="22"/>
          <w:highlight w:val="none"/>
        </w:rPr>
        <w:t>承包人（全称）：</w:t>
      </w:r>
      <w:r>
        <w:rPr>
          <w:rFonts w:hint="eastAsia" w:ascii="宋体" w:hAnsi="宋体" w:cs="宋体"/>
          <w:b/>
          <w:color w:val="000000"/>
          <w:sz w:val="22"/>
          <w:szCs w:val="22"/>
          <w:highlight w:val="none"/>
          <w:u w:val="single"/>
        </w:rPr>
        <w:t xml:space="preserve">                    </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工程施工及有关事项协商一致，共同达成如下协议：</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39" w:name="_Toc351203481"/>
      <w:r>
        <w:rPr>
          <w:rFonts w:hint="eastAsia" w:ascii="宋体" w:hAnsi="宋体" w:cs="宋体"/>
          <w:color w:val="000000"/>
          <w:sz w:val="22"/>
          <w:szCs w:val="22"/>
          <w:highlight w:val="none"/>
        </w:rPr>
        <w:t>一、工程概况</w:t>
      </w:r>
      <w:bookmarkEnd w:id="439"/>
    </w:p>
    <w:p>
      <w:pPr>
        <w:spacing w:line="360" w:lineRule="auto"/>
        <w:ind w:firstLine="431" w:firstLineChars="196"/>
        <w:rPr>
          <w:rFonts w:ascii="宋体" w:hAnsi="宋体" w:cs="宋体"/>
          <w:color w:val="000000"/>
          <w:sz w:val="22"/>
          <w:szCs w:val="22"/>
          <w:highlight w:val="none"/>
          <w:u w:val="single"/>
        </w:rPr>
      </w:pPr>
      <w:r>
        <w:rPr>
          <w:rFonts w:hint="eastAsia" w:ascii="宋体" w:hAnsi="宋体" w:cs="宋体"/>
          <w:bCs/>
          <w:color w:val="000000"/>
          <w:sz w:val="22"/>
          <w:szCs w:val="22"/>
          <w:highlight w:val="none"/>
        </w:rPr>
        <w:t>1.工程名称</w:t>
      </w:r>
      <w:r>
        <w:rPr>
          <w:rFonts w:hint="eastAsia" w:ascii="宋体" w:hAnsi="宋体" w:cs="宋体"/>
          <w:color w:val="000000"/>
          <w:sz w:val="22"/>
          <w:szCs w:val="22"/>
          <w:highlight w:val="none"/>
        </w:rPr>
        <w:t>：</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31" w:firstLineChars="196"/>
        <w:rPr>
          <w:rFonts w:ascii="宋体" w:hAnsi="宋体" w:cs="宋体"/>
          <w:bCs/>
          <w:color w:val="000000"/>
          <w:sz w:val="22"/>
          <w:szCs w:val="22"/>
          <w:highlight w:val="none"/>
        </w:rPr>
      </w:pPr>
      <w:r>
        <w:rPr>
          <w:rFonts w:hint="eastAsia" w:ascii="宋体" w:hAnsi="宋体" w:cs="宋体"/>
          <w:bCs/>
          <w:color w:val="000000"/>
          <w:sz w:val="22"/>
          <w:szCs w:val="22"/>
          <w:highlight w:val="none"/>
        </w:rPr>
        <w:t>2.工程地点</w:t>
      </w:r>
      <w:r>
        <w:rPr>
          <w:rFonts w:hint="eastAsia" w:ascii="宋体" w:hAnsi="宋体" w:cs="宋体"/>
          <w:bCs/>
          <w:color w:val="000000"/>
          <w:sz w:val="22"/>
          <w:szCs w:val="22"/>
          <w:highlight w:val="none"/>
          <w:lang w:eastAsia="zh-CN"/>
        </w:rPr>
        <w:t>：</w:t>
      </w:r>
      <w:r>
        <w:rPr>
          <w:rFonts w:hint="eastAsia" w:ascii="宋体" w:hAnsi="宋体" w:cs="宋体"/>
          <w:bCs/>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w:t>
      </w:r>
    </w:p>
    <w:p>
      <w:pPr>
        <w:spacing w:line="360" w:lineRule="auto"/>
        <w:ind w:firstLine="431" w:firstLineChars="196"/>
        <w:rPr>
          <w:rFonts w:ascii="宋体" w:hAnsi="宋体" w:cs="宋体"/>
          <w:bCs/>
          <w:color w:val="000000"/>
          <w:sz w:val="22"/>
          <w:szCs w:val="22"/>
          <w:highlight w:val="none"/>
        </w:rPr>
      </w:pPr>
      <w:r>
        <w:rPr>
          <w:rFonts w:hint="eastAsia" w:ascii="宋体" w:hAnsi="宋体" w:cs="宋体"/>
          <w:bCs/>
          <w:color w:val="000000"/>
          <w:sz w:val="22"/>
          <w:szCs w:val="22"/>
          <w:highlight w:val="none"/>
        </w:rPr>
        <w:t>3.工程立项批准文号：</w:t>
      </w:r>
      <w:r>
        <w:rPr>
          <w:rFonts w:hint="eastAsia" w:ascii="宋体" w:hAnsi="宋体" w:cs="宋体"/>
          <w:bCs/>
          <w:color w:val="000000"/>
          <w:sz w:val="22"/>
          <w:szCs w:val="22"/>
          <w:highlight w:val="none"/>
          <w:u w:val="single"/>
          <w:lang w:val="en-US" w:eastAsia="zh-CN"/>
        </w:rPr>
        <w:t xml:space="preserve">                     </w:t>
      </w:r>
      <w:r>
        <w:rPr>
          <w:rFonts w:hint="eastAsia" w:ascii="宋体" w:hAnsi="宋体" w:cs="宋体"/>
          <w:bCs/>
          <w:color w:val="000000"/>
          <w:sz w:val="22"/>
          <w:szCs w:val="22"/>
          <w:highlight w:val="none"/>
        </w:rPr>
        <w:t>。</w:t>
      </w:r>
    </w:p>
    <w:p>
      <w:pPr>
        <w:spacing w:line="360" w:lineRule="auto"/>
        <w:ind w:firstLine="431" w:firstLineChars="196"/>
        <w:rPr>
          <w:rFonts w:ascii="宋体" w:hAnsi="宋体" w:cs="宋体"/>
          <w:bCs/>
          <w:color w:val="000000"/>
          <w:sz w:val="22"/>
          <w:szCs w:val="22"/>
          <w:highlight w:val="none"/>
        </w:rPr>
      </w:pPr>
      <w:r>
        <w:rPr>
          <w:rFonts w:hint="eastAsia" w:ascii="宋体" w:hAnsi="宋体" w:cs="宋体"/>
          <w:bCs/>
          <w:color w:val="000000"/>
          <w:sz w:val="22"/>
          <w:szCs w:val="22"/>
          <w:highlight w:val="none"/>
        </w:rPr>
        <w:t>4.资金来源：</w:t>
      </w:r>
      <w:r>
        <w:rPr>
          <w:rFonts w:hint="eastAsia" w:ascii="宋体" w:hAnsi="宋体" w:cs="宋体"/>
          <w:color w:val="000000"/>
          <w:sz w:val="22"/>
          <w:szCs w:val="22"/>
          <w:highlight w:val="none"/>
          <w:u w:val="single"/>
        </w:rPr>
        <w:t>财政资金</w:t>
      </w:r>
      <w:r>
        <w:rPr>
          <w:rFonts w:hint="eastAsia" w:ascii="宋体" w:hAnsi="宋体" w:cs="宋体"/>
          <w:bCs/>
          <w:color w:val="000000"/>
          <w:sz w:val="22"/>
          <w:szCs w:val="22"/>
          <w:highlight w:val="none"/>
        </w:rPr>
        <w:t>。</w:t>
      </w:r>
    </w:p>
    <w:p>
      <w:pPr>
        <w:spacing w:line="360" w:lineRule="auto"/>
        <w:ind w:firstLine="431" w:firstLineChars="196"/>
        <w:rPr>
          <w:rFonts w:ascii="宋体" w:hAnsi="宋体" w:cs="宋体"/>
          <w:bCs/>
          <w:color w:val="000000"/>
          <w:sz w:val="22"/>
          <w:szCs w:val="22"/>
          <w:highlight w:val="none"/>
        </w:rPr>
      </w:pPr>
      <w:r>
        <w:rPr>
          <w:rFonts w:hint="eastAsia" w:ascii="宋体" w:hAnsi="宋体" w:cs="宋体"/>
          <w:bCs/>
          <w:color w:val="000000"/>
          <w:sz w:val="22"/>
          <w:szCs w:val="22"/>
          <w:highlight w:val="none"/>
        </w:rPr>
        <w:t>5.工程内容：</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u w:val="single"/>
          <w:lang w:val="en-US" w:eastAsia="zh-CN"/>
        </w:rPr>
        <w:t>本项目施工图纸、工程量清单及招标文件规定的所有内容</w:t>
      </w:r>
      <w:r>
        <w:rPr>
          <w:rFonts w:hint="eastAsia" w:ascii="宋体" w:hAnsi="宋体" w:cs="宋体"/>
          <w:color w:val="000000"/>
          <w:sz w:val="22"/>
          <w:szCs w:val="22"/>
          <w:highlight w:val="none"/>
          <w:u w:val="single"/>
        </w:rPr>
        <w:t xml:space="preserve"> </w:t>
      </w:r>
      <w:r>
        <w:rPr>
          <w:rFonts w:hint="eastAsia" w:ascii="宋体" w:hAnsi="宋体" w:cs="宋体"/>
          <w:bCs/>
          <w:color w:val="000000"/>
          <w:sz w:val="22"/>
          <w:szCs w:val="22"/>
          <w:highlight w:val="none"/>
        </w:rPr>
        <w:t>。</w:t>
      </w:r>
    </w:p>
    <w:p>
      <w:pPr>
        <w:spacing w:line="360" w:lineRule="auto"/>
        <w:ind w:firstLine="431" w:firstLineChars="196"/>
        <w:rPr>
          <w:rFonts w:ascii="宋体" w:hAnsi="宋体" w:cs="宋体"/>
          <w:bCs/>
          <w:color w:val="000000"/>
          <w:sz w:val="22"/>
          <w:szCs w:val="22"/>
          <w:highlight w:val="none"/>
        </w:rPr>
      </w:pPr>
      <w:r>
        <w:rPr>
          <w:rFonts w:hint="eastAsia" w:ascii="宋体" w:hAnsi="宋体" w:cs="宋体"/>
          <w:color w:val="000000"/>
          <w:sz w:val="22"/>
          <w:szCs w:val="22"/>
          <w:highlight w:val="none"/>
        </w:rPr>
        <w:t>群体工程应附《承包人承揽工程项目一览表》（附件1）。</w:t>
      </w:r>
    </w:p>
    <w:p>
      <w:pPr>
        <w:spacing w:line="360" w:lineRule="auto"/>
        <w:ind w:firstLine="431" w:firstLineChars="196"/>
        <w:rPr>
          <w:rFonts w:ascii="宋体" w:hAnsi="宋体" w:cs="宋体"/>
          <w:bCs/>
          <w:color w:val="000000"/>
          <w:sz w:val="22"/>
          <w:szCs w:val="22"/>
          <w:highlight w:val="none"/>
        </w:rPr>
      </w:pPr>
      <w:r>
        <w:rPr>
          <w:rFonts w:hint="eastAsia" w:ascii="宋体" w:hAnsi="宋体" w:cs="宋体"/>
          <w:bCs/>
          <w:color w:val="000000"/>
          <w:sz w:val="22"/>
          <w:szCs w:val="22"/>
          <w:highlight w:val="none"/>
        </w:rPr>
        <w:t>6.工程承包范围：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u w:val="single"/>
        </w:rPr>
        <w:t>施工图纸、工程量清单及招标文件规定的全部内容（具体招标范围以招标文件为准）</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0" w:name="_Toc351203482"/>
      <w:r>
        <w:rPr>
          <w:rFonts w:hint="eastAsia" w:ascii="宋体" w:hAnsi="宋体" w:cs="宋体"/>
          <w:color w:val="000000"/>
          <w:sz w:val="22"/>
          <w:szCs w:val="22"/>
          <w:highlight w:val="none"/>
        </w:rPr>
        <w:t>二、合同工期</w:t>
      </w:r>
      <w:bookmarkEnd w:id="440"/>
    </w:p>
    <w:p>
      <w:pPr>
        <w:spacing w:line="360" w:lineRule="auto"/>
        <w:ind w:firstLine="459"/>
        <w:rPr>
          <w:rFonts w:ascii="宋体" w:hAnsi="宋体" w:cs="宋体"/>
          <w:color w:val="000000"/>
          <w:sz w:val="22"/>
          <w:szCs w:val="22"/>
          <w:highlight w:val="none"/>
        </w:rPr>
      </w:pPr>
      <w:r>
        <w:rPr>
          <w:rFonts w:hint="eastAsia" w:ascii="宋体" w:hAnsi="宋体" w:cs="宋体"/>
          <w:color w:val="000000"/>
          <w:sz w:val="22"/>
          <w:szCs w:val="22"/>
          <w:highlight w:val="none"/>
        </w:rPr>
        <w:t>计划开工日期：</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rPr>
        <w:t>年</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rPr>
        <w:t>月</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rPr>
        <w:t>日。</w:t>
      </w:r>
    </w:p>
    <w:p>
      <w:pPr>
        <w:spacing w:line="360" w:lineRule="auto"/>
        <w:ind w:firstLine="459"/>
        <w:rPr>
          <w:rFonts w:ascii="宋体" w:hAnsi="宋体" w:cs="宋体"/>
          <w:color w:val="000000"/>
          <w:sz w:val="22"/>
          <w:szCs w:val="22"/>
          <w:highlight w:val="none"/>
        </w:rPr>
      </w:pPr>
      <w:r>
        <w:rPr>
          <w:rFonts w:hint="eastAsia" w:ascii="宋体" w:hAnsi="宋体" w:cs="宋体"/>
          <w:color w:val="000000"/>
          <w:sz w:val="22"/>
          <w:szCs w:val="22"/>
          <w:highlight w:val="none"/>
        </w:rPr>
        <w:t>计划竣工日期：</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rPr>
        <w:t>年</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rPr>
        <w:t>月</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rPr>
        <w:t>日。</w:t>
      </w:r>
    </w:p>
    <w:p>
      <w:pPr>
        <w:spacing w:line="360" w:lineRule="auto"/>
        <w:ind w:firstLine="459"/>
        <w:rPr>
          <w:rFonts w:ascii="宋体" w:hAnsi="宋体" w:cs="宋体"/>
          <w:color w:val="000000"/>
          <w:sz w:val="22"/>
          <w:szCs w:val="22"/>
          <w:highlight w:val="none"/>
        </w:rPr>
      </w:pPr>
      <w:r>
        <w:rPr>
          <w:rFonts w:hint="eastAsia" w:ascii="宋体" w:hAnsi="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90</w:t>
      </w:r>
      <w:r>
        <w:rPr>
          <w:rFonts w:hint="eastAsia" w:ascii="宋体" w:hAnsi="宋体" w:cs="宋体"/>
          <w:color w:val="000000"/>
          <w:sz w:val="22"/>
          <w:szCs w:val="22"/>
          <w:highlight w:val="none"/>
        </w:rPr>
        <w:t>天。工期总日历天数与根据前述计划开竣工日期计算的工期天数不一致的，以工期总日历天数为准。</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1" w:name="_Toc351203483"/>
      <w:r>
        <w:rPr>
          <w:rFonts w:hint="eastAsia" w:ascii="宋体" w:hAnsi="宋体" w:cs="宋体"/>
          <w:color w:val="000000"/>
          <w:sz w:val="22"/>
          <w:szCs w:val="22"/>
          <w:highlight w:val="none"/>
        </w:rPr>
        <w:t>三、质量标准</w:t>
      </w:r>
      <w:bookmarkEnd w:id="441"/>
    </w:p>
    <w:p>
      <w:pPr>
        <w:spacing w:line="360" w:lineRule="auto"/>
        <w:ind w:firstLine="459"/>
        <w:rPr>
          <w:rFonts w:ascii="宋体" w:hAnsi="宋体" w:cs="宋体"/>
          <w:color w:val="000000"/>
          <w:sz w:val="22"/>
          <w:szCs w:val="22"/>
          <w:highlight w:val="none"/>
        </w:rPr>
      </w:pPr>
      <w:r>
        <w:rPr>
          <w:rFonts w:hint="eastAsia" w:ascii="宋体" w:hAnsi="宋体" w:cs="宋体"/>
          <w:color w:val="000000"/>
          <w:sz w:val="22"/>
          <w:szCs w:val="22"/>
          <w:highlight w:val="none"/>
        </w:rPr>
        <w:t>工程质量标准：</w:t>
      </w:r>
      <w:r>
        <w:rPr>
          <w:rFonts w:hint="eastAsia" w:ascii="宋体" w:hAnsi="宋体" w:cs="宋体"/>
          <w:color w:val="000000"/>
          <w:sz w:val="22"/>
          <w:szCs w:val="22"/>
          <w:highlight w:val="none"/>
          <w:u w:val="single"/>
        </w:rPr>
        <w:t>达到国家现行施工验收规范“合格”标准。</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2" w:name="_Toc351203484"/>
      <w:r>
        <w:rPr>
          <w:rFonts w:hint="eastAsia" w:ascii="宋体" w:hAnsi="宋体" w:cs="宋体"/>
          <w:color w:val="000000"/>
          <w:sz w:val="22"/>
          <w:szCs w:val="22"/>
          <w:highlight w:val="none"/>
        </w:rPr>
        <w:t>四、签约合同价与合同价格形式</w:t>
      </w:r>
      <w:bookmarkEnd w:id="442"/>
      <w:r>
        <w:rPr>
          <w:rFonts w:hint="eastAsia" w:ascii="宋体" w:hAnsi="宋体" w:cs="宋体"/>
          <w:color w:val="000000"/>
          <w:sz w:val="22"/>
          <w:szCs w:val="22"/>
          <w:highlight w:val="none"/>
        </w:rPr>
        <w:tab/>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1.签约合同价为：</w:t>
      </w:r>
    </w:p>
    <w:p>
      <w:pPr>
        <w:spacing w:line="360" w:lineRule="auto"/>
        <w:ind w:firstLine="550" w:firstLineChars="250"/>
        <w:rPr>
          <w:rFonts w:ascii="宋体" w:hAnsi="宋体" w:cs="宋体"/>
          <w:color w:val="000000"/>
          <w:sz w:val="22"/>
          <w:szCs w:val="22"/>
          <w:highlight w:val="none"/>
        </w:rPr>
      </w:pPr>
      <w:r>
        <w:rPr>
          <w:rFonts w:hint="eastAsia" w:ascii="宋体" w:hAnsi="宋体" w:cs="宋体"/>
          <w:color w:val="000000"/>
          <w:sz w:val="22"/>
          <w:szCs w:val="22"/>
          <w:highlight w:val="none"/>
        </w:rPr>
        <w:t>人民币（大写）</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元)；</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其中：</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（1）安全文明施工费：</w:t>
      </w:r>
    </w:p>
    <w:p>
      <w:pPr>
        <w:spacing w:line="360" w:lineRule="auto"/>
        <w:ind w:firstLine="990" w:firstLineChars="450"/>
        <w:rPr>
          <w:rFonts w:ascii="宋体" w:hAnsi="宋体" w:cs="宋体"/>
          <w:color w:val="000000"/>
          <w:sz w:val="22"/>
          <w:szCs w:val="22"/>
          <w:highlight w:val="none"/>
        </w:rPr>
      </w:pPr>
      <w:r>
        <w:rPr>
          <w:rFonts w:hint="eastAsia" w:ascii="宋体" w:hAnsi="宋体" w:cs="宋体"/>
          <w:color w:val="000000"/>
          <w:sz w:val="22"/>
          <w:szCs w:val="22"/>
          <w:highlight w:val="none"/>
        </w:rPr>
        <w:t>人民币（大写）</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元)；</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（2）材料和工程设备暂估价金额：</w:t>
      </w:r>
    </w:p>
    <w:p>
      <w:pPr>
        <w:spacing w:line="360" w:lineRule="auto"/>
        <w:ind w:firstLine="990" w:firstLineChars="450"/>
        <w:rPr>
          <w:rFonts w:ascii="宋体" w:hAnsi="宋体" w:cs="宋体"/>
          <w:color w:val="000000"/>
          <w:sz w:val="22"/>
          <w:szCs w:val="22"/>
          <w:highlight w:val="none"/>
        </w:rPr>
      </w:pPr>
      <w:r>
        <w:rPr>
          <w:rFonts w:hint="eastAsia" w:ascii="宋体" w:hAnsi="宋体" w:cs="宋体"/>
          <w:color w:val="000000"/>
          <w:sz w:val="22"/>
          <w:szCs w:val="22"/>
          <w:highlight w:val="none"/>
        </w:rPr>
        <w:t>人民币（大写）</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元)；</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（3）专业工程暂估价金额：</w:t>
      </w:r>
    </w:p>
    <w:p>
      <w:pPr>
        <w:spacing w:line="360" w:lineRule="auto"/>
        <w:ind w:firstLine="990" w:firstLineChars="450"/>
        <w:rPr>
          <w:rFonts w:hint="eastAsia" w:ascii="宋体" w:hAnsi="宋体" w:cs="宋体"/>
          <w:color w:val="000000"/>
          <w:sz w:val="22"/>
          <w:szCs w:val="22"/>
          <w:highlight w:val="none"/>
        </w:rPr>
      </w:pPr>
      <w:r>
        <w:rPr>
          <w:rFonts w:hint="eastAsia" w:ascii="宋体" w:hAnsi="宋体" w:cs="宋体"/>
          <w:color w:val="000000"/>
          <w:sz w:val="22"/>
          <w:szCs w:val="22"/>
          <w:highlight w:val="none"/>
        </w:rPr>
        <w:t>人民币（大写）</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元)；</w:t>
      </w:r>
    </w:p>
    <w:p>
      <w:pPr>
        <w:spacing w:line="360" w:lineRule="auto"/>
        <w:ind w:firstLine="990" w:firstLineChars="450"/>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其中：</w:t>
      </w:r>
    </w:p>
    <w:p>
      <w:pPr>
        <w:spacing w:line="360" w:lineRule="auto"/>
        <w:ind w:firstLine="990" w:firstLineChars="450"/>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1）安全软件管理系统工程暂估价：</w:t>
      </w:r>
    </w:p>
    <w:p>
      <w:pPr>
        <w:spacing w:line="360" w:lineRule="auto"/>
        <w:ind w:firstLine="990" w:firstLineChars="450"/>
        <w:rPr>
          <w:rFonts w:hint="eastAsia" w:ascii="宋体" w:hAnsi="宋体" w:cs="宋体"/>
          <w:color w:val="000000"/>
          <w:sz w:val="22"/>
          <w:szCs w:val="22"/>
          <w:highlight w:val="none"/>
        </w:rPr>
      </w:pPr>
      <w:r>
        <w:rPr>
          <w:rFonts w:hint="eastAsia" w:ascii="宋体" w:hAnsi="宋体" w:cs="宋体"/>
          <w:color w:val="000000"/>
          <w:sz w:val="22"/>
          <w:szCs w:val="22"/>
          <w:highlight w:val="none"/>
        </w:rPr>
        <w:t>人民币（大写）</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元)；</w:t>
      </w:r>
    </w:p>
    <w:p>
      <w:pPr>
        <w:spacing w:line="360" w:lineRule="auto"/>
        <w:ind w:firstLine="990" w:firstLineChars="450"/>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2）净水处理系统工程暂估价：</w:t>
      </w:r>
    </w:p>
    <w:p>
      <w:pPr>
        <w:spacing w:line="360" w:lineRule="auto"/>
        <w:ind w:firstLine="990" w:firstLineChars="450"/>
        <w:rPr>
          <w:rFonts w:hint="eastAsia" w:ascii="宋体" w:hAnsi="宋体" w:cs="宋体"/>
          <w:color w:val="000000"/>
          <w:sz w:val="22"/>
          <w:szCs w:val="22"/>
          <w:highlight w:val="none"/>
        </w:rPr>
      </w:pPr>
      <w:r>
        <w:rPr>
          <w:rFonts w:hint="eastAsia" w:ascii="宋体" w:hAnsi="宋体" w:cs="宋体"/>
          <w:color w:val="000000"/>
          <w:sz w:val="22"/>
          <w:szCs w:val="22"/>
          <w:highlight w:val="none"/>
        </w:rPr>
        <w:t>人民币（大写）</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元)；</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（4）暂列金额：</w:t>
      </w:r>
    </w:p>
    <w:p>
      <w:pPr>
        <w:spacing w:line="360" w:lineRule="auto"/>
        <w:ind w:firstLine="990" w:firstLineChars="450"/>
        <w:rPr>
          <w:rFonts w:ascii="宋体" w:hAnsi="宋体" w:cs="宋体"/>
          <w:color w:val="000000"/>
          <w:sz w:val="22"/>
          <w:szCs w:val="22"/>
          <w:highlight w:val="none"/>
        </w:rPr>
      </w:pPr>
      <w:r>
        <w:rPr>
          <w:rFonts w:hint="eastAsia" w:ascii="宋体" w:hAnsi="宋体" w:cs="宋体"/>
          <w:color w:val="000000"/>
          <w:sz w:val="22"/>
          <w:szCs w:val="22"/>
          <w:highlight w:val="none"/>
        </w:rPr>
        <w:t>人民币（</w:t>
      </w:r>
      <w:r>
        <w:rPr>
          <w:rFonts w:hint="eastAsia" w:ascii="宋体" w:hAnsi="宋体" w:eastAsia="宋体" w:cs="宋体"/>
          <w:color w:val="000000"/>
          <w:sz w:val="22"/>
          <w:szCs w:val="22"/>
          <w:highlight w:val="none"/>
        </w:rPr>
        <w:t>大写）</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元)；</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2.合同价格形式：</w:t>
      </w:r>
      <w:r>
        <w:rPr>
          <w:rFonts w:hint="eastAsia" w:ascii="宋体" w:hAnsi="宋体" w:cs="宋体"/>
          <w:color w:val="000000"/>
          <w:sz w:val="22"/>
          <w:szCs w:val="22"/>
          <w:highlight w:val="none"/>
          <w:u w:val="single"/>
        </w:rPr>
        <w:t>固定综合单价合同</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3" w:name="_Toc351203485"/>
      <w:r>
        <w:rPr>
          <w:rFonts w:hint="eastAsia" w:ascii="宋体" w:hAnsi="宋体" w:cs="宋体"/>
          <w:color w:val="000000"/>
          <w:sz w:val="22"/>
          <w:szCs w:val="22"/>
          <w:highlight w:val="none"/>
        </w:rPr>
        <w:t>五、</w:t>
      </w:r>
      <w:bookmarkEnd w:id="443"/>
      <w:r>
        <w:rPr>
          <w:rFonts w:hint="eastAsia" w:ascii="宋体" w:hAnsi="宋体" w:cs="宋体"/>
          <w:color w:val="000000"/>
          <w:sz w:val="22"/>
          <w:szCs w:val="22"/>
          <w:highlight w:val="none"/>
        </w:rPr>
        <w:t>项目经理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承包人项目经理：</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4" w:name="_Toc351203486"/>
      <w:r>
        <w:rPr>
          <w:rFonts w:hint="eastAsia" w:ascii="宋体" w:hAnsi="宋体" w:cs="宋体"/>
          <w:color w:val="000000"/>
          <w:sz w:val="22"/>
          <w:szCs w:val="22"/>
          <w:highlight w:val="none"/>
        </w:rPr>
        <w:t>六、合同文件构成</w:t>
      </w:r>
      <w:bookmarkEnd w:id="444"/>
    </w:p>
    <w:p>
      <w:pPr>
        <w:spacing w:line="360" w:lineRule="auto"/>
        <w:ind w:firstLine="440" w:firstLineChars="200"/>
        <w:rPr>
          <w:rFonts w:ascii="宋体" w:hAnsi="宋体" w:cs="宋体"/>
          <w:bCs/>
          <w:color w:val="000000"/>
          <w:sz w:val="22"/>
          <w:szCs w:val="22"/>
          <w:highlight w:val="none"/>
        </w:rPr>
      </w:pPr>
      <w:r>
        <w:rPr>
          <w:rFonts w:hint="eastAsia" w:ascii="宋体" w:hAnsi="宋体" w:cs="宋体"/>
          <w:bCs/>
          <w:color w:val="000000"/>
          <w:sz w:val="22"/>
          <w:szCs w:val="22"/>
          <w:highlight w:val="none"/>
        </w:rPr>
        <w:t>本协议书与下列文件一起构成合同文件：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（1）中标通知书；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（2）投标函及其附录；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（3）专用合同条款及其附件；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（4）通用合同条款；</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（5）技术标准和要求；</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（6）图纸；</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（7）已标价工程量清单或预算书；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（8）其他合同文件。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在合同订立及履行过程中形成的与合同有关的文件均构成合同文件组成部分。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5" w:name="_Toc351203487"/>
      <w:r>
        <w:rPr>
          <w:rFonts w:hint="eastAsia" w:ascii="宋体" w:hAnsi="宋体" w:cs="宋体"/>
          <w:color w:val="000000"/>
          <w:sz w:val="22"/>
          <w:szCs w:val="22"/>
          <w:highlight w:val="none"/>
        </w:rPr>
        <w:t>七、承诺</w:t>
      </w:r>
      <w:bookmarkEnd w:id="445"/>
    </w:p>
    <w:p>
      <w:pPr>
        <w:spacing w:line="360" w:lineRule="auto"/>
        <w:ind w:firstLine="440" w:firstLineChars="200"/>
        <w:rPr>
          <w:rFonts w:ascii="宋体" w:hAnsi="宋体" w:cs="宋体"/>
          <w:bCs/>
          <w:color w:val="000000"/>
          <w:sz w:val="22"/>
          <w:szCs w:val="22"/>
          <w:highlight w:val="none"/>
        </w:rPr>
      </w:pPr>
      <w:r>
        <w:rPr>
          <w:rFonts w:hint="eastAsia" w:ascii="宋体" w:hAnsi="宋体" w:cs="宋体"/>
          <w:bCs/>
          <w:color w:val="000000"/>
          <w:sz w:val="22"/>
          <w:szCs w:val="22"/>
          <w:highlight w:val="none"/>
        </w:rPr>
        <w:t>1.发包人承诺按照法律规定履行项目审批手续、筹集工程建设资金并按照合同约定的期限和方式支付合同价款。</w:t>
      </w:r>
    </w:p>
    <w:p>
      <w:pPr>
        <w:spacing w:line="360" w:lineRule="auto"/>
        <w:ind w:firstLine="440" w:firstLineChars="200"/>
        <w:rPr>
          <w:rFonts w:ascii="宋体" w:hAnsi="宋体" w:cs="宋体"/>
          <w:bCs/>
          <w:color w:val="000000"/>
          <w:sz w:val="22"/>
          <w:szCs w:val="22"/>
          <w:highlight w:val="none"/>
        </w:rPr>
      </w:pPr>
      <w:r>
        <w:rPr>
          <w:rFonts w:hint="eastAsia" w:ascii="宋体" w:hAnsi="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rFonts w:ascii="宋体" w:hAnsi="宋体" w:cs="宋体"/>
          <w:bCs/>
          <w:color w:val="000000"/>
          <w:sz w:val="22"/>
          <w:szCs w:val="22"/>
          <w:highlight w:val="none"/>
        </w:rPr>
      </w:pPr>
      <w:r>
        <w:rPr>
          <w:rFonts w:hint="eastAsia" w:ascii="宋体" w:hAnsi="宋体" w:cs="宋体"/>
          <w:bCs/>
          <w:color w:val="000000"/>
          <w:sz w:val="22"/>
          <w:szCs w:val="22"/>
          <w:highlight w:val="none"/>
        </w:rPr>
        <w:t>3.发包人和承包人通过招投标形式签订合同的，双方理解并承诺不再就同一工程另行签订与合同实质性内容相背离的协议。</w:t>
      </w:r>
    </w:p>
    <w:p>
      <w:pPr>
        <w:spacing w:line="360" w:lineRule="auto"/>
        <w:rPr>
          <w:rFonts w:ascii="宋体" w:hAnsi="宋体" w:cs="宋体"/>
          <w:bCs/>
          <w:color w:val="000000"/>
          <w:sz w:val="22"/>
          <w:szCs w:val="22"/>
          <w:highlight w:val="none"/>
        </w:rPr>
      </w:pPr>
      <w:bookmarkStart w:id="446" w:name="_Toc351203488"/>
      <w:r>
        <w:rPr>
          <w:rFonts w:hint="eastAsia" w:ascii="宋体" w:hAnsi="宋体" w:cs="宋体"/>
          <w:b/>
          <w:color w:val="000000"/>
          <w:sz w:val="22"/>
          <w:szCs w:val="22"/>
          <w:highlight w:val="none"/>
        </w:rPr>
        <w:t xml:space="preserve">    八、词语含义</w:t>
      </w:r>
      <w:bookmarkEnd w:id="446"/>
    </w:p>
    <w:p>
      <w:pPr>
        <w:spacing w:line="360" w:lineRule="auto"/>
        <w:ind w:firstLine="440" w:firstLineChars="200"/>
        <w:rPr>
          <w:rFonts w:ascii="宋体" w:hAnsi="宋体" w:cs="宋体"/>
          <w:bCs/>
          <w:color w:val="000000"/>
          <w:sz w:val="22"/>
          <w:szCs w:val="22"/>
          <w:highlight w:val="none"/>
        </w:rPr>
      </w:pPr>
      <w:r>
        <w:rPr>
          <w:rFonts w:hint="eastAsia" w:ascii="宋体" w:hAnsi="宋体" w:cs="宋体"/>
          <w:bCs/>
          <w:color w:val="000000"/>
          <w:sz w:val="22"/>
          <w:szCs w:val="22"/>
          <w:highlight w:val="none"/>
        </w:rPr>
        <w:t>本协议书中词语含义与第二部分通用合同条款中赋予的含义相同。</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7" w:name="_Toc351203489"/>
      <w:r>
        <w:rPr>
          <w:rFonts w:hint="eastAsia" w:ascii="宋体" w:hAnsi="宋体" w:cs="宋体"/>
          <w:color w:val="000000"/>
          <w:sz w:val="22"/>
          <w:szCs w:val="22"/>
          <w:highlight w:val="none"/>
        </w:rPr>
        <w:t>九、签订时间</w:t>
      </w:r>
      <w:bookmarkEnd w:id="447"/>
    </w:p>
    <w:p>
      <w:pPr>
        <w:spacing w:line="360" w:lineRule="auto"/>
        <w:ind w:firstLine="440" w:firstLineChars="200"/>
        <w:rPr>
          <w:rFonts w:ascii="宋体" w:hAnsi="宋体" w:cs="宋体"/>
          <w:bCs/>
          <w:color w:val="000000"/>
          <w:sz w:val="22"/>
          <w:szCs w:val="22"/>
          <w:highlight w:val="none"/>
        </w:rPr>
      </w:pPr>
      <w:r>
        <w:rPr>
          <w:rFonts w:hint="eastAsia" w:ascii="宋体" w:hAnsi="宋体" w:cs="宋体"/>
          <w:bCs/>
          <w:color w:val="000000"/>
          <w:sz w:val="22"/>
          <w:szCs w:val="22"/>
          <w:highlight w:val="none"/>
        </w:rPr>
        <w:t>本合同于</w:t>
      </w:r>
      <w:r>
        <w:rPr>
          <w:rFonts w:hint="eastAsia" w:ascii="宋体" w:hAnsi="宋体" w:cs="宋体"/>
          <w:bCs/>
          <w:color w:val="000000"/>
          <w:sz w:val="22"/>
          <w:szCs w:val="22"/>
          <w:highlight w:val="none"/>
          <w:u w:val="single"/>
        </w:rPr>
        <w:t xml:space="preserve">         </w:t>
      </w:r>
      <w:r>
        <w:rPr>
          <w:rFonts w:hint="eastAsia" w:ascii="宋体" w:hAnsi="宋体" w:cs="宋体"/>
          <w:bCs/>
          <w:color w:val="000000"/>
          <w:sz w:val="22"/>
          <w:szCs w:val="22"/>
          <w:highlight w:val="none"/>
        </w:rPr>
        <w:t>年</w:t>
      </w:r>
      <w:r>
        <w:rPr>
          <w:rFonts w:hint="eastAsia" w:ascii="宋体" w:hAnsi="宋体" w:cs="宋体"/>
          <w:bCs/>
          <w:color w:val="000000"/>
          <w:sz w:val="22"/>
          <w:szCs w:val="22"/>
          <w:highlight w:val="none"/>
          <w:u w:val="single"/>
        </w:rPr>
        <w:t xml:space="preserve">    </w:t>
      </w:r>
      <w:r>
        <w:rPr>
          <w:rFonts w:hint="eastAsia" w:ascii="宋体" w:hAnsi="宋体" w:cs="宋体"/>
          <w:bCs/>
          <w:color w:val="000000"/>
          <w:sz w:val="22"/>
          <w:szCs w:val="22"/>
          <w:highlight w:val="none"/>
        </w:rPr>
        <w:t>月</w:t>
      </w:r>
      <w:r>
        <w:rPr>
          <w:rFonts w:hint="eastAsia" w:ascii="宋体" w:hAnsi="宋体" w:cs="宋体"/>
          <w:bCs/>
          <w:color w:val="000000"/>
          <w:sz w:val="22"/>
          <w:szCs w:val="22"/>
          <w:highlight w:val="none"/>
          <w:u w:val="single"/>
        </w:rPr>
        <w:t xml:space="preserve">    </w:t>
      </w:r>
      <w:r>
        <w:rPr>
          <w:rFonts w:hint="eastAsia" w:ascii="宋体" w:hAnsi="宋体" w:cs="宋体"/>
          <w:bCs/>
          <w:color w:val="000000"/>
          <w:sz w:val="22"/>
          <w:szCs w:val="22"/>
          <w:highlight w:val="none"/>
        </w:rPr>
        <w:t>日签订。</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8" w:name="_Toc351203490"/>
      <w:r>
        <w:rPr>
          <w:rFonts w:hint="eastAsia" w:ascii="宋体" w:hAnsi="宋体" w:cs="宋体"/>
          <w:color w:val="000000"/>
          <w:sz w:val="22"/>
          <w:szCs w:val="22"/>
          <w:highlight w:val="none"/>
        </w:rPr>
        <w:t>十、签订地点</w:t>
      </w:r>
      <w:bookmarkEnd w:id="448"/>
    </w:p>
    <w:p>
      <w:pPr>
        <w:spacing w:line="360" w:lineRule="auto"/>
        <w:ind w:firstLine="440" w:firstLineChars="200"/>
        <w:rPr>
          <w:rFonts w:ascii="宋体" w:hAnsi="宋体" w:cs="宋体"/>
          <w:bCs/>
          <w:color w:val="000000"/>
          <w:sz w:val="22"/>
          <w:szCs w:val="22"/>
          <w:highlight w:val="none"/>
        </w:rPr>
      </w:pPr>
      <w:r>
        <w:rPr>
          <w:rFonts w:hint="eastAsia" w:ascii="宋体" w:hAnsi="宋体" w:cs="宋体"/>
          <w:bCs/>
          <w:color w:val="000000"/>
          <w:sz w:val="22"/>
          <w:szCs w:val="22"/>
          <w:highlight w:val="none"/>
        </w:rPr>
        <w:t>本合同在</w:t>
      </w:r>
      <w:r>
        <w:rPr>
          <w:rFonts w:hint="eastAsia" w:ascii="宋体" w:hAnsi="宋体" w:cs="宋体"/>
          <w:bCs/>
          <w:color w:val="000000"/>
          <w:sz w:val="22"/>
          <w:szCs w:val="22"/>
          <w:highlight w:val="none"/>
          <w:u w:val="single"/>
        </w:rPr>
        <w:t xml:space="preserve">  陕西省 西安市  </w:t>
      </w:r>
      <w:r>
        <w:rPr>
          <w:rFonts w:hint="eastAsia" w:ascii="宋体" w:hAnsi="宋体" w:cs="宋体"/>
          <w:bCs/>
          <w:color w:val="000000"/>
          <w:sz w:val="22"/>
          <w:szCs w:val="22"/>
          <w:highlight w:val="none"/>
        </w:rPr>
        <w:t>签订。</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49" w:name="_Toc351203491"/>
      <w:r>
        <w:rPr>
          <w:rFonts w:hint="eastAsia" w:ascii="宋体" w:hAnsi="宋体" w:cs="宋体"/>
          <w:color w:val="000000"/>
          <w:sz w:val="22"/>
          <w:szCs w:val="22"/>
          <w:highlight w:val="none"/>
        </w:rPr>
        <w:t>十一、补充协议</w:t>
      </w:r>
      <w:bookmarkEnd w:id="449"/>
    </w:p>
    <w:p>
      <w:pPr>
        <w:spacing w:line="360" w:lineRule="auto"/>
        <w:ind w:firstLine="440" w:firstLineChars="200"/>
        <w:rPr>
          <w:rFonts w:ascii="宋体" w:hAnsi="宋体" w:cs="宋体"/>
          <w:b/>
          <w:bCs/>
          <w:color w:val="000000"/>
          <w:sz w:val="22"/>
          <w:szCs w:val="22"/>
          <w:highlight w:val="none"/>
        </w:rPr>
      </w:pPr>
      <w:r>
        <w:rPr>
          <w:rFonts w:hint="eastAsia" w:ascii="宋体" w:hAnsi="宋体" w:cs="宋体"/>
          <w:bCs/>
          <w:color w:val="000000"/>
          <w:sz w:val="22"/>
          <w:szCs w:val="22"/>
          <w:highlight w:val="none"/>
        </w:rPr>
        <w:t>合同未尽事宜，合同当事人另行签订补充协议，补充协议是合同的组成部分。</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50" w:name="_Toc351203492"/>
      <w:r>
        <w:rPr>
          <w:rFonts w:hint="eastAsia" w:ascii="宋体" w:hAnsi="宋体" w:cs="宋体"/>
          <w:color w:val="000000"/>
          <w:sz w:val="22"/>
          <w:szCs w:val="22"/>
          <w:highlight w:val="none"/>
        </w:rPr>
        <w:t>十二、合同生效</w:t>
      </w:r>
      <w:bookmarkEnd w:id="450"/>
    </w:p>
    <w:p>
      <w:pPr>
        <w:spacing w:line="360" w:lineRule="auto"/>
        <w:ind w:firstLine="440" w:firstLineChars="200"/>
        <w:rPr>
          <w:rFonts w:ascii="宋体" w:hAnsi="宋体" w:cs="宋体"/>
          <w:bCs/>
          <w:color w:val="000000"/>
          <w:sz w:val="22"/>
          <w:szCs w:val="22"/>
          <w:highlight w:val="none"/>
        </w:rPr>
      </w:pPr>
      <w:r>
        <w:rPr>
          <w:rFonts w:hint="eastAsia" w:ascii="宋体" w:hAnsi="宋体" w:cs="宋体"/>
          <w:bCs/>
          <w:color w:val="000000"/>
          <w:sz w:val="22"/>
          <w:szCs w:val="22"/>
          <w:highlight w:val="none"/>
        </w:rPr>
        <w:t>本合同自</w:t>
      </w:r>
      <w:r>
        <w:rPr>
          <w:rFonts w:hint="eastAsia" w:ascii="宋体" w:hAnsi="宋体" w:cs="宋体"/>
          <w:bCs/>
          <w:color w:val="000000"/>
          <w:sz w:val="22"/>
          <w:szCs w:val="22"/>
          <w:highlight w:val="none"/>
          <w:u w:val="single"/>
        </w:rPr>
        <w:t xml:space="preserve"> 发承包双方签字盖章并备案之日起</w:t>
      </w:r>
      <w:r>
        <w:rPr>
          <w:rFonts w:hint="eastAsia" w:ascii="宋体" w:hAnsi="宋体" w:cs="宋体"/>
          <w:bCs/>
          <w:color w:val="000000"/>
          <w:sz w:val="22"/>
          <w:szCs w:val="22"/>
          <w:highlight w:val="none"/>
        </w:rPr>
        <w:t>生效。</w:t>
      </w:r>
    </w:p>
    <w:p>
      <w:pPr>
        <w:spacing w:before="120" w:after="120"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451" w:name="_Toc351203493"/>
      <w:r>
        <w:rPr>
          <w:rFonts w:hint="eastAsia" w:ascii="宋体" w:hAnsi="宋体" w:cs="宋体"/>
          <w:color w:val="000000"/>
          <w:sz w:val="22"/>
          <w:szCs w:val="22"/>
          <w:highlight w:val="none"/>
        </w:rPr>
        <w:t>十三、合同份数</w:t>
      </w:r>
      <w:bookmarkEnd w:id="451"/>
    </w:p>
    <w:p>
      <w:pPr>
        <w:spacing w:line="360" w:lineRule="auto"/>
        <w:ind w:firstLine="440" w:firstLineChars="200"/>
        <w:rPr>
          <w:rFonts w:ascii="宋体" w:hAnsi="宋体" w:cs="宋体"/>
          <w:color w:val="000000"/>
          <w:sz w:val="22"/>
          <w:szCs w:val="22"/>
          <w:highlight w:val="none"/>
        </w:rPr>
      </w:pPr>
      <w:r>
        <w:rPr>
          <w:rFonts w:hint="eastAsia" w:ascii="宋体" w:hAnsi="宋体" w:cs="宋体"/>
          <w:bCs/>
          <w:color w:val="000000"/>
          <w:sz w:val="22"/>
          <w:szCs w:val="22"/>
          <w:highlight w:val="none"/>
        </w:rPr>
        <w:t>本合同一式</w:t>
      </w:r>
      <w:r>
        <w:rPr>
          <w:rFonts w:hint="eastAsia" w:ascii="宋体" w:hAnsi="宋体" w:cs="宋体"/>
          <w:bCs/>
          <w:color w:val="000000"/>
          <w:sz w:val="22"/>
          <w:szCs w:val="22"/>
          <w:highlight w:val="none"/>
          <w:u w:val="single"/>
        </w:rPr>
        <w:t>壹拾陆</w:t>
      </w:r>
      <w:r>
        <w:rPr>
          <w:rFonts w:hint="eastAsia" w:ascii="宋体" w:hAnsi="宋体" w:cs="宋体"/>
          <w:bCs/>
          <w:color w:val="000000"/>
          <w:sz w:val="22"/>
          <w:szCs w:val="22"/>
          <w:highlight w:val="none"/>
        </w:rPr>
        <w:t>份，正本</w:t>
      </w:r>
      <w:r>
        <w:rPr>
          <w:rFonts w:hint="eastAsia" w:ascii="宋体" w:hAnsi="宋体" w:cs="宋体"/>
          <w:bCs/>
          <w:color w:val="000000"/>
          <w:sz w:val="22"/>
          <w:szCs w:val="22"/>
          <w:highlight w:val="none"/>
          <w:u w:val="single"/>
        </w:rPr>
        <w:t>贰</w:t>
      </w:r>
      <w:r>
        <w:rPr>
          <w:rFonts w:hint="eastAsia" w:ascii="宋体" w:hAnsi="宋体" w:cs="宋体"/>
          <w:bCs/>
          <w:color w:val="000000"/>
          <w:sz w:val="22"/>
          <w:szCs w:val="22"/>
          <w:highlight w:val="none"/>
        </w:rPr>
        <w:t>份，副本</w:t>
      </w:r>
      <w:r>
        <w:rPr>
          <w:rFonts w:hint="eastAsia" w:ascii="宋体" w:hAnsi="宋体" w:cs="宋体"/>
          <w:bCs/>
          <w:color w:val="000000"/>
          <w:sz w:val="22"/>
          <w:szCs w:val="22"/>
          <w:highlight w:val="none"/>
          <w:u w:val="single"/>
        </w:rPr>
        <w:t>壹拾肆</w:t>
      </w:r>
      <w:r>
        <w:rPr>
          <w:rFonts w:hint="eastAsia" w:ascii="宋体" w:hAnsi="宋体" w:cs="宋体"/>
          <w:bCs/>
          <w:color w:val="000000"/>
          <w:sz w:val="22"/>
          <w:szCs w:val="22"/>
          <w:highlight w:val="none"/>
        </w:rPr>
        <w:t>份，均具有同等法律效力，发包人执正本</w:t>
      </w:r>
      <w:r>
        <w:rPr>
          <w:rFonts w:hint="eastAsia" w:ascii="宋体" w:hAnsi="宋体" w:cs="宋体"/>
          <w:bCs/>
          <w:color w:val="000000"/>
          <w:sz w:val="22"/>
          <w:szCs w:val="22"/>
          <w:highlight w:val="none"/>
          <w:u w:val="single"/>
        </w:rPr>
        <w:t>壹</w:t>
      </w:r>
      <w:r>
        <w:rPr>
          <w:rFonts w:hint="eastAsia" w:ascii="宋体" w:hAnsi="宋体" w:cs="宋体"/>
          <w:bCs/>
          <w:color w:val="000000"/>
          <w:sz w:val="22"/>
          <w:szCs w:val="22"/>
          <w:highlight w:val="none"/>
        </w:rPr>
        <w:t>份，副本</w:t>
      </w:r>
      <w:r>
        <w:rPr>
          <w:rFonts w:hint="eastAsia" w:ascii="宋体" w:hAnsi="宋体" w:cs="宋体"/>
          <w:bCs/>
          <w:color w:val="000000"/>
          <w:sz w:val="22"/>
          <w:szCs w:val="22"/>
          <w:highlight w:val="none"/>
          <w:u w:val="single"/>
        </w:rPr>
        <w:t>壹拾壹</w:t>
      </w:r>
      <w:r>
        <w:rPr>
          <w:rFonts w:hint="eastAsia" w:ascii="宋体" w:hAnsi="宋体" w:cs="宋体"/>
          <w:bCs/>
          <w:color w:val="000000"/>
          <w:sz w:val="22"/>
          <w:szCs w:val="22"/>
          <w:highlight w:val="none"/>
        </w:rPr>
        <w:t>份；承包人执正本</w:t>
      </w:r>
      <w:r>
        <w:rPr>
          <w:rFonts w:hint="eastAsia" w:ascii="宋体" w:hAnsi="宋体" w:cs="宋体"/>
          <w:bCs/>
          <w:color w:val="000000"/>
          <w:sz w:val="22"/>
          <w:szCs w:val="22"/>
          <w:highlight w:val="none"/>
          <w:u w:val="single"/>
        </w:rPr>
        <w:t>壹</w:t>
      </w:r>
      <w:r>
        <w:rPr>
          <w:rFonts w:hint="eastAsia" w:ascii="宋体" w:hAnsi="宋体" w:cs="宋体"/>
          <w:bCs/>
          <w:color w:val="000000"/>
          <w:sz w:val="22"/>
          <w:szCs w:val="22"/>
          <w:highlight w:val="none"/>
        </w:rPr>
        <w:t>份，副本</w:t>
      </w:r>
      <w:r>
        <w:rPr>
          <w:rFonts w:hint="eastAsia" w:ascii="宋体" w:hAnsi="宋体" w:cs="宋体"/>
          <w:bCs/>
          <w:color w:val="000000"/>
          <w:sz w:val="22"/>
          <w:szCs w:val="22"/>
          <w:highlight w:val="none"/>
          <w:u w:val="single"/>
        </w:rPr>
        <w:t>叁</w:t>
      </w:r>
      <w:r>
        <w:rPr>
          <w:rFonts w:hint="eastAsia" w:ascii="宋体" w:hAnsi="宋体" w:cs="宋体"/>
          <w:bCs/>
          <w:color w:val="000000"/>
          <w:sz w:val="22"/>
          <w:szCs w:val="22"/>
          <w:highlight w:val="none"/>
        </w:rPr>
        <w:t>份。</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发包人：         </w:t>
      </w:r>
      <w:r>
        <w:rPr>
          <w:rFonts w:hint="eastAsia" w:ascii="宋体" w:hAnsi="宋体" w:cs="宋体"/>
          <w:color w:val="000000"/>
          <w:sz w:val="22"/>
          <w:szCs w:val="22"/>
          <w:highlight w:val="none"/>
          <w:lang w:val="en-US" w:eastAsia="zh-CN"/>
        </w:rPr>
        <w:t xml:space="preserve">                        </w:t>
      </w:r>
      <w:r>
        <w:rPr>
          <w:rFonts w:hint="eastAsia" w:ascii="宋体" w:hAnsi="宋体" w:cs="宋体"/>
          <w:color w:val="000000"/>
          <w:sz w:val="22"/>
          <w:szCs w:val="22"/>
          <w:highlight w:val="none"/>
        </w:rPr>
        <w:t>承包人：  (公章)</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(公章)                </w:t>
      </w:r>
    </w:p>
    <w:p>
      <w:pPr>
        <w:spacing w:line="360" w:lineRule="auto"/>
        <w:rPr>
          <w:rFonts w:ascii="宋体" w:hAnsi="宋体" w:cs="宋体"/>
          <w:color w:val="000000"/>
          <w:sz w:val="22"/>
          <w:szCs w:val="22"/>
          <w:highlight w:val="none"/>
          <w:u w:val="single"/>
        </w:rPr>
      </w:pPr>
      <w:r>
        <w:rPr>
          <w:rFonts w:hint="eastAsia" w:ascii="宋体" w:hAnsi="宋体" w:cs="宋体"/>
          <w:color w:val="000000"/>
          <w:sz w:val="22"/>
          <w:szCs w:val="22"/>
          <w:highlight w:val="non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法定代表人或其委托代理人：               法定代表人或其委托代理人：</w:t>
      </w:r>
    </w:p>
    <w:p>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（签字）                                （签字）</w:t>
      </w:r>
    </w:p>
    <w:p>
      <w:pPr>
        <w:pStyle w:val="29"/>
        <w:rPr>
          <w:highlight w:val="none"/>
        </w:rPr>
      </w:pPr>
    </w:p>
    <w:p>
      <w:pPr>
        <w:spacing w:line="360" w:lineRule="auto"/>
        <w:rPr>
          <w:rFonts w:ascii="宋体" w:hAnsi="宋体" w:cs="宋体"/>
          <w:color w:val="000000"/>
          <w:sz w:val="22"/>
          <w:szCs w:val="22"/>
          <w:highlight w:val="none"/>
          <w:u w:val="single"/>
        </w:rPr>
      </w:pPr>
    </w:p>
    <w:p>
      <w:pPr>
        <w:tabs>
          <w:tab w:val="left" w:pos="4410"/>
        </w:tabs>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组织机构代码：</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组织机构代码：</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地  址：</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lang w:val="en-US" w:eastAsia="zh-CN"/>
        </w:rPr>
        <w:t xml:space="preserve"> </w:t>
      </w:r>
      <w:r>
        <w:rPr>
          <w:rFonts w:hint="eastAsia" w:ascii="宋体" w:hAnsi="宋体" w:cs="宋体"/>
          <w:color w:val="000000"/>
          <w:sz w:val="22"/>
          <w:szCs w:val="22"/>
          <w:highlight w:val="none"/>
        </w:rPr>
        <w:t>地  址：</w:t>
      </w:r>
      <w:r>
        <w:rPr>
          <w:rFonts w:hint="eastAsia" w:ascii="宋体" w:hAnsi="宋体" w:cs="宋体"/>
          <w:color w:val="000000"/>
          <w:sz w:val="22"/>
          <w:szCs w:val="22"/>
          <w:highlight w:val="none"/>
          <w:u w:val="single"/>
        </w:rPr>
        <w:t xml:space="preserve">  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邮政编码：</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 xml:space="preserve">             邮政编码：</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法定代表人：</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 xml:space="preserve">              法定代表人：</w:t>
      </w:r>
      <w:r>
        <w:rPr>
          <w:rFonts w:hint="eastAsia" w:ascii="宋体" w:hAnsi="宋体" w:cs="宋体"/>
          <w:color w:val="000000"/>
          <w:sz w:val="22"/>
          <w:szCs w:val="22"/>
          <w:highlight w:val="none"/>
          <w:u w:val="single"/>
        </w:rPr>
        <w:t xml:space="preserve">      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委托代理人：</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委托代理人：</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电  话：</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电  话：</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传  真：</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传  真：</w:t>
      </w:r>
      <w:r>
        <w:rPr>
          <w:rFonts w:hint="eastAsia" w:ascii="宋体" w:hAnsi="宋体" w:cs="宋体"/>
          <w:color w:val="000000"/>
          <w:sz w:val="22"/>
          <w:szCs w:val="22"/>
          <w:highlight w:val="none"/>
          <w:u w:val="single"/>
        </w:rPr>
        <w:t xml:space="preserve">  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电子信箱：</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电子信箱：</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开户银行：</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lang w:val="en-US" w:eastAsia="zh-CN"/>
        </w:rPr>
        <w:t xml:space="preserve">               </w:t>
      </w:r>
      <w:r>
        <w:rPr>
          <w:rFonts w:hint="eastAsia" w:ascii="宋体" w:hAnsi="宋体" w:cs="宋体"/>
          <w:color w:val="000000"/>
          <w:sz w:val="22"/>
          <w:szCs w:val="22"/>
          <w:highlight w:val="none"/>
        </w:rPr>
        <w:t>开户银行：</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账  号：</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lang w:val="en-US" w:eastAsia="zh-CN"/>
        </w:rPr>
        <w:t xml:space="preserve">           </w:t>
      </w:r>
      <w:r>
        <w:rPr>
          <w:rFonts w:hint="eastAsia" w:ascii="宋体" w:hAnsi="宋体" w:cs="宋体"/>
          <w:color w:val="000000"/>
          <w:sz w:val="22"/>
          <w:szCs w:val="22"/>
          <w:highlight w:val="none"/>
        </w:rPr>
        <w:t xml:space="preserve"> 账  号：</w:t>
      </w:r>
      <w:r>
        <w:rPr>
          <w:rFonts w:hint="eastAsia" w:ascii="宋体" w:hAnsi="宋体" w:cs="宋体"/>
          <w:color w:val="000000"/>
          <w:sz w:val="22"/>
          <w:szCs w:val="22"/>
          <w:highlight w:val="none"/>
          <w:u w:val="single"/>
        </w:rPr>
        <w:t xml:space="preserve">     </w:t>
      </w:r>
    </w:p>
    <w:p>
      <w:pPr>
        <w:jc w:val="center"/>
        <w:rPr>
          <w:rFonts w:ascii="宋体" w:hAnsi="宋体" w:cs="宋体"/>
          <w:sz w:val="22"/>
          <w:szCs w:val="22"/>
          <w:highlight w:val="none"/>
        </w:rPr>
      </w:pPr>
      <w:r>
        <w:rPr>
          <w:rFonts w:hint="eastAsia" w:ascii="宋体" w:hAnsi="宋体" w:cs="宋体"/>
          <w:sz w:val="22"/>
          <w:szCs w:val="22"/>
          <w:highlight w:val="none"/>
        </w:rPr>
        <w:br w:type="page"/>
      </w:r>
      <w:bookmarkStart w:id="452" w:name="_Toc351203494"/>
      <w:bookmarkStart w:id="453" w:name="_Toc1604"/>
      <w:r>
        <w:rPr>
          <w:rFonts w:hint="eastAsia" w:ascii="宋体" w:hAnsi="宋体" w:cs="宋体"/>
          <w:sz w:val="22"/>
          <w:szCs w:val="22"/>
          <w:highlight w:val="none"/>
        </w:rPr>
        <w:t>第二部分 通用合同条款</w:t>
      </w:r>
      <w:bookmarkEnd w:id="452"/>
      <w:bookmarkEnd w:id="453"/>
      <w:bookmarkStart w:id="454" w:name="_Toc337558727"/>
    </w:p>
    <w:p>
      <w:pPr>
        <w:spacing w:before="120" w:after="120" w:line="360" w:lineRule="auto"/>
        <w:rPr>
          <w:rFonts w:ascii="宋体" w:hAnsi="宋体" w:cs="宋体"/>
          <w:color w:val="000000"/>
          <w:sz w:val="22"/>
          <w:szCs w:val="22"/>
          <w:highlight w:val="none"/>
        </w:rPr>
      </w:pPr>
      <w:bookmarkStart w:id="455" w:name="_Toc351203495"/>
      <w:r>
        <w:rPr>
          <w:rFonts w:hint="eastAsia" w:ascii="宋体" w:hAnsi="宋体" w:cs="宋体"/>
          <w:color w:val="000000"/>
          <w:sz w:val="22"/>
          <w:szCs w:val="22"/>
          <w:highlight w:val="none"/>
        </w:rPr>
        <w:t>1.</w:t>
      </w:r>
      <w:bookmarkStart w:id="456" w:name="_Toc303538973"/>
      <w:bookmarkEnd w:id="456"/>
      <w:bookmarkStart w:id="457" w:name="_Toc303538975"/>
      <w:bookmarkEnd w:id="457"/>
      <w:bookmarkStart w:id="458" w:name="_Toc303538974"/>
      <w:bookmarkEnd w:id="458"/>
      <w:bookmarkStart w:id="459" w:name="_Toc303538972"/>
      <w:bookmarkEnd w:id="459"/>
      <w:bookmarkStart w:id="460" w:name="_Toc303538976"/>
      <w:bookmarkEnd w:id="460"/>
      <w:bookmarkStart w:id="461" w:name="_Toc296346528"/>
      <w:bookmarkStart w:id="462" w:name="_Toc296503027"/>
      <w:r>
        <w:rPr>
          <w:rFonts w:hint="eastAsia" w:ascii="宋体" w:hAnsi="宋体" w:cs="宋体"/>
          <w:color w:val="000000"/>
          <w:sz w:val="22"/>
          <w:szCs w:val="22"/>
          <w:highlight w:val="none"/>
        </w:rPr>
        <w:t xml:space="preserve"> 一般约定</w:t>
      </w:r>
      <w:bookmarkEnd w:id="454"/>
      <w:bookmarkEnd w:id="455"/>
      <w:bookmarkEnd w:id="461"/>
      <w:bookmarkEnd w:id="462"/>
    </w:p>
    <w:p>
      <w:pPr>
        <w:spacing w:before="120" w:after="120" w:line="360" w:lineRule="auto"/>
        <w:ind w:firstLine="440" w:firstLineChars="200"/>
        <w:rPr>
          <w:rFonts w:ascii="宋体" w:hAnsi="宋体" w:cs="宋体"/>
          <w:color w:val="000000"/>
          <w:sz w:val="22"/>
          <w:szCs w:val="22"/>
          <w:highlight w:val="none"/>
        </w:rPr>
      </w:pPr>
      <w:bookmarkStart w:id="463" w:name="_Toc337558728"/>
      <w:bookmarkStart w:id="464" w:name="_Toc296503028"/>
      <w:bookmarkStart w:id="465" w:name="_Toc296346529"/>
      <w:bookmarkStart w:id="466" w:name="_Toc351203496"/>
      <w:r>
        <w:rPr>
          <w:rFonts w:hint="eastAsia" w:ascii="宋体" w:hAnsi="宋体" w:cs="宋体"/>
          <w:color w:val="000000"/>
          <w:sz w:val="22"/>
          <w:szCs w:val="22"/>
          <w:highlight w:val="none"/>
        </w:rPr>
        <w:t>1.1词语定义</w:t>
      </w:r>
      <w:bookmarkEnd w:id="463"/>
      <w:bookmarkEnd w:id="464"/>
      <w:bookmarkEnd w:id="465"/>
      <w:r>
        <w:rPr>
          <w:rFonts w:hint="eastAsia" w:ascii="宋体" w:hAnsi="宋体" w:cs="宋体"/>
          <w:color w:val="000000"/>
          <w:sz w:val="22"/>
          <w:szCs w:val="22"/>
          <w:highlight w:val="none"/>
        </w:rPr>
        <w:t>与解释</w:t>
      </w:r>
      <w:bookmarkEnd w:id="466"/>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合同协议书、通用合同条款、专用合同条款中的下列词语具有本款所赋予的含义：</w:t>
      </w:r>
    </w:p>
    <w:p>
      <w:pPr>
        <w:autoSpaceDE w:val="0"/>
        <w:autoSpaceDN w:val="0"/>
        <w:adjustRightInd w:val="0"/>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1.1.1 合同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1.1.1.2 合同协议书：是指构成合同的由发包人和承包人共同签署的称为“合同协议书”的书面文件。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1.1.1.3 中标通知书：是指构成合同的由发包人通知承包人中标的书面文件。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1.1.1.4 投标函：是指构成合同的由承包人填写并签署的用于投标的称为“投标函”的文件。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1.1.1.5 投标函附录：是指构成合同的附在投标函后的称为“投标函附录”的文件。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1.1.1.6 技术标准和要求：是指构成合同的施工应当遵守的或指导施工的国家、行业或地方的技术标准和要求，以及合同约定的技术标准和要求。</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29" w:firstLineChars="195"/>
        <w:rPr>
          <w:rFonts w:ascii="宋体" w:hAnsi="宋体" w:cs="宋体"/>
          <w:color w:val="000000"/>
          <w:sz w:val="22"/>
          <w:szCs w:val="22"/>
          <w:highlight w:val="none"/>
        </w:rPr>
      </w:pPr>
      <w:r>
        <w:rPr>
          <w:rFonts w:hint="eastAsia" w:ascii="宋体" w:hAnsi="宋体" w:cs="宋体"/>
          <w:color w:val="000000"/>
          <w:sz w:val="22"/>
          <w:szCs w:val="22"/>
          <w:highlight w:val="none"/>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29" w:firstLineChars="195"/>
        <w:rPr>
          <w:rFonts w:ascii="宋体" w:hAnsi="宋体" w:cs="宋体"/>
          <w:color w:val="000000"/>
          <w:sz w:val="22"/>
          <w:szCs w:val="22"/>
          <w:highlight w:val="none"/>
        </w:rPr>
      </w:pPr>
      <w:r>
        <w:rPr>
          <w:rFonts w:hint="eastAsia" w:ascii="宋体" w:hAnsi="宋体" w:cs="宋体"/>
          <w:color w:val="000000"/>
          <w:sz w:val="22"/>
          <w:szCs w:val="22"/>
          <w:highlight w:val="none"/>
        </w:rPr>
        <w:t>1.1.1.9 预算书：是指构成合同的由承包人按照发包人规定的格式和要求编制的工程预算文件。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1.1.2 合同当事人及其他相关方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1.1.2.1 合同当事人：是指发包人和（或）承包人。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1.1.2.2 发包人：是指与承包人签订合同协议书的当事人及取得该当事人资格的合法继承人。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1.1.2.4 监理人：是指在专用合同条款中指明的，受发包人委托按照法律规定进行工程监督管理的法人或其他组织。</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1.1.2.5 设计人：是指在专用合同条款中指明的，受发包人委托负责工程设计并具备相应工程设计资质的法人或其他组织。</w:t>
      </w:r>
    </w:p>
    <w:p>
      <w:pPr>
        <w:spacing w:line="360" w:lineRule="auto"/>
        <w:ind w:firstLine="429" w:firstLineChars="195"/>
        <w:rPr>
          <w:rFonts w:ascii="宋体" w:hAnsi="宋体" w:cs="宋体"/>
          <w:color w:val="000000"/>
          <w:sz w:val="22"/>
          <w:szCs w:val="22"/>
          <w:highlight w:val="none"/>
        </w:rPr>
      </w:pPr>
      <w:r>
        <w:rPr>
          <w:rFonts w:hint="eastAsia" w:ascii="宋体" w:hAnsi="宋体" w:cs="宋体"/>
          <w:color w:val="000000"/>
          <w:sz w:val="22"/>
          <w:szCs w:val="22"/>
          <w:highlight w:val="none"/>
        </w:rPr>
        <w:t>1.1.2.6 分包人：</w:t>
      </w:r>
      <w:bookmarkStart w:id="467" w:name="#go5"/>
      <w:bookmarkEnd w:id="467"/>
      <w:r>
        <w:rPr>
          <w:rFonts w:hint="eastAsia" w:ascii="宋体" w:hAnsi="宋体" w:cs="宋体"/>
          <w:color w:val="000000"/>
          <w:sz w:val="22"/>
          <w:szCs w:val="22"/>
          <w:highlight w:val="none"/>
        </w:rPr>
        <w:t>是指按照法律规定和合同约定，分包部分工程或工作，并与承包人签订分包合同的具有相应资质的法人。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1.1.2.7 发包人代表：是指由发包人任命并派驻施工现场在发包人授权范围内行使发包人权利的人。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1.1.2.8 项目经理：是指由承包人任命并派驻施工现场，在承包人授权范围内负责合同履行，且按照法律规定具有相应资格的项目负责人。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1.1.2.9 总监理工程师：是指由监理人任命并派驻施工现场进行工程监理的总负责人。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 工程和设备</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1.1.3.1 工程：是指与合同协议书中工程承包范围对应的永久工程和（或）临时工程。</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1.1.3.2 永久工程：是指按合同约定建造并移交给发包人的工程，包括工程设备。</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1.1.3.3 临时工程：是指为完成合同约定的永久工程所修建的各类临时性工程，不包括施工设备。</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1.1.3.4 单位工程：是指在合同协议书中指明的，具备独立施工条件并能形成独立使用功能的永久工程。</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1.1.3.5 工程设备：是指构成永久工程的机电设备、金属结构设备、仪器及其他类似的设备和装置。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1.1.3.6 施工设备：是指为完成合同约定的各项工作所需的设备、器具和其他物品，但不包括工程设备、临时工程和材料。</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1.1.3.7 施工现场：是指用于工程施工的场所，以及在专用合同条款中指明作为施工场所组成部分的其他场所，包括永久占地和临时占地。</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1.1.3.8临时设施：是指为完成合同约定的各项工作所服务的临时性生产和生活设施。</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1.1.3.9 永久占地：是指专用合同条款中指明为实施工程需永久占用的土地。</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1.1.3.10 临时占地：是指专用合同条款中指明为实施工程需要临时占用的土地。</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1.1.4 日期和期限</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46" w:firstLineChars="203"/>
        <w:rPr>
          <w:rFonts w:ascii="宋体" w:hAnsi="宋体" w:cs="宋体"/>
          <w:color w:val="000000"/>
          <w:sz w:val="22"/>
          <w:szCs w:val="22"/>
          <w:highlight w:val="none"/>
        </w:rPr>
      </w:pPr>
      <w:r>
        <w:rPr>
          <w:rFonts w:hint="eastAsia" w:ascii="宋体" w:hAnsi="宋体" w:cs="宋体"/>
          <w:color w:val="000000"/>
          <w:sz w:val="22"/>
          <w:szCs w:val="22"/>
          <w:highlight w:val="none"/>
        </w:rPr>
        <w:t>1.1.4.3 工期：是指在合同协议书约定的承包人完成工程所需的期限，包括按照合同约定所作的期限变更。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1.1.4.4 缺陷责任期：是指承包人按照合同约定承担缺陷修复义务，且发包人预留质量保证金（已缴纳履约保证金的除外）的期限，自工程实际竣工日期起计算。</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1.1.4.5 保修期：是指承包人按照合同约定对工程承担保修责任的期限，从工程竣工验收合格之日起计算。</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1.1.4.6 基准日期：招标发包的工程以投标截止日前28天的日期为基准日期，直接发包的工程以合同签订日前28天的日期为基准日期。</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1.1.4.7 天：除特别指明外，均指日历天。合同中按天计算时间的，开始当天不计入，从次日开始计算，期限最后一天的截止时间为当天24:00时。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 合同价格和费用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1.1.5.1 签约合同价：是指发包人和承包人在合同协议书中确定的总金额，包括安全文明施工费、暂估价及暂列</w:t>
      </w:r>
      <w:r>
        <w:rPr>
          <w:rFonts w:hint="eastAsia" w:ascii="宋体" w:hAnsi="宋体" w:cs="宋体"/>
          <w:color w:val="000000"/>
          <w:sz w:val="21"/>
          <w:szCs w:val="21"/>
          <w:highlight w:val="none"/>
        </w:rPr>
        <w:t>金额</w:t>
      </w:r>
      <w:r>
        <w:rPr>
          <w:rFonts w:hint="eastAsia" w:ascii="宋体" w:hAnsi="宋体" w:cs="宋体"/>
          <w:color w:val="000000"/>
          <w:sz w:val="22"/>
          <w:szCs w:val="22"/>
          <w:highlight w:val="none"/>
        </w:rPr>
        <w:t>等。</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1.1.5.2 合同价格：是指发包人用于支付承包人按照合同约定完成承包范围内全部工作的金额，包括合同履行过程中按合同约定发生的价格变化。</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1.1.5.3 费用：是指为履行合同所发生的或将要发生的所有必需的开支，包括管理费和应分摊的其他费用，但不包括利润。</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1.1.5.6 计日工：是指合同履行过程中，承包人完成发包人提出的零星工作或需要采用计日工计价的变更工作时，按合同中约定的单价计价的一种方式。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1.1.5.7 质量保证金</w:t>
      </w:r>
      <w:bookmarkStart w:id="468" w:name="#go2"/>
      <w:bookmarkEnd w:id="468"/>
      <w:r>
        <w:rPr>
          <w:rFonts w:hint="eastAsia" w:ascii="宋体" w:hAnsi="宋体" w:cs="宋体"/>
          <w:color w:val="000000"/>
          <w:sz w:val="22"/>
          <w:szCs w:val="22"/>
          <w:highlight w:val="none"/>
        </w:rPr>
        <w:t>：是指按照第15.3款〔质量保证金〕约定承包人用于保证其在缺陷责任期内履行缺陷修补义务的担保。</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1.1.5.8 总价项目：是指在现行国家、行业以及地方的计量规则中无工程量计算规则，在已标价工程量清单或预算书中以总价或以费率形式计算的项目。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1.1.6 其他</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1.1.6.1 书面形式：是指合同文件、信函、电报、传真等可以有形地表现所载内容的形式。</w:t>
      </w:r>
    </w:p>
    <w:p>
      <w:pPr>
        <w:spacing w:before="120" w:after="120" w:line="360" w:lineRule="auto"/>
        <w:ind w:firstLine="440" w:firstLineChars="200"/>
        <w:rPr>
          <w:rFonts w:ascii="宋体" w:hAnsi="宋体" w:cs="宋体"/>
          <w:color w:val="000000"/>
          <w:sz w:val="22"/>
          <w:szCs w:val="22"/>
          <w:highlight w:val="none"/>
        </w:rPr>
      </w:pPr>
      <w:bookmarkStart w:id="469" w:name="_Toc296346530"/>
      <w:bookmarkStart w:id="470" w:name="_Toc337558729"/>
      <w:bookmarkStart w:id="471" w:name="_Toc351203497"/>
      <w:bookmarkStart w:id="472" w:name="_Toc296503029"/>
      <w:r>
        <w:rPr>
          <w:rFonts w:hint="eastAsia" w:ascii="宋体" w:hAnsi="宋体" w:cs="宋体"/>
          <w:color w:val="000000"/>
          <w:sz w:val="22"/>
          <w:szCs w:val="22"/>
          <w:highlight w:val="none"/>
        </w:rPr>
        <w:t>1.2语言文字</w:t>
      </w:r>
      <w:bookmarkEnd w:id="469"/>
      <w:bookmarkEnd w:id="470"/>
      <w:bookmarkEnd w:id="471"/>
      <w:bookmarkEnd w:id="472"/>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合同以中国的汉语简体文字编写、解释和说明。合同当事人在专用合同条款中约定使用两种以上语言时，汉语为优先解释和说明合同的语言。</w:t>
      </w:r>
    </w:p>
    <w:p>
      <w:pPr>
        <w:spacing w:before="120" w:after="120" w:line="360" w:lineRule="auto"/>
        <w:ind w:firstLine="440" w:firstLineChars="200"/>
        <w:rPr>
          <w:rFonts w:ascii="宋体" w:hAnsi="宋体" w:cs="宋体"/>
          <w:color w:val="000000"/>
          <w:sz w:val="22"/>
          <w:szCs w:val="22"/>
          <w:highlight w:val="none"/>
        </w:rPr>
      </w:pPr>
      <w:bookmarkStart w:id="473" w:name="_Toc296503030"/>
      <w:bookmarkStart w:id="474" w:name="_Toc296346531"/>
      <w:bookmarkStart w:id="475" w:name="_Toc351203498"/>
      <w:bookmarkStart w:id="476" w:name="_Toc337558730"/>
      <w:r>
        <w:rPr>
          <w:rFonts w:hint="eastAsia" w:ascii="宋体" w:hAnsi="宋体" w:cs="宋体"/>
          <w:color w:val="000000"/>
          <w:sz w:val="22"/>
          <w:szCs w:val="22"/>
          <w:highlight w:val="none"/>
        </w:rPr>
        <w:t>1.3法律</w:t>
      </w:r>
      <w:bookmarkEnd w:id="473"/>
      <w:bookmarkEnd w:id="474"/>
      <w:bookmarkEnd w:id="475"/>
      <w:bookmarkEnd w:id="476"/>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合同当事人可以在专用合同条款中约定合同适用的其他规范性文件。</w:t>
      </w:r>
    </w:p>
    <w:p>
      <w:pPr>
        <w:spacing w:before="120" w:after="120" w:line="360" w:lineRule="auto"/>
        <w:ind w:firstLine="440" w:firstLineChars="200"/>
        <w:rPr>
          <w:rFonts w:ascii="宋体" w:hAnsi="宋体" w:cs="宋体"/>
          <w:color w:val="000000"/>
          <w:sz w:val="22"/>
          <w:szCs w:val="22"/>
          <w:highlight w:val="none"/>
        </w:rPr>
      </w:pPr>
      <w:bookmarkStart w:id="477" w:name="_Toc351203499"/>
      <w:r>
        <w:rPr>
          <w:rFonts w:hint="eastAsia" w:ascii="宋体" w:hAnsi="宋体" w:cs="宋体"/>
          <w:color w:val="000000"/>
          <w:sz w:val="22"/>
          <w:szCs w:val="22"/>
          <w:highlight w:val="none"/>
        </w:rPr>
        <w:t>1.4 标准和规范</w:t>
      </w:r>
      <w:bookmarkEnd w:id="477"/>
    </w:p>
    <w:p>
      <w:pPr>
        <w:autoSpaceDE w:val="0"/>
        <w:autoSpaceDN w:val="0"/>
        <w:adjustRightInd w:val="0"/>
        <w:spacing w:line="360" w:lineRule="auto"/>
        <w:ind w:firstLine="640"/>
        <w:rPr>
          <w:rFonts w:ascii="宋体" w:hAnsi="宋体" w:cs="宋体"/>
          <w:color w:val="000000"/>
          <w:sz w:val="22"/>
          <w:szCs w:val="22"/>
          <w:highlight w:val="none"/>
        </w:rPr>
      </w:pPr>
      <w:r>
        <w:rPr>
          <w:rFonts w:hint="eastAsia" w:ascii="宋体" w:hAnsi="宋体" w:cs="宋体"/>
          <w:color w:val="000000"/>
          <w:sz w:val="22"/>
          <w:szCs w:val="22"/>
          <w:highlight w:val="none"/>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rPr>
          <w:rFonts w:ascii="宋体" w:hAnsi="宋体" w:cs="宋体"/>
          <w:color w:val="000000"/>
          <w:sz w:val="22"/>
          <w:szCs w:val="22"/>
          <w:highlight w:val="none"/>
        </w:rPr>
      </w:pPr>
      <w:r>
        <w:rPr>
          <w:rFonts w:hint="eastAsia" w:ascii="宋体" w:hAnsi="宋体" w:cs="宋体"/>
          <w:color w:val="000000"/>
          <w:sz w:val="22"/>
          <w:szCs w:val="22"/>
          <w:highlight w:val="none"/>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rPr>
          <w:rFonts w:ascii="宋体" w:hAnsi="宋体" w:cs="宋体"/>
          <w:color w:val="000000"/>
          <w:sz w:val="22"/>
          <w:szCs w:val="22"/>
          <w:highlight w:val="none"/>
        </w:rPr>
      </w:pPr>
      <w:r>
        <w:rPr>
          <w:rFonts w:hint="eastAsia" w:ascii="宋体" w:hAnsi="宋体" w:cs="宋体"/>
          <w:color w:val="000000"/>
          <w:sz w:val="22"/>
          <w:szCs w:val="22"/>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before="120" w:after="120" w:line="360" w:lineRule="auto"/>
        <w:ind w:firstLine="440" w:firstLineChars="200"/>
        <w:rPr>
          <w:rFonts w:ascii="宋体" w:hAnsi="宋体" w:cs="宋体"/>
          <w:color w:val="000000"/>
          <w:sz w:val="22"/>
          <w:szCs w:val="22"/>
          <w:highlight w:val="none"/>
        </w:rPr>
      </w:pPr>
      <w:bookmarkStart w:id="478" w:name="_Toc351203500"/>
      <w:r>
        <w:rPr>
          <w:rFonts w:hint="eastAsia" w:ascii="宋体" w:hAnsi="宋体" w:cs="宋体"/>
          <w:color w:val="000000"/>
          <w:sz w:val="22"/>
          <w:szCs w:val="22"/>
          <w:highlight w:val="none"/>
        </w:rPr>
        <w:t>1</w:t>
      </w:r>
      <w:bookmarkStart w:id="479" w:name="_Toc296503031"/>
      <w:bookmarkStart w:id="480" w:name="_Toc337558731"/>
      <w:bookmarkStart w:id="481" w:name="_Toc296346532"/>
      <w:r>
        <w:rPr>
          <w:rFonts w:hint="eastAsia" w:ascii="宋体" w:hAnsi="宋体" w:cs="宋体"/>
          <w:color w:val="000000"/>
          <w:sz w:val="22"/>
          <w:szCs w:val="22"/>
          <w:highlight w:val="none"/>
        </w:rPr>
        <w:t>.5 合同文件的优先顺序</w:t>
      </w:r>
      <w:bookmarkEnd w:id="478"/>
    </w:p>
    <w:bookmarkEnd w:id="479"/>
    <w:bookmarkEnd w:id="480"/>
    <w:bookmarkEnd w:id="481"/>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（1）合同协议书；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（2）中标通知书；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（3）投标函及其附录；</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（4）专用合同条款及其附件；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（5）通用合同条款；</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（6）技术标准和要求；</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（7）图纸；</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（8）已标价工程量清单或预算书；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（9）其他合同文件。</w:t>
      </w:r>
    </w:p>
    <w:p>
      <w:pPr>
        <w:spacing w:line="360" w:lineRule="auto"/>
        <w:ind w:firstLine="468" w:firstLineChars="213"/>
        <w:rPr>
          <w:rFonts w:ascii="宋体" w:hAnsi="宋体" w:cs="宋体"/>
          <w:color w:val="000000"/>
          <w:sz w:val="22"/>
          <w:szCs w:val="22"/>
          <w:highlight w:val="none"/>
        </w:rPr>
      </w:pPr>
      <w:r>
        <w:rPr>
          <w:rFonts w:hint="eastAsia" w:ascii="宋体" w:hAnsi="宋体" w:cs="宋体"/>
          <w:color w:val="000000"/>
          <w:sz w:val="22"/>
          <w:szCs w:val="22"/>
          <w:highlight w:val="none"/>
        </w:rPr>
        <w:t>上述各项合同文件包括合同当事人就该项合同文件所作出的补充和修改，属于同一类内容的文件，应以最新签署的为准。</w:t>
      </w:r>
    </w:p>
    <w:p>
      <w:pPr>
        <w:spacing w:line="360" w:lineRule="auto"/>
        <w:ind w:firstLine="468" w:firstLineChars="213"/>
        <w:rPr>
          <w:rFonts w:ascii="宋体" w:hAnsi="宋体" w:cs="宋体"/>
          <w:color w:val="000000"/>
          <w:sz w:val="22"/>
          <w:szCs w:val="22"/>
          <w:highlight w:val="none"/>
        </w:rPr>
      </w:pPr>
      <w:r>
        <w:rPr>
          <w:rFonts w:hint="eastAsia" w:ascii="宋体" w:hAnsi="宋体" w:cs="宋体"/>
          <w:color w:val="000000"/>
          <w:sz w:val="22"/>
          <w:szCs w:val="22"/>
          <w:highlight w:val="none"/>
        </w:rPr>
        <w:t>在合同订立及履行过程中形成的与合同有关的文件均构成合同文件组成部分，并根据其性质确定优先解释顺序。</w:t>
      </w:r>
    </w:p>
    <w:p>
      <w:pPr>
        <w:spacing w:before="120" w:after="120" w:line="360" w:lineRule="auto"/>
        <w:ind w:firstLine="440" w:firstLineChars="200"/>
        <w:rPr>
          <w:rFonts w:ascii="宋体" w:hAnsi="宋体" w:cs="宋体"/>
          <w:color w:val="000000"/>
          <w:sz w:val="22"/>
          <w:szCs w:val="22"/>
          <w:highlight w:val="none"/>
        </w:rPr>
      </w:pPr>
      <w:bookmarkStart w:id="482" w:name="_Toc351203501"/>
      <w:r>
        <w:rPr>
          <w:rFonts w:hint="eastAsia" w:ascii="宋体" w:hAnsi="宋体" w:cs="宋体"/>
          <w:color w:val="000000"/>
          <w:sz w:val="22"/>
          <w:szCs w:val="22"/>
          <w:highlight w:val="none"/>
        </w:rPr>
        <w:t>1</w:t>
      </w:r>
      <w:bookmarkStart w:id="483" w:name="_Toc296346533"/>
      <w:bookmarkStart w:id="484" w:name="_Toc296503032"/>
      <w:bookmarkStart w:id="485" w:name="_Toc337558732"/>
      <w:r>
        <w:rPr>
          <w:rFonts w:hint="eastAsia" w:ascii="宋体" w:hAnsi="宋体" w:cs="宋体"/>
          <w:color w:val="000000"/>
          <w:sz w:val="22"/>
          <w:szCs w:val="22"/>
          <w:highlight w:val="none"/>
        </w:rPr>
        <w:t>.6图纸和承包人文件</w:t>
      </w:r>
      <w:bookmarkEnd w:id="482"/>
    </w:p>
    <w:bookmarkEnd w:id="483"/>
    <w:bookmarkEnd w:id="484"/>
    <w:bookmarkEnd w:id="485"/>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1.6.1 图纸的提供和交底</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因发包人未按合同约定提供图纸导致承包人费用增加和（或）工期延误的，按照第7.5.1项〔因发包人原因导致工期延误〕约定办理。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 图纸的错误</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1.6.3 图纸的修改和补充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1.6.4 承包人文件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1.6.5 图纸和承包人文件的保管</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除专用合同条款另有约定外，承包人应在施工现场另外保存一套完整的图纸和承包人文件，供发包人、监理人及有关人员进行工程检查时使用。</w:t>
      </w:r>
    </w:p>
    <w:p>
      <w:pPr>
        <w:spacing w:before="120" w:after="120" w:line="360" w:lineRule="auto"/>
        <w:ind w:firstLine="440" w:firstLineChars="200"/>
        <w:rPr>
          <w:rFonts w:ascii="宋体" w:hAnsi="宋体" w:cs="宋体"/>
          <w:color w:val="000000"/>
          <w:sz w:val="22"/>
          <w:szCs w:val="22"/>
          <w:highlight w:val="none"/>
        </w:rPr>
      </w:pPr>
      <w:bookmarkStart w:id="486" w:name="_Toc351203502"/>
      <w:r>
        <w:rPr>
          <w:rFonts w:hint="eastAsia" w:ascii="宋体" w:hAnsi="宋体" w:cs="宋体"/>
          <w:color w:val="000000"/>
          <w:sz w:val="22"/>
          <w:szCs w:val="22"/>
          <w:highlight w:val="none"/>
        </w:rPr>
        <w:t>1</w:t>
      </w:r>
      <w:bookmarkStart w:id="487" w:name="_Toc296346534"/>
      <w:bookmarkStart w:id="488" w:name="_Toc296503033"/>
      <w:bookmarkStart w:id="489" w:name="_Toc337558733"/>
      <w:r>
        <w:rPr>
          <w:rFonts w:hint="eastAsia" w:ascii="宋体" w:hAnsi="宋体" w:cs="宋体"/>
          <w:color w:val="000000"/>
          <w:sz w:val="22"/>
          <w:szCs w:val="22"/>
          <w:highlight w:val="none"/>
        </w:rPr>
        <w:t>.7联络</w:t>
      </w:r>
      <w:bookmarkEnd w:id="486"/>
    </w:p>
    <w:bookmarkEnd w:id="487"/>
    <w:bookmarkEnd w:id="488"/>
    <w:bookmarkEnd w:id="489"/>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40" w:firstLineChars="200"/>
        <w:rPr>
          <w:rFonts w:ascii="宋体" w:hAnsi="宋体" w:cs="宋体"/>
          <w:color w:val="FF0000"/>
          <w:sz w:val="22"/>
          <w:szCs w:val="22"/>
          <w:highlight w:val="none"/>
        </w:rPr>
      </w:pPr>
      <w:r>
        <w:rPr>
          <w:rFonts w:hint="eastAsia" w:ascii="宋体" w:hAnsi="宋体" w:cs="宋体"/>
          <w:color w:val="000000"/>
          <w:sz w:val="22"/>
          <w:szCs w:val="22"/>
          <w:highlight w:val="none"/>
        </w:rPr>
        <w:t>1.7.3 发包人和承包人应当及时签收另一方送达至送达地点和指定接收人的来往信函。拒不签收的，由此增加的费用和（或）延误的工期由拒绝接收一方承担。</w:t>
      </w:r>
    </w:p>
    <w:p>
      <w:pPr>
        <w:spacing w:before="120" w:after="120" w:line="360" w:lineRule="auto"/>
        <w:ind w:firstLine="440" w:firstLineChars="200"/>
        <w:rPr>
          <w:rFonts w:ascii="宋体" w:hAnsi="宋体" w:cs="宋体"/>
          <w:color w:val="000000"/>
          <w:sz w:val="22"/>
          <w:szCs w:val="22"/>
          <w:highlight w:val="none"/>
        </w:rPr>
      </w:pPr>
      <w:bookmarkStart w:id="490" w:name="_Toc351203503"/>
      <w:r>
        <w:rPr>
          <w:rFonts w:hint="eastAsia" w:ascii="宋体" w:hAnsi="宋体" w:cs="宋体"/>
          <w:color w:val="000000"/>
          <w:sz w:val="22"/>
          <w:szCs w:val="22"/>
          <w:highlight w:val="none"/>
        </w:rPr>
        <w:t>1</w:t>
      </w:r>
      <w:bookmarkStart w:id="491" w:name="_Toc296346536"/>
      <w:bookmarkStart w:id="492" w:name="_Toc296503035"/>
      <w:bookmarkStart w:id="493" w:name="_Toc337558734"/>
      <w:r>
        <w:rPr>
          <w:rFonts w:hint="eastAsia" w:ascii="宋体" w:hAnsi="宋体" w:cs="宋体"/>
          <w:color w:val="000000"/>
          <w:sz w:val="22"/>
          <w:szCs w:val="22"/>
          <w:highlight w:val="none"/>
        </w:rPr>
        <w:t>.8严禁贿赂</w:t>
      </w:r>
      <w:bookmarkEnd w:id="490"/>
    </w:p>
    <w:bookmarkEnd w:id="491"/>
    <w:bookmarkEnd w:id="492"/>
    <w:bookmarkEnd w:id="493"/>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before="120" w:after="120" w:line="360" w:lineRule="auto"/>
        <w:ind w:firstLine="440" w:firstLineChars="200"/>
        <w:rPr>
          <w:rFonts w:ascii="宋体" w:hAnsi="宋体" w:cs="宋体"/>
          <w:color w:val="000000"/>
          <w:sz w:val="22"/>
          <w:szCs w:val="22"/>
          <w:highlight w:val="none"/>
        </w:rPr>
      </w:pPr>
      <w:bookmarkStart w:id="494" w:name="_Toc351203504"/>
      <w:r>
        <w:rPr>
          <w:rFonts w:hint="eastAsia" w:ascii="宋体" w:hAnsi="宋体" w:cs="宋体"/>
          <w:color w:val="000000"/>
          <w:sz w:val="22"/>
          <w:szCs w:val="22"/>
          <w:highlight w:val="none"/>
        </w:rPr>
        <w:t>1</w:t>
      </w:r>
      <w:bookmarkStart w:id="495" w:name="_Toc337558735"/>
      <w:bookmarkStart w:id="496" w:name="_Toc296503036"/>
      <w:bookmarkStart w:id="497" w:name="_Toc296346537"/>
      <w:r>
        <w:rPr>
          <w:rFonts w:hint="eastAsia" w:ascii="宋体" w:hAnsi="宋体" w:cs="宋体"/>
          <w:color w:val="000000"/>
          <w:sz w:val="22"/>
          <w:szCs w:val="22"/>
          <w:highlight w:val="none"/>
        </w:rPr>
        <w:t>.9化石、文物</w:t>
      </w:r>
      <w:bookmarkEnd w:id="494"/>
    </w:p>
    <w:bookmarkEnd w:id="495"/>
    <w:bookmarkEnd w:id="496"/>
    <w:bookmarkEnd w:id="49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承包人发现文物后不及时报告或隐瞒不报，致使文物丢失或损坏的，应赔偿损失，并承担相应的法律责任。</w:t>
      </w:r>
    </w:p>
    <w:p>
      <w:pPr>
        <w:spacing w:before="120" w:after="120" w:line="360" w:lineRule="auto"/>
        <w:ind w:firstLine="440" w:firstLineChars="200"/>
        <w:rPr>
          <w:rFonts w:ascii="宋体" w:hAnsi="宋体" w:cs="宋体"/>
          <w:color w:val="000000"/>
          <w:sz w:val="22"/>
          <w:szCs w:val="22"/>
          <w:highlight w:val="none"/>
        </w:rPr>
      </w:pPr>
      <w:bookmarkStart w:id="498" w:name="_Toc351203505"/>
      <w:r>
        <w:rPr>
          <w:rFonts w:hint="eastAsia" w:ascii="宋体" w:hAnsi="宋体" w:cs="宋体"/>
          <w:color w:val="000000"/>
          <w:sz w:val="22"/>
          <w:szCs w:val="22"/>
          <w:highlight w:val="none"/>
        </w:rPr>
        <w:t>1</w:t>
      </w:r>
      <w:bookmarkStart w:id="499" w:name="_Toc337558736"/>
      <w:r>
        <w:rPr>
          <w:rFonts w:hint="eastAsia" w:ascii="宋体" w:hAnsi="宋体" w:cs="宋体"/>
          <w:color w:val="000000"/>
          <w:sz w:val="22"/>
          <w:szCs w:val="22"/>
          <w:highlight w:val="none"/>
        </w:rPr>
        <w:t>.10交通运输</w:t>
      </w:r>
      <w:bookmarkEnd w:id="498"/>
    </w:p>
    <w:bookmarkEnd w:id="499"/>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1.10.1 出入现场的权利</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1.10.2 场外交通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1.10.3场内交通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场外交通和场内交通的边界由合同当事人在专用合同条款中约定。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1.10.4 超大件和超重件的运输</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1.10.5 道路和桥梁的损坏责任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因承包人运输造成施工场地内外公共道路和桥梁损坏的，由承包人承担修复损坏的全部费用和可能引起的赔偿。</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1.10.6 水路和航空运输</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本款前述各项的内容适用于水路运输和航空运输，其中“道路”一词的涵义包括河道、航线、船闸、机场、码头、堤防以及水路或航空运输中其他相似结构物；“车辆”一词的涵义包括船舶和飞机等。</w:t>
      </w:r>
    </w:p>
    <w:p>
      <w:pPr>
        <w:spacing w:before="120" w:after="120" w:line="360" w:lineRule="auto"/>
        <w:ind w:firstLine="440" w:firstLineChars="200"/>
        <w:rPr>
          <w:rFonts w:ascii="宋体" w:hAnsi="宋体" w:cs="宋体"/>
          <w:color w:val="000000"/>
          <w:sz w:val="22"/>
          <w:szCs w:val="22"/>
          <w:highlight w:val="none"/>
        </w:rPr>
      </w:pPr>
      <w:bookmarkStart w:id="500" w:name="_Toc351203506"/>
      <w:r>
        <w:rPr>
          <w:rFonts w:hint="eastAsia" w:ascii="宋体" w:hAnsi="宋体" w:cs="宋体"/>
          <w:color w:val="000000"/>
          <w:sz w:val="22"/>
          <w:szCs w:val="22"/>
          <w:highlight w:val="none"/>
        </w:rPr>
        <w:t>1</w:t>
      </w:r>
      <w:bookmarkStart w:id="501" w:name="_Toc337558737"/>
      <w:bookmarkStart w:id="502" w:name="_Toc296346538"/>
      <w:bookmarkStart w:id="503" w:name="_Toc296503037"/>
      <w:r>
        <w:rPr>
          <w:rFonts w:hint="eastAsia" w:ascii="宋体" w:hAnsi="宋体" w:cs="宋体"/>
          <w:color w:val="000000"/>
          <w:sz w:val="22"/>
          <w:szCs w:val="22"/>
          <w:highlight w:val="none"/>
        </w:rPr>
        <w:t>.11知识产权</w:t>
      </w:r>
      <w:bookmarkEnd w:id="500"/>
      <w:r>
        <w:rPr>
          <w:rFonts w:hint="eastAsia" w:ascii="宋体" w:hAnsi="宋体" w:cs="宋体"/>
          <w:color w:val="000000"/>
          <w:sz w:val="22"/>
          <w:szCs w:val="22"/>
          <w:highlight w:val="none"/>
        </w:rPr>
        <w:t xml:space="preserve"> </w:t>
      </w:r>
      <w:bookmarkEnd w:id="501"/>
    </w:p>
    <w:bookmarkEnd w:id="502"/>
    <w:bookmarkEnd w:id="503"/>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宋体" w:hAnsi="宋体" w:cs="宋体"/>
          <w:sz w:val="22"/>
          <w:szCs w:val="22"/>
          <w:highlight w:val="none"/>
        </w:rPr>
      </w:pPr>
      <w:r>
        <w:rPr>
          <w:rFonts w:hint="eastAsia" w:ascii="宋体" w:hAnsi="宋体" w:cs="宋体"/>
          <w:color w:val="000000"/>
          <w:sz w:val="22"/>
          <w:szCs w:val="22"/>
          <w:highlight w:val="none"/>
        </w:rPr>
        <w:t xml:space="preserve">    1.11.4 除专用合同条款另有约定外，承包人在合同签订前和签订时已确定采用的专利、专有技术、技术秘密的使用费已包含在签约合同价中。</w:t>
      </w:r>
    </w:p>
    <w:p>
      <w:pPr>
        <w:spacing w:before="120" w:after="120" w:line="360" w:lineRule="auto"/>
        <w:ind w:firstLine="440" w:firstLineChars="200"/>
        <w:rPr>
          <w:rFonts w:ascii="宋体" w:hAnsi="宋体" w:cs="宋体"/>
          <w:color w:val="000000"/>
          <w:sz w:val="22"/>
          <w:szCs w:val="22"/>
          <w:highlight w:val="none"/>
        </w:rPr>
      </w:pPr>
      <w:bookmarkStart w:id="504" w:name="_Toc351203507"/>
      <w:r>
        <w:rPr>
          <w:rFonts w:hint="eastAsia" w:ascii="宋体" w:hAnsi="宋体" w:cs="宋体"/>
          <w:color w:val="000000"/>
          <w:sz w:val="22"/>
          <w:szCs w:val="22"/>
          <w:highlight w:val="none"/>
        </w:rPr>
        <w:t>1</w:t>
      </w:r>
      <w:bookmarkStart w:id="505" w:name="_Toc337558738"/>
      <w:r>
        <w:rPr>
          <w:rFonts w:hint="eastAsia" w:ascii="宋体" w:hAnsi="宋体" w:cs="宋体"/>
          <w:color w:val="000000"/>
          <w:sz w:val="22"/>
          <w:szCs w:val="22"/>
          <w:highlight w:val="none"/>
        </w:rPr>
        <w:t>.12保密</w:t>
      </w:r>
      <w:bookmarkEnd w:id="504"/>
    </w:p>
    <w:bookmarkEnd w:id="505"/>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除法律规定或合同另有约定外，未经承包人同意，发包人不得将承包人提供的技术秘密及声明需要保密的资料信息等商业秘密泄露给第三方。</w:t>
      </w:r>
    </w:p>
    <w:p>
      <w:pPr>
        <w:spacing w:before="120" w:after="120" w:line="360" w:lineRule="auto"/>
        <w:ind w:firstLine="440" w:firstLineChars="200"/>
        <w:rPr>
          <w:rFonts w:ascii="宋体" w:hAnsi="宋体" w:cs="宋体"/>
          <w:color w:val="000000"/>
          <w:sz w:val="22"/>
          <w:szCs w:val="22"/>
          <w:highlight w:val="none"/>
        </w:rPr>
      </w:pPr>
      <w:bookmarkStart w:id="506" w:name="_Toc351203508"/>
      <w:r>
        <w:rPr>
          <w:rFonts w:hint="eastAsia" w:ascii="宋体" w:hAnsi="宋体" w:cs="宋体"/>
          <w:color w:val="000000"/>
          <w:sz w:val="22"/>
          <w:szCs w:val="22"/>
          <w:highlight w:val="none"/>
        </w:rPr>
        <w:t>1.13工程量清单错误的修正</w:t>
      </w:r>
      <w:bookmarkEnd w:id="506"/>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（1）工程量清单存在缺项、漏项的；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（2）工程量清单偏差超出专用合同条款约定的工程量偏差范围的；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（3）未按照国家现行计量规范强制性规定计量的。</w:t>
      </w:r>
    </w:p>
    <w:p>
      <w:pPr>
        <w:spacing w:before="120" w:after="120" w:line="360" w:lineRule="auto"/>
        <w:rPr>
          <w:rFonts w:ascii="宋体" w:hAnsi="宋体" w:cs="宋体"/>
          <w:color w:val="000000"/>
          <w:sz w:val="22"/>
          <w:szCs w:val="22"/>
          <w:highlight w:val="none"/>
        </w:rPr>
      </w:pPr>
      <w:bookmarkStart w:id="507" w:name="_Toc351203509"/>
      <w:r>
        <w:rPr>
          <w:rFonts w:hint="eastAsia" w:ascii="宋体" w:hAnsi="宋体" w:cs="宋体"/>
          <w:color w:val="000000"/>
          <w:sz w:val="22"/>
          <w:szCs w:val="22"/>
          <w:highlight w:val="none"/>
        </w:rPr>
        <w:t>2</w:t>
      </w:r>
      <w:bookmarkStart w:id="508" w:name="_Toc296503038"/>
      <w:bookmarkStart w:id="509" w:name="_Toc296346539"/>
      <w:bookmarkStart w:id="510" w:name="_Toc337558739"/>
      <w:bookmarkStart w:id="511" w:name="OLE_LINK1"/>
      <w:bookmarkStart w:id="512" w:name="OLE_LINK2"/>
      <w:r>
        <w:rPr>
          <w:rFonts w:hint="eastAsia" w:ascii="宋体" w:hAnsi="宋体" w:cs="宋体"/>
          <w:color w:val="000000"/>
          <w:sz w:val="22"/>
          <w:szCs w:val="22"/>
          <w:highlight w:val="none"/>
        </w:rPr>
        <w:t>. 发包人</w:t>
      </w:r>
      <w:bookmarkEnd w:id="507"/>
    </w:p>
    <w:bookmarkEnd w:id="508"/>
    <w:bookmarkEnd w:id="509"/>
    <w:bookmarkEnd w:id="510"/>
    <w:p>
      <w:pPr>
        <w:spacing w:before="120" w:after="120" w:line="360" w:lineRule="auto"/>
        <w:ind w:firstLine="440" w:firstLineChars="200"/>
        <w:rPr>
          <w:rFonts w:ascii="宋体" w:hAnsi="宋体" w:cs="宋体"/>
          <w:color w:val="000000"/>
          <w:sz w:val="22"/>
          <w:szCs w:val="22"/>
          <w:highlight w:val="none"/>
        </w:rPr>
      </w:pPr>
      <w:bookmarkStart w:id="513" w:name="_Toc351203510"/>
      <w:r>
        <w:rPr>
          <w:rFonts w:hint="eastAsia" w:ascii="宋体" w:hAnsi="宋体" w:cs="宋体"/>
          <w:color w:val="000000"/>
          <w:sz w:val="22"/>
          <w:szCs w:val="22"/>
          <w:highlight w:val="none"/>
        </w:rPr>
        <w:t>2</w:t>
      </w:r>
      <w:bookmarkStart w:id="514" w:name="_Toc337558740"/>
      <w:bookmarkStart w:id="515" w:name="_Toc296346540"/>
      <w:bookmarkStart w:id="516" w:name="_Toc296503039"/>
      <w:r>
        <w:rPr>
          <w:rFonts w:hint="eastAsia" w:ascii="宋体" w:hAnsi="宋体" w:cs="宋体"/>
          <w:color w:val="000000"/>
          <w:sz w:val="22"/>
          <w:szCs w:val="22"/>
          <w:highlight w:val="none"/>
        </w:rPr>
        <w:t>.1 许可或批准</w:t>
      </w:r>
      <w:bookmarkEnd w:id="513"/>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因发包人原因未能及时办理完毕前述许可、批准或备案，由发包人承担由此增加的费用和（或）延误的工期，并支付承包人合理的利润。</w:t>
      </w:r>
    </w:p>
    <w:p>
      <w:pPr>
        <w:spacing w:before="120" w:after="120" w:line="360" w:lineRule="auto"/>
        <w:ind w:firstLine="440" w:firstLineChars="200"/>
        <w:rPr>
          <w:rFonts w:ascii="宋体" w:hAnsi="宋体" w:cs="宋体"/>
          <w:color w:val="000000"/>
          <w:sz w:val="22"/>
          <w:szCs w:val="22"/>
          <w:highlight w:val="none"/>
        </w:rPr>
      </w:pPr>
      <w:bookmarkStart w:id="517" w:name="_Toc351203511"/>
      <w:r>
        <w:rPr>
          <w:rFonts w:hint="eastAsia" w:ascii="宋体" w:hAnsi="宋体" w:cs="宋体"/>
          <w:color w:val="000000"/>
          <w:sz w:val="22"/>
          <w:szCs w:val="22"/>
          <w:highlight w:val="none"/>
        </w:rPr>
        <w:t>2.2 发包人代表</w:t>
      </w:r>
      <w:bookmarkEnd w:id="517"/>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发包人代表不能按照合同约定履行其职责及义务，并导致合同无法继续正常履行的，承包人可以要求发包人撤换发包人代表。</w:t>
      </w:r>
    </w:p>
    <w:p>
      <w:pPr>
        <w:ind w:firstLine="440" w:firstLineChars="200"/>
        <w:rPr>
          <w:rFonts w:ascii="宋体" w:hAnsi="宋体" w:cs="宋体"/>
          <w:sz w:val="22"/>
          <w:szCs w:val="22"/>
          <w:highlight w:val="none"/>
        </w:rPr>
      </w:pPr>
      <w:r>
        <w:rPr>
          <w:rFonts w:hint="eastAsia" w:ascii="宋体" w:hAnsi="宋体" w:cs="宋体"/>
          <w:color w:val="000000"/>
          <w:sz w:val="22"/>
          <w:szCs w:val="22"/>
          <w:highlight w:val="none"/>
        </w:rPr>
        <w:t>不属于法定必须监理的工程，监理人的职权可以由发包人代表或发包人指定的其他人员行使。</w:t>
      </w:r>
    </w:p>
    <w:p>
      <w:pPr>
        <w:spacing w:before="120" w:after="120" w:line="360" w:lineRule="auto"/>
        <w:ind w:firstLine="440" w:firstLineChars="200"/>
        <w:rPr>
          <w:rFonts w:ascii="宋体" w:hAnsi="宋体" w:cs="宋体"/>
          <w:color w:val="000000"/>
          <w:sz w:val="22"/>
          <w:szCs w:val="22"/>
          <w:highlight w:val="none"/>
        </w:rPr>
      </w:pPr>
      <w:bookmarkStart w:id="518" w:name="_Toc351203512"/>
      <w:r>
        <w:rPr>
          <w:rFonts w:hint="eastAsia" w:ascii="宋体" w:hAnsi="宋体" w:cs="宋体"/>
          <w:color w:val="000000"/>
          <w:sz w:val="22"/>
          <w:szCs w:val="22"/>
          <w:highlight w:val="none"/>
        </w:rPr>
        <w:t>2.3 发包人人员</w:t>
      </w:r>
      <w:bookmarkEnd w:id="518"/>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rPr>
          <w:rFonts w:ascii="宋体" w:hAnsi="宋体" w:cs="宋体"/>
          <w:color w:val="000000"/>
          <w:sz w:val="22"/>
          <w:szCs w:val="22"/>
          <w:highlight w:val="none"/>
        </w:rPr>
      </w:pPr>
      <w:r>
        <w:rPr>
          <w:rFonts w:hint="eastAsia" w:ascii="宋体" w:hAnsi="宋体" w:cs="宋体"/>
          <w:color w:val="000000"/>
          <w:sz w:val="22"/>
          <w:szCs w:val="22"/>
          <w:highlight w:val="none"/>
        </w:rPr>
        <w:t>发包人人员包括发包人代表及其他由发包人派驻施工现场的人员。</w:t>
      </w:r>
      <w:bookmarkEnd w:id="514"/>
      <w:bookmarkEnd w:id="515"/>
      <w:bookmarkEnd w:id="516"/>
    </w:p>
    <w:p>
      <w:pPr>
        <w:spacing w:before="120" w:after="120" w:line="360" w:lineRule="auto"/>
        <w:ind w:firstLine="440" w:firstLineChars="200"/>
        <w:rPr>
          <w:rFonts w:ascii="宋体" w:hAnsi="宋体" w:cs="宋体"/>
          <w:color w:val="000000"/>
          <w:sz w:val="22"/>
          <w:szCs w:val="22"/>
          <w:highlight w:val="none"/>
        </w:rPr>
      </w:pPr>
      <w:bookmarkStart w:id="519" w:name="_Toc351203513"/>
      <w:r>
        <w:rPr>
          <w:rFonts w:hint="eastAsia" w:ascii="宋体" w:hAnsi="宋体" w:cs="宋体"/>
          <w:color w:val="000000"/>
          <w:sz w:val="22"/>
          <w:szCs w:val="22"/>
          <w:highlight w:val="none"/>
        </w:rPr>
        <w:t>2</w:t>
      </w:r>
      <w:bookmarkStart w:id="520" w:name="_Toc337558741"/>
      <w:bookmarkStart w:id="521" w:name="_Toc296503040"/>
      <w:bookmarkStart w:id="522" w:name="_Toc296346541"/>
      <w:r>
        <w:rPr>
          <w:rFonts w:hint="eastAsia" w:ascii="宋体" w:hAnsi="宋体" w:cs="宋体"/>
          <w:color w:val="000000"/>
          <w:sz w:val="22"/>
          <w:szCs w:val="22"/>
          <w:highlight w:val="none"/>
        </w:rPr>
        <w:t>.4 施工现场、施工条件和基础资料的提供</w:t>
      </w:r>
      <w:bookmarkEnd w:id="519"/>
      <w:r>
        <w:rPr>
          <w:rFonts w:hint="eastAsia" w:ascii="宋体" w:hAnsi="宋体" w:cs="宋体"/>
          <w:color w:val="000000"/>
          <w:sz w:val="22"/>
          <w:szCs w:val="22"/>
          <w:highlight w:val="none"/>
        </w:rPr>
        <w:t xml:space="preserve"> </w:t>
      </w:r>
      <w:bookmarkEnd w:id="520"/>
      <w:bookmarkEnd w:id="521"/>
      <w:bookmarkEnd w:id="522"/>
      <w:r>
        <w:rPr>
          <w:rFonts w:hint="eastAsia" w:ascii="宋体" w:hAnsi="宋体" w:cs="宋体"/>
          <w:color w:val="000000"/>
          <w:sz w:val="22"/>
          <w:szCs w:val="22"/>
          <w:highlight w:val="none"/>
        </w:rPr>
        <w:t xml:space="preserve">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2.4.1 提供施工现场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w:t>
      </w:r>
      <w:bookmarkEnd w:id="511"/>
      <w:bookmarkEnd w:id="512"/>
      <w:r>
        <w:rPr>
          <w:rFonts w:hint="eastAsia" w:ascii="宋体" w:hAnsi="宋体" w:cs="宋体"/>
          <w:color w:val="000000"/>
          <w:sz w:val="22"/>
          <w:szCs w:val="22"/>
          <w:highlight w:val="none"/>
        </w:rPr>
        <w:t>专用合同条款另有约定外，发包人应最迟于开工日期7天前向承包人移交施工现场。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2.4.2 提供施工条件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除专用合同条款另有约定外，发包人应负责提供施工所需要的条件，包括：</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（1）将施工用水、电力、通讯线路等施工所必需的条件接至施工现场内；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（2）保证向承包人提供正常施工所需要的进入施工现场的交通条件；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（3）协调处理施工现场周围地下管线和邻近建筑物、构筑物、古树名木的保护工作，并承担相关费用；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（4）按照专用合同条款约定应提供的其他设施和条件。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2.4.3 提供基础资料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2.4.4 逾期提供的责任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因发包人原因未能按合同约定及时向承包人提供施工现场、施工条件、基础资料的，由发包人承担由此增加的费用和（或）延误的工期。</w:t>
      </w:r>
    </w:p>
    <w:p>
      <w:pPr>
        <w:spacing w:before="120" w:after="120" w:line="360" w:lineRule="auto"/>
        <w:ind w:firstLine="440" w:firstLineChars="200"/>
        <w:rPr>
          <w:rFonts w:ascii="宋体" w:hAnsi="宋体" w:cs="宋体"/>
          <w:color w:val="000000"/>
          <w:sz w:val="22"/>
          <w:szCs w:val="22"/>
          <w:highlight w:val="none"/>
        </w:rPr>
      </w:pPr>
      <w:bookmarkStart w:id="523" w:name="_Toc351203514"/>
      <w:r>
        <w:rPr>
          <w:rFonts w:hint="eastAsia" w:ascii="宋体" w:hAnsi="宋体" w:cs="宋体"/>
          <w:color w:val="000000"/>
          <w:sz w:val="22"/>
          <w:szCs w:val="22"/>
          <w:highlight w:val="none"/>
        </w:rPr>
        <w:t>2</w:t>
      </w:r>
      <w:bookmarkStart w:id="524" w:name="_Toc296503042"/>
      <w:bookmarkStart w:id="525" w:name="_Toc296346543"/>
      <w:bookmarkStart w:id="526" w:name="_Toc337558745"/>
      <w:r>
        <w:rPr>
          <w:rFonts w:hint="eastAsia" w:ascii="宋体" w:hAnsi="宋体" w:cs="宋体"/>
          <w:color w:val="000000"/>
          <w:sz w:val="22"/>
          <w:szCs w:val="22"/>
          <w:highlight w:val="none"/>
        </w:rPr>
        <w:t>.5 资</w:t>
      </w:r>
      <w:bookmarkEnd w:id="524"/>
      <w:bookmarkEnd w:id="525"/>
      <w:bookmarkEnd w:id="526"/>
      <w:r>
        <w:rPr>
          <w:rFonts w:hint="eastAsia" w:ascii="宋体" w:hAnsi="宋体" w:cs="宋体"/>
          <w:color w:val="000000"/>
          <w:sz w:val="22"/>
          <w:szCs w:val="22"/>
          <w:highlight w:val="none"/>
        </w:rPr>
        <w:t>金来源证明及支付担保</w:t>
      </w:r>
      <w:bookmarkEnd w:id="523"/>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before="120" w:after="120" w:line="360" w:lineRule="auto"/>
        <w:ind w:firstLine="440" w:firstLineChars="200"/>
        <w:rPr>
          <w:rFonts w:ascii="宋体" w:hAnsi="宋体" w:cs="宋体"/>
          <w:color w:val="000000"/>
          <w:sz w:val="22"/>
          <w:szCs w:val="22"/>
          <w:highlight w:val="none"/>
        </w:rPr>
      </w:pPr>
      <w:bookmarkStart w:id="527" w:name="_Toc351203515"/>
      <w:r>
        <w:rPr>
          <w:rFonts w:hint="eastAsia" w:ascii="宋体" w:hAnsi="宋体" w:cs="宋体"/>
          <w:color w:val="000000"/>
          <w:sz w:val="22"/>
          <w:szCs w:val="22"/>
          <w:highlight w:val="none"/>
        </w:rPr>
        <w:t>2.6 支付合同价款</w:t>
      </w:r>
      <w:bookmarkEnd w:id="527"/>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发包人应按合同约定向承包人及时支付合同价款。</w:t>
      </w:r>
    </w:p>
    <w:p>
      <w:pPr>
        <w:spacing w:before="120" w:after="120" w:line="360" w:lineRule="auto"/>
        <w:ind w:firstLine="440" w:firstLineChars="200"/>
        <w:rPr>
          <w:rFonts w:ascii="宋体" w:hAnsi="宋体" w:cs="宋体"/>
          <w:color w:val="000000"/>
          <w:sz w:val="22"/>
          <w:szCs w:val="22"/>
          <w:highlight w:val="none"/>
        </w:rPr>
      </w:pPr>
      <w:bookmarkStart w:id="528" w:name="_Toc351203516"/>
      <w:r>
        <w:rPr>
          <w:rFonts w:hint="eastAsia" w:ascii="宋体" w:hAnsi="宋体" w:cs="宋体"/>
          <w:color w:val="000000"/>
          <w:sz w:val="22"/>
          <w:szCs w:val="22"/>
          <w:highlight w:val="none"/>
        </w:rPr>
        <w:t>2.7 组织竣工验收</w:t>
      </w:r>
      <w:bookmarkEnd w:id="528"/>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发包人应按合同约定及时组织竣工验收。</w:t>
      </w:r>
    </w:p>
    <w:p>
      <w:pPr>
        <w:spacing w:before="120" w:after="120" w:line="360" w:lineRule="auto"/>
        <w:ind w:firstLine="440" w:firstLineChars="200"/>
        <w:rPr>
          <w:rFonts w:ascii="宋体" w:hAnsi="宋体" w:cs="宋体"/>
          <w:color w:val="000000"/>
          <w:sz w:val="22"/>
          <w:szCs w:val="22"/>
          <w:highlight w:val="none"/>
        </w:rPr>
      </w:pPr>
      <w:bookmarkStart w:id="529" w:name="_Toc351203517"/>
      <w:r>
        <w:rPr>
          <w:rFonts w:hint="eastAsia" w:ascii="宋体" w:hAnsi="宋体" w:cs="宋体"/>
          <w:color w:val="000000"/>
          <w:sz w:val="22"/>
          <w:szCs w:val="22"/>
          <w:highlight w:val="none"/>
        </w:rPr>
        <w:t>2.8 现场统一管理协议</w:t>
      </w:r>
      <w:bookmarkEnd w:id="529"/>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发包人应与承包人、由发包人直接发包的专业工程的承包人签订施工现场统一管理协议，明确各方的权利义务。施工现场统一管理协议作为专用合同条款的附件。</w:t>
      </w:r>
    </w:p>
    <w:p>
      <w:pPr>
        <w:spacing w:before="120" w:after="120" w:line="360" w:lineRule="auto"/>
        <w:rPr>
          <w:rFonts w:ascii="宋体" w:hAnsi="宋体" w:cs="宋体"/>
          <w:color w:val="000000"/>
          <w:sz w:val="22"/>
          <w:szCs w:val="22"/>
          <w:highlight w:val="none"/>
        </w:rPr>
      </w:pPr>
      <w:bookmarkStart w:id="530" w:name="_Toc351203518"/>
      <w:r>
        <w:rPr>
          <w:rFonts w:hint="eastAsia" w:ascii="宋体" w:hAnsi="宋体" w:cs="宋体"/>
          <w:color w:val="000000"/>
          <w:sz w:val="22"/>
          <w:szCs w:val="22"/>
          <w:highlight w:val="none"/>
        </w:rPr>
        <w:t>3</w:t>
      </w:r>
      <w:bookmarkStart w:id="531" w:name="_Toc296346546"/>
      <w:bookmarkStart w:id="532" w:name="_Toc337558746"/>
      <w:bookmarkStart w:id="533" w:name="_Toc296503045"/>
      <w:r>
        <w:rPr>
          <w:rFonts w:hint="eastAsia" w:ascii="宋体" w:hAnsi="宋体" w:cs="宋体"/>
          <w:color w:val="000000"/>
          <w:sz w:val="22"/>
          <w:szCs w:val="22"/>
          <w:highlight w:val="none"/>
        </w:rPr>
        <w:t>. 承包人</w:t>
      </w:r>
      <w:bookmarkEnd w:id="530"/>
    </w:p>
    <w:bookmarkEnd w:id="531"/>
    <w:bookmarkEnd w:id="532"/>
    <w:bookmarkEnd w:id="533"/>
    <w:p>
      <w:pPr>
        <w:spacing w:before="120" w:after="120" w:line="360" w:lineRule="auto"/>
        <w:ind w:firstLine="440" w:firstLineChars="200"/>
        <w:rPr>
          <w:rFonts w:ascii="宋体" w:hAnsi="宋体" w:cs="宋体"/>
          <w:color w:val="000000"/>
          <w:sz w:val="22"/>
          <w:szCs w:val="22"/>
          <w:highlight w:val="none"/>
        </w:rPr>
      </w:pPr>
      <w:bookmarkStart w:id="534" w:name="_Toc351203519"/>
      <w:r>
        <w:rPr>
          <w:rFonts w:hint="eastAsia" w:ascii="宋体" w:hAnsi="宋体" w:cs="宋体"/>
          <w:color w:val="000000"/>
          <w:sz w:val="22"/>
          <w:szCs w:val="22"/>
          <w:highlight w:val="none"/>
        </w:rPr>
        <w:t>3</w:t>
      </w:r>
      <w:bookmarkStart w:id="535" w:name="_Toc296503046"/>
      <w:bookmarkStart w:id="536" w:name="_Toc337558747"/>
      <w:bookmarkStart w:id="537" w:name="_Toc296346547"/>
      <w:r>
        <w:rPr>
          <w:rFonts w:hint="eastAsia" w:ascii="宋体" w:hAnsi="宋体" w:cs="宋体"/>
          <w:color w:val="000000"/>
          <w:sz w:val="22"/>
          <w:szCs w:val="22"/>
          <w:highlight w:val="none"/>
        </w:rPr>
        <w:t>.1 承包人的一般义务</w:t>
      </w:r>
      <w:bookmarkEnd w:id="534"/>
    </w:p>
    <w:bookmarkEnd w:id="535"/>
    <w:bookmarkEnd w:id="536"/>
    <w:bookmarkEnd w:id="53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承包人在履行合同过程中应遵守法律和工程建设标准规范，并履行以下义务：</w:t>
      </w:r>
    </w:p>
    <w:p>
      <w:pPr>
        <w:numPr>
          <w:ilvl w:val="0"/>
          <w:numId w:val="6"/>
        </w:num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办理法律规定应由承包人办理的许可和批准，并将办理结果书面报送发包人留存；</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（2）按法律规定和合同约定完成工程，并在保修期内承担保修义务；</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（3）按法律规定和合同约定采取施工安全和环境保护措施，办理工伤保险，确保工程及人员、材料、设备和设施的安全；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（6）按照第6.3款〔环境保护〕约定负责施工场地及其周边环境与生态的保护工作；</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（8）将发包人按合同约定支付的各项价款专用于合同工程，且应及时支付其雇用人员工资，并及时向分包人支付合同价款；</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（10）应履行的其他义务。</w:t>
      </w:r>
    </w:p>
    <w:p>
      <w:pPr>
        <w:spacing w:before="120" w:after="120" w:line="360" w:lineRule="auto"/>
        <w:ind w:firstLine="440" w:firstLineChars="200"/>
        <w:rPr>
          <w:rFonts w:ascii="宋体" w:hAnsi="宋体" w:cs="宋体"/>
          <w:color w:val="000000"/>
          <w:sz w:val="22"/>
          <w:szCs w:val="22"/>
          <w:highlight w:val="none"/>
        </w:rPr>
      </w:pPr>
      <w:bookmarkStart w:id="538" w:name="_Toc351203520"/>
      <w:r>
        <w:rPr>
          <w:rFonts w:hint="eastAsia" w:ascii="宋体" w:hAnsi="宋体" w:cs="宋体"/>
          <w:color w:val="000000"/>
          <w:sz w:val="22"/>
          <w:szCs w:val="22"/>
          <w:highlight w:val="none"/>
        </w:rPr>
        <w:t>3</w:t>
      </w:r>
      <w:bookmarkStart w:id="539" w:name="_Toc296346548"/>
      <w:bookmarkStart w:id="540" w:name="_Toc296503047"/>
      <w:bookmarkStart w:id="541" w:name="_Toc337558748"/>
      <w:r>
        <w:rPr>
          <w:rFonts w:hint="eastAsia" w:ascii="宋体" w:hAnsi="宋体" w:cs="宋体"/>
          <w:color w:val="000000"/>
          <w:sz w:val="22"/>
          <w:szCs w:val="22"/>
          <w:highlight w:val="none"/>
        </w:rPr>
        <w:t xml:space="preserve">.2 </w:t>
      </w:r>
      <w:bookmarkEnd w:id="538"/>
      <w:r>
        <w:rPr>
          <w:rFonts w:hint="eastAsia" w:ascii="宋体" w:hAnsi="宋体" w:cs="宋体"/>
          <w:color w:val="000000"/>
          <w:sz w:val="22"/>
          <w:szCs w:val="22"/>
          <w:highlight w:val="none"/>
        </w:rPr>
        <w:t>项目经理</w:t>
      </w:r>
    </w:p>
    <w:bookmarkEnd w:id="539"/>
    <w:bookmarkEnd w:id="540"/>
    <w:bookmarkEnd w:id="541"/>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承包人违反上述约定的，应按照专用合同条款的约定，承担违约责任。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spacing w:before="120" w:after="120" w:line="360" w:lineRule="auto"/>
        <w:ind w:firstLine="440" w:firstLineChars="200"/>
        <w:rPr>
          <w:rFonts w:ascii="宋体" w:hAnsi="宋体" w:cs="宋体"/>
          <w:color w:val="000000"/>
          <w:sz w:val="22"/>
          <w:szCs w:val="22"/>
          <w:highlight w:val="none"/>
        </w:rPr>
      </w:pPr>
      <w:bookmarkStart w:id="542" w:name="_Toc351203521"/>
      <w:r>
        <w:rPr>
          <w:rFonts w:hint="eastAsia" w:ascii="宋体" w:hAnsi="宋体" w:cs="宋体"/>
          <w:color w:val="000000"/>
          <w:sz w:val="22"/>
          <w:szCs w:val="22"/>
          <w:highlight w:val="none"/>
        </w:rPr>
        <w:t>3</w:t>
      </w:r>
      <w:bookmarkStart w:id="543" w:name="_Toc296346549"/>
      <w:bookmarkStart w:id="544" w:name="_Toc296503048"/>
      <w:bookmarkStart w:id="545" w:name="_Toc337558749"/>
      <w:r>
        <w:rPr>
          <w:rFonts w:hint="eastAsia" w:ascii="宋体" w:hAnsi="宋体" w:cs="宋体"/>
          <w:color w:val="000000"/>
          <w:sz w:val="22"/>
          <w:szCs w:val="22"/>
          <w:highlight w:val="none"/>
        </w:rPr>
        <w:t xml:space="preserve">.3 </w:t>
      </w:r>
      <w:bookmarkEnd w:id="543"/>
      <w:bookmarkEnd w:id="544"/>
      <w:r>
        <w:rPr>
          <w:rFonts w:hint="eastAsia" w:ascii="宋体" w:hAnsi="宋体" w:cs="宋体"/>
          <w:color w:val="000000"/>
          <w:sz w:val="22"/>
          <w:szCs w:val="22"/>
          <w:highlight w:val="none"/>
        </w:rPr>
        <w:t>承包人人员</w:t>
      </w:r>
      <w:bookmarkEnd w:id="542"/>
    </w:p>
    <w:bookmarkEnd w:id="545"/>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特殊工种作业人员均应持有相应的资格证明，监理人可以随时检查。</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3.3.5 承包人擅自更换主要施工管理人员，或前述人员未经监理人或发包人同意擅自离开施工现场的，应按照专用合同条款约定承担违约责任。</w:t>
      </w:r>
    </w:p>
    <w:p>
      <w:pPr>
        <w:spacing w:before="120" w:after="120" w:line="360" w:lineRule="auto"/>
        <w:ind w:firstLine="440" w:firstLineChars="200"/>
        <w:rPr>
          <w:rFonts w:ascii="宋体" w:hAnsi="宋体" w:cs="宋体"/>
          <w:color w:val="000000"/>
          <w:sz w:val="22"/>
          <w:szCs w:val="22"/>
          <w:highlight w:val="none"/>
        </w:rPr>
      </w:pPr>
      <w:bookmarkStart w:id="546" w:name="_Toc351203522"/>
      <w:r>
        <w:rPr>
          <w:rFonts w:hint="eastAsia" w:ascii="宋体" w:hAnsi="宋体" w:cs="宋体"/>
          <w:color w:val="000000"/>
          <w:sz w:val="22"/>
          <w:szCs w:val="22"/>
          <w:highlight w:val="none"/>
        </w:rPr>
        <w:t>3</w:t>
      </w:r>
      <w:bookmarkStart w:id="547" w:name="_Toc296503050"/>
      <w:bookmarkStart w:id="548" w:name="_Toc296346551"/>
      <w:bookmarkStart w:id="549" w:name="_Toc337558750"/>
      <w:r>
        <w:rPr>
          <w:rFonts w:hint="eastAsia" w:ascii="宋体" w:hAnsi="宋体" w:cs="宋体"/>
          <w:color w:val="000000"/>
          <w:sz w:val="22"/>
          <w:szCs w:val="22"/>
          <w:highlight w:val="none"/>
        </w:rPr>
        <w:t>.4 承包人现场查勘</w:t>
      </w:r>
      <w:bookmarkEnd w:id="546"/>
    </w:p>
    <w:bookmarkEnd w:id="547"/>
    <w:bookmarkEnd w:id="548"/>
    <w:bookmarkEnd w:id="549"/>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before="120" w:after="120" w:line="360" w:lineRule="auto"/>
        <w:ind w:firstLine="440" w:firstLineChars="200"/>
        <w:rPr>
          <w:rFonts w:ascii="宋体" w:hAnsi="宋体" w:cs="宋体"/>
          <w:color w:val="000000"/>
          <w:sz w:val="22"/>
          <w:szCs w:val="22"/>
          <w:highlight w:val="none"/>
        </w:rPr>
      </w:pPr>
      <w:bookmarkStart w:id="550" w:name="_Toc351203523"/>
      <w:r>
        <w:rPr>
          <w:rFonts w:hint="eastAsia" w:ascii="宋体" w:hAnsi="宋体" w:cs="宋体"/>
          <w:color w:val="000000"/>
          <w:sz w:val="22"/>
          <w:szCs w:val="22"/>
          <w:highlight w:val="none"/>
        </w:rPr>
        <w:t>3</w:t>
      </w:r>
      <w:bookmarkStart w:id="551" w:name="_Toc337558751"/>
      <w:bookmarkStart w:id="552" w:name="_Toc296503051"/>
      <w:bookmarkStart w:id="553" w:name="_Toc296346552"/>
      <w:r>
        <w:rPr>
          <w:rFonts w:hint="eastAsia" w:ascii="宋体" w:hAnsi="宋体" w:cs="宋体"/>
          <w:color w:val="000000"/>
          <w:sz w:val="22"/>
          <w:szCs w:val="22"/>
          <w:highlight w:val="none"/>
        </w:rPr>
        <w:t>.5 分包</w:t>
      </w:r>
      <w:bookmarkEnd w:id="550"/>
    </w:p>
    <w:bookmarkEnd w:id="551"/>
    <w:bookmarkEnd w:id="552"/>
    <w:bookmarkEnd w:id="553"/>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3.5.1 分包的一般约定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承包人不得以劳务分包的名义转包或违法分包工程。</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3.5.2 分包的确定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3.5.3 分包管理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3.5.4 分包合同价款</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（2）生效法律文书要求发包人向分包人支付分包合同价款的，发包人有权从应付承包人工程款中扣除该部分款项。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3.5.5 分包合同权益的转让</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54" w:name="_Toc351203524"/>
    </w:p>
    <w:p>
      <w:pPr>
        <w:spacing w:before="120"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3.6 工程照管与成品、半成品保护</w:t>
      </w:r>
      <w:bookmarkEnd w:id="554"/>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（2）在承包人负责照管期间，因承包人原因造成工程、材料、工程设备损坏的，由承包人负责修复或更换，并承担由此增加的费用和（或）延误的工期。</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spacing w:before="120" w:after="120" w:line="360" w:lineRule="auto"/>
        <w:ind w:firstLine="440" w:firstLineChars="200"/>
        <w:rPr>
          <w:rFonts w:ascii="宋体" w:hAnsi="宋体" w:cs="宋体"/>
          <w:color w:val="000000"/>
          <w:sz w:val="22"/>
          <w:szCs w:val="22"/>
          <w:highlight w:val="none"/>
        </w:rPr>
      </w:pPr>
      <w:bookmarkStart w:id="555" w:name="_Toc351203525"/>
      <w:r>
        <w:rPr>
          <w:rFonts w:hint="eastAsia" w:ascii="宋体" w:hAnsi="宋体" w:cs="宋体"/>
          <w:color w:val="000000"/>
          <w:sz w:val="22"/>
          <w:szCs w:val="22"/>
          <w:highlight w:val="none"/>
        </w:rPr>
        <w:t>3</w:t>
      </w:r>
      <w:bookmarkStart w:id="556" w:name="_Toc337558752"/>
      <w:bookmarkStart w:id="557" w:name="_Toc296346553"/>
      <w:bookmarkStart w:id="558" w:name="_Toc296503052"/>
      <w:r>
        <w:rPr>
          <w:rFonts w:hint="eastAsia" w:ascii="宋体" w:hAnsi="宋体" w:cs="宋体"/>
          <w:color w:val="000000"/>
          <w:sz w:val="22"/>
          <w:szCs w:val="22"/>
          <w:highlight w:val="none"/>
        </w:rPr>
        <w:t>.7 履约担保</w:t>
      </w:r>
      <w:bookmarkEnd w:id="555"/>
    </w:p>
    <w:bookmarkEnd w:id="556"/>
    <w:bookmarkEnd w:id="557"/>
    <w:bookmarkEnd w:id="558"/>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因承包人原因导致工期延长的，继续提供履约担保所增加的费用由承包人承担；非因承包人原因导致工期延长的，继续提供履约担保所增加的费用由发包人承担。</w:t>
      </w:r>
    </w:p>
    <w:p>
      <w:pPr>
        <w:spacing w:before="120" w:after="120" w:line="360" w:lineRule="auto"/>
        <w:ind w:firstLine="440" w:firstLineChars="200"/>
        <w:rPr>
          <w:rFonts w:ascii="宋体" w:hAnsi="宋体" w:cs="宋体"/>
          <w:color w:val="000000"/>
          <w:sz w:val="22"/>
          <w:szCs w:val="22"/>
          <w:highlight w:val="none"/>
        </w:rPr>
      </w:pPr>
      <w:bookmarkStart w:id="559" w:name="_Toc351203526"/>
      <w:r>
        <w:rPr>
          <w:rFonts w:hint="eastAsia" w:ascii="宋体" w:hAnsi="宋体" w:cs="宋体"/>
          <w:color w:val="000000"/>
          <w:sz w:val="22"/>
          <w:szCs w:val="22"/>
          <w:highlight w:val="none"/>
        </w:rPr>
        <w:t>3.8 联合体</w:t>
      </w:r>
      <w:bookmarkEnd w:id="559"/>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3.8.1 联合体各方应共同与发包人签订合同协议书。联合体各方应为履行合同向发包人承担连带责任。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3.8.2 联合体协议经发包人确认后作为合同附件。在履行合同过程中，未经发包人同意，不得修改联合体协议。</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3.8.3 联合体牵头人负责与发包人和监理人联系，并接受指示，负责组织联合体各成员全面履行合同。</w:t>
      </w:r>
    </w:p>
    <w:p>
      <w:pPr>
        <w:spacing w:before="120" w:after="120" w:line="360" w:lineRule="auto"/>
        <w:rPr>
          <w:rFonts w:ascii="宋体" w:hAnsi="宋体" w:cs="宋体"/>
          <w:color w:val="000000"/>
          <w:sz w:val="22"/>
          <w:szCs w:val="22"/>
          <w:highlight w:val="none"/>
        </w:rPr>
      </w:pPr>
      <w:bookmarkStart w:id="560" w:name="_Toc351203527"/>
      <w:r>
        <w:rPr>
          <w:rFonts w:hint="eastAsia" w:ascii="宋体" w:hAnsi="宋体" w:cs="宋体"/>
          <w:color w:val="000000"/>
          <w:sz w:val="22"/>
          <w:szCs w:val="22"/>
          <w:highlight w:val="none"/>
        </w:rPr>
        <w:t>4</w:t>
      </w:r>
      <w:bookmarkStart w:id="561" w:name="_Toc296503053"/>
      <w:bookmarkStart w:id="562" w:name="_Toc296346554"/>
      <w:bookmarkStart w:id="563" w:name="_Toc337558753"/>
      <w:r>
        <w:rPr>
          <w:rFonts w:hint="eastAsia" w:ascii="宋体" w:hAnsi="宋体" w:cs="宋体"/>
          <w:color w:val="000000"/>
          <w:sz w:val="22"/>
          <w:szCs w:val="22"/>
          <w:highlight w:val="none"/>
        </w:rPr>
        <w:t>. 监</w:t>
      </w:r>
      <w:bookmarkEnd w:id="561"/>
      <w:bookmarkEnd w:id="562"/>
      <w:r>
        <w:rPr>
          <w:rFonts w:hint="eastAsia" w:ascii="宋体" w:hAnsi="宋体" w:cs="宋体"/>
          <w:color w:val="000000"/>
          <w:sz w:val="22"/>
          <w:szCs w:val="22"/>
          <w:highlight w:val="none"/>
        </w:rPr>
        <w:t>理人</w:t>
      </w:r>
      <w:bookmarkEnd w:id="560"/>
    </w:p>
    <w:bookmarkEnd w:id="563"/>
    <w:p>
      <w:pPr>
        <w:spacing w:before="120" w:after="120" w:line="360" w:lineRule="auto"/>
        <w:ind w:firstLine="440" w:firstLineChars="200"/>
        <w:rPr>
          <w:rFonts w:ascii="宋体" w:hAnsi="宋体" w:cs="宋体"/>
          <w:color w:val="000000"/>
          <w:sz w:val="22"/>
          <w:szCs w:val="22"/>
          <w:highlight w:val="none"/>
        </w:rPr>
      </w:pPr>
      <w:bookmarkStart w:id="564" w:name="_Toc351203528"/>
      <w:r>
        <w:rPr>
          <w:rFonts w:hint="eastAsia" w:ascii="宋体" w:hAnsi="宋体" w:cs="宋体"/>
          <w:color w:val="000000"/>
          <w:sz w:val="22"/>
          <w:szCs w:val="22"/>
          <w:highlight w:val="none"/>
        </w:rPr>
        <w:t>4</w:t>
      </w:r>
      <w:bookmarkStart w:id="565" w:name="_Toc337558754"/>
      <w:bookmarkStart w:id="566" w:name="_Toc296346555"/>
      <w:bookmarkStart w:id="567" w:name="_Toc296503054"/>
      <w:r>
        <w:rPr>
          <w:rFonts w:hint="eastAsia" w:ascii="宋体" w:hAnsi="宋体" w:cs="宋体"/>
          <w:color w:val="000000"/>
          <w:sz w:val="22"/>
          <w:szCs w:val="22"/>
          <w:highlight w:val="none"/>
        </w:rPr>
        <w:t>.1监理人的一般规定</w:t>
      </w:r>
      <w:bookmarkEnd w:id="564"/>
    </w:p>
    <w:bookmarkEnd w:id="565"/>
    <w:bookmarkEnd w:id="566"/>
    <w:bookmarkEnd w:id="56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除专用合同条款另有约定外，监理人在施工现场的办公场所、生活场所由承包人提供，所发生的费用由发包人承担。</w:t>
      </w:r>
    </w:p>
    <w:p>
      <w:pPr>
        <w:spacing w:before="120" w:after="120" w:line="360" w:lineRule="auto"/>
        <w:ind w:firstLine="440" w:firstLineChars="200"/>
        <w:rPr>
          <w:rFonts w:ascii="宋体" w:hAnsi="宋体" w:cs="宋体"/>
          <w:color w:val="000000"/>
          <w:sz w:val="22"/>
          <w:szCs w:val="22"/>
          <w:highlight w:val="none"/>
        </w:rPr>
      </w:pPr>
      <w:bookmarkStart w:id="568" w:name="_Toc351203529"/>
      <w:r>
        <w:rPr>
          <w:rFonts w:hint="eastAsia" w:ascii="宋体" w:hAnsi="宋体" w:cs="宋体"/>
          <w:color w:val="000000"/>
          <w:sz w:val="22"/>
          <w:szCs w:val="22"/>
          <w:highlight w:val="none"/>
        </w:rPr>
        <w:t>4</w:t>
      </w:r>
      <w:bookmarkStart w:id="569" w:name="_Toc337558755"/>
      <w:r>
        <w:rPr>
          <w:rFonts w:hint="eastAsia" w:ascii="宋体" w:hAnsi="宋体" w:cs="宋体"/>
          <w:color w:val="000000"/>
          <w:sz w:val="22"/>
          <w:szCs w:val="22"/>
          <w:highlight w:val="none"/>
        </w:rPr>
        <w:t>.2监理人员</w:t>
      </w:r>
      <w:bookmarkEnd w:id="568"/>
    </w:p>
    <w:bookmarkEnd w:id="569"/>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before="120" w:after="120" w:line="360" w:lineRule="auto"/>
        <w:ind w:firstLine="440" w:firstLineChars="200"/>
        <w:rPr>
          <w:rFonts w:ascii="宋体" w:hAnsi="宋体" w:cs="宋体"/>
          <w:color w:val="000000"/>
          <w:sz w:val="22"/>
          <w:szCs w:val="22"/>
          <w:highlight w:val="none"/>
        </w:rPr>
      </w:pPr>
      <w:bookmarkStart w:id="570" w:name="_Toc351203530"/>
      <w:r>
        <w:rPr>
          <w:rFonts w:hint="eastAsia" w:ascii="宋体" w:hAnsi="宋体" w:cs="宋体"/>
          <w:color w:val="000000"/>
          <w:sz w:val="22"/>
          <w:szCs w:val="22"/>
          <w:highlight w:val="none"/>
        </w:rPr>
        <w:t>4</w:t>
      </w:r>
      <w:bookmarkStart w:id="571" w:name="_Toc296346556"/>
      <w:bookmarkStart w:id="572" w:name="_Toc296503055"/>
      <w:bookmarkStart w:id="573" w:name="_Toc337558756"/>
      <w:r>
        <w:rPr>
          <w:rFonts w:hint="eastAsia" w:ascii="宋体" w:hAnsi="宋体" w:cs="宋体"/>
          <w:color w:val="000000"/>
          <w:sz w:val="22"/>
          <w:szCs w:val="22"/>
          <w:highlight w:val="none"/>
        </w:rPr>
        <w:t>.3</w:t>
      </w:r>
      <w:bookmarkEnd w:id="571"/>
      <w:bookmarkEnd w:id="572"/>
      <w:r>
        <w:rPr>
          <w:rFonts w:hint="eastAsia" w:ascii="宋体" w:hAnsi="宋体" w:cs="宋体"/>
          <w:color w:val="000000"/>
          <w:sz w:val="22"/>
          <w:szCs w:val="22"/>
          <w:highlight w:val="none"/>
        </w:rPr>
        <w:t>监理人的指</w:t>
      </w:r>
      <w:bookmarkEnd w:id="573"/>
      <w:r>
        <w:rPr>
          <w:rFonts w:hint="eastAsia" w:ascii="宋体" w:hAnsi="宋体" w:cs="宋体"/>
          <w:color w:val="000000"/>
          <w:sz w:val="22"/>
          <w:szCs w:val="22"/>
          <w:highlight w:val="none"/>
        </w:rPr>
        <w:t>示</w:t>
      </w:r>
      <w:bookmarkEnd w:id="570"/>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spacing w:before="120" w:after="120" w:line="360" w:lineRule="auto"/>
        <w:ind w:firstLine="440" w:firstLineChars="200"/>
        <w:rPr>
          <w:rFonts w:ascii="宋体" w:hAnsi="宋体" w:cs="宋体"/>
          <w:color w:val="000000"/>
          <w:sz w:val="22"/>
          <w:szCs w:val="22"/>
          <w:highlight w:val="none"/>
        </w:rPr>
      </w:pPr>
      <w:bookmarkStart w:id="574" w:name="_Toc351203531"/>
      <w:r>
        <w:rPr>
          <w:rFonts w:hint="eastAsia" w:ascii="宋体" w:hAnsi="宋体" w:cs="宋体"/>
          <w:color w:val="000000"/>
          <w:sz w:val="22"/>
          <w:szCs w:val="22"/>
          <w:highlight w:val="none"/>
        </w:rPr>
        <w:t>4</w:t>
      </w:r>
      <w:bookmarkStart w:id="575" w:name="_Toc296346558"/>
      <w:bookmarkStart w:id="576" w:name="_Toc337558757"/>
      <w:bookmarkStart w:id="577" w:name="_Toc296503057"/>
      <w:r>
        <w:rPr>
          <w:rFonts w:hint="eastAsia" w:ascii="宋体" w:hAnsi="宋体" w:cs="宋体"/>
          <w:color w:val="000000"/>
          <w:sz w:val="22"/>
          <w:szCs w:val="22"/>
          <w:highlight w:val="none"/>
        </w:rPr>
        <w:t>.4 商定或确定</w:t>
      </w:r>
      <w:bookmarkEnd w:id="574"/>
    </w:p>
    <w:bookmarkEnd w:id="575"/>
    <w:bookmarkEnd w:id="576"/>
    <w:bookmarkEnd w:id="57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before="120" w:after="120" w:line="360" w:lineRule="auto"/>
        <w:rPr>
          <w:rFonts w:ascii="宋体" w:hAnsi="宋体" w:cs="宋体"/>
          <w:color w:val="000000"/>
          <w:sz w:val="22"/>
          <w:szCs w:val="22"/>
          <w:highlight w:val="none"/>
        </w:rPr>
      </w:pPr>
      <w:bookmarkStart w:id="578" w:name="_Toc351203532"/>
      <w:r>
        <w:rPr>
          <w:rFonts w:hint="eastAsia" w:ascii="宋体" w:hAnsi="宋体" w:cs="宋体"/>
          <w:color w:val="000000"/>
          <w:sz w:val="22"/>
          <w:szCs w:val="22"/>
          <w:highlight w:val="none"/>
        </w:rPr>
        <w:t>5</w:t>
      </w:r>
      <w:bookmarkStart w:id="579" w:name="_Toc337558758"/>
      <w:r>
        <w:rPr>
          <w:rFonts w:hint="eastAsia" w:ascii="宋体" w:hAnsi="宋体" w:cs="宋体"/>
          <w:color w:val="000000"/>
          <w:sz w:val="22"/>
          <w:szCs w:val="22"/>
          <w:highlight w:val="none"/>
        </w:rPr>
        <w:t>. 工程质量</w:t>
      </w:r>
      <w:bookmarkEnd w:id="578"/>
    </w:p>
    <w:bookmarkEnd w:id="579"/>
    <w:p>
      <w:pPr>
        <w:spacing w:before="120" w:after="120" w:line="360" w:lineRule="auto"/>
        <w:ind w:firstLine="440" w:firstLineChars="200"/>
        <w:rPr>
          <w:rFonts w:ascii="宋体" w:hAnsi="宋体" w:cs="宋体"/>
          <w:color w:val="000000"/>
          <w:sz w:val="22"/>
          <w:szCs w:val="22"/>
          <w:highlight w:val="none"/>
        </w:rPr>
      </w:pPr>
      <w:bookmarkStart w:id="580" w:name="_Toc351203533"/>
      <w:r>
        <w:rPr>
          <w:rFonts w:hint="eastAsia" w:ascii="宋体" w:hAnsi="宋体" w:cs="宋体"/>
          <w:color w:val="000000"/>
          <w:sz w:val="22"/>
          <w:szCs w:val="22"/>
          <w:highlight w:val="none"/>
        </w:rPr>
        <w:t>5</w:t>
      </w:r>
      <w:bookmarkStart w:id="581" w:name="_Toc337558759"/>
      <w:r>
        <w:rPr>
          <w:rFonts w:hint="eastAsia" w:ascii="宋体" w:hAnsi="宋体" w:cs="宋体"/>
          <w:color w:val="000000"/>
          <w:sz w:val="22"/>
          <w:szCs w:val="22"/>
          <w:highlight w:val="none"/>
        </w:rPr>
        <w:t>.1质量要求</w:t>
      </w:r>
      <w:bookmarkEnd w:id="580"/>
    </w:p>
    <w:bookmarkEnd w:id="581"/>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5.1.3 因承包人原因造成工程质量未达到合同约定标准的，发包人有权要求承包人返工直至工程质量达到合同约定的标准为止，并由承包人承担由此增加的费用和（或）延误的工期。</w:t>
      </w:r>
    </w:p>
    <w:p>
      <w:pPr>
        <w:spacing w:before="120" w:after="120" w:line="360" w:lineRule="auto"/>
        <w:ind w:firstLine="440" w:firstLineChars="200"/>
        <w:rPr>
          <w:rFonts w:ascii="宋体" w:hAnsi="宋体" w:cs="宋体"/>
          <w:color w:val="000000"/>
          <w:sz w:val="22"/>
          <w:szCs w:val="22"/>
          <w:highlight w:val="none"/>
        </w:rPr>
      </w:pPr>
      <w:bookmarkStart w:id="582" w:name="_Toc351203534"/>
      <w:r>
        <w:rPr>
          <w:rFonts w:hint="eastAsia" w:ascii="宋体" w:hAnsi="宋体" w:cs="宋体"/>
          <w:color w:val="000000"/>
          <w:sz w:val="22"/>
          <w:szCs w:val="22"/>
          <w:highlight w:val="none"/>
        </w:rPr>
        <w:t>5</w:t>
      </w:r>
      <w:bookmarkStart w:id="583" w:name="_Toc337558760"/>
      <w:r>
        <w:rPr>
          <w:rFonts w:hint="eastAsia" w:ascii="宋体" w:hAnsi="宋体" w:cs="宋体"/>
          <w:color w:val="000000"/>
          <w:sz w:val="22"/>
          <w:szCs w:val="22"/>
          <w:highlight w:val="none"/>
        </w:rPr>
        <w:t>.2质量保证措施</w:t>
      </w:r>
      <w:bookmarkEnd w:id="582"/>
    </w:p>
    <w:bookmarkEnd w:id="583"/>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5.2.1 发包人的质量管理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发包人应按照法律规定及合同约定完成与工程质量有关的各项工作。</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5.2.2 承包人的质量管理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承包人应对施工人员进行质量教育和技术培训，定期考核施工人员的劳动技能，严格执行施工规范和操作规程。</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440" w:firstLineChars="200"/>
        <w:rPr>
          <w:rFonts w:ascii="宋体" w:hAnsi="宋体" w:cs="宋体"/>
          <w:color w:val="000000"/>
          <w:sz w:val="22"/>
          <w:szCs w:val="22"/>
          <w:highlight w:val="none"/>
        </w:rPr>
      </w:pPr>
      <w:bookmarkStart w:id="584" w:name="_Toc9651"/>
      <w:r>
        <w:rPr>
          <w:rFonts w:hint="eastAsia" w:ascii="宋体" w:hAnsi="宋体" w:cs="宋体"/>
          <w:color w:val="000000"/>
          <w:sz w:val="22"/>
          <w:szCs w:val="22"/>
          <w:highlight w:val="none"/>
        </w:rPr>
        <w:t>5.2.3 监理人的质量检查和检验</w:t>
      </w:r>
      <w:bookmarkEnd w:id="584"/>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before="120" w:after="120" w:line="360" w:lineRule="auto"/>
        <w:ind w:firstLine="440" w:firstLineChars="200"/>
        <w:rPr>
          <w:rFonts w:ascii="宋体" w:hAnsi="宋体" w:cs="宋体"/>
          <w:color w:val="000000"/>
          <w:sz w:val="22"/>
          <w:szCs w:val="22"/>
          <w:highlight w:val="none"/>
        </w:rPr>
      </w:pPr>
      <w:bookmarkStart w:id="585" w:name="_Toc351203535"/>
      <w:r>
        <w:rPr>
          <w:rFonts w:hint="eastAsia" w:ascii="宋体" w:hAnsi="宋体" w:cs="宋体"/>
          <w:color w:val="000000"/>
          <w:sz w:val="22"/>
          <w:szCs w:val="22"/>
          <w:highlight w:val="none"/>
        </w:rPr>
        <w:t>5</w:t>
      </w:r>
      <w:bookmarkStart w:id="586" w:name="_Toc337558761"/>
      <w:r>
        <w:rPr>
          <w:rFonts w:hint="eastAsia" w:ascii="宋体" w:hAnsi="宋体" w:cs="宋体"/>
          <w:color w:val="000000"/>
          <w:sz w:val="22"/>
          <w:szCs w:val="22"/>
          <w:highlight w:val="none"/>
        </w:rPr>
        <w:t>.3 隐蔽工程检查</w:t>
      </w:r>
      <w:bookmarkEnd w:id="585"/>
    </w:p>
    <w:bookmarkEnd w:id="586"/>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5.3.1承包人自检</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承包人应当对工程隐蔽部位进行自检，并经自检确认是否具备覆盖条件。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5.3.2检查程序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5.3.3 重新检查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5.3.4 承包人私自覆盖</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spacing w:before="120" w:after="120" w:line="360" w:lineRule="auto"/>
        <w:ind w:firstLine="440" w:firstLineChars="200"/>
        <w:rPr>
          <w:rFonts w:ascii="宋体" w:hAnsi="宋体" w:cs="宋体"/>
          <w:color w:val="000000"/>
          <w:sz w:val="22"/>
          <w:szCs w:val="22"/>
          <w:highlight w:val="none"/>
        </w:rPr>
      </w:pPr>
      <w:bookmarkStart w:id="587" w:name="_Toc351203536"/>
      <w:r>
        <w:rPr>
          <w:rFonts w:hint="eastAsia" w:ascii="宋体" w:hAnsi="宋体" w:cs="宋体"/>
          <w:color w:val="000000"/>
          <w:sz w:val="22"/>
          <w:szCs w:val="22"/>
          <w:highlight w:val="none"/>
        </w:rPr>
        <w:t>5</w:t>
      </w:r>
      <w:bookmarkStart w:id="588" w:name="_Toc337558762"/>
      <w:r>
        <w:rPr>
          <w:rFonts w:hint="eastAsia" w:ascii="宋体" w:hAnsi="宋体" w:cs="宋体"/>
          <w:color w:val="000000"/>
          <w:sz w:val="22"/>
          <w:szCs w:val="22"/>
          <w:highlight w:val="none"/>
        </w:rPr>
        <w:t>.4不合格工程的处理</w:t>
      </w:r>
      <w:bookmarkEnd w:id="587"/>
    </w:p>
    <w:bookmarkEnd w:id="588"/>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5.4.2 因发包人原因造成工程不合格的，由此增加的费用和（或）延误的工期由发包人承担，并支付承包人合理的利润。</w:t>
      </w:r>
    </w:p>
    <w:p>
      <w:pPr>
        <w:spacing w:before="120" w:after="120" w:line="360" w:lineRule="auto"/>
        <w:ind w:firstLine="440" w:firstLineChars="200"/>
        <w:rPr>
          <w:rFonts w:ascii="宋体" w:hAnsi="宋体" w:cs="宋体"/>
          <w:color w:val="000000"/>
          <w:sz w:val="22"/>
          <w:szCs w:val="22"/>
          <w:highlight w:val="none"/>
        </w:rPr>
      </w:pPr>
      <w:bookmarkStart w:id="589" w:name="_Toc351203537"/>
      <w:r>
        <w:rPr>
          <w:rFonts w:hint="eastAsia" w:ascii="宋体" w:hAnsi="宋体" w:cs="宋体"/>
          <w:color w:val="000000"/>
          <w:sz w:val="22"/>
          <w:szCs w:val="22"/>
          <w:highlight w:val="none"/>
        </w:rPr>
        <w:t>5.5 质量争议检测</w:t>
      </w:r>
      <w:bookmarkEnd w:id="589"/>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合同当事人对工程质量有争议的，由双方协商确定的工程质量检测机构鉴定，由此产生的费用及因此造成的损失，由责任方承担。</w:t>
      </w:r>
    </w:p>
    <w:p>
      <w:pPr>
        <w:autoSpaceDE w:val="0"/>
        <w:autoSpaceDN w:val="0"/>
        <w:adjustRightInd w:val="0"/>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合同当事人均有责任的，由双方根据其责任分别承担。合同当事人无法达成一致的，按照第4.4款〔商定或确定〕执行。</w:t>
      </w:r>
    </w:p>
    <w:p>
      <w:pPr>
        <w:spacing w:before="120" w:after="120" w:line="360" w:lineRule="auto"/>
        <w:rPr>
          <w:rFonts w:ascii="宋体" w:hAnsi="宋体" w:cs="宋体"/>
          <w:color w:val="000000"/>
          <w:sz w:val="22"/>
          <w:szCs w:val="22"/>
          <w:highlight w:val="none"/>
        </w:rPr>
      </w:pPr>
      <w:bookmarkStart w:id="590" w:name="_Toc351203538"/>
      <w:r>
        <w:rPr>
          <w:rFonts w:hint="eastAsia" w:ascii="宋体" w:hAnsi="宋体" w:cs="宋体"/>
          <w:color w:val="000000"/>
          <w:sz w:val="22"/>
          <w:szCs w:val="22"/>
          <w:highlight w:val="none"/>
        </w:rPr>
        <w:t>6</w:t>
      </w:r>
      <w:bookmarkStart w:id="591" w:name="_Toc337558763"/>
      <w:r>
        <w:rPr>
          <w:rFonts w:hint="eastAsia" w:ascii="宋体" w:hAnsi="宋体" w:cs="宋体"/>
          <w:color w:val="000000"/>
          <w:sz w:val="22"/>
          <w:szCs w:val="22"/>
          <w:highlight w:val="none"/>
        </w:rPr>
        <w:t>. 安全文明施工与环境保护</w:t>
      </w:r>
      <w:bookmarkEnd w:id="590"/>
    </w:p>
    <w:bookmarkEnd w:id="591"/>
    <w:p>
      <w:pPr>
        <w:spacing w:before="120" w:after="120" w:line="360" w:lineRule="auto"/>
        <w:ind w:firstLine="440" w:firstLineChars="200"/>
        <w:rPr>
          <w:rFonts w:ascii="宋体" w:hAnsi="宋体" w:cs="宋体"/>
          <w:color w:val="000000"/>
          <w:sz w:val="22"/>
          <w:szCs w:val="22"/>
          <w:highlight w:val="none"/>
        </w:rPr>
      </w:pPr>
      <w:bookmarkStart w:id="592" w:name="_Toc351203539"/>
      <w:r>
        <w:rPr>
          <w:rFonts w:hint="eastAsia" w:ascii="宋体" w:hAnsi="宋体" w:cs="宋体"/>
          <w:color w:val="000000"/>
          <w:sz w:val="22"/>
          <w:szCs w:val="22"/>
          <w:highlight w:val="none"/>
        </w:rPr>
        <w:t>6</w:t>
      </w:r>
      <w:bookmarkStart w:id="593" w:name="_Toc337558764"/>
      <w:r>
        <w:rPr>
          <w:rFonts w:hint="eastAsia" w:ascii="宋体" w:hAnsi="宋体" w:cs="宋体"/>
          <w:color w:val="000000"/>
          <w:sz w:val="22"/>
          <w:szCs w:val="22"/>
          <w:highlight w:val="none"/>
        </w:rPr>
        <w:t>.1安全文明施工</w:t>
      </w:r>
      <w:bookmarkEnd w:id="592"/>
    </w:p>
    <w:bookmarkEnd w:id="593"/>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6.1.1安全生产要求</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因安全生产需要暂停施工的，按照第7.8款〔暂停施工〕的约定执行。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6.1.2 安全生产保证措施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6.1.3特别安全生产事项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6.1.4 治安保卫</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发包人和承包人除应协助现场治安管理机构或联防组织维护施工场地的社会治安外，还应做好包括生活区在内的各自管辖区的治安保卫工作。</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6.1.5 文明施工</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6.1.6 安全文明施工费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6.1.7 紧急情况处理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6.1.8 事故处理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6.1.9 安全生产责任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6.1.9.1 发包人的安全责任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发包人应负责赔偿以下各种情况造成的损失：</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（1）工程或工程的任何部分对土地的占用所造成的第三者财产损失；</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（2）由于发包人原因在施工场地及其毗邻地带造成的第三者人身伤亡和财产损失；</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（3）由于发包人原因对承包人、监理人造成的人员人身伤亡和财产损失；</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（4）由于发包人原因造成的发包人自身人员的人身伤害以及财产损失。</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6.1.9.2 承包人的安全责任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由于承包人原因在施工场地内及其毗邻地带造成的发包人、监理人以及第三者人员伤亡和财产损失，由承包人负责赔偿。</w:t>
      </w:r>
    </w:p>
    <w:p>
      <w:pPr>
        <w:spacing w:before="120" w:after="120" w:line="360" w:lineRule="auto"/>
        <w:ind w:firstLine="440" w:firstLineChars="200"/>
        <w:rPr>
          <w:rFonts w:ascii="宋体" w:hAnsi="宋体" w:cs="宋体"/>
          <w:color w:val="000000"/>
          <w:sz w:val="22"/>
          <w:szCs w:val="22"/>
          <w:highlight w:val="none"/>
        </w:rPr>
      </w:pPr>
      <w:bookmarkStart w:id="594" w:name="_Toc351203540"/>
      <w:r>
        <w:rPr>
          <w:rFonts w:hint="eastAsia" w:ascii="宋体" w:hAnsi="宋体" w:cs="宋体"/>
          <w:color w:val="000000"/>
          <w:sz w:val="22"/>
          <w:szCs w:val="22"/>
          <w:highlight w:val="none"/>
        </w:rPr>
        <w:t>6</w:t>
      </w:r>
      <w:bookmarkStart w:id="595" w:name="_Toc337558765"/>
      <w:r>
        <w:rPr>
          <w:rFonts w:hint="eastAsia" w:ascii="宋体" w:hAnsi="宋体" w:cs="宋体"/>
          <w:color w:val="000000"/>
          <w:sz w:val="22"/>
          <w:szCs w:val="22"/>
          <w:highlight w:val="none"/>
        </w:rPr>
        <w:t>.2 职业健康</w:t>
      </w:r>
      <w:bookmarkEnd w:id="594"/>
    </w:p>
    <w:bookmarkEnd w:id="595"/>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6.2.1 劳动保护</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6.2.2 生活条件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before="120" w:after="120" w:line="360" w:lineRule="auto"/>
        <w:ind w:firstLine="440" w:firstLineChars="200"/>
        <w:rPr>
          <w:rFonts w:ascii="宋体" w:hAnsi="宋体" w:cs="宋体"/>
          <w:color w:val="000000"/>
          <w:sz w:val="22"/>
          <w:szCs w:val="22"/>
          <w:highlight w:val="none"/>
        </w:rPr>
      </w:pPr>
      <w:bookmarkStart w:id="596" w:name="_Toc351203541"/>
      <w:r>
        <w:rPr>
          <w:rFonts w:hint="eastAsia" w:ascii="宋体" w:hAnsi="宋体" w:cs="宋体"/>
          <w:color w:val="000000"/>
          <w:sz w:val="22"/>
          <w:szCs w:val="22"/>
          <w:highlight w:val="none"/>
        </w:rPr>
        <w:t>6</w:t>
      </w:r>
      <w:bookmarkStart w:id="597" w:name="_Toc337558766"/>
      <w:r>
        <w:rPr>
          <w:rFonts w:hint="eastAsia" w:ascii="宋体" w:hAnsi="宋体" w:cs="宋体"/>
          <w:color w:val="000000"/>
          <w:sz w:val="22"/>
          <w:szCs w:val="22"/>
          <w:highlight w:val="none"/>
        </w:rPr>
        <w:t>.3 环境保护</w:t>
      </w:r>
      <w:bookmarkEnd w:id="596"/>
    </w:p>
    <w:bookmarkEnd w:id="59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承包人应当承担因其原因引起的环境污染侵权损害赔偿责任，因上述环境污染引起纠纷而导致暂停施工的，由此增加的费用和（或）延误的工期由承包人承担。</w:t>
      </w:r>
    </w:p>
    <w:p>
      <w:pPr>
        <w:spacing w:before="120" w:after="120" w:line="360" w:lineRule="auto"/>
        <w:rPr>
          <w:rFonts w:ascii="宋体" w:hAnsi="宋体" w:cs="宋体"/>
          <w:color w:val="000000"/>
          <w:sz w:val="22"/>
          <w:szCs w:val="22"/>
          <w:highlight w:val="none"/>
        </w:rPr>
      </w:pPr>
      <w:bookmarkStart w:id="598" w:name="_Toc351203542"/>
      <w:r>
        <w:rPr>
          <w:rFonts w:hint="eastAsia" w:ascii="宋体" w:hAnsi="宋体" w:cs="宋体"/>
          <w:color w:val="000000"/>
          <w:sz w:val="22"/>
          <w:szCs w:val="22"/>
          <w:highlight w:val="none"/>
        </w:rPr>
        <w:t>7</w:t>
      </w:r>
      <w:bookmarkStart w:id="599" w:name="_Toc337558767"/>
      <w:r>
        <w:rPr>
          <w:rFonts w:hint="eastAsia" w:ascii="宋体" w:hAnsi="宋体" w:cs="宋体"/>
          <w:color w:val="000000"/>
          <w:sz w:val="22"/>
          <w:szCs w:val="22"/>
          <w:highlight w:val="none"/>
        </w:rPr>
        <w:t>. 工期和进度</w:t>
      </w:r>
      <w:bookmarkEnd w:id="598"/>
    </w:p>
    <w:bookmarkEnd w:id="599"/>
    <w:p>
      <w:pPr>
        <w:spacing w:before="120" w:after="120" w:line="360" w:lineRule="auto"/>
        <w:ind w:firstLine="440" w:firstLineChars="200"/>
        <w:rPr>
          <w:rFonts w:ascii="宋体" w:hAnsi="宋体" w:cs="宋体"/>
          <w:color w:val="000000"/>
          <w:sz w:val="22"/>
          <w:szCs w:val="22"/>
          <w:highlight w:val="none"/>
        </w:rPr>
      </w:pPr>
      <w:bookmarkStart w:id="600" w:name="_Toc351203543"/>
      <w:r>
        <w:rPr>
          <w:rFonts w:hint="eastAsia" w:ascii="宋体" w:hAnsi="宋体" w:cs="宋体"/>
          <w:color w:val="000000"/>
          <w:sz w:val="22"/>
          <w:szCs w:val="22"/>
          <w:highlight w:val="none"/>
        </w:rPr>
        <w:t>7</w:t>
      </w:r>
      <w:bookmarkStart w:id="601" w:name="_Toc337558768"/>
      <w:bookmarkStart w:id="602" w:name="_Toc296346567"/>
      <w:bookmarkStart w:id="603" w:name="_Toc296503066"/>
      <w:r>
        <w:rPr>
          <w:rFonts w:hint="eastAsia" w:ascii="宋体" w:hAnsi="宋体" w:cs="宋体"/>
          <w:color w:val="000000"/>
          <w:sz w:val="22"/>
          <w:szCs w:val="22"/>
          <w:highlight w:val="none"/>
        </w:rPr>
        <w:t>.1施工组织设计</w:t>
      </w:r>
      <w:bookmarkEnd w:id="600"/>
    </w:p>
    <w:bookmarkEnd w:id="601"/>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sz w:val="22"/>
          <w:szCs w:val="22"/>
          <w:highlight w:val="none"/>
        </w:rPr>
        <w:t>7.1.1</w:t>
      </w:r>
      <w:r>
        <w:rPr>
          <w:rFonts w:hint="eastAsia" w:ascii="宋体" w:hAnsi="宋体" w:cs="宋体"/>
          <w:color w:val="000000"/>
          <w:sz w:val="22"/>
          <w:szCs w:val="22"/>
          <w:highlight w:val="none"/>
        </w:rPr>
        <w:t xml:space="preserve"> 施工组织设计的内容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施工组织设计应包含以下内容：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（1）施工方案；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（2）施工现场平面布置图；</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（3）施工进度计划和保证措施；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（4）劳动力及材料供应计划；</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（5）施工机械设备的选用；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（6）质量保证体系及措施；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（7）安全生产、文明施工措施；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（8）环境保护、成本控制措施；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（9）合同当事人约定的其他内容。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sz w:val="22"/>
          <w:szCs w:val="22"/>
          <w:highlight w:val="none"/>
        </w:rPr>
        <w:t>7.1.2</w:t>
      </w:r>
      <w:r>
        <w:rPr>
          <w:rFonts w:hint="eastAsia" w:ascii="宋体" w:hAnsi="宋体" w:cs="宋体"/>
          <w:color w:val="000000"/>
          <w:sz w:val="22"/>
          <w:szCs w:val="22"/>
          <w:highlight w:val="none"/>
        </w:rPr>
        <w:t xml:space="preserve"> 施工组织设计的提交和修改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施工进度计划的编制和修改按照第7.2款〔施工进度计划〕执行。</w:t>
      </w:r>
    </w:p>
    <w:p>
      <w:pPr>
        <w:spacing w:before="120" w:after="120" w:line="360" w:lineRule="auto"/>
        <w:ind w:firstLine="440" w:firstLineChars="200"/>
        <w:rPr>
          <w:rFonts w:ascii="宋体" w:hAnsi="宋体" w:cs="宋体"/>
          <w:color w:val="000000"/>
          <w:sz w:val="22"/>
          <w:szCs w:val="22"/>
          <w:highlight w:val="none"/>
        </w:rPr>
      </w:pPr>
      <w:bookmarkStart w:id="604" w:name="_Toc351203544"/>
      <w:r>
        <w:rPr>
          <w:rFonts w:hint="eastAsia" w:ascii="宋体" w:hAnsi="宋体" w:cs="宋体"/>
          <w:color w:val="000000"/>
          <w:sz w:val="22"/>
          <w:szCs w:val="22"/>
          <w:highlight w:val="none"/>
        </w:rPr>
        <w:t>7</w:t>
      </w:r>
      <w:bookmarkStart w:id="605" w:name="_Toc337558769"/>
      <w:r>
        <w:rPr>
          <w:rFonts w:hint="eastAsia" w:ascii="宋体" w:hAnsi="宋体" w:cs="宋体"/>
          <w:color w:val="000000"/>
          <w:sz w:val="22"/>
          <w:szCs w:val="22"/>
          <w:highlight w:val="none"/>
        </w:rPr>
        <w:t>.2 施工进度计划</w:t>
      </w:r>
      <w:bookmarkEnd w:id="604"/>
    </w:p>
    <w:bookmarkEnd w:id="605"/>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7.2.1 施工进度计划的编制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7.2.2 施工进度计划的修订</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before="120" w:after="120" w:line="360" w:lineRule="auto"/>
        <w:ind w:firstLine="440" w:firstLineChars="200"/>
        <w:rPr>
          <w:rFonts w:ascii="宋体" w:hAnsi="宋体" w:cs="宋体"/>
          <w:color w:val="000000"/>
          <w:sz w:val="22"/>
          <w:szCs w:val="22"/>
          <w:highlight w:val="none"/>
        </w:rPr>
      </w:pPr>
      <w:bookmarkStart w:id="606" w:name="_Toc351203545"/>
      <w:r>
        <w:rPr>
          <w:rFonts w:hint="eastAsia" w:ascii="宋体" w:hAnsi="宋体" w:cs="宋体"/>
          <w:color w:val="000000"/>
          <w:sz w:val="22"/>
          <w:szCs w:val="22"/>
          <w:highlight w:val="none"/>
        </w:rPr>
        <w:t>7</w:t>
      </w:r>
      <w:bookmarkStart w:id="607" w:name="_Toc337558770"/>
      <w:r>
        <w:rPr>
          <w:rFonts w:hint="eastAsia" w:ascii="宋体" w:hAnsi="宋体" w:cs="宋体"/>
          <w:color w:val="000000"/>
          <w:sz w:val="22"/>
          <w:szCs w:val="22"/>
          <w:highlight w:val="none"/>
        </w:rPr>
        <w:t>.3 开工</w:t>
      </w:r>
      <w:bookmarkEnd w:id="606"/>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7.3.1 开工准备</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除专用合同条款另有约定外，合同当事人应按约定完成开工准备工作。</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7.3.2 开工通知</w:t>
      </w:r>
    </w:p>
    <w:bookmarkEnd w:id="60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before="120" w:after="120" w:line="360" w:lineRule="auto"/>
        <w:ind w:firstLine="440" w:firstLineChars="200"/>
        <w:rPr>
          <w:rFonts w:ascii="宋体" w:hAnsi="宋体" w:cs="宋体"/>
          <w:color w:val="000000"/>
          <w:sz w:val="22"/>
          <w:szCs w:val="22"/>
          <w:highlight w:val="none"/>
        </w:rPr>
      </w:pPr>
      <w:bookmarkStart w:id="608" w:name="_Toc351203546"/>
      <w:r>
        <w:rPr>
          <w:rFonts w:hint="eastAsia" w:ascii="宋体" w:hAnsi="宋体" w:cs="宋体"/>
          <w:color w:val="000000"/>
          <w:sz w:val="22"/>
          <w:szCs w:val="22"/>
          <w:highlight w:val="none"/>
        </w:rPr>
        <w:t>7.4测量放线</w:t>
      </w:r>
      <w:bookmarkEnd w:id="608"/>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施工过程中对施工现场内水准点等测量标志物的保护工作由承包人负责。</w:t>
      </w:r>
      <w:bookmarkStart w:id="609" w:name="_Toc351203547"/>
    </w:p>
    <w:p>
      <w:pPr>
        <w:spacing w:before="120"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w:t>
      </w:r>
      <w:bookmarkEnd w:id="602"/>
      <w:bookmarkEnd w:id="603"/>
      <w:bookmarkStart w:id="610" w:name="_Toc296346574"/>
      <w:bookmarkStart w:id="611" w:name="_Toc296503073"/>
      <w:bookmarkStart w:id="612" w:name="_Toc337558772"/>
      <w:r>
        <w:rPr>
          <w:rFonts w:hint="eastAsia" w:ascii="宋体" w:hAnsi="宋体" w:cs="宋体"/>
          <w:color w:val="000000"/>
          <w:sz w:val="22"/>
          <w:szCs w:val="22"/>
          <w:highlight w:val="none"/>
        </w:rPr>
        <w:t>.5 工期延误</w:t>
      </w:r>
      <w:bookmarkEnd w:id="609"/>
    </w:p>
    <w:bookmarkEnd w:id="610"/>
    <w:bookmarkEnd w:id="611"/>
    <w:bookmarkEnd w:id="612"/>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7.5.1 因发包人原因导致工期延误</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（1）发包人未能按合同约定提供图纸或所提供图纸不符合合同约定的；</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（2）发包人未能按合同约定提供施工现场、施工条件、基础资料、许可、批准等开工条件的；</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（3）发包人提供的测量基准点、基准线和水准点及其书面资料存在错误或疏漏的；</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（4）发包人未能在计划开工日期之日起7天内同意下达开工通知的；</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（5）发包人未能按合同约定日期支付工程预付款、进度款或竣工结算款的；</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（6）监理人未按合同约定发出指示、批准等文件的；</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（7）专用合同条款中约定的其他情形。</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7.5.2 因承包人原因导致工期延误</w:t>
      </w:r>
    </w:p>
    <w:p>
      <w:pPr>
        <w:autoSpaceDE w:val="0"/>
        <w:autoSpaceDN w:val="0"/>
        <w:adjustRightInd w:val="0"/>
        <w:spacing w:line="360" w:lineRule="auto"/>
        <w:ind w:firstLine="440" w:firstLineChars="200"/>
        <w:rPr>
          <w:rFonts w:ascii="宋体" w:hAnsi="宋体" w:cs="宋体"/>
          <w:color w:val="000000"/>
          <w:sz w:val="22"/>
          <w:szCs w:val="22"/>
          <w:highlight w:val="none"/>
        </w:rPr>
      </w:pPr>
      <w:bookmarkStart w:id="613" w:name="_Toc296346577"/>
      <w:bookmarkStart w:id="614" w:name="_Toc296503076"/>
      <w:r>
        <w:rPr>
          <w:rFonts w:hint="eastAsia" w:ascii="宋体" w:hAnsi="宋体" w:cs="宋体"/>
          <w:color w:val="000000"/>
          <w:sz w:val="22"/>
          <w:szCs w:val="22"/>
          <w:highlight w:val="none"/>
        </w:rPr>
        <w:t>因</w:t>
      </w:r>
      <w:bookmarkEnd w:id="613"/>
      <w:bookmarkEnd w:id="614"/>
      <w:r>
        <w:rPr>
          <w:rFonts w:hint="eastAsia" w:ascii="宋体" w:hAnsi="宋体" w:cs="宋体"/>
          <w:color w:val="000000"/>
          <w:sz w:val="22"/>
          <w:szCs w:val="22"/>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spacing w:before="120" w:after="120" w:line="360" w:lineRule="auto"/>
        <w:ind w:firstLine="440" w:firstLineChars="200"/>
        <w:rPr>
          <w:rFonts w:ascii="宋体" w:hAnsi="宋体" w:cs="宋体"/>
          <w:color w:val="000000"/>
          <w:sz w:val="22"/>
          <w:szCs w:val="22"/>
          <w:highlight w:val="none"/>
        </w:rPr>
      </w:pPr>
      <w:bookmarkStart w:id="615" w:name="_Toc351203548"/>
      <w:r>
        <w:rPr>
          <w:rFonts w:hint="eastAsia" w:ascii="宋体" w:hAnsi="宋体" w:cs="宋体"/>
          <w:color w:val="000000"/>
          <w:sz w:val="22"/>
          <w:szCs w:val="22"/>
          <w:highlight w:val="none"/>
        </w:rPr>
        <w:t>7</w:t>
      </w:r>
      <w:bookmarkStart w:id="616" w:name="_Toc296503074"/>
      <w:bookmarkStart w:id="617" w:name="_Toc337558773"/>
      <w:bookmarkStart w:id="618" w:name="_Toc296346575"/>
      <w:bookmarkStart w:id="619" w:name="_Toc296346578"/>
      <w:bookmarkStart w:id="620" w:name="_Toc296503077"/>
      <w:r>
        <w:rPr>
          <w:rFonts w:hint="eastAsia" w:ascii="宋体" w:hAnsi="宋体" w:cs="宋体"/>
          <w:color w:val="000000"/>
          <w:sz w:val="22"/>
          <w:szCs w:val="22"/>
          <w:highlight w:val="none"/>
        </w:rPr>
        <w:t>.6 不利物质条件</w:t>
      </w:r>
      <w:bookmarkEnd w:id="615"/>
    </w:p>
    <w:bookmarkEnd w:id="616"/>
    <w:bookmarkEnd w:id="617"/>
    <w:bookmarkEnd w:id="618"/>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before="120" w:after="120" w:line="360" w:lineRule="auto"/>
        <w:ind w:firstLine="440" w:firstLineChars="200"/>
        <w:rPr>
          <w:rFonts w:ascii="宋体" w:hAnsi="宋体" w:cs="宋体"/>
          <w:color w:val="000000"/>
          <w:sz w:val="22"/>
          <w:szCs w:val="22"/>
          <w:highlight w:val="none"/>
        </w:rPr>
      </w:pPr>
      <w:bookmarkStart w:id="621" w:name="_Toc351203549"/>
      <w:r>
        <w:rPr>
          <w:rFonts w:hint="eastAsia" w:ascii="宋体" w:hAnsi="宋体" w:cs="宋体"/>
          <w:color w:val="000000"/>
          <w:sz w:val="22"/>
          <w:szCs w:val="22"/>
          <w:highlight w:val="none"/>
        </w:rPr>
        <w:t>7</w:t>
      </w:r>
      <w:bookmarkStart w:id="622" w:name="_Toc296503075"/>
      <w:bookmarkStart w:id="623" w:name="_Toc337558774"/>
      <w:bookmarkStart w:id="624" w:name="_Toc296346576"/>
      <w:r>
        <w:rPr>
          <w:rFonts w:hint="eastAsia" w:ascii="宋体" w:hAnsi="宋体" w:cs="宋体"/>
          <w:color w:val="000000"/>
          <w:sz w:val="22"/>
          <w:szCs w:val="22"/>
          <w:highlight w:val="none"/>
        </w:rPr>
        <w:t>.7 异常恶劣的气候条件</w:t>
      </w:r>
      <w:bookmarkEnd w:id="621"/>
    </w:p>
    <w:bookmarkEnd w:id="622"/>
    <w:bookmarkEnd w:id="623"/>
    <w:bookmarkEnd w:id="624"/>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25" w:name="_Toc351203550"/>
    </w:p>
    <w:p>
      <w:pPr>
        <w:autoSpaceDE w:val="0"/>
        <w:autoSpaceDN w:val="0"/>
        <w:adjustRightInd w:val="0"/>
        <w:spacing w:line="360" w:lineRule="auto"/>
        <w:ind w:firstLine="440" w:firstLineChars="200"/>
        <w:rPr>
          <w:rFonts w:ascii="宋体" w:hAnsi="宋体" w:cs="宋体"/>
          <w:bCs/>
          <w:color w:val="000000"/>
          <w:sz w:val="22"/>
          <w:szCs w:val="22"/>
          <w:highlight w:val="none"/>
        </w:rPr>
      </w:pPr>
      <w:bookmarkStart w:id="626" w:name="_Toc29873"/>
      <w:r>
        <w:rPr>
          <w:rFonts w:hint="eastAsia" w:ascii="宋体" w:hAnsi="宋体" w:cs="宋体"/>
          <w:bCs/>
          <w:color w:val="000000"/>
          <w:sz w:val="22"/>
          <w:szCs w:val="22"/>
          <w:highlight w:val="none"/>
        </w:rPr>
        <w:t>7</w:t>
      </w:r>
      <w:bookmarkStart w:id="627" w:name="_Toc337558775"/>
      <w:r>
        <w:rPr>
          <w:rFonts w:hint="eastAsia" w:ascii="宋体" w:hAnsi="宋体" w:cs="宋体"/>
          <w:bCs/>
          <w:color w:val="000000"/>
          <w:sz w:val="22"/>
          <w:szCs w:val="22"/>
          <w:highlight w:val="none"/>
        </w:rPr>
        <w:t>.8 暂停施工</w:t>
      </w:r>
      <w:bookmarkEnd w:id="625"/>
      <w:bookmarkEnd w:id="626"/>
    </w:p>
    <w:bookmarkEnd w:id="619"/>
    <w:bookmarkEnd w:id="620"/>
    <w:bookmarkEnd w:id="627"/>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7.8.1发包人原因引起的暂停施工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因发包人原因引起的暂停施工，发包人应承担由此增加的费用和（或）延误的工期，</w:t>
      </w:r>
      <w:r>
        <w:rPr>
          <w:rFonts w:hint="eastAsia" w:ascii="宋体" w:hAnsi="宋体" w:cs="宋体"/>
          <w:sz w:val="22"/>
          <w:szCs w:val="22"/>
          <w:highlight w:val="none"/>
        </w:rPr>
        <w:t>并支付承包人</w:t>
      </w:r>
      <w:r>
        <w:rPr>
          <w:rFonts w:hint="eastAsia" w:ascii="宋体" w:hAnsi="宋体" w:cs="宋体"/>
          <w:color w:val="000000"/>
          <w:sz w:val="22"/>
          <w:szCs w:val="22"/>
          <w:highlight w:val="none"/>
        </w:rPr>
        <w:t>合理的利润。</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7.8.2 承包人原因引起的暂停施工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7.8.3 指示暂停施工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监理人认为有必要时，并经发包人批准后，可向承包人作出暂停施工的指示，承包人应按监理人指示暂停施工。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7.8.4 紧急情况下的暂停施工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7.8.5 暂停施工后的复工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7.8.6 暂停施工持续56天以上</w:t>
      </w:r>
    </w:p>
    <w:p>
      <w:pPr>
        <w:spacing w:line="360" w:lineRule="auto"/>
        <w:ind w:firstLine="429" w:firstLineChars="195"/>
        <w:rPr>
          <w:rFonts w:ascii="宋体" w:hAnsi="宋体" w:cs="宋体"/>
          <w:color w:val="000000"/>
          <w:sz w:val="22"/>
          <w:szCs w:val="22"/>
          <w:highlight w:val="none"/>
        </w:rPr>
      </w:pPr>
      <w:r>
        <w:rPr>
          <w:rFonts w:hint="eastAsia" w:ascii="宋体" w:hAnsi="宋体" w:cs="宋体"/>
          <w:color w:val="000000"/>
          <w:sz w:val="22"/>
          <w:szCs w:val="22"/>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9" w:firstLineChars="195"/>
        <w:rPr>
          <w:rFonts w:ascii="宋体" w:hAnsi="宋体" w:cs="宋体"/>
          <w:color w:val="000000"/>
          <w:sz w:val="22"/>
          <w:szCs w:val="22"/>
          <w:highlight w:val="none"/>
        </w:rPr>
      </w:pPr>
      <w:r>
        <w:rPr>
          <w:rFonts w:hint="eastAsia" w:ascii="宋体" w:hAnsi="宋体" w:cs="宋体"/>
          <w:color w:val="000000"/>
          <w:sz w:val="22"/>
          <w:szCs w:val="22"/>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left="16" w:firstLine="429" w:firstLineChars="195"/>
        <w:rPr>
          <w:rFonts w:ascii="宋体" w:hAnsi="宋体" w:cs="宋体"/>
          <w:color w:val="000000"/>
          <w:sz w:val="22"/>
          <w:szCs w:val="22"/>
          <w:highlight w:val="none"/>
        </w:rPr>
      </w:pPr>
      <w:r>
        <w:rPr>
          <w:rFonts w:hint="eastAsia" w:ascii="宋体" w:hAnsi="宋体" w:cs="宋体"/>
          <w:color w:val="000000"/>
          <w:sz w:val="22"/>
          <w:szCs w:val="22"/>
          <w:highlight w:val="none"/>
        </w:rPr>
        <w:t>7.8.7 暂停施工期间的工程照管</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暂停施工期间，承包人应负责妥善照管工程并提供安全保障，由此增加的费用由责任方承担。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7.8.8 暂停施工的措施</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暂停施工期间，发包人和承包人均应采取必要的措施确保工程质量及安全，防止因暂停施工扩大损失。</w:t>
      </w:r>
    </w:p>
    <w:p>
      <w:pPr>
        <w:spacing w:before="120" w:after="120" w:line="360" w:lineRule="auto"/>
        <w:ind w:firstLine="440" w:firstLineChars="200"/>
        <w:rPr>
          <w:rFonts w:ascii="宋体" w:hAnsi="宋体" w:cs="宋体"/>
          <w:color w:val="000000"/>
          <w:sz w:val="22"/>
          <w:szCs w:val="22"/>
          <w:highlight w:val="none"/>
        </w:rPr>
      </w:pPr>
      <w:bookmarkStart w:id="628" w:name="_Toc351203551"/>
      <w:r>
        <w:rPr>
          <w:rFonts w:hint="eastAsia" w:ascii="宋体" w:hAnsi="宋体" w:cs="宋体"/>
          <w:color w:val="000000"/>
          <w:sz w:val="22"/>
          <w:szCs w:val="22"/>
          <w:highlight w:val="none"/>
        </w:rPr>
        <w:t>7.9提前竣工</w:t>
      </w:r>
      <w:bookmarkEnd w:id="628"/>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7.9.2 发包人要求承包人提前竣工，或承包人提出提前竣工的建议能够给发包人带来效益的，合同当事人可以在专用合同条款中约定提前竣工的奖励。</w:t>
      </w:r>
    </w:p>
    <w:p>
      <w:pPr>
        <w:spacing w:before="120" w:after="120" w:line="360" w:lineRule="auto"/>
        <w:rPr>
          <w:rFonts w:ascii="宋体" w:hAnsi="宋体" w:cs="宋体"/>
          <w:color w:val="000000"/>
          <w:sz w:val="22"/>
          <w:szCs w:val="22"/>
          <w:highlight w:val="none"/>
        </w:rPr>
      </w:pPr>
      <w:bookmarkStart w:id="629" w:name="_Toc351203552"/>
      <w:r>
        <w:rPr>
          <w:rFonts w:hint="eastAsia" w:ascii="宋体" w:hAnsi="宋体" w:cs="宋体"/>
          <w:color w:val="000000"/>
          <w:sz w:val="22"/>
          <w:szCs w:val="22"/>
          <w:highlight w:val="none"/>
        </w:rPr>
        <w:t>8</w:t>
      </w:r>
      <w:bookmarkStart w:id="630" w:name="_Toc296346559"/>
      <w:bookmarkStart w:id="631" w:name="_Toc296503058"/>
      <w:bookmarkStart w:id="632" w:name="_Toc337558776"/>
      <w:r>
        <w:rPr>
          <w:rFonts w:hint="eastAsia" w:ascii="宋体" w:hAnsi="宋体" w:cs="宋体"/>
          <w:color w:val="000000"/>
          <w:sz w:val="22"/>
          <w:szCs w:val="22"/>
          <w:highlight w:val="none"/>
        </w:rPr>
        <w:t>. 材料与设备</w:t>
      </w:r>
      <w:bookmarkEnd w:id="629"/>
    </w:p>
    <w:bookmarkEnd w:id="630"/>
    <w:bookmarkEnd w:id="631"/>
    <w:bookmarkEnd w:id="632"/>
    <w:p>
      <w:pPr>
        <w:spacing w:before="120" w:after="120" w:line="360" w:lineRule="auto"/>
        <w:ind w:firstLine="440" w:firstLineChars="200"/>
        <w:rPr>
          <w:rFonts w:ascii="宋体" w:hAnsi="宋体" w:cs="宋体"/>
          <w:color w:val="000000"/>
          <w:sz w:val="22"/>
          <w:szCs w:val="22"/>
          <w:highlight w:val="none"/>
        </w:rPr>
      </w:pPr>
      <w:bookmarkStart w:id="633" w:name="_Toc351203553"/>
      <w:r>
        <w:rPr>
          <w:rFonts w:hint="eastAsia" w:ascii="宋体" w:hAnsi="宋体" w:cs="宋体"/>
          <w:color w:val="000000"/>
          <w:sz w:val="22"/>
          <w:szCs w:val="22"/>
          <w:highlight w:val="none"/>
        </w:rPr>
        <w:t>8</w:t>
      </w:r>
      <w:bookmarkStart w:id="634" w:name="_Toc296346560"/>
      <w:bookmarkStart w:id="635" w:name="_Toc337558777"/>
      <w:bookmarkStart w:id="636" w:name="_Toc296503059"/>
      <w:bookmarkStart w:id="637" w:name="_Toc468936960"/>
      <w:r>
        <w:rPr>
          <w:rFonts w:hint="eastAsia" w:ascii="宋体" w:hAnsi="宋体" w:cs="宋体"/>
          <w:color w:val="000000"/>
          <w:sz w:val="22"/>
          <w:szCs w:val="22"/>
          <w:highlight w:val="none"/>
        </w:rPr>
        <w:t>.1发包人供应材料与工程设备</w:t>
      </w:r>
      <w:bookmarkEnd w:id="633"/>
    </w:p>
    <w:bookmarkEnd w:id="634"/>
    <w:bookmarkEnd w:id="635"/>
    <w:bookmarkEnd w:id="636"/>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before="120" w:after="120" w:line="360" w:lineRule="auto"/>
        <w:ind w:firstLine="440" w:firstLineChars="200"/>
        <w:rPr>
          <w:rFonts w:ascii="宋体" w:hAnsi="宋体" w:cs="宋体"/>
          <w:color w:val="000000"/>
          <w:sz w:val="22"/>
          <w:szCs w:val="22"/>
          <w:highlight w:val="none"/>
        </w:rPr>
      </w:pPr>
      <w:bookmarkStart w:id="638" w:name="_Toc351203554"/>
      <w:r>
        <w:rPr>
          <w:rFonts w:hint="eastAsia" w:ascii="宋体" w:hAnsi="宋体" w:cs="宋体"/>
          <w:color w:val="000000"/>
          <w:sz w:val="22"/>
          <w:szCs w:val="22"/>
          <w:highlight w:val="none"/>
        </w:rPr>
        <w:t>8</w:t>
      </w:r>
      <w:bookmarkStart w:id="639" w:name="_Toc296346561"/>
      <w:bookmarkStart w:id="640" w:name="_Toc296503060"/>
      <w:bookmarkStart w:id="641" w:name="_Toc337558778"/>
      <w:r>
        <w:rPr>
          <w:rFonts w:hint="eastAsia" w:ascii="宋体" w:hAnsi="宋体" w:cs="宋体"/>
          <w:color w:val="000000"/>
          <w:sz w:val="22"/>
          <w:szCs w:val="22"/>
          <w:highlight w:val="none"/>
        </w:rPr>
        <w:t>.2承包人采购材料与工程设备</w:t>
      </w:r>
      <w:bookmarkEnd w:id="638"/>
    </w:p>
    <w:bookmarkEnd w:id="639"/>
    <w:bookmarkEnd w:id="640"/>
    <w:bookmarkEnd w:id="641"/>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before="120" w:after="120" w:line="360" w:lineRule="auto"/>
        <w:ind w:firstLine="440" w:firstLineChars="200"/>
        <w:rPr>
          <w:rFonts w:ascii="宋体" w:hAnsi="宋体" w:cs="宋体"/>
          <w:color w:val="000000"/>
          <w:sz w:val="22"/>
          <w:szCs w:val="22"/>
          <w:highlight w:val="none"/>
        </w:rPr>
      </w:pPr>
      <w:bookmarkStart w:id="642" w:name="_Toc351203555"/>
      <w:r>
        <w:rPr>
          <w:rFonts w:hint="eastAsia" w:ascii="宋体" w:hAnsi="宋体" w:cs="宋体"/>
          <w:color w:val="000000"/>
          <w:sz w:val="22"/>
          <w:szCs w:val="22"/>
          <w:highlight w:val="none"/>
        </w:rPr>
        <w:t>8</w:t>
      </w:r>
      <w:bookmarkStart w:id="643" w:name="_Toc296503061"/>
      <w:bookmarkStart w:id="644" w:name="_Toc337558779"/>
      <w:bookmarkStart w:id="645" w:name="_Toc296346562"/>
      <w:r>
        <w:rPr>
          <w:rFonts w:hint="eastAsia" w:ascii="宋体" w:hAnsi="宋体" w:cs="宋体"/>
          <w:color w:val="000000"/>
          <w:sz w:val="22"/>
          <w:szCs w:val="22"/>
          <w:highlight w:val="none"/>
        </w:rPr>
        <w:t>.3材料与工程设备的接收与拒收</w:t>
      </w:r>
      <w:bookmarkEnd w:id="642"/>
    </w:p>
    <w:bookmarkEnd w:id="643"/>
    <w:bookmarkEnd w:id="644"/>
    <w:bookmarkEnd w:id="645"/>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8.3.2 承包人采购的材料和工程设备，应保证产品质量合格，承包人应在材料和工程设备到货前24小时通知监理人检验。承</w:t>
      </w:r>
      <w:bookmarkStart w:id="646" w:name="_Toc250655469"/>
      <w:r>
        <w:rPr>
          <w:rFonts w:hint="eastAsia" w:ascii="宋体" w:hAnsi="宋体" w:cs="宋体"/>
          <w:color w:val="000000"/>
          <w:sz w:val="22"/>
          <w:szCs w:val="22"/>
          <w:highlight w:val="none"/>
        </w:rPr>
        <w:t>包人进行永久设备、材料的制造和生产的，应符合相关质量标准，并向监理人提交材料的样本以及有关资料，并应在使用该材料或工程设备之前获得监理人同意。</w:t>
      </w:r>
    </w:p>
    <w:bookmarkEnd w:id="646"/>
    <w:p>
      <w:pPr>
        <w:autoSpaceDE w:val="0"/>
        <w:autoSpaceDN w:val="0"/>
        <w:adjustRightInd w:val="0"/>
        <w:spacing w:line="360" w:lineRule="auto"/>
        <w:ind w:firstLine="330" w:firstLineChars="150"/>
        <w:rPr>
          <w:rFonts w:ascii="宋体" w:hAnsi="宋体" w:cs="宋体"/>
          <w:color w:val="000000"/>
          <w:sz w:val="22"/>
          <w:szCs w:val="22"/>
          <w:highlight w:val="none"/>
        </w:rPr>
      </w:pPr>
      <w:r>
        <w:rPr>
          <w:rFonts w:hint="eastAsia" w:ascii="宋体" w:hAnsi="宋体" w:cs="宋体"/>
          <w:color w:val="000000"/>
          <w:sz w:val="22"/>
          <w:szCs w:val="22"/>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before="120" w:after="120" w:line="360" w:lineRule="auto"/>
        <w:ind w:firstLine="440" w:firstLineChars="200"/>
        <w:rPr>
          <w:rFonts w:ascii="宋体" w:hAnsi="宋体" w:cs="宋体"/>
          <w:color w:val="000000"/>
          <w:sz w:val="22"/>
          <w:szCs w:val="22"/>
          <w:highlight w:val="none"/>
        </w:rPr>
      </w:pPr>
      <w:bookmarkStart w:id="647" w:name="_Toc351203556"/>
      <w:r>
        <w:rPr>
          <w:rFonts w:hint="eastAsia" w:ascii="宋体" w:hAnsi="宋体" w:cs="宋体"/>
          <w:color w:val="000000"/>
          <w:sz w:val="22"/>
          <w:szCs w:val="22"/>
          <w:highlight w:val="none"/>
        </w:rPr>
        <w:t>8</w:t>
      </w:r>
      <w:bookmarkStart w:id="648" w:name="_Toc296346563"/>
      <w:bookmarkStart w:id="649" w:name="_Toc296503062"/>
      <w:bookmarkStart w:id="650" w:name="_Toc337558780"/>
      <w:r>
        <w:rPr>
          <w:rFonts w:hint="eastAsia" w:ascii="宋体" w:hAnsi="宋体" w:cs="宋体"/>
          <w:color w:val="000000"/>
          <w:sz w:val="22"/>
          <w:szCs w:val="22"/>
          <w:highlight w:val="none"/>
        </w:rPr>
        <w:t>.4材料与工程设备的保管与使用</w:t>
      </w:r>
      <w:bookmarkEnd w:id="647"/>
    </w:p>
    <w:bookmarkEnd w:id="648"/>
    <w:bookmarkEnd w:id="649"/>
    <w:bookmarkEnd w:id="650"/>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8.4.1 发包人供应材料与工程设备的保管与使用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发包人供应的材料和工程设备使用前，由承包人负责检验，检验费用由发包人承担，不合格的不得使用。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8.4.2 承包人采购材料与工程设备的保管与使用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发包人或监理人发现承包人使用不符合设计或有关标准要求的材料和工程设备时，有权要求承包人进行修复、拆除或重新采购，由此增加的费用和（或）延误的工期，由承包人承担。</w:t>
      </w:r>
    </w:p>
    <w:p>
      <w:pPr>
        <w:spacing w:before="120" w:after="120" w:line="360" w:lineRule="auto"/>
        <w:ind w:firstLine="440" w:firstLineChars="200"/>
        <w:rPr>
          <w:rFonts w:ascii="宋体" w:hAnsi="宋体" w:cs="宋体"/>
          <w:color w:val="000000"/>
          <w:sz w:val="22"/>
          <w:szCs w:val="22"/>
          <w:highlight w:val="none"/>
        </w:rPr>
      </w:pPr>
      <w:bookmarkStart w:id="651" w:name="_Toc351203557"/>
      <w:r>
        <w:rPr>
          <w:rFonts w:hint="eastAsia" w:ascii="宋体" w:hAnsi="宋体" w:cs="宋体"/>
          <w:color w:val="000000"/>
          <w:sz w:val="22"/>
          <w:szCs w:val="22"/>
          <w:highlight w:val="none"/>
        </w:rPr>
        <w:t>8.5禁止使用不合格的材料和工程设备</w:t>
      </w:r>
      <w:bookmarkEnd w:id="651"/>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8.5.3 发包人提供的材料或工程设备不符合合同要求的，承包人有权拒绝，并可要求发包人更换，由此增加的费用和（或）延误的工期由发包人承担，并支付承包人合理的利润。</w:t>
      </w:r>
    </w:p>
    <w:p>
      <w:pPr>
        <w:spacing w:before="120" w:after="120" w:line="360" w:lineRule="auto"/>
        <w:ind w:firstLine="440" w:firstLineChars="200"/>
        <w:rPr>
          <w:rFonts w:ascii="宋体" w:hAnsi="宋体" w:cs="宋体"/>
          <w:color w:val="000000"/>
          <w:sz w:val="22"/>
          <w:szCs w:val="22"/>
          <w:highlight w:val="none"/>
        </w:rPr>
      </w:pPr>
      <w:bookmarkStart w:id="652" w:name="_Toc351203558"/>
      <w:r>
        <w:rPr>
          <w:rFonts w:hint="eastAsia" w:ascii="宋体" w:hAnsi="宋体" w:cs="宋体"/>
          <w:color w:val="000000"/>
          <w:sz w:val="22"/>
          <w:szCs w:val="22"/>
          <w:highlight w:val="none"/>
        </w:rPr>
        <w:t>8.6 样品</w:t>
      </w:r>
      <w:bookmarkEnd w:id="652"/>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8.6.1</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样品的报送与封存</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应在计划采购前28天向监理人报送样品。承包人报送的样品均应来自供应材料的实际生产地，且提供的样品的规格、数量足以表明材料或工程设备的质量、型号、颜色、表面处理、质地、误差和其它要求的特征。</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8.6.2 样品的保管</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经批准的样品应由监理人负责封存于现场，承包人应在现场为保存样品提供适当和固定的场所并保持适当和良好的存储环境条件。</w:t>
      </w:r>
    </w:p>
    <w:p>
      <w:pPr>
        <w:spacing w:before="120" w:after="120" w:line="360" w:lineRule="auto"/>
        <w:ind w:firstLine="440" w:firstLineChars="200"/>
        <w:rPr>
          <w:rFonts w:ascii="宋体" w:hAnsi="宋体" w:cs="宋体"/>
          <w:color w:val="000000"/>
          <w:sz w:val="22"/>
          <w:szCs w:val="22"/>
          <w:highlight w:val="none"/>
        </w:rPr>
      </w:pPr>
      <w:bookmarkStart w:id="653" w:name="_Toc351203559"/>
      <w:r>
        <w:rPr>
          <w:rFonts w:hint="eastAsia" w:ascii="宋体" w:hAnsi="宋体" w:cs="宋体"/>
          <w:color w:val="000000"/>
          <w:sz w:val="22"/>
          <w:szCs w:val="22"/>
          <w:highlight w:val="none"/>
        </w:rPr>
        <w:t>8.7材料与工程设备的替代</w:t>
      </w:r>
      <w:bookmarkEnd w:id="653"/>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8.7.1 出现下列情况需要使用替代材料和工程设备的，承包人应按照第8.7.2项约定的程序执行：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（1）基准日期后生效的法律规定禁止使用的；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（2）发包人要求使用替代品的；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（3）因其他原因必须使用替代品的。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8.7.2 承包人应在使用替代材料和工程设备28天前书面通知监理人，并附下列文件：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（1）被替代的材料和工程设备的名称、数量、规格、型号、品牌、性能、价格及其他相关资料；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（2）替代品的名称、数量、规格、型号、品牌、性能、价格及其他相关资料；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（3）替代品与被替代产品之间的差异以及使用替代品可能对工程产生的影响；</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（4）替代品与被替代产品的价格差异；</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（5）使用替代品的理由和原因说明；</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（6）监理人要求的其他文件。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before="120" w:after="120" w:line="360" w:lineRule="auto"/>
        <w:ind w:firstLine="440" w:firstLineChars="200"/>
        <w:rPr>
          <w:rFonts w:ascii="宋体" w:hAnsi="宋体" w:cs="宋体"/>
          <w:color w:val="000000"/>
          <w:sz w:val="22"/>
          <w:szCs w:val="22"/>
          <w:highlight w:val="none"/>
        </w:rPr>
      </w:pPr>
      <w:bookmarkStart w:id="654" w:name="_Toc351203560"/>
      <w:r>
        <w:rPr>
          <w:rFonts w:hint="eastAsia" w:ascii="宋体" w:hAnsi="宋体" w:cs="宋体"/>
          <w:color w:val="000000"/>
          <w:sz w:val="22"/>
          <w:szCs w:val="22"/>
          <w:highlight w:val="none"/>
        </w:rPr>
        <w:t>8.8施工设备和临时设施</w:t>
      </w:r>
      <w:bookmarkEnd w:id="654"/>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8.8.1 承包人提供的施工设备和临时设施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8.8.2发包人提供的施工设备和临时设施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发包人提供的施工设备或临时设施在专用合同条款中约定。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8.8.3要求承包人增加或更换施工设备</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承包人使用的施工设备不能满足合同进度计划和（或）质量要求时，监理人有权要求承包人增加或更换施工设备，承包人应及时增加或更换，由此增加的费用和（或）延误的工期由承包人承担。</w:t>
      </w:r>
    </w:p>
    <w:p>
      <w:pPr>
        <w:spacing w:before="120" w:after="120" w:line="360" w:lineRule="auto"/>
        <w:ind w:firstLine="440" w:firstLineChars="200"/>
        <w:rPr>
          <w:rFonts w:ascii="宋体" w:hAnsi="宋体" w:cs="宋体"/>
          <w:color w:val="000000"/>
          <w:sz w:val="22"/>
          <w:szCs w:val="22"/>
          <w:highlight w:val="none"/>
        </w:rPr>
      </w:pPr>
      <w:bookmarkStart w:id="655" w:name="_Toc351203561"/>
      <w:r>
        <w:rPr>
          <w:rFonts w:hint="eastAsia" w:ascii="宋体" w:hAnsi="宋体" w:cs="宋体"/>
          <w:color w:val="000000"/>
          <w:sz w:val="22"/>
          <w:szCs w:val="22"/>
          <w:highlight w:val="none"/>
        </w:rPr>
        <w:t>8</w:t>
      </w:r>
      <w:bookmarkStart w:id="656" w:name="_Toc296503063"/>
      <w:bookmarkStart w:id="657" w:name="_Toc337558781"/>
      <w:bookmarkStart w:id="658" w:name="_Toc296346564"/>
      <w:r>
        <w:rPr>
          <w:rFonts w:hint="eastAsia" w:ascii="宋体" w:hAnsi="宋体" w:cs="宋体"/>
          <w:color w:val="000000"/>
          <w:sz w:val="22"/>
          <w:szCs w:val="22"/>
          <w:highlight w:val="none"/>
        </w:rPr>
        <w:t>.9材料与设备专用</w:t>
      </w:r>
      <w:bookmarkEnd w:id="655"/>
      <w:r>
        <w:rPr>
          <w:rFonts w:hint="eastAsia" w:ascii="宋体" w:hAnsi="宋体" w:cs="宋体"/>
          <w:color w:val="000000"/>
          <w:sz w:val="22"/>
          <w:szCs w:val="22"/>
          <w:highlight w:val="none"/>
        </w:rPr>
        <w:t>要求</w:t>
      </w:r>
    </w:p>
    <w:bookmarkEnd w:id="656"/>
    <w:bookmarkEnd w:id="657"/>
    <w:bookmarkEnd w:id="658"/>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637"/>
      <w:r>
        <w:rPr>
          <w:rFonts w:hint="eastAsia" w:ascii="宋体" w:hAnsi="宋体" w:cs="宋体"/>
          <w:color w:val="000000"/>
          <w:sz w:val="22"/>
          <w:szCs w:val="22"/>
          <w:highlight w:val="none"/>
        </w:rPr>
        <w:t>经发包人批准，承包人可以根据施工进度计划撤走闲置的施工设备和其他物品。</w:t>
      </w:r>
    </w:p>
    <w:p>
      <w:pPr>
        <w:spacing w:before="120" w:after="120" w:line="360" w:lineRule="auto"/>
        <w:rPr>
          <w:rFonts w:ascii="宋体" w:hAnsi="宋体" w:cs="宋体"/>
          <w:color w:val="000000"/>
          <w:sz w:val="22"/>
          <w:szCs w:val="22"/>
          <w:highlight w:val="none"/>
        </w:rPr>
      </w:pPr>
      <w:bookmarkStart w:id="659" w:name="_Toc351203562"/>
      <w:r>
        <w:rPr>
          <w:rFonts w:hint="eastAsia" w:ascii="宋体" w:hAnsi="宋体" w:cs="宋体"/>
          <w:color w:val="000000"/>
          <w:sz w:val="22"/>
          <w:szCs w:val="22"/>
          <w:highlight w:val="none"/>
        </w:rPr>
        <w:t>9</w:t>
      </w:r>
      <w:bookmarkStart w:id="660" w:name="_Toc337558782"/>
      <w:bookmarkStart w:id="661" w:name="_Toc296346584"/>
      <w:bookmarkStart w:id="662" w:name="_Toc296503083"/>
      <w:r>
        <w:rPr>
          <w:rFonts w:hint="eastAsia" w:ascii="宋体" w:hAnsi="宋体" w:cs="宋体"/>
          <w:color w:val="000000"/>
          <w:sz w:val="22"/>
          <w:szCs w:val="22"/>
          <w:highlight w:val="none"/>
        </w:rPr>
        <w:t>. 试验与检验</w:t>
      </w:r>
      <w:bookmarkEnd w:id="659"/>
    </w:p>
    <w:bookmarkEnd w:id="660"/>
    <w:p>
      <w:pPr>
        <w:spacing w:before="120" w:after="120" w:line="360" w:lineRule="auto"/>
        <w:ind w:firstLine="440" w:firstLineChars="200"/>
        <w:rPr>
          <w:rFonts w:ascii="宋体" w:hAnsi="宋体" w:cs="宋体"/>
          <w:color w:val="000000"/>
          <w:sz w:val="22"/>
          <w:szCs w:val="22"/>
          <w:highlight w:val="none"/>
        </w:rPr>
      </w:pPr>
      <w:bookmarkStart w:id="663" w:name="_Toc351203563"/>
      <w:r>
        <w:rPr>
          <w:rFonts w:hint="eastAsia" w:ascii="宋体" w:hAnsi="宋体" w:cs="宋体"/>
          <w:color w:val="000000"/>
          <w:sz w:val="22"/>
          <w:szCs w:val="22"/>
          <w:highlight w:val="none"/>
        </w:rPr>
        <w:t>9</w:t>
      </w:r>
      <w:bookmarkStart w:id="664" w:name="_Toc337558783"/>
      <w:r>
        <w:rPr>
          <w:rFonts w:hint="eastAsia" w:ascii="宋体" w:hAnsi="宋体" w:cs="宋体"/>
          <w:color w:val="000000"/>
          <w:sz w:val="22"/>
          <w:szCs w:val="22"/>
          <w:highlight w:val="none"/>
        </w:rPr>
        <w:t>.1试验设备与试验人员</w:t>
      </w:r>
      <w:bookmarkEnd w:id="663"/>
    </w:p>
    <w:bookmarkEnd w:id="664"/>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9.1.2 承包人应按专用合同条款的约定提供试验设备、取样装置、试验场所和试验条件，并向监理人提交相应进场计划表。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9.1.3 承包人应向监理人提交试验人员的名单及其岗位、资格等证明资料，试验人员必须能够熟练进行相应的检测试验，承包人对试验人员的试验程序和试验结果的正确性负责。</w:t>
      </w:r>
    </w:p>
    <w:p>
      <w:pPr>
        <w:spacing w:before="120" w:after="120" w:line="360" w:lineRule="auto"/>
        <w:ind w:firstLine="440" w:firstLineChars="200"/>
        <w:rPr>
          <w:rFonts w:ascii="宋体" w:hAnsi="宋体" w:cs="宋体"/>
          <w:color w:val="000000"/>
          <w:sz w:val="22"/>
          <w:szCs w:val="22"/>
          <w:highlight w:val="none"/>
        </w:rPr>
      </w:pPr>
      <w:bookmarkStart w:id="665" w:name="_Toc351203564"/>
      <w:r>
        <w:rPr>
          <w:rFonts w:hint="eastAsia" w:ascii="宋体" w:hAnsi="宋体" w:cs="宋体"/>
          <w:color w:val="000000"/>
          <w:sz w:val="22"/>
          <w:szCs w:val="22"/>
          <w:highlight w:val="none"/>
        </w:rPr>
        <w:t>9</w:t>
      </w:r>
      <w:bookmarkStart w:id="666" w:name="_Toc337558784"/>
      <w:r>
        <w:rPr>
          <w:rFonts w:hint="eastAsia" w:ascii="宋体" w:hAnsi="宋体" w:cs="宋体"/>
          <w:color w:val="000000"/>
          <w:sz w:val="22"/>
          <w:szCs w:val="22"/>
          <w:highlight w:val="none"/>
        </w:rPr>
        <w:t>.2取样</w:t>
      </w:r>
      <w:bookmarkEnd w:id="665"/>
    </w:p>
    <w:bookmarkEnd w:id="666"/>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试验属于自检性质的，承包人可以单独取样。试验属于监理人抽检性质的，可由监理人取样，也可由承包人的试验人员在监理人的监督下取样。</w:t>
      </w:r>
    </w:p>
    <w:p>
      <w:pPr>
        <w:spacing w:before="120" w:after="120" w:line="360" w:lineRule="auto"/>
        <w:ind w:firstLine="440" w:firstLineChars="200"/>
        <w:rPr>
          <w:rFonts w:ascii="宋体" w:hAnsi="宋体" w:cs="宋体"/>
          <w:color w:val="000000"/>
          <w:sz w:val="22"/>
          <w:szCs w:val="22"/>
          <w:highlight w:val="none"/>
        </w:rPr>
      </w:pPr>
      <w:bookmarkStart w:id="667" w:name="_Toc351203565"/>
      <w:r>
        <w:rPr>
          <w:rFonts w:hint="eastAsia" w:ascii="宋体" w:hAnsi="宋体" w:cs="宋体"/>
          <w:color w:val="000000"/>
          <w:sz w:val="22"/>
          <w:szCs w:val="22"/>
          <w:highlight w:val="none"/>
        </w:rPr>
        <w:t>9</w:t>
      </w:r>
      <w:bookmarkStart w:id="668" w:name="_Toc337558785"/>
      <w:r>
        <w:rPr>
          <w:rFonts w:hint="eastAsia" w:ascii="宋体" w:hAnsi="宋体" w:cs="宋体"/>
          <w:color w:val="000000"/>
          <w:sz w:val="22"/>
          <w:szCs w:val="22"/>
          <w:highlight w:val="none"/>
        </w:rPr>
        <w:t>.3材料、工程设备和工程的试验和检验</w:t>
      </w:r>
      <w:bookmarkEnd w:id="667"/>
    </w:p>
    <w:bookmarkEnd w:id="668"/>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before="120" w:after="120" w:line="360" w:lineRule="auto"/>
        <w:ind w:firstLine="440" w:firstLineChars="200"/>
        <w:rPr>
          <w:rFonts w:ascii="宋体" w:hAnsi="宋体" w:cs="宋体"/>
          <w:color w:val="000000"/>
          <w:sz w:val="22"/>
          <w:szCs w:val="22"/>
          <w:highlight w:val="none"/>
        </w:rPr>
      </w:pPr>
      <w:bookmarkStart w:id="669" w:name="_Toc351203566"/>
      <w:r>
        <w:rPr>
          <w:rFonts w:hint="eastAsia" w:ascii="宋体" w:hAnsi="宋体" w:cs="宋体"/>
          <w:color w:val="000000"/>
          <w:sz w:val="22"/>
          <w:szCs w:val="22"/>
          <w:highlight w:val="none"/>
        </w:rPr>
        <w:t>9</w:t>
      </w:r>
      <w:bookmarkStart w:id="670" w:name="_Toc337558786"/>
      <w:r>
        <w:rPr>
          <w:rFonts w:hint="eastAsia" w:ascii="宋体" w:hAnsi="宋体" w:cs="宋体"/>
          <w:color w:val="000000"/>
          <w:sz w:val="22"/>
          <w:szCs w:val="22"/>
          <w:highlight w:val="none"/>
        </w:rPr>
        <w:t>.4现场工艺试验</w:t>
      </w:r>
      <w:bookmarkEnd w:id="669"/>
    </w:p>
    <w:bookmarkEnd w:id="670"/>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承包人应按合同约定或监理人指示进行现场工艺试验。对大型的现场工艺试验，监理人认为必要时，承包人应根据监理人提出的工艺试验要求，编制工艺试验措施计划，报送监理人审查。</w:t>
      </w:r>
    </w:p>
    <w:p>
      <w:pPr>
        <w:spacing w:before="120" w:after="120" w:line="360" w:lineRule="auto"/>
        <w:rPr>
          <w:rFonts w:ascii="宋体" w:hAnsi="宋体" w:cs="宋体"/>
          <w:color w:val="000000"/>
          <w:sz w:val="22"/>
          <w:szCs w:val="22"/>
          <w:highlight w:val="none"/>
        </w:rPr>
      </w:pPr>
      <w:bookmarkStart w:id="671" w:name="_Toc351203567"/>
      <w:r>
        <w:rPr>
          <w:rFonts w:hint="eastAsia" w:ascii="宋体" w:hAnsi="宋体" w:cs="宋体"/>
          <w:color w:val="000000"/>
          <w:sz w:val="22"/>
          <w:szCs w:val="22"/>
          <w:highlight w:val="none"/>
        </w:rPr>
        <w:t>1</w:t>
      </w:r>
      <w:bookmarkStart w:id="672" w:name="_Toc337558787"/>
      <w:r>
        <w:rPr>
          <w:rFonts w:hint="eastAsia" w:ascii="宋体" w:hAnsi="宋体" w:cs="宋体"/>
          <w:color w:val="000000"/>
          <w:sz w:val="22"/>
          <w:szCs w:val="22"/>
          <w:highlight w:val="none"/>
        </w:rPr>
        <w:t>0. 变更</w:t>
      </w:r>
      <w:bookmarkEnd w:id="661"/>
      <w:bookmarkEnd w:id="662"/>
      <w:bookmarkEnd w:id="671"/>
    </w:p>
    <w:bookmarkEnd w:id="672"/>
    <w:p>
      <w:pPr>
        <w:spacing w:before="120" w:after="120" w:line="360" w:lineRule="auto"/>
        <w:ind w:firstLine="440" w:firstLineChars="200"/>
        <w:rPr>
          <w:rFonts w:ascii="宋体" w:hAnsi="宋体" w:cs="宋体"/>
          <w:color w:val="000000"/>
          <w:sz w:val="22"/>
          <w:szCs w:val="22"/>
          <w:highlight w:val="none"/>
        </w:rPr>
      </w:pPr>
      <w:bookmarkStart w:id="673" w:name="_Toc351203568"/>
      <w:r>
        <w:rPr>
          <w:rFonts w:hint="eastAsia" w:ascii="宋体" w:hAnsi="宋体" w:cs="宋体"/>
          <w:color w:val="000000"/>
          <w:sz w:val="22"/>
          <w:szCs w:val="22"/>
          <w:highlight w:val="none"/>
        </w:rPr>
        <w:t>1</w:t>
      </w:r>
      <w:bookmarkStart w:id="674" w:name="_Toc296503084"/>
      <w:bookmarkStart w:id="675" w:name="_Toc296346585"/>
      <w:bookmarkStart w:id="676" w:name="_Toc337558788"/>
      <w:r>
        <w:rPr>
          <w:rFonts w:hint="eastAsia" w:ascii="宋体" w:hAnsi="宋体" w:cs="宋体"/>
          <w:color w:val="000000"/>
          <w:sz w:val="22"/>
          <w:szCs w:val="22"/>
          <w:highlight w:val="none"/>
        </w:rPr>
        <w:t>0.1变更的范围</w:t>
      </w:r>
      <w:bookmarkEnd w:id="673"/>
    </w:p>
    <w:bookmarkEnd w:id="674"/>
    <w:bookmarkEnd w:id="675"/>
    <w:bookmarkEnd w:id="676"/>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除专用合同条款另有约定外，合同履行过程中发生以下情形的，应按照本条约定进行变更：</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（1）增加或减少合同中任何工作，或追加额外的工作；</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（2）取消合同中任何工作，但转由他人实施的工作除外；</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（3）改变合同中任何工作的质量标准或其他特性；</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（4）改变工程的基线、标高、位置和尺寸；</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（5）改变工程的时间安排或实施顺序。</w:t>
      </w:r>
    </w:p>
    <w:p>
      <w:pPr>
        <w:spacing w:before="120" w:after="120" w:line="360" w:lineRule="auto"/>
        <w:ind w:firstLine="440" w:firstLineChars="200"/>
        <w:rPr>
          <w:rFonts w:ascii="宋体" w:hAnsi="宋体" w:cs="宋体"/>
          <w:color w:val="000000"/>
          <w:sz w:val="22"/>
          <w:szCs w:val="22"/>
          <w:highlight w:val="none"/>
        </w:rPr>
      </w:pPr>
      <w:bookmarkStart w:id="677" w:name="_Toc351203569"/>
      <w:r>
        <w:rPr>
          <w:rFonts w:hint="eastAsia" w:ascii="宋体" w:hAnsi="宋体" w:cs="宋体"/>
          <w:color w:val="000000"/>
          <w:sz w:val="22"/>
          <w:szCs w:val="22"/>
          <w:highlight w:val="none"/>
        </w:rPr>
        <w:t>1</w:t>
      </w:r>
      <w:bookmarkStart w:id="678" w:name="_Toc296346586"/>
      <w:bookmarkStart w:id="679" w:name="_Toc296503085"/>
      <w:bookmarkStart w:id="680" w:name="_Toc337558789"/>
      <w:r>
        <w:rPr>
          <w:rFonts w:hint="eastAsia" w:ascii="宋体" w:hAnsi="宋体" w:cs="宋体"/>
          <w:color w:val="000000"/>
          <w:sz w:val="22"/>
          <w:szCs w:val="22"/>
          <w:highlight w:val="none"/>
        </w:rPr>
        <w:t>0.2变更权</w:t>
      </w:r>
      <w:bookmarkEnd w:id="677"/>
    </w:p>
    <w:bookmarkEnd w:id="678"/>
    <w:bookmarkEnd w:id="679"/>
    <w:bookmarkEnd w:id="680"/>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涉及设计变更的，应由设计人提供变更后的图纸和说明。如变更超过原设计标准或批准的建设规模时，发包人应及时办理规划、设计变更等审批手续。</w:t>
      </w:r>
    </w:p>
    <w:p>
      <w:pPr>
        <w:spacing w:before="120" w:after="120" w:line="360" w:lineRule="auto"/>
        <w:ind w:firstLine="440" w:firstLineChars="200"/>
        <w:rPr>
          <w:rFonts w:ascii="宋体" w:hAnsi="宋体" w:cs="宋体"/>
          <w:color w:val="000000"/>
          <w:sz w:val="22"/>
          <w:szCs w:val="22"/>
          <w:highlight w:val="none"/>
        </w:rPr>
      </w:pPr>
      <w:bookmarkStart w:id="681" w:name="_Toc351203570"/>
      <w:r>
        <w:rPr>
          <w:rFonts w:hint="eastAsia" w:ascii="宋体" w:hAnsi="宋体" w:cs="宋体"/>
          <w:color w:val="000000"/>
          <w:sz w:val="22"/>
          <w:szCs w:val="22"/>
          <w:highlight w:val="none"/>
        </w:rPr>
        <w:t>1</w:t>
      </w:r>
      <w:bookmarkStart w:id="682" w:name="_Toc296346587"/>
      <w:bookmarkStart w:id="683" w:name="_Toc337558790"/>
      <w:bookmarkStart w:id="684" w:name="_Toc296503086"/>
      <w:r>
        <w:rPr>
          <w:rFonts w:hint="eastAsia" w:ascii="宋体" w:hAnsi="宋体" w:cs="宋体"/>
          <w:color w:val="000000"/>
          <w:sz w:val="22"/>
          <w:szCs w:val="22"/>
          <w:highlight w:val="none"/>
        </w:rPr>
        <w:t>0.3变更程序</w:t>
      </w:r>
      <w:bookmarkEnd w:id="681"/>
    </w:p>
    <w:bookmarkEnd w:id="682"/>
    <w:bookmarkEnd w:id="683"/>
    <w:bookmarkEnd w:id="684"/>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10.3.1 发包人提出变更</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发包人提出变更的，应通过监理人向承包人发出变更指示，变更指示应说明计划变更的工程范围和变更的内容。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10.3.2 监理人提出变更建议</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10.3.3 变更执行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before="120" w:after="120" w:line="360" w:lineRule="auto"/>
        <w:ind w:firstLine="440" w:firstLineChars="200"/>
        <w:rPr>
          <w:rFonts w:ascii="宋体" w:hAnsi="宋体" w:cs="宋体"/>
          <w:color w:val="000000"/>
          <w:sz w:val="22"/>
          <w:szCs w:val="22"/>
          <w:highlight w:val="none"/>
        </w:rPr>
      </w:pPr>
      <w:bookmarkStart w:id="685" w:name="_Toc351203571"/>
      <w:r>
        <w:rPr>
          <w:rFonts w:hint="eastAsia" w:ascii="宋体" w:hAnsi="宋体" w:cs="宋体"/>
          <w:color w:val="000000"/>
          <w:sz w:val="22"/>
          <w:szCs w:val="22"/>
          <w:highlight w:val="none"/>
        </w:rPr>
        <w:t>1</w:t>
      </w:r>
      <w:bookmarkStart w:id="686" w:name="_Toc337558791"/>
      <w:bookmarkStart w:id="687" w:name="_Toc296503087"/>
      <w:bookmarkStart w:id="688" w:name="_Toc296346588"/>
      <w:r>
        <w:rPr>
          <w:rFonts w:hint="eastAsia" w:ascii="宋体" w:hAnsi="宋体" w:cs="宋体"/>
          <w:color w:val="000000"/>
          <w:sz w:val="22"/>
          <w:szCs w:val="22"/>
          <w:highlight w:val="none"/>
        </w:rPr>
        <w:t>0.4变更估价</w:t>
      </w:r>
      <w:bookmarkEnd w:id="685"/>
    </w:p>
    <w:bookmarkEnd w:id="686"/>
    <w:bookmarkEnd w:id="687"/>
    <w:bookmarkEnd w:id="688"/>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10.4.1 变更估价原则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除专用合同条款另有约定外，变更估价按照本款约定处理：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（1）已标价工程量清单或预算书有相同项目的，按照相同项目单价认定；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（2）已标价工程量清单或预算书中无相同项目，但有类似项目的，参照类似项目的单价认定；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10.4.2 变更估价程序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因变更引起的价格调整应计入最近一期的进度款中支付。</w:t>
      </w:r>
    </w:p>
    <w:p>
      <w:pPr>
        <w:spacing w:before="120" w:after="120" w:line="360" w:lineRule="auto"/>
        <w:ind w:firstLine="440" w:firstLineChars="200"/>
        <w:rPr>
          <w:rFonts w:ascii="宋体" w:hAnsi="宋体" w:cs="宋体"/>
          <w:color w:val="000000"/>
          <w:sz w:val="22"/>
          <w:szCs w:val="22"/>
          <w:highlight w:val="none"/>
        </w:rPr>
      </w:pPr>
      <w:bookmarkStart w:id="689" w:name="_Toc351203572"/>
      <w:r>
        <w:rPr>
          <w:rFonts w:hint="eastAsia" w:ascii="宋体" w:hAnsi="宋体" w:cs="宋体"/>
          <w:color w:val="000000"/>
          <w:sz w:val="22"/>
          <w:szCs w:val="22"/>
          <w:highlight w:val="none"/>
        </w:rPr>
        <w:t>1</w:t>
      </w:r>
      <w:bookmarkStart w:id="690" w:name="_Toc296503094"/>
      <w:bookmarkStart w:id="691" w:name="_Toc296346595"/>
      <w:bookmarkStart w:id="692" w:name="_Toc337558792"/>
      <w:r>
        <w:rPr>
          <w:rFonts w:hint="eastAsia" w:ascii="宋体" w:hAnsi="宋体" w:cs="宋体"/>
          <w:color w:val="000000"/>
          <w:sz w:val="22"/>
          <w:szCs w:val="22"/>
          <w:highlight w:val="none"/>
        </w:rPr>
        <w:t>0.5承包人的合理化建议</w:t>
      </w:r>
      <w:bookmarkEnd w:id="689"/>
    </w:p>
    <w:bookmarkEnd w:id="690"/>
    <w:bookmarkEnd w:id="691"/>
    <w:bookmarkEnd w:id="692"/>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合理化建议降低了合同价格或者提高了工程经济效益的，发包人可对承包人给予奖励，奖励的方法和金额在专用合同条款中约定。</w:t>
      </w:r>
    </w:p>
    <w:p>
      <w:pPr>
        <w:spacing w:before="120" w:after="120" w:line="360" w:lineRule="auto"/>
        <w:ind w:firstLine="440" w:firstLineChars="200"/>
        <w:rPr>
          <w:rFonts w:ascii="宋体" w:hAnsi="宋体" w:cs="宋体"/>
          <w:color w:val="000000"/>
          <w:sz w:val="22"/>
          <w:szCs w:val="22"/>
          <w:highlight w:val="none"/>
        </w:rPr>
      </w:pPr>
      <w:bookmarkStart w:id="693" w:name="_Toc351203573"/>
      <w:r>
        <w:rPr>
          <w:rFonts w:hint="eastAsia" w:ascii="宋体" w:hAnsi="宋体" w:cs="宋体"/>
          <w:color w:val="000000"/>
          <w:sz w:val="22"/>
          <w:szCs w:val="22"/>
          <w:highlight w:val="none"/>
        </w:rPr>
        <w:t>1</w:t>
      </w:r>
      <w:bookmarkStart w:id="694" w:name="_Toc337558793"/>
      <w:r>
        <w:rPr>
          <w:rFonts w:hint="eastAsia" w:ascii="宋体" w:hAnsi="宋体" w:cs="宋体"/>
          <w:color w:val="000000"/>
          <w:sz w:val="22"/>
          <w:szCs w:val="22"/>
          <w:highlight w:val="none"/>
        </w:rPr>
        <w:t>0.6变更引起的工期调整</w:t>
      </w:r>
      <w:bookmarkEnd w:id="693"/>
      <w:r>
        <w:rPr>
          <w:rFonts w:hint="eastAsia" w:ascii="宋体" w:hAnsi="宋体" w:cs="宋体"/>
          <w:color w:val="000000"/>
          <w:sz w:val="22"/>
          <w:szCs w:val="22"/>
          <w:highlight w:val="none"/>
        </w:rPr>
        <w:t xml:space="preserve"> </w:t>
      </w:r>
      <w:bookmarkEnd w:id="694"/>
      <w:r>
        <w:rPr>
          <w:rFonts w:hint="eastAsia" w:ascii="宋体" w:hAnsi="宋体" w:cs="宋体"/>
          <w:color w:val="000000"/>
          <w:sz w:val="22"/>
          <w:szCs w:val="22"/>
          <w:highlight w:val="none"/>
        </w:rPr>
        <w:t xml:space="preserve">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因变更引起工期变化的，合同当事人均可要求调整合同工期，由合同当事人按照第4.4款〔商定或确定〕并参考工程所在地的工期定额标准确定增减工期天数。</w:t>
      </w:r>
    </w:p>
    <w:p>
      <w:pPr>
        <w:spacing w:before="120" w:after="120" w:line="360" w:lineRule="auto"/>
        <w:ind w:firstLine="440" w:firstLineChars="200"/>
        <w:rPr>
          <w:rFonts w:ascii="宋体" w:hAnsi="宋体" w:cs="宋体"/>
          <w:color w:val="000000"/>
          <w:sz w:val="22"/>
          <w:szCs w:val="22"/>
          <w:highlight w:val="none"/>
        </w:rPr>
      </w:pPr>
      <w:bookmarkStart w:id="695" w:name="_Toc351203574"/>
      <w:r>
        <w:rPr>
          <w:rFonts w:hint="eastAsia" w:ascii="宋体" w:hAnsi="宋体" w:cs="宋体"/>
          <w:color w:val="000000"/>
          <w:sz w:val="22"/>
          <w:szCs w:val="22"/>
          <w:highlight w:val="none"/>
        </w:rPr>
        <w:t>10.7暂估价</w:t>
      </w:r>
      <w:bookmarkEnd w:id="695"/>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暂估价专业分包工程、服务、材料和工程设备的明细由合同当事人在专用合同条款中约定。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10.7.1 依法必须招标的暂估价项目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对于依法必须招标的暂估价项目，采取以下第1种方式确定。合同当事人也可以在专用合同条款中选择其他招标方式。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第1种方式：对于依法必须招标的暂估价项目，由承包人招标，对该暂估价项目的确认和批准按照以下约定执行：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40" w:firstLineChars="200"/>
        <w:rPr>
          <w:rFonts w:ascii="宋体" w:hAnsi="宋体" w:cs="宋体"/>
          <w:sz w:val="22"/>
          <w:szCs w:val="22"/>
          <w:highlight w:val="none"/>
        </w:rPr>
      </w:pPr>
      <w:r>
        <w:rPr>
          <w:rFonts w:hint="eastAsia" w:ascii="宋体" w:hAnsi="宋体" w:cs="宋体"/>
          <w:color w:val="000000"/>
          <w:sz w:val="22"/>
          <w:szCs w:val="22"/>
          <w:highlight w:val="none"/>
        </w:rPr>
        <w:t>（2）承包人应当根据施工进度计划，提前14天将招标文件通过监理人报送发包人审批，</w:t>
      </w:r>
      <w:r>
        <w:rPr>
          <w:rFonts w:hint="eastAsia" w:ascii="宋体" w:hAnsi="宋体" w:cs="宋体"/>
          <w:sz w:val="22"/>
          <w:szCs w:val="22"/>
          <w:highlight w:val="none"/>
        </w:rPr>
        <w:t>发包人应当在收到承包人报送的相关文件后7天内完成审批或提出修改意见；发包人有权确定招标控制价并按照法律规定参加评标；</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（3）承包人与供应商、分包人在签订暂估价合同前，应当提前7天将确定的中标候选供应商或中标候选分包人的资料报送发包人，发包人应在收到资料后3天内与承包人共同确定</w:t>
      </w:r>
      <w:r>
        <w:rPr>
          <w:rFonts w:hint="eastAsia" w:ascii="宋体" w:hAnsi="宋体" w:cs="宋体"/>
          <w:color w:val="000000"/>
          <w:sz w:val="22"/>
          <w:szCs w:val="22"/>
          <w:highlight w:val="none"/>
          <w:lang w:eastAsia="zh-CN"/>
        </w:rPr>
        <w:t>中标供应商</w:t>
      </w:r>
      <w:r>
        <w:rPr>
          <w:rFonts w:hint="eastAsia" w:ascii="宋体" w:hAnsi="宋体" w:cs="宋体"/>
          <w:color w:val="000000"/>
          <w:sz w:val="22"/>
          <w:szCs w:val="22"/>
          <w:highlight w:val="none"/>
        </w:rPr>
        <w:t>；承包人应当在签订合同后7天内，将暂估价合同副本报送发包人留存。</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w:t>
      </w:r>
      <w:r>
        <w:rPr>
          <w:rFonts w:hint="eastAsia" w:ascii="宋体" w:hAnsi="宋体" w:cs="宋体"/>
          <w:color w:val="000000"/>
          <w:sz w:val="22"/>
          <w:szCs w:val="22"/>
          <w:highlight w:val="none"/>
          <w:lang w:eastAsia="zh-CN"/>
        </w:rPr>
        <w:t>中标供应商</w:t>
      </w:r>
      <w:r>
        <w:rPr>
          <w:rFonts w:hint="eastAsia" w:ascii="宋体" w:hAnsi="宋体" w:cs="宋体"/>
          <w:color w:val="000000"/>
          <w:sz w:val="22"/>
          <w:szCs w:val="22"/>
          <w:highlight w:val="none"/>
        </w:rPr>
        <w:t>后，由发包人、承包人与</w:t>
      </w:r>
      <w:r>
        <w:rPr>
          <w:rFonts w:hint="eastAsia" w:ascii="宋体" w:hAnsi="宋体" w:cs="宋体"/>
          <w:color w:val="000000"/>
          <w:sz w:val="22"/>
          <w:szCs w:val="22"/>
          <w:highlight w:val="none"/>
          <w:lang w:eastAsia="zh-CN"/>
        </w:rPr>
        <w:t>中标供应商</w:t>
      </w:r>
      <w:r>
        <w:rPr>
          <w:rFonts w:hint="eastAsia" w:ascii="宋体" w:hAnsi="宋体" w:cs="宋体"/>
          <w:color w:val="000000"/>
          <w:sz w:val="22"/>
          <w:szCs w:val="22"/>
          <w:highlight w:val="none"/>
        </w:rPr>
        <w:t>共同签订暂估价合同。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10.7.2不属于依法必须招标的暂估价项目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除专用合同条款另有约定外，对于不属于依法必须招标的暂估价项目，采取以下第1种方式确定： </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第1种方式：对于不属于依法必须招标的暂估价项目，按本项约定确认和批准：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（2）发包人认为承包人确定的供应商、分包人无法满足工程质量或合同要求的，发包人可以要求承包人重新确定暂估价项目的供应商、分包人;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（3）承包人应当在签订暂估价合同后7天内，将暂估价合同副本报送发包人留存。</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第2种方式：承包人按照第10.7.1项〔依法必须招标的暂估价项目〕约定的第1种方式确定暂估价项目。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第3种方式：承包人直接实施的暂估价项目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before="120" w:after="120" w:line="360" w:lineRule="auto"/>
        <w:ind w:firstLine="440" w:firstLineChars="200"/>
        <w:rPr>
          <w:rFonts w:ascii="宋体" w:hAnsi="宋体" w:cs="宋体"/>
          <w:color w:val="000000"/>
          <w:sz w:val="22"/>
          <w:szCs w:val="22"/>
          <w:highlight w:val="none"/>
        </w:rPr>
      </w:pPr>
      <w:bookmarkStart w:id="696" w:name="_Toc351203575"/>
      <w:r>
        <w:rPr>
          <w:rFonts w:hint="eastAsia" w:ascii="宋体" w:hAnsi="宋体" w:cs="宋体"/>
          <w:color w:val="000000"/>
          <w:sz w:val="22"/>
          <w:szCs w:val="22"/>
          <w:highlight w:val="none"/>
        </w:rPr>
        <w:t>1</w:t>
      </w:r>
      <w:bookmarkStart w:id="697" w:name="_Toc337558794"/>
      <w:bookmarkStart w:id="698" w:name="_Toc322522561"/>
      <w:bookmarkStart w:id="699" w:name="_Toc296346591"/>
      <w:bookmarkStart w:id="700" w:name="_Toc296503090"/>
      <w:r>
        <w:rPr>
          <w:rFonts w:hint="eastAsia" w:ascii="宋体" w:hAnsi="宋体" w:cs="宋体"/>
          <w:color w:val="000000"/>
          <w:sz w:val="22"/>
          <w:szCs w:val="22"/>
          <w:highlight w:val="none"/>
        </w:rPr>
        <w:t>0.8暂列</w:t>
      </w:r>
      <w:bookmarkEnd w:id="696"/>
      <w:r>
        <w:rPr>
          <w:rFonts w:hint="eastAsia" w:ascii="宋体" w:hAnsi="宋体" w:cs="宋体"/>
          <w:color w:val="000000"/>
          <w:sz w:val="22"/>
          <w:szCs w:val="22"/>
          <w:highlight w:val="none"/>
        </w:rPr>
        <w:t>金额</w:t>
      </w:r>
    </w:p>
    <w:bookmarkEnd w:id="69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暂列</w:t>
      </w:r>
      <w:r>
        <w:rPr>
          <w:rFonts w:hint="eastAsia" w:ascii="宋体" w:hAnsi="宋体" w:cs="宋体"/>
          <w:bCs/>
          <w:color w:val="000000"/>
          <w:kern w:val="2"/>
          <w:sz w:val="22"/>
          <w:szCs w:val="22"/>
          <w:highlight w:val="none"/>
        </w:rPr>
        <w:t>金额</w:t>
      </w:r>
      <w:r>
        <w:rPr>
          <w:rFonts w:hint="eastAsia" w:ascii="宋体" w:hAnsi="宋体" w:cs="宋体"/>
          <w:color w:val="000000"/>
          <w:sz w:val="22"/>
          <w:szCs w:val="22"/>
          <w:highlight w:val="none"/>
        </w:rPr>
        <w:t>应按照发包人的要求使用，发包人的要求应通过监理人发出。合同当事人可以在专用合同条款中协商确定有关事项。</w:t>
      </w:r>
    </w:p>
    <w:bookmarkEnd w:id="698"/>
    <w:bookmarkEnd w:id="699"/>
    <w:bookmarkEnd w:id="700"/>
    <w:p>
      <w:pPr>
        <w:spacing w:before="120" w:after="120" w:line="360" w:lineRule="auto"/>
        <w:ind w:firstLine="440" w:firstLineChars="200"/>
        <w:rPr>
          <w:rFonts w:ascii="宋体" w:hAnsi="宋体" w:cs="宋体"/>
          <w:color w:val="000000"/>
          <w:sz w:val="22"/>
          <w:szCs w:val="22"/>
          <w:highlight w:val="none"/>
        </w:rPr>
      </w:pPr>
      <w:bookmarkStart w:id="701" w:name="_Toc351203576"/>
      <w:r>
        <w:rPr>
          <w:rFonts w:hint="eastAsia" w:ascii="宋体" w:hAnsi="宋体" w:cs="宋体"/>
          <w:color w:val="000000"/>
          <w:sz w:val="22"/>
          <w:szCs w:val="22"/>
          <w:highlight w:val="none"/>
        </w:rPr>
        <w:t>1</w:t>
      </w:r>
      <w:bookmarkStart w:id="702" w:name="_Toc296346592"/>
      <w:bookmarkStart w:id="703" w:name="_Toc296503091"/>
      <w:bookmarkStart w:id="704" w:name="_Toc337558796"/>
      <w:r>
        <w:rPr>
          <w:rFonts w:hint="eastAsia" w:ascii="宋体" w:hAnsi="宋体" w:cs="宋体"/>
          <w:color w:val="000000"/>
          <w:sz w:val="22"/>
          <w:szCs w:val="22"/>
          <w:highlight w:val="none"/>
        </w:rPr>
        <w:t>0.9计日工</w:t>
      </w:r>
      <w:bookmarkEnd w:id="701"/>
      <w:r>
        <w:rPr>
          <w:rFonts w:hint="eastAsia" w:ascii="宋体" w:hAnsi="宋体" w:cs="宋体"/>
          <w:color w:val="000000"/>
          <w:sz w:val="22"/>
          <w:szCs w:val="22"/>
          <w:highlight w:val="none"/>
        </w:rPr>
        <w:t xml:space="preserve"> </w:t>
      </w:r>
      <w:bookmarkEnd w:id="702"/>
      <w:bookmarkEnd w:id="703"/>
      <w:bookmarkEnd w:id="704"/>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采用计日工计价的任何一项工作，承包人应在该项工作实施过程中，每天提交以下报表和有关凭证报送监理人审查：</w:t>
      </w:r>
    </w:p>
    <w:p>
      <w:pPr>
        <w:spacing w:line="360" w:lineRule="auto"/>
        <w:ind w:firstLine="330" w:firstLineChars="150"/>
        <w:rPr>
          <w:rFonts w:ascii="宋体" w:hAnsi="宋体" w:cs="宋体"/>
          <w:color w:val="000000"/>
          <w:sz w:val="22"/>
          <w:szCs w:val="22"/>
          <w:highlight w:val="none"/>
        </w:rPr>
      </w:pPr>
      <w:r>
        <w:rPr>
          <w:rFonts w:hint="eastAsia" w:ascii="宋体" w:hAnsi="宋体" w:cs="宋体"/>
          <w:color w:val="000000"/>
          <w:sz w:val="22"/>
          <w:szCs w:val="22"/>
          <w:highlight w:val="none"/>
        </w:rPr>
        <w:t>（1）工作名称、内容和数量；</w:t>
      </w:r>
    </w:p>
    <w:p>
      <w:pPr>
        <w:spacing w:line="360" w:lineRule="auto"/>
        <w:ind w:firstLine="330" w:firstLineChars="150"/>
        <w:rPr>
          <w:rFonts w:ascii="宋体" w:hAnsi="宋体" w:cs="宋体"/>
          <w:color w:val="000000"/>
          <w:sz w:val="22"/>
          <w:szCs w:val="22"/>
          <w:highlight w:val="none"/>
        </w:rPr>
      </w:pPr>
      <w:r>
        <w:rPr>
          <w:rFonts w:hint="eastAsia" w:ascii="宋体" w:hAnsi="宋体" w:cs="宋体"/>
          <w:color w:val="000000"/>
          <w:sz w:val="22"/>
          <w:szCs w:val="22"/>
          <w:highlight w:val="none"/>
        </w:rPr>
        <w:t>（2）投入该工作的所有人员的姓名、专业、工种、级别和耗用工时；</w:t>
      </w:r>
    </w:p>
    <w:p>
      <w:pPr>
        <w:spacing w:line="360" w:lineRule="auto"/>
        <w:ind w:firstLine="330" w:firstLineChars="150"/>
        <w:rPr>
          <w:rFonts w:ascii="宋体" w:hAnsi="宋体" w:cs="宋体"/>
          <w:color w:val="000000"/>
          <w:sz w:val="22"/>
          <w:szCs w:val="22"/>
          <w:highlight w:val="none"/>
        </w:rPr>
      </w:pPr>
      <w:r>
        <w:rPr>
          <w:rFonts w:hint="eastAsia" w:ascii="宋体" w:hAnsi="宋体" w:cs="宋体"/>
          <w:color w:val="000000"/>
          <w:sz w:val="22"/>
          <w:szCs w:val="22"/>
          <w:highlight w:val="none"/>
        </w:rPr>
        <w:t>（3）投入该工作的材料类别和数量；</w:t>
      </w:r>
    </w:p>
    <w:p>
      <w:pPr>
        <w:spacing w:line="360" w:lineRule="auto"/>
        <w:ind w:firstLine="330" w:firstLineChars="150"/>
        <w:rPr>
          <w:rFonts w:ascii="宋体" w:hAnsi="宋体" w:cs="宋体"/>
          <w:color w:val="000000"/>
          <w:sz w:val="22"/>
          <w:szCs w:val="22"/>
          <w:highlight w:val="none"/>
        </w:rPr>
      </w:pPr>
      <w:r>
        <w:rPr>
          <w:rFonts w:hint="eastAsia" w:ascii="宋体" w:hAnsi="宋体" w:cs="宋体"/>
          <w:color w:val="000000"/>
          <w:sz w:val="22"/>
          <w:szCs w:val="22"/>
          <w:highlight w:val="none"/>
        </w:rPr>
        <w:t>（4）投入该工作的施工设备型号、台数和耗用台时；</w:t>
      </w:r>
    </w:p>
    <w:p>
      <w:pPr>
        <w:spacing w:line="360" w:lineRule="auto"/>
        <w:ind w:firstLine="330" w:firstLineChars="150"/>
        <w:rPr>
          <w:rFonts w:ascii="宋体" w:hAnsi="宋体" w:cs="宋体"/>
          <w:color w:val="000000"/>
          <w:sz w:val="22"/>
          <w:szCs w:val="22"/>
          <w:highlight w:val="none"/>
        </w:rPr>
      </w:pPr>
      <w:r>
        <w:rPr>
          <w:rFonts w:hint="eastAsia" w:ascii="宋体" w:hAnsi="宋体" w:cs="宋体"/>
          <w:color w:val="000000"/>
          <w:sz w:val="22"/>
          <w:szCs w:val="22"/>
          <w:highlight w:val="none"/>
        </w:rPr>
        <w:t>（5）其他有关资料和凭证。</w:t>
      </w:r>
    </w:p>
    <w:p>
      <w:pPr>
        <w:spacing w:line="360" w:lineRule="auto"/>
        <w:ind w:firstLine="330" w:firstLineChars="150"/>
        <w:rPr>
          <w:rFonts w:ascii="宋体" w:hAnsi="宋体" w:cs="宋体"/>
          <w:color w:val="000000"/>
          <w:sz w:val="22"/>
          <w:szCs w:val="22"/>
          <w:highlight w:val="none"/>
        </w:rPr>
      </w:pPr>
      <w:r>
        <w:rPr>
          <w:rFonts w:hint="eastAsia" w:ascii="宋体" w:hAnsi="宋体" w:cs="宋体"/>
          <w:color w:val="000000"/>
          <w:sz w:val="22"/>
          <w:szCs w:val="22"/>
          <w:highlight w:val="none"/>
        </w:rPr>
        <w:t xml:space="preserve"> 计日工由承包人汇总后，列入最近一期进度付款申请单，由监理人审查并经发包人批准后列入进度付款。</w:t>
      </w:r>
    </w:p>
    <w:p>
      <w:pPr>
        <w:spacing w:before="120" w:after="120" w:line="360" w:lineRule="auto"/>
        <w:rPr>
          <w:rFonts w:ascii="宋体" w:hAnsi="宋体" w:cs="宋体"/>
          <w:color w:val="000000"/>
          <w:sz w:val="22"/>
          <w:szCs w:val="22"/>
          <w:highlight w:val="none"/>
        </w:rPr>
      </w:pPr>
      <w:bookmarkStart w:id="705" w:name="_Toc351203577"/>
      <w:r>
        <w:rPr>
          <w:rFonts w:hint="eastAsia" w:ascii="宋体" w:hAnsi="宋体" w:cs="宋体"/>
          <w:color w:val="000000"/>
          <w:sz w:val="22"/>
          <w:szCs w:val="22"/>
          <w:highlight w:val="none"/>
        </w:rPr>
        <w:t>11. 价格调整</w:t>
      </w:r>
      <w:bookmarkEnd w:id="705"/>
    </w:p>
    <w:p>
      <w:pPr>
        <w:spacing w:before="120" w:after="120" w:line="360" w:lineRule="auto"/>
        <w:ind w:firstLine="440" w:firstLineChars="200"/>
        <w:rPr>
          <w:rFonts w:ascii="宋体" w:hAnsi="宋体" w:cs="宋体"/>
          <w:color w:val="000000"/>
          <w:sz w:val="22"/>
          <w:szCs w:val="22"/>
          <w:highlight w:val="none"/>
        </w:rPr>
      </w:pPr>
      <w:bookmarkStart w:id="706" w:name="_Toc351203578"/>
      <w:bookmarkStart w:id="707" w:name="_Toc296346593"/>
      <w:bookmarkStart w:id="708" w:name="_Toc337558797"/>
      <w:bookmarkStart w:id="709" w:name="_Toc296503092"/>
      <w:r>
        <w:rPr>
          <w:rFonts w:hint="eastAsia" w:ascii="宋体" w:hAnsi="宋体" w:cs="宋体"/>
          <w:color w:val="000000"/>
          <w:sz w:val="22"/>
          <w:szCs w:val="22"/>
          <w:highlight w:val="none"/>
        </w:rPr>
        <w:t>11.1市场价格波动引起的调整</w:t>
      </w:r>
      <w:bookmarkEnd w:id="706"/>
    </w:p>
    <w:bookmarkEnd w:id="707"/>
    <w:bookmarkEnd w:id="708"/>
    <w:bookmarkEnd w:id="709"/>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第1种方式：采用价格指数进行价格调整。</w:t>
      </w:r>
    </w:p>
    <w:p>
      <w:pPr>
        <w:tabs>
          <w:tab w:val="left" w:pos="0"/>
          <w:tab w:val="left" w:pos="360"/>
          <w:tab w:val="left" w:pos="540"/>
        </w:tabs>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（1）价格调整公式</w:t>
      </w:r>
    </w:p>
    <w:p>
      <w:pPr>
        <w:tabs>
          <w:tab w:val="left" w:pos="0"/>
          <w:tab w:val="left" w:pos="360"/>
          <w:tab w:val="left" w:pos="540"/>
        </w:tabs>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rPr>
          <w:rFonts w:ascii="宋体" w:hAnsi="宋体" w:cs="宋体"/>
          <w:color w:val="000000"/>
          <w:sz w:val="21"/>
          <w:szCs w:val="21"/>
          <w:highlight w:val="none"/>
        </w:rPr>
      </w:pPr>
      <w:r>
        <w:rPr>
          <w:rFonts w:hint="eastAsia" w:ascii="宋体" w:hAnsi="宋体" w:cs="宋体"/>
          <w:color w:val="000000"/>
          <w:position w:val="-30"/>
          <w:sz w:val="21"/>
          <w:szCs w:val="21"/>
          <w:highlight w:val="none"/>
        </w:rPr>
        <w:object>
          <v:shape id="_x0000_i1025" o:spt="75" type="#_x0000_t75" style="height:44.3pt;width:360pt;" o:ole="t" filled="f" o:preferrelative="t" stroked="f" coordsize="21600,21600">
            <v:path/>
            <v:fill on="f" focussize="0,0"/>
            <v:stroke on="f" joinstyle="miter"/>
            <v:imagedata r:id="rId19" o:title=""/>
            <o:lock v:ext="edit" aspectratio="t"/>
            <w10:wrap type="none"/>
            <w10:anchorlock/>
          </v:shape>
          <o:OLEObject Type="Embed" ProgID="Equation.KSEE3" ShapeID="_x0000_i1025" DrawAspect="Content" ObjectID="_1468075725" r:id="rId18">
            <o:LockedField>false</o:LockedField>
          </o:OLEObject>
        </w:object>
      </w:r>
    </w:p>
    <w:p>
      <w:pPr>
        <w:tabs>
          <w:tab w:val="left" w:pos="0"/>
          <w:tab w:val="left" w:pos="360"/>
          <w:tab w:val="left" w:pos="540"/>
        </w:tabs>
        <w:spacing w:line="360" w:lineRule="auto"/>
        <w:ind w:firstLine="640"/>
        <w:rPr>
          <w:rFonts w:ascii="宋体" w:hAnsi="宋体" w:cs="宋体"/>
          <w:color w:val="000000"/>
          <w:sz w:val="21"/>
          <w:szCs w:val="21"/>
          <w:highlight w:val="none"/>
        </w:rPr>
      </w:pPr>
      <w:r>
        <w:rPr>
          <w:rFonts w:hint="eastAsia" w:ascii="宋体" w:hAnsi="宋体" w:cs="宋体"/>
          <w:color w:val="000000"/>
          <w:sz w:val="21"/>
          <w:szCs w:val="21"/>
          <w:highlight w:val="none"/>
        </w:rPr>
        <w:t>公式中：ΔP——需调整的价格差额；</w:t>
      </w:r>
    </w:p>
    <w:p>
      <w:pPr>
        <w:tabs>
          <w:tab w:val="left" w:pos="0"/>
          <w:tab w:val="left" w:pos="360"/>
          <w:tab w:val="left" w:pos="540"/>
        </w:tabs>
        <w:spacing w:line="360" w:lineRule="auto"/>
        <w:ind w:firstLine="1260" w:firstLineChars="600"/>
        <w:rPr>
          <w:rFonts w:ascii="宋体" w:hAnsi="宋体" w:cs="宋体"/>
          <w:color w:val="000000"/>
          <w:sz w:val="21"/>
          <w:szCs w:val="21"/>
          <w:highlight w:val="none"/>
        </w:rPr>
      </w:pPr>
      <w:r>
        <w:rPr>
          <w:rFonts w:hint="eastAsia" w:ascii="宋体" w:hAnsi="宋体" w:cs="宋体"/>
          <w:color w:val="000000"/>
          <w:position w:val="-6"/>
          <w:sz w:val="21"/>
          <w:szCs w:val="21"/>
          <w:highlight w:val="none"/>
        </w:rPr>
        <w:object>
          <v:shape id="_x0000_i1026" o:spt="75" type="#_x0000_t75" style="height:18pt;width:18pt;" o:ole="t" filled="f" o:preferrelative="t" stroked="f" coordsize="21600,21600">
            <v:path/>
            <v:fill on="f" focussize="0,0"/>
            <v:stroke on="f" joinstyle="miter"/>
            <v:imagedata r:id="rId21" o:title=""/>
            <o:lock v:ext="edit" aspectratio="t"/>
            <w10:wrap type="none"/>
            <w10:anchorlock/>
          </v:shape>
          <o:OLEObject Type="Embed" ProgID="Equation.KSEE3" ShapeID="_x0000_i1026" DrawAspect="Content" ObjectID="_1468075726" r:id="rId20">
            <o:LockedField>false</o:LockedField>
          </o:OLEObject>
        </w:object>
      </w:r>
      <w:r>
        <w:rPr>
          <w:rFonts w:hint="eastAsia" w:ascii="宋体" w:hAnsi="宋体" w:cs="宋体"/>
          <w:color w:val="000000"/>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A——定值权重（即不调部分的权重）；</w:t>
      </w:r>
    </w:p>
    <w:p>
      <w:pPr>
        <w:tabs>
          <w:tab w:val="left" w:pos="0"/>
          <w:tab w:val="left" w:pos="360"/>
          <w:tab w:val="left" w:pos="540"/>
        </w:tabs>
        <w:spacing w:line="360" w:lineRule="auto"/>
        <w:ind w:firstLine="420" w:firstLineChars="200"/>
        <w:rPr>
          <w:rFonts w:ascii="宋体" w:hAnsi="宋体" w:cs="宋体"/>
          <w:color w:val="000000"/>
          <w:sz w:val="21"/>
          <w:szCs w:val="21"/>
          <w:highlight w:val="none"/>
        </w:rPr>
      </w:pPr>
      <w:r>
        <w:rPr>
          <w:rFonts w:hint="eastAsia" w:ascii="宋体" w:hAnsi="宋体" w:cs="宋体"/>
          <w:color w:val="000000"/>
          <w:position w:val="-10"/>
          <w:sz w:val="21"/>
          <w:szCs w:val="21"/>
          <w:highlight w:val="none"/>
        </w:rPr>
        <w:object>
          <v:shape id="_x0000_i1027" o:spt="75" type="#_x0000_t75" style="height:21pt;width:101.25pt;" o:ole="t" filled="f" o:preferrelative="t" stroked="f" coordsize="21600,21600">
            <v:path/>
            <v:fill on="f" focussize="0,0"/>
            <v:stroke on="f" joinstyle="miter"/>
            <v:imagedata r:id="rId23" o:title=""/>
            <o:lock v:ext="edit" aspectratio="t"/>
            <w10:wrap type="none"/>
            <w10:anchorlock/>
          </v:shape>
          <o:OLEObject Type="Embed" ProgID="Equation.KSEE3" ShapeID="_x0000_i1027" DrawAspect="Content" ObjectID="_1468075727" r:id="rId22">
            <o:LockedField>false</o:LockedField>
          </o:OLEObject>
        </w:object>
      </w:r>
      <w:r>
        <w:rPr>
          <w:rFonts w:hint="eastAsia" w:ascii="宋体" w:hAnsi="宋体" w:cs="宋体"/>
          <w:color w:val="000000"/>
          <w:sz w:val="21"/>
          <w:szCs w:val="21"/>
          <w:highlight w:val="none"/>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rPr>
          <w:rFonts w:ascii="宋体" w:hAnsi="宋体" w:cs="宋体"/>
          <w:color w:val="000000"/>
          <w:sz w:val="21"/>
          <w:szCs w:val="21"/>
          <w:highlight w:val="none"/>
        </w:rPr>
      </w:pPr>
      <w:r>
        <w:rPr>
          <w:rFonts w:hint="eastAsia" w:ascii="宋体" w:hAnsi="宋体" w:cs="宋体"/>
          <w:color w:val="000000"/>
          <w:position w:val="-10"/>
          <w:sz w:val="21"/>
          <w:szCs w:val="21"/>
          <w:highlight w:val="none"/>
        </w:rPr>
        <w:object>
          <v:shape id="_x0000_i1028" o:spt="75" type="#_x0000_t75" style="height:20.25pt;width:102.05pt;" o:ole="t" filled="f" o:preferrelative="t" stroked="f" coordsize="21600,21600">
            <v:path/>
            <v:fill on="f" focussize="0,0"/>
            <v:stroke on="f" joinstyle="miter"/>
            <v:imagedata r:id="rId25" o:title=""/>
            <o:lock v:ext="edit" aspectratio="t"/>
            <w10:wrap type="none"/>
            <w10:anchorlock/>
          </v:shape>
          <o:OLEObject Type="Embed" ProgID="Equation.KSEE3" ShapeID="_x0000_i1028" DrawAspect="Content" ObjectID="_1468075728" r:id="rId24">
            <o:LockedField>false</o:LockedField>
          </o:OLEObject>
        </w:object>
      </w:r>
      <w:r>
        <w:rPr>
          <w:rFonts w:hint="eastAsia" w:ascii="宋体" w:hAnsi="宋体" w:cs="宋体"/>
          <w:color w:val="000000"/>
          <w:sz w:val="21"/>
          <w:szCs w:val="21"/>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rPr>
          <w:rFonts w:ascii="宋体" w:hAnsi="宋体" w:cs="宋体"/>
          <w:color w:val="000000"/>
          <w:sz w:val="21"/>
          <w:szCs w:val="21"/>
          <w:highlight w:val="none"/>
        </w:rPr>
      </w:pPr>
      <w:r>
        <w:rPr>
          <w:rFonts w:hint="eastAsia" w:ascii="宋体" w:hAnsi="宋体" w:cs="宋体"/>
          <w:color w:val="000000"/>
          <w:position w:val="-10"/>
          <w:sz w:val="21"/>
          <w:szCs w:val="21"/>
          <w:highlight w:val="none"/>
        </w:rPr>
        <w:object>
          <v:shape id="_x0000_i1029" o:spt="75" type="#_x0000_t75" style="height:20.25pt;width:108pt;" o:ole="t" filled="f" o:preferrelative="t" stroked="f" coordsize="21600,21600">
            <v:path/>
            <v:fill on="f" focussize="0,0"/>
            <v:stroke on="f" joinstyle="miter"/>
            <v:imagedata r:id="rId27" o:title=""/>
            <o:lock v:ext="edit" aspectratio="t"/>
            <w10:wrap type="none"/>
            <w10:anchorlock/>
          </v:shape>
          <o:OLEObject Type="Embed" ProgID="Equation.KSEE3" ShapeID="_x0000_i1029" DrawAspect="Content" ObjectID="_1468075729" r:id="rId26">
            <o:LockedField>false</o:LockedField>
          </o:OLEObject>
        </w:object>
      </w:r>
      <w:r>
        <w:rPr>
          <w:rFonts w:hint="eastAsia" w:ascii="宋体" w:hAnsi="宋体" w:cs="宋体"/>
          <w:color w:val="000000"/>
          <w:sz w:val="21"/>
          <w:szCs w:val="21"/>
          <w:highlight w:val="none"/>
        </w:rPr>
        <w:t>——各可调因子的基本价格指数，指基准日期的各可调因子的价格指数。</w:t>
      </w:r>
    </w:p>
    <w:p>
      <w:pPr>
        <w:tabs>
          <w:tab w:val="left" w:pos="0"/>
          <w:tab w:val="left" w:pos="360"/>
          <w:tab w:val="left" w:pos="540"/>
        </w:tabs>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（2）暂时确定调整差额</w:t>
      </w:r>
    </w:p>
    <w:p>
      <w:pPr>
        <w:tabs>
          <w:tab w:val="left" w:pos="0"/>
          <w:tab w:val="left" w:pos="360"/>
          <w:tab w:val="left" w:pos="540"/>
        </w:tabs>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（3）权重的调整</w:t>
      </w:r>
    </w:p>
    <w:p>
      <w:pPr>
        <w:tabs>
          <w:tab w:val="left" w:pos="0"/>
          <w:tab w:val="left" w:pos="360"/>
          <w:tab w:val="left" w:pos="540"/>
        </w:tabs>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因变更导致合同约定的权重不合理时，按照第4.4款〔商定或确定〕执行。</w:t>
      </w:r>
    </w:p>
    <w:p>
      <w:pPr>
        <w:tabs>
          <w:tab w:val="left" w:pos="0"/>
          <w:tab w:val="left" w:pos="360"/>
          <w:tab w:val="left" w:pos="540"/>
        </w:tabs>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（4）因承包人原因工期延误后的价格调整</w:t>
      </w:r>
    </w:p>
    <w:p>
      <w:pPr>
        <w:tabs>
          <w:tab w:val="left" w:pos="0"/>
          <w:tab w:val="left" w:pos="360"/>
          <w:tab w:val="left" w:pos="540"/>
        </w:tabs>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第2种方式：采用造价信息进行价格调整。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（2）材料、工程设备价格变化的价款调整按照发包人提供的基准价格，按以下风险范围规定执行: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40" w:firstLineChars="200"/>
        <w:rPr>
          <w:rFonts w:ascii="宋体" w:hAnsi="宋体" w:cs="宋体"/>
          <w:color w:val="000000"/>
          <w:sz w:val="22"/>
          <w:szCs w:val="22"/>
          <w:highlight w:val="none"/>
        </w:rPr>
      </w:pPr>
      <w:bookmarkStart w:id="710" w:name="OLE_LINK3"/>
      <w:r>
        <w:rPr>
          <w:rFonts w:hint="eastAsia" w:ascii="宋体" w:hAnsi="宋体" w:cs="宋体"/>
          <w:color w:val="000000"/>
          <w:sz w:val="22"/>
          <w:szCs w:val="22"/>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（3）施工机械台班单价或施工机械使用费发生变化超过省级或行业建设主管部门或其授权的工程造价管理机构规定的范围时，按规定调整合同价格。</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第3种方式：专用合同条款约定的其他方式。</w:t>
      </w:r>
    </w:p>
    <w:p>
      <w:pPr>
        <w:spacing w:before="120" w:after="120" w:line="360" w:lineRule="auto"/>
        <w:ind w:firstLine="440" w:firstLineChars="200"/>
        <w:rPr>
          <w:rFonts w:ascii="宋体" w:hAnsi="宋体" w:cs="宋体"/>
          <w:color w:val="000000"/>
          <w:sz w:val="22"/>
          <w:szCs w:val="22"/>
          <w:highlight w:val="none"/>
        </w:rPr>
      </w:pPr>
      <w:bookmarkStart w:id="711" w:name="_Toc351203579"/>
      <w:bookmarkStart w:id="712" w:name="_Toc296346594"/>
      <w:bookmarkStart w:id="713" w:name="_Toc337558798"/>
      <w:bookmarkStart w:id="714" w:name="_Toc296503093"/>
      <w:r>
        <w:rPr>
          <w:rFonts w:hint="eastAsia" w:ascii="宋体" w:hAnsi="宋体" w:cs="宋体"/>
          <w:color w:val="000000"/>
          <w:sz w:val="22"/>
          <w:szCs w:val="22"/>
          <w:highlight w:val="none"/>
        </w:rPr>
        <w:t>11.2法律变化引起的调整</w:t>
      </w:r>
      <w:bookmarkEnd w:id="711"/>
    </w:p>
    <w:bookmarkEnd w:id="712"/>
    <w:bookmarkEnd w:id="713"/>
    <w:bookmarkEnd w:id="714"/>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因法律变化引起的合同价格和工期调整，合同当事人无法达成一致的，由总监理工程师按第4.4款〔商定或确定〕的约定处理。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因承包人原因造成工期延误，在工期延误期间出现法律变化的，由此增加的费用和（或）延误的工期由承包人承担。</w:t>
      </w:r>
    </w:p>
    <w:p>
      <w:pPr>
        <w:spacing w:before="120" w:after="120" w:line="360" w:lineRule="auto"/>
        <w:rPr>
          <w:rFonts w:ascii="宋体" w:hAnsi="宋体" w:cs="宋体"/>
          <w:color w:val="000000"/>
          <w:sz w:val="22"/>
          <w:szCs w:val="22"/>
          <w:highlight w:val="none"/>
        </w:rPr>
      </w:pPr>
      <w:bookmarkStart w:id="715" w:name="_Toc351203580"/>
      <w:bookmarkStart w:id="716" w:name="_Toc337558799"/>
      <w:bookmarkStart w:id="717" w:name="_Toc296503096"/>
      <w:bookmarkStart w:id="718" w:name="_Toc296346597"/>
      <w:r>
        <w:rPr>
          <w:rFonts w:hint="eastAsia" w:ascii="宋体" w:hAnsi="宋体" w:cs="宋体"/>
          <w:color w:val="000000"/>
          <w:sz w:val="22"/>
          <w:szCs w:val="22"/>
          <w:highlight w:val="none"/>
        </w:rPr>
        <w:t>12. 合同价格、计量与支付</w:t>
      </w:r>
      <w:bookmarkEnd w:id="715"/>
    </w:p>
    <w:bookmarkEnd w:id="716"/>
    <w:p>
      <w:pPr>
        <w:spacing w:before="120" w:after="120" w:line="360" w:lineRule="auto"/>
        <w:ind w:firstLine="440" w:firstLineChars="200"/>
        <w:rPr>
          <w:rFonts w:ascii="宋体" w:hAnsi="宋体" w:cs="宋体"/>
          <w:color w:val="000000"/>
          <w:sz w:val="22"/>
          <w:szCs w:val="22"/>
          <w:highlight w:val="none"/>
        </w:rPr>
      </w:pPr>
      <w:bookmarkStart w:id="719" w:name="_Toc351203581"/>
      <w:bookmarkStart w:id="720" w:name="_Toc337558800"/>
      <w:r>
        <w:rPr>
          <w:rFonts w:hint="eastAsia" w:ascii="宋体" w:hAnsi="宋体" w:cs="宋体"/>
          <w:color w:val="000000"/>
          <w:sz w:val="22"/>
          <w:szCs w:val="22"/>
          <w:highlight w:val="none"/>
        </w:rPr>
        <w:t>12.1 合同价</w:t>
      </w:r>
      <w:bookmarkEnd w:id="717"/>
      <w:bookmarkEnd w:id="718"/>
      <w:r>
        <w:rPr>
          <w:rFonts w:hint="eastAsia" w:ascii="宋体" w:hAnsi="宋体" w:cs="宋体"/>
          <w:color w:val="000000"/>
          <w:sz w:val="22"/>
          <w:szCs w:val="22"/>
          <w:highlight w:val="none"/>
        </w:rPr>
        <w:t>格形式</w:t>
      </w:r>
      <w:bookmarkEnd w:id="719"/>
    </w:p>
    <w:bookmarkEnd w:id="720"/>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发包人和承包人应在合同协议书中选择下列一种合同价格形式：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1.单价合同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单价合同是指合同当事人约定以工程量清单及其综合单价进行合同价格计算、调整和确认的建设工程施工合同，</w:t>
      </w:r>
      <w:r>
        <w:rPr>
          <w:rFonts w:hint="eastAsia" w:ascii="宋体" w:hAnsi="宋体" w:cs="宋体"/>
          <w:sz w:val="22"/>
          <w:szCs w:val="22"/>
          <w:highlight w:val="none"/>
        </w:rPr>
        <w:t>在约定的范围内合同单价不作调整</w:t>
      </w:r>
      <w:r>
        <w:rPr>
          <w:rFonts w:hint="eastAsia" w:ascii="宋体" w:hAnsi="宋体" w:cs="宋体"/>
          <w:color w:val="000000"/>
          <w:sz w:val="22"/>
          <w:szCs w:val="22"/>
          <w:highlight w:val="none"/>
        </w:rPr>
        <w:t>。合同当事人应在专用合同条款中约定综合单价包含的风险范围和风险费用的计算方法</w:t>
      </w:r>
      <w:r>
        <w:rPr>
          <w:rFonts w:hint="eastAsia" w:ascii="宋体" w:hAnsi="宋体" w:cs="宋体"/>
          <w:sz w:val="22"/>
          <w:szCs w:val="22"/>
          <w:highlight w:val="none"/>
        </w:rPr>
        <w:t>，</w:t>
      </w:r>
      <w:r>
        <w:rPr>
          <w:rFonts w:hint="eastAsia" w:ascii="宋体" w:hAnsi="宋体" w:cs="宋体"/>
          <w:color w:val="000000"/>
          <w:sz w:val="22"/>
          <w:szCs w:val="22"/>
          <w:highlight w:val="none"/>
        </w:rPr>
        <w:t>并约定风险范围以外的合同价格的调整方法，其中因市场价格波动引起的调整按第11.1款〔市场价格波动引起的调整〕约定执行。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2.总价合同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总价合同是指合同当事人约定以施工图、已标价工程量清单或预算书及有关条件进行合同价格计算、调整和确认的建设工程施工合同，</w:t>
      </w:r>
      <w:r>
        <w:rPr>
          <w:rFonts w:hint="eastAsia" w:ascii="宋体" w:hAnsi="宋体" w:cs="宋体"/>
          <w:sz w:val="22"/>
          <w:szCs w:val="22"/>
          <w:highlight w:val="none"/>
        </w:rPr>
        <w:t>在约定的范围内合同总价不作调整</w:t>
      </w:r>
      <w:r>
        <w:rPr>
          <w:rFonts w:hint="eastAsia" w:ascii="宋体" w:hAnsi="宋体" w:cs="宋体"/>
          <w:color w:val="000000"/>
          <w:sz w:val="22"/>
          <w:szCs w:val="22"/>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3.其它价格形式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合同当事人可在专用合同条款中约定其他合同价格形式。</w:t>
      </w:r>
    </w:p>
    <w:p>
      <w:pPr>
        <w:spacing w:before="120" w:after="120" w:line="360" w:lineRule="auto"/>
        <w:ind w:firstLine="440" w:firstLineChars="200"/>
        <w:rPr>
          <w:rFonts w:ascii="宋体" w:hAnsi="宋体" w:cs="宋体"/>
          <w:color w:val="000000"/>
          <w:sz w:val="22"/>
          <w:szCs w:val="22"/>
          <w:highlight w:val="none"/>
        </w:rPr>
      </w:pPr>
      <w:bookmarkStart w:id="721" w:name="_Toc296346598"/>
      <w:bookmarkStart w:id="722" w:name="_Toc296503097"/>
      <w:bookmarkStart w:id="723" w:name="_Toc351203582"/>
      <w:bookmarkStart w:id="724" w:name="_Toc337558801"/>
      <w:r>
        <w:rPr>
          <w:rFonts w:hint="eastAsia" w:ascii="宋体" w:hAnsi="宋体" w:cs="宋体"/>
          <w:color w:val="000000"/>
          <w:sz w:val="22"/>
          <w:szCs w:val="22"/>
          <w:highlight w:val="none"/>
        </w:rPr>
        <w:t>12.2预</w:t>
      </w:r>
      <w:bookmarkEnd w:id="721"/>
      <w:bookmarkEnd w:id="722"/>
      <w:bookmarkStart w:id="725" w:name="_Toc296346601"/>
      <w:bookmarkStart w:id="726" w:name="_Toc296503100"/>
      <w:r>
        <w:rPr>
          <w:rFonts w:hint="eastAsia" w:ascii="宋体" w:hAnsi="宋体" w:cs="宋体"/>
          <w:color w:val="000000"/>
          <w:sz w:val="22"/>
          <w:szCs w:val="22"/>
          <w:highlight w:val="none"/>
        </w:rPr>
        <w:t>付款</w:t>
      </w:r>
      <w:bookmarkEnd w:id="723"/>
    </w:p>
    <w:bookmarkEnd w:id="724"/>
    <w:bookmarkEnd w:id="725"/>
    <w:bookmarkEnd w:id="726"/>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12.2.1预付款的支付</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除专用合同条款另有约定外，预付款在进度付款中同比例扣回。</w:t>
      </w:r>
      <w:bookmarkEnd w:id="710"/>
      <w:r>
        <w:rPr>
          <w:rFonts w:hint="eastAsia" w:ascii="宋体" w:hAnsi="宋体" w:cs="宋体"/>
          <w:color w:val="000000"/>
          <w:sz w:val="22"/>
          <w:szCs w:val="22"/>
          <w:highlight w:val="none"/>
        </w:rPr>
        <w:t>在颁发工程接收证书前，提前解除合同的，尚未扣完的预付款应与合同价款一并结算。</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12.2.2 预付款担保</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发包人在工程款中逐期扣回预付款后，预付款担保额度应相应减少，但剩余的预付款担保金额不得低于未被扣回的预付款金额。</w:t>
      </w:r>
    </w:p>
    <w:p>
      <w:pPr>
        <w:spacing w:before="120" w:after="120" w:line="360" w:lineRule="auto"/>
        <w:ind w:firstLine="440" w:firstLineChars="200"/>
        <w:rPr>
          <w:rFonts w:ascii="宋体" w:hAnsi="宋体" w:cs="宋体"/>
          <w:color w:val="000000"/>
          <w:sz w:val="22"/>
          <w:szCs w:val="22"/>
          <w:highlight w:val="none"/>
        </w:rPr>
      </w:pPr>
      <w:bookmarkStart w:id="727" w:name="_Toc351203583"/>
      <w:bookmarkStart w:id="728" w:name="_Toc337558802"/>
      <w:r>
        <w:rPr>
          <w:rFonts w:hint="eastAsia" w:ascii="宋体" w:hAnsi="宋体" w:cs="宋体"/>
          <w:color w:val="000000"/>
          <w:sz w:val="22"/>
          <w:szCs w:val="22"/>
          <w:highlight w:val="none"/>
        </w:rPr>
        <w:t>12.3计量</w:t>
      </w:r>
      <w:bookmarkEnd w:id="727"/>
    </w:p>
    <w:bookmarkEnd w:id="728"/>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12.3.1 计量原则</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12.3.2 计量周期</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除专用合同条款另有约定外，工程量的计量按月进行。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12.3.3 单价合同的计量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除专用合同条款另有约定外，单价合同的计量按照本项约定执行：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（1）承包人应于每月25日向监理人报送上月20日至当月19日已完成的工程量报告，并附具进度付款申请单、已完成工程量报表和有关资料。</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12.3.4 总价合同的计量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除专用合同条款另有约定外，按月计量支付的总价合同，按照本项约定执行：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（1）承包人应于每月25日向监理人报送上月20日至当月19日已完成的工程量报告，并附具进度付款申请单、已完成工程量报表和有关资料。</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（3）监理人未在收到承包人提交的工程量报表后的7天内完成复核的，承包人提交的工程量报告中的工程量视为承包人实际完成的工程量。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12.3.5 总价合同采用支付分解表计量支付的，可以按照第12.3.4项〔总价合同的计量〕约定进行计量，但合同价款按照支付分解表进行支付。</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12.3.6 其他价格形式合同的计量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合同当事人可在专用合同条款中约定其他价格形式合同的计量方式和程序。</w:t>
      </w:r>
    </w:p>
    <w:p>
      <w:pPr>
        <w:spacing w:before="120" w:after="120" w:line="360" w:lineRule="auto"/>
        <w:ind w:firstLine="440" w:firstLineChars="200"/>
        <w:rPr>
          <w:rFonts w:ascii="宋体" w:hAnsi="宋体" w:cs="宋体"/>
          <w:color w:val="000000"/>
          <w:sz w:val="22"/>
          <w:szCs w:val="22"/>
          <w:highlight w:val="none"/>
        </w:rPr>
      </w:pPr>
      <w:bookmarkStart w:id="729" w:name="_Toc296346602"/>
      <w:bookmarkStart w:id="730" w:name="_Toc296503101"/>
      <w:bookmarkStart w:id="731" w:name="_Toc351203584"/>
      <w:bookmarkStart w:id="732" w:name="_Toc337558803"/>
      <w:r>
        <w:rPr>
          <w:rFonts w:hint="eastAsia" w:ascii="宋体" w:hAnsi="宋体" w:cs="宋体"/>
          <w:color w:val="000000"/>
          <w:sz w:val="22"/>
          <w:szCs w:val="22"/>
          <w:highlight w:val="none"/>
        </w:rPr>
        <w:t>12.4工程进度款支</w:t>
      </w:r>
      <w:bookmarkEnd w:id="729"/>
      <w:bookmarkEnd w:id="730"/>
      <w:r>
        <w:rPr>
          <w:rFonts w:hint="eastAsia" w:ascii="宋体" w:hAnsi="宋体" w:cs="宋体"/>
          <w:color w:val="000000"/>
          <w:sz w:val="22"/>
          <w:szCs w:val="22"/>
          <w:highlight w:val="none"/>
        </w:rPr>
        <w:t>付</w:t>
      </w:r>
      <w:bookmarkEnd w:id="731"/>
    </w:p>
    <w:bookmarkEnd w:id="732"/>
    <w:p>
      <w:pPr>
        <w:autoSpaceDE w:val="0"/>
        <w:autoSpaceDN w:val="0"/>
        <w:adjustRightInd w:val="0"/>
        <w:spacing w:line="360" w:lineRule="auto"/>
        <w:ind w:firstLine="440" w:firstLineChars="200"/>
        <w:rPr>
          <w:rFonts w:ascii="宋体" w:hAnsi="宋体" w:cs="宋体"/>
          <w:color w:val="000000"/>
          <w:sz w:val="22"/>
          <w:szCs w:val="22"/>
          <w:highlight w:val="none"/>
        </w:rPr>
      </w:pPr>
      <w:bookmarkStart w:id="733" w:name="_Toc7446"/>
      <w:r>
        <w:rPr>
          <w:rFonts w:hint="eastAsia" w:ascii="宋体" w:hAnsi="宋体" w:cs="宋体"/>
          <w:color w:val="000000"/>
          <w:sz w:val="22"/>
          <w:szCs w:val="22"/>
          <w:highlight w:val="none"/>
        </w:rPr>
        <w:t>12.4.1 付款周期</w:t>
      </w:r>
      <w:bookmarkEnd w:id="733"/>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除专用合同条款另有约定外，付款周期应按照第12.3.2项〔计量周期〕的约定与计量周期保持一致。</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12.4.2 进度付款申请单的编制</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除专用合同条款另有约定外，进度付款申请单应包括下列内容：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（1）截至本次付款周期已完成工作对应的金额；</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（2）根据第10条〔变更〕应增加和扣减的变更金额；</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（3）根据第12.2款〔预付款〕约定应支付的预付款和扣减的返还预付款；</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（4）根据第15.3款〔质量保证金〕约定应扣减的质量保证金；</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（5）根据第19条〔索赔〕应增加和扣减的索赔金额；</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（6）对已签发的进度款支付证书中出现错误的修正，应在本次进度付款中支付或扣除的金额；</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（7）根据合同约定应增加和扣减的其他金额。</w:t>
      </w:r>
    </w:p>
    <w:p>
      <w:pPr>
        <w:autoSpaceDE w:val="0"/>
        <w:autoSpaceDN w:val="0"/>
        <w:adjustRightInd w:val="0"/>
        <w:spacing w:line="360" w:lineRule="auto"/>
        <w:ind w:firstLine="440" w:firstLineChars="200"/>
        <w:rPr>
          <w:rFonts w:ascii="宋体" w:hAnsi="宋体" w:cs="宋体"/>
          <w:color w:val="000000"/>
          <w:sz w:val="22"/>
          <w:szCs w:val="22"/>
          <w:highlight w:val="none"/>
        </w:rPr>
      </w:pPr>
      <w:bookmarkStart w:id="734" w:name="_Toc6139"/>
      <w:r>
        <w:rPr>
          <w:rFonts w:hint="eastAsia" w:ascii="宋体" w:hAnsi="宋体" w:cs="宋体"/>
          <w:color w:val="000000"/>
          <w:sz w:val="22"/>
          <w:szCs w:val="22"/>
          <w:highlight w:val="none"/>
        </w:rPr>
        <w:t>12.4.3 进度付款申请单的提交</w:t>
      </w:r>
      <w:bookmarkEnd w:id="734"/>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（1）单价合同进度付款申请单的提交</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（2）总价合同进度付款申请单的提交</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（3）其他价格形式合同的进度付款申请单的提交</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合同当事人可在专用合同条款中约定其他价格形式合同的进度付款申请单的编制和提交程序。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12.4.4 进度款审核和支付</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（3）发包人签发进度款支付证书或临时进度款支付证书，不表明发包人已同意、批准或接受了承包人完成的相应部分的工作。</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12.4.5 进度付款的修正</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12.4.6 支付分解表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1.支付分解表的编制要求</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（1）支付分解表中所列的每期付款金额，应为第12.4.2项〔进度付款申请单的编制〕第（1）目的估算金额；</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（2）实际进度与施工进度计划不一致的，合同当事人可按照第4.4款〔商定或确定〕修改支付分解表；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（3）不采用支付分解表的，承包人应向发包人和监理人提交按季度编制的支付估算分解表，用于支付参考。</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2.总价合同支付分解表的编制与审批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（3）发包人逾期未完成支付分解表审批的，也未及时要求承包人进行修正和提供补充资料的，则承包人提交的支付分解表视为已经获得发包人批准。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3.单价合同的总价项目支付分解表的编制与审批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before="120" w:after="120" w:line="360" w:lineRule="auto"/>
        <w:ind w:firstLine="440" w:firstLineChars="200"/>
        <w:rPr>
          <w:rFonts w:ascii="宋体" w:hAnsi="宋体" w:cs="宋体"/>
          <w:color w:val="000000"/>
          <w:sz w:val="22"/>
          <w:szCs w:val="22"/>
          <w:highlight w:val="none"/>
        </w:rPr>
      </w:pPr>
      <w:bookmarkStart w:id="735" w:name="_Toc351203585"/>
      <w:r>
        <w:rPr>
          <w:rFonts w:hint="eastAsia" w:ascii="宋体" w:hAnsi="宋体" w:cs="宋体"/>
          <w:color w:val="000000"/>
          <w:sz w:val="22"/>
          <w:szCs w:val="22"/>
          <w:highlight w:val="none"/>
        </w:rPr>
        <w:t>12.5支付账户</w:t>
      </w:r>
      <w:bookmarkEnd w:id="735"/>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发包人应将合同价款支付至合同协议书中约定的承包人账户。</w:t>
      </w:r>
    </w:p>
    <w:p>
      <w:pPr>
        <w:spacing w:before="120" w:after="120" w:line="360" w:lineRule="auto"/>
        <w:rPr>
          <w:rFonts w:ascii="宋体" w:hAnsi="宋体" w:cs="宋体"/>
          <w:color w:val="000000"/>
          <w:sz w:val="22"/>
          <w:szCs w:val="22"/>
          <w:highlight w:val="none"/>
        </w:rPr>
      </w:pPr>
      <w:bookmarkStart w:id="736" w:name="_Toc351203586"/>
      <w:bookmarkStart w:id="737" w:name="_Toc322522574"/>
      <w:bookmarkStart w:id="738" w:name="_Toc337558804"/>
      <w:bookmarkStart w:id="739" w:name="_Toc296346607"/>
      <w:bookmarkStart w:id="740" w:name="_Toc296503106"/>
      <w:r>
        <w:rPr>
          <w:rFonts w:hint="eastAsia" w:ascii="宋体" w:hAnsi="宋体" w:cs="宋体"/>
          <w:color w:val="000000"/>
          <w:sz w:val="22"/>
          <w:szCs w:val="22"/>
          <w:highlight w:val="none"/>
        </w:rPr>
        <w:t>13. 验收和工程试车</w:t>
      </w:r>
      <w:bookmarkEnd w:id="736"/>
    </w:p>
    <w:bookmarkEnd w:id="737"/>
    <w:bookmarkEnd w:id="738"/>
    <w:bookmarkEnd w:id="739"/>
    <w:bookmarkEnd w:id="740"/>
    <w:p>
      <w:pPr>
        <w:spacing w:before="120" w:after="120" w:line="360" w:lineRule="auto"/>
        <w:ind w:firstLine="440" w:firstLineChars="200"/>
        <w:rPr>
          <w:rFonts w:ascii="宋体" w:hAnsi="宋体" w:cs="宋体"/>
          <w:color w:val="000000"/>
          <w:sz w:val="22"/>
          <w:szCs w:val="22"/>
          <w:highlight w:val="none"/>
        </w:rPr>
      </w:pPr>
      <w:bookmarkStart w:id="741" w:name="_Toc351203587"/>
      <w:bookmarkStart w:id="742" w:name="_Toc337558805"/>
      <w:bookmarkStart w:id="743" w:name="_Toc296503110"/>
      <w:bookmarkStart w:id="744" w:name="_Toc296346611"/>
      <w:r>
        <w:rPr>
          <w:rFonts w:hint="eastAsia" w:ascii="宋体" w:hAnsi="宋体" w:cs="宋体"/>
          <w:color w:val="000000"/>
          <w:sz w:val="22"/>
          <w:szCs w:val="22"/>
          <w:highlight w:val="none"/>
        </w:rPr>
        <w:t>13.1分部分项工程验收</w:t>
      </w:r>
      <w:bookmarkEnd w:id="741"/>
    </w:p>
    <w:bookmarkEnd w:id="742"/>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13.1.1 分部分项工程质量应符合国家有关工程施工验收规范、标准及合同约定，承包人应按照施工组织设计的要求完成分部分项工程施工。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分部分项工程的验收资料应当作为竣工资料的组成部分。</w:t>
      </w:r>
    </w:p>
    <w:p>
      <w:pPr>
        <w:spacing w:before="120" w:after="120" w:line="360" w:lineRule="auto"/>
        <w:ind w:firstLine="440" w:firstLineChars="200"/>
        <w:rPr>
          <w:rFonts w:ascii="宋体" w:hAnsi="宋体" w:cs="宋体"/>
          <w:color w:val="000000"/>
          <w:sz w:val="22"/>
          <w:szCs w:val="22"/>
          <w:highlight w:val="none"/>
        </w:rPr>
      </w:pPr>
      <w:bookmarkStart w:id="745" w:name="_Toc351203588"/>
      <w:bookmarkStart w:id="746" w:name="_Toc337558806"/>
      <w:r>
        <w:rPr>
          <w:rFonts w:hint="eastAsia" w:ascii="宋体" w:hAnsi="宋体" w:cs="宋体"/>
          <w:color w:val="000000"/>
          <w:sz w:val="22"/>
          <w:szCs w:val="22"/>
          <w:highlight w:val="none"/>
        </w:rPr>
        <w:t>13.2竣工验收</w:t>
      </w:r>
      <w:bookmarkEnd w:id="745"/>
    </w:p>
    <w:bookmarkEnd w:id="743"/>
    <w:bookmarkEnd w:id="744"/>
    <w:bookmarkEnd w:id="746"/>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13.2.1竣工验收条件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工程具备以下条件的，承包人可以申请竣工验收：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（2）已按合同约定编制了甩项工作和缺陷修补工作清单以及相应的施工计划；</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（3）已按合同约定的内容和份数备齐竣工资料。</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13.2.2竣工验收程序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除专用合同条款另有约定外，承包人申请竣工验收的，应当按照以下程序进行：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13.2.3竣工日期</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47" w:name="#go14"/>
      <w:bookmarkEnd w:id="747"/>
      <w:r>
        <w:rPr>
          <w:rFonts w:hint="eastAsia" w:ascii="宋体" w:hAnsi="宋体" w:cs="宋体"/>
          <w:color w:val="000000"/>
          <w:sz w:val="22"/>
          <w:szCs w:val="22"/>
          <w:highlight w:val="none"/>
        </w:rPr>
        <w:t>收申请报告的日期为实际竣工日期；工程未经竣工验收，发包人擅自使用的，以转移占有工程之日为实际竣工日期。</w:t>
      </w:r>
    </w:p>
    <w:p>
      <w:pPr>
        <w:spacing w:line="360" w:lineRule="auto"/>
        <w:ind w:firstLine="440" w:firstLineChars="200"/>
        <w:rPr>
          <w:rFonts w:ascii="宋体" w:hAnsi="宋体" w:cs="宋体"/>
          <w:color w:val="000000"/>
          <w:sz w:val="22"/>
          <w:szCs w:val="22"/>
          <w:highlight w:val="none"/>
        </w:rPr>
      </w:pPr>
      <w:bookmarkStart w:id="748" w:name="_Toc28293"/>
      <w:r>
        <w:rPr>
          <w:rFonts w:hint="eastAsia" w:ascii="宋体" w:hAnsi="宋体" w:cs="宋体"/>
          <w:color w:val="000000"/>
          <w:sz w:val="22"/>
          <w:szCs w:val="22"/>
          <w:highlight w:val="none"/>
        </w:rPr>
        <w:t>13.2.4 拒绝接收全部或部分工程</w:t>
      </w:r>
      <w:bookmarkEnd w:id="748"/>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13.2.5 移交、接收全部与部分工程</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除专用合同条款另有约定外，合同当事人应当在颁发工程接收证书后7天内完成工程的移交。</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spacing w:before="120" w:after="120" w:line="360" w:lineRule="auto"/>
        <w:ind w:firstLine="440" w:firstLineChars="200"/>
        <w:rPr>
          <w:rFonts w:ascii="宋体" w:hAnsi="宋体" w:cs="宋体"/>
          <w:color w:val="000000"/>
          <w:sz w:val="22"/>
          <w:szCs w:val="22"/>
          <w:highlight w:val="none"/>
        </w:rPr>
      </w:pPr>
      <w:bookmarkStart w:id="749" w:name="_Toc351203589"/>
      <w:bookmarkStart w:id="750" w:name="_Toc296346612"/>
      <w:bookmarkStart w:id="751" w:name="_Toc337558807"/>
      <w:bookmarkStart w:id="752" w:name="_Toc296503111"/>
      <w:r>
        <w:rPr>
          <w:rFonts w:hint="eastAsia" w:ascii="宋体" w:hAnsi="宋体" w:cs="宋体"/>
          <w:color w:val="000000"/>
          <w:sz w:val="22"/>
          <w:szCs w:val="22"/>
          <w:highlight w:val="none"/>
        </w:rPr>
        <w:t>13.3工程试车</w:t>
      </w:r>
      <w:bookmarkEnd w:id="749"/>
    </w:p>
    <w:bookmarkEnd w:id="750"/>
    <w:bookmarkEnd w:id="751"/>
    <w:bookmarkEnd w:id="752"/>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13.3.1试车程序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工程需要试车的，除专用合同条款另有约定外，试车内容应与承包人承包范围相一致，试车费用由承包人承担。工程试车应按如下程序进行：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13.3.2 试车中的责任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13.3.3 投料试车</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before="120" w:after="120" w:line="360" w:lineRule="auto"/>
        <w:rPr>
          <w:rFonts w:ascii="宋体" w:hAnsi="宋体" w:cs="宋体"/>
          <w:color w:val="000000"/>
          <w:sz w:val="22"/>
          <w:szCs w:val="22"/>
          <w:highlight w:val="none"/>
        </w:rPr>
      </w:pPr>
      <w:bookmarkStart w:id="753" w:name="_Toc337558808"/>
      <w:r>
        <w:rPr>
          <w:rFonts w:hint="eastAsia" w:ascii="宋体" w:hAnsi="宋体" w:cs="宋体"/>
          <w:color w:val="000000"/>
          <w:sz w:val="22"/>
          <w:szCs w:val="22"/>
          <w:highlight w:val="none"/>
        </w:rPr>
        <w:t xml:space="preserve">    </w:t>
      </w:r>
      <w:bookmarkStart w:id="754" w:name="_Toc351203590"/>
      <w:r>
        <w:rPr>
          <w:rFonts w:hint="eastAsia" w:ascii="宋体" w:hAnsi="宋体" w:cs="宋体"/>
          <w:color w:val="000000"/>
          <w:sz w:val="22"/>
          <w:szCs w:val="22"/>
          <w:highlight w:val="none"/>
        </w:rPr>
        <w:t>13.4提前交付单位工程的验收</w:t>
      </w:r>
      <w:bookmarkEnd w:id="754"/>
    </w:p>
    <w:bookmarkEnd w:id="753"/>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13.4.2 发包人要求在工程竣工前交付单位工程，由此导致承包人费用增加和（或）工期延误的，由发包人承担由此增加的费用和（或）延误的工期，并支付承包人合理的利润。</w:t>
      </w:r>
    </w:p>
    <w:p>
      <w:pPr>
        <w:spacing w:before="120" w:after="120" w:line="360" w:lineRule="auto"/>
        <w:ind w:firstLine="440" w:firstLineChars="200"/>
        <w:rPr>
          <w:rFonts w:ascii="宋体" w:hAnsi="宋体" w:cs="宋体"/>
          <w:color w:val="000000"/>
          <w:sz w:val="22"/>
          <w:szCs w:val="22"/>
          <w:highlight w:val="none"/>
        </w:rPr>
      </w:pPr>
      <w:bookmarkStart w:id="755" w:name="_Toc351203591"/>
      <w:r>
        <w:rPr>
          <w:rFonts w:hint="eastAsia" w:ascii="宋体" w:hAnsi="宋体" w:cs="宋体"/>
          <w:color w:val="000000"/>
          <w:sz w:val="22"/>
          <w:szCs w:val="22"/>
          <w:highlight w:val="none"/>
        </w:rPr>
        <w:t>13.5 施工期运行</w:t>
      </w:r>
      <w:bookmarkEnd w:id="755"/>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13.5.2 在施工期运行中发现工程或工程设备损坏或存在缺陷的，由承包人按第15.2款〔缺陷责任期〕约定进行修复。</w:t>
      </w:r>
    </w:p>
    <w:p>
      <w:pPr>
        <w:spacing w:before="120" w:after="120" w:line="360" w:lineRule="auto"/>
        <w:ind w:firstLine="440" w:firstLineChars="200"/>
        <w:rPr>
          <w:rFonts w:ascii="宋体" w:hAnsi="宋体" w:cs="宋体"/>
          <w:color w:val="000000"/>
          <w:sz w:val="22"/>
          <w:szCs w:val="22"/>
          <w:highlight w:val="none"/>
        </w:rPr>
      </w:pPr>
      <w:bookmarkStart w:id="756" w:name="_Toc296503112"/>
      <w:bookmarkStart w:id="757" w:name="_Toc296346613"/>
      <w:bookmarkStart w:id="758" w:name="_Toc351203592"/>
      <w:bookmarkStart w:id="759" w:name="_Toc337558809"/>
      <w:r>
        <w:rPr>
          <w:rFonts w:hint="eastAsia" w:ascii="宋体" w:hAnsi="宋体" w:cs="宋体"/>
          <w:color w:val="000000"/>
          <w:sz w:val="22"/>
          <w:szCs w:val="22"/>
          <w:highlight w:val="none"/>
        </w:rPr>
        <w:t>13.6 竣工退</w:t>
      </w:r>
      <w:bookmarkEnd w:id="756"/>
      <w:bookmarkEnd w:id="757"/>
      <w:r>
        <w:rPr>
          <w:rFonts w:hint="eastAsia" w:ascii="宋体" w:hAnsi="宋体" w:cs="宋体"/>
          <w:color w:val="000000"/>
          <w:sz w:val="22"/>
          <w:szCs w:val="22"/>
          <w:highlight w:val="none"/>
        </w:rPr>
        <w:t>场</w:t>
      </w:r>
      <w:bookmarkEnd w:id="758"/>
    </w:p>
    <w:bookmarkEnd w:id="759"/>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13.6.1 竣工退场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颁发工程接收证书后，承包人应按以下要求对施工现场进行清理：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（1）施工现场内残留的垃圾已全部清除出场；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（2）临时工程已拆除，场地已进行清理、平整或复原；</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（3）按合同约定应撤离的人员、承包人施工设备和剩余的材料，包括废弃的施工设备和材料，已按计划撤离施工现场；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（4）施工现场周边及其附近道路、河道的施工堆积物，已全部清理；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（5）施工现场其他场地清理工作已全部完成。</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13.6.2 地表还原</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spacing w:before="120" w:after="120" w:line="360" w:lineRule="auto"/>
        <w:rPr>
          <w:rFonts w:ascii="宋体" w:hAnsi="宋体" w:cs="宋体"/>
          <w:color w:val="000000"/>
          <w:sz w:val="22"/>
          <w:szCs w:val="22"/>
          <w:highlight w:val="none"/>
        </w:rPr>
      </w:pPr>
      <w:bookmarkStart w:id="760" w:name="_Toc351203593"/>
      <w:bookmarkStart w:id="761" w:name="_Toc337558810"/>
      <w:bookmarkStart w:id="762" w:name="_Toc296346614"/>
      <w:bookmarkStart w:id="763" w:name="_Toc296503113"/>
      <w:r>
        <w:rPr>
          <w:rFonts w:hint="eastAsia" w:ascii="宋体" w:hAnsi="宋体" w:cs="宋体"/>
          <w:color w:val="000000"/>
          <w:sz w:val="22"/>
          <w:szCs w:val="22"/>
          <w:highlight w:val="none"/>
        </w:rPr>
        <w:t>14. 竣工结算</w:t>
      </w:r>
      <w:bookmarkEnd w:id="760"/>
    </w:p>
    <w:bookmarkEnd w:id="761"/>
    <w:p>
      <w:pPr>
        <w:spacing w:before="120" w:after="120" w:line="360" w:lineRule="auto"/>
        <w:ind w:firstLine="440" w:firstLineChars="200"/>
        <w:rPr>
          <w:rFonts w:ascii="宋体" w:hAnsi="宋体" w:cs="宋体"/>
          <w:color w:val="000000"/>
          <w:sz w:val="22"/>
          <w:szCs w:val="22"/>
          <w:highlight w:val="none"/>
        </w:rPr>
      </w:pPr>
      <w:bookmarkStart w:id="764" w:name="_Toc351203594"/>
      <w:bookmarkStart w:id="765" w:name="_Toc337558811"/>
      <w:r>
        <w:rPr>
          <w:rFonts w:hint="eastAsia" w:ascii="宋体" w:hAnsi="宋体" w:cs="宋体"/>
          <w:color w:val="000000"/>
          <w:sz w:val="22"/>
          <w:szCs w:val="22"/>
          <w:highlight w:val="none"/>
        </w:rPr>
        <w:t>14.1 竣工结算申请</w:t>
      </w:r>
      <w:bookmarkEnd w:id="764"/>
    </w:p>
    <w:bookmarkEnd w:id="765"/>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除专用合同条款另有约定外，竣工结算申请单应包括以下内容：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（1）竣工结算合同价格；</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（2）发包人已支付承包人的款项；</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（3）应扣留的质量保证金。已缴纳履约保证金的或提供其他工程质量担保方式的除外；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（4）发包人应支付承包人的合同价款。</w:t>
      </w:r>
    </w:p>
    <w:p>
      <w:pPr>
        <w:spacing w:before="120" w:after="120" w:line="360" w:lineRule="auto"/>
        <w:ind w:firstLine="440" w:firstLineChars="200"/>
        <w:rPr>
          <w:rFonts w:ascii="宋体" w:hAnsi="宋体" w:cs="宋体"/>
          <w:color w:val="000000"/>
          <w:sz w:val="22"/>
          <w:szCs w:val="22"/>
          <w:highlight w:val="none"/>
        </w:rPr>
      </w:pPr>
      <w:bookmarkStart w:id="766" w:name="_Toc351203595"/>
      <w:bookmarkStart w:id="767" w:name="_Toc337558812"/>
      <w:r>
        <w:rPr>
          <w:rFonts w:hint="eastAsia" w:ascii="宋体" w:hAnsi="宋体" w:cs="宋体"/>
          <w:color w:val="000000"/>
          <w:sz w:val="22"/>
          <w:szCs w:val="22"/>
          <w:highlight w:val="none"/>
        </w:rPr>
        <w:t>14.2 竣工结算审核</w:t>
      </w:r>
      <w:bookmarkEnd w:id="766"/>
    </w:p>
    <w:bookmarkEnd w:id="76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3证书，并按本款第（2）项完成付款。承包人逾期未提出异议的，视为认可发包人的审批结果。</w:t>
      </w:r>
    </w:p>
    <w:p>
      <w:pPr>
        <w:spacing w:before="120" w:after="120" w:line="360" w:lineRule="auto"/>
        <w:ind w:firstLine="440" w:firstLineChars="200"/>
        <w:rPr>
          <w:rFonts w:ascii="宋体" w:hAnsi="宋体" w:cs="宋体"/>
          <w:color w:val="000000"/>
          <w:sz w:val="22"/>
          <w:szCs w:val="22"/>
          <w:highlight w:val="none"/>
        </w:rPr>
      </w:pPr>
      <w:bookmarkStart w:id="768" w:name="_Toc351203596"/>
      <w:bookmarkStart w:id="769" w:name="_Toc337558813"/>
      <w:r>
        <w:rPr>
          <w:rFonts w:hint="eastAsia" w:ascii="宋体" w:hAnsi="宋体" w:cs="宋体"/>
          <w:color w:val="000000"/>
          <w:sz w:val="22"/>
          <w:szCs w:val="22"/>
          <w:highlight w:val="none"/>
        </w:rPr>
        <w:t>14.3 甩项竣工协议</w:t>
      </w:r>
      <w:bookmarkEnd w:id="768"/>
    </w:p>
    <w:bookmarkEnd w:id="769"/>
    <w:p>
      <w:pPr>
        <w:autoSpaceDE w:val="0"/>
        <w:autoSpaceDN w:val="0"/>
        <w:adjustRightInd w:val="0"/>
        <w:spacing w:line="360" w:lineRule="auto"/>
        <w:ind w:firstLine="431" w:firstLineChars="196"/>
        <w:rPr>
          <w:rFonts w:ascii="宋体" w:hAnsi="宋体" w:cs="宋体"/>
          <w:color w:val="000000"/>
          <w:sz w:val="22"/>
          <w:szCs w:val="22"/>
          <w:highlight w:val="none"/>
        </w:rPr>
      </w:pPr>
      <w:r>
        <w:rPr>
          <w:rFonts w:hint="eastAsia" w:ascii="宋体" w:hAnsi="宋体" w:cs="宋体"/>
          <w:sz w:val="22"/>
          <w:szCs w:val="22"/>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before="120" w:after="120" w:line="360" w:lineRule="auto"/>
        <w:ind w:firstLine="440" w:firstLineChars="200"/>
        <w:rPr>
          <w:rFonts w:ascii="宋体" w:hAnsi="宋体" w:cs="宋体"/>
          <w:color w:val="000000"/>
          <w:sz w:val="22"/>
          <w:szCs w:val="22"/>
          <w:highlight w:val="none"/>
        </w:rPr>
      </w:pPr>
      <w:bookmarkStart w:id="770" w:name="_Toc351203597"/>
      <w:bookmarkStart w:id="771" w:name="_Toc337558814"/>
      <w:r>
        <w:rPr>
          <w:rFonts w:hint="eastAsia" w:ascii="宋体" w:hAnsi="宋体" w:cs="宋体"/>
          <w:color w:val="000000"/>
          <w:sz w:val="22"/>
          <w:szCs w:val="22"/>
          <w:highlight w:val="none"/>
        </w:rPr>
        <w:t>14.4 最终结清</w:t>
      </w:r>
      <w:bookmarkEnd w:id="770"/>
    </w:p>
    <w:bookmarkEnd w:id="771"/>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14.4.1 最终结清申请单</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除专用合同条款另有约定外，最终结清申请单应列明质量保证金、应扣除的质量保证金、缺陷责任期内发生的增减费用。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14.4.2 最终结清证书和支付</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（3）承包人对发包人颁发的最终结清证书有异议的，按第20条〔争议解决〕的约定办理。</w:t>
      </w:r>
    </w:p>
    <w:p>
      <w:pPr>
        <w:spacing w:before="120" w:after="120" w:line="360" w:lineRule="auto"/>
        <w:rPr>
          <w:rFonts w:ascii="宋体" w:hAnsi="宋体" w:cs="宋体"/>
          <w:color w:val="000000"/>
          <w:sz w:val="22"/>
          <w:szCs w:val="22"/>
          <w:highlight w:val="none"/>
        </w:rPr>
      </w:pPr>
      <w:bookmarkStart w:id="772" w:name="_Toc351203598"/>
      <w:bookmarkStart w:id="773" w:name="_Toc337558815"/>
      <w:r>
        <w:rPr>
          <w:rFonts w:hint="eastAsia" w:ascii="宋体" w:hAnsi="宋体" w:cs="宋体"/>
          <w:color w:val="000000"/>
          <w:sz w:val="22"/>
          <w:szCs w:val="22"/>
          <w:highlight w:val="none"/>
        </w:rPr>
        <w:t>15. 缺陷责任与保修</w:t>
      </w:r>
      <w:bookmarkEnd w:id="772"/>
    </w:p>
    <w:bookmarkEnd w:id="762"/>
    <w:bookmarkEnd w:id="763"/>
    <w:bookmarkEnd w:id="773"/>
    <w:p>
      <w:pPr>
        <w:spacing w:before="120" w:after="120" w:line="360" w:lineRule="auto"/>
        <w:ind w:firstLine="440" w:firstLineChars="200"/>
        <w:rPr>
          <w:rFonts w:ascii="宋体" w:hAnsi="宋体" w:cs="宋体"/>
          <w:color w:val="000000"/>
          <w:sz w:val="22"/>
          <w:szCs w:val="22"/>
          <w:highlight w:val="none"/>
        </w:rPr>
      </w:pPr>
      <w:bookmarkStart w:id="774" w:name="_Toc351203599"/>
      <w:bookmarkStart w:id="775" w:name="_Toc337558816"/>
      <w:bookmarkStart w:id="776" w:name="_Toc296503114"/>
      <w:bookmarkStart w:id="777" w:name="_Toc296346615"/>
      <w:r>
        <w:rPr>
          <w:rFonts w:hint="eastAsia" w:ascii="宋体" w:hAnsi="宋体" w:cs="宋体"/>
          <w:color w:val="000000"/>
          <w:sz w:val="22"/>
          <w:szCs w:val="22"/>
          <w:highlight w:val="none"/>
        </w:rPr>
        <w:t>15.1 工程保修的原则</w:t>
      </w:r>
      <w:bookmarkEnd w:id="774"/>
    </w:p>
    <w:bookmarkEnd w:id="775"/>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在工程移交发包人后，因承包人原因产生的质量缺陷，承包人应承担质量缺陷责任和保修义务。缺陷责任期届满，承包人仍应按合同约定的工程各部位保修年限承担保修义务。</w:t>
      </w:r>
    </w:p>
    <w:p>
      <w:pPr>
        <w:spacing w:before="120" w:after="120" w:line="360" w:lineRule="auto"/>
        <w:ind w:firstLine="440" w:firstLineChars="200"/>
        <w:rPr>
          <w:rFonts w:ascii="宋体" w:hAnsi="宋体" w:cs="宋体"/>
          <w:color w:val="000000"/>
          <w:sz w:val="22"/>
          <w:szCs w:val="22"/>
          <w:highlight w:val="none"/>
        </w:rPr>
      </w:pPr>
      <w:bookmarkStart w:id="778" w:name="_Toc351203600"/>
      <w:bookmarkStart w:id="779" w:name="_Toc337558817"/>
      <w:r>
        <w:rPr>
          <w:rFonts w:hint="eastAsia" w:ascii="宋体" w:hAnsi="宋体" w:cs="宋体"/>
          <w:color w:val="000000"/>
          <w:sz w:val="22"/>
          <w:szCs w:val="22"/>
          <w:highlight w:val="none"/>
        </w:rPr>
        <w:t>15.2 缺陷责任期</w:t>
      </w:r>
      <w:bookmarkEnd w:id="776"/>
      <w:bookmarkEnd w:id="777"/>
      <w:bookmarkEnd w:id="778"/>
    </w:p>
    <w:bookmarkEnd w:id="779"/>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15.2.1 缺陷责任期从工程通过竣工验收之日起计算，合同当事人应在专用合同条款约定缺陷责任期的具体期限，但该期限最长不超过24个月。</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000000"/>
          <w:sz w:val="22"/>
          <w:szCs w:val="22"/>
          <w:highlight w:val="none"/>
        </w:rPr>
        <w:t>包人延长缺陷责任期，</w:t>
      </w:r>
      <w:r>
        <w:rPr>
          <w:rFonts w:hint="eastAsia" w:ascii="宋体" w:hAnsi="宋体" w:cs="宋体"/>
          <w:color w:val="000000"/>
          <w:sz w:val="22"/>
          <w:szCs w:val="22"/>
          <w:highlight w:val="none"/>
        </w:rPr>
        <w:t>并应在原缺陷责任期届满前发出延长通知。</w:t>
      </w:r>
      <w:r>
        <w:rPr>
          <w:rFonts w:hint="eastAsia" w:ascii="宋体" w:hAnsi="宋体" w:cs="宋体"/>
          <w:bCs/>
          <w:color w:val="000000"/>
          <w:sz w:val="22"/>
          <w:szCs w:val="22"/>
          <w:highlight w:val="none"/>
        </w:rPr>
        <w:t>但缺陷责任期（含延长部分）最长</w:t>
      </w:r>
      <w:r>
        <w:rPr>
          <w:rFonts w:hint="eastAsia" w:ascii="宋体" w:hAnsi="宋体" w:cs="宋体"/>
          <w:color w:val="000000"/>
          <w:sz w:val="22"/>
          <w:szCs w:val="22"/>
          <w:highlight w:val="none"/>
        </w:rPr>
        <w:t>不能超过24个月。</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由他人原因造成的缺陷，发包人负责组织维修，承包人不承担费用，且发包人不得从保证金中扣除费用。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before="120" w:after="120" w:line="360" w:lineRule="auto"/>
        <w:ind w:firstLine="440" w:firstLineChars="200"/>
        <w:rPr>
          <w:rFonts w:ascii="宋体" w:hAnsi="宋体" w:cs="宋体"/>
          <w:color w:val="000000"/>
          <w:sz w:val="22"/>
          <w:szCs w:val="22"/>
          <w:highlight w:val="none"/>
        </w:rPr>
      </w:pPr>
      <w:bookmarkStart w:id="780" w:name="_Toc351203601"/>
      <w:bookmarkStart w:id="781" w:name="_Toc337558818"/>
      <w:bookmarkStart w:id="782" w:name="_Toc296503115"/>
      <w:bookmarkStart w:id="783" w:name="_Toc296346616"/>
      <w:r>
        <w:rPr>
          <w:rFonts w:hint="eastAsia" w:ascii="宋体" w:hAnsi="宋体" w:cs="宋体"/>
          <w:color w:val="000000"/>
          <w:sz w:val="22"/>
          <w:szCs w:val="22"/>
          <w:highlight w:val="none"/>
        </w:rPr>
        <w:t>15.3 质量保证金</w:t>
      </w:r>
      <w:bookmarkEnd w:id="780"/>
    </w:p>
    <w:bookmarkEnd w:id="781"/>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经合同当事人协商一致扣留质量保证金的，应在专用合同条款中予以明确。</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在工程项目竣工前，承包人已经提供履约担保的，发包人不得同时预留工程质量保证金。</w:t>
      </w:r>
    </w:p>
    <w:p>
      <w:pPr>
        <w:autoSpaceDE w:val="0"/>
        <w:autoSpaceDN w:val="0"/>
        <w:adjustRightInd w:val="0"/>
        <w:spacing w:line="360" w:lineRule="auto"/>
        <w:ind w:firstLine="440" w:firstLineChars="200"/>
        <w:rPr>
          <w:rFonts w:ascii="宋体" w:hAnsi="宋体" w:cs="宋体"/>
          <w:color w:val="000000"/>
          <w:sz w:val="22"/>
          <w:szCs w:val="22"/>
          <w:highlight w:val="none"/>
        </w:rPr>
      </w:pP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15.3.1 承包人提供质量保证金的方式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承包人提供质量保证金有以下三种方式：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（1）质量保证金保函；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（2）相应比例的工程款；</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（3）双方约定的其他方式。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除专用合同条款另有约定外，质量保证金原则上采用上述第（1）种方式。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15.3.2 质量保证金的扣留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质量保证金的扣留有以下三种方式：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（2）工</w:t>
      </w:r>
      <w:bookmarkStart w:id="784" w:name="#go6"/>
      <w:bookmarkEnd w:id="784"/>
      <w:r>
        <w:rPr>
          <w:rFonts w:hint="eastAsia" w:ascii="宋体" w:hAnsi="宋体" w:cs="宋体"/>
          <w:color w:val="000000"/>
          <w:sz w:val="22"/>
          <w:szCs w:val="22"/>
          <w:highlight w:val="none"/>
        </w:rPr>
        <w:t>程竣工结算时一次性扣留质量保证金；</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（3）双方约定的其他扣留方式。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除专用合同条款另有约定外，质量保证金的扣留原则上采用上述第（1）种方式。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w:t>
      </w:r>
      <w:bookmarkStart w:id="785" w:name="#go4"/>
      <w:bookmarkEnd w:id="785"/>
      <w:r>
        <w:rPr>
          <w:rFonts w:hint="eastAsia" w:ascii="宋体" w:hAnsi="宋体" w:cs="宋体"/>
          <w:color w:val="000000"/>
          <w:sz w:val="22"/>
          <w:szCs w:val="22"/>
          <w:highlight w:val="none"/>
        </w:rPr>
        <w:t>包人累计扣留的质量保证金不得超过工程价款结算总额的</w:t>
      </w:r>
      <w:r>
        <w:rPr>
          <w:rFonts w:hint="eastAsia" w:ascii="宋体" w:hAnsi="宋体" w:cs="宋体"/>
          <w:color w:val="000000"/>
          <w:sz w:val="22"/>
          <w:szCs w:val="22"/>
          <w:highlight w:val="none"/>
          <w:lang w:eastAsia="zh-CN"/>
        </w:rPr>
        <w:t>5%</w:t>
      </w:r>
      <w:r>
        <w:rPr>
          <w:rFonts w:hint="eastAsia" w:ascii="宋体" w:hAnsi="宋体" w:cs="宋体"/>
          <w:color w:val="000000"/>
          <w:sz w:val="22"/>
          <w:szCs w:val="22"/>
          <w:highlight w:val="none"/>
        </w:rPr>
        <w:t>。如承包人在发包人签发竣工付款证书后28天内提交质量保证金保函，发包人应同时退还扣留的作为质量保证金的工程价款；保函金额不得超过工程价款结算总额的</w:t>
      </w:r>
      <w:r>
        <w:rPr>
          <w:rFonts w:hint="eastAsia" w:ascii="宋体" w:hAnsi="宋体" w:cs="宋体"/>
          <w:color w:val="000000"/>
          <w:sz w:val="22"/>
          <w:szCs w:val="22"/>
          <w:highlight w:val="none"/>
          <w:lang w:eastAsia="zh-CN"/>
        </w:rPr>
        <w:t>5%</w:t>
      </w:r>
      <w:r>
        <w:rPr>
          <w:rFonts w:hint="eastAsia" w:ascii="宋体" w:hAnsi="宋体" w:cs="宋体"/>
          <w:color w:val="000000"/>
          <w:sz w:val="22"/>
          <w:szCs w:val="22"/>
          <w:highlight w:val="none"/>
        </w:rPr>
        <w:t>。</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发包人在退还质量保证金的同时按照中国人民银行发布的同期同类贷款基准利率支付利息。</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15.3.3 质量保证金的退还</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缺陷责任期内，承包人认真履行合同约定的责任，到期后，承包人可向发包人申请返还保证金。</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发包人和承包人对保证金预留、返还以及工程维修质量、费用有争议的，按本合同第20条约定的争议和纠纷解决程序处理。</w:t>
      </w:r>
    </w:p>
    <w:p>
      <w:pPr>
        <w:spacing w:before="120" w:after="120" w:line="360" w:lineRule="auto"/>
        <w:ind w:firstLine="440" w:firstLineChars="200"/>
        <w:rPr>
          <w:rFonts w:ascii="宋体" w:hAnsi="宋体" w:cs="宋体"/>
          <w:color w:val="000000"/>
          <w:sz w:val="22"/>
          <w:szCs w:val="22"/>
          <w:highlight w:val="none"/>
        </w:rPr>
      </w:pPr>
      <w:bookmarkStart w:id="786" w:name="_Toc351203602"/>
      <w:bookmarkStart w:id="787" w:name="_Toc337558819"/>
      <w:r>
        <w:rPr>
          <w:rFonts w:hint="eastAsia" w:ascii="宋体" w:hAnsi="宋体" w:cs="宋体"/>
          <w:color w:val="000000"/>
          <w:sz w:val="22"/>
          <w:szCs w:val="22"/>
          <w:highlight w:val="none"/>
        </w:rPr>
        <w:t>15.4 保修</w:t>
      </w:r>
      <w:bookmarkEnd w:id="786"/>
    </w:p>
    <w:bookmarkEnd w:id="782"/>
    <w:bookmarkEnd w:id="783"/>
    <w:bookmarkEnd w:id="787"/>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15.4.1保修责任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发包人未经竣工验收擅自使用工程的，保修期自转移占有之日起算。</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15.4.2 修复费用</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保修期内，修复的费用按照以下约定处理：</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15.4.3 修复通知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15.4.4 未能修复</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15.4.5 承包人出入权</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before="120" w:after="120" w:line="360" w:lineRule="auto"/>
        <w:rPr>
          <w:rFonts w:ascii="宋体" w:hAnsi="宋体" w:cs="宋体"/>
          <w:color w:val="000000"/>
          <w:sz w:val="22"/>
          <w:szCs w:val="22"/>
          <w:highlight w:val="none"/>
        </w:rPr>
      </w:pPr>
      <w:bookmarkStart w:id="788" w:name="_Toc351203603"/>
      <w:bookmarkStart w:id="789" w:name="_Toc337558820"/>
      <w:r>
        <w:rPr>
          <w:rFonts w:hint="eastAsia" w:ascii="宋体" w:hAnsi="宋体" w:cs="宋体"/>
          <w:color w:val="000000"/>
          <w:sz w:val="22"/>
          <w:szCs w:val="22"/>
          <w:highlight w:val="none"/>
        </w:rPr>
        <w:t>16. 违约</w:t>
      </w:r>
      <w:bookmarkEnd w:id="788"/>
    </w:p>
    <w:bookmarkEnd w:id="789"/>
    <w:p>
      <w:pPr>
        <w:spacing w:before="120" w:after="120" w:line="360" w:lineRule="auto"/>
        <w:ind w:firstLine="440" w:firstLineChars="200"/>
        <w:rPr>
          <w:rFonts w:ascii="宋体" w:hAnsi="宋体" w:cs="宋体"/>
          <w:color w:val="000000"/>
          <w:sz w:val="22"/>
          <w:szCs w:val="22"/>
          <w:highlight w:val="none"/>
        </w:rPr>
      </w:pPr>
      <w:bookmarkStart w:id="790" w:name="_Toc296503129"/>
      <w:bookmarkStart w:id="791" w:name="_Toc296346630"/>
      <w:bookmarkStart w:id="792" w:name="_Toc351203604"/>
      <w:bookmarkStart w:id="793" w:name="_Toc337558821"/>
      <w:r>
        <w:rPr>
          <w:rFonts w:hint="eastAsia" w:ascii="宋体" w:hAnsi="宋体" w:cs="宋体"/>
          <w:color w:val="000000"/>
          <w:sz w:val="22"/>
          <w:szCs w:val="22"/>
          <w:highlight w:val="none"/>
        </w:rPr>
        <w:t>16.1 发</w:t>
      </w:r>
      <w:bookmarkEnd w:id="790"/>
      <w:bookmarkEnd w:id="791"/>
      <w:r>
        <w:rPr>
          <w:rFonts w:hint="eastAsia" w:ascii="宋体" w:hAnsi="宋体" w:cs="宋体"/>
          <w:color w:val="000000"/>
          <w:sz w:val="22"/>
          <w:szCs w:val="22"/>
          <w:highlight w:val="none"/>
        </w:rPr>
        <w:t>包人违约</w:t>
      </w:r>
      <w:bookmarkEnd w:id="792"/>
    </w:p>
    <w:bookmarkEnd w:id="793"/>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16.1.1 发包人违约的情形</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在合同履行过程中发生的下列情形，属于发包人违约：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（1）因发包人原因未能在计划开工日期前7天内下达开工通知的；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（2）因发包人原因未能按合同约定支付合同价款的；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（3）发包人违反第10.1款〔变更的范围〕第（2）项约定，自行实施被取消的工作或转由他人实施的；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（5）因发包人违反合同约定造成暂停施工的；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（6）发包人无正当理由没有在约定期限内发出复工指示，导致承包人无法复工的；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（7）发包人明确表示或者以其行为表明不履行合同主要义务的；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（8）发包人未能按照合同约定履行其他义务的。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16.1.2 发包人违约的责任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16.1.3 因发包人违约解除合同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16.1.4 因发包人违约解除合同后的付款</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承包人按照本款约定解除合同的，发包人应在解除合同后28天内支付下列款项，并解除履约担保：</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（1）合同解除前所完成工作的价款；</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（2）承包人为工程施工订购并已付款的材料、工程设备和其他物品的价款；</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（3）承包人撤离施工现场以及遣散承包人人员的款项；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（4）按照合同约定在合同解除前应支付的违约金；</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（5）按照合同约定应当支付给承包人的其他款项；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（6）按照合同约定应退还的质量保证金；</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（7）因解除合同给承包人造成的损失。</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合同当事人未能就解除合同后的结清达成一致的，按照第20条〔争议解决〕的约定处理。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承包人应妥善做好已完工程和与工程有关的已购材料、工程设备的保护和移交工作，并将施工设备和人员撤出施工现场，发包人应为承包人撤出提供必要条件。</w:t>
      </w:r>
    </w:p>
    <w:p>
      <w:pPr>
        <w:spacing w:before="120" w:after="120" w:line="360" w:lineRule="auto"/>
        <w:ind w:firstLine="440" w:firstLineChars="200"/>
        <w:rPr>
          <w:rFonts w:ascii="宋体" w:hAnsi="宋体" w:cs="宋体"/>
          <w:color w:val="000000"/>
          <w:sz w:val="22"/>
          <w:szCs w:val="22"/>
          <w:highlight w:val="none"/>
        </w:rPr>
      </w:pPr>
      <w:bookmarkStart w:id="794" w:name="_Toc351203605"/>
      <w:bookmarkStart w:id="795" w:name="_Toc296346632"/>
      <w:bookmarkStart w:id="796" w:name="_Toc337558822"/>
      <w:bookmarkStart w:id="797" w:name="_Toc296503131"/>
      <w:r>
        <w:rPr>
          <w:rFonts w:hint="eastAsia" w:ascii="宋体" w:hAnsi="宋体" w:cs="宋体"/>
          <w:color w:val="000000"/>
          <w:sz w:val="22"/>
          <w:szCs w:val="22"/>
          <w:highlight w:val="none"/>
        </w:rPr>
        <w:t>16.2 承包人违约</w:t>
      </w:r>
      <w:bookmarkEnd w:id="794"/>
    </w:p>
    <w:bookmarkEnd w:id="795"/>
    <w:bookmarkEnd w:id="796"/>
    <w:bookmarkEnd w:id="797"/>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16.2.1 承包人违约的情形</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在合同履行过程中发生的下列情形，属于承包人违约：</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（1）承包人违反合同约定进行转包或违法分包的；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（2）承包人违反合同约定采购和使用不合格的材料和工程设备的；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（3）因承包人原因导致工程质量不符合合同要求的；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（4）承包人违反第8.9款〔材料与设备专用要求〕的约定，未经批准，私自将已按照合同约定进入施工现场的材料或设备撤离施工现场的；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（5）承包人未能按施工进度计划及时完成合同约定的工作，造成工期延误的；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（6）承包人在缺陷责任期及保修期内，未能在合理期限对工程缺陷进行修复，或拒绝按发包人要求进行修复的；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（7）承包人明确表示或者以其行为表明不履行合同主要义务的；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（8）承包人未能按照合同约定履行其他义务的。</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承包人发生除本项第（7）目约定以外的其他违约情况时，监理人可向承包人发出整改通知，要求其在指定的期限内改正。</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16.2.2 承包人违约的责任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16.2.3 因承包人违约解除合同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16.2.4因承包人违约解除合同后的处理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因承包人原因导致合同解除的，则合同当事人应在合同解除后28天内完成估价、付款和清算，并按以下约定执行：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（1）合同解除后，按第4.4款〔商定或确定〕商定或确定承包人实际完成工作对应的合同价款，以及承包人已提供的材料、工程设备、施工设备和临时工程等的价值；</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（2）合同解除后，承包人应支付的违约金；</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（3）合同解除后，因解除合同给发包人造成的损失；</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（4）合同解除后，承包人应按照发包人要求和监理人的指示完成现场的清理和撤离；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（5）发包人和承包人应在合同解除后进行清算，出具最终结清付款证书，结清全部款项。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16.2.5采购合同权益转让</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before="120" w:after="120" w:line="360" w:lineRule="auto"/>
        <w:ind w:firstLine="440" w:firstLineChars="200"/>
        <w:rPr>
          <w:rFonts w:ascii="宋体" w:hAnsi="宋体" w:cs="宋体"/>
          <w:color w:val="000000"/>
          <w:sz w:val="22"/>
          <w:szCs w:val="22"/>
          <w:highlight w:val="none"/>
        </w:rPr>
      </w:pPr>
      <w:bookmarkStart w:id="798" w:name="_Toc351203606"/>
      <w:r>
        <w:rPr>
          <w:rFonts w:hint="eastAsia" w:ascii="宋体" w:hAnsi="宋体" w:cs="宋体"/>
          <w:color w:val="000000"/>
          <w:sz w:val="22"/>
          <w:szCs w:val="22"/>
          <w:highlight w:val="none"/>
        </w:rPr>
        <w:t>16.3 第三人造成的违约</w:t>
      </w:r>
      <w:bookmarkEnd w:id="798"/>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在履行合同过程中，一方当事人因第三人的原因造成违约的，应当向对方当事人承担违约责任。一方当事人和第三人之间的纠纷，依照法律规定或者按照约定解决。</w:t>
      </w:r>
    </w:p>
    <w:p>
      <w:pPr>
        <w:spacing w:before="120" w:after="120" w:line="360" w:lineRule="auto"/>
        <w:rPr>
          <w:rFonts w:ascii="宋体" w:hAnsi="宋体" w:cs="宋体"/>
          <w:color w:val="000000"/>
          <w:sz w:val="22"/>
          <w:szCs w:val="22"/>
          <w:highlight w:val="none"/>
        </w:rPr>
      </w:pPr>
      <w:bookmarkStart w:id="799" w:name="_Toc351203607"/>
      <w:bookmarkStart w:id="800" w:name="_Toc296346617"/>
      <w:bookmarkStart w:id="801" w:name="_Toc337558823"/>
      <w:bookmarkStart w:id="802" w:name="_Toc296503116"/>
      <w:r>
        <w:rPr>
          <w:rFonts w:hint="eastAsia" w:ascii="宋体" w:hAnsi="宋体" w:cs="宋体"/>
          <w:color w:val="000000"/>
          <w:sz w:val="22"/>
          <w:szCs w:val="22"/>
          <w:highlight w:val="none"/>
        </w:rPr>
        <w:t>17. 不可抗力</w:t>
      </w:r>
      <w:bookmarkEnd w:id="799"/>
      <w:r>
        <w:rPr>
          <w:rFonts w:hint="eastAsia" w:ascii="宋体" w:hAnsi="宋体" w:cs="宋体"/>
          <w:color w:val="000000"/>
          <w:sz w:val="22"/>
          <w:szCs w:val="22"/>
          <w:highlight w:val="none"/>
        </w:rPr>
        <w:t xml:space="preserve"> </w:t>
      </w:r>
      <w:bookmarkEnd w:id="800"/>
      <w:bookmarkEnd w:id="801"/>
      <w:bookmarkEnd w:id="802"/>
    </w:p>
    <w:p>
      <w:pPr>
        <w:spacing w:before="120" w:after="120" w:line="360" w:lineRule="auto"/>
        <w:ind w:firstLine="440" w:firstLineChars="200"/>
        <w:rPr>
          <w:rFonts w:ascii="宋体" w:hAnsi="宋体" w:cs="宋体"/>
          <w:color w:val="000000"/>
          <w:sz w:val="22"/>
          <w:szCs w:val="22"/>
          <w:highlight w:val="none"/>
        </w:rPr>
      </w:pPr>
      <w:bookmarkStart w:id="803" w:name="_Toc351203608"/>
      <w:bookmarkStart w:id="804" w:name="_Toc296503117"/>
      <w:bookmarkStart w:id="805" w:name="_Toc337558824"/>
      <w:bookmarkStart w:id="806" w:name="_Toc296346618"/>
      <w:r>
        <w:rPr>
          <w:rFonts w:hint="eastAsia" w:ascii="宋体" w:hAnsi="宋体" w:cs="宋体"/>
          <w:color w:val="000000"/>
          <w:sz w:val="22"/>
          <w:szCs w:val="22"/>
          <w:highlight w:val="none"/>
        </w:rPr>
        <w:t>17.1 不可抗力的确认</w:t>
      </w:r>
      <w:bookmarkEnd w:id="803"/>
    </w:p>
    <w:bookmarkEnd w:id="804"/>
    <w:bookmarkEnd w:id="805"/>
    <w:bookmarkEnd w:id="806"/>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before="120" w:after="120" w:line="360" w:lineRule="auto"/>
        <w:ind w:firstLine="440" w:firstLineChars="200"/>
        <w:rPr>
          <w:rFonts w:ascii="宋体" w:hAnsi="宋体" w:cs="宋体"/>
          <w:color w:val="000000"/>
          <w:sz w:val="22"/>
          <w:szCs w:val="22"/>
          <w:highlight w:val="none"/>
        </w:rPr>
      </w:pPr>
      <w:bookmarkStart w:id="807" w:name="_Toc351203609"/>
      <w:bookmarkStart w:id="808" w:name="_Toc296346619"/>
      <w:bookmarkStart w:id="809" w:name="_Toc337558825"/>
      <w:bookmarkStart w:id="810" w:name="_Toc296503118"/>
      <w:r>
        <w:rPr>
          <w:rFonts w:hint="eastAsia" w:ascii="宋体" w:hAnsi="宋体" w:cs="宋体"/>
          <w:color w:val="000000"/>
          <w:sz w:val="22"/>
          <w:szCs w:val="22"/>
          <w:highlight w:val="none"/>
        </w:rPr>
        <w:t>17.2 不可抗力的通知</w:t>
      </w:r>
      <w:bookmarkEnd w:id="807"/>
    </w:p>
    <w:bookmarkEnd w:id="808"/>
    <w:bookmarkEnd w:id="809"/>
    <w:bookmarkEnd w:id="810"/>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spacing w:before="120" w:after="120" w:line="360" w:lineRule="auto"/>
        <w:ind w:firstLine="440" w:firstLineChars="200"/>
        <w:rPr>
          <w:rFonts w:ascii="宋体" w:hAnsi="宋体" w:cs="宋体"/>
          <w:color w:val="000000"/>
          <w:sz w:val="22"/>
          <w:szCs w:val="22"/>
          <w:highlight w:val="none"/>
        </w:rPr>
      </w:pPr>
      <w:bookmarkStart w:id="811" w:name="_Toc351203610"/>
      <w:bookmarkStart w:id="812" w:name="_Toc337558826"/>
      <w:bookmarkStart w:id="813" w:name="_Toc296503119"/>
      <w:bookmarkStart w:id="814" w:name="_Toc296346620"/>
      <w:r>
        <w:rPr>
          <w:rFonts w:hint="eastAsia" w:ascii="宋体" w:hAnsi="宋体" w:cs="宋体"/>
          <w:color w:val="000000"/>
          <w:sz w:val="22"/>
          <w:szCs w:val="22"/>
          <w:highlight w:val="none"/>
        </w:rPr>
        <w:t>17.3 不可抗力后果的承担</w:t>
      </w:r>
      <w:bookmarkEnd w:id="811"/>
    </w:p>
    <w:bookmarkEnd w:id="812"/>
    <w:bookmarkEnd w:id="813"/>
    <w:bookmarkEnd w:id="814"/>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17.3.2 不可抗力导致的人员伤亡、财产损失、费用增加和（或）工期延误等后果，由合同当事人按以下原则承担：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（2）承包人施工设备的损坏由承包人承担；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（3）发包人和承包人承担各自人员伤亡和财产的损失；</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（5）因不可抗力引起或将引起工期延误，发包人要求赶工的，由此增加的赶工费用由发包人承担；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（6）承包人在停工期间按照发包人要求照管、清理和修复工程的费用由发包人承担。</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因合同一方迟延履行合同义务，在迟延履行期间遭遇不可抗力的，不免除其违约责任。</w:t>
      </w:r>
    </w:p>
    <w:p>
      <w:pPr>
        <w:spacing w:before="120" w:after="120" w:line="360" w:lineRule="auto"/>
        <w:ind w:firstLine="440" w:firstLineChars="200"/>
        <w:rPr>
          <w:rFonts w:ascii="宋体" w:hAnsi="宋体" w:cs="宋体"/>
          <w:color w:val="000000"/>
          <w:sz w:val="22"/>
          <w:szCs w:val="22"/>
          <w:highlight w:val="none"/>
        </w:rPr>
      </w:pPr>
      <w:bookmarkStart w:id="815" w:name="_Toc351203611"/>
      <w:bookmarkStart w:id="816" w:name="_Toc337558827"/>
      <w:r>
        <w:rPr>
          <w:rFonts w:hint="eastAsia" w:ascii="宋体" w:hAnsi="宋体" w:cs="宋体"/>
          <w:color w:val="000000"/>
          <w:sz w:val="22"/>
          <w:szCs w:val="22"/>
          <w:highlight w:val="none"/>
        </w:rPr>
        <w:t>17.4 因不可抗力解除合同</w:t>
      </w:r>
      <w:bookmarkEnd w:id="815"/>
    </w:p>
    <w:bookmarkEnd w:id="816"/>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（1）合同解除前承包人已完成工作的价款；</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（2）承包人为工程订购的并已交付给承包人，或承包人有责任接受交付的材料、工程设备和其他物品的价款；</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（3）发包人要求承包人退货或解除订货合同而产生的费用，或因不能退货或解除合同而产生的损失；</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（4）承包人撤离施工现场以及遣散承包人人员的费用；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（5）按照合同约定在合同解除前应支付给承包人的其他款项；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（6）扣减承包人按照合同约定应向发包人支付的款项；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（7）双方商定或确定的其他款项。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除专用合同条款另有约定外，合同解除后，发包人应在商定或确定上述款项后28天内完成上述款项的支付。</w:t>
      </w:r>
    </w:p>
    <w:p>
      <w:pPr>
        <w:spacing w:before="120" w:after="120" w:line="360" w:lineRule="auto"/>
        <w:rPr>
          <w:rFonts w:ascii="宋体" w:hAnsi="宋体" w:cs="宋体"/>
          <w:color w:val="000000"/>
          <w:sz w:val="22"/>
          <w:szCs w:val="22"/>
          <w:highlight w:val="none"/>
        </w:rPr>
      </w:pPr>
      <w:bookmarkStart w:id="817" w:name="_Toc351203612"/>
      <w:bookmarkStart w:id="818" w:name="_Toc296346621"/>
      <w:bookmarkStart w:id="819" w:name="_Toc296503120"/>
      <w:bookmarkStart w:id="820" w:name="_Toc337558828"/>
      <w:r>
        <w:rPr>
          <w:rFonts w:hint="eastAsia" w:ascii="宋体" w:hAnsi="宋体" w:cs="宋体"/>
          <w:color w:val="000000"/>
          <w:sz w:val="22"/>
          <w:szCs w:val="22"/>
          <w:highlight w:val="none"/>
        </w:rPr>
        <w:t>18. 保险</w:t>
      </w:r>
      <w:bookmarkEnd w:id="817"/>
    </w:p>
    <w:bookmarkEnd w:id="818"/>
    <w:bookmarkEnd w:id="819"/>
    <w:bookmarkEnd w:id="820"/>
    <w:p>
      <w:pPr>
        <w:spacing w:before="120" w:after="120" w:line="360" w:lineRule="auto"/>
        <w:ind w:firstLine="440" w:firstLineChars="200"/>
        <w:rPr>
          <w:rFonts w:ascii="宋体" w:hAnsi="宋体" w:cs="宋体"/>
          <w:color w:val="000000"/>
          <w:sz w:val="22"/>
          <w:szCs w:val="22"/>
          <w:highlight w:val="none"/>
        </w:rPr>
      </w:pPr>
      <w:bookmarkStart w:id="821" w:name="_Toc351203613"/>
      <w:bookmarkStart w:id="822" w:name="_Toc296346622"/>
      <w:bookmarkStart w:id="823" w:name="_Toc337558829"/>
      <w:bookmarkStart w:id="824" w:name="_Toc296503121"/>
      <w:r>
        <w:rPr>
          <w:rFonts w:hint="eastAsia" w:ascii="宋体" w:hAnsi="宋体" w:cs="宋体"/>
          <w:color w:val="000000"/>
          <w:sz w:val="22"/>
          <w:szCs w:val="22"/>
          <w:highlight w:val="none"/>
        </w:rPr>
        <w:t>18.1 工程保险</w:t>
      </w:r>
      <w:bookmarkEnd w:id="821"/>
    </w:p>
    <w:bookmarkEnd w:id="822"/>
    <w:bookmarkEnd w:id="823"/>
    <w:bookmarkEnd w:id="824"/>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除专用合同条款另有约定外，发包人应投保建筑工程一切险或安装工程一切险；发包人委托承包人投保的，因投保产生的保险费和其他相关费用由发包人承担。</w:t>
      </w:r>
    </w:p>
    <w:p>
      <w:pPr>
        <w:spacing w:before="120" w:after="120" w:line="360" w:lineRule="auto"/>
        <w:ind w:firstLine="440" w:firstLineChars="200"/>
        <w:rPr>
          <w:rFonts w:ascii="宋体" w:hAnsi="宋体" w:cs="宋体"/>
          <w:color w:val="000000"/>
          <w:sz w:val="22"/>
          <w:szCs w:val="22"/>
          <w:highlight w:val="none"/>
        </w:rPr>
      </w:pPr>
      <w:bookmarkStart w:id="825" w:name="_Toc351203614"/>
      <w:bookmarkStart w:id="826" w:name="_Toc337558830"/>
      <w:bookmarkStart w:id="827" w:name="_Toc296346623"/>
      <w:bookmarkStart w:id="828" w:name="_Toc296503122"/>
      <w:r>
        <w:rPr>
          <w:rFonts w:hint="eastAsia" w:ascii="宋体" w:hAnsi="宋体" w:cs="宋体"/>
          <w:color w:val="000000"/>
          <w:sz w:val="22"/>
          <w:szCs w:val="22"/>
          <w:highlight w:val="none"/>
        </w:rPr>
        <w:t>18.2 工伤保险</w:t>
      </w:r>
      <w:bookmarkEnd w:id="825"/>
    </w:p>
    <w:bookmarkEnd w:id="826"/>
    <w:bookmarkEnd w:id="827"/>
    <w:bookmarkEnd w:id="828"/>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18.2.2 承包人应依照法律规定参加工伤保险，并为其履行合同的全部员工办理工伤保险，缴纳工伤保险费，并要求分包人及由承包人为履行合同聘请的第三方依法参加工伤保险。</w:t>
      </w:r>
    </w:p>
    <w:p>
      <w:pPr>
        <w:spacing w:before="120" w:after="120" w:line="360" w:lineRule="auto"/>
        <w:ind w:firstLine="440" w:firstLineChars="200"/>
        <w:rPr>
          <w:rFonts w:ascii="宋体" w:hAnsi="宋体" w:cs="宋体"/>
          <w:color w:val="000000"/>
          <w:sz w:val="22"/>
          <w:szCs w:val="22"/>
          <w:highlight w:val="none"/>
        </w:rPr>
      </w:pPr>
      <w:bookmarkStart w:id="829" w:name="_Toc351203615"/>
      <w:bookmarkStart w:id="830" w:name="_Toc296346626"/>
      <w:bookmarkStart w:id="831" w:name="_Toc337558831"/>
      <w:bookmarkStart w:id="832" w:name="_Toc296503125"/>
      <w:r>
        <w:rPr>
          <w:rFonts w:hint="eastAsia" w:ascii="宋体" w:hAnsi="宋体" w:cs="宋体"/>
          <w:color w:val="000000"/>
          <w:sz w:val="22"/>
          <w:szCs w:val="22"/>
          <w:highlight w:val="none"/>
        </w:rPr>
        <w:t>18.3其他保险</w:t>
      </w:r>
      <w:bookmarkEnd w:id="829"/>
    </w:p>
    <w:bookmarkEnd w:id="830"/>
    <w:bookmarkEnd w:id="831"/>
    <w:bookmarkEnd w:id="832"/>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除专用合同条款另有约定外，承包人应为其施工设备等办理财产保险。</w:t>
      </w:r>
    </w:p>
    <w:p>
      <w:pPr>
        <w:spacing w:before="120" w:after="120" w:line="360" w:lineRule="auto"/>
        <w:ind w:firstLine="440" w:firstLineChars="200"/>
        <w:rPr>
          <w:rFonts w:ascii="宋体" w:hAnsi="宋体" w:cs="宋体"/>
          <w:color w:val="000000"/>
          <w:sz w:val="22"/>
          <w:szCs w:val="22"/>
          <w:highlight w:val="none"/>
        </w:rPr>
      </w:pPr>
      <w:bookmarkStart w:id="833" w:name="_Toc351203616"/>
      <w:r>
        <w:rPr>
          <w:rFonts w:hint="eastAsia" w:ascii="宋体" w:hAnsi="宋体" w:cs="宋体"/>
          <w:color w:val="000000"/>
          <w:sz w:val="22"/>
          <w:szCs w:val="22"/>
          <w:highlight w:val="none"/>
        </w:rPr>
        <w:t>18.4持续保险</w:t>
      </w:r>
      <w:bookmarkEnd w:id="833"/>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合同当事人应与保险人保持联系，使保险人能够随时了解工程实施中的变动，并确保按保险合同条款要求持续保险。</w:t>
      </w:r>
    </w:p>
    <w:p>
      <w:pPr>
        <w:spacing w:before="120" w:after="120" w:line="360" w:lineRule="auto"/>
        <w:ind w:firstLine="440" w:firstLineChars="200"/>
        <w:rPr>
          <w:rFonts w:ascii="宋体" w:hAnsi="宋体" w:cs="宋体"/>
          <w:color w:val="000000"/>
          <w:sz w:val="22"/>
          <w:szCs w:val="22"/>
          <w:highlight w:val="none"/>
        </w:rPr>
      </w:pPr>
      <w:bookmarkStart w:id="834" w:name="_Toc351203617"/>
      <w:bookmarkStart w:id="835" w:name="_Toc337558832"/>
      <w:bookmarkStart w:id="836" w:name="_Toc296503126"/>
      <w:bookmarkStart w:id="837" w:name="_Toc296346627"/>
      <w:r>
        <w:rPr>
          <w:rFonts w:hint="eastAsia" w:ascii="宋体" w:hAnsi="宋体" w:cs="宋体"/>
          <w:color w:val="000000"/>
          <w:sz w:val="22"/>
          <w:szCs w:val="22"/>
          <w:highlight w:val="none"/>
        </w:rPr>
        <w:t>18.5 保险凭证</w:t>
      </w:r>
      <w:bookmarkEnd w:id="834"/>
    </w:p>
    <w:bookmarkEnd w:id="835"/>
    <w:bookmarkEnd w:id="836"/>
    <w:bookmarkEnd w:id="837"/>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合同当事人应及时向另一方当事人提交其已投保的各项保险的凭证和保险单复印件。</w:t>
      </w:r>
    </w:p>
    <w:p>
      <w:pPr>
        <w:spacing w:before="120" w:after="120" w:line="360" w:lineRule="auto"/>
        <w:ind w:firstLine="440" w:firstLineChars="200"/>
        <w:rPr>
          <w:rFonts w:ascii="宋体" w:hAnsi="宋体" w:cs="宋体"/>
          <w:color w:val="000000"/>
          <w:sz w:val="22"/>
          <w:szCs w:val="22"/>
          <w:highlight w:val="none"/>
        </w:rPr>
      </w:pPr>
      <w:bookmarkStart w:id="838" w:name="_Toc351203618"/>
      <w:bookmarkStart w:id="839" w:name="_Toc296503127"/>
      <w:bookmarkStart w:id="840" w:name="_Toc296346628"/>
      <w:bookmarkStart w:id="841" w:name="_Toc337558833"/>
      <w:r>
        <w:rPr>
          <w:rFonts w:hint="eastAsia" w:ascii="宋体" w:hAnsi="宋体" w:cs="宋体"/>
          <w:color w:val="000000"/>
          <w:sz w:val="22"/>
          <w:szCs w:val="22"/>
          <w:highlight w:val="none"/>
        </w:rPr>
        <w:t>18.6 未按约定投保的补救</w:t>
      </w:r>
      <w:bookmarkEnd w:id="838"/>
    </w:p>
    <w:bookmarkEnd w:id="839"/>
    <w:bookmarkEnd w:id="840"/>
    <w:bookmarkEnd w:id="841"/>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18.6.2承包人未按合同约定办理保险，或未能使保险持续有效的，则发包人可代为办理，所需费用由承包人承担。承包人未按合同约定办理保险，导致未能得到足额赔偿的，由承包人负责补足。</w:t>
      </w:r>
    </w:p>
    <w:p>
      <w:pPr>
        <w:spacing w:before="120" w:after="120" w:line="360" w:lineRule="auto"/>
        <w:ind w:firstLine="440" w:firstLineChars="200"/>
        <w:rPr>
          <w:rFonts w:ascii="宋体" w:hAnsi="宋体" w:cs="宋体"/>
          <w:color w:val="000000"/>
          <w:sz w:val="22"/>
          <w:szCs w:val="22"/>
          <w:highlight w:val="none"/>
        </w:rPr>
      </w:pPr>
      <w:bookmarkStart w:id="842" w:name="_Toc351203619"/>
      <w:bookmarkStart w:id="843" w:name="_Toc337558834"/>
      <w:r>
        <w:rPr>
          <w:rFonts w:hint="eastAsia" w:ascii="宋体" w:hAnsi="宋体" w:cs="宋体"/>
          <w:color w:val="000000"/>
          <w:sz w:val="22"/>
          <w:szCs w:val="22"/>
          <w:highlight w:val="none"/>
        </w:rPr>
        <w:t>18.7 通知义务</w:t>
      </w:r>
      <w:bookmarkEnd w:id="842"/>
    </w:p>
    <w:bookmarkEnd w:id="843"/>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保险事故发生时，投保人应按照保险合同规定的条件和期限及时向保险人报告。发包人和承包人应当在知道保险事故发生后及时通知对方。</w:t>
      </w:r>
    </w:p>
    <w:p>
      <w:pPr>
        <w:spacing w:before="120" w:after="120" w:line="360" w:lineRule="auto"/>
        <w:rPr>
          <w:rFonts w:ascii="宋体" w:hAnsi="宋体" w:cs="宋体"/>
          <w:color w:val="000000"/>
          <w:sz w:val="22"/>
          <w:szCs w:val="22"/>
          <w:highlight w:val="none"/>
        </w:rPr>
      </w:pPr>
      <w:bookmarkStart w:id="844" w:name="_Toc351203620"/>
      <w:bookmarkStart w:id="845" w:name="_Toc337558835"/>
      <w:bookmarkStart w:id="846" w:name="_Toc296503140"/>
      <w:bookmarkStart w:id="847" w:name="_Toc296346641"/>
      <w:r>
        <w:rPr>
          <w:rFonts w:hint="eastAsia" w:ascii="宋体" w:hAnsi="宋体" w:cs="宋体"/>
          <w:color w:val="000000"/>
          <w:sz w:val="22"/>
          <w:szCs w:val="22"/>
          <w:highlight w:val="none"/>
        </w:rPr>
        <w:t>19. 索赔</w:t>
      </w:r>
      <w:bookmarkEnd w:id="844"/>
    </w:p>
    <w:bookmarkEnd w:id="845"/>
    <w:bookmarkEnd w:id="846"/>
    <w:bookmarkEnd w:id="847"/>
    <w:p>
      <w:pPr>
        <w:spacing w:before="120" w:after="120" w:line="360" w:lineRule="auto"/>
        <w:ind w:firstLine="440" w:firstLineChars="200"/>
        <w:rPr>
          <w:rFonts w:ascii="宋体" w:hAnsi="宋体" w:cs="宋体"/>
          <w:color w:val="000000"/>
          <w:sz w:val="22"/>
          <w:szCs w:val="22"/>
          <w:highlight w:val="none"/>
        </w:rPr>
      </w:pPr>
      <w:bookmarkStart w:id="848" w:name="_Toc351203621"/>
      <w:bookmarkStart w:id="849" w:name="_Toc296346642"/>
      <w:bookmarkStart w:id="850" w:name="_Toc296503141"/>
      <w:bookmarkStart w:id="851" w:name="_Toc337558836"/>
      <w:r>
        <w:rPr>
          <w:rFonts w:hint="eastAsia" w:ascii="宋体" w:hAnsi="宋体" w:cs="宋体"/>
          <w:color w:val="000000"/>
          <w:sz w:val="22"/>
          <w:szCs w:val="22"/>
          <w:highlight w:val="none"/>
        </w:rPr>
        <w:t>19.1承包人的索赔</w:t>
      </w:r>
      <w:bookmarkEnd w:id="848"/>
    </w:p>
    <w:bookmarkEnd w:id="849"/>
    <w:bookmarkEnd w:id="850"/>
    <w:bookmarkEnd w:id="851"/>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根据合同约定，承包人认为有权得到追加付款和（或）延长工期的，应按以下程序向发包人提出索赔：</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（4）在索赔事件影响结束后28天内，承包人应向监理人递交最终索赔报告，说明最终要求索赔的追加付款金额和（或）延长的工期，并附必要的记录和证明材料。</w:t>
      </w:r>
    </w:p>
    <w:p>
      <w:pPr>
        <w:spacing w:before="120" w:after="120" w:line="360" w:lineRule="auto"/>
        <w:ind w:firstLine="440" w:firstLineChars="200"/>
        <w:rPr>
          <w:rFonts w:ascii="宋体" w:hAnsi="宋体" w:cs="宋体"/>
          <w:color w:val="000000"/>
          <w:sz w:val="22"/>
          <w:szCs w:val="22"/>
          <w:highlight w:val="none"/>
        </w:rPr>
      </w:pPr>
      <w:bookmarkStart w:id="852" w:name="_Toc351203622"/>
      <w:bookmarkStart w:id="853" w:name="_Toc337558837"/>
      <w:bookmarkStart w:id="854" w:name="_Toc296346643"/>
      <w:bookmarkStart w:id="855" w:name="_Toc296503142"/>
      <w:r>
        <w:rPr>
          <w:rFonts w:hint="eastAsia" w:ascii="宋体" w:hAnsi="宋体" w:cs="宋体"/>
          <w:color w:val="000000"/>
          <w:sz w:val="22"/>
          <w:szCs w:val="22"/>
          <w:highlight w:val="none"/>
        </w:rPr>
        <w:t>19.2 对承包人索赔的处理</w:t>
      </w:r>
      <w:bookmarkEnd w:id="852"/>
    </w:p>
    <w:bookmarkEnd w:id="853"/>
    <w:bookmarkEnd w:id="854"/>
    <w:bookmarkEnd w:id="855"/>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对承包人索赔的处理如下：</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（3）承包人接受索赔处理结果的，索赔款项在当期进度款中进行支付；承包人不接受索赔处理结果的，按照第20条〔争议解决〕约定处理。</w:t>
      </w:r>
    </w:p>
    <w:p>
      <w:pPr>
        <w:spacing w:before="120" w:after="120" w:line="360" w:lineRule="auto"/>
        <w:ind w:firstLine="440" w:firstLineChars="200"/>
        <w:rPr>
          <w:rFonts w:ascii="宋体" w:hAnsi="宋体" w:cs="宋体"/>
          <w:color w:val="000000"/>
          <w:sz w:val="22"/>
          <w:szCs w:val="22"/>
          <w:highlight w:val="none"/>
        </w:rPr>
      </w:pPr>
      <w:bookmarkStart w:id="856" w:name="_Toc351203623"/>
      <w:bookmarkStart w:id="857" w:name="_Toc296503143"/>
      <w:bookmarkStart w:id="858" w:name="_Toc296346644"/>
      <w:bookmarkStart w:id="859" w:name="_Toc337558838"/>
      <w:r>
        <w:rPr>
          <w:rFonts w:hint="eastAsia" w:ascii="宋体" w:hAnsi="宋体" w:cs="宋体"/>
          <w:color w:val="000000"/>
          <w:sz w:val="22"/>
          <w:szCs w:val="22"/>
          <w:highlight w:val="none"/>
        </w:rPr>
        <w:t>19.3发包人的索赔</w:t>
      </w:r>
      <w:bookmarkEnd w:id="856"/>
    </w:p>
    <w:bookmarkEnd w:id="857"/>
    <w:bookmarkEnd w:id="858"/>
    <w:bookmarkEnd w:id="859"/>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根据合同约定，发包人认为有权得到赔付金额和（或）延长缺陷责任期的，监理人应向承包人发出通知并附有详细的证明。</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before="120" w:after="120" w:line="360" w:lineRule="auto"/>
        <w:ind w:firstLine="440" w:firstLineChars="200"/>
        <w:rPr>
          <w:rFonts w:ascii="宋体" w:hAnsi="宋体" w:cs="宋体"/>
          <w:color w:val="000000"/>
          <w:sz w:val="22"/>
          <w:szCs w:val="22"/>
          <w:highlight w:val="none"/>
        </w:rPr>
      </w:pPr>
      <w:bookmarkStart w:id="860" w:name="_Toc351203624"/>
      <w:bookmarkStart w:id="861" w:name="_Toc337558839"/>
      <w:bookmarkStart w:id="862" w:name="_Toc296503144"/>
      <w:bookmarkStart w:id="863" w:name="_Toc296346645"/>
      <w:r>
        <w:rPr>
          <w:rFonts w:hint="eastAsia" w:ascii="宋体" w:hAnsi="宋体" w:cs="宋体"/>
          <w:color w:val="000000"/>
          <w:sz w:val="22"/>
          <w:szCs w:val="22"/>
          <w:highlight w:val="none"/>
        </w:rPr>
        <w:t>19.4 对发包人索赔的处理</w:t>
      </w:r>
      <w:bookmarkEnd w:id="860"/>
    </w:p>
    <w:bookmarkEnd w:id="861"/>
    <w:bookmarkEnd w:id="862"/>
    <w:bookmarkEnd w:id="863"/>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对发包人索赔的处理如下：</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（1）承包人收到发包人提交的索赔报告后，应及时审查索赔报告的内容、查验发包人证明材料；</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（3）承包人接受索赔处理结果的，发包人可从应支付给承包人的合同价款中扣除赔付的金额或延长缺陷责任期；发包人不接受索赔处理结果的，按第20条〔争议解决〕约定处理。</w:t>
      </w:r>
    </w:p>
    <w:p>
      <w:pPr>
        <w:spacing w:before="120" w:after="120" w:line="360" w:lineRule="auto"/>
        <w:ind w:firstLine="440" w:firstLineChars="200"/>
        <w:rPr>
          <w:rFonts w:ascii="宋体" w:hAnsi="宋体" w:cs="宋体"/>
          <w:color w:val="000000"/>
          <w:sz w:val="22"/>
          <w:szCs w:val="22"/>
          <w:highlight w:val="none"/>
        </w:rPr>
      </w:pPr>
      <w:bookmarkStart w:id="864" w:name="_Toc351203625"/>
      <w:r>
        <w:rPr>
          <w:rFonts w:hint="eastAsia" w:ascii="宋体" w:hAnsi="宋体" w:cs="宋体"/>
          <w:color w:val="000000"/>
          <w:sz w:val="22"/>
          <w:szCs w:val="22"/>
          <w:highlight w:val="none"/>
        </w:rPr>
        <w:t>19.5 提出索赔的期限</w:t>
      </w:r>
      <w:bookmarkEnd w:id="864"/>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（1）承包人按第14.2款〔竣工结算审核〕约定接收竣工付款证书后，应被视为已无权再提出在工程接收证书颁发前所发生的任何索赔。</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（2）承包人按第14.4款〔最终结清〕提交的最终结清申请单中，只限于提出工程接收证书颁发后发生的索赔。提出索赔的期限自接受最终结清证书时终止。</w:t>
      </w:r>
    </w:p>
    <w:p>
      <w:pPr>
        <w:spacing w:before="120" w:after="120" w:line="360" w:lineRule="auto"/>
        <w:rPr>
          <w:rFonts w:ascii="宋体" w:hAnsi="宋体" w:cs="宋体"/>
          <w:color w:val="000000"/>
          <w:sz w:val="22"/>
          <w:szCs w:val="22"/>
          <w:highlight w:val="none"/>
        </w:rPr>
      </w:pPr>
      <w:bookmarkStart w:id="865" w:name="_Toc351203626"/>
      <w:r>
        <w:rPr>
          <w:rFonts w:hint="eastAsia" w:ascii="宋体" w:hAnsi="宋体" w:cs="宋体"/>
          <w:color w:val="000000"/>
          <w:sz w:val="22"/>
          <w:szCs w:val="22"/>
          <w:highlight w:val="none"/>
        </w:rPr>
        <w:t>20</w:t>
      </w:r>
      <w:bookmarkStart w:id="866" w:name="_Toc337558840"/>
      <w:bookmarkStart w:id="867" w:name="_Toc296346647"/>
      <w:bookmarkStart w:id="868" w:name="_Toc296503146"/>
      <w:r>
        <w:rPr>
          <w:rFonts w:hint="eastAsia" w:ascii="宋体" w:hAnsi="宋体" w:cs="宋体"/>
          <w:color w:val="000000"/>
          <w:sz w:val="22"/>
          <w:szCs w:val="22"/>
          <w:highlight w:val="none"/>
        </w:rPr>
        <w:t>. 争议解决</w:t>
      </w:r>
      <w:bookmarkEnd w:id="865"/>
    </w:p>
    <w:bookmarkEnd w:id="866"/>
    <w:bookmarkEnd w:id="867"/>
    <w:bookmarkEnd w:id="868"/>
    <w:p>
      <w:pPr>
        <w:spacing w:before="120" w:after="120" w:line="360" w:lineRule="auto"/>
        <w:ind w:firstLine="440" w:firstLineChars="200"/>
        <w:rPr>
          <w:rFonts w:ascii="宋体" w:hAnsi="宋体" w:cs="宋体"/>
          <w:color w:val="000000"/>
          <w:sz w:val="22"/>
          <w:szCs w:val="22"/>
          <w:highlight w:val="none"/>
        </w:rPr>
      </w:pPr>
      <w:bookmarkStart w:id="869" w:name="_Toc351203627"/>
      <w:bookmarkStart w:id="870" w:name="_Toc296503147"/>
      <w:bookmarkStart w:id="871" w:name="_Toc337558841"/>
      <w:bookmarkStart w:id="872" w:name="_Toc296346648"/>
      <w:r>
        <w:rPr>
          <w:rFonts w:hint="eastAsia" w:ascii="宋体" w:hAnsi="宋体" w:cs="宋体"/>
          <w:color w:val="000000"/>
          <w:sz w:val="22"/>
          <w:szCs w:val="22"/>
          <w:highlight w:val="none"/>
        </w:rPr>
        <w:t>20.1和解</w:t>
      </w:r>
      <w:bookmarkEnd w:id="869"/>
    </w:p>
    <w:bookmarkEnd w:id="870"/>
    <w:bookmarkEnd w:id="871"/>
    <w:bookmarkEnd w:id="872"/>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合同当事人可以就争议自行和解，自行和解达成协议的经双方签字并盖章后作为合同补充文件，双方均应遵照执行。</w:t>
      </w:r>
    </w:p>
    <w:p>
      <w:pPr>
        <w:spacing w:before="120" w:after="120" w:line="360" w:lineRule="auto"/>
        <w:ind w:firstLine="440" w:firstLineChars="200"/>
        <w:rPr>
          <w:rFonts w:ascii="宋体" w:hAnsi="宋体" w:cs="宋体"/>
          <w:color w:val="000000"/>
          <w:sz w:val="22"/>
          <w:szCs w:val="22"/>
          <w:highlight w:val="none"/>
        </w:rPr>
      </w:pPr>
      <w:bookmarkStart w:id="873" w:name="_Toc351203628"/>
      <w:r>
        <w:rPr>
          <w:rFonts w:hint="eastAsia" w:ascii="宋体" w:hAnsi="宋体" w:cs="宋体"/>
          <w:color w:val="000000"/>
          <w:sz w:val="22"/>
          <w:szCs w:val="22"/>
          <w:highlight w:val="none"/>
        </w:rPr>
        <w:t>20</w:t>
      </w:r>
      <w:bookmarkStart w:id="874" w:name="_Toc337558842"/>
      <w:bookmarkStart w:id="875" w:name="_Toc296346649"/>
      <w:bookmarkStart w:id="876" w:name="_Toc296503148"/>
      <w:r>
        <w:rPr>
          <w:rFonts w:hint="eastAsia" w:ascii="宋体" w:hAnsi="宋体" w:cs="宋体"/>
          <w:color w:val="000000"/>
          <w:sz w:val="22"/>
          <w:szCs w:val="22"/>
          <w:highlight w:val="none"/>
        </w:rPr>
        <w:t>.2调解</w:t>
      </w:r>
      <w:bookmarkEnd w:id="873"/>
    </w:p>
    <w:bookmarkEnd w:id="874"/>
    <w:bookmarkEnd w:id="875"/>
    <w:bookmarkEnd w:id="876"/>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合同当事人可以就争议请求建设行政主管部门、行业协会或其他第三方进行调解，调解达成协议的，经双方签字并盖章后作为合同补充文件，双方均应遵照执行。</w:t>
      </w:r>
    </w:p>
    <w:p>
      <w:pPr>
        <w:spacing w:before="120" w:after="120" w:line="360" w:lineRule="auto"/>
        <w:ind w:firstLine="440" w:firstLineChars="200"/>
        <w:rPr>
          <w:rFonts w:ascii="宋体" w:hAnsi="宋体" w:cs="宋体"/>
          <w:color w:val="000000"/>
          <w:sz w:val="22"/>
          <w:szCs w:val="22"/>
          <w:highlight w:val="none"/>
        </w:rPr>
      </w:pPr>
      <w:bookmarkStart w:id="877" w:name="_Toc351203629"/>
      <w:bookmarkStart w:id="878" w:name="_Toc337558843"/>
      <w:bookmarkStart w:id="879" w:name="_Toc296503149"/>
      <w:bookmarkStart w:id="880" w:name="_Toc296346650"/>
      <w:r>
        <w:rPr>
          <w:rFonts w:hint="eastAsia" w:ascii="宋体" w:hAnsi="宋体" w:cs="宋体"/>
          <w:color w:val="000000"/>
          <w:sz w:val="22"/>
          <w:szCs w:val="22"/>
          <w:highlight w:val="none"/>
        </w:rPr>
        <w:t>20.3争议评审</w:t>
      </w:r>
      <w:bookmarkEnd w:id="877"/>
    </w:p>
    <w:bookmarkEnd w:id="878"/>
    <w:bookmarkEnd w:id="879"/>
    <w:bookmarkEnd w:id="880"/>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合同当事人在专用合同条款中约定采取争议评审方式解决争议以及评审规则，并按下列约定执行：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20.3.1 争议评审小组的确定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除专用合同条款另有约定外，评审员报酬由发包人和承包人各承担一半。</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20.3.2 争议评审小组的决定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20.3.3 争议评审小组决定的效力</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争议评审小组作出的书面决定经合同当事人签字确认后，对双方具有约束力，双方应遵照执行。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任何一方当事人不接受争议评审小组决定或不履行争议评审小组决定的，双方可选择采用其他争议解决方式。</w:t>
      </w:r>
    </w:p>
    <w:p>
      <w:pPr>
        <w:spacing w:before="120" w:after="120" w:line="360" w:lineRule="auto"/>
        <w:ind w:firstLine="440" w:firstLineChars="200"/>
        <w:rPr>
          <w:rFonts w:ascii="宋体" w:hAnsi="宋体" w:cs="宋体"/>
          <w:color w:val="000000"/>
          <w:sz w:val="22"/>
          <w:szCs w:val="22"/>
          <w:highlight w:val="none"/>
        </w:rPr>
      </w:pPr>
      <w:bookmarkStart w:id="881" w:name="_Toc351203630"/>
      <w:bookmarkStart w:id="882" w:name="_Toc296503150"/>
      <w:bookmarkStart w:id="883" w:name="_Toc296346651"/>
      <w:bookmarkStart w:id="884" w:name="_Toc337558844"/>
      <w:r>
        <w:rPr>
          <w:rFonts w:hint="eastAsia" w:ascii="宋体" w:hAnsi="宋体" w:cs="宋体"/>
          <w:color w:val="000000"/>
          <w:sz w:val="22"/>
          <w:szCs w:val="22"/>
          <w:highlight w:val="none"/>
        </w:rPr>
        <w:t>20.4仲裁或诉讼</w:t>
      </w:r>
      <w:bookmarkEnd w:id="881"/>
    </w:p>
    <w:bookmarkEnd w:id="882"/>
    <w:bookmarkEnd w:id="883"/>
    <w:bookmarkEnd w:id="884"/>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因合同及合同有关事项产生的争议，合同当事人可以在专用合同条款中约定以下一种方式解决争议：</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（1）向约定的仲裁委员会申请仲裁；</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（2）向有管辖权的人民法院起诉。</w:t>
      </w:r>
    </w:p>
    <w:p>
      <w:pPr>
        <w:spacing w:before="120" w:after="120" w:line="360" w:lineRule="auto"/>
        <w:ind w:firstLine="440" w:firstLineChars="200"/>
        <w:rPr>
          <w:rFonts w:ascii="宋体" w:hAnsi="宋体" w:cs="宋体"/>
          <w:color w:val="000000"/>
          <w:sz w:val="22"/>
          <w:szCs w:val="22"/>
          <w:highlight w:val="none"/>
        </w:rPr>
      </w:pPr>
      <w:bookmarkStart w:id="885" w:name="_Toc351203631"/>
      <w:bookmarkStart w:id="886" w:name="_Toc337558845"/>
      <w:bookmarkStart w:id="887" w:name="_Toc296346653"/>
      <w:bookmarkStart w:id="888" w:name="_Toc296503152"/>
      <w:r>
        <w:rPr>
          <w:rFonts w:hint="eastAsia" w:ascii="宋体" w:hAnsi="宋体" w:cs="宋体"/>
          <w:color w:val="000000"/>
          <w:sz w:val="22"/>
          <w:szCs w:val="22"/>
          <w:highlight w:val="none"/>
        </w:rPr>
        <w:t>20.5争议解决条款效力</w:t>
      </w:r>
      <w:bookmarkEnd w:id="885"/>
    </w:p>
    <w:bookmarkEnd w:id="886"/>
    <w:bookmarkEnd w:id="887"/>
    <w:bookmarkEnd w:id="888"/>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合同有关争议解决的条款独立存在，合同的变更、解除、终止、无效或者被撤销均不影响其效力。 </w:t>
      </w:r>
    </w:p>
    <w:p>
      <w:pPr>
        <w:jc w:val="center"/>
        <w:rPr>
          <w:rFonts w:ascii="宋体" w:hAnsi="宋体" w:cs="宋体"/>
          <w:sz w:val="22"/>
          <w:szCs w:val="22"/>
          <w:highlight w:val="none"/>
        </w:rPr>
      </w:pPr>
      <w:bookmarkStart w:id="889" w:name="_Toc351203632"/>
      <w:r>
        <w:rPr>
          <w:rFonts w:hint="eastAsia" w:ascii="宋体" w:hAnsi="宋体" w:cs="宋体"/>
          <w:sz w:val="22"/>
          <w:szCs w:val="22"/>
          <w:highlight w:val="none"/>
        </w:rPr>
        <w:br w:type="page"/>
      </w:r>
      <w:bookmarkStart w:id="890" w:name="_Toc27370"/>
      <w:r>
        <w:rPr>
          <w:rFonts w:hint="eastAsia" w:ascii="宋体" w:hAnsi="宋体" w:cs="宋体"/>
          <w:sz w:val="22"/>
          <w:szCs w:val="22"/>
          <w:highlight w:val="none"/>
        </w:rPr>
        <w:t>第三部分 专用合同条款</w:t>
      </w:r>
      <w:bookmarkEnd w:id="889"/>
      <w:bookmarkEnd w:id="890"/>
    </w:p>
    <w:p>
      <w:pPr>
        <w:spacing w:before="120" w:after="120" w:line="360" w:lineRule="auto"/>
        <w:rPr>
          <w:rFonts w:ascii="宋体" w:hAnsi="宋体" w:cs="宋体"/>
          <w:color w:val="000000"/>
          <w:sz w:val="22"/>
          <w:szCs w:val="22"/>
          <w:highlight w:val="none"/>
        </w:rPr>
      </w:pPr>
      <w:bookmarkStart w:id="891" w:name="_Toc351203633"/>
      <w:r>
        <w:rPr>
          <w:rFonts w:hint="eastAsia" w:ascii="宋体" w:hAnsi="宋体" w:cs="宋体"/>
          <w:color w:val="000000"/>
          <w:sz w:val="22"/>
          <w:szCs w:val="22"/>
          <w:highlight w:val="none"/>
        </w:rPr>
        <w:t>1</w:t>
      </w:r>
      <w:bookmarkStart w:id="892" w:name="_Toc296890984"/>
      <w:bookmarkStart w:id="893" w:name="_Toc296346657"/>
      <w:bookmarkStart w:id="894" w:name="_Toc292559866"/>
      <w:bookmarkStart w:id="895" w:name="_Toc296503156"/>
      <w:bookmarkStart w:id="896" w:name="_Toc297120456"/>
      <w:bookmarkStart w:id="897" w:name="_Toc296891196"/>
      <w:bookmarkStart w:id="898" w:name="_Toc292559361"/>
      <w:bookmarkStart w:id="899" w:name="_Toc296944495"/>
      <w:bookmarkStart w:id="900" w:name="_Toc297048342"/>
      <w:bookmarkStart w:id="901" w:name="_Toc296347155"/>
      <w:r>
        <w:rPr>
          <w:rFonts w:hint="eastAsia" w:ascii="宋体" w:hAnsi="宋体" w:cs="宋体"/>
          <w:color w:val="000000"/>
          <w:sz w:val="22"/>
          <w:szCs w:val="22"/>
          <w:highlight w:val="none"/>
        </w:rPr>
        <w:t>. 一般约定</w:t>
      </w:r>
      <w:bookmarkEnd w:id="891"/>
    </w:p>
    <w:bookmarkEnd w:id="892"/>
    <w:bookmarkEnd w:id="893"/>
    <w:bookmarkEnd w:id="894"/>
    <w:bookmarkEnd w:id="895"/>
    <w:bookmarkEnd w:id="896"/>
    <w:bookmarkEnd w:id="897"/>
    <w:bookmarkEnd w:id="898"/>
    <w:bookmarkEnd w:id="899"/>
    <w:bookmarkEnd w:id="900"/>
    <w:bookmarkEnd w:id="901"/>
    <w:p>
      <w:pPr>
        <w:spacing w:after="120" w:line="360" w:lineRule="auto"/>
        <w:ind w:firstLine="440" w:firstLineChars="200"/>
        <w:rPr>
          <w:rFonts w:ascii="宋体" w:hAnsi="宋体" w:cs="宋体"/>
          <w:color w:val="000000"/>
          <w:sz w:val="22"/>
          <w:szCs w:val="22"/>
          <w:highlight w:val="none"/>
        </w:rPr>
      </w:pPr>
      <w:bookmarkStart w:id="902" w:name="_Toc13472"/>
      <w:r>
        <w:rPr>
          <w:rFonts w:hint="eastAsia" w:ascii="宋体" w:hAnsi="宋体" w:cs="宋体"/>
          <w:color w:val="000000"/>
          <w:sz w:val="22"/>
          <w:szCs w:val="22"/>
          <w:highlight w:val="none"/>
        </w:rPr>
        <w:t>1.1 词语定义</w:t>
      </w:r>
      <w:bookmarkEnd w:id="902"/>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1.1.1合同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1.1.1.10其他合同文件包括：</w:t>
      </w:r>
      <w:r>
        <w:rPr>
          <w:rFonts w:hint="eastAsia" w:ascii="宋体" w:hAnsi="宋体" w:cs="宋体"/>
          <w:color w:val="000000"/>
          <w:sz w:val="22"/>
          <w:szCs w:val="22"/>
          <w:highlight w:val="none"/>
          <w:u w:val="single"/>
        </w:rPr>
        <w:t>中标通知书、投标函及其附录、通用合同条款、技术标准和要求、图纸、已标价工程量清单或预算书及其附件、招标文件、答疑纪要及双方为履行本合同的有关洽商、变更等书面协议、文件视为本合同的组成部分</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 合同当事人及其他相关方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1.1.2.4监理人：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名    称：</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资质类别和等级：</w:t>
      </w:r>
      <w:r>
        <w:rPr>
          <w:rFonts w:hint="eastAsia" w:ascii="宋体" w:hAnsi="宋体" w:cs="宋体"/>
          <w:color w:val="000000"/>
          <w:sz w:val="22"/>
          <w:szCs w:val="22"/>
          <w:highlight w:val="none"/>
          <w:u w:val="single"/>
        </w:rPr>
        <w:t>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联系电话：</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电子信箱：</w:t>
      </w:r>
      <w:r>
        <w:rPr>
          <w:rFonts w:hint="eastAsia" w:ascii="宋体" w:hAnsi="宋体" w:cs="宋体"/>
          <w:color w:val="000000"/>
          <w:sz w:val="22"/>
          <w:szCs w:val="22"/>
          <w:highlight w:val="none"/>
          <w:u w:val="single"/>
        </w:rPr>
        <w:t>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通信地址：</w:t>
      </w:r>
      <w:r>
        <w:rPr>
          <w:rFonts w:hint="eastAsia" w:ascii="宋体" w:hAnsi="宋体" w:cs="宋体"/>
          <w:color w:val="000000"/>
          <w:sz w:val="22"/>
          <w:szCs w:val="22"/>
          <w:highlight w:val="none"/>
          <w:u w:val="single"/>
        </w:rPr>
        <w:t>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1.1.2.5 设计人：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名    称：</w:t>
      </w:r>
      <w:r>
        <w:rPr>
          <w:rFonts w:hint="eastAsia" w:ascii="宋体" w:hAnsi="宋体" w:cs="宋体"/>
          <w:color w:val="000000"/>
          <w:sz w:val="22"/>
          <w:szCs w:val="22"/>
          <w:highlight w:val="none"/>
          <w:u w:val="single"/>
        </w:rPr>
        <w:t xml:space="preserve">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资质类别和等级：</w:t>
      </w:r>
      <w:r>
        <w:rPr>
          <w:rFonts w:hint="eastAsia" w:ascii="宋体" w:hAnsi="宋体" w:cs="宋体"/>
          <w:color w:val="000000"/>
          <w:sz w:val="22"/>
          <w:szCs w:val="22"/>
          <w:highlight w:val="none"/>
          <w:u w:val="single"/>
        </w:rPr>
        <w:t>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联系电话：</w:t>
      </w:r>
      <w:r>
        <w:rPr>
          <w:rFonts w:hint="eastAsia" w:ascii="宋体" w:hAnsi="宋体" w:cs="宋体"/>
          <w:color w:val="000000"/>
          <w:sz w:val="22"/>
          <w:szCs w:val="22"/>
          <w:highlight w:val="none"/>
          <w:u w:val="single"/>
        </w:rPr>
        <w:t>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电子信箱：</w:t>
      </w:r>
      <w:r>
        <w:rPr>
          <w:rFonts w:hint="eastAsia" w:ascii="宋体" w:hAnsi="宋体" w:cs="宋体"/>
          <w:color w:val="000000"/>
          <w:sz w:val="22"/>
          <w:szCs w:val="22"/>
          <w:highlight w:val="none"/>
          <w:u w:val="single"/>
        </w:rPr>
        <w:t xml:space="preserve">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通信地址：</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 工程和设备</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1.1.3.7 作为施工现场组成部分的其他场所包括：</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1.1.3.9 永久占地包括：</w:t>
      </w:r>
      <w:r>
        <w:rPr>
          <w:rFonts w:hint="eastAsia" w:ascii="宋体" w:hAnsi="宋体" w:cs="宋体"/>
          <w:color w:val="000000"/>
          <w:sz w:val="22"/>
          <w:szCs w:val="22"/>
          <w:highlight w:val="none"/>
          <w:u w:val="single"/>
        </w:rPr>
        <w:t xml:space="preserve">             /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1.1.3.10 临时占地包括：</w:t>
      </w:r>
      <w:r>
        <w:rPr>
          <w:rFonts w:hint="eastAsia" w:ascii="宋体" w:hAnsi="宋体" w:cs="宋体"/>
          <w:color w:val="000000"/>
          <w:sz w:val="22"/>
          <w:szCs w:val="22"/>
          <w:highlight w:val="none"/>
          <w:u w:val="single"/>
        </w:rPr>
        <w:t xml:space="preserve"> 承包人根据招标文件提供的项目概况自行考虑，相关费用包含在合同价款中</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 xml:space="preserve">1.3法律 </w:t>
      </w:r>
    </w:p>
    <w:p>
      <w:pPr>
        <w:autoSpaceDE w:val="0"/>
        <w:autoSpaceDN w:val="0"/>
        <w:adjustRightInd w:val="0"/>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适用于合同的其他规范性文件：</w:t>
      </w:r>
      <w:r>
        <w:rPr>
          <w:rFonts w:hint="eastAsia" w:ascii="宋体" w:hAnsi="宋体" w:cs="宋体"/>
          <w:color w:val="000000"/>
          <w:sz w:val="22"/>
          <w:szCs w:val="22"/>
          <w:highlight w:val="none"/>
          <w:u w:val="single"/>
        </w:rPr>
        <w:t xml:space="preserve">《中华人民共和国民法典》《中华人民共和国建筑法》、《建设工程质量管理条例》《建设工程安全生产管理条例》《建筑工程强制性条文》、《建筑工程质量保修办法》《陕西省建筑市场管理条例》、陕西省及西安市建设行政主管部门有关基本建设的相关规定等。 </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1.4 标准和规范</w:t>
      </w:r>
    </w:p>
    <w:p>
      <w:pPr>
        <w:autoSpaceDE w:val="0"/>
        <w:autoSpaceDN w:val="0"/>
        <w:adjustRightInd w:val="0"/>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1.4.1适用于工程的标准规范包括：</w:t>
      </w:r>
      <w:r>
        <w:rPr>
          <w:rFonts w:hint="eastAsia" w:ascii="宋体" w:hAnsi="宋体" w:cs="宋体"/>
          <w:color w:val="000000"/>
          <w:sz w:val="22"/>
          <w:szCs w:val="22"/>
          <w:highlight w:val="none"/>
          <w:u w:val="single"/>
        </w:rPr>
        <w:t>（1）《陕西省建设工程工程量清单计价规则（2009）》《陕西省建设工程工程量清单计价费率</w:t>
      </w:r>
      <w:r>
        <w:rPr>
          <w:rFonts w:hint="eastAsia" w:ascii="宋体" w:hAnsi="宋体" w:cs="宋体"/>
          <w:color w:val="000000"/>
          <w:sz w:val="22"/>
          <w:szCs w:val="22"/>
          <w:highlight w:val="none"/>
          <w:u w:val="single"/>
          <w:lang w:eastAsia="zh-CN"/>
        </w:rPr>
        <w:t>（</w:t>
      </w:r>
      <w:r>
        <w:rPr>
          <w:rFonts w:hint="eastAsia" w:ascii="宋体" w:hAnsi="宋体" w:cs="宋体"/>
          <w:color w:val="000000"/>
          <w:sz w:val="22"/>
          <w:szCs w:val="22"/>
          <w:highlight w:val="none"/>
          <w:u w:val="single"/>
          <w:lang w:val="en-US" w:eastAsia="zh-CN"/>
        </w:rPr>
        <w:t>2009</w:t>
      </w:r>
      <w:r>
        <w:rPr>
          <w:rFonts w:hint="eastAsia" w:ascii="宋体" w:hAnsi="宋体" w:cs="宋体"/>
          <w:color w:val="000000"/>
          <w:sz w:val="22"/>
          <w:szCs w:val="22"/>
          <w:highlight w:val="none"/>
          <w:u w:val="single"/>
          <w:lang w:eastAsia="zh-CN"/>
        </w:rPr>
        <w:t>）</w:t>
      </w:r>
      <w:r>
        <w:rPr>
          <w:rFonts w:hint="eastAsia" w:ascii="宋体" w:hAnsi="宋体" w:cs="宋体"/>
          <w:color w:val="000000"/>
          <w:sz w:val="22"/>
          <w:szCs w:val="22"/>
          <w:highlight w:val="none"/>
          <w:u w:val="single"/>
        </w:rPr>
        <w:t>》现行国家标准、规范和建设部等有关施工技术标准、规程、规范以及本工程设计要求，陕西省和西安市有关工程质量、安全文明施工、竣工验收等规定。</w:t>
      </w:r>
    </w:p>
    <w:p>
      <w:pPr>
        <w:autoSpaceDE w:val="0"/>
        <w:autoSpaceDN w:val="0"/>
        <w:adjustRightInd w:val="0"/>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（2）工程招投标和施工期间，如果有新版的规范和标准颁布，原则上应执行新版的规范和标准，仍需执行非最新版本规范和标准的，需征得发包人和总监理工程师的同意。</w:t>
      </w:r>
    </w:p>
    <w:p>
      <w:pPr>
        <w:autoSpaceDE w:val="0"/>
        <w:autoSpaceDN w:val="0"/>
        <w:adjustRightInd w:val="0"/>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（3）对不在规范验评范围内项目，执行发包人和承包人双方议定的补充技术标准，本招标文件与设计院、制造厂家的施工技术要求如有冲突，按上述排序解释。</w:t>
      </w:r>
    </w:p>
    <w:p>
      <w:pPr>
        <w:autoSpaceDE w:val="0"/>
        <w:autoSpaceDN w:val="0"/>
        <w:adjustRightInd w:val="0"/>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4）如遇设计与国家相关规范、标准对同一问题的处理出现互相矛盾的情况时，原则上以设计单位解释为准，同时承包人应及时通知发包人、监理工程师，并提出解决办法，征得发包人、设计单位、监理工程师的同意后实施。</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u w:val="single"/>
        </w:rPr>
        <w:t>（5）新材料、新工艺必须具有省级以上行业主管部门技术鉴定。</w:t>
      </w:r>
    </w:p>
    <w:p>
      <w:pPr>
        <w:spacing w:line="360" w:lineRule="auto"/>
        <w:ind w:firstLine="440" w:firstLineChars="200"/>
        <w:rPr>
          <w:rFonts w:ascii="宋体" w:hAnsi="宋体" w:cs="宋体"/>
          <w:color w:val="000000"/>
          <w:sz w:val="22"/>
          <w:szCs w:val="22"/>
          <w:highlight w:val="none"/>
        </w:rPr>
      </w:pPr>
      <w:bookmarkStart w:id="903" w:name="_Toc7672"/>
      <w:r>
        <w:rPr>
          <w:rFonts w:hint="eastAsia" w:ascii="宋体" w:hAnsi="宋体" w:cs="宋体"/>
          <w:color w:val="000000"/>
          <w:sz w:val="22"/>
          <w:szCs w:val="22"/>
          <w:highlight w:val="none"/>
        </w:rPr>
        <w:t>1.4.2 发包人提供国外标准、规范的名称：</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bookmarkEnd w:id="903"/>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发包人提供国外标准、规范的份数：</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发包人提供国外标准、规范的名称：</w:t>
      </w:r>
      <w:r>
        <w:rPr>
          <w:rFonts w:hint="eastAsia" w:ascii="宋体" w:hAnsi="宋体" w:cs="宋体"/>
          <w:color w:val="000000"/>
          <w:sz w:val="22"/>
          <w:szCs w:val="22"/>
          <w:highlight w:val="none"/>
          <w:u w:val="single"/>
        </w:rPr>
        <w:t>凡涉及国内没有相应标准、规范、规程的，承包人应立即通知发包人及总监理工程师，并提供能采用相应标准（如企业标准、国外标准等）、规范或经验做法、需要的理由和时间，由发包人与总监理工程师、设计院确认方可执行、本条所发生的购买、翻译标准、规范或指定施工工艺的费用，由承包人承担。</w:t>
      </w:r>
    </w:p>
    <w:p>
      <w:pPr>
        <w:spacing w:after="120" w:line="360" w:lineRule="auto"/>
        <w:ind w:firstLine="440" w:firstLineChars="200"/>
        <w:rPr>
          <w:rFonts w:ascii="宋体" w:hAnsi="宋体" w:cs="宋体"/>
          <w:color w:val="000000"/>
          <w:sz w:val="22"/>
          <w:szCs w:val="22"/>
          <w:highlight w:val="none"/>
        </w:rPr>
      </w:pPr>
      <w:bookmarkStart w:id="904" w:name="_Toc17648"/>
      <w:r>
        <w:rPr>
          <w:rFonts w:hint="eastAsia" w:ascii="宋体" w:hAnsi="宋体" w:cs="宋体"/>
          <w:color w:val="000000"/>
          <w:sz w:val="22"/>
          <w:szCs w:val="22"/>
          <w:highlight w:val="none"/>
        </w:rPr>
        <w:t>1.5 合同文件的优先顺序</w:t>
      </w:r>
      <w:bookmarkEnd w:id="904"/>
    </w:p>
    <w:p>
      <w:pPr>
        <w:spacing w:line="360" w:lineRule="auto"/>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合同文件组成及优先顺序为：</w:t>
      </w:r>
    </w:p>
    <w:p>
      <w:pPr>
        <w:pStyle w:val="29"/>
        <w:keepNext w:val="0"/>
        <w:keepLines w:val="0"/>
        <w:pageBreakBefore w:val="0"/>
        <w:widowControl w:val="0"/>
        <w:numPr>
          <w:ilvl w:val="0"/>
          <w:numId w:val="7"/>
        </w:numPr>
        <w:kinsoku/>
        <w:wordWrap/>
        <w:overflowPunct/>
        <w:topLinePunct w:val="0"/>
        <w:autoSpaceDE/>
        <w:autoSpaceDN/>
        <w:bidi w:val="0"/>
        <w:adjustRightInd/>
        <w:snapToGrid/>
        <w:spacing w:line="360" w:lineRule="auto"/>
        <w:ind w:left="44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本合同协议书</w:t>
      </w:r>
    </w:p>
    <w:p>
      <w:pPr>
        <w:pStyle w:val="29"/>
        <w:keepNext w:val="0"/>
        <w:keepLines w:val="0"/>
        <w:pageBreakBefore w:val="0"/>
        <w:widowControl w:val="0"/>
        <w:numPr>
          <w:ilvl w:val="0"/>
          <w:numId w:val="7"/>
        </w:numPr>
        <w:kinsoku/>
        <w:wordWrap/>
        <w:overflowPunct/>
        <w:topLinePunct w:val="0"/>
        <w:autoSpaceDE/>
        <w:autoSpaceDN/>
        <w:bidi w:val="0"/>
        <w:adjustRightInd/>
        <w:snapToGrid/>
        <w:spacing w:line="360" w:lineRule="auto"/>
        <w:ind w:left="44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中标通知书</w:t>
      </w:r>
    </w:p>
    <w:p>
      <w:pPr>
        <w:pStyle w:val="29"/>
        <w:keepNext w:val="0"/>
        <w:keepLines w:val="0"/>
        <w:pageBreakBefore w:val="0"/>
        <w:widowControl w:val="0"/>
        <w:numPr>
          <w:ilvl w:val="0"/>
          <w:numId w:val="7"/>
        </w:numPr>
        <w:kinsoku/>
        <w:wordWrap/>
        <w:overflowPunct/>
        <w:topLinePunct w:val="0"/>
        <w:autoSpaceDE/>
        <w:autoSpaceDN/>
        <w:bidi w:val="0"/>
        <w:adjustRightInd/>
        <w:snapToGrid/>
        <w:spacing w:line="360" w:lineRule="auto"/>
        <w:ind w:left="44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本合同专用条款</w:t>
      </w:r>
    </w:p>
    <w:p>
      <w:pPr>
        <w:pStyle w:val="29"/>
        <w:keepNext w:val="0"/>
        <w:keepLines w:val="0"/>
        <w:pageBreakBefore w:val="0"/>
        <w:widowControl w:val="0"/>
        <w:numPr>
          <w:ilvl w:val="0"/>
          <w:numId w:val="7"/>
        </w:numPr>
        <w:kinsoku/>
        <w:wordWrap/>
        <w:overflowPunct/>
        <w:topLinePunct w:val="0"/>
        <w:autoSpaceDE/>
        <w:autoSpaceDN/>
        <w:bidi w:val="0"/>
        <w:adjustRightInd/>
        <w:snapToGrid/>
        <w:spacing w:line="360" w:lineRule="auto"/>
        <w:ind w:left="44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本合同通用条款</w:t>
      </w:r>
    </w:p>
    <w:p>
      <w:pPr>
        <w:pStyle w:val="29"/>
        <w:keepNext w:val="0"/>
        <w:keepLines w:val="0"/>
        <w:pageBreakBefore w:val="0"/>
        <w:widowControl w:val="0"/>
        <w:numPr>
          <w:ilvl w:val="0"/>
          <w:numId w:val="7"/>
        </w:numPr>
        <w:kinsoku/>
        <w:wordWrap/>
        <w:overflowPunct/>
        <w:topLinePunct w:val="0"/>
        <w:autoSpaceDE/>
        <w:autoSpaceDN/>
        <w:bidi w:val="0"/>
        <w:adjustRightInd/>
        <w:snapToGrid/>
        <w:spacing w:line="360" w:lineRule="auto"/>
        <w:ind w:left="44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招标文件、答疑函（如有）及工程量清单；</w:t>
      </w:r>
    </w:p>
    <w:p>
      <w:pPr>
        <w:pStyle w:val="29"/>
        <w:keepNext w:val="0"/>
        <w:keepLines w:val="0"/>
        <w:pageBreakBefore w:val="0"/>
        <w:widowControl w:val="0"/>
        <w:numPr>
          <w:ilvl w:val="0"/>
          <w:numId w:val="7"/>
        </w:numPr>
        <w:kinsoku/>
        <w:wordWrap/>
        <w:overflowPunct/>
        <w:topLinePunct w:val="0"/>
        <w:autoSpaceDE/>
        <w:autoSpaceDN/>
        <w:bidi w:val="0"/>
        <w:adjustRightInd/>
        <w:snapToGrid/>
        <w:spacing w:line="360" w:lineRule="auto"/>
        <w:ind w:left="44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投标报价、投标函及投标函附录；</w:t>
      </w:r>
    </w:p>
    <w:p>
      <w:pPr>
        <w:pStyle w:val="29"/>
        <w:keepNext w:val="0"/>
        <w:keepLines w:val="0"/>
        <w:pageBreakBefore w:val="0"/>
        <w:widowControl w:val="0"/>
        <w:numPr>
          <w:ilvl w:val="0"/>
          <w:numId w:val="7"/>
        </w:numPr>
        <w:kinsoku/>
        <w:wordWrap/>
        <w:overflowPunct/>
        <w:topLinePunct w:val="0"/>
        <w:autoSpaceDE/>
        <w:autoSpaceDN/>
        <w:bidi w:val="0"/>
        <w:adjustRightInd/>
        <w:snapToGrid/>
        <w:spacing w:line="360" w:lineRule="auto"/>
        <w:ind w:left="44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标准、规范及有关技术文件；</w:t>
      </w:r>
    </w:p>
    <w:p>
      <w:pPr>
        <w:pStyle w:val="29"/>
        <w:keepNext w:val="0"/>
        <w:keepLines w:val="0"/>
        <w:pageBreakBefore w:val="0"/>
        <w:widowControl w:val="0"/>
        <w:numPr>
          <w:ilvl w:val="0"/>
          <w:numId w:val="7"/>
        </w:numPr>
        <w:kinsoku/>
        <w:wordWrap/>
        <w:overflowPunct/>
        <w:topLinePunct w:val="0"/>
        <w:autoSpaceDE/>
        <w:autoSpaceDN/>
        <w:bidi w:val="0"/>
        <w:adjustRightInd/>
        <w:snapToGrid/>
        <w:spacing w:line="360" w:lineRule="auto"/>
        <w:ind w:left="44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图纸；</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合同履行中，发包人、承包人有关工程的洽商、变更等书面协议或文件均视为本合同的组成部分。</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注：若在投标文件中明确承诺响应招标文件的要求，而实际文本中又与招标文件的</w:t>
      </w:r>
    </w:p>
    <w:p>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color w:val="000000"/>
          <w:sz w:val="22"/>
          <w:szCs w:val="22"/>
          <w:highlight w:val="none"/>
          <w:lang w:val="en-US" w:eastAsia="zh-CN"/>
        </w:rPr>
        <w:t>要求存在差异的，以招标文件的要求为准。</w:t>
      </w:r>
    </w:p>
    <w:p>
      <w:pPr>
        <w:spacing w:after="120" w:line="360" w:lineRule="auto"/>
        <w:ind w:firstLine="440" w:firstLineChars="200"/>
        <w:rPr>
          <w:rFonts w:ascii="宋体" w:hAnsi="宋体" w:cs="宋体"/>
          <w:color w:val="000000"/>
          <w:sz w:val="22"/>
          <w:szCs w:val="22"/>
          <w:highlight w:val="none"/>
        </w:rPr>
      </w:pPr>
      <w:bookmarkStart w:id="905" w:name="_Toc17339"/>
      <w:r>
        <w:rPr>
          <w:rFonts w:hint="eastAsia" w:ascii="宋体" w:hAnsi="宋体" w:cs="宋体"/>
          <w:color w:val="000000"/>
          <w:sz w:val="22"/>
          <w:szCs w:val="22"/>
          <w:highlight w:val="none"/>
        </w:rPr>
        <w:t>1.6 图纸和承包人文件</w:t>
      </w:r>
      <w:bookmarkEnd w:id="905"/>
      <w:r>
        <w:rPr>
          <w:rFonts w:hint="eastAsia" w:ascii="宋体" w:hAnsi="宋体" w:cs="宋体"/>
          <w:color w:val="000000"/>
          <w:sz w:val="22"/>
          <w:szCs w:val="22"/>
          <w:highlight w:val="none"/>
        </w:rPr>
        <w:tab/>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1.6.1 图纸的提供</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发包人向承包人提供图纸的期限：</w:t>
      </w:r>
      <w:r>
        <w:rPr>
          <w:rFonts w:hint="eastAsia" w:ascii="宋体" w:hAnsi="宋体" w:cs="宋体"/>
          <w:color w:val="000000"/>
          <w:sz w:val="22"/>
          <w:szCs w:val="22"/>
          <w:highlight w:val="none"/>
          <w:u w:val="single"/>
        </w:rPr>
        <w:t>合同签订后7日内</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发包人向承包人提供图纸的数量：</w:t>
      </w:r>
      <w:r>
        <w:rPr>
          <w:rFonts w:hint="eastAsia" w:ascii="宋体" w:hAnsi="宋体" w:cs="宋体"/>
          <w:color w:val="000000"/>
          <w:sz w:val="22"/>
          <w:szCs w:val="22"/>
          <w:highlight w:val="none"/>
          <w:u w:val="single"/>
        </w:rPr>
        <w:t>6套（含制作两套竣工图所用图纸）、承包人需增加图纸，发包人可协调加</w:t>
      </w:r>
      <w:r>
        <w:rPr>
          <w:rFonts w:hint="eastAsia" w:ascii="宋体" w:hAnsi="宋体" w:cs="宋体"/>
          <w:color w:val="000000"/>
          <w:sz w:val="22"/>
          <w:szCs w:val="22"/>
          <w:highlight w:val="none"/>
          <w:u w:val="single"/>
          <w:lang w:eastAsia="zh-CN"/>
        </w:rPr>
        <w:t>晒</w:t>
      </w:r>
      <w:r>
        <w:rPr>
          <w:rFonts w:hint="eastAsia" w:ascii="宋体" w:hAnsi="宋体" w:cs="宋体"/>
          <w:color w:val="000000"/>
          <w:sz w:val="22"/>
          <w:szCs w:val="22"/>
          <w:highlight w:val="none"/>
          <w:u w:val="single"/>
        </w:rPr>
        <w:t>，相应的费用由承包人承担</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发包人向承包人提供图纸的内容：</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施工图</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1.6.4 承包人文件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需要由承包人提供的文件，包括：</w:t>
      </w:r>
      <w:r>
        <w:rPr>
          <w:rFonts w:hint="eastAsia" w:ascii="宋体" w:hAnsi="宋体" w:cs="宋体"/>
          <w:color w:val="000000"/>
          <w:sz w:val="22"/>
          <w:szCs w:val="22"/>
          <w:highlight w:val="none"/>
          <w:u w:val="single"/>
        </w:rPr>
        <w:t xml:space="preserve">施工组织设计、施工总进度计划、专项施工方案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承包人提供的文件的期限为：</w:t>
      </w:r>
      <w:r>
        <w:rPr>
          <w:rFonts w:hint="eastAsia" w:ascii="宋体" w:hAnsi="宋体" w:cs="宋体"/>
          <w:color w:val="000000"/>
          <w:sz w:val="22"/>
          <w:szCs w:val="22"/>
          <w:highlight w:val="none"/>
          <w:u w:val="single"/>
        </w:rPr>
        <w:t>施工组织设计及施工总进度计划在开工前7天，专项施工方案在方案论证前7天</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承包人提供的文件的数量为：</w:t>
      </w:r>
      <w:r>
        <w:rPr>
          <w:rFonts w:hint="eastAsia" w:ascii="宋体" w:hAnsi="宋体" w:cs="宋体"/>
          <w:color w:val="000000"/>
          <w:sz w:val="22"/>
          <w:szCs w:val="22"/>
          <w:highlight w:val="none"/>
          <w:u w:val="single"/>
        </w:rPr>
        <w:t>6份</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承包人提供的文件的形式为：</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书面</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发包人审批承包人文件的期限：</w:t>
      </w:r>
      <w:r>
        <w:rPr>
          <w:rFonts w:hint="eastAsia" w:ascii="宋体" w:hAnsi="宋体" w:cs="宋体"/>
          <w:color w:val="000000"/>
          <w:sz w:val="22"/>
          <w:szCs w:val="22"/>
          <w:highlight w:val="none"/>
          <w:u w:val="single"/>
        </w:rPr>
        <w:t>7天</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1.6.5 现场图纸准备</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关于现场图纸准备的约定：</w:t>
      </w:r>
      <w:r>
        <w:rPr>
          <w:rFonts w:hint="eastAsia" w:ascii="宋体" w:hAnsi="宋体" w:cs="宋体"/>
          <w:color w:val="000000"/>
          <w:sz w:val="22"/>
          <w:szCs w:val="22"/>
          <w:highlight w:val="none"/>
          <w:u w:val="single"/>
        </w:rPr>
        <w:t>执行《通用条款》</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906" w:name="_Toc22068"/>
      <w:r>
        <w:rPr>
          <w:rFonts w:hint="eastAsia" w:ascii="宋体" w:hAnsi="宋体" w:cs="宋体"/>
          <w:color w:val="000000"/>
          <w:sz w:val="22"/>
          <w:szCs w:val="22"/>
          <w:highlight w:val="none"/>
        </w:rPr>
        <w:t>1.7 联络</w:t>
      </w:r>
      <w:bookmarkEnd w:id="906"/>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1.7.1发包人和承包人应当在</w:t>
      </w:r>
      <w:r>
        <w:rPr>
          <w:rFonts w:hint="eastAsia" w:ascii="宋体" w:hAnsi="宋体" w:cs="宋体"/>
          <w:color w:val="000000"/>
          <w:sz w:val="22"/>
          <w:szCs w:val="22"/>
          <w:highlight w:val="none"/>
          <w:u w:val="single"/>
        </w:rPr>
        <w:t xml:space="preserve">7  </w:t>
      </w:r>
      <w:r>
        <w:rPr>
          <w:rFonts w:hint="eastAsia" w:ascii="宋体" w:hAnsi="宋体" w:cs="宋体"/>
          <w:color w:val="000000"/>
          <w:sz w:val="22"/>
          <w:szCs w:val="22"/>
          <w:highlight w:val="none"/>
        </w:rPr>
        <w:t>天内将与合同有关的通知、批准、证明、证书、指示、指令、要求、请求、同意、意见、确定和决定等书面函件送达对方当事人。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1.7.2 发包人接收文件的地点：</w:t>
      </w:r>
      <w:r>
        <w:rPr>
          <w:rFonts w:hint="eastAsia" w:ascii="宋体" w:hAnsi="宋体" w:cs="宋体"/>
          <w:color w:val="000000"/>
          <w:sz w:val="22"/>
          <w:szCs w:val="22"/>
          <w:highlight w:val="none"/>
          <w:u w:val="single"/>
        </w:rPr>
        <w:t>工地现场办公室</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发包人指定的接收人为：</w:t>
      </w:r>
      <w:r>
        <w:rPr>
          <w:rFonts w:hint="eastAsia" w:ascii="宋体" w:hAnsi="宋体" w:cs="宋体"/>
          <w:color w:val="000000"/>
          <w:sz w:val="22"/>
          <w:szCs w:val="22"/>
          <w:highlight w:val="none"/>
          <w:u w:val="single"/>
        </w:rPr>
        <w:t xml:space="preserve">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承包人接收文件的地点：</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工地现场办公室</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承包人指定的接收人为：</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监理人接收文件的地点：</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工地现场办公室</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监理人指定的接收人为：</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907" w:name="_Toc29802"/>
      <w:r>
        <w:rPr>
          <w:rFonts w:hint="eastAsia" w:ascii="宋体" w:hAnsi="宋体" w:cs="宋体"/>
          <w:color w:val="000000"/>
          <w:sz w:val="22"/>
          <w:szCs w:val="22"/>
          <w:highlight w:val="none"/>
        </w:rPr>
        <w:t>1.10 交通运输</w:t>
      </w:r>
      <w:bookmarkEnd w:id="907"/>
    </w:p>
    <w:p>
      <w:pPr>
        <w:spacing w:line="360" w:lineRule="auto"/>
        <w:ind w:firstLine="440" w:firstLineChars="200"/>
        <w:rPr>
          <w:rFonts w:ascii="宋体" w:hAnsi="宋体" w:cs="宋体"/>
          <w:sz w:val="22"/>
          <w:szCs w:val="22"/>
          <w:highlight w:val="none"/>
        </w:rPr>
      </w:pPr>
      <w:bookmarkStart w:id="908" w:name="_Toc21079"/>
      <w:r>
        <w:rPr>
          <w:rFonts w:hint="eastAsia" w:ascii="宋体" w:hAnsi="宋体" w:cs="宋体"/>
          <w:sz w:val="22"/>
          <w:szCs w:val="22"/>
          <w:highlight w:val="none"/>
        </w:rPr>
        <w:t>1</w:t>
      </w:r>
      <w:bookmarkStart w:id="909" w:name="_Toc303539100"/>
      <w:bookmarkStart w:id="910" w:name="_Toc312677986"/>
      <w:bookmarkStart w:id="911" w:name="_Toc304295521"/>
      <w:bookmarkStart w:id="912" w:name="_Toc318581155"/>
      <w:bookmarkStart w:id="913" w:name="_Toc300934943"/>
      <w:r>
        <w:rPr>
          <w:rFonts w:hint="eastAsia" w:ascii="宋体" w:hAnsi="宋体" w:cs="宋体"/>
          <w:sz w:val="22"/>
          <w:szCs w:val="22"/>
          <w:highlight w:val="none"/>
        </w:rPr>
        <w:t>.10.1 出入现场的权利</w:t>
      </w:r>
      <w:bookmarkEnd w:id="908"/>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关于出入现场的权利的约定：</w:t>
      </w:r>
      <w:r>
        <w:rPr>
          <w:rFonts w:hint="eastAsia" w:ascii="宋体" w:hAnsi="宋体" w:cs="宋体"/>
          <w:color w:val="000000"/>
          <w:sz w:val="22"/>
          <w:szCs w:val="22"/>
          <w:highlight w:val="none"/>
          <w:u w:val="single"/>
        </w:rPr>
        <w:t>承包人负责出入现场管理</w:t>
      </w:r>
      <w:r>
        <w:rPr>
          <w:rFonts w:hint="eastAsia" w:ascii="宋体" w:hAnsi="宋体" w:cs="宋体"/>
          <w:sz w:val="22"/>
          <w:szCs w:val="22"/>
          <w:highlight w:val="none"/>
        </w:rPr>
        <w:t>。</w:t>
      </w:r>
    </w:p>
    <w:bookmarkEnd w:id="909"/>
    <w:bookmarkEnd w:id="910"/>
    <w:bookmarkEnd w:id="911"/>
    <w:bookmarkEnd w:id="912"/>
    <w:bookmarkEnd w:id="913"/>
    <w:p>
      <w:pPr>
        <w:spacing w:line="360" w:lineRule="auto"/>
        <w:ind w:firstLine="440" w:firstLineChars="200"/>
        <w:rPr>
          <w:rFonts w:ascii="宋体" w:hAnsi="宋体" w:cs="宋体"/>
          <w:sz w:val="22"/>
          <w:szCs w:val="22"/>
          <w:highlight w:val="none"/>
        </w:rPr>
      </w:pPr>
      <w:bookmarkStart w:id="914" w:name="_Toc8845"/>
      <w:r>
        <w:rPr>
          <w:rFonts w:hint="eastAsia" w:ascii="宋体" w:hAnsi="宋体" w:cs="宋体"/>
          <w:sz w:val="22"/>
          <w:szCs w:val="22"/>
          <w:highlight w:val="none"/>
        </w:rPr>
        <w:t>1</w:t>
      </w:r>
      <w:bookmarkStart w:id="915" w:name="_Toc318581156"/>
      <w:bookmarkStart w:id="916" w:name="_Toc304295522"/>
      <w:bookmarkStart w:id="917" w:name="_Toc312677987"/>
      <w:bookmarkStart w:id="918" w:name="_Toc303539101"/>
      <w:bookmarkStart w:id="919" w:name="_Toc300934944"/>
      <w:r>
        <w:rPr>
          <w:rFonts w:hint="eastAsia" w:ascii="宋体" w:hAnsi="宋体" w:cs="宋体"/>
          <w:sz w:val="22"/>
          <w:szCs w:val="22"/>
          <w:highlight w:val="none"/>
        </w:rPr>
        <w:t>.10.3 场内交通</w:t>
      </w:r>
      <w:bookmarkEnd w:id="914"/>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关于场外交通和场内交通的边界的约定：</w:t>
      </w:r>
      <w:r>
        <w:rPr>
          <w:rFonts w:hint="eastAsia" w:ascii="宋体" w:hAnsi="宋体" w:cs="宋体"/>
          <w:color w:val="000000"/>
          <w:sz w:val="22"/>
          <w:szCs w:val="22"/>
          <w:highlight w:val="none"/>
          <w:u w:val="single"/>
        </w:rPr>
        <w:t>按施工组织设计确定施工现场范围</w:t>
      </w:r>
      <w:r>
        <w:rPr>
          <w:rFonts w:hint="eastAsia" w:ascii="宋体" w:hAnsi="宋体" w:cs="宋体"/>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关于发包人向承包人免费提供满足工程施工需要的场内道路和交通设施的约定：</w:t>
      </w:r>
      <w:r>
        <w:rPr>
          <w:rFonts w:hint="eastAsia" w:ascii="宋体" w:hAnsi="宋体" w:cs="宋体"/>
          <w:color w:val="000000"/>
          <w:sz w:val="22"/>
          <w:szCs w:val="22"/>
          <w:highlight w:val="none"/>
          <w:u w:val="single"/>
        </w:rPr>
        <w:t>由承包人按投标时场地的规划</w:t>
      </w:r>
      <w:r>
        <w:rPr>
          <w:rFonts w:hint="eastAsia" w:ascii="宋体" w:hAnsi="宋体" w:cs="宋体"/>
          <w:color w:val="000000"/>
          <w:sz w:val="22"/>
          <w:szCs w:val="22"/>
          <w:highlight w:val="none"/>
          <w:u w:val="single"/>
          <w:lang w:eastAsia="zh-CN"/>
        </w:rPr>
        <w:t>，</w:t>
      </w:r>
      <w:r>
        <w:rPr>
          <w:rFonts w:hint="eastAsia" w:ascii="宋体" w:hAnsi="宋体" w:cs="宋体"/>
          <w:color w:val="000000"/>
          <w:sz w:val="22"/>
          <w:szCs w:val="22"/>
          <w:highlight w:val="none"/>
          <w:u w:val="single"/>
        </w:rPr>
        <w:t>文明工地施工要求自行解决场内道路和交通设施，其费用包含在报价内。确保满足施工运输需要，保证施工期间的畅通。</w:t>
      </w:r>
      <w:r>
        <w:rPr>
          <w:rFonts w:hint="eastAsia" w:ascii="宋体" w:hAnsi="宋体" w:cs="宋体"/>
          <w:sz w:val="22"/>
          <w:szCs w:val="22"/>
          <w:highlight w:val="none"/>
        </w:rPr>
        <w:t>。</w:t>
      </w:r>
      <w:bookmarkEnd w:id="915"/>
      <w:bookmarkEnd w:id="916"/>
      <w:bookmarkEnd w:id="917"/>
      <w:bookmarkEnd w:id="918"/>
      <w:bookmarkEnd w:id="919"/>
      <w:r>
        <w:rPr>
          <w:rFonts w:hint="eastAsia" w:ascii="宋体" w:hAnsi="宋体" w:cs="宋体"/>
          <w:sz w:val="22"/>
          <w:szCs w:val="22"/>
          <w:highlight w:val="none"/>
        </w:rPr>
        <w:t xml:space="preserve">  </w:t>
      </w:r>
      <w:bookmarkStart w:id="920" w:name="_Toc318581157"/>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1.10.4超大件和超重件的运输</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运输超大件或超重件所需的道路和桥梁临时加固改造费用和其他有关费用由</w:t>
      </w:r>
      <w:r>
        <w:rPr>
          <w:rFonts w:hint="eastAsia" w:ascii="宋体" w:hAnsi="宋体" w:cs="宋体"/>
          <w:sz w:val="22"/>
          <w:szCs w:val="22"/>
          <w:highlight w:val="none"/>
          <w:u w:val="single"/>
        </w:rPr>
        <w:t xml:space="preserve">  承包人  </w:t>
      </w:r>
      <w:r>
        <w:rPr>
          <w:rFonts w:hint="eastAsia" w:ascii="宋体" w:hAnsi="宋体" w:cs="宋体"/>
          <w:sz w:val="22"/>
          <w:szCs w:val="22"/>
          <w:highlight w:val="none"/>
        </w:rPr>
        <w:t>承担。</w:t>
      </w:r>
    </w:p>
    <w:bookmarkEnd w:id="920"/>
    <w:p>
      <w:pPr>
        <w:spacing w:after="120" w:line="360" w:lineRule="auto"/>
        <w:ind w:firstLine="440" w:firstLineChars="200"/>
        <w:rPr>
          <w:rFonts w:ascii="宋体" w:hAnsi="宋体" w:cs="宋体"/>
          <w:color w:val="000000"/>
          <w:sz w:val="22"/>
          <w:szCs w:val="22"/>
          <w:highlight w:val="none"/>
        </w:rPr>
      </w:pPr>
      <w:bookmarkStart w:id="921" w:name="_Toc30951"/>
      <w:r>
        <w:rPr>
          <w:rFonts w:hint="eastAsia" w:ascii="宋体" w:hAnsi="宋体" w:cs="宋体"/>
          <w:color w:val="000000"/>
          <w:sz w:val="22"/>
          <w:szCs w:val="22"/>
          <w:highlight w:val="none"/>
        </w:rPr>
        <w:t>1.11 知识产权</w:t>
      </w:r>
      <w:bookmarkEnd w:id="921"/>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2"/>
          <w:szCs w:val="22"/>
          <w:highlight w:val="none"/>
          <w:u w:val="single"/>
        </w:rPr>
        <w:t>发包人</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关于发包人提供的上述文件的使用限制的要求：</w:t>
      </w:r>
      <w:r>
        <w:rPr>
          <w:rFonts w:hint="eastAsia" w:ascii="宋体" w:hAnsi="宋体" w:cs="宋体"/>
          <w:color w:val="000000"/>
          <w:sz w:val="22"/>
          <w:szCs w:val="22"/>
          <w:highlight w:val="none"/>
          <w:u w:val="single"/>
        </w:rPr>
        <w:t>执行通用条款</w:t>
      </w:r>
      <w:r>
        <w:rPr>
          <w:rFonts w:hint="eastAsia" w:ascii="宋体" w:hAnsi="宋体" w:cs="宋体"/>
          <w:color w:val="000000"/>
          <w:sz w:val="22"/>
          <w:szCs w:val="22"/>
          <w:highlight w:val="none"/>
        </w:rPr>
        <w:t>。</w:t>
      </w:r>
    </w:p>
    <w:p>
      <w:pPr>
        <w:spacing w:line="360" w:lineRule="auto"/>
        <w:ind w:left="15" w:leftChars="7" w:firstLine="455" w:firstLineChars="207"/>
        <w:rPr>
          <w:rFonts w:ascii="宋体" w:hAnsi="宋体" w:cs="宋体"/>
          <w:color w:val="000000"/>
          <w:sz w:val="22"/>
          <w:szCs w:val="22"/>
          <w:highlight w:val="none"/>
        </w:rPr>
      </w:pPr>
      <w:bookmarkStart w:id="922" w:name="_Toc21017"/>
      <w:r>
        <w:rPr>
          <w:rFonts w:hint="eastAsia" w:ascii="宋体" w:hAnsi="宋体" w:cs="宋体"/>
          <w:color w:val="000000"/>
          <w:sz w:val="22"/>
          <w:szCs w:val="22"/>
          <w:highlight w:val="none"/>
        </w:rPr>
        <w:t>1.11.2 关于承包人为实施工程所编制文件的著作权的归属：</w:t>
      </w:r>
      <w:r>
        <w:rPr>
          <w:rFonts w:hint="eastAsia" w:ascii="宋体" w:hAnsi="宋体" w:cs="宋体"/>
          <w:color w:val="000000"/>
          <w:sz w:val="22"/>
          <w:szCs w:val="22"/>
          <w:highlight w:val="none"/>
          <w:u w:val="single"/>
        </w:rPr>
        <w:t>执行通用条款</w:t>
      </w:r>
      <w:r>
        <w:rPr>
          <w:rFonts w:hint="eastAsia" w:ascii="宋体" w:hAnsi="宋体" w:cs="宋体"/>
          <w:color w:val="000000"/>
          <w:sz w:val="22"/>
          <w:szCs w:val="22"/>
          <w:highlight w:val="none"/>
        </w:rPr>
        <w:t>。</w:t>
      </w:r>
      <w:bookmarkEnd w:id="922"/>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关于承包人提供的上述文件的使用限制的要求：</w:t>
      </w:r>
      <w:r>
        <w:rPr>
          <w:rFonts w:hint="eastAsia" w:ascii="宋体" w:hAnsi="宋体" w:cs="宋体"/>
          <w:color w:val="000000"/>
          <w:sz w:val="22"/>
          <w:szCs w:val="22"/>
          <w:highlight w:val="none"/>
          <w:u w:val="single"/>
        </w:rPr>
        <w:t>执行通用条款</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bookmarkStart w:id="923" w:name="_Toc24113"/>
      <w:r>
        <w:rPr>
          <w:rFonts w:hint="eastAsia" w:ascii="宋体" w:hAnsi="宋体" w:cs="宋体"/>
          <w:color w:val="000000"/>
          <w:sz w:val="22"/>
          <w:szCs w:val="22"/>
          <w:highlight w:val="none"/>
        </w:rPr>
        <w:t>1.11.4 承包人在施工过程中所采用的专利、专有技术、技术秘密的使用费的承担方式：</w:t>
      </w:r>
      <w:r>
        <w:rPr>
          <w:rFonts w:hint="eastAsia" w:ascii="宋体" w:hAnsi="宋体" w:cs="宋体"/>
          <w:color w:val="000000"/>
          <w:sz w:val="22"/>
          <w:szCs w:val="22"/>
          <w:highlight w:val="none"/>
          <w:u w:val="single"/>
        </w:rPr>
        <w:t>执行通用条款</w:t>
      </w:r>
      <w:r>
        <w:rPr>
          <w:rFonts w:hint="eastAsia" w:ascii="宋体" w:hAnsi="宋体" w:cs="宋体"/>
          <w:color w:val="000000"/>
          <w:sz w:val="22"/>
          <w:szCs w:val="22"/>
          <w:highlight w:val="none"/>
        </w:rPr>
        <w:t>。</w:t>
      </w:r>
      <w:bookmarkEnd w:id="923"/>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1.13工程量清单错误的修正</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出现工程量清单错误时，是否调整合同价格：</w:t>
      </w:r>
      <w:r>
        <w:rPr>
          <w:rFonts w:hint="eastAsia" w:ascii="宋体" w:hAnsi="宋体" w:cs="宋体"/>
          <w:color w:val="000000"/>
          <w:sz w:val="22"/>
          <w:szCs w:val="22"/>
          <w:highlight w:val="none"/>
          <w:u w:val="single"/>
        </w:rPr>
        <w:t xml:space="preserve"> 调整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允许调整合同价格的工程量偏差范围：</w:t>
      </w:r>
      <w:r>
        <w:rPr>
          <w:rFonts w:hint="eastAsia" w:ascii="宋体" w:hAnsi="宋体" w:cs="宋体"/>
          <w:color w:val="000000"/>
          <w:sz w:val="22"/>
          <w:szCs w:val="22"/>
          <w:highlight w:val="none"/>
          <w:u w:val="single"/>
        </w:rPr>
        <w:t xml:space="preserve">执行通用条款 </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bookmarkStart w:id="924" w:name="_Toc351203634"/>
      <w:r>
        <w:rPr>
          <w:rFonts w:hint="eastAsia" w:ascii="宋体" w:hAnsi="宋体" w:cs="宋体"/>
          <w:color w:val="000000"/>
          <w:sz w:val="22"/>
          <w:szCs w:val="22"/>
          <w:highlight w:val="none"/>
        </w:rPr>
        <w:t>2</w:t>
      </w:r>
      <w:bookmarkStart w:id="925" w:name="_Toc296944496"/>
      <w:bookmarkStart w:id="926" w:name="_Toc292559867"/>
      <w:bookmarkStart w:id="927" w:name="_Toc297120457"/>
      <w:bookmarkStart w:id="928" w:name="_Toc292559362"/>
      <w:bookmarkStart w:id="929" w:name="_Toc296890985"/>
      <w:bookmarkStart w:id="930" w:name="_Toc296503157"/>
      <w:bookmarkStart w:id="931" w:name="_Toc297048343"/>
      <w:bookmarkStart w:id="932" w:name="_Toc296347156"/>
      <w:bookmarkStart w:id="933" w:name="_Toc296346658"/>
      <w:bookmarkStart w:id="934" w:name="_Toc296891197"/>
      <w:r>
        <w:rPr>
          <w:rFonts w:hint="eastAsia" w:ascii="宋体" w:hAnsi="宋体" w:cs="宋体"/>
          <w:color w:val="000000"/>
          <w:sz w:val="22"/>
          <w:szCs w:val="22"/>
          <w:highlight w:val="none"/>
        </w:rPr>
        <w:t>. 发包人</w:t>
      </w:r>
      <w:bookmarkEnd w:id="924"/>
    </w:p>
    <w:bookmarkEnd w:id="925"/>
    <w:bookmarkEnd w:id="926"/>
    <w:bookmarkEnd w:id="927"/>
    <w:bookmarkEnd w:id="928"/>
    <w:bookmarkEnd w:id="929"/>
    <w:bookmarkEnd w:id="930"/>
    <w:bookmarkEnd w:id="931"/>
    <w:bookmarkEnd w:id="932"/>
    <w:bookmarkEnd w:id="933"/>
    <w:bookmarkEnd w:id="934"/>
    <w:p>
      <w:pPr>
        <w:spacing w:after="120" w:line="360" w:lineRule="auto"/>
        <w:ind w:firstLine="440" w:firstLineChars="200"/>
        <w:rPr>
          <w:rFonts w:ascii="宋体" w:hAnsi="宋体" w:cs="宋体"/>
          <w:color w:val="000000"/>
          <w:sz w:val="22"/>
          <w:szCs w:val="22"/>
          <w:highlight w:val="none"/>
        </w:rPr>
      </w:pPr>
      <w:bookmarkStart w:id="935" w:name="_Toc11661"/>
      <w:r>
        <w:rPr>
          <w:rFonts w:hint="eastAsia" w:ascii="宋体" w:hAnsi="宋体" w:cs="宋体"/>
          <w:color w:val="000000"/>
          <w:sz w:val="22"/>
          <w:szCs w:val="22"/>
          <w:highlight w:val="none"/>
        </w:rPr>
        <w:t>2.2 发包人代表</w:t>
      </w:r>
      <w:bookmarkEnd w:id="935"/>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发包人代表：</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姓    名：</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身份证号：</w:t>
      </w:r>
      <w:r>
        <w:rPr>
          <w:rFonts w:hint="eastAsia" w:ascii="宋体" w:hAnsi="宋体" w:cs="宋体"/>
          <w:color w:val="000000"/>
          <w:sz w:val="22"/>
          <w:szCs w:val="22"/>
          <w:highlight w:val="none"/>
          <w:u w:val="single"/>
        </w:rPr>
        <w:t>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职    务：</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联系电话：</w:t>
      </w:r>
      <w:r>
        <w:rPr>
          <w:rFonts w:hint="eastAsia" w:ascii="宋体" w:hAnsi="宋体" w:cs="宋体"/>
          <w:color w:val="000000"/>
          <w:sz w:val="22"/>
          <w:szCs w:val="22"/>
          <w:highlight w:val="none"/>
          <w:u w:val="single"/>
        </w:rPr>
        <w:t>  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电子信箱：</w:t>
      </w:r>
      <w:r>
        <w:rPr>
          <w:rFonts w:hint="eastAsia" w:ascii="宋体" w:hAnsi="宋体" w:cs="宋体"/>
          <w:color w:val="000000"/>
          <w:sz w:val="22"/>
          <w:szCs w:val="22"/>
          <w:highlight w:val="none"/>
          <w:u w:val="single"/>
        </w:rPr>
        <w:t>  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通信地址：</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b/>
          <w:color w:val="000000"/>
          <w:sz w:val="22"/>
          <w:szCs w:val="22"/>
          <w:highlight w:val="none"/>
        </w:rPr>
      </w:pPr>
      <w:r>
        <w:rPr>
          <w:rFonts w:hint="eastAsia" w:ascii="宋体" w:hAnsi="宋体" w:cs="宋体"/>
          <w:color w:val="000000"/>
          <w:sz w:val="22"/>
          <w:szCs w:val="22"/>
          <w:highlight w:val="none"/>
        </w:rPr>
        <w:t>发包人对发包人代表的授权范围如下：</w:t>
      </w:r>
      <w:r>
        <w:rPr>
          <w:rFonts w:hint="eastAsia" w:ascii="宋体" w:hAnsi="宋体" w:cs="宋体"/>
          <w:color w:val="000000"/>
          <w:sz w:val="22"/>
          <w:szCs w:val="22"/>
          <w:highlight w:val="none"/>
          <w:u w:val="single"/>
        </w:rPr>
        <w:t>负责施工全过程内、外部关系协调、处理往来文件；对工程安全、进度、质量、造价、变更指令、签证等进行管理</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936" w:name="_Toc29823"/>
      <w:r>
        <w:rPr>
          <w:rFonts w:hint="eastAsia" w:ascii="宋体" w:hAnsi="宋体" w:cs="宋体"/>
          <w:color w:val="000000"/>
          <w:sz w:val="22"/>
          <w:szCs w:val="22"/>
          <w:highlight w:val="none"/>
        </w:rPr>
        <w:t>2.4 施工现场、施工条件和基础资料的提供</w:t>
      </w:r>
      <w:bookmarkEnd w:id="936"/>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2.4.1 提供施工现场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关于发包人移交施工现场的期限要求：</w:t>
      </w:r>
      <w:r>
        <w:rPr>
          <w:rFonts w:hint="eastAsia" w:ascii="宋体" w:hAnsi="宋体" w:cs="宋体"/>
          <w:color w:val="000000"/>
          <w:sz w:val="22"/>
          <w:szCs w:val="22"/>
          <w:highlight w:val="none"/>
          <w:u w:val="single"/>
        </w:rPr>
        <w:t>开工前满足施工需求</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2.4.2 提供施工条件</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关于发包人应负责提供施工所需要的条件，包括：</w:t>
      </w:r>
      <w:r>
        <w:rPr>
          <w:rFonts w:hint="eastAsia" w:ascii="宋体" w:hAnsi="宋体" w:cs="宋体"/>
          <w:color w:val="000000"/>
          <w:sz w:val="22"/>
          <w:szCs w:val="22"/>
          <w:highlight w:val="none"/>
          <w:u w:val="single"/>
          <w:lang w:eastAsia="zh-CN"/>
        </w:rPr>
        <w:t>（</w:t>
      </w:r>
      <w:r>
        <w:rPr>
          <w:rFonts w:hint="eastAsia" w:ascii="宋体" w:hAnsi="宋体" w:cs="宋体"/>
          <w:color w:val="000000"/>
          <w:sz w:val="22"/>
          <w:szCs w:val="22"/>
          <w:highlight w:val="none"/>
          <w:u w:val="single"/>
          <w:lang w:val="en-US" w:eastAsia="zh-CN"/>
        </w:rPr>
        <w:t>1</w:t>
      </w:r>
      <w:r>
        <w:rPr>
          <w:rFonts w:hint="eastAsia" w:ascii="宋体" w:hAnsi="宋体" w:cs="宋体"/>
          <w:color w:val="000000"/>
          <w:sz w:val="22"/>
          <w:szCs w:val="22"/>
          <w:highlight w:val="none"/>
          <w:u w:val="single"/>
          <w:lang w:eastAsia="zh-CN"/>
        </w:rPr>
        <w:t>）</w:t>
      </w:r>
      <w:r>
        <w:rPr>
          <w:rFonts w:hint="eastAsia" w:ascii="宋体" w:hAnsi="宋体" w:cs="宋体"/>
          <w:color w:val="000000"/>
          <w:sz w:val="22"/>
          <w:szCs w:val="22"/>
          <w:highlight w:val="none"/>
          <w:u w:val="single"/>
        </w:rPr>
        <w:t>开工前保证施工现场现场具备开工条件。</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lang w:val="en-US" w:eastAsia="zh-CN"/>
        </w:rPr>
        <w:t>（2</w:t>
      </w:r>
      <w:r>
        <w:rPr>
          <w:rFonts w:hint="eastAsia" w:ascii="宋体" w:hAnsi="宋体" w:cs="宋体"/>
          <w:color w:val="000000"/>
          <w:sz w:val="22"/>
          <w:szCs w:val="22"/>
          <w:highlight w:val="none"/>
          <w:u w:val="single"/>
          <w:lang w:eastAsia="zh-CN"/>
        </w:rPr>
        <w:t>）</w:t>
      </w:r>
      <w:r>
        <w:rPr>
          <w:rFonts w:hint="eastAsia" w:ascii="宋体" w:hAnsi="宋体" w:cs="宋体"/>
          <w:color w:val="000000"/>
          <w:sz w:val="22"/>
          <w:szCs w:val="22"/>
          <w:highlight w:val="none"/>
          <w:u w:val="single"/>
        </w:rPr>
        <w:t>将施工所需的水、电、电讯线路接至施工场地的时间、地点和供应要求：施工用电已接通至本项目的变电箱，施工用水已接至施工场地，场内水、电接引工作及费用由承包人自理。计量装置由承包人自行安装。电讯线路已接至施工场地周围，接引和使用费用由承包人自行承担。</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其计量和计价方法为：施工现场用水电由发包人向政府相关部门缴纳，发包人根据实际用量，即承包方电表读数及相应损耗摊销（如有）之和（单价执行当地的相关规定）向承包人收取,在工程进度款中扣除。</w:t>
      </w:r>
    </w:p>
    <w:p>
      <w:pPr>
        <w:spacing w:line="360" w:lineRule="auto"/>
        <w:ind w:firstLine="220" w:firstLineChars="1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3）施工场地与公共道路的通道开通时间和要求:在施工道路的两端设置交通安全警示标志和车辆导向标识；夜间应当设置警灯等照明灯，便于车辆与行人安全通行。费用已包含在安全文明施工措施费中，发包人不再另付费用。</w:t>
      </w:r>
    </w:p>
    <w:p>
      <w:pPr>
        <w:spacing w:line="360" w:lineRule="auto"/>
        <w:ind w:firstLine="220" w:firstLineChars="1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（4）工程地质和地下管线资料的提供时间：</w:t>
      </w:r>
      <w:r>
        <w:rPr>
          <w:rFonts w:hint="eastAsia" w:ascii="宋体" w:hAnsi="宋体" w:cs="宋体"/>
          <w:color w:val="000000"/>
          <w:sz w:val="22"/>
          <w:szCs w:val="22"/>
          <w:highlight w:val="none"/>
          <w:u w:val="single"/>
          <w:lang w:val="en-US" w:eastAsia="zh-CN"/>
        </w:rPr>
        <w:t>开工前</w:t>
      </w:r>
      <w:r>
        <w:rPr>
          <w:rFonts w:hint="eastAsia" w:ascii="宋体" w:hAnsi="宋体" w:cs="宋体"/>
          <w:color w:val="000000"/>
          <w:sz w:val="22"/>
          <w:szCs w:val="22"/>
          <w:highlight w:val="none"/>
          <w:u w:val="single"/>
        </w:rPr>
        <w:t>发包人将以书面形式提供给承包人。承包人在进行地下工程施工时应再次向专业管线单位（包括但不仅限于煤气、自来水、供电、电信等单位）确认。</w:t>
      </w:r>
    </w:p>
    <w:p>
      <w:pPr>
        <w:spacing w:line="360" w:lineRule="auto"/>
        <w:ind w:firstLine="220" w:firstLineChars="1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（5）由发包人办理的施工所需证件、批件的名称和完成时间:开工前，承包人应积极协助发包人办理法律规定的有关施工证件和批件。</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（6）水准点与坐标控制点交验要求：</w:t>
      </w:r>
      <w:r>
        <w:rPr>
          <w:rFonts w:hint="eastAsia" w:ascii="宋体" w:hAnsi="宋体" w:cs="宋体"/>
          <w:color w:val="000000"/>
          <w:sz w:val="22"/>
          <w:szCs w:val="22"/>
          <w:highlight w:val="none"/>
          <w:u w:val="single"/>
          <w:lang w:val="en-US" w:eastAsia="zh-CN"/>
        </w:rPr>
        <w:t>开工前</w:t>
      </w:r>
      <w:r>
        <w:rPr>
          <w:rFonts w:hint="eastAsia" w:ascii="宋体" w:hAnsi="宋体" w:cs="宋体"/>
          <w:color w:val="000000"/>
          <w:sz w:val="22"/>
          <w:szCs w:val="22"/>
          <w:highlight w:val="none"/>
          <w:u w:val="single"/>
        </w:rPr>
        <w:t>发包人将水准点与坐标以书面形式交给承包人，双方进行现场交验，承包人接受后应对交验的坐标控制点与水准点进行复核并报监理审核。承包人对水准点及坐标点承担保护责任。</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（7）图纸会审和设计交底时间：具体时间由发包人另行通知。</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8）协调处理施工场地周围地下管线和邻近建筑物、构筑物(含文物保护建筑）、古树名木的保护工作：合同签订后由发包人提供施工场地地质资料，承包人对地上地下设施负有保护责任；如出现文物等承包人应按国家有关规定进行保护，并向有关部门申报。如发包人提出特殊保护措施，承包人应予以执行，费用由发包人承担（承包人未按发包人指示或未按操作规程造成的损失除外）</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（9）双方约定发包人应做的其他工作：/。</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2.5 资金来源证明及支付担保</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发包人提供资金来源证明的期限要求：</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发包人是否提供支付担保：</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发包人提供支付担保的形式：</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bookmarkStart w:id="937" w:name="_Toc351203635"/>
      <w:r>
        <w:rPr>
          <w:rFonts w:hint="eastAsia" w:ascii="宋体" w:hAnsi="宋体" w:cs="宋体"/>
          <w:color w:val="000000"/>
          <w:sz w:val="22"/>
          <w:szCs w:val="22"/>
          <w:highlight w:val="none"/>
        </w:rPr>
        <w:t>3</w:t>
      </w:r>
      <w:bookmarkStart w:id="938" w:name="_Toc296891198"/>
      <w:bookmarkStart w:id="939" w:name="_Toc296503158"/>
      <w:bookmarkStart w:id="940" w:name="_Toc297120458"/>
      <w:bookmarkStart w:id="941" w:name="_Toc296944497"/>
      <w:bookmarkStart w:id="942" w:name="_Toc296346659"/>
      <w:bookmarkStart w:id="943" w:name="_Toc296347157"/>
      <w:bookmarkStart w:id="944" w:name="_Toc296890986"/>
      <w:bookmarkStart w:id="945" w:name="_Toc292559868"/>
      <w:bookmarkStart w:id="946" w:name="_Toc292559363"/>
      <w:bookmarkStart w:id="947" w:name="_Toc297048344"/>
      <w:r>
        <w:rPr>
          <w:rFonts w:hint="eastAsia" w:ascii="宋体" w:hAnsi="宋体" w:cs="宋体"/>
          <w:color w:val="000000"/>
          <w:sz w:val="22"/>
          <w:szCs w:val="22"/>
          <w:highlight w:val="none"/>
        </w:rPr>
        <w:t>. 承包人</w:t>
      </w:r>
      <w:bookmarkEnd w:id="937"/>
    </w:p>
    <w:bookmarkEnd w:id="938"/>
    <w:bookmarkEnd w:id="939"/>
    <w:bookmarkEnd w:id="940"/>
    <w:bookmarkEnd w:id="941"/>
    <w:bookmarkEnd w:id="942"/>
    <w:bookmarkEnd w:id="943"/>
    <w:bookmarkEnd w:id="944"/>
    <w:bookmarkEnd w:id="945"/>
    <w:bookmarkEnd w:id="946"/>
    <w:bookmarkEnd w:id="947"/>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3.1 承包人的一般义务</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（9）承包人提交的竣工资料的内容：</w:t>
      </w:r>
      <w:r>
        <w:rPr>
          <w:rFonts w:hint="eastAsia" w:ascii="宋体" w:hAnsi="宋体" w:cs="宋体"/>
          <w:color w:val="000000"/>
          <w:sz w:val="22"/>
          <w:szCs w:val="22"/>
          <w:highlight w:val="none"/>
          <w:u w:val="single"/>
        </w:rPr>
        <w:t>竣工图纸4套及相应的电子文档</w:t>
      </w:r>
      <w:r>
        <w:rPr>
          <w:rFonts w:hint="eastAsia" w:ascii="宋体" w:hAnsi="宋体" w:cs="宋体"/>
          <w:color w:val="000000"/>
          <w:sz w:val="22"/>
          <w:szCs w:val="22"/>
          <w:highlight w:val="none"/>
        </w:rPr>
        <w:t>。</w:t>
      </w:r>
    </w:p>
    <w:p>
      <w:pPr>
        <w:spacing w:line="360" w:lineRule="auto"/>
        <w:ind w:firstLine="880" w:firstLineChars="400"/>
        <w:rPr>
          <w:rFonts w:ascii="宋体" w:hAnsi="宋体" w:cs="宋体"/>
          <w:color w:val="000000"/>
          <w:sz w:val="22"/>
          <w:szCs w:val="22"/>
          <w:highlight w:val="none"/>
        </w:rPr>
      </w:pPr>
      <w:r>
        <w:rPr>
          <w:rFonts w:hint="eastAsia" w:ascii="宋体" w:hAnsi="宋体" w:cs="宋体"/>
          <w:color w:val="000000"/>
          <w:sz w:val="22"/>
          <w:szCs w:val="22"/>
          <w:highlight w:val="none"/>
        </w:rPr>
        <w:t>承包人需要提交的竣工资料套数：</w:t>
      </w:r>
      <w:r>
        <w:rPr>
          <w:rFonts w:hint="eastAsia" w:ascii="宋体" w:hAnsi="宋体" w:cs="宋体"/>
          <w:color w:val="000000"/>
          <w:sz w:val="22"/>
          <w:szCs w:val="22"/>
          <w:highlight w:val="none"/>
          <w:u w:val="single"/>
        </w:rPr>
        <w:t>4套</w:t>
      </w:r>
      <w:r>
        <w:rPr>
          <w:rFonts w:hint="eastAsia" w:ascii="宋体" w:hAnsi="宋体" w:cs="宋体"/>
          <w:color w:val="000000"/>
          <w:sz w:val="22"/>
          <w:szCs w:val="22"/>
          <w:highlight w:val="none"/>
        </w:rPr>
        <w:t>。</w:t>
      </w:r>
    </w:p>
    <w:p>
      <w:pPr>
        <w:spacing w:line="360" w:lineRule="auto"/>
        <w:ind w:firstLine="880" w:firstLineChars="400"/>
        <w:rPr>
          <w:rFonts w:ascii="宋体" w:hAnsi="宋体" w:cs="宋体"/>
          <w:color w:val="000000"/>
          <w:sz w:val="22"/>
          <w:szCs w:val="22"/>
          <w:highlight w:val="none"/>
        </w:rPr>
      </w:pPr>
      <w:r>
        <w:rPr>
          <w:rFonts w:hint="eastAsia" w:ascii="宋体" w:hAnsi="宋体" w:cs="宋体"/>
          <w:color w:val="000000"/>
          <w:sz w:val="22"/>
          <w:szCs w:val="22"/>
          <w:highlight w:val="none"/>
        </w:rPr>
        <w:t>承包人提交的竣工资料的费用承担：</w:t>
      </w:r>
      <w:r>
        <w:rPr>
          <w:rFonts w:hint="eastAsia" w:ascii="宋体" w:hAnsi="宋体" w:cs="宋体"/>
          <w:color w:val="000000"/>
          <w:sz w:val="22"/>
          <w:szCs w:val="22"/>
          <w:highlight w:val="none"/>
          <w:u w:val="single"/>
        </w:rPr>
        <w:t>自行承担</w:t>
      </w:r>
      <w:r>
        <w:rPr>
          <w:rFonts w:hint="eastAsia" w:ascii="宋体" w:hAnsi="宋体" w:cs="宋体"/>
          <w:color w:val="000000"/>
          <w:sz w:val="22"/>
          <w:szCs w:val="22"/>
          <w:highlight w:val="none"/>
        </w:rPr>
        <w:t>。</w:t>
      </w:r>
    </w:p>
    <w:p>
      <w:pPr>
        <w:spacing w:line="360" w:lineRule="auto"/>
        <w:ind w:firstLine="880" w:firstLineChars="400"/>
        <w:rPr>
          <w:rFonts w:ascii="宋体" w:hAnsi="宋体" w:cs="宋体"/>
          <w:color w:val="000000"/>
          <w:sz w:val="22"/>
          <w:szCs w:val="22"/>
          <w:highlight w:val="none"/>
        </w:rPr>
      </w:pPr>
      <w:r>
        <w:rPr>
          <w:rFonts w:hint="eastAsia" w:ascii="宋体" w:hAnsi="宋体" w:cs="宋体"/>
          <w:color w:val="000000"/>
          <w:sz w:val="22"/>
          <w:szCs w:val="22"/>
          <w:highlight w:val="none"/>
        </w:rPr>
        <w:t>承包人提交的竣工资料移交时间：</w:t>
      </w:r>
      <w:r>
        <w:rPr>
          <w:rFonts w:hint="eastAsia" w:ascii="宋体" w:hAnsi="宋体" w:cs="宋体"/>
          <w:color w:val="000000"/>
          <w:sz w:val="22"/>
          <w:szCs w:val="22"/>
          <w:highlight w:val="none"/>
          <w:u w:val="single"/>
        </w:rPr>
        <w:t>工程竣工验收合格后1个月内</w:t>
      </w:r>
      <w:r>
        <w:rPr>
          <w:rFonts w:hint="eastAsia" w:ascii="宋体" w:hAnsi="宋体" w:cs="宋体"/>
          <w:color w:val="000000"/>
          <w:sz w:val="22"/>
          <w:szCs w:val="22"/>
          <w:highlight w:val="none"/>
        </w:rPr>
        <w:t>。</w:t>
      </w:r>
    </w:p>
    <w:p>
      <w:pPr>
        <w:spacing w:line="360" w:lineRule="auto"/>
        <w:ind w:firstLine="880" w:firstLineChars="400"/>
        <w:rPr>
          <w:rFonts w:ascii="宋体" w:hAnsi="宋体" w:cs="宋体"/>
          <w:color w:val="000000"/>
          <w:sz w:val="22"/>
          <w:szCs w:val="22"/>
          <w:highlight w:val="none"/>
        </w:rPr>
      </w:pPr>
      <w:r>
        <w:rPr>
          <w:rFonts w:hint="eastAsia" w:ascii="宋体" w:hAnsi="宋体" w:cs="宋体"/>
          <w:color w:val="000000"/>
          <w:sz w:val="22"/>
          <w:szCs w:val="22"/>
          <w:highlight w:val="none"/>
        </w:rPr>
        <w:t>承包人提交的竣工资料形式要求：</w:t>
      </w:r>
      <w:r>
        <w:rPr>
          <w:rFonts w:hint="eastAsia" w:ascii="宋体" w:hAnsi="宋体" w:cs="宋体"/>
          <w:color w:val="000000"/>
          <w:sz w:val="22"/>
          <w:szCs w:val="22"/>
          <w:highlight w:val="none"/>
          <w:u w:val="single"/>
        </w:rPr>
        <w:t>按陕西省相关规定执行</w:t>
      </w:r>
      <w:r>
        <w:rPr>
          <w:rFonts w:hint="eastAsia" w:ascii="宋体" w:hAnsi="宋体" w:cs="宋体"/>
          <w:color w:val="000000"/>
          <w:sz w:val="22"/>
          <w:szCs w:val="22"/>
          <w:highlight w:val="none"/>
        </w:rPr>
        <w:t>。</w:t>
      </w:r>
    </w:p>
    <w:p>
      <w:pPr>
        <w:numPr>
          <w:ilvl w:val="0"/>
          <w:numId w:val="0"/>
        </w:numPr>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10</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承包人应履行的其他义务：</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应提供计划、报表的名称及完成时间：合同签订后 5 天内。承包人须向监理人及发包人提供施工总进度计划及资金使用计划《包括年度计划及季度计划）壹式肆份；每月20日向监理人及发包人报送当月已完成工作量月报表、劳务作业量及应支付劳务分包合同价款，并提供下月施工进度计划表、主要材料用量计划表及资金使用计划表各壹式肆份；每周一上午09:00时前向监理人员及发包人报送施工周报壹式肆份。</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承担施工安全保卫工作及非夜间施工照明的责任和要求：在工程实施过程中，承包人应对其承包范围内的所有现场操作的稳定性和安全负全部责任，并且应对施工现场的所有人员进行安全管理。应保持施工现场和施工过程井然有序，避免发生人身事故。为了保护工程或为了公众及其他人员的安全，或在监理工程师和有关主管单位提出要求时，承包人应完善所有的照明、护栏、围墙、警告标志及守卫设施。采取一切合理措施，保护工地及工地周围的环境，避免污染，噪音、排放或由于其施工方法的不当造成的对人员和财产的危害或干扰。在签订承包合同时，必须同时签订安全文明施工协议、安全文明施工承诺书。承包人如果在工程施工中发生安全事故、发包人有权按相关规定对承包人进行考核和扣罚。按国家、省、市有关政策文件执行，需满足非夜间施工照明的需要，发生费用自负。</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向发包人提供的办公和生活房屋及设施的要求：在开工前 7 日内免费为发包人和监理工程师提供办公用房5间,提供可供 20 人开会的会议室1间及配套的办公用品和一般的生活设施，上述费用均已包含在安全文明施工措施费中，发包人不再另付费用。</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需承包人办理的有关施工场地交通、环卫和施工噪音管理等手续：按西安市的有关文件规定办理各项有关手续，并书面通知发包人。办理有关手续发生的费用按有关规定执行。若承包人原因导致的罚款由承包人承担。</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已完工程成品保护的特殊要求及费用承担：工程竣工验收未交给发包人之前，承包人负责保护，承包人保护期间发生损坏，承包人出资修复；发包人提前使用后发生的损坏，由承包人负责修复，费用由发包人承担。</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施工场地周围地下管线和邻近建筑物、构筑物（含文物保护建筑)、古树名树的保护要求及费用承担：根据现场具体情况，由承包人制定措施，报发包人及监理审批，由此产生的费用由发包人承担。</w:t>
      </w:r>
    </w:p>
    <w:p>
      <w:pPr>
        <w:numPr>
          <w:ilvl w:val="0"/>
          <w:numId w:val="8"/>
        </w:numPr>
        <w:ind w:firstLine="440" w:firstLineChars="200"/>
        <w:rPr>
          <w:rFonts w:ascii="宋体" w:hAnsi="宋体" w:cs="宋体"/>
          <w:sz w:val="18"/>
          <w:highlight w:val="none"/>
        </w:rPr>
      </w:pPr>
      <w:r>
        <w:rPr>
          <w:rFonts w:hint="eastAsia" w:ascii="宋体" w:hAnsi="宋体" w:cs="宋体"/>
          <w:sz w:val="22"/>
          <w:szCs w:val="22"/>
          <w:highlight w:val="none"/>
        </w:rPr>
        <w:t>施工场地清洁卫生的要求：按陕西省及西安市有关安全生产、文明施工和城市管理的规定执行，在工程施工期间，承包人应保持作业环境整洁卫生，使生产有序进行。因承包人违反陕西省及西安市有关安全生产、文明施工和城市管理等规定而发生的费用由承包人承担。交工前，承包人需将自身的人员及材料设备有序清退出场，保证清场后现场卫生环境整洁，否则发包人可酌情扣除费用。</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承包人保证工程进度，不能因非发包人原因等问题停工、或延误工期；</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在任何条件下，承包人不得拖欠农民工工资及应为其缴纳的社会保险；</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承包人应加强项目实施中的安全生产、文明施工、环境保护管理，并支付相关费用，本项目施工中安全生产、文明施工、环境保护等均由承包人负责；按照陕西省“安全文明工地”要求、治污减霾等相关规定要求做好安全文明施工、环境保护、治污减霾等工作，创建省级安全文明工地。承包人未达到省、市的有关规定要求，被行政主管部门查处的，或被市民、媒体举报属实的，或被发包人、监理人随机检查属实的，发包人有权按国家、地方有关安全法规处罚，除接受相关部门处罚外，上述行为每发现一次，承包人还须向发包人支付违约金 10000元；</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项目实施过程中涉及的应由承包人支付的各项费用，全部由承包人支付；项目实施过程中涉及的内部组织，对外协调工作，由承包人负责；</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由承包人原因引起的任何经济和劳动纠纷由承包人负责处理并承担责任；</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依据《中华人民共和国建筑法》等规定，本项目主体及关键性工作不允许分包；非主体、非关键性工作承包人进行分包前须征得发包人同意；</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承包人提交关键单项工程施工计划（以表格、文字、网络图及横道图表述）的名称、份数和时间：在各关键单项工程开工前 7 日提交壹式肆份。承包人提交关键分部分项工程施工计划（以表格、文字、网络图及横道图表述）的名称、份数和时间： 在各关键分部分项工程开工前 7 日提交壹式肆份；</w:t>
      </w:r>
    </w:p>
    <w:p>
      <w:pPr>
        <w:numPr>
          <w:ilvl w:val="0"/>
          <w:numId w:val="8"/>
        </w:numPr>
        <w:ind w:firstLine="440" w:firstLineChars="200"/>
        <w:rPr>
          <w:rFonts w:ascii="宋体" w:hAnsi="宋体" w:cs="宋体"/>
          <w:sz w:val="22"/>
          <w:szCs w:val="22"/>
          <w:highlight w:val="none"/>
        </w:rPr>
      </w:pPr>
      <w:r>
        <w:rPr>
          <w:rFonts w:hint="eastAsia" w:ascii="宋体" w:hAnsi="宋体" w:cs="宋体"/>
          <w:sz w:val="22"/>
          <w:szCs w:val="22"/>
          <w:highlight w:val="none"/>
        </w:rPr>
        <w:t>其他未尽事宜由双方协商。</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3.2 项目经理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3.2.1 项目经理：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姓    名：</w:t>
      </w:r>
      <w:r>
        <w:rPr>
          <w:rFonts w:hint="eastAsia" w:ascii="宋体" w:hAnsi="宋体" w:cs="宋体"/>
          <w:color w:val="000000"/>
          <w:sz w:val="22"/>
          <w:szCs w:val="22"/>
          <w:highlight w:val="none"/>
          <w:u w:val="single"/>
        </w:rPr>
        <w:t>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身份证号：</w:t>
      </w:r>
      <w:r>
        <w:rPr>
          <w:rFonts w:hint="eastAsia" w:ascii="宋体" w:hAnsi="宋体" w:cs="宋体"/>
          <w:color w:val="000000"/>
          <w:sz w:val="22"/>
          <w:szCs w:val="22"/>
          <w:highlight w:val="none"/>
          <w:u w:val="single"/>
        </w:rPr>
        <w:t>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建造师执业资格等级：</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建造师注册证书号：</w:t>
      </w:r>
      <w:r>
        <w:rPr>
          <w:rFonts w:hint="eastAsia" w:ascii="宋体" w:hAnsi="宋体" w:cs="宋体"/>
          <w:color w:val="000000"/>
          <w:sz w:val="22"/>
          <w:szCs w:val="22"/>
          <w:highlight w:val="none"/>
          <w:u w:val="single"/>
        </w:rPr>
        <w:t>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建造师执业印章号：</w:t>
      </w:r>
      <w:r>
        <w:rPr>
          <w:rFonts w:hint="eastAsia" w:ascii="宋体" w:hAnsi="宋体" w:cs="宋体"/>
          <w:color w:val="000000"/>
          <w:sz w:val="22"/>
          <w:szCs w:val="22"/>
          <w:highlight w:val="none"/>
          <w:u w:val="single"/>
        </w:rPr>
        <w:t>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安全生产考核合格证书号：</w:t>
      </w:r>
      <w:r>
        <w:rPr>
          <w:rFonts w:hint="eastAsia" w:ascii="宋体" w:hAnsi="宋体" w:cs="宋体"/>
          <w:color w:val="000000"/>
          <w:sz w:val="22"/>
          <w:szCs w:val="22"/>
          <w:highlight w:val="none"/>
          <w:u w:val="single"/>
        </w:rPr>
        <w:t>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联系电话：</w:t>
      </w:r>
      <w:r>
        <w:rPr>
          <w:rFonts w:hint="eastAsia" w:ascii="宋体" w:hAnsi="宋体" w:cs="宋体"/>
          <w:color w:val="000000"/>
          <w:sz w:val="22"/>
          <w:szCs w:val="22"/>
          <w:highlight w:val="none"/>
          <w:u w:val="single"/>
        </w:rPr>
        <w:t>  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电子信箱：</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通信地址：</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承包人对项目经理的授权范围如下：</w:t>
      </w:r>
      <w:r>
        <w:rPr>
          <w:rFonts w:hint="eastAsia" w:ascii="宋体" w:hAnsi="宋体" w:cs="宋体"/>
          <w:sz w:val="22"/>
          <w:szCs w:val="22"/>
          <w:highlight w:val="none"/>
          <w:u w:val="single"/>
        </w:rPr>
        <w:t>代表承包人具体履行本合同文件 ：</w:t>
      </w:r>
      <w:r>
        <w:rPr>
          <w:rFonts w:hint="eastAsia" w:ascii="宋体" w:hAnsi="宋体" w:cs="宋体"/>
          <w:sz w:val="22"/>
          <w:szCs w:val="22"/>
          <w:highlight w:val="none"/>
          <w:u w:val="single"/>
        </w:rPr>
        <w:fldChar w:fldCharType="begin"/>
      </w:r>
      <w:r>
        <w:rPr>
          <w:rFonts w:hint="eastAsia" w:ascii="宋体" w:hAnsi="宋体" w:cs="宋体"/>
          <w:sz w:val="22"/>
          <w:szCs w:val="22"/>
          <w:highlight w:val="none"/>
          <w:u w:val="single"/>
        </w:rPr>
        <w:instrText xml:space="preserve"> = 1 \* GB3 </w:instrText>
      </w:r>
      <w:r>
        <w:rPr>
          <w:rFonts w:hint="eastAsia" w:ascii="宋体" w:hAnsi="宋体" w:cs="宋体"/>
          <w:sz w:val="22"/>
          <w:szCs w:val="22"/>
          <w:highlight w:val="none"/>
          <w:u w:val="single"/>
        </w:rPr>
        <w:fldChar w:fldCharType="separate"/>
      </w:r>
      <w:r>
        <w:rPr>
          <w:rFonts w:hint="eastAsia" w:ascii="宋体" w:hAnsi="宋体" w:cs="宋体"/>
          <w:sz w:val="22"/>
          <w:szCs w:val="22"/>
          <w:highlight w:val="none"/>
          <w:u w:val="single"/>
        </w:rPr>
        <w:t>①</w:t>
      </w:r>
      <w:r>
        <w:rPr>
          <w:rFonts w:hint="eastAsia" w:ascii="宋体" w:hAnsi="宋体" w:cs="宋体"/>
          <w:sz w:val="22"/>
          <w:szCs w:val="22"/>
          <w:highlight w:val="none"/>
          <w:u w:val="single"/>
        </w:rPr>
        <w:fldChar w:fldCharType="end"/>
      </w:r>
      <w:r>
        <w:rPr>
          <w:rFonts w:hint="eastAsia" w:ascii="宋体" w:hAnsi="宋体" w:cs="宋体"/>
          <w:sz w:val="22"/>
          <w:szCs w:val="22"/>
          <w:highlight w:val="none"/>
          <w:u w:val="single"/>
        </w:rPr>
        <w:t>组建项目经理部，确定项目经理部的组织结构，按照投标文件所列名单聘任管理人员，确定管理人员的职责，并定期进行考核、评价和奖惩；</w:t>
      </w:r>
      <w:r>
        <w:rPr>
          <w:rFonts w:hint="eastAsia" w:ascii="宋体" w:hAnsi="宋体" w:cs="宋体"/>
          <w:sz w:val="22"/>
          <w:szCs w:val="22"/>
          <w:highlight w:val="none"/>
          <w:u w:val="single"/>
        </w:rPr>
        <w:fldChar w:fldCharType="begin"/>
      </w:r>
      <w:r>
        <w:rPr>
          <w:rFonts w:hint="eastAsia" w:ascii="宋体" w:hAnsi="宋体" w:cs="宋体"/>
          <w:sz w:val="22"/>
          <w:szCs w:val="22"/>
          <w:highlight w:val="none"/>
          <w:u w:val="single"/>
        </w:rPr>
        <w:instrText xml:space="preserve"> = 2 \* GB3 </w:instrText>
      </w:r>
      <w:r>
        <w:rPr>
          <w:rFonts w:hint="eastAsia" w:ascii="宋体" w:hAnsi="宋体" w:cs="宋体"/>
          <w:sz w:val="22"/>
          <w:szCs w:val="22"/>
          <w:highlight w:val="none"/>
          <w:u w:val="single"/>
        </w:rPr>
        <w:fldChar w:fldCharType="separate"/>
      </w:r>
      <w:r>
        <w:rPr>
          <w:rFonts w:hint="eastAsia" w:ascii="宋体" w:hAnsi="宋体" w:cs="宋体"/>
          <w:sz w:val="22"/>
          <w:szCs w:val="22"/>
          <w:highlight w:val="none"/>
          <w:u w:val="single"/>
        </w:rPr>
        <w:t>②</w:t>
      </w:r>
      <w:r>
        <w:rPr>
          <w:rFonts w:hint="eastAsia" w:ascii="宋体" w:hAnsi="宋体" w:cs="宋体"/>
          <w:sz w:val="22"/>
          <w:szCs w:val="22"/>
          <w:highlight w:val="none"/>
          <w:u w:val="single"/>
        </w:rPr>
        <w:fldChar w:fldCharType="end"/>
      </w:r>
      <w:r>
        <w:rPr>
          <w:rFonts w:hint="eastAsia" w:ascii="宋体" w:hAnsi="宋体" w:cs="宋体"/>
          <w:sz w:val="22"/>
          <w:szCs w:val="22"/>
          <w:highlight w:val="none"/>
          <w:u w:val="single"/>
        </w:rPr>
        <w:t>在企业财务制度规定的范围内，根据企业法定代表人授权和施工项目管理的需要，决定资金的投入和使用，决定项目经理部的计酬办法；</w:t>
      </w:r>
      <w:r>
        <w:rPr>
          <w:rFonts w:hint="eastAsia" w:ascii="宋体" w:hAnsi="宋体" w:cs="宋体"/>
          <w:sz w:val="22"/>
          <w:szCs w:val="22"/>
          <w:highlight w:val="none"/>
          <w:u w:val="single"/>
        </w:rPr>
        <w:fldChar w:fldCharType="begin"/>
      </w:r>
      <w:r>
        <w:rPr>
          <w:rFonts w:hint="eastAsia" w:ascii="宋体" w:hAnsi="宋体" w:cs="宋体"/>
          <w:sz w:val="22"/>
          <w:szCs w:val="22"/>
          <w:highlight w:val="none"/>
          <w:u w:val="single"/>
        </w:rPr>
        <w:instrText xml:space="preserve"> = 3 \* GB3 </w:instrText>
      </w:r>
      <w:r>
        <w:rPr>
          <w:rFonts w:hint="eastAsia" w:ascii="宋体" w:hAnsi="宋体" w:cs="宋体"/>
          <w:sz w:val="22"/>
          <w:szCs w:val="22"/>
          <w:highlight w:val="none"/>
          <w:u w:val="single"/>
        </w:rPr>
        <w:fldChar w:fldCharType="separate"/>
      </w:r>
      <w:r>
        <w:rPr>
          <w:rFonts w:hint="eastAsia" w:ascii="宋体" w:hAnsi="宋体" w:cs="宋体"/>
          <w:sz w:val="22"/>
          <w:szCs w:val="22"/>
          <w:highlight w:val="none"/>
          <w:u w:val="single"/>
        </w:rPr>
        <w:t>③</w:t>
      </w:r>
      <w:r>
        <w:rPr>
          <w:rFonts w:hint="eastAsia" w:ascii="宋体" w:hAnsi="宋体" w:cs="宋体"/>
          <w:sz w:val="22"/>
          <w:szCs w:val="22"/>
          <w:highlight w:val="none"/>
          <w:u w:val="single"/>
        </w:rPr>
        <w:fldChar w:fldCharType="end"/>
      </w:r>
      <w:r>
        <w:rPr>
          <w:rFonts w:hint="eastAsia" w:ascii="宋体" w:hAnsi="宋体" w:cs="宋体"/>
          <w:sz w:val="22"/>
          <w:szCs w:val="22"/>
          <w:highlight w:val="none"/>
          <w:u w:val="single"/>
        </w:rPr>
        <w:t>在授权范围内，按物资采购程序性文件的规定和合同约定行使采购权；</w:t>
      </w:r>
      <w:r>
        <w:rPr>
          <w:rFonts w:hint="eastAsia" w:ascii="宋体" w:hAnsi="宋体" w:cs="宋体"/>
          <w:sz w:val="22"/>
          <w:szCs w:val="22"/>
          <w:highlight w:val="none"/>
          <w:u w:val="single"/>
        </w:rPr>
        <w:fldChar w:fldCharType="begin"/>
      </w:r>
      <w:r>
        <w:rPr>
          <w:rFonts w:hint="eastAsia" w:ascii="宋体" w:hAnsi="宋体" w:cs="宋体"/>
          <w:sz w:val="22"/>
          <w:szCs w:val="22"/>
          <w:highlight w:val="none"/>
          <w:u w:val="single"/>
        </w:rPr>
        <w:instrText xml:space="preserve"> = 4 \* GB3 </w:instrText>
      </w:r>
      <w:r>
        <w:rPr>
          <w:rFonts w:hint="eastAsia" w:ascii="宋体" w:hAnsi="宋体" w:cs="宋体"/>
          <w:sz w:val="22"/>
          <w:szCs w:val="22"/>
          <w:highlight w:val="none"/>
          <w:u w:val="single"/>
        </w:rPr>
        <w:fldChar w:fldCharType="separate"/>
      </w:r>
      <w:r>
        <w:rPr>
          <w:rFonts w:hint="eastAsia" w:ascii="宋体" w:hAnsi="宋体" w:cs="宋体"/>
          <w:sz w:val="22"/>
          <w:szCs w:val="22"/>
          <w:highlight w:val="none"/>
          <w:u w:val="single"/>
        </w:rPr>
        <w:t>④</w:t>
      </w:r>
      <w:r>
        <w:rPr>
          <w:rFonts w:hint="eastAsia" w:ascii="宋体" w:hAnsi="宋体" w:cs="宋体"/>
          <w:sz w:val="22"/>
          <w:szCs w:val="22"/>
          <w:highlight w:val="none"/>
          <w:u w:val="single"/>
        </w:rPr>
        <w:fldChar w:fldCharType="end"/>
      </w:r>
      <w:r>
        <w:rPr>
          <w:rFonts w:hint="eastAsia" w:ascii="宋体" w:hAnsi="宋体" w:cs="宋体"/>
          <w:sz w:val="22"/>
          <w:szCs w:val="22"/>
          <w:highlight w:val="none"/>
          <w:u w:val="single"/>
        </w:rPr>
        <w:t>根据企业法定代表人授权或按照企业的规定选择、使用分包作业队伍；</w:t>
      </w:r>
      <w:r>
        <w:rPr>
          <w:rFonts w:hint="eastAsia" w:ascii="宋体" w:hAnsi="宋体" w:cs="宋体"/>
          <w:sz w:val="22"/>
          <w:szCs w:val="22"/>
          <w:highlight w:val="none"/>
          <w:u w:val="single"/>
        </w:rPr>
        <w:fldChar w:fldCharType="begin"/>
      </w:r>
      <w:r>
        <w:rPr>
          <w:rFonts w:hint="eastAsia" w:ascii="宋体" w:hAnsi="宋体" w:cs="宋体"/>
          <w:sz w:val="22"/>
          <w:szCs w:val="22"/>
          <w:highlight w:val="none"/>
          <w:u w:val="single"/>
        </w:rPr>
        <w:instrText xml:space="preserve"> = 5 \* GB3 </w:instrText>
      </w:r>
      <w:r>
        <w:rPr>
          <w:rFonts w:hint="eastAsia" w:ascii="宋体" w:hAnsi="宋体" w:cs="宋体"/>
          <w:sz w:val="22"/>
          <w:szCs w:val="22"/>
          <w:highlight w:val="none"/>
          <w:u w:val="single"/>
        </w:rPr>
        <w:fldChar w:fldCharType="separate"/>
      </w:r>
      <w:r>
        <w:rPr>
          <w:rFonts w:hint="eastAsia" w:ascii="宋体" w:hAnsi="宋体" w:cs="宋体"/>
          <w:sz w:val="22"/>
          <w:szCs w:val="22"/>
          <w:highlight w:val="none"/>
          <w:u w:val="single"/>
        </w:rPr>
        <w:t>⑤</w:t>
      </w:r>
      <w:r>
        <w:rPr>
          <w:rFonts w:hint="eastAsia" w:ascii="宋体" w:hAnsi="宋体" w:cs="宋体"/>
          <w:sz w:val="22"/>
          <w:szCs w:val="22"/>
          <w:highlight w:val="none"/>
          <w:u w:val="single"/>
        </w:rPr>
        <w:fldChar w:fldCharType="end"/>
      </w:r>
      <w:r>
        <w:rPr>
          <w:rFonts w:hint="eastAsia" w:ascii="宋体" w:hAnsi="宋体" w:cs="宋体"/>
          <w:sz w:val="22"/>
          <w:szCs w:val="22"/>
          <w:highlight w:val="none"/>
          <w:u w:val="single"/>
        </w:rPr>
        <w:t>主持项目经理部工作，组织制定施工项目的各项管理制度；</w:t>
      </w:r>
      <w:r>
        <w:rPr>
          <w:rFonts w:hint="eastAsia" w:ascii="宋体" w:hAnsi="宋体" w:cs="宋体"/>
          <w:sz w:val="22"/>
          <w:szCs w:val="22"/>
          <w:highlight w:val="none"/>
          <w:u w:val="single"/>
        </w:rPr>
        <w:fldChar w:fldCharType="begin"/>
      </w:r>
      <w:r>
        <w:rPr>
          <w:rFonts w:hint="eastAsia" w:ascii="宋体" w:hAnsi="宋体" w:cs="宋体"/>
          <w:sz w:val="22"/>
          <w:szCs w:val="22"/>
          <w:highlight w:val="none"/>
          <w:u w:val="single"/>
        </w:rPr>
        <w:instrText xml:space="preserve"> = 6 \* GB3 </w:instrText>
      </w:r>
      <w:r>
        <w:rPr>
          <w:rFonts w:hint="eastAsia" w:ascii="宋体" w:hAnsi="宋体" w:cs="宋体"/>
          <w:sz w:val="22"/>
          <w:szCs w:val="22"/>
          <w:highlight w:val="none"/>
          <w:u w:val="single"/>
        </w:rPr>
        <w:fldChar w:fldCharType="separate"/>
      </w:r>
      <w:r>
        <w:rPr>
          <w:rFonts w:hint="eastAsia" w:ascii="宋体" w:hAnsi="宋体" w:cs="宋体"/>
          <w:sz w:val="22"/>
          <w:szCs w:val="22"/>
          <w:highlight w:val="none"/>
          <w:u w:val="single"/>
        </w:rPr>
        <w:t>⑥</w:t>
      </w:r>
      <w:r>
        <w:rPr>
          <w:rFonts w:hint="eastAsia" w:ascii="宋体" w:hAnsi="宋体" w:cs="宋体"/>
          <w:sz w:val="22"/>
          <w:szCs w:val="22"/>
          <w:highlight w:val="none"/>
          <w:u w:val="single"/>
        </w:rPr>
        <w:fldChar w:fldCharType="end"/>
      </w:r>
      <w:r>
        <w:rPr>
          <w:rFonts w:hint="eastAsia" w:ascii="宋体" w:hAnsi="宋体" w:cs="宋体"/>
          <w:sz w:val="22"/>
          <w:szCs w:val="22"/>
          <w:highlight w:val="none"/>
          <w:u w:val="single"/>
        </w:rPr>
        <w:t>根据企业法定代表人授权，协调和处理与施工项目管理有关的内部与外部事项。在项目实施过程中，项目经理对工程质量、安全、进度、投资、环境、职业健康进行全面管理和控制。按时参加工程例会，若有特殊原因应及时取得发包人同意，并指定一名同等职级且有经验的人员临时代行职权</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关于项目经理每月在施工现场的时间要求：</w:t>
      </w:r>
      <w:r>
        <w:rPr>
          <w:rFonts w:hint="eastAsia" w:ascii="宋体" w:hAnsi="宋体" w:cs="宋体"/>
          <w:color w:val="000000"/>
          <w:sz w:val="22"/>
          <w:szCs w:val="22"/>
          <w:highlight w:val="none"/>
          <w:u w:val="single"/>
        </w:rPr>
        <w:t xml:space="preserve"> 项</w:t>
      </w:r>
      <w:r>
        <w:rPr>
          <w:rFonts w:hint="eastAsia" w:ascii="宋体" w:hAnsi="宋体" w:cs="宋体"/>
          <w:sz w:val="22"/>
          <w:szCs w:val="22"/>
          <w:highlight w:val="none"/>
          <w:u w:val="single"/>
        </w:rPr>
        <w:t>目经理每月在现场时间不得少于25日，每少一天应向发包人支付违约金10000元</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承包人未提交劳动合同，以及没有为项目经理缴纳社会保险证明的违约责任：</w:t>
      </w:r>
      <w:r>
        <w:rPr>
          <w:rFonts w:hint="eastAsia" w:ascii="宋体" w:hAnsi="宋体" w:cs="宋体"/>
          <w:color w:val="000000"/>
          <w:sz w:val="22"/>
          <w:szCs w:val="22"/>
          <w:highlight w:val="none"/>
          <w:u w:val="single"/>
        </w:rPr>
        <w:t xml:space="preserve">发包人有权解除合同，承包人应承担因此给发包人造成的损失 。 </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项目经理未经批准，擅自离开施工现场的违约责任：</w:t>
      </w:r>
      <w:r>
        <w:rPr>
          <w:rFonts w:hint="eastAsia" w:ascii="宋体" w:hAnsi="宋体" w:cs="宋体"/>
          <w:color w:val="000000"/>
          <w:sz w:val="22"/>
          <w:szCs w:val="22"/>
          <w:highlight w:val="none"/>
          <w:u w:val="single"/>
        </w:rPr>
        <w:t xml:space="preserve"> </w:t>
      </w:r>
      <w:r>
        <w:rPr>
          <w:rFonts w:hint="eastAsia" w:ascii="宋体" w:hAnsi="宋体" w:cs="宋体"/>
          <w:sz w:val="22"/>
          <w:szCs w:val="22"/>
          <w:highlight w:val="none"/>
          <w:u w:val="single"/>
        </w:rPr>
        <w:t>工程实际开工时项目经理不能到现场，视为擅自离开施工现场，承包人承担违约责任，支付违约金10000元/日（次）</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3.2.3 承包人擅自更换项目经理的违约责任：</w:t>
      </w:r>
      <w:r>
        <w:rPr>
          <w:rFonts w:hint="eastAsia" w:ascii="宋体" w:hAnsi="宋体" w:cs="宋体"/>
          <w:sz w:val="22"/>
          <w:szCs w:val="22"/>
          <w:highlight w:val="none"/>
          <w:u w:val="single"/>
        </w:rPr>
        <w:t>项目经理必须与投标文件一致；承包人原则上在本项目实施期间不得更换投标时所报人员。承包人确实因特殊原因需要更换的（发包人提出要求更换的情况除外），应至少提前20天以书面形式通知发包人，以便双方有足够的时间进行协商，在发包人没有同意的情况下，承包人不得更换人员，否则发包人有权终止合同，承包人应无条件撤出现场，由此造成的一切后果，由承包人承担；发包人同意的，将被更换的项目人员也应当与其后任者在现场共同工作一段时间，认真、详细交接工作，发包人对继任人员满意后，才能进行正式更换；发包人对承包人选派的继任者不满意的，承包人应当另行选派，直至发包人满意后才能进行人员的更换。后任者继续行使合同文件约定，行使前任的职权，履行前任的义务；如承包人未经发包人书面同意，擅自变更人员，发包人有权解除合同，承包人承担一切责任。工程实际开工30天内项目经理不能到现场履职，视为擅自更换项目经理，承包人应当向发包人支付违约金10万元/次（每更换一次）。承包人随意更换项目经理，发包人有权终止本合同，承包人应承担因此给发包人造成的损失</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rPr>
        <w:t>。</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948" w:name="_Toc30730"/>
      <w:r>
        <w:rPr>
          <w:rFonts w:hint="eastAsia" w:ascii="宋体" w:hAnsi="宋体" w:cs="宋体"/>
          <w:color w:val="000000"/>
          <w:sz w:val="22"/>
          <w:szCs w:val="22"/>
          <w:highlight w:val="none"/>
        </w:rPr>
        <w:t>3.2.4 承包人无正当理由拒绝更换项目经理的违约责任：</w:t>
      </w:r>
      <w:r>
        <w:rPr>
          <w:rFonts w:hint="eastAsia" w:ascii="宋体" w:hAnsi="宋体" w:cs="宋体"/>
          <w:sz w:val="22"/>
          <w:szCs w:val="22"/>
          <w:highlight w:val="none"/>
          <w:u w:val="single"/>
        </w:rPr>
        <w:t>发包人有权解除合同，承包人应承担因此给发包人造成的损失</w:t>
      </w:r>
      <w:r>
        <w:rPr>
          <w:rFonts w:hint="eastAsia" w:ascii="宋体" w:hAnsi="宋体" w:cs="宋体"/>
          <w:color w:val="000000"/>
          <w:sz w:val="22"/>
          <w:szCs w:val="22"/>
          <w:highlight w:val="none"/>
        </w:rPr>
        <w:t>。</w:t>
      </w:r>
      <w:bookmarkEnd w:id="948"/>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 承包人人员</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3.3.1 承包人提交项目管理机构及施工现场管理人员安排报告的期限：</w:t>
      </w:r>
      <w:r>
        <w:rPr>
          <w:rFonts w:hint="eastAsia" w:ascii="宋体" w:hAnsi="宋体" w:cs="宋体"/>
          <w:color w:val="000000"/>
          <w:sz w:val="22"/>
          <w:szCs w:val="22"/>
          <w:highlight w:val="none"/>
          <w:u w:val="single"/>
        </w:rPr>
        <w:t xml:space="preserve"> 接到开工通知后3天内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3.3.3 承包人无正当理由拒绝撤换主要施工管理人员的违约责任：</w:t>
      </w:r>
      <w:r>
        <w:rPr>
          <w:rFonts w:hint="eastAsia" w:ascii="宋体" w:hAnsi="宋体" w:cs="宋体"/>
          <w:color w:val="000000"/>
          <w:sz w:val="22"/>
          <w:szCs w:val="22"/>
          <w:highlight w:val="none"/>
          <w:u w:val="single"/>
        </w:rPr>
        <w:t xml:space="preserve"> 发包人有权解除合同，承包人应承担因此给发包人造成的损失 </w:t>
      </w:r>
      <w:r>
        <w:rPr>
          <w:rFonts w:hint="eastAsia" w:ascii="宋体" w:hAnsi="宋体" w:cs="宋体"/>
          <w:color w:val="000000"/>
          <w:sz w:val="22"/>
          <w:szCs w:val="22"/>
          <w:highlight w:val="none"/>
        </w:rPr>
        <w:t>。</w:t>
      </w:r>
    </w:p>
    <w:p>
      <w:pPr>
        <w:spacing w:line="360" w:lineRule="auto"/>
        <w:ind w:firstLine="440" w:firstLineChars="200"/>
        <w:rPr>
          <w:rFonts w:ascii="宋体" w:hAnsi="宋体" w:cs="宋体"/>
          <w:sz w:val="22"/>
          <w:szCs w:val="22"/>
          <w:highlight w:val="none"/>
          <w:u w:val="single"/>
        </w:rPr>
      </w:pPr>
      <w:r>
        <w:rPr>
          <w:rFonts w:hint="eastAsia" w:ascii="宋体" w:hAnsi="宋体" w:cs="宋体"/>
          <w:color w:val="000000"/>
          <w:sz w:val="22"/>
          <w:szCs w:val="22"/>
          <w:highlight w:val="none"/>
        </w:rPr>
        <w:t>3.3.4 承包人主要施工管理人员离开施工现场的批准要求：</w:t>
      </w:r>
      <w:r>
        <w:rPr>
          <w:rFonts w:hint="eastAsia" w:ascii="宋体" w:hAnsi="宋体" w:cs="宋体"/>
          <w:sz w:val="22"/>
          <w:szCs w:val="22"/>
          <w:highlight w:val="none"/>
          <w:u w:val="single"/>
        </w:rPr>
        <w:t>必须经发包人代表同意，否则按1000元/次缴纳违约金。请假次数不得超过3次/月。</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3.3.5承包人擅自更换主要施工管理人员的违约责任：</w:t>
      </w:r>
      <w:r>
        <w:rPr>
          <w:rFonts w:hint="eastAsia" w:ascii="宋体" w:hAnsi="宋体" w:cs="宋体"/>
          <w:sz w:val="22"/>
          <w:szCs w:val="22"/>
          <w:highlight w:val="none"/>
          <w:u w:val="single"/>
        </w:rPr>
        <w:t>承包人应当向发包人支付违约金10万元/次（每更换一次）；</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承包人主要施工管理人员擅自离开施工现场的违约责任：</w:t>
      </w:r>
      <w:r>
        <w:rPr>
          <w:rFonts w:hint="eastAsia" w:ascii="宋体" w:hAnsi="宋体" w:cs="宋体"/>
          <w:color w:val="000000"/>
          <w:sz w:val="22"/>
          <w:szCs w:val="22"/>
          <w:highlight w:val="none"/>
          <w:u w:val="single"/>
        </w:rPr>
        <w:t>发包人有权责令限期整改，逾期不改，发包人有权终止合同，承包人赔偿发包人由此造成的一切经济损失。</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w:t>
      </w:r>
      <w:bookmarkStart w:id="949" w:name="_Toc296503159"/>
      <w:bookmarkStart w:id="950" w:name="_Toc297120459"/>
      <w:bookmarkStart w:id="951" w:name="_Toc296944498"/>
      <w:bookmarkStart w:id="952" w:name="_Toc297216151"/>
      <w:bookmarkStart w:id="953" w:name="_Toc312677988"/>
      <w:bookmarkStart w:id="954" w:name="_Toc297123492"/>
      <w:bookmarkStart w:id="955" w:name="_Toc303539102"/>
      <w:bookmarkStart w:id="956" w:name="_Toc304295523"/>
      <w:bookmarkStart w:id="957" w:name="_Toc300934945"/>
      <w:bookmarkStart w:id="958" w:name="_Toc296346660"/>
      <w:bookmarkStart w:id="959" w:name="_Toc297048345"/>
      <w:bookmarkStart w:id="960" w:name="_Toc296890987"/>
      <w:bookmarkStart w:id="961" w:name="_Toc296347158"/>
      <w:bookmarkStart w:id="962" w:name="_Toc292559869"/>
      <w:bookmarkStart w:id="963" w:name="_Toc292559364"/>
      <w:bookmarkStart w:id="964" w:name="_Toc296891199"/>
      <w:r>
        <w:rPr>
          <w:rFonts w:hint="eastAsia" w:ascii="宋体" w:hAnsi="宋体" w:cs="宋体"/>
          <w:color w:val="000000"/>
          <w:sz w:val="22"/>
          <w:szCs w:val="22"/>
          <w:highlight w:val="none"/>
        </w:rPr>
        <w:t>.5 分包</w:t>
      </w:r>
    </w:p>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bookmarkStart w:id="965" w:name="_Toc297120460"/>
      <w:bookmarkStart w:id="966" w:name="_Toc297048346"/>
      <w:bookmarkStart w:id="967" w:name="_Toc303539103"/>
      <w:bookmarkStart w:id="968" w:name="_Toc296944499"/>
      <w:bookmarkStart w:id="969" w:name="_Toc304295524"/>
      <w:bookmarkStart w:id="970" w:name="_Toc297123493"/>
      <w:bookmarkStart w:id="971" w:name="_Toc296890988"/>
      <w:bookmarkStart w:id="972" w:name="_Toc300934946"/>
      <w:bookmarkStart w:id="973" w:name="_Toc312677989"/>
      <w:bookmarkStart w:id="974" w:name="_Toc296503160"/>
      <w:bookmarkStart w:id="975" w:name="_Toc318581158"/>
      <w:bookmarkStart w:id="976" w:name="_Toc296891200"/>
      <w:bookmarkStart w:id="977" w:name="_Toc292559365"/>
      <w:bookmarkStart w:id="978" w:name="_Toc292559870"/>
      <w:bookmarkStart w:id="979" w:name="_Toc296346661"/>
      <w:bookmarkStart w:id="980" w:name="_Toc296347159"/>
      <w:bookmarkStart w:id="981" w:name="_Toc297216152"/>
      <w:r>
        <w:rPr>
          <w:rFonts w:hint="eastAsia" w:ascii="宋体" w:hAnsi="宋体" w:cs="宋体"/>
          <w:sz w:val="22"/>
          <w:szCs w:val="22"/>
          <w:highlight w:val="none"/>
        </w:rPr>
        <w:t>.5.1 分包的一般约定</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禁止分包的工程包括：</w:t>
      </w:r>
      <w:r>
        <w:rPr>
          <w:rFonts w:hint="eastAsia" w:ascii="宋体" w:hAnsi="宋体" w:cs="宋体"/>
          <w:sz w:val="22"/>
          <w:szCs w:val="22"/>
          <w:highlight w:val="none"/>
          <w:u w:val="single"/>
          <w:lang w:val="en-US" w:eastAsia="zh-CN"/>
        </w:rPr>
        <w:t>本工程</w:t>
      </w:r>
      <w:r>
        <w:rPr>
          <w:rFonts w:hint="eastAsia" w:ascii="宋体" w:hAnsi="宋体" w:cs="宋体"/>
          <w:color w:val="000000"/>
          <w:sz w:val="22"/>
          <w:szCs w:val="22"/>
          <w:highlight w:val="none"/>
          <w:u w:val="single"/>
        </w:rPr>
        <w:t>不允许分包。</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主体结构、关键性工作的范围：</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r>
        <w:rPr>
          <w:rFonts w:hint="eastAsia" w:ascii="宋体" w:hAnsi="宋体" w:cs="宋体"/>
          <w:sz w:val="22"/>
          <w:szCs w:val="22"/>
          <w:highlight w:val="none"/>
          <w:u w:val="single"/>
          <w:lang w:val="en-US" w:eastAsia="zh-CN"/>
        </w:rPr>
        <w:t xml:space="preserve">    /  </w:t>
      </w:r>
      <w:r>
        <w:rPr>
          <w:rFonts w:hint="eastAsia" w:ascii="宋体" w:hAnsi="宋体" w:cs="宋体"/>
          <w:sz w:val="22"/>
          <w:szCs w:val="22"/>
          <w:highlight w:val="none"/>
          <w:u w:val="single"/>
        </w:rPr>
        <w:t>。</w:t>
      </w:r>
      <w:r>
        <w:rPr>
          <w:rFonts w:hint="eastAsia" w:ascii="宋体" w:hAnsi="宋体" w:cs="宋体"/>
          <w:sz w:val="22"/>
          <w:szCs w:val="22"/>
          <w:highlight w:val="none"/>
        </w:rPr>
        <w:t xml:space="preserve">    </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bookmarkStart w:id="982" w:name="_Toc312677990"/>
      <w:bookmarkStart w:id="983" w:name="_Toc318581159"/>
      <w:r>
        <w:rPr>
          <w:rFonts w:hint="eastAsia" w:ascii="宋体" w:hAnsi="宋体" w:cs="宋体"/>
          <w:sz w:val="22"/>
          <w:szCs w:val="22"/>
          <w:highlight w:val="none"/>
        </w:rPr>
        <w:t>.5.2分包的确定</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sz w:val="22"/>
          <w:szCs w:val="22"/>
          <w:highlight w:val="none"/>
        </w:rPr>
        <w:t>允许分包的专业工程包括：</w:t>
      </w:r>
      <w:r>
        <w:rPr>
          <w:rFonts w:hint="eastAsia" w:ascii="宋体" w:hAnsi="宋体" w:cs="宋体"/>
          <w:sz w:val="22"/>
          <w:szCs w:val="22"/>
          <w:highlight w:val="none"/>
          <w:u w:val="single"/>
          <w:lang w:val="en-US" w:eastAsia="zh-CN"/>
        </w:rPr>
        <w:t xml:space="preserve"> 执行通用条款</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color w:val="000000"/>
          <w:sz w:val="22"/>
          <w:szCs w:val="22"/>
          <w:highlight w:val="none"/>
        </w:rPr>
        <w:t>其他关于分包的约定：</w:t>
      </w:r>
      <w:r>
        <w:rPr>
          <w:rFonts w:hint="eastAsia" w:ascii="宋体" w:hAnsi="宋体" w:cs="宋体"/>
          <w:color w:val="000000"/>
          <w:sz w:val="22"/>
          <w:szCs w:val="22"/>
          <w:highlight w:val="none"/>
          <w:u w:val="single"/>
          <w:lang w:val="en-US" w:eastAsia="zh-CN"/>
        </w:rPr>
        <w:t xml:space="preserve"> </w:t>
      </w:r>
      <w:r>
        <w:rPr>
          <w:rFonts w:hint="eastAsia" w:ascii="宋体" w:hAnsi="宋体" w:cs="宋体"/>
          <w:sz w:val="22"/>
          <w:szCs w:val="22"/>
          <w:highlight w:val="none"/>
          <w:u w:val="single"/>
          <w:lang w:val="en-US" w:eastAsia="zh-CN"/>
        </w:rPr>
        <w:t>执行通用条款</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3.5.4 分包合同价款</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关于分包合同价款支付的约定：</w:t>
      </w:r>
      <w:r>
        <w:rPr>
          <w:rFonts w:hint="eastAsia" w:ascii="宋体" w:hAnsi="宋体" w:cs="宋体"/>
          <w:color w:val="000000"/>
          <w:sz w:val="22"/>
          <w:szCs w:val="22"/>
          <w:highlight w:val="none"/>
          <w:u w:val="single"/>
          <w:lang w:val="en-US" w:eastAsia="zh-CN"/>
        </w:rPr>
        <w:t>执行通用条款</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w:t>
      </w:r>
    </w:p>
    <w:bookmarkEnd w:id="982"/>
    <w:bookmarkEnd w:id="983"/>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3.6 工程照管与成品、半成品保护</w:t>
      </w:r>
    </w:p>
    <w:p>
      <w:pPr>
        <w:spacing w:before="120" w:after="120"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承包人负责照管工程及工程相关的材料、工程设备的起始时间：</w:t>
      </w:r>
      <w:r>
        <w:rPr>
          <w:rFonts w:hint="eastAsia" w:ascii="宋体" w:hAnsi="宋体" w:cs="宋体"/>
          <w:color w:val="000000"/>
          <w:sz w:val="22"/>
          <w:szCs w:val="22"/>
          <w:highlight w:val="none"/>
          <w:u w:val="single"/>
        </w:rPr>
        <w:t>设备、人员进场至交付验收</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3.7 履约担保</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承包人是否提供履约担保：</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承包人提供履约担保的形式、金额及期限的：</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bookmarkStart w:id="984" w:name="_Toc351203636"/>
      <w:r>
        <w:rPr>
          <w:rFonts w:hint="eastAsia" w:ascii="宋体" w:hAnsi="宋体" w:cs="宋体"/>
          <w:color w:val="000000"/>
          <w:sz w:val="22"/>
          <w:szCs w:val="22"/>
          <w:highlight w:val="none"/>
        </w:rPr>
        <w:t>4</w:t>
      </w:r>
      <w:bookmarkStart w:id="985" w:name="_Toc297120462"/>
      <w:bookmarkStart w:id="986" w:name="_Toc296503162"/>
      <w:bookmarkStart w:id="987" w:name="_Toc296347161"/>
      <w:bookmarkStart w:id="988" w:name="_Toc296346663"/>
      <w:bookmarkStart w:id="989" w:name="_Toc292559366"/>
      <w:bookmarkStart w:id="990" w:name="_Toc296944501"/>
      <w:bookmarkStart w:id="991" w:name="_Toc296891202"/>
      <w:bookmarkStart w:id="992" w:name="_Toc267251413"/>
      <w:bookmarkStart w:id="993" w:name="_Toc296890990"/>
      <w:bookmarkStart w:id="994" w:name="_Toc297048348"/>
      <w:bookmarkStart w:id="995" w:name="_Toc292559871"/>
      <w:r>
        <w:rPr>
          <w:rFonts w:hint="eastAsia" w:ascii="宋体" w:hAnsi="宋体" w:cs="宋体"/>
          <w:color w:val="000000"/>
          <w:sz w:val="22"/>
          <w:szCs w:val="22"/>
          <w:highlight w:val="none"/>
        </w:rPr>
        <w:t>. 监</w:t>
      </w:r>
      <w:bookmarkEnd w:id="985"/>
      <w:bookmarkEnd w:id="986"/>
      <w:bookmarkEnd w:id="987"/>
      <w:bookmarkEnd w:id="988"/>
      <w:bookmarkEnd w:id="989"/>
      <w:bookmarkEnd w:id="990"/>
      <w:bookmarkEnd w:id="991"/>
      <w:bookmarkEnd w:id="992"/>
      <w:bookmarkEnd w:id="993"/>
      <w:bookmarkEnd w:id="994"/>
      <w:bookmarkEnd w:id="995"/>
      <w:r>
        <w:rPr>
          <w:rFonts w:hint="eastAsia" w:ascii="宋体" w:hAnsi="宋体" w:cs="宋体"/>
          <w:color w:val="000000"/>
          <w:sz w:val="22"/>
          <w:szCs w:val="22"/>
          <w:highlight w:val="none"/>
        </w:rPr>
        <w:t>理人</w:t>
      </w:r>
      <w:bookmarkEnd w:id="984"/>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4.1监理人的一般规定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关于监理人的监理内容：</w:t>
      </w:r>
      <w:r>
        <w:rPr>
          <w:rFonts w:hint="eastAsia" w:ascii="宋体" w:hAnsi="宋体" w:cs="宋体"/>
          <w:color w:val="000000"/>
          <w:sz w:val="22"/>
          <w:szCs w:val="22"/>
          <w:highlight w:val="none"/>
          <w:u w:val="single"/>
        </w:rPr>
        <w:t xml:space="preserve"> 建设工程监理合同授予监理的所有权利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关于监理人的监理权限：</w:t>
      </w:r>
      <w:r>
        <w:rPr>
          <w:rFonts w:hint="eastAsia" w:ascii="宋体" w:hAnsi="宋体" w:cs="宋体"/>
          <w:color w:val="000000"/>
          <w:sz w:val="22"/>
          <w:szCs w:val="22"/>
          <w:highlight w:val="none"/>
          <w:u w:val="single"/>
        </w:rPr>
        <w:t xml:space="preserve"> 按GB50319-</w:t>
      </w:r>
      <w:r>
        <w:rPr>
          <w:rFonts w:hint="eastAsia" w:ascii="宋体" w:hAnsi="宋体" w:cs="宋体"/>
          <w:color w:val="000000"/>
          <w:sz w:val="22"/>
          <w:szCs w:val="22"/>
          <w:highlight w:val="none"/>
          <w:u w:val="single"/>
          <w:lang w:val="en-US" w:eastAsia="zh-CN"/>
        </w:rPr>
        <w:t>2013</w:t>
      </w:r>
      <w:r>
        <w:rPr>
          <w:rFonts w:hint="eastAsia" w:ascii="宋体" w:hAnsi="宋体" w:cs="宋体"/>
          <w:color w:val="000000"/>
          <w:sz w:val="22"/>
          <w:szCs w:val="22"/>
          <w:highlight w:val="none"/>
          <w:u w:val="single"/>
        </w:rPr>
        <w:t>建设工程监理规范行使权限，工期增加、施工指令下达、暂停，需要获得发包人的批准</w:t>
      </w:r>
      <w:r>
        <w:rPr>
          <w:rFonts w:hint="eastAsia" w:ascii="宋体" w:hAnsi="宋体" w:cs="宋体"/>
          <w:color w:val="000000"/>
          <w:sz w:val="22"/>
          <w:szCs w:val="22"/>
          <w:highlight w:val="none"/>
        </w:rPr>
        <w:t xml:space="preserve">。 </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关于监理人在施工现场的办公场所、生活场所的提供和费用承担的约定：</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4.2 监理人员</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总监理工程师：</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姓    名：</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职    务：</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监理工程师执业资格证书号：</w:t>
      </w:r>
      <w:r>
        <w:rPr>
          <w:rFonts w:hint="eastAsia" w:ascii="宋体" w:hAnsi="宋体" w:cs="宋体"/>
          <w:color w:val="000000"/>
          <w:sz w:val="22"/>
          <w:szCs w:val="22"/>
          <w:highlight w:val="none"/>
          <w:u w:val="single"/>
        </w:rPr>
        <w:t>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联系电话：</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电子信箱：</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通信地址：</w:t>
      </w:r>
      <w:r>
        <w:rPr>
          <w:rFonts w:hint="eastAsia" w:ascii="宋体" w:hAnsi="宋体" w:cs="宋体"/>
          <w:color w:val="000000"/>
          <w:sz w:val="22"/>
          <w:szCs w:val="22"/>
          <w:highlight w:val="none"/>
          <w:u w:val="single"/>
        </w:rPr>
        <w:t>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关于监理人的其他约定：</w:t>
      </w:r>
      <w:r>
        <w:rPr>
          <w:rFonts w:hint="eastAsia" w:ascii="宋体" w:hAnsi="宋体" w:cs="宋体"/>
          <w:color w:val="000000"/>
          <w:sz w:val="22"/>
          <w:szCs w:val="22"/>
          <w:highlight w:val="none"/>
          <w:u w:val="single"/>
        </w:rPr>
        <w:t>/  </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4.4 商定或确定</w:t>
      </w:r>
    </w:p>
    <w:p>
      <w:pPr>
        <w:spacing w:line="360" w:lineRule="auto"/>
        <w:ind w:firstLine="440" w:firstLineChars="200"/>
        <w:rPr>
          <w:rFonts w:ascii="宋体" w:hAnsi="宋体" w:cs="宋体"/>
          <w:color w:val="000000"/>
          <w:sz w:val="22"/>
          <w:szCs w:val="22"/>
          <w:highlight w:val="none"/>
        </w:rPr>
      </w:pPr>
      <w:bookmarkStart w:id="996" w:name="_Toc267251418"/>
      <w:r>
        <w:rPr>
          <w:rFonts w:hint="eastAsia" w:ascii="宋体" w:hAnsi="宋体" w:cs="宋体"/>
          <w:color w:val="000000"/>
          <w:sz w:val="22"/>
          <w:szCs w:val="22"/>
          <w:highlight w:val="none"/>
        </w:rPr>
        <w:t>在发包人和承包人不能通过协商达成一致意见时，发包人授权监理人对以下事项进行确定：</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 xml:space="preserve">  </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bookmarkStart w:id="997" w:name="_Toc351203637"/>
      <w:r>
        <w:rPr>
          <w:rFonts w:hint="eastAsia" w:ascii="宋体" w:hAnsi="宋体" w:cs="宋体"/>
          <w:color w:val="000000"/>
          <w:sz w:val="22"/>
          <w:szCs w:val="22"/>
          <w:highlight w:val="none"/>
        </w:rPr>
        <w:t>5</w:t>
      </w:r>
      <w:bookmarkEnd w:id="996"/>
      <w:bookmarkStart w:id="998" w:name="_Toc296944502"/>
      <w:bookmarkStart w:id="999" w:name="_Toc292559872"/>
      <w:bookmarkStart w:id="1000" w:name="_Toc297048349"/>
      <w:bookmarkStart w:id="1001" w:name="_Toc292559367"/>
      <w:bookmarkStart w:id="1002" w:name="_Toc296503163"/>
      <w:bookmarkStart w:id="1003" w:name="_Toc296890991"/>
      <w:bookmarkStart w:id="1004" w:name="_Toc296347162"/>
      <w:bookmarkStart w:id="1005" w:name="_Toc296891203"/>
      <w:bookmarkStart w:id="1006" w:name="_Toc297120463"/>
      <w:bookmarkStart w:id="1007" w:name="_Toc296346664"/>
      <w:r>
        <w:rPr>
          <w:rFonts w:hint="eastAsia" w:ascii="宋体" w:hAnsi="宋体" w:cs="宋体"/>
          <w:color w:val="000000"/>
          <w:sz w:val="22"/>
          <w:szCs w:val="22"/>
          <w:highlight w:val="none"/>
        </w:rPr>
        <w:t>. 工程质量</w:t>
      </w:r>
      <w:bookmarkEnd w:id="997"/>
    </w:p>
    <w:p>
      <w:pPr>
        <w:spacing w:after="120" w:line="360" w:lineRule="auto"/>
        <w:ind w:firstLine="440" w:firstLineChars="200"/>
        <w:rPr>
          <w:rFonts w:ascii="宋体" w:hAnsi="宋体" w:cs="宋体"/>
          <w:color w:val="000000"/>
          <w:sz w:val="22"/>
          <w:szCs w:val="22"/>
          <w:highlight w:val="none"/>
        </w:rPr>
      </w:pPr>
      <w:bookmarkStart w:id="1008" w:name="_Toc8101"/>
      <w:r>
        <w:rPr>
          <w:rFonts w:hint="eastAsia" w:ascii="宋体" w:hAnsi="宋体" w:cs="宋体"/>
          <w:color w:val="000000"/>
          <w:sz w:val="22"/>
          <w:szCs w:val="22"/>
          <w:highlight w:val="none"/>
        </w:rPr>
        <w:t>5.1 质量要求</w:t>
      </w:r>
      <w:bookmarkEnd w:id="1008"/>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5</w:t>
      </w:r>
      <w:bookmarkStart w:id="1009" w:name="_Toc297216155"/>
      <w:bookmarkStart w:id="1010" w:name="_Toc304295527"/>
      <w:bookmarkStart w:id="1011" w:name="_Toc300934949"/>
      <w:bookmarkStart w:id="1012" w:name="_Toc312677997"/>
      <w:bookmarkStart w:id="1013" w:name="_Toc303539106"/>
      <w:bookmarkStart w:id="1014" w:name="_Toc297123496"/>
      <w:bookmarkStart w:id="1015" w:name="_Toc318581164"/>
      <w:r>
        <w:rPr>
          <w:rFonts w:hint="eastAsia" w:ascii="宋体" w:hAnsi="宋体" w:cs="宋体"/>
          <w:sz w:val="22"/>
          <w:szCs w:val="22"/>
          <w:highlight w:val="none"/>
        </w:rPr>
        <w:t>.1.1 特殊质量标准和要求：</w:t>
      </w:r>
      <w:r>
        <w:rPr>
          <w:rFonts w:hint="eastAsia" w:ascii="宋体" w:hAnsi="宋体" w:cs="宋体"/>
          <w:sz w:val="22"/>
          <w:szCs w:val="22"/>
          <w:highlight w:val="none"/>
          <w:u w:val="single"/>
          <w:lang w:val="en-US" w:eastAsia="zh-CN"/>
        </w:rPr>
        <w:t xml:space="preserve">   /  </w:t>
      </w:r>
      <w:r>
        <w:rPr>
          <w:rFonts w:hint="eastAsia" w:ascii="宋体" w:hAnsi="宋体" w:cs="宋体"/>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sz w:val="22"/>
          <w:szCs w:val="22"/>
          <w:highlight w:val="none"/>
        </w:rPr>
        <w:t>关于工程奖项的约定：</w:t>
      </w:r>
      <w:r>
        <w:rPr>
          <w:rFonts w:hint="eastAsia" w:ascii="宋体" w:hAnsi="宋体" w:cs="宋体"/>
          <w:sz w:val="22"/>
          <w:szCs w:val="22"/>
          <w:highlight w:val="none"/>
          <w:u w:val="single"/>
          <w:lang w:val="en-US" w:eastAsia="zh-CN"/>
        </w:rPr>
        <w:t xml:space="preserve">   /  </w:t>
      </w:r>
      <w:r>
        <w:rPr>
          <w:rFonts w:hint="eastAsia" w:ascii="宋体" w:hAnsi="宋体" w:cs="宋体"/>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1016" w:name="_Toc7059"/>
      <w:r>
        <w:rPr>
          <w:rFonts w:hint="eastAsia" w:ascii="宋体" w:hAnsi="宋体" w:cs="宋体"/>
          <w:color w:val="000000"/>
          <w:sz w:val="22"/>
          <w:szCs w:val="22"/>
          <w:highlight w:val="none"/>
        </w:rPr>
        <w:t>5.3 隐蔽工程检查</w:t>
      </w:r>
      <w:bookmarkEnd w:id="1016"/>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5.3.2承包人提前通知监理人隐蔽工程检查的期限的约定：</w:t>
      </w:r>
      <w:r>
        <w:rPr>
          <w:rFonts w:hint="eastAsia" w:ascii="宋体" w:hAnsi="宋体" w:cs="宋体"/>
          <w:sz w:val="22"/>
          <w:szCs w:val="22"/>
          <w:highlight w:val="none"/>
          <w:u w:val="single"/>
        </w:rPr>
        <w:t xml:space="preserve"> 应该至少提前48小时通知监理方</w:t>
      </w:r>
      <w:r>
        <w:rPr>
          <w:rFonts w:hint="eastAsia" w:ascii="宋体" w:hAnsi="宋体" w:cs="宋体"/>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监理人不能按时进行检查时，应提前</w:t>
      </w:r>
      <w:r>
        <w:rPr>
          <w:rFonts w:hint="eastAsia" w:ascii="宋体" w:hAnsi="宋体" w:cs="宋体"/>
          <w:sz w:val="22"/>
          <w:szCs w:val="22"/>
          <w:highlight w:val="none"/>
          <w:u w:val="single"/>
        </w:rPr>
        <w:t xml:space="preserve">  24  </w:t>
      </w:r>
      <w:r>
        <w:rPr>
          <w:rFonts w:hint="eastAsia" w:ascii="宋体" w:hAnsi="宋体" w:cs="宋体"/>
          <w:sz w:val="22"/>
          <w:szCs w:val="22"/>
          <w:highlight w:val="none"/>
        </w:rPr>
        <w:t>小时提交书面延期要求。</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关于延期最长不得超过：</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single"/>
        </w:rPr>
        <w:t xml:space="preserve">48  </w:t>
      </w:r>
      <w:r>
        <w:rPr>
          <w:rFonts w:hint="eastAsia" w:ascii="宋体" w:hAnsi="宋体" w:cs="宋体"/>
          <w:sz w:val="22"/>
          <w:szCs w:val="22"/>
          <w:highlight w:val="none"/>
        </w:rPr>
        <w:t>小时。</w:t>
      </w:r>
    </w:p>
    <w:p>
      <w:pPr>
        <w:spacing w:before="120" w:after="120" w:line="360" w:lineRule="auto"/>
        <w:rPr>
          <w:rFonts w:ascii="宋体" w:hAnsi="宋体" w:cs="宋体"/>
          <w:color w:val="000000"/>
          <w:sz w:val="22"/>
          <w:szCs w:val="22"/>
          <w:highlight w:val="none"/>
        </w:rPr>
      </w:pPr>
      <w:bookmarkStart w:id="1017" w:name="_Toc351203638"/>
      <w:r>
        <w:rPr>
          <w:rFonts w:hint="eastAsia" w:ascii="宋体" w:hAnsi="宋体" w:cs="宋体"/>
          <w:color w:val="000000"/>
          <w:sz w:val="22"/>
          <w:szCs w:val="22"/>
          <w:highlight w:val="none"/>
        </w:rPr>
        <w:t>6. 安全文明施工与环境保护</w:t>
      </w:r>
      <w:bookmarkEnd w:id="1017"/>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6.1安全文明施工</w:t>
      </w:r>
    </w:p>
    <w:p>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6.1.1 项目安全生产的达标目标及相应事项的约定：</w:t>
      </w:r>
      <w:r>
        <w:rPr>
          <w:rFonts w:hint="eastAsia" w:ascii="宋体" w:hAnsi="宋体" w:cs="宋体"/>
          <w:sz w:val="22"/>
          <w:szCs w:val="22"/>
          <w:highlight w:val="none"/>
          <w:u w:val="single"/>
        </w:rPr>
        <w:t>承包人应严格遵守《建筑施工作业安全技术规范》《施工现场临时用电安全技术规范》《建筑机械使用安全技术规范》《危险性较大的分部分项工程安全管理办法》以及其它安全生产的有关规定组织施工，创建省级文明工地，并随时接受行业安全检查人员依法实施的监督检查，采取必要的防护措施，消除事故隐患。由于承包人安全措施不力造成事故的责任和因此发生的费用，均由承包人承担，与发包人无关。发包人有权随时对承包人的安全防护措施的组织实施行进行监督检查，经检查不符合规定的，承包人应立即无条件整改。</w:t>
      </w:r>
    </w:p>
    <w:p>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6.1.4 关于治安保卫的特别约定：</w:t>
      </w:r>
      <w:r>
        <w:rPr>
          <w:rFonts w:hint="eastAsia" w:ascii="宋体" w:hAnsi="宋体" w:cs="宋体"/>
          <w:sz w:val="22"/>
          <w:szCs w:val="22"/>
          <w:highlight w:val="none"/>
          <w:u w:val="single"/>
        </w:rPr>
        <w:t>_承包人应按建设行政管理部门和相关部门的要求，自费承担安全保卫工作和提供相应设施，以保护公共安全，并提供方便，并按要求办妥外来务工人员暂住证、务工证、计划生育证等证件，建立门卫制度。</w:t>
      </w:r>
    </w:p>
    <w:p>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u w:val="single"/>
        </w:rPr>
        <w:t>关于编制施工场地治安管理计划的约定：承包人应根据工程特点和现场实际情况编制临时用电施工方案、安全生产管理办法、各项安全防范应急预案。</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6.1.5 文明施工</w:t>
      </w:r>
    </w:p>
    <w:p>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合同当事人对文明施工的要求：</w:t>
      </w:r>
      <w:r>
        <w:rPr>
          <w:rFonts w:hint="eastAsia" w:ascii="宋体" w:hAnsi="宋体" w:cs="宋体"/>
          <w:sz w:val="22"/>
          <w:szCs w:val="22"/>
          <w:highlight w:val="none"/>
          <w:u w:val="single"/>
        </w:rPr>
        <w:t>按照《西安市市政公用工程文明施工安全生产标准化现场管理规定》和《西安市建筑施工现场扬尘控制管理（暂行）规定》等相关规定执行，费用包含在安全防护、文明施工措施费用中。</w:t>
      </w:r>
    </w:p>
    <w:p>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 xml:space="preserve">6.1.6 关于安全文明施工费支付比例和支付期限的约定： </w:t>
      </w:r>
      <w:r>
        <w:rPr>
          <w:rFonts w:hint="eastAsia" w:ascii="宋体" w:hAnsi="宋体" w:eastAsia="宋体" w:cs="宋体"/>
          <w:sz w:val="22"/>
          <w:szCs w:val="22"/>
          <w:highlight w:val="none"/>
          <w:u w:val="single"/>
        </w:rPr>
        <w:t>承包人进场后15个工作日内一次性全额支付。</w:t>
      </w:r>
    </w:p>
    <w:p>
      <w:pPr>
        <w:spacing w:line="360" w:lineRule="auto"/>
        <w:ind w:firstLine="440" w:firstLineChars="20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增加6.1.7由承包人负责本工程范围内所有的建筑垃圾及施工垃圾等一切垃圾的堆放及清运等工作并接受园区物业、发包人及督察部门的监督与检查，相关费用计入总报价，发包人不再另行支付。</w:t>
      </w:r>
    </w:p>
    <w:bookmarkEnd w:id="1009"/>
    <w:bookmarkEnd w:id="1010"/>
    <w:bookmarkEnd w:id="1011"/>
    <w:bookmarkEnd w:id="1012"/>
    <w:bookmarkEnd w:id="1013"/>
    <w:bookmarkEnd w:id="1014"/>
    <w:bookmarkEnd w:id="1015"/>
    <w:p>
      <w:pPr>
        <w:spacing w:before="120" w:after="120" w:line="360" w:lineRule="auto"/>
        <w:rPr>
          <w:rFonts w:ascii="宋体" w:hAnsi="宋体" w:cs="宋体"/>
          <w:color w:val="000000"/>
          <w:sz w:val="22"/>
          <w:szCs w:val="22"/>
          <w:highlight w:val="none"/>
        </w:rPr>
      </w:pPr>
      <w:bookmarkStart w:id="1018" w:name="_Toc351203639"/>
      <w:r>
        <w:rPr>
          <w:rFonts w:hint="eastAsia" w:ascii="宋体" w:hAnsi="宋体" w:cs="宋体"/>
          <w:color w:val="000000"/>
          <w:sz w:val="22"/>
          <w:szCs w:val="22"/>
          <w:highlight w:val="none"/>
        </w:rPr>
        <w:t>7. 工期和进度</w:t>
      </w:r>
      <w:bookmarkEnd w:id="1018"/>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7.1 施工组织设计</w:t>
      </w:r>
    </w:p>
    <w:p>
      <w:pPr>
        <w:autoSpaceDE w:val="0"/>
        <w:autoSpaceDN w:val="0"/>
        <w:adjustRightInd w:val="0"/>
        <w:spacing w:line="360" w:lineRule="auto"/>
        <w:rPr>
          <w:rFonts w:ascii="宋体" w:hAnsi="宋体" w:cs="宋体"/>
          <w:color w:val="000000"/>
          <w:sz w:val="22"/>
          <w:szCs w:val="22"/>
          <w:highlight w:val="none"/>
        </w:rPr>
      </w:pPr>
      <w:r>
        <w:rPr>
          <w:rFonts w:hint="eastAsia" w:ascii="宋体" w:hAnsi="宋体" w:cs="宋体"/>
          <w:sz w:val="22"/>
          <w:szCs w:val="22"/>
          <w:highlight w:val="none"/>
        </w:rPr>
        <w:t xml:space="preserve">7.1.1 </w:t>
      </w:r>
      <w:r>
        <w:rPr>
          <w:rFonts w:hint="eastAsia" w:ascii="宋体" w:hAnsi="宋体" w:cs="宋体"/>
          <w:color w:val="000000"/>
          <w:sz w:val="22"/>
          <w:szCs w:val="22"/>
          <w:highlight w:val="none"/>
        </w:rPr>
        <w:t>合同当事人约定的施工组织设计应包括的其他内容：</w:t>
      </w:r>
      <w:r>
        <w:rPr>
          <w:rFonts w:hint="eastAsia" w:ascii="宋体" w:hAnsi="宋体" w:cs="宋体"/>
          <w:sz w:val="22"/>
          <w:szCs w:val="22"/>
          <w:highlight w:val="none"/>
          <w:u w:val="single"/>
        </w:rPr>
        <w:t>按相关规范执行</w:t>
      </w:r>
      <w:r>
        <w:rPr>
          <w:rFonts w:hint="eastAsia" w:ascii="宋体" w:hAnsi="宋体" w:cs="宋体"/>
          <w:sz w:val="22"/>
          <w:szCs w:val="22"/>
          <w:highlight w:val="none"/>
        </w:rPr>
        <w:t>。</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sz w:val="22"/>
          <w:szCs w:val="22"/>
          <w:highlight w:val="none"/>
        </w:rPr>
        <w:t>7.1.2</w:t>
      </w:r>
      <w:r>
        <w:rPr>
          <w:rFonts w:hint="eastAsia" w:ascii="宋体" w:hAnsi="宋体" w:cs="宋体"/>
          <w:color w:val="000000"/>
          <w:sz w:val="22"/>
          <w:szCs w:val="22"/>
          <w:highlight w:val="none"/>
        </w:rPr>
        <w:t xml:space="preserve"> 施工组织设计的提交和修改</w:t>
      </w:r>
    </w:p>
    <w:p>
      <w:pPr>
        <w:autoSpaceDE w:val="0"/>
        <w:autoSpaceDN w:val="0"/>
        <w:adjustRightInd w:val="0"/>
        <w:spacing w:line="360" w:lineRule="auto"/>
        <w:ind w:firstLine="440" w:firstLineChars="200"/>
        <w:rPr>
          <w:rFonts w:ascii="宋体" w:hAnsi="宋体" w:cs="宋体"/>
          <w:sz w:val="22"/>
          <w:szCs w:val="22"/>
          <w:highlight w:val="none"/>
        </w:rPr>
      </w:pPr>
      <w:r>
        <w:rPr>
          <w:rFonts w:hint="eastAsia" w:ascii="宋体" w:hAnsi="宋体" w:cs="宋体"/>
          <w:color w:val="000000"/>
          <w:sz w:val="22"/>
          <w:szCs w:val="22"/>
          <w:highlight w:val="none"/>
        </w:rPr>
        <w:t>承包人提交详细施工组织设计的期限的约定：</w:t>
      </w:r>
      <w:r>
        <w:rPr>
          <w:rFonts w:hint="eastAsia" w:ascii="宋体" w:hAnsi="宋体" w:cs="宋体"/>
          <w:sz w:val="22"/>
          <w:szCs w:val="22"/>
          <w:highlight w:val="none"/>
          <w:u w:val="single"/>
        </w:rPr>
        <w:t xml:space="preserve">  开工前</w:t>
      </w:r>
      <w:r>
        <w:rPr>
          <w:rFonts w:hint="eastAsia" w:ascii="宋体" w:hAnsi="宋体" w:cs="宋体"/>
          <w:sz w:val="22"/>
          <w:szCs w:val="22"/>
          <w:highlight w:val="none"/>
          <w:u w:val="single"/>
          <w:lang w:val="en-US" w:eastAsia="zh-CN"/>
        </w:rPr>
        <w:t>7</w:t>
      </w:r>
      <w:r>
        <w:rPr>
          <w:rFonts w:hint="eastAsia" w:ascii="宋体" w:hAnsi="宋体" w:cs="宋体"/>
          <w:sz w:val="22"/>
          <w:szCs w:val="22"/>
          <w:highlight w:val="none"/>
          <w:u w:val="single"/>
        </w:rPr>
        <w:t xml:space="preserve">天   </w:t>
      </w:r>
      <w:r>
        <w:rPr>
          <w:rFonts w:hint="eastAsia" w:ascii="宋体" w:hAnsi="宋体" w:cs="宋体"/>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发包人和监理人在收到详细的施工组织设计后确认或提出修改意见的期限：</w:t>
      </w:r>
      <w:r>
        <w:rPr>
          <w:rFonts w:hint="eastAsia" w:ascii="宋体" w:hAnsi="宋体" w:cs="宋体"/>
          <w:sz w:val="22"/>
          <w:szCs w:val="22"/>
          <w:highlight w:val="none"/>
          <w:u w:val="single"/>
        </w:rPr>
        <w:t xml:space="preserve">  接到相关文件后</w:t>
      </w:r>
      <w:r>
        <w:rPr>
          <w:rFonts w:hint="eastAsia" w:ascii="宋体" w:hAnsi="宋体" w:cs="宋体"/>
          <w:sz w:val="22"/>
          <w:szCs w:val="22"/>
          <w:highlight w:val="none"/>
          <w:u w:val="single"/>
          <w:lang w:val="en-US" w:eastAsia="zh-CN"/>
        </w:rPr>
        <w:t>7</w:t>
      </w:r>
      <w:r>
        <w:rPr>
          <w:rFonts w:hint="eastAsia" w:ascii="宋体" w:hAnsi="宋体" w:cs="宋体"/>
          <w:sz w:val="22"/>
          <w:szCs w:val="22"/>
          <w:highlight w:val="none"/>
          <w:u w:val="single"/>
        </w:rPr>
        <w:t xml:space="preserve">天内 </w:t>
      </w:r>
      <w:r>
        <w:rPr>
          <w:rFonts w:hint="eastAsia" w:ascii="宋体" w:hAnsi="宋体" w:cs="宋体"/>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w:t>
      </w:r>
      <w:bookmarkStart w:id="1019" w:name="_Toc304295541"/>
      <w:bookmarkStart w:id="1020" w:name="_Toc297123514"/>
      <w:bookmarkStart w:id="1021" w:name="_Toc300934966"/>
      <w:bookmarkStart w:id="1022" w:name="_Toc312678005"/>
      <w:bookmarkStart w:id="1023" w:name="_Toc312677479"/>
      <w:bookmarkStart w:id="1024" w:name="_Toc297216173"/>
      <w:bookmarkStart w:id="1025" w:name="_Toc303539123"/>
      <w:r>
        <w:rPr>
          <w:rFonts w:hint="eastAsia" w:ascii="宋体" w:hAnsi="宋体" w:cs="宋体"/>
          <w:color w:val="000000"/>
          <w:sz w:val="22"/>
          <w:szCs w:val="22"/>
          <w:highlight w:val="none"/>
        </w:rPr>
        <w:t>.2 施工进度计划</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7.2.2 施工进度计划的修订</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发包人和监理人在收到修订的施工进度计划后确认或提出修改意见的期限：</w:t>
      </w:r>
      <w:r>
        <w:rPr>
          <w:rFonts w:hint="eastAsia" w:ascii="宋体" w:hAnsi="宋体" w:cs="宋体"/>
          <w:sz w:val="22"/>
          <w:szCs w:val="22"/>
          <w:highlight w:val="none"/>
          <w:u w:val="single"/>
        </w:rPr>
        <w:t>接到相关文件后</w:t>
      </w:r>
      <w:r>
        <w:rPr>
          <w:rFonts w:hint="eastAsia" w:ascii="宋体" w:hAnsi="宋体" w:cs="宋体"/>
          <w:sz w:val="22"/>
          <w:szCs w:val="22"/>
          <w:highlight w:val="none"/>
          <w:u w:val="single"/>
          <w:lang w:val="en-US" w:eastAsia="zh-CN"/>
        </w:rPr>
        <w:t>7</w:t>
      </w:r>
      <w:r>
        <w:rPr>
          <w:rFonts w:hint="eastAsia" w:ascii="宋体" w:hAnsi="宋体" w:cs="宋体"/>
          <w:sz w:val="22"/>
          <w:szCs w:val="22"/>
          <w:highlight w:val="none"/>
          <w:u w:val="single"/>
        </w:rPr>
        <w:t xml:space="preserve">天内 </w:t>
      </w:r>
      <w:r>
        <w:rPr>
          <w:rFonts w:hint="eastAsia" w:ascii="宋体" w:hAnsi="宋体" w:cs="宋体"/>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7.3 开工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7.3.1 开工准备</w:t>
      </w:r>
    </w:p>
    <w:p>
      <w:pPr>
        <w:spacing w:line="360" w:lineRule="auto"/>
        <w:ind w:firstLine="440" w:firstLineChars="200"/>
        <w:rPr>
          <w:rFonts w:ascii="宋体" w:hAnsi="宋体" w:cs="宋体"/>
          <w:sz w:val="22"/>
          <w:szCs w:val="22"/>
          <w:highlight w:val="none"/>
          <w:u w:val="single"/>
        </w:rPr>
      </w:pPr>
      <w:r>
        <w:rPr>
          <w:rFonts w:hint="eastAsia" w:ascii="宋体" w:hAnsi="宋体" w:cs="宋体"/>
          <w:color w:val="000000"/>
          <w:sz w:val="22"/>
          <w:szCs w:val="22"/>
          <w:highlight w:val="none"/>
        </w:rPr>
        <w:t>关于承包人提交工程开工报审表的期限：</w:t>
      </w:r>
      <w:r>
        <w:rPr>
          <w:rFonts w:hint="eastAsia" w:ascii="宋体" w:hAnsi="宋体" w:cs="宋体"/>
          <w:sz w:val="22"/>
          <w:szCs w:val="22"/>
          <w:highlight w:val="none"/>
          <w:u w:val="single"/>
        </w:rPr>
        <w:t>双方约定</w:t>
      </w:r>
      <w:r>
        <w:rPr>
          <w:rFonts w:hint="eastAsia" w:ascii="宋体" w:hAnsi="宋体" w:cs="宋体"/>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关于发包人应完成的其他开工准备工作及期限：</w:t>
      </w:r>
      <w:r>
        <w:rPr>
          <w:rFonts w:hint="eastAsia" w:ascii="宋体" w:hAnsi="宋体" w:cs="宋体"/>
          <w:sz w:val="22"/>
          <w:szCs w:val="22"/>
          <w:highlight w:val="none"/>
          <w:u w:val="single"/>
        </w:rPr>
        <w:t>双方约定</w:t>
      </w:r>
      <w:r>
        <w:rPr>
          <w:rFonts w:hint="eastAsia" w:ascii="宋体" w:hAnsi="宋体" w:cs="宋体"/>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color w:val="000000"/>
          <w:sz w:val="22"/>
          <w:szCs w:val="22"/>
          <w:highlight w:val="none"/>
        </w:rPr>
        <w:t>关于承包人应完成的其他开工准备工作及期限：</w:t>
      </w:r>
      <w:r>
        <w:rPr>
          <w:rFonts w:hint="eastAsia" w:ascii="宋体" w:hAnsi="宋体" w:cs="宋体"/>
          <w:sz w:val="22"/>
          <w:szCs w:val="22"/>
          <w:highlight w:val="none"/>
          <w:u w:val="single"/>
        </w:rPr>
        <w:t xml:space="preserve">双方约定 </w:t>
      </w:r>
      <w:r>
        <w:rPr>
          <w:rFonts w:hint="eastAsia" w:ascii="宋体" w:hAnsi="宋体" w:cs="宋体"/>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7.3.2开工通知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因发包人原因造成监理人未能在计划开工日期之日起</w:t>
      </w:r>
      <w:r>
        <w:rPr>
          <w:rFonts w:hint="eastAsia" w:ascii="宋体" w:hAnsi="宋体" w:cs="宋体"/>
          <w:sz w:val="22"/>
          <w:szCs w:val="22"/>
          <w:highlight w:val="none"/>
          <w:u w:val="single"/>
        </w:rPr>
        <w:t xml:space="preserve"> 90</w:t>
      </w:r>
      <w:r>
        <w:rPr>
          <w:rFonts w:hint="eastAsia" w:ascii="宋体" w:hAnsi="宋体" w:cs="宋体"/>
          <w:color w:val="000000"/>
          <w:sz w:val="22"/>
          <w:szCs w:val="22"/>
          <w:highlight w:val="none"/>
        </w:rPr>
        <w:t>天内发出开工通知的，承包人有权提出价格调整要求，或者解除合同。</w:t>
      </w:r>
    </w:p>
    <w:bookmarkEnd w:id="1019"/>
    <w:bookmarkEnd w:id="1020"/>
    <w:bookmarkEnd w:id="1021"/>
    <w:bookmarkEnd w:id="1022"/>
    <w:bookmarkEnd w:id="1023"/>
    <w:bookmarkEnd w:id="1024"/>
    <w:bookmarkEnd w:id="1025"/>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7.4 测量放线</w:t>
      </w:r>
    </w:p>
    <w:p>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7.4.1发包人通过监理人向承包人提供测量基准点、基准线和水准点及其书面资料的期限：</w:t>
      </w:r>
      <w:r>
        <w:rPr>
          <w:rFonts w:hint="eastAsia" w:ascii="宋体" w:hAnsi="宋体" w:cs="宋体"/>
          <w:sz w:val="22"/>
          <w:szCs w:val="22"/>
          <w:highlight w:val="none"/>
          <w:u w:val="single"/>
        </w:rPr>
        <w:t>开工前五日内书面提供</w:t>
      </w:r>
      <w:r>
        <w:rPr>
          <w:rFonts w:hint="eastAsia" w:ascii="宋体" w:hAnsi="宋体" w:cs="宋体"/>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w:t>
      </w:r>
      <w:bookmarkStart w:id="1026" w:name="_Toc312677484"/>
      <w:bookmarkStart w:id="1027" w:name="_Toc303539125"/>
      <w:bookmarkStart w:id="1028" w:name="_Toc312678010"/>
      <w:bookmarkStart w:id="1029" w:name="_Toc304295546"/>
      <w:bookmarkStart w:id="1030" w:name="_Toc297123516"/>
      <w:bookmarkStart w:id="1031" w:name="_Toc297216175"/>
      <w:bookmarkStart w:id="1032" w:name="_Toc300934968"/>
      <w:r>
        <w:rPr>
          <w:rFonts w:hint="eastAsia" w:ascii="宋体" w:hAnsi="宋体" w:cs="宋体"/>
          <w:color w:val="000000"/>
          <w:sz w:val="22"/>
          <w:szCs w:val="22"/>
          <w:highlight w:val="none"/>
        </w:rPr>
        <w:t>.5 工期延误</w:t>
      </w:r>
    </w:p>
    <w:bookmarkEnd w:id="1026"/>
    <w:bookmarkEnd w:id="1027"/>
    <w:bookmarkEnd w:id="1028"/>
    <w:bookmarkEnd w:id="1029"/>
    <w:bookmarkEnd w:id="1030"/>
    <w:bookmarkEnd w:id="1031"/>
    <w:bookmarkEnd w:id="1032"/>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7.5.1 因发包人原因导致工期延误</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（7）因发包人原因导致工期延误的情形：</w:t>
      </w:r>
      <w:r>
        <w:rPr>
          <w:rFonts w:hint="eastAsia" w:ascii="宋体" w:hAnsi="宋体" w:cs="宋体"/>
          <w:sz w:val="22"/>
          <w:szCs w:val="22"/>
          <w:highlight w:val="none"/>
          <w:u w:val="single"/>
        </w:rPr>
        <w:t>经发包人和监理人认可后予以适当顺延</w:t>
      </w:r>
      <w:r>
        <w:rPr>
          <w:rFonts w:hint="eastAsia" w:ascii="宋体" w:hAnsi="宋体" w:cs="宋体"/>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7</w:t>
      </w:r>
      <w:bookmarkStart w:id="1033" w:name="_Toc312677486"/>
      <w:bookmarkStart w:id="1034" w:name="_Toc318581169"/>
      <w:bookmarkStart w:id="1035" w:name="_Toc312678012"/>
      <w:bookmarkStart w:id="1036" w:name="_Toc297216177"/>
      <w:bookmarkStart w:id="1037" w:name="_Toc303539127"/>
      <w:bookmarkStart w:id="1038" w:name="_Toc300934970"/>
      <w:bookmarkStart w:id="1039" w:name="_Toc297123518"/>
      <w:bookmarkStart w:id="1040" w:name="_Toc304295548"/>
      <w:r>
        <w:rPr>
          <w:rFonts w:hint="eastAsia" w:ascii="宋体" w:hAnsi="宋体" w:cs="宋体"/>
          <w:sz w:val="22"/>
          <w:szCs w:val="22"/>
          <w:highlight w:val="none"/>
        </w:rPr>
        <w:t>.5.2 因承包人原因导致工期延误</w:t>
      </w:r>
    </w:p>
    <w:bookmarkEnd w:id="1033"/>
    <w:bookmarkEnd w:id="1034"/>
    <w:bookmarkEnd w:id="1035"/>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因</w:t>
      </w:r>
      <w:bookmarkStart w:id="1041" w:name="_Toc312678013"/>
      <w:bookmarkStart w:id="1042" w:name="_Toc312677487"/>
      <w:bookmarkStart w:id="1043" w:name="_Toc318581170"/>
      <w:r>
        <w:rPr>
          <w:rFonts w:hint="eastAsia" w:ascii="宋体" w:hAnsi="宋体" w:cs="宋体"/>
          <w:sz w:val="22"/>
          <w:szCs w:val="22"/>
          <w:highlight w:val="none"/>
        </w:rPr>
        <w:t>承包人原因造成工期延误，逾期竣工违约金的计算方法为：</w:t>
      </w:r>
      <w:r>
        <w:rPr>
          <w:rFonts w:hint="eastAsia" w:ascii="宋体" w:hAnsi="宋体" w:cs="宋体"/>
          <w:sz w:val="22"/>
          <w:szCs w:val="22"/>
          <w:highlight w:val="none"/>
          <w:u w:val="single"/>
        </w:rPr>
        <w:t>每延误1日的误期赔偿金额按照合同额的千分之一执行</w:t>
      </w:r>
      <w:r>
        <w:rPr>
          <w:rFonts w:hint="eastAsia" w:ascii="宋体" w:hAnsi="宋体" w:cs="宋体"/>
          <w:sz w:val="22"/>
          <w:szCs w:val="22"/>
          <w:highlight w:val="none"/>
        </w:rPr>
        <w:t>。</w:t>
      </w:r>
      <w:bookmarkEnd w:id="1036"/>
      <w:bookmarkEnd w:id="1037"/>
      <w:bookmarkEnd w:id="1038"/>
      <w:bookmarkEnd w:id="1039"/>
      <w:bookmarkEnd w:id="1040"/>
      <w:bookmarkEnd w:id="1041"/>
      <w:bookmarkEnd w:id="1042"/>
    </w:p>
    <w:bookmarkEnd w:id="1043"/>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因承包人原因造成工期延误，逾</w:t>
      </w:r>
      <w:bookmarkStart w:id="1044" w:name="_Toc312678014"/>
      <w:bookmarkStart w:id="1045" w:name="_Toc318581171"/>
      <w:r>
        <w:rPr>
          <w:rFonts w:hint="eastAsia" w:ascii="宋体" w:hAnsi="宋体" w:cs="宋体"/>
          <w:sz w:val="22"/>
          <w:szCs w:val="22"/>
          <w:highlight w:val="none"/>
        </w:rPr>
        <w:t>期竣工违约金的上限：</w:t>
      </w:r>
      <w:r>
        <w:rPr>
          <w:rFonts w:hint="eastAsia" w:ascii="宋体" w:hAnsi="宋体" w:cs="宋体"/>
          <w:sz w:val="22"/>
          <w:szCs w:val="22"/>
          <w:highlight w:val="none"/>
          <w:u w:val="single"/>
        </w:rPr>
        <w:t>最高赔偿限额为签约合同价的</w:t>
      </w:r>
      <w:r>
        <w:rPr>
          <w:rFonts w:hint="eastAsia" w:ascii="宋体" w:hAnsi="宋体" w:cs="宋体"/>
          <w:sz w:val="22"/>
          <w:szCs w:val="22"/>
          <w:highlight w:val="none"/>
          <w:u w:val="single"/>
          <w:lang w:eastAsia="zh-CN"/>
        </w:rPr>
        <w:t>5%</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p>
    <w:bookmarkEnd w:id="1044"/>
    <w:bookmarkEnd w:id="1045"/>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w:t>
      </w:r>
      <w:bookmarkStart w:id="1046" w:name="_Toc300934971"/>
      <w:bookmarkStart w:id="1047" w:name="_Toc297123519"/>
      <w:bookmarkStart w:id="1048" w:name="_Toc303539128"/>
      <w:bookmarkStart w:id="1049" w:name="_Toc297216178"/>
      <w:bookmarkStart w:id="1050" w:name="_Toc312678015"/>
      <w:bookmarkStart w:id="1051" w:name="_Toc304295549"/>
      <w:r>
        <w:rPr>
          <w:rFonts w:hint="eastAsia" w:ascii="宋体" w:hAnsi="宋体" w:cs="宋体"/>
          <w:color w:val="000000"/>
          <w:sz w:val="22"/>
          <w:szCs w:val="22"/>
          <w:highlight w:val="none"/>
        </w:rPr>
        <w:t>.6 不</w:t>
      </w:r>
      <w:bookmarkEnd w:id="1046"/>
      <w:bookmarkEnd w:id="1047"/>
      <w:bookmarkEnd w:id="1048"/>
      <w:bookmarkEnd w:id="1049"/>
      <w:bookmarkEnd w:id="1050"/>
      <w:bookmarkEnd w:id="1051"/>
      <w:r>
        <w:rPr>
          <w:rFonts w:hint="eastAsia" w:ascii="宋体" w:hAnsi="宋体" w:cs="宋体"/>
          <w:color w:val="000000"/>
          <w:sz w:val="22"/>
          <w:szCs w:val="22"/>
          <w:highlight w:val="none"/>
        </w:rPr>
        <w:t>利物质条件</w:t>
      </w:r>
    </w:p>
    <w:p>
      <w:pPr>
        <w:spacing w:line="360" w:lineRule="auto"/>
        <w:ind w:firstLine="440" w:firstLineChars="200"/>
        <w:rPr>
          <w:rFonts w:ascii="宋体" w:hAnsi="宋体" w:cs="宋体"/>
          <w:sz w:val="22"/>
          <w:szCs w:val="22"/>
          <w:highlight w:val="none"/>
        </w:rPr>
      </w:pPr>
      <w:bookmarkStart w:id="1052" w:name="_Toc304295550"/>
      <w:bookmarkStart w:id="1053" w:name="_Toc297216179"/>
      <w:bookmarkStart w:id="1054" w:name="_Toc318581172"/>
      <w:bookmarkStart w:id="1055" w:name="_Toc300934972"/>
      <w:bookmarkStart w:id="1056" w:name="_Toc297123520"/>
      <w:bookmarkStart w:id="1057" w:name="_Toc303539129"/>
      <w:bookmarkStart w:id="1058" w:name="_Toc312678016"/>
      <w:r>
        <w:rPr>
          <w:rFonts w:hint="eastAsia" w:ascii="宋体" w:hAnsi="宋体" w:cs="宋体"/>
          <w:sz w:val="22"/>
          <w:szCs w:val="22"/>
          <w:highlight w:val="none"/>
        </w:rPr>
        <w:t>不利物质条件的其他情形和有关约定：</w:t>
      </w:r>
      <w:r>
        <w:rPr>
          <w:rFonts w:hint="eastAsia" w:ascii="宋体" w:hAnsi="宋体" w:cs="宋体"/>
          <w:sz w:val="22"/>
          <w:szCs w:val="22"/>
          <w:highlight w:val="none"/>
          <w:u w:val="single"/>
        </w:rPr>
        <w:t xml:space="preserve">   /        </w:t>
      </w:r>
      <w:r>
        <w:rPr>
          <w:rFonts w:hint="eastAsia" w:ascii="宋体" w:hAnsi="宋体" w:cs="宋体"/>
          <w:sz w:val="22"/>
          <w:szCs w:val="22"/>
          <w:highlight w:val="none"/>
        </w:rPr>
        <w:t>。</w:t>
      </w:r>
    </w:p>
    <w:bookmarkEnd w:id="1052"/>
    <w:bookmarkEnd w:id="1053"/>
    <w:bookmarkEnd w:id="1054"/>
    <w:bookmarkEnd w:id="1055"/>
    <w:bookmarkEnd w:id="1056"/>
    <w:bookmarkEnd w:id="1057"/>
    <w:bookmarkEnd w:id="1058"/>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7</w:t>
      </w:r>
      <w:bookmarkStart w:id="1059" w:name="_Toc297123521"/>
      <w:bookmarkStart w:id="1060" w:name="_Toc304295551"/>
      <w:bookmarkStart w:id="1061" w:name="_Toc303539130"/>
      <w:bookmarkStart w:id="1062" w:name="_Toc297216180"/>
      <w:bookmarkStart w:id="1063" w:name="_Toc300934973"/>
      <w:bookmarkStart w:id="1064" w:name="_Toc312678017"/>
      <w:r>
        <w:rPr>
          <w:rFonts w:hint="eastAsia" w:ascii="宋体" w:hAnsi="宋体" w:cs="宋体"/>
          <w:color w:val="000000"/>
          <w:sz w:val="22"/>
          <w:szCs w:val="22"/>
          <w:highlight w:val="none"/>
        </w:rPr>
        <w:t>.7异常恶劣的气候条件</w:t>
      </w:r>
    </w:p>
    <w:bookmarkEnd w:id="1059"/>
    <w:bookmarkEnd w:id="1060"/>
    <w:bookmarkEnd w:id="1061"/>
    <w:bookmarkEnd w:id="1062"/>
    <w:bookmarkEnd w:id="1063"/>
    <w:bookmarkEnd w:id="1064"/>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发包人和承包人同意以下情形视为异常恶劣的气候条件：</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sz w:val="22"/>
          <w:szCs w:val="22"/>
          <w:highlight w:val="none"/>
          <w:u w:val="single"/>
        </w:rPr>
        <w:t>24小时连续</w:t>
      </w:r>
      <w:r>
        <w:rPr>
          <w:rFonts w:hint="eastAsia" w:ascii="宋体" w:hAnsi="宋体" w:cs="宋体"/>
          <w:sz w:val="22"/>
          <w:szCs w:val="22"/>
          <w:highlight w:val="none"/>
          <w:u w:val="single"/>
          <w:lang w:val="en-US" w:eastAsia="zh-CN"/>
        </w:rPr>
        <w:t>降</w:t>
      </w:r>
      <w:r>
        <w:rPr>
          <w:rFonts w:hint="eastAsia" w:ascii="宋体" w:hAnsi="宋体" w:cs="宋体"/>
          <w:sz w:val="22"/>
          <w:szCs w:val="22"/>
          <w:highlight w:val="none"/>
          <w:u w:val="single"/>
        </w:rPr>
        <w:t>雨量达150mm以上的暴雨（以气象台发布的公告为准）</w:t>
      </w:r>
      <w:r>
        <w:rPr>
          <w:rFonts w:hint="eastAsia" w:ascii="宋体" w:hAnsi="宋体" w:cs="宋体"/>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u w:val="single"/>
        </w:rPr>
        <w:t xml:space="preserve">破坏性的地震、台风、洪水等   </w:t>
      </w:r>
      <w:r>
        <w:rPr>
          <w:rFonts w:hint="eastAsia" w:ascii="宋体" w:hAnsi="宋体" w:cs="宋体"/>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（3）</w:t>
      </w:r>
      <w:r>
        <w:rPr>
          <w:rFonts w:hint="eastAsia" w:ascii="宋体" w:hAnsi="宋体" w:cs="宋体"/>
          <w:sz w:val="22"/>
          <w:szCs w:val="22"/>
          <w:highlight w:val="none"/>
          <w:u w:val="single"/>
        </w:rPr>
        <w:t xml:space="preserve">造成工程损坏的冰雹、雪灾等 </w:t>
      </w:r>
      <w:r>
        <w:rPr>
          <w:rFonts w:hint="eastAsia" w:ascii="宋体" w:hAnsi="宋体" w:cs="宋体"/>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1065" w:name="_Toc28350"/>
      <w:r>
        <w:rPr>
          <w:rFonts w:hint="eastAsia" w:ascii="宋体" w:hAnsi="宋体" w:cs="宋体"/>
          <w:color w:val="000000"/>
          <w:sz w:val="22"/>
          <w:szCs w:val="22"/>
          <w:highlight w:val="none"/>
        </w:rPr>
        <w:t>7.9 提前竣工的奖励</w:t>
      </w:r>
      <w:bookmarkEnd w:id="1065"/>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7.9.2提前竣工的奖励：</w:t>
      </w:r>
      <w:r>
        <w:rPr>
          <w:rFonts w:hint="eastAsia" w:ascii="宋体" w:hAnsi="宋体" w:cs="宋体"/>
          <w:sz w:val="22"/>
          <w:szCs w:val="22"/>
          <w:highlight w:val="none"/>
          <w:u w:val="single"/>
        </w:rPr>
        <w:t xml:space="preserve">  / </w:t>
      </w:r>
      <w:r>
        <w:rPr>
          <w:rFonts w:hint="eastAsia" w:ascii="宋体" w:hAnsi="宋体" w:cs="宋体"/>
          <w:sz w:val="22"/>
          <w:szCs w:val="22"/>
          <w:highlight w:val="none"/>
        </w:rPr>
        <w:t>。</w:t>
      </w:r>
    </w:p>
    <w:p>
      <w:pPr>
        <w:spacing w:before="120" w:after="120" w:line="360" w:lineRule="auto"/>
        <w:rPr>
          <w:rFonts w:ascii="宋体" w:hAnsi="宋体" w:cs="宋体"/>
          <w:color w:val="000000"/>
          <w:sz w:val="22"/>
          <w:szCs w:val="22"/>
          <w:highlight w:val="none"/>
        </w:rPr>
      </w:pPr>
      <w:bookmarkStart w:id="1066" w:name="_Toc351203640"/>
      <w:r>
        <w:rPr>
          <w:rFonts w:hint="eastAsia" w:ascii="宋体" w:hAnsi="宋体" w:cs="宋体"/>
          <w:color w:val="000000"/>
          <w:sz w:val="22"/>
          <w:szCs w:val="22"/>
          <w:highlight w:val="none"/>
        </w:rPr>
        <w:t>8. 材料与设备</w:t>
      </w:r>
      <w:bookmarkEnd w:id="1066"/>
    </w:p>
    <w:bookmarkEnd w:id="998"/>
    <w:bookmarkEnd w:id="999"/>
    <w:bookmarkEnd w:id="1000"/>
    <w:bookmarkEnd w:id="1001"/>
    <w:bookmarkEnd w:id="1002"/>
    <w:bookmarkEnd w:id="1003"/>
    <w:bookmarkEnd w:id="1004"/>
    <w:bookmarkEnd w:id="1005"/>
    <w:bookmarkEnd w:id="1006"/>
    <w:bookmarkEnd w:id="1007"/>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w:t>
      </w:r>
      <w:bookmarkStart w:id="1067" w:name="_Toc292559877"/>
      <w:bookmarkStart w:id="1068" w:name="_Toc296346668"/>
      <w:bookmarkStart w:id="1069" w:name="_Toc296890995"/>
      <w:bookmarkStart w:id="1070" w:name="_Toc280868654"/>
      <w:bookmarkStart w:id="1071" w:name="_Toc296503167"/>
      <w:bookmarkStart w:id="1072" w:name="_Toc297123527"/>
      <w:bookmarkStart w:id="1073" w:name="_Toc296347166"/>
      <w:bookmarkStart w:id="1074" w:name="_Toc303539136"/>
      <w:bookmarkStart w:id="1075" w:name="_Toc300934979"/>
      <w:bookmarkStart w:id="1076" w:name="_Toc297216186"/>
      <w:bookmarkStart w:id="1077" w:name="_Toc297048353"/>
      <w:bookmarkStart w:id="1078" w:name="_Toc296944506"/>
      <w:bookmarkStart w:id="1079" w:name="_Toc296891207"/>
      <w:bookmarkStart w:id="1080" w:name="_Toc292559372"/>
      <w:bookmarkStart w:id="1081" w:name="_Toc297120467"/>
      <w:bookmarkStart w:id="1082" w:name="_Toc304295556"/>
      <w:bookmarkStart w:id="1083" w:name="_Toc312677493"/>
      <w:bookmarkStart w:id="1084" w:name="_Toc312678019"/>
      <w:bookmarkStart w:id="1085" w:name="_Toc267251424"/>
      <w:bookmarkStart w:id="1086" w:name="_Toc280868655"/>
      <w:bookmarkStart w:id="1087" w:name="_Toc280868656"/>
      <w:r>
        <w:rPr>
          <w:rFonts w:hint="eastAsia" w:ascii="宋体" w:hAnsi="宋体" w:cs="宋体"/>
          <w:color w:val="000000"/>
          <w:sz w:val="22"/>
          <w:szCs w:val="22"/>
          <w:highlight w:val="none"/>
        </w:rPr>
        <w:t>.4材料与工程设备的保管与使用</w:t>
      </w:r>
    </w:p>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Pr>
        <w:spacing w:line="360" w:lineRule="auto"/>
        <w:rPr>
          <w:rFonts w:ascii="宋体" w:hAnsi="宋体" w:cs="宋体"/>
          <w:sz w:val="22"/>
          <w:szCs w:val="22"/>
          <w:highlight w:val="none"/>
        </w:rPr>
      </w:pPr>
      <w:r>
        <w:rPr>
          <w:rFonts w:hint="eastAsia" w:ascii="宋体" w:hAnsi="宋体" w:cs="宋体"/>
          <w:sz w:val="22"/>
          <w:szCs w:val="22"/>
          <w:highlight w:val="none"/>
        </w:rPr>
        <w:t>8</w:t>
      </w:r>
      <w:bookmarkStart w:id="1088" w:name="_Toc292559373"/>
      <w:bookmarkStart w:id="1089" w:name="_Toc292559878"/>
      <w:bookmarkStart w:id="1090" w:name="_Toc304295557"/>
      <w:bookmarkStart w:id="1091" w:name="_Toc296891208"/>
      <w:bookmarkStart w:id="1092" w:name="_Toc296890996"/>
      <w:bookmarkStart w:id="1093" w:name="_Toc303539137"/>
      <w:bookmarkStart w:id="1094" w:name="_Toc297216187"/>
      <w:bookmarkStart w:id="1095" w:name="_Toc297120468"/>
      <w:bookmarkStart w:id="1096" w:name="_Toc312677494"/>
      <w:bookmarkStart w:id="1097" w:name="_Toc296503168"/>
      <w:bookmarkStart w:id="1098" w:name="_Toc297123528"/>
      <w:bookmarkStart w:id="1099" w:name="_Toc296347167"/>
      <w:bookmarkStart w:id="1100" w:name="_Toc297048354"/>
      <w:bookmarkStart w:id="1101" w:name="_Toc296346669"/>
      <w:bookmarkStart w:id="1102" w:name="_Toc296944507"/>
      <w:bookmarkStart w:id="1103" w:name="_Toc318581173"/>
      <w:bookmarkStart w:id="1104" w:name="_Toc300934980"/>
      <w:bookmarkStart w:id="1105" w:name="_Toc312678020"/>
      <w:r>
        <w:rPr>
          <w:rFonts w:hint="eastAsia" w:ascii="宋体" w:hAnsi="宋体" w:cs="宋体"/>
          <w:sz w:val="22"/>
          <w:szCs w:val="22"/>
          <w:highlight w:val="none"/>
        </w:rPr>
        <w:t>.4.1发包人供应的材料设备的保管费用的承担：</w:t>
      </w:r>
      <w:r>
        <w:rPr>
          <w:rFonts w:hint="eastAsia" w:ascii="宋体" w:hAnsi="宋体" w:cs="宋体"/>
          <w:sz w:val="22"/>
          <w:szCs w:val="22"/>
          <w:highlight w:val="none"/>
          <w:u w:val="single"/>
        </w:rPr>
        <w:t xml:space="preserve"> 无 </w:t>
      </w:r>
      <w:r>
        <w:rPr>
          <w:rFonts w:hint="eastAsia" w:ascii="宋体" w:hAnsi="宋体" w:cs="宋体"/>
          <w:sz w:val="22"/>
          <w:szCs w:val="22"/>
          <w:highlight w:val="none"/>
        </w:rPr>
        <w:t>。</w:t>
      </w:r>
      <w:bookmarkEnd w:id="1088"/>
      <w:bookmarkEnd w:id="1089"/>
    </w:p>
    <w:p>
      <w:pPr>
        <w:spacing w:after="120" w:line="360" w:lineRule="auto"/>
        <w:ind w:firstLine="440" w:firstLineChars="200"/>
        <w:rPr>
          <w:rFonts w:ascii="宋体" w:hAnsi="宋体" w:cs="宋体"/>
          <w:color w:val="000000"/>
          <w:sz w:val="22"/>
          <w:szCs w:val="22"/>
          <w:highlight w:val="none"/>
        </w:rPr>
      </w:pPr>
      <w:bookmarkStart w:id="1106" w:name="_Toc714"/>
      <w:r>
        <w:rPr>
          <w:rFonts w:hint="eastAsia" w:ascii="宋体" w:hAnsi="宋体" w:cs="宋体"/>
          <w:color w:val="000000"/>
          <w:sz w:val="22"/>
          <w:szCs w:val="22"/>
          <w:highlight w:val="none"/>
        </w:rPr>
        <w:t>8.6 样品</w:t>
      </w:r>
      <w:bookmarkEnd w:id="1106"/>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8.6.1</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样品的报送与封存</w:t>
      </w:r>
    </w:p>
    <w:p>
      <w:pPr>
        <w:autoSpaceDE w:val="0"/>
        <w:autoSpaceDN w:val="0"/>
        <w:adjustRightInd w:val="0"/>
        <w:spacing w:line="360" w:lineRule="auto"/>
        <w:ind w:firstLine="440" w:firstLineChars="200"/>
        <w:rPr>
          <w:rFonts w:ascii="宋体" w:hAnsi="宋体" w:cs="宋体"/>
          <w:sz w:val="22"/>
          <w:szCs w:val="22"/>
          <w:highlight w:val="none"/>
        </w:rPr>
      </w:pPr>
      <w:r>
        <w:rPr>
          <w:rFonts w:hint="eastAsia" w:ascii="宋体" w:hAnsi="宋体" w:cs="宋体"/>
          <w:color w:val="000000"/>
          <w:sz w:val="22"/>
          <w:szCs w:val="22"/>
          <w:highlight w:val="none"/>
        </w:rPr>
        <w:t>需要承包人报送样品的材料或工程设备，样品的种类、名称、规格、数量要求：</w:t>
      </w:r>
      <w:r>
        <w:rPr>
          <w:rFonts w:hint="eastAsia" w:ascii="宋体" w:hAnsi="宋体" w:cs="宋体"/>
          <w:sz w:val="22"/>
          <w:szCs w:val="22"/>
          <w:highlight w:val="none"/>
          <w:u w:val="single"/>
        </w:rPr>
        <w:t>按相关规定执行</w:t>
      </w:r>
      <w:r>
        <w:rPr>
          <w:rFonts w:hint="eastAsia" w:ascii="宋体" w:hAnsi="宋体" w:cs="宋体"/>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1107" w:name="_Toc13994"/>
      <w:r>
        <w:rPr>
          <w:rFonts w:hint="eastAsia" w:ascii="宋体" w:hAnsi="宋体" w:cs="宋体"/>
          <w:color w:val="000000"/>
          <w:sz w:val="22"/>
          <w:szCs w:val="22"/>
          <w:highlight w:val="none"/>
        </w:rPr>
        <w:t>8.8 施工设备和临时设施</w:t>
      </w:r>
      <w:bookmarkEnd w:id="1107"/>
    </w:p>
    <w:p>
      <w:pPr>
        <w:autoSpaceDE w:val="0"/>
        <w:autoSpaceDN w:val="0"/>
        <w:adjustRightIn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8.8.1 承包人提供的施工设备和临时设施</w:t>
      </w:r>
    </w:p>
    <w:p>
      <w:pPr>
        <w:autoSpaceDE w:val="0"/>
        <w:autoSpaceDN w:val="0"/>
        <w:adjustRightInd w:val="0"/>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关于修建临时设施费用承担的约定：</w:t>
      </w:r>
      <w:r>
        <w:rPr>
          <w:rFonts w:hint="eastAsia" w:ascii="宋体" w:hAnsi="宋体" w:cs="宋体"/>
          <w:sz w:val="22"/>
          <w:szCs w:val="22"/>
          <w:highlight w:val="none"/>
          <w:u w:val="single"/>
        </w:rPr>
        <w:t>临时设施的修建和施工设备保管由承包人负责，费用已包含在措施项目费内，发包人不再另行支付</w:t>
      </w:r>
      <w:r>
        <w:rPr>
          <w:rFonts w:hint="eastAsia" w:ascii="宋体" w:hAnsi="宋体" w:cs="宋体"/>
          <w:sz w:val="22"/>
          <w:szCs w:val="22"/>
          <w:highlight w:val="none"/>
        </w:rPr>
        <w:t>。</w:t>
      </w:r>
    </w:p>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Pr>
        <w:spacing w:before="120" w:after="120" w:line="360" w:lineRule="auto"/>
        <w:rPr>
          <w:rFonts w:ascii="宋体" w:hAnsi="宋体" w:cs="宋体"/>
          <w:color w:val="000000"/>
          <w:sz w:val="22"/>
          <w:szCs w:val="22"/>
          <w:highlight w:val="none"/>
        </w:rPr>
      </w:pPr>
      <w:bookmarkStart w:id="1108" w:name="_Toc351203641"/>
      <w:r>
        <w:rPr>
          <w:rFonts w:hint="eastAsia" w:ascii="宋体" w:hAnsi="宋体" w:cs="宋体"/>
          <w:color w:val="000000"/>
          <w:sz w:val="22"/>
          <w:szCs w:val="22"/>
          <w:highlight w:val="none"/>
        </w:rPr>
        <w:t>9</w:t>
      </w:r>
      <w:bookmarkEnd w:id="1085"/>
      <w:bookmarkEnd w:id="1086"/>
      <w:bookmarkEnd w:id="1087"/>
      <w:bookmarkStart w:id="1109" w:name="_Toc300934982"/>
      <w:bookmarkStart w:id="1110" w:name="_Toc312677495"/>
      <w:bookmarkStart w:id="1111" w:name="_Toc303539139"/>
      <w:bookmarkStart w:id="1112" w:name="_Toc297216192"/>
      <w:bookmarkStart w:id="1113" w:name="_Toc312678021"/>
      <w:bookmarkStart w:id="1114" w:name="_Toc297123533"/>
      <w:bookmarkStart w:id="1115" w:name="_Toc304295559"/>
      <w:bookmarkStart w:id="1116" w:name="_Toc296346674"/>
      <w:bookmarkStart w:id="1117" w:name="_Toc296891213"/>
      <w:bookmarkStart w:id="1118" w:name="_Toc297120473"/>
      <w:bookmarkStart w:id="1119" w:name="_Toc296503173"/>
      <w:bookmarkStart w:id="1120" w:name="_Toc296347172"/>
      <w:bookmarkStart w:id="1121" w:name="_Toc297048359"/>
      <w:bookmarkStart w:id="1122" w:name="_Toc267251428"/>
      <w:bookmarkStart w:id="1123" w:name="_Toc296891001"/>
      <w:bookmarkStart w:id="1124" w:name="_Toc296944512"/>
      <w:bookmarkStart w:id="1125" w:name="_Toc292559883"/>
      <w:bookmarkStart w:id="1126" w:name="_Toc292559378"/>
      <w:bookmarkStart w:id="1127" w:name="_Toc267251427"/>
      <w:r>
        <w:rPr>
          <w:rFonts w:hint="eastAsia" w:ascii="宋体" w:hAnsi="宋体" w:cs="宋体"/>
          <w:color w:val="000000"/>
          <w:sz w:val="22"/>
          <w:szCs w:val="22"/>
          <w:highlight w:val="none"/>
        </w:rPr>
        <w:t>. 试验与检验</w:t>
      </w:r>
      <w:bookmarkEnd w:id="1108"/>
    </w:p>
    <w:bookmarkEnd w:id="1109"/>
    <w:bookmarkEnd w:id="1110"/>
    <w:bookmarkEnd w:id="1111"/>
    <w:bookmarkEnd w:id="1112"/>
    <w:bookmarkEnd w:id="1113"/>
    <w:bookmarkEnd w:id="1114"/>
    <w:bookmarkEnd w:id="1115"/>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9</w:t>
      </w:r>
      <w:bookmarkStart w:id="1128" w:name="_Toc297123534"/>
      <w:bookmarkStart w:id="1129" w:name="_Toc312678022"/>
      <w:bookmarkStart w:id="1130" w:name="_Toc297216193"/>
      <w:bookmarkStart w:id="1131" w:name="_Toc304295560"/>
      <w:bookmarkStart w:id="1132" w:name="_Toc300934983"/>
      <w:bookmarkStart w:id="1133" w:name="_Toc303539140"/>
      <w:bookmarkStart w:id="1134" w:name="_Toc312677496"/>
      <w:r>
        <w:rPr>
          <w:rFonts w:hint="eastAsia" w:ascii="宋体" w:hAnsi="宋体" w:cs="宋体"/>
          <w:color w:val="000000"/>
          <w:sz w:val="22"/>
          <w:szCs w:val="22"/>
          <w:highlight w:val="none"/>
        </w:rPr>
        <w:t>.1试验设备与试验人员</w:t>
      </w:r>
    </w:p>
    <w:bookmarkEnd w:id="1128"/>
    <w:bookmarkEnd w:id="1129"/>
    <w:bookmarkEnd w:id="1130"/>
    <w:bookmarkEnd w:id="1131"/>
    <w:bookmarkEnd w:id="1132"/>
    <w:bookmarkEnd w:id="1133"/>
    <w:bookmarkEnd w:id="1134"/>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9</w:t>
      </w:r>
      <w:bookmarkStart w:id="1135" w:name="_Toc312678023"/>
      <w:bookmarkStart w:id="1136" w:name="_Toc297123535"/>
      <w:bookmarkStart w:id="1137" w:name="_Toc303539141"/>
      <w:bookmarkStart w:id="1138" w:name="_Toc304295561"/>
      <w:bookmarkStart w:id="1139" w:name="_Toc300934984"/>
      <w:bookmarkStart w:id="1140" w:name="_Toc312677497"/>
      <w:bookmarkStart w:id="1141" w:name="_Toc297216194"/>
      <w:bookmarkStart w:id="1142" w:name="_Toc318581174"/>
      <w:r>
        <w:rPr>
          <w:rFonts w:hint="eastAsia" w:ascii="宋体" w:hAnsi="宋体" w:cs="宋体"/>
          <w:sz w:val="22"/>
          <w:szCs w:val="22"/>
          <w:highlight w:val="none"/>
        </w:rPr>
        <w:t>.1.2 试验设备</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施工现场需要配置的试验场所：</w:t>
      </w:r>
      <w:bookmarkEnd w:id="1135"/>
      <w:bookmarkEnd w:id="1136"/>
      <w:bookmarkEnd w:id="1137"/>
      <w:bookmarkEnd w:id="1138"/>
      <w:bookmarkEnd w:id="1139"/>
      <w:bookmarkEnd w:id="1140"/>
      <w:bookmarkEnd w:id="1141"/>
      <w:bookmarkStart w:id="1143" w:name="_Toc304295562"/>
      <w:bookmarkStart w:id="1144" w:name="_Toc297216195"/>
      <w:bookmarkStart w:id="1145" w:name="_Toc297123536"/>
      <w:bookmarkStart w:id="1146" w:name="_Toc300934985"/>
      <w:bookmarkStart w:id="1147" w:name="_Toc312677498"/>
      <w:bookmarkStart w:id="1148" w:name="_Toc312678024"/>
      <w:bookmarkStart w:id="1149" w:name="_Toc303539142"/>
      <w:r>
        <w:rPr>
          <w:rFonts w:hint="eastAsia" w:ascii="宋体" w:hAnsi="宋体" w:cs="宋体"/>
          <w:sz w:val="22"/>
          <w:szCs w:val="22"/>
          <w:highlight w:val="none"/>
          <w:u w:val="single"/>
        </w:rPr>
        <w:t xml:space="preserve"> 由承包人提供 </w:t>
      </w:r>
      <w:r>
        <w:rPr>
          <w:rFonts w:hint="eastAsia" w:ascii="宋体" w:hAnsi="宋体" w:cs="宋体"/>
          <w:sz w:val="22"/>
          <w:szCs w:val="22"/>
          <w:highlight w:val="none"/>
        </w:rPr>
        <w:t xml:space="preserve">。 </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施工现场需要配备的试验设备：</w:t>
      </w:r>
      <w:r>
        <w:rPr>
          <w:rFonts w:hint="eastAsia" w:ascii="宋体" w:hAnsi="宋体" w:cs="宋体"/>
          <w:sz w:val="22"/>
          <w:szCs w:val="22"/>
          <w:highlight w:val="none"/>
          <w:u w:val="single"/>
        </w:rPr>
        <w:t xml:space="preserve">由承包人提供 </w:t>
      </w:r>
      <w:r>
        <w:rPr>
          <w:rFonts w:hint="eastAsia" w:ascii="宋体" w:hAnsi="宋体" w:cs="宋体"/>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施工现场需要具备的其他试验条件：</w:t>
      </w:r>
      <w:r>
        <w:rPr>
          <w:rFonts w:hint="eastAsia" w:ascii="宋体" w:hAnsi="宋体" w:cs="宋体"/>
          <w:sz w:val="22"/>
          <w:szCs w:val="22"/>
          <w:highlight w:val="none"/>
          <w:u w:val="single"/>
        </w:rPr>
        <w:t xml:space="preserve">由承包人提供  </w:t>
      </w:r>
      <w:r>
        <w:rPr>
          <w:rFonts w:hint="eastAsia" w:ascii="宋体" w:hAnsi="宋体" w:cs="宋体"/>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1150" w:name="_Toc16621"/>
      <w:r>
        <w:rPr>
          <w:rFonts w:hint="eastAsia" w:ascii="宋体" w:hAnsi="宋体" w:cs="宋体"/>
          <w:color w:val="000000"/>
          <w:sz w:val="22"/>
          <w:szCs w:val="22"/>
          <w:highlight w:val="none"/>
        </w:rPr>
        <w:t>9.4 现场工艺试验</w:t>
      </w:r>
      <w:bookmarkEnd w:id="1150"/>
      <w:r>
        <w:rPr>
          <w:rFonts w:hint="eastAsia" w:ascii="宋体" w:hAnsi="宋体" w:cs="宋体"/>
          <w:color w:val="000000"/>
          <w:sz w:val="22"/>
          <w:szCs w:val="22"/>
          <w:highlight w:val="none"/>
        </w:rPr>
        <w:t xml:space="preserve"> </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现场工艺试验的有关约定：</w:t>
      </w:r>
      <w:r>
        <w:rPr>
          <w:rFonts w:hint="eastAsia" w:ascii="宋体" w:hAnsi="宋体" w:cs="宋体"/>
          <w:sz w:val="22"/>
          <w:szCs w:val="22"/>
          <w:highlight w:val="none"/>
          <w:u w:val="single"/>
        </w:rPr>
        <w:t xml:space="preserve"> 按通用条款执行</w:t>
      </w:r>
      <w:r>
        <w:rPr>
          <w:rFonts w:hint="eastAsia" w:ascii="宋体" w:hAnsi="宋体" w:cs="宋体"/>
          <w:sz w:val="22"/>
          <w:szCs w:val="22"/>
          <w:highlight w:val="none"/>
        </w:rPr>
        <w:t>。</w:t>
      </w:r>
    </w:p>
    <w:bookmarkEnd w:id="1142"/>
    <w:bookmarkEnd w:id="1143"/>
    <w:bookmarkEnd w:id="1144"/>
    <w:bookmarkEnd w:id="1145"/>
    <w:bookmarkEnd w:id="1146"/>
    <w:bookmarkEnd w:id="1147"/>
    <w:bookmarkEnd w:id="1148"/>
    <w:bookmarkEnd w:id="1149"/>
    <w:p>
      <w:pPr>
        <w:spacing w:before="120" w:after="120" w:line="360" w:lineRule="auto"/>
        <w:rPr>
          <w:rFonts w:ascii="宋体" w:hAnsi="宋体" w:cs="宋体"/>
          <w:color w:val="000000"/>
          <w:sz w:val="22"/>
          <w:szCs w:val="22"/>
          <w:highlight w:val="none"/>
        </w:rPr>
      </w:pPr>
      <w:bookmarkStart w:id="1151" w:name="_Toc351203642"/>
      <w:r>
        <w:rPr>
          <w:rFonts w:hint="eastAsia" w:ascii="宋体" w:hAnsi="宋体" w:cs="宋体"/>
          <w:color w:val="000000"/>
          <w:sz w:val="22"/>
          <w:szCs w:val="22"/>
          <w:highlight w:val="none"/>
        </w:rPr>
        <w:t>1</w:t>
      </w:r>
      <w:bookmarkEnd w:id="1116"/>
      <w:bookmarkEnd w:id="1117"/>
      <w:bookmarkEnd w:id="1118"/>
      <w:bookmarkEnd w:id="1119"/>
      <w:bookmarkEnd w:id="1120"/>
      <w:bookmarkEnd w:id="1121"/>
      <w:bookmarkEnd w:id="1122"/>
      <w:bookmarkEnd w:id="1123"/>
      <w:bookmarkEnd w:id="1124"/>
      <w:bookmarkEnd w:id="1125"/>
      <w:bookmarkEnd w:id="1126"/>
      <w:bookmarkEnd w:id="1127"/>
      <w:bookmarkStart w:id="1152" w:name="_Toc296891233"/>
      <w:bookmarkStart w:id="1153" w:name="_Toc297120493"/>
      <w:bookmarkStart w:id="1154" w:name="_Toc292559398"/>
      <w:bookmarkStart w:id="1155" w:name="_Toc296347192"/>
      <w:bookmarkStart w:id="1156" w:name="_Toc296346694"/>
      <w:bookmarkStart w:id="1157" w:name="_Toc297123540"/>
      <w:bookmarkStart w:id="1158" w:name="_Toc297216199"/>
      <w:bookmarkStart w:id="1159" w:name="_Toc304295566"/>
      <w:bookmarkStart w:id="1160" w:name="_Toc296503193"/>
      <w:bookmarkStart w:id="1161" w:name="_Toc303539146"/>
      <w:bookmarkStart w:id="1162" w:name="_Toc296944532"/>
      <w:bookmarkStart w:id="1163" w:name="_Toc296891021"/>
      <w:bookmarkStart w:id="1164" w:name="_Toc297048379"/>
      <w:bookmarkStart w:id="1165" w:name="_Toc292559903"/>
      <w:bookmarkStart w:id="1166" w:name="_Toc300934989"/>
      <w:bookmarkStart w:id="1167" w:name="_Toc312677499"/>
      <w:bookmarkStart w:id="1168" w:name="_Toc312678025"/>
      <w:bookmarkStart w:id="1169" w:name="_Toc267251433"/>
      <w:bookmarkStart w:id="1170" w:name="_Toc267251441"/>
      <w:bookmarkStart w:id="1171" w:name="_Toc267251437"/>
      <w:bookmarkStart w:id="1172" w:name="_Toc267251440"/>
      <w:bookmarkStart w:id="1173" w:name="_Toc267251435"/>
      <w:bookmarkStart w:id="1174" w:name="_Toc267251439"/>
      <w:bookmarkStart w:id="1175" w:name="_Toc267251442"/>
      <w:r>
        <w:rPr>
          <w:rFonts w:hint="eastAsia" w:ascii="宋体" w:hAnsi="宋体" w:cs="宋体"/>
          <w:color w:val="000000"/>
          <w:sz w:val="22"/>
          <w:szCs w:val="22"/>
          <w:highlight w:val="none"/>
        </w:rPr>
        <w:t>0. 变更</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bookmarkEnd w:id="1167"/>
    <w:bookmarkEnd w:id="1168"/>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w:t>
      </w:r>
      <w:bookmarkStart w:id="1176" w:name="_Toc297123541"/>
      <w:bookmarkStart w:id="1177" w:name="_Toc297048380"/>
      <w:bookmarkStart w:id="1178" w:name="_Toc304295567"/>
      <w:bookmarkStart w:id="1179" w:name="_Toc296891022"/>
      <w:bookmarkStart w:id="1180" w:name="_Toc296944533"/>
      <w:bookmarkStart w:id="1181" w:name="_Toc296347193"/>
      <w:bookmarkStart w:id="1182" w:name="_Toc297120494"/>
      <w:bookmarkStart w:id="1183" w:name="_Toc297216200"/>
      <w:bookmarkStart w:id="1184" w:name="_Toc292559904"/>
      <w:bookmarkStart w:id="1185" w:name="_Toc312677500"/>
      <w:bookmarkStart w:id="1186" w:name="_Toc300934990"/>
      <w:bookmarkStart w:id="1187" w:name="_Toc296891234"/>
      <w:bookmarkStart w:id="1188" w:name="_Toc312678026"/>
      <w:bookmarkStart w:id="1189" w:name="_Toc296503194"/>
      <w:bookmarkStart w:id="1190" w:name="_Toc296346695"/>
      <w:bookmarkStart w:id="1191" w:name="_Toc303539147"/>
      <w:bookmarkStart w:id="1192" w:name="_Toc292559399"/>
      <w:r>
        <w:rPr>
          <w:rFonts w:hint="eastAsia" w:ascii="宋体" w:hAnsi="宋体" w:cs="宋体"/>
          <w:color w:val="000000"/>
          <w:sz w:val="22"/>
          <w:szCs w:val="22"/>
          <w:highlight w:val="none"/>
        </w:rPr>
        <w:t>0.1变更的范围</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rPr>
        <w:t>关于变更的范围的约定：</w:t>
      </w:r>
      <w:r>
        <w:rPr>
          <w:rFonts w:hint="eastAsia" w:ascii="宋体" w:hAnsi="宋体" w:cs="宋体"/>
          <w:color w:val="000000"/>
          <w:sz w:val="22"/>
          <w:szCs w:val="22"/>
          <w:highlight w:val="none"/>
          <w:u w:val="single"/>
        </w:rPr>
        <w:t>（1）工程变更需按发包人的要求及时办理工程变更有关手续并作为结算依据，未按规定办理手续的工程变更不能作为结算依据。</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2）设计变更是指因设计或非设计原因引起的对施工图成品文件的改变。设计原因是指设计单位施工图成品文件中存在的问题和错误；非设计原因是指工程建设施工现场、外部条件发生了改变，或发包人的要求发生了变化。</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u w:val="single"/>
        </w:rPr>
        <w:t>（3）工程签证是指施工图纸、设计变更所确定的工程内容以外，在施工过程中因工程实际需要而必须进行的部分工作及其耗用的工料和其它相应费用的签证。</w:t>
      </w:r>
    </w:p>
    <w:p>
      <w:pPr>
        <w:spacing w:after="120" w:line="360" w:lineRule="auto"/>
        <w:ind w:firstLine="440" w:firstLineChars="200"/>
        <w:rPr>
          <w:rFonts w:ascii="宋体" w:hAnsi="宋体" w:cs="宋体"/>
          <w:color w:val="000000"/>
          <w:sz w:val="22"/>
          <w:szCs w:val="22"/>
          <w:highlight w:val="none"/>
        </w:rPr>
      </w:pPr>
      <w:bookmarkStart w:id="1193" w:name="_Toc3759"/>
      <w:r>
        <w:rPr>
          <w:rFonts w:hint="eastAsia" w:ascii="宋体" w:hAnsi="宋体" w:cs="宋体"/>
          <w:color w:val="000000"/>
          <w:sz w:val="22"/>
          <w:szCs w:val="22"/>
          <w:highlight w:val="none"/>
        </w:rPr>
        <w:t>10.4 变更估价</w:t>
      </w:r>
      <w:bookmarkEnd w:id="1193"/>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10.4.1 变更估价原则</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rPr>
        <w:t>关于变更估价的约定:</w:t>
      </w:r>
      <w:r>
        <w:rPr>
          <w:rFonts w:hint="eastAsia" w:ascii="宋体" w:hAnsi="宋体" w:cs="宋体"/>
          <w:color w:val="000000"/>
          <w:sz w:val="22"/>
          <w:szCs w:val="22"/>
          <w:highlight w:val="none"/>
          <w:u w:val="single"/>
        </w:rPr>
        <w:t>（1）合同中已有适用综合单价的（非不平衡报价），执行已有综合单价，措施费据实调整。</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（2）合同中有类似综合单价的（非不平衡报价），可参照类似综合单价调整，措施费据实调整。</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合同中没有适用的综合单价的（包括不平衡报价的综合单价）， 按照《陕西省建设工程工程量清单计价规则（2009）》《陕西省建筑、装饰工程消耗量定额（2004）》《陕西省安装工程消耗量定额（2004）》《陕西省建筑、装饰工程价目表（2009）》《关于增加建设工程扬尘治理专项措施费及综合人工单价的调整的通知》（陕建发【2017】270 号）、《关于调整陕西省建设工程计价依据的通知》（陕建发【2019】45 号）、陕建发【2019】1246号文件《关于发布我省落实建筑工人实名制管理计价依据的通知》、陕建发【2020】1097号文件《陕西省住房和城乡建设厅关于建筑施工安全生产责任保险费用计价的通知》、陕建发【2021】1021号文件《陕西省住房和城乡建设厅关于全省统一停止收缴建筑业劳保费用的通知》、陕建发【2021】1097号文件《陕西省住房和城乡建设厅关于调整房屋建筑和市政基础设施工程工程量清单计价综合人工单价的通知》及其他现行调整政策规定，由承包人和发包人共同组价（人工调整计入差价），按投标报价和拦标价的价差比率进行下浮（人工差价须下浮，发包人认质限价材料、设备不下浮），做为结算单价的依据。</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（3）在本在本工程施工过程中，由于工程量清单量差、设计变更、现场签证、工程量调整若实际工程量与招标工程量有偏差时，依发生的工程量按符合条件的综合单价进行结算，相应措施项目费据实调整。</w:t>
      </w:r>
    </w:p>
    <w:p>
      <w:pPr>
        <w:spacing w:line="360" w:lineRule="auto"/>
        <w:ind w:firstLine="440" w:firstLineChars="200"/>
        <w:rPr>
          <w:rFonts w:hint="eastAsia" w:ascii="宋体" w:hAnsi="宋体" w:cs="宋体"/>
          <w:color w:val="000000"/>
          <w:sz w:val="22"/>
          <w:szCs w:val="22"/>
          <w:highlight w:val="none"/>
          <w:u w:val="single"/>
        </w:rPr>
      </w:pP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增加10.4.2不平衡报价调整，如下：</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（1）不平衡报价的判定标准：</w:t>
      </w:r>
      <w:r>
        <w:rPr>
          <w:rFonts w:hint="eastAsia" w:ascii="宋体" w:hAnsi="宋体" w:cs="宋体"/>
          <w:color w:val="000000"/>
          <w:sz w:val="22"/>
          <w:szCs w:val="22"/>
          <w:highlight w:val="none"/>
          <w:u w:val="single"/>
          <w:lang w:eastAsia="zh-CN"/>
        </w:rPr>
        <w:t>供应商</w:t>
      </w:r>
      <w:r>
        <w:rPr>
          <w:rFonts w:hint="eastAsia" w:ascii="宋体" w:hAnsi="宋体" w:cs="宋体"/>
          <w:color w:val="000000"/>
          <w:sz w:val="22"/>
          <w:szCs w:val="22"/>
          <w:highlight w:val="none"/>
          <w:u w:val="single"/>
        </w:rPr>
        <w:t>分部分项综合单价与工程拦标价相应分部分项综合单价偏差</w:t>
      </w:r>
      <w:r>
        <w:rPr>
          <w:rFonts w:hint="eastAsia" w:ascii="宋体" w:hAnsi="宋体" w:cs="宋体"/>
          <w:color w:val="000000"/>
          <w:sz w:val="22"/>
          <w:szCs w:val="22"/>
          <w:highlight w:val="none"/>
          <w:u w:val="single"/>
          <w:lang w:val="en-US" w:eastAsia="zh-CN"/>
        </w:rPr>
        <w:t>-</w:t>
      </w:r>
      <w:r>
        <w:rPr>
          <w:rFonts w:hint="eastAsia" w:ascii="宋体" w:hAnsi="宋体" w:cs="宋体"/>
          <w:color w:val="000000"/>
          <w:sz w:val="22"/>
          <w:szCs w:val="22"/>
          <w:highlight w:val="none"/>
          <w:u w:val="single"/>
        </w:rPr>
        <w:t>30%以下或15%以上者，视为不平衡报价。</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（2）不平衡报价的调整。一旦发现投标文件存在不平衡报价现象，</w:t>
      </w:r>
      <w:r>
        <w:rPr>
          <w:rFonts w:hint="eastAsia" w:ascii="宋体" w:hAnsi="宋体" w:cs="宋体"/>
          <w:color w:val="000000"/>
          <w:sz w:val="22"/>
          <w:szCs w:val="22"/>
          <w:highlight w:val="none"/>
          <w:u w:val="single"/>
          <w:lang w:eastAsia="zh-CN"/>
        </w:rPr>
        <w:t>采购人</w:t>
      </w:r>
      <w:r>
        <w:rPr>
          <w:rFonts w:hint="eastAsia" w:ascii="宋体" w:hAnsi="宋体" w:cs="宋体"/>
          <w:color w:val="000000"/>
          <w:sz w:val="22"/>
          <w:szCs w:val="22"/>
          <w:highlight w:val="none"/>
          <w:u w:val="single"/>
        </w:rPr>
        <w:t>有权对投标报价进行调整，具体调整办法为：</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1）以拦标价中相应分部分项综合单价为基础并乘以中标折扣率作为平衡基准价（中标折</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扣率=中标总价/拦标总价）。</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2）施工过程中，清单项工程量不变时，按该分部分项清单中标单价执行；</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3）施工过程中，清单项工程量增加时，该清单项投标单价低于拦标价相应分部分项综合单价</w:t>
      </w:r>
      <w:r>
        <w:rPr>
          <w:rFonts w:hint="eastAsia" w:ascii="宋体" w:hAnsi="宋体" w:cs="宋体"/>
          <w:color w:val="000000"/>
          <w:sz w:val="22"/>
          <w:szCs w:val="22"/>
          <w:highlight w:val="none"/>
          <w:u w:val="single"/>
          <w:lang w:val="en-US" w:eastAsia="zh-CN"/>
        </w:rPr>
        <w:t>-</w:t>
      </w:r>
      <w:r>
        <w:rPr>
          <w:rFonts w:hint="eastAsia" w:ascii="宋体" w:hAnsi="宋体" w:cs="宋体"/>
          <w:color w:val="000000"/>
          <w:sz w:val="22"/>
          <w:szCs w:val="22"/>
          <w:highlight w:val="none"/>
          <w:u w:val="single"/>
        </w:rPr>
        <w:t>30%以下者，按该清单项投标单价计算增加部分的费用；该清单项投标单价大于拦标价相应分部分项综合单价15%以上者，按相应清单项平衡基准价计算增加部分的费用；</w:t>
      </w:r>
    </w:p>
    <w:p>
      <w:pPr>
        <w:spacing w:line="360" w:lineRule="auto"/>
        <w:ind w:firstLine="440" w:firstLineChars="200"/>
        <w:rPr>
          <w:rFonts w:hint="eastAsia" w:ascii="宋体" w:hAnsi="宋体" w:cs="宋体"/>
          <w:color w:val="000000"/>
          <w:sz w:val="22"/>
          <w:szCs w:val="22"/>
          <w:highlight w:val="none"/>
          <w:u w:val="single"/>
          <w:lang w:eastAsia="zh-CN"/>
        </w:rPr>
      </w:pPr>
      <w:r>
        <w:rPr>
          <w:rFonts w:hint="eastAsia" w:ascii="宋体" w:hAnsi="宋体" w:cs="宋体"/>
          <w:color w:val="000000"/>
          <w:sz w:val="22"/>
          <w:szCs w:val="22"/>
          <w:highlight w:val="none"/>
          <w:u w:val="single"/>
        </w:rPr>
        <w:t>施工过程中，清单项工程量减少或清单项取消时，该清单项投标单价低于拦标价相应分部分项综合单价</w:t>
      </w:r>
      <w:r>
        <w:rPr>
          <w:rFonts w:hint="eastAsia" w:ascii="宋体" w:hAnsi="宋体" w:cs="宋体"/>
          <w:color w:val="000000"/>
          <w:sz w:val="22"/>
          <w:szCs w:val="22"/>
          <w:highlight w:val="none"/>
          <w:u w:val="single"/>
          <w:lang w:val="en-US" w:eastAsia="zh-CN"/>
        </w:rPr>
        <w:t>-</w:t>
      </w:r>
      <w:r>
        <w:rPr>
          <w:rFonts w:hint="eastAsia" w:ascii="宋体" w:hAnsi="宋体" w:cs="宋体"/>
          <w:color w:val="000000"/>
          <w:sz w:val="22"/>
          <w:szCs w:val="22"/>
          <w:highlight w:val="none"/>
          <w:u w:val="single"/>
        </w:rPr>
        <w:t>30%以下者，按相应清单项平衡基准价计算减少部分或取消的费用；该清单项投标单价大于拦标价相应分部分项综合单价15%以上者，按该清单项投标单价计算减少部分或取消的费用</w:t>
      </w:r>
      <w:r>
        <w:rPr>
          <w:rFonts w:hint="eastAsia" w:ascii="宋体" w:hAnsi="宋体" w:cs="宋体"/>
          <w:color w:val="000000"/>
          <w:sz w:val="22"/>
          <w:szCs w:val="22"/>
          <w:highlight w:val="none"/>
          <w:u w:val="single"/>
          <w:lang w:eastAsia="zh-CN"/>
        </w:rPr>
        <w:t>。</w:t>
      </w:r>
    </w:p>
    <w:p>
      <w:pPr>
        <w:spacing w:line="360" w:lineRule="auto"/>
        <w:ind w:firstLine="440" w:firstLineChars="200"/>
        <w:rPr>
          <w:rFonts w:hint="eastAsia" w:ascii="宋体" w:hAnsi="宋体" w:cs="宋体"/>
          <w:color w:val="000000"/>
          <w:sz w:val="22"/>
          <w:szCs w:val="22"/>
          <w:highlight w:val="none"/>
          <w:u w:val="single"/>
        </w:rPr>
      </w:pPr>
      <w:r>
        <w:rPr>
          <w:rFonts w:hint="eastAsia" w:ascii="宋体" w:hAnsi="宋体" w:cs="宋体"/>
          <w:color w:val="000000"/>
          <w:sz w:val="22"/>
          <w:szCs w:val="22"/>
          <w:highlight w:val="none"/>
          <w:u w:val="single"/>
        </w:rPr>
        <w:t>增加10.4.</w:t>
      </w:r>
      <w:r>
        <w:rPr>
          <w:rFonts w:hint="eastAsia" w:ascii="宋体" w:hAnsi="宋体" w:cs="宋体"/>
          <w:color w:val="000000"/>
          <w:sz w:val="22"/>
          <w:szCs w:val="22"/>
          <w:highlight w:val="none"/>
          <w:u w:val="single"/>
          <w:lang w:val="en-US" w:eastAsia="zh-CN"/>
        </w:rPr>
        <w:t>3</w:t>
      </w:r>
      <w:r>
        <w:rPr>
          <w:rFonts w:hint="eastAsia" w:ascii="宋体" w:hAnsi="宋体" w:cs="宋体"/>
          <w:color w:val="000000"/>
          <w:sz w:val="22"/>
          <w:szCs w:val="22"/>
          <w:highlight w:val="none"/>
          <w:u w:val="single"/>
        </w:rPr>
        <w:t>，如下：</w:t>
      </w:r>
    </w:p>
    <w:p>
      <w:pPr>
        <w:spacing w:line="360" w:lineRule="auto"/>
        <w:ind w:firstLine="440" w:firstLineChars="200"/>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u w:val="single"/>
          <w:lang w:eastAsia="zh-CN"/>
        </w:rPr>
        <w:t>竣工结算时，发包人将以承包人在投标报价时所报的电子版与文字版为结算依据。当承包人提供的中标电子版与文字版不符时，竣工结算将以最不利于承包人的依据进行结算。</w:t>
      </w:r>
    </w:p>
    <w:p>
      <w:pPr>
        <w:spacing w:line="360" w:lineRule="auto"/>
        <w:ind w:firstLine="440" w:firstLineChars="200"/>
        <w:rPr>
          <w:rFonts w:hint="default" w:ascii="宋体" w:hAnsi="宋体" w:eastAsia="宋体" w:cs="宋体"/>
          <w:color w:val="000000"/>
          <w:sz w:val="22"/>
          <w:szCs w:val="22"/>
          <w:highlight w:val="none"/>
          <w:u w:val="single"/>
          <w:lang w:val="en-US" w:eastAsia="zh-CN"/>
        </w:rPr>
      </w:pPr>
      <w:r>
        <w:rPr>
          <w:rFonts w:hint="eastAsia" w:ascii="宋体" w:hAnsi="宋体" w:eastAsia="宋体" w:cs="宋体"/>
          <w:color w:val="000000"/>
          <w:sz w:val="22"/>
          <w:szCs w:val="22"/>
          <w:highlight w:val="none"/>
          <w:u w:val="single"/>
          <w:lang w:eastAsia="zh-CN"/>
        </w:rPr>
        <w:t>变更签证工程量按如下约定执行：由发包人、承包人、监理人三方共同确认，依据《陕西省建设工程工程量清单计价规则》（</w:t>
      </w:r>
      <w:r>
        <w:rPr>
          <w:rFonts w:hint="eastAsia" w:ascii="宋体" w:hAnsi="宋体" w:eastAsia="宋体" w:cs="宋体"/>
          <w:color w:val="000000"/>
          <w:sz w:val="22"/>
          <w:szCs w:val="22"/>
          <w:highlight w:val="none"/>
          <w:u w:val="single"/>
          <w:lang w:val="en-US" w:eastAsia="zh-CN"/>
        </w:rPr>
        <w:t>2009</w:t>
      </w:r>
      <w:r>
        <w:rPr>
          <w:rFonts w:hint="eastAsia" w:ascii="宋体" w:hAnsi="宋体" w:eastAsia="宋体" w:cs="宋体"/>
          <w:color w:val="000000"/>
          <w:sz w:val="22"/>
          <w:szCs w:val="22"/>
          <w:highlight w:val="none"/>
          <w:u w:val="single"/>
          <w:lang w:eastAsia="zh-CN"/>
        </w:rPr>
        <w:t>）</w:t>
      </w:r>
      <w:r>
        <w:rPr>
          <w:rFonts w:hint="eastAsia" w:ascii="宋体" w:hAnsi="宋体" w:eastAsia="宋体" w:cs="宋体"/>
          <w:color w:val="000000"/>
          <w:sz w:val="22"/>
          <w:szCs w:val="22"/>
          <w:highlight w:val="none"/>
          <w:u w:val="single"/>
          <w:lang w:val="en-US" w:eastAsia="zh-CN"/>
        </w:rPr>
        <w:t>计量。</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Start w:id="1194" w:name="_Toc303539150"/>
      <w:bookmarkStart w:id="1195" w:name="_Toc296346698"/>
      <w:bookmarkStart w:id="1196" w:name="_Toc296944536"/>
      <w:bookmarkStart w:id="1197" w:name="_Toc292559907"/>
      <w:bookmarkStart w:id="1198" w:name="_Toc297216203"/>
      <w:bookmarkStart w:id="1199" w:name="_Toc296503197"/>
      <w:bookmarkStart w:id="1200" w:name="_Toc297048383"/>
      <w:bookmarkStart w:id="1201" w:name="_Toc292559402"/>
      <w:bookmarkStart w:id="1202" w:name="_Toc296891025"/>
      <w:bookmarkStart w:id="1203" w:name="_Toc297123544"/>
      <w:bookmarkStart w:id="1204" w:name="_Toc296891237"/>
      <w:bookmarkStart w:id="1205" w:name="_Toc297120497"/>
      <w:bookmarkStart w:id="1206" w:name="_Toc296347196"/>
      <w:bookmarkStart w:id="1207" w:name="_Toc300934993"/>
      <w:bookmarkStart w:id="1208" w:name="_Toc304295570"/>
      <w:bookmarkStart w:id="1209" w:name="_Toc312677503"/>
      <w:bookmarkStart w:id="1210" w:name="_Toc312678029"/>
      <w:r>
        <w:rPr>
          <w:rFonts w:hint="eastAsia" w:ascii="宋体" w:hAnsi="宋体" w:cs="宋体"/>
          <w:color w:val="000000"/>
          <w:sz w:val="22"/>
          <w:szCs w:val="22"/>
          <w:highlight w:val="none"/>
        </w:rPr>
        <w:t>0.5承</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Start w:id="1211" w:name="_Toc292559408"/>
      <w:bookmarkStart w:id="1212" w:name="_Toc296891031"/>
      <w:bookmarkStart w:id="1213" w:name="_Toc297120503"/>
      <w:bookmarkStart w:id="1214" w:name="_Toc292559913"/>
      <w:bookmarkStart w:id="1215" w:name="_Toc297123545"/>
      <w:bookmarkStart w:id="1216" w:name="_Toc296944542"/>
      <w:bookmarkStart w:id="1217" w:name="_Toc296346704"/>
      <w:bookmarkStart w:id="1218" w:name="_Toc300934994"/>
      <w:bookmarkStart w:id="1219" w:name="_Toc296891243"/>
      <w:bookmarkStart w:id="1220" w:name="_Toc303539151"/>
      <w:bookmarkStart w:id="1221" w:name="_Toc297048389"/>
      <w:bookmarkStart w:id="1222" w:name="_Toc296503203"/>
      <w:bookmarkStart w:id="1223" w:name="_Toc296347202"/>
      <w:bookmarkStart w:id="1224" w:name="_Toc297216204"/>
      <w:r>
        <w:rPr>
          <w:rFonts w:hint="eastAsia" w:ascii="宋体" w:hAnsi="宋体" w:cs="宋体"/>
          <w:color w:val="000000"/>
          <w:sz w:val="22"/>
          <w:szCs w:val="22"/>
          <w:highlight w:val="none"/>
        </w:rPr>
        <w:t>包人的合理化建议</w:t>
      </w:r>
    </w:p>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监理人审查承包人合理化建议的期限：</w:t>
      </w:r>
      <w:r>
        <w:rPr>
          <w:rFonts w:hint="eastAsia" w:ascii="宋体" w:hAnsi="宋体" w:cs="宋体"/>
          <w:sz w:val="22"/>
          <w:szCs w:val="22"/>
          <w:highlight w:val="none"/>
          <w:u w:val="single"/>
        </w:rPr>
        <w:t xml:space="preserve"> 3天 </w:t>
      </w:r>
      <w:r>
        <w:rPr>
          <w:rFonts w:hint="eastAsia" w:ascii="宋体" w:hAnsi="宋体" w:cs="宋体"/>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发包人审批承包人合理化建议的期限：</w:t>
      </w:r>
      <w:r>
        <w:rPr>
          <w:rFonts w:hint="eastAsia" w:ascii="宋体" w:hAnsi="宋体" w:cs="宋体"/>
          <w:sz w:val="22"/>
          <w:szCs w:val="22"/>
          <w:highlight w:val="none"/>
          <w:u w:val="single"/>
        </w:rPr>
        <w:t xml:space="preserve"> 3天 </w:t>
      </w:r>
      <w:r>
        <w:rPr>
          <w:rFonts w:hint="eastAsia" w:ascii="宋体" w:hAnsi="宋体" w:cs="宋体"/>
          <w:sz w:val="22"/>
          <w:szCs w:val="22"/>
          <w:highlight w:val="none"/>
        </w:rPr>
        <w:t>。</w:t>
      </w:r>
    </w:p>
    <w:p>
      <w:pPr>
        <w:spacing w:line="360" w:lineRule="auto"/>
        <w:rPr>
          <w:rFonts w:ascii="宋体" w:hAnsi="宋体" w:cs="宋体"/>
          <w:sz w:val="22"/>
          <w:szCs w:val="22"/>
          <w:highlight w:val="none"/>
          <w:u w:val="single"/>
        </w:rPr>
      </w:pPr>
      <w:r>
        <w:rPr>
          <w:rFonts w:hint="eastAsia" w:ascii="宋体" w:hAnsi="宋体" w:cs="宋体"/>
          <w:sz w:val="22"/>
          <w:szCs w:val="22"/>
          <w:highlight w:val="none"/>
        </w:rPr>
        <w:t>承</w:t>
      </w:r>
      <w:bookmarkStart w:id="1225" w:name="_Toc296347203"/>
      <w:bookmarkStart w:id="1226" w:name="_Toc296346705"/>
      <w:bookmarkStart w:id="1227" w:name="_Toc312678030"/>
      <w:bookmarkStart w:id="1228" w:name="_Toc296891032"/>
      <w:bookmarkStart w:id="1229" w:name="_Toc312677504"/>
      <w:bookmarkStart w:id="1230" w:name="_Toc304295571"/>
      <w:bookmarkStart w:id="1231" w:name="_Toc296891244"/>
      <w:bookmarkStart w:id="1232" w:name="_Toc303539152"/>
      <w:bookmarkStart w:id="1233" w:name="_Toc297123546"/>
      <w:bookmarkStart w:id="1234" w:name="_Toc300934995"/>
      <w:bookmarkStart w:id="1235" w:name="_Toc297216205"/>
      <w:bookmarkStart w:id="1236" w:name="_Toc297120504"/>
      <w:bookmarkStart w:id="1237" w:name="_Toc318581175"/>
      <w:bookmarkStart w:id="1238" w:name="_Toc296944543"/>
      <w:bookmarkStart w:id="1239" w:name="_Toc297048390"/>
      <w:bookmarkStart w:id="1240" w:name="_Toc292559914"/>
      <w:bookmarkStart w:id="1241" w:name="_Toc296503204"/>
      <w:bookmarkStart w:id="1242" w:name="_Toc292559409"/>
      <w:r>
        <w:rPr>
          <w:rFonts w:hint="eastAsia" w:ascii="宋体" w:hAnsi="宋体" w:cs="宋体"/>
          <w:sz w:val="22"/>
          <w:szCs w:val="22"/>
          <w:highlight w:val="none"/>
        </w:rPr>
        <w:t>包人提出的合理化建议降低了合同价格或者提高了工程经济效益的奖励的方法和金额为：</w:t>
      </w:r>
      <w:r>
        <w:rPr>
          <w:rFonts w:hint="eastAsia" w:ascii="宋体" w:hAnsi="宋体" w:cs="宋体"/>
          <w:sz w:val="22"/>
          <w:szCs w:val="22"/>
          <w:highlight w:val="none"/>
          <w:u w:val="none"/>
        </w:rPr>
        <w:t xml:space="preserve">  </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p>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Pr>
        <w:spacing w:after="120" w:line="360" w:lineRule="auto"/>
        <w:ind w:firstLine="440" w:firstLineChars="200"/>
        <w:rPr>
          <w:rFonts w:ascii="宋体" w:hAnsi="宋体" w:cs="宋体"/>
          <w:color w:val="000000"/>
          <w:sz w:val="22"/>
          <w:szCs w:val="22"/>
          <w:highlight w:val="none"/>
        </w:rPr>
      </w:pPr>
      <w:bookmarkStart w:id="1243" w:name="_Toc1338"/>
      <w:r>
        <w:rPr>
          <w:rFonts w:hint="eastAsia" w:ascii="宋体" w:hAnsi="宋体" w:cs="宋体"/>
          <w:color w:val="000000"/>
          <w:sz w:val="22"/>
          <w:szCs w:val="22"/>
          <w:highlight w:val="none"/>
        </w:rPr>
        <w:t>1</w:t>
      </w:r>
      <w:bookmarkStart w:id="1244" w:name="_Toc297048385"/>
      <w:bookmarkStart w:id="1245" w:name="_Toc297123548"/>
      <w:bookmarkStart w:id="1246" w:name="_Toc296347198"/>
      <w:bookmarkStart w:id="1247" w:name="_Toc296944538"/>
      <w:bookmarkStart w:id="1248" w:name="_Toc296503199"/>
      <w:bookmarkStart w:id="1249" w:name="_Toc297216207"/>
      <w:bookmarkStart w:id="1250" w:name="_Toc312678033"/>
      <w:bookmarkStart w:id="1251" w:name="_Toc292559404"/>
      <w:bookmarkStart w:id="1252" w:name="_Toc292559909"/>
      <w:bookmarkStart w:id="1253" w:name="_Toc296891239"/>
      <w:bookmarkStart w:id="1254" w:name="_Toc300934997"/>
      <w:bookmarkStart w:id="1255" w:name="_Toc296346700"/>
      <w:bookmarkStart w:id="1256" w:name="_Toc297120499"/>
      <w:bookmarkStart w:id="1257" w:name="_Toc296891027"/>
      <w:bookmarkStart w:id="1258" w:name="_Toc312677507"/>
      <w:bookmarkStart w:id="1259" w:name="_Toc304295574"/>
      <w:bookmarkStart w:id="1260" w:name="_Toc303539154"/>
      <w:r>
        <w:rPr>
          <w:rFonts w:hint="eastAsia" w:ascii="宋体" w:hAnsi="宋体" w:cs="宋体"/>
          <w:color w:val="000000"/>
          <w:sz w:val="22"/>
          <w:szCs w:val="22"/>
          <w:highlight w:val="none"/>
        </w:rPr>
        <w:t>0.7 暂估价</w:t>
      </w:r>
      <w:bookmarkEnd w:id="1243"/>
    </w:p>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Pr>
        <w:spacing w:line="360" w:lineRule="auto"/>
        <w:ind w:firstLine="440" w:firstLineChars="200"/>
        <w:rPr>
          <w:rFonts w:ascii="宋体" w:hAnsi="宋体" w:cs="宋体"/>
          <w:sz w:val="22"/>
          <w:szCs w:val="22"/>
          <w:highlight w:val="none"/>
        </w:rPr>
      </w:pPr>
      <w:bookmarkStart w:id="1261" w:name="_Toc318581176"/>
      <w:bookmarkStart w:id="1262" w:name="_Toc312677508"/>
      <w:bookmarkStart w:id="1263" w:name="_Toc312678034"/>
      <w:r>
        <w:rPr>
          <w:rFonts w:hint="eastAsia" w:ascii="宋体" w:hAnsi="宋体" w:cs="宋体"/>
          <w:color w:val="000000"/>
          <w:sz w:val="22"/>
          <w:szCs w:val="22"/>
          <w:highlight w:val="none"/>
        </w:rPr>
        <w:t>专业工程暂估价</w:t>
      </w:r>
      <w:r>
        <w:rPr>
          <w:rFonts w:hint="eastAsia" w:ascii="宋体" w:hAnsi="宋体" w:cs="宋体"/>
          <w:sz w:val="22"/>
          <w:szCs w:val="22"/>
          <w:highlight w:val="none"/>
        </w:rPr>
        <w:t>详见附件</w:t>
      </w:r>
      <w:r>
        <w:rPr>
          <w:rFonts w:hint="eastAsia" w:ascii="宋体" w:hAnsi="宋体" w:cs="宋体"/>
          <w:sz w:val="22"/>
          <w:szCs w:val="22"/>
          <w:highlight w:val="none"/>
          <w:lang w:val="en-US" w:eastAsia="zh-CN"/>
        </w:rPr>
        <w:t>7</w:t>
      </w:r>
      <w:r>
        <w:rPr>
          <w:rFonts w:hint="eastAsia" w:ascii="宋体" w:hAnsi="宋体" w:cs="宋体"/>
          <w:sz w:val="22"/>
          <w:szCs w:val="22"/>
          <w:highlight w:val="none"/>
        </w:rPr>
        <w:t>：《专业工程暂估价表</w:t>
      </w:r>
      <w:r>
        <w:rPr>
          <w:rFonts w:hint="eastAsia" w:ascii="宋体" w:hAnsi="宋体" w:cs="宋体"/>
          <w:color w:val="000000"/>
          <w:sz w:val="22"/>
          <w:szCs w:val="22"/>
          <w:highlight w:val="none"/>
        </w:rPr>
        <w:t>》</w:t>
      </w:r>
      <w:r>
        <w:rPr>
          <w:rFonts w:hint="eastAsia" w:ascii="宋体" w:hAnsi="宋体" w:cs="宋体"/>
          <w:sz w:val="22"/>
          <w:szCs w:val="22"/>
          <w:highlight w:val="none"/>
        </w:rPr>
        <w:t>。</w:t>
      </w:r>
    </w:p>
    <w:bookmarkEnd w:id="1261"/>
    <w:bookmarkEnd w:id="1262"/>
    <w:bookmarkEnd w:id="1263"/>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w:t>
      </w:r>
      <w:bookmarkStart w:id="1264" w:name="_Toc318581177"/>
      <w:bookmarkStart w:id="1265" w:name="_Toc312677509"/>
      <w:bookmarkStart w:id="1266" w:name="_Toc312678035"/>
      <w:r>
        <w:rPr>
          <w:rFonts w:hint="eastAsia" w:ascii="宋体" w:hAnsi="宋体" w:cs="宋体"/>
          <w:sz w:val="22"/>
          <w:szCs w:val="22"/>
          <w:highlight w:val="none"/>
        </w:rPr>
        <w:t>0.7.1 依法必须招标的暂估价项目</w:t>
      </w:r>
    </w:p>
    <w:bookmarkEnd w:id="1264"/>
    <w:bookmarkEnd w:id="1265"/>
    <w:bookmarkEnd w:id="1266"/>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对于依法必须招标的暂估价项目的确认和批准采取第</w:t>
      </w:r>
      <w:r>
        <w:rPr>
          <w:rFonts w:hint="eastAsia" w:ascii="宋体" w:hAnsi="宋体" w:cs="宋体"/>
          <w:sz w:val="22"/>
          <w:szCs w:val="22"/>
          <w:highlight w:val="none"/>
          <w:u w:val="single"/>
        </w:rPr>
        <w:t>1</w:t>
      </w:r>
      <w:r>
        <w:rPr>
          <w:rFonts w:hint="eastAsia" w:ascii="宋体" w:hAnsi="宋体" w:cs="宋体"/>
          <w:sz w:val="22"/>
          <w:szCs w:val="22"/>
          <w:highlight w:val="none"/>
        </w:rPr>
        <w:t>种方式确定。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第1种方式：对于依法必须招标的暂估价项目，由承包人招标，对该暂估价项目的确认和批准按照以下约定执行：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40" w:firstLineChars="200"/>
        <w:rPr>
          <w:rFonts w:ascii="宋体" w:hAnsi="宋体" w:cs="宋体"/>
          <w:sz w:val="22"/>
          <w:szCs w:val="22"/>
          <w:highlight w:val="none"/>
        </w:rPr>
      </w:pPr>
      <w:r>
        <w:rPr>
          <w:rFonts w:hint="eastAsia" w:ascii="宋体" w:hAnsi="宋体" w:cs="宋体"/>
          <w:color w:val="000000"/>
          <w:sz w:val="22"/>
          <w:szCs w:val="22"/>
          <w:highlight w:val="none"/>
        </w:rPr>
        <w:t>（2）承包人应当根据施工进度计划，提前14天将招标文件通过监理人报送发包人审批，</w:t>
      </w:r>
      <w:r>
        <w:rPr>
          <w:rFonts w:hint="eastAsia" w:ascii="宋体" w:hAnsi="宋体" w:cs="宋体"/>
          <w:sz w:val="22"/>
          <w:szCs w:val="22"/>
          <w:highlight w:val="none"/>
        </w:rPr>
        <w:t>发包人应当在收到承包人报送的相关文件后7天内完成审批或提出修改意见；发包人有权确定招标控制价并按照法律规定参加评标；</w:t>
      </w:r>
    </w:p>
    <w:p>
      <w:pPr>
        <w:spacing w:line="360" w:lineRule="auto"/>
        <w:ind w:firstLine="440"/>
        <w:rPr>
          <w:rFonts w:hint="eastAsia" w:ascii="宋体" w:hAnsi="宋体" w:cs="宋体"/>
          <w:color w:val="000000"/>
          <w:sz w:val="22"/>
          <w:szCs w:val="22"/>
          <w:highlight w:val="none"/>
        </w:rPr>
      </w:pPr>
      <w:r>
        <w:rPr>
          <w:rFonts w:hint="eastAsia" w:ascii="宋体" w:hAnsi="宋体" w:cs="宋体"/>
          <w:color w:val="000000"/>
          <w:sz w:val="22"/>
          <w:szCs w:val="22"/>
          <w:highlight w:val="none"/>
        </w:rPr>
        <w:t>（3）承包人与供应商、分包人在签订暂估价合同前，应当提前7天将确定的中标候选供应商或中标候选分包人的资料报送发包人，发包人应在收到资料后3天内与承包人共同确定</w:t>
      </w:r>
      <w:r>
        <w:rPr>
          <w:rFonts w:hint="eastAsia" w:ascii="宋体" w:hAnsi="宋体" w:cs="宋体"/>
          <w:color w:val="000000"/>
          <w:sz w:val="22"/>
          <w:szCs w:val="22"/>
          <w:highlight w:val="none"/>
          <w:lang w:eastAsia="zh-CN"/>
        </w:rPr>
        <w:t>中标供应商</w:t>
      </w:r>
      <w:r>
        <w:rPr>
          <w:rFonts w:hint="eastAsia" w:ascii="宋体" w:hAnsi="宋体" w:cs="宋体"/>
          <w:color w:val="000000"/>
          <w:sz w:val="22"/>
          <w:szCs w:val="22"/>
          <w:highlight w:val="none"/>
        </w:rPr>
        <w:t>；承包人应当在签订合同后7天内，将暂估价合同副本报送发包人留存。</w:t>
      </w:r>
    </w:p>
    <w:p>
      <w:pPr>
        <w:pStyle w:val="29"/>
        <w:ind w:firstLine="440"/>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（4）承包人招标费用计入工程总报价内。</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10.7.2 不属于依法必须招标的暂估价项目</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对于不属于依法必须招标的暂估价项目的确认和批准采取第</w:t>
      </w:r>
      <w:r>
        <w:rPr>
          <w:rFonts w:hint="eastAsia" w:ascii="宋体" w:hAnsi="宋体" w:cs="宋体"/>
          <w:sz w:val="22"/>
          <w:szCs w:val="22"/>
          <w:highlight w:val="none"/>
          <w:u w:val="single"/>
        </w:rPr>
        <w:t>1</w:t>
      </w:r>
      <w:r>
        <w:rPr>
          <w:rFonts w:hint="eastAsia" w:ascii="宋体" w:hAnsi="宋体" w:cs="宋体"/>
          <w:sz w:val="22"/>
          <w:szCs w:val="22"/>
          <w:highlight w:val="none"/>
        </w:rPr>
        <w:t>种方式确定。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第1种方式：对于不属于依法必须招标的暂估价项目，按本项约定确认和批准：</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（2）发包人认为承包人确定的供应商、分包人无法满足工程质量或合同要求的，发包人可以要求承包人重新确定暂估价项目的供应商、分包人;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（3）承包人应当在签订暂估价合同后7天内，将暂估价合同副本报送发包人留存。</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承包人直接实施的暂估价项目的约定：</w:t>
      </w:r>
      <w:r>
        <w:rPr>
          <w:rFonts w:hint="eastAsia" w:ascii="宋体" w:hAnsi="宋体" w:cs="宋体"/>
          <w:sz w:val="22"/>
          <w:szCs w:val="22"/>
          <w:highlight w:val="none"/>
          <w:u w:val="single"/>
        </w:rPr>
        <w:t xml:space="preserve">      /     </w:t>
      </w:r>
      <w:r>
        <w:rPr>
          <w:rFonts w:hint="eastAsia" w:ascii="宋体" w:hAnsi="宋体" w:cs="宋体"/>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10.8 暂列金额</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合同当事人关于暂列金额使用的约定</w:t>
      </w:r>
      <w:r>
        <w:rPr>
          <w:rFonts w:hint="eastAsia" w:ascii="宋体" w:hAnsi="宋体" w:cs="宋体"/>
          <w:color w:val="000000"/>
          <w:sz w:val="21"/>
          <w:szCs w:val="21"/>
          <w:highlight w:val="none"/>
        </w:rPr>
        <w:t>：</w:t>
      </w:r>
      <w:r>
        <w:rPr>
          <w:rFonts w:hint="eastAsia" w:ascii="宋体" w:hAnsi="宋体" w:cs="宋体"/>
          <w:sz w:val="22"/>
          <w:szCs w:val="22"/>
          <w:highlight w:val="none"/>
          <w:u w:val="single"/>
        </w:rPr>
        <w:t>暂列金额是发包人为工程实施过程中的不可预见的变更或零星签证等所设，归发包人所有。承包人投标报价时按发包人给定的数值计入，工程结算时按实调整，剩余部分仍归发包人所有</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bookmarkStart w:id="1267" w:name="_Toc351203643"/>
      <w:r>
        <w:rPr>
          <w:rFonts w:hint="eastAsia" w:ascii="宋体" w:hAnsi="宋体" w:cs="宋体"/>
          <w:color w:val="000000"/>
          <w:sz w:val="22"/>
          <w:szCs w:val="22"/>
          <w:highlight w:val="none"/>
        </w:rPr>
        <w:t>11. 价格调整</w:t>
      </w:r>
      <w:bookmarkEnd w:id="1267"/>
    </w:p>
    <w:p>
      <w:pPr>
        <w:spacing w:after="120" w:line="360" w:lineRule="auto"/>
        <w:ind w:firstLine="440" w:firstLineChars="200"/>
        <w:rPr>
          <w:rFonts w:ascii="宋体" w:hAnsi="宋体" w:cs="宋体"/>
          <w:color w:val="000000"/>
          <w:sz w:val="22"/>
          <w:szCs w:val="22"/>
          <w:highlight w:val="none"/>
        </w:rPr>
      </w:pPr>
      <w:bookmarkStart w:id="1268" w:name="_Toc300935000"/>
      <w:bookmarkStart w:id="1269" w:name="_Toc292559406"/>
      <w:bookmarkStart w:id="1270" w:name="_Toc297123550"/>
      <w:bookmarkStart w:id="1271" w:name="_Toc297048387"/>
      <w:bookmarkStart w:id="1272" w:name="_Toc296347200"/>
      <w:bookmarkStart w:id="1273" w:name="_Toc292559911"/>
      <w:bookmarkStart w:id="1274" w:name="_Toc296503201"/>
      <w:bookmarkStart w:id="1275" w:name="_Toc297216209"/>
      <w:bookmarkStart w:id="1276" w:name="_Toc296891029"/>
      <w:bookmarkStart w:id="1277" w:name="_Toc296944540"/>
      <w:bookmarkStart w:id="1278" w:name="_Toc296346702"/>
      <w:bookmarkStart w:id="1279" w:name="_Toc312678039"/>
      <w:bookmarkStart w:id="1280" w:name="_Toc304295577"/>
      <w:bookmarkStart w:id="1281" w:name="_Toc303539157"/>
      <w:bookmarkStart w:id="1282" w:name="_Toc296891241"/>
      <w:bookmarkStart w:id="1283" w:name="_Toc297120501"/>
      <w:r>
        <w:rPr>
          <w:rFonts w:hint="eastAsia" w:ascii="宋体" w:hAnsi="宋体" w:cs="宋体"/>
          <w:color w:val="000000"/>
          <w:sz w:val="22"/>
          <w:szCs w:val="22"/>
          <w:highlight w:val="none"/>
        </w:rPr>
        <w:t>11.1 市场价格波动引起的调整</w:t>
      </w:r>
    </w:p>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市场价格波动是否调整合同价格的约定：</w:t>
      </w:r>
      <w:r>
        <w:rPr>
          <w:rFonts w:hint="eastAsia" w:ascii="宋体" w:hAnsi="宋体" w:cs="宋体"/>
          <w:sz w:val="22"/>
          <w:szCs w:val="22"/>
          <w:highlight w:val="none"/>
          <w:u w:val="single"/>
        </w:rPr>
        <w:t xml:space="preserve"> 是</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因市场价格波动调整合同价格，采用以下</w:t>
      </w:r>
      <w:r>
        <w:rPr>
          <w:rFonts w:hint="eastAsia" w:ascii="宋体" w:hAnsi="宋体" w:cs="宋体"/>
          <w:sz w:val="22"/>
          <w:szCs w:val="22"/>
          <w:highlight w:val="none"/>
        </w:rPr>
        <w:t>第</w:t>
      </w:r>
      <w:r>
        <w:rPr>
          <w:rFonts w:hint="eastAsia" w:ascii="宋体" w:hAnsi="宋体" w:cs="宋体"/>
          <w:sz w:val="22"/>
          <w:szCs w:val="22"/>
          <w:highlight w:val="none"/>
          <w:u w:val="single"/>
        </w:rPr>
        <w:t xml:space="preserve"> 2  </w:t>
      </w:r>
      <w:r>
        <w:rPr>
          <w:rFonts w:hint="eastAsia" w:ascii="宋体" w:hAnsi="宋体" w:cs="宋体"/>
          <w:color w:val="000000"/>
          <w:sz w:val="22"/>
          <w:szCs w:val="22"/>
          <w:highlight w:val="none"/>
        </w:rPr>
        <w:t>种方式对合同价格进行调整：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第1种方式：采用价格指数进行价格调整。</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关于各可调因子、定值和变值权重，以及基本价格指数及其来源的约定：</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 xml:space="preserve">；  </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第2种方式：采用造价信息进行价格调整。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（2）关于基准价格的约定：</w:t>
      </w:r>
      <w:r>
        <w:rPr>
          <w:rFonts w:hint="eastAsia" w:ascii="宋体" w:hAnsi="宋体" w:cs="宋体"/>
          <w:sz w:val="22"/>
          <w:szCs w:val="22"/>
          <w:highlight w:val="none"/>
          <w:u w:val="single"/>
        </w:rPr>
        <w:t xml:space="preserve"> 以投标截止日前28天陕西省的工程造价机构发布的对应期造价信息为准，依据陕西省工程造价机构发布的规定计算 </w:t>
      </w:r>
      <w:r>
        <w:rPr>
          <w:rFonts w:hint="eastAsia" w:ascii="宋体" w:hAnsi="宋体" w:cs="宋体"/>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sz w:val="22"/>
          <w:szCs w:val="22"/>
          <w:highlight w:val="none"/>
          <w:u w:val="single"/>
        </w:rPr>
        <w:t xml:space="preserve"> 5 </w:t>
      </w:r>
      <w:r>
        <w:rPr>
          <w:rFonts w:hint="eastAsia" w:ascii="宋体" w:hAnsi="宋体" w:cs="宋体"/>
          <w:color w:val="000000"/>
          <w:sz w:val="22"/>
          <w:szCs w:val="22"/>
          <w:highlight w:val="none"/>
        </w:rPr>
        <w:t>%时，或材料单价跌幅以已标价工程量清单或预算书中载明材料单价为基础超过</w:t>
      </w:r>
      <w:r>
        <w:rPr>
          <w:rFonts w:hint="eastAsia" w:ascii="宋体" w:hAnsi="宋体" w:cs="宋体"/>
          <w:color w:val="000000"/>
          <w:sz w:val="22"/>
          <w:szCs w:val="22"/>
          <w:highlight w:val="none"/>
          <w:u w:val="single"/>
        </w:rPr>
        <w:t xml:space="preserve"> 5 </w:t>
      </w:r>
      <w:r>
        <w:rPr>
          <w:rFonts w:hint="eastAsia" w:ascii="宋体" w:hAnsi="宋体" w:cs="宋体"/>
          <w:color w:val="000000"/>
          <w:sz w:val="22"/>
          <w:szCs w:val="22"/>
          <w:highlight w:val="none"/>
        </w:rPr>
        <w:t>%时，其超过部分据实调整。</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000000"/>
          <w:sz w:val="22"/>
          <w:szCs w:val="22"/>
          <w:highlight w:val="none"/>
          <w:u w:val="single"/>
        </w:rPr>
        <w:t xml:space="preserve"> 5 </w:t>
      </w:r>
      <w:r>
        <w:rPr>
          <w:rFonts w:hint="eastAsia" w:ascii="宋体" w:hAnsi="宋体" w:cs="宋体"/>
          <w:color w:val="000000"/>
          <w:sz w:val="22"/>
          <w:szCs w:val="22"/>
          <w:highlight w:val="none"/>
        </w:rPr>
        <w:t>%时，材料单价涨幅以已标价工程量清单或预算书中载明材料单价为基础超过</w:t>
      </w:r>
      <w:r>
        <w:rPr>
          <w:rFonts w:hint="eastAsia" w:ascii="宋体" w:hAnsi="宋体" w:cs="宋体"/>
          <w:color w:val="000000"/>
          <w:sz w:val="22"/>
          <w:szCs w:val="22"/>
          <w:highlight w:val="none"/>
          <w:u w:val="single"/>
        </w:rPr>
        <w:t xml:space="preserve"> 5 </w:t>
      </w:r>
      <w:r>
        <w:rPr>
          <w:rFonts w:hint="eastAsia" w:ascii="宋体" w:hAnsi="宋体" w:cs="宋体"/>
          <w:color w:val="000000"/>
          <w:sz w:val="22"/>
          <w:szCs w:val="22"/>
          <w:highlight w:val="none"/>
        </w:rPr>
        <w:t>%时，其超过部分据实调整。</w:t>
      </w:r>
    </w:p>
    <w:p>
      <w:pPr>
        <w:spacing w:line="360" w:lineRule="auto"/>
        <w:ind w:firstLine="645"/>
        <w:rPr>
          <w:rFonts w:ascii="宋体" w:hAnsi="宋体" w:cs="宋体"/>
          <w:color w:val="000000"/>
          <w:sz w:val="22"/>
          <w:szCs w:val="22"/>
          <w:highlight w:val="none"/>
        </w:rPr>
      </w:pPr>
      <w:r>
        <w:rPr>
          <w:rFonts w:hint="eastAsia" w:ascii="宋体" w:hAnsi="宋体" w:cs="宋体"/>
          <w:color w:val="000000"/>
          <w:sz w:val="22"/>
          <w:szCs w:val="22"/>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sz w:val="22"/>
          <w:szCs w:val="22"/>
          <w:highlight w:val="none"/>
          <w:u w:val="single"/>
        </w:rPr>
        <w:t>± 5 %</w:t>
      </w:r>
      <w:r>
        <w:rPr>
          <w:rFonts w:hint="eastAsia" w:ascii="宋体" w:hAnsi="宋体" w:cs="宋体"/>
          <w:color w:val="000000"/>
          <w:sz w:val="22"/>
          <w:szCs w:val="22"/>
          <w:highlight w:val="none"/>
          <w:u w:val="none"/>
        </w:rPr>
        <w:t>时</w:t>
      </w:r>
      <w:r>
        <w:rPr>
          <w:rFonts w:hint="eastAsia" w:ascii="宋体" w:hAnsi="宋体" w:cs="宋体"/>
          <w:color w:val="000000"/>
          <w:sz w:val="22"/>
          <w:szCs w:val="22"/>
          <w:highlight w:val="none"/>
        </w:rPr>
        <w:t>，其超过部分据实调整。</w:t>
      </w:r>
    </w:p>
    <w:p>
      <w:pPr>
        <w:spacing w:line="360" w:lineRule="auto"/>
        <w:ind w:firstLine="645"/>
        <w:rPr>
          <w:rFonts w:ascii="宋体" w:hAnsi="宋体" w:cs="宋体"/>
          <w:color w:val="000000"/>
          <w:sz w:val="22"/>
          <w:szCs w:val="22"/>
          <w:highlight w:val="none"/>
          <w:u w:val="single"/>
        </w:rPr>
      </w:pPr>
      <w:r>
        <w:rPr>
          <w:rFonts w:hint="eastAsia" w:ascii="宋体" w:hAnsi="宋体" w:cs="宋体"/>
          <w:color w:val="000000"/>
          <w:sz w:val="22"/>
          <w:szCs w:val="22"/>
          <w:highlight w:val="none"/>
        </w:rPr>
        <w:t>第3种方式：其他价格调整方式：</w:t>
      </w:r>
      <w:r>
        <w:rPr>
          <w:rFonts w:hint="eastAsia" w:ascii="宋体" w:hAnsi="宋体" w:cs="宋体"/>
          <w:color w:val="000000"/>
          <w:sz w:val="22"/>
          <w:szCs w:val="22"/>
          <w:highlight w:val="none"/>
          <w:u w:val="single"/>
        </w:rPr>
        <w:t xml:space="preserve">       /          </w:t>
      </w:r>
    </w:p>
    <w:bookmarkEnd w:id="1169"/>
    <w:bookmarkEnd w:id="1170"/>
    <w:bookmarkEnd w:id="1171"/>
    <w:bookmarkEnd w:id="1172"/>
    <w:bookmarkEnd w:id="1173"/>
    <w:bookmarkEnd w:id="1174"/>
    <w:p>
      <w:pPr>
        <w:spacing w:before="120" w:after="120" w:line="360" w:lineRule="auto"/>
        <w:rPr>
          <w:rFonts w:ascii="宋体" w:hAnsi="宋体" w:cs="宋体"/>
          <w:color w:val="000000"/>
          <w:sz w:val="22"/>
          <w:szCs w:val="22"/>
          <w:highlight w:val="none"/>
        </w:rPr>
      </w:pPr>
      <w:bookmarkStart w:id="1284" w:name="_Toc296346706"/>
      <w:bookmarkStart w:id="1285" w:name="_Toc296503205"/>
      <w:bookmarkStart w:id="1286" w:name="_Toc296944544"/>
      <w:bookmarkStart w:id="1287" w:name="_Toc296891033"/>
      <w:bookmarkStart w:id="1288" w:name="_Toc296891245"/>
      <w:bookmarkStart w:id="1289" w:name="_Toc296347204"/>
      <w:bookmarkStart w:id="1290" w:name="_Toc297120505"/>
      <w:bookmarkStart w:id="1291" w:name="_Toc292559915"/>
      <w:bookmarkStart w:id="1292" w:name="_Toc292559410"/>
      <w:bookmarkStart w:id="1293" w:name="_Toc297048391"/>
      <w:bookmarkStart w:id="1294" w:name="_Toc351203644"/>
      <w:bookmarkStart w:id="1295" w:name="_Toc303539159"/>
      <w:bookmarkStart w:id="1296" w:name="_Toc300935002"/>
      <w:bookmarkStart w:id="1297" w:name="_Toc304295579"/>
      <w:bookmarkStart w:id="1298" w:name="_Toc297216211"/>
      <w:bookmarkStart w:id="1299" w:name="_Toc312678040"/>
      <w:bookmarkStart w:id="1300" w:name="_Toc297123552"/>
      <w:r>
        <w:rPr>
          <w:rFonts w:hint="eastAsia" w:ascii="宋体" w:hAnsi="宋体" w:cs="宋体"/>
          <w:color w:val="000000"/>
          <w:sz w:val="22"/>
          <w:szCs w:val="22"/>
          <w:highlight w:val="none"/>
        </w:rPr>
        <w:t xml:space="preserve">12. </w:t>
      </w:r>
      <w:bookmarkEnd w:id="1284"/>
      <w:bookmarkEnd w:id="1285"/>
      <w:bookmarkEnd w:id="1286"/>
      <w:bookmarkEnd w:id="1287"/>
      <w:bookmarkEnd w:id="1288"/>
      <w:bookmarkEnd w:id="1289"/>
      <w:bookmarkEnd w:id="1290"/>
      <w:bookmarkEnd w:id="1291"/>
      <w:bookmarkEnd w:id="1292"/>
      <w:bookmarkEnd w:id="1293"/>
      <w:r>
        <w:rPr>
          <w:rFonts w:hint="eastAsia" w:ascii="宋体" w:hAnsi="宋体" w:cs="宋体"/>
          <w:color w:val="000000"/>
          <w:sz w:val="22"/>
          <w:szCs w:val="22"/>
          <w:highlight w:val="none"/>
        </w:rPr>
        <w:t>合同价格、计量与支付</w:t>
      </w:r>
      <w:bookmarkEnd w:id="1294"/>
    </w:p>
    <w:bookmarkEnd w:id="1295"/>
    <w:bookmarkEnd w:id="1296"/>
    <w:bookmarkEnd w:id="1297"/>
    <w:bookmarkEnd w:id="1298"/>
    <w:bookmarkEnd w:id="1299"/>
    <w:bookmarkEnd w:id="1300"/>
    <w:p>
      <w:pPr>
        <w:spacing w:after="120" w:line="360" w:lineRule="auto"/>
        <w:ind w:firstLine="440" w:firstLineChars="200"/>
        <w:rPr>
          <w:rFonts w:ascii="宋体" w:hAnsi="宋体" w:cs="宋体"/>
          <w:color w:val="000000"/>
          <w:sz w:val="22"/>
          <w:szCs w:val="22"/>
          <w:highlight w:val="none"/>
        </w:rPr>
      </w:pPr>
      <w:bookmarkStart w:id="1301" w:name="_Toc267251461"/>
      <w:bookmarkStart w:id="1302" w:name="_Toc292559411"/>
      <w:bookmarkStart w:id="1303" w:name="_Toc292559916"/>
      <w:bookmarkStart w:id="1304" w:name="_Toc296347205"/>
      <w:bookmarkStart w:id="1305" w:name="_Toc297120506"/>
      <w:bookmarkStart w:id="1306" w:name="_Toc296891034"/>
      <w:bookmarkStart w:id="1307" w:name="_Toc296503206"/>
      <w:bookmarkStart w:id="1308" w:name="_Toc296944545"/>
      <w:bookmarkStart w:id="1309" w:name="_Toc296891246"/>
      <w:bookmarkStart w:id="1310" w:name="_Toc296346707"/>
      <w:bookmarkStart w:id="1311" w:name="_Toc297048392"/>
      <w:bookmarkStart w:id="1312" w:name="_Toc312678041"/>
      <w:bookmarkStart w:id="1313" w:name="_Toc297216212"/>
      <w:bookmarkStart w:id="1314" w:name="_Toc300935003"/>
      <w:bookmarkStart w:id="1315" w:name="_Toc303539160"/>
      <w:bookmarkStart w:id="1316" w:name="_Toc304295580"/>
      <w:bookmarkStart w:id="1317" w:name="_Toc297123553"/>
      <w:r>
        <w:rPr>
          <w:rFonts w:hint="eastAsia" w:ascii="宋体" w:hAnsi="宋体" w:cs="宋体"/>
          <w:color w:val="000000"/>
          <w:sz w:val="22"/>
          <w:szCs w:val="22"/>
          <w:highlight w:val="none"/>
        </w:rPr>
        <w:t>12.1 合</w:t>
      </w:r>
      <w:bookmarkEnd w:id="1301"/>
      <w:bookmarkEnd w:id="1302"/>
      <w:bookmarkEnd w:id="1303"/>
      <w:r>
        <w:rPr>
          <w:rFonts w:hint="eastAsia" w:ascii="宋体" w:hAnsi="宋体" w:cs="宋体"/>
          <w:color w:val="000000"/>
          <w:sz w:val="22"/>
          <w:szCs w:val="22"/>
          <w:highlight w:val="none"/>
        </w:rPr>
        <w:t>同价</w:t>
      </w:r>
      <w:bookmarkEnd w:id="1304"/>
      <w:bookmarkEnd w:id="1305"/>
      <w:bookmarkEnd w:id="1306"/>
      <w:bookmarkEnd w:id="1307"/>
      <w:bookmarkEnd w:id="1308"/>
      <w:bookmarkEnd w:id="1309"/>
      <w:bookmarkEnd w:id="1310"/>
      <w:bookmarkEnd w:id="1311"/>
      <w:r>
        <w:rPr>
          <w:rFonts w:hint="eastAsia" w:ascii="宋体" w:hAnsi="宋体" w:cs="宋体"/>
          <w:color w:val="000000"/>
          <w:sz w:val="22"/>
          <w:szCs w:val="22"/>
          <w:highlight w:val="none"/>
        </w:rPr>
        <w:t>格形式</w:t>
      </w:r>
    </w:p>
    <w:bookmarkEnd w:id="1312"/>
    <w:bookmarkEnd w:id="1313"/>
    <w:bookmarkEnd w:id="1314"/>
    <w:bookmarkEnd w:id="1315"/>
    <w:bookmarkEnd w:id="1316"/>
    <w:bookmarkEnd w:id="1317"/>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1、单价合同。</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综合单价包含的风险范围：</w:t>
      </w:r>
      <w:r>
        <w:rPr>
          <w:rFonts w:hint="eastAsia" w:ascii="宋体" w:hAnsi="宋体" w:cs="宋体"/>
          <w:color w:val="000000"/>
          <w:sz w:val="22"/>
          <w:szCs w:val="22"/>
          <w:highlight w:val="none"/>
          <w:u w:val="single"/>
        </w:rPr>
        <w:t>除不可抗力以外的所有风险</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风险费用的计算方法</w:t>
      </w:r>
      <w:r>
        <w:rPr>
          <w:rFonts w:hint="eastAsia" w:ascii="宋体" w:hAnsi="宋体" w:cs="宋体"/>
          <w:color w:val="000000"/>
          <w:sz w:val="21"/>
          <w:szCs w:val="21"/>
          <w:highlight w:val="none"/>
        </w:rPr>
        <w:t>：</w:t>
      </w:r>
      <w:r>
        <w:rPr>
          <w:rFonts w:hint="eastAsia" w:ascii="宋体" w:hAnsi="宋体" w:cs="宋体"/>
          <w:color w:val="000000"/>
          <w:sz w:val="22"/>
          <w:szCs w:val="22"/>
          <w:highlight w:val="none"/>
          <w:u w:val="single"/>
        </w:rPr>
        <w:t xml:space="preserve">风险费用已由承包人根据其自身经验作了充分估计并已计入合同价款中，结算时不予调整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风险范围以外合同价格的调整方法</w:t>
      </w:r>
      <w:r>
        <w:rPr>
          <w:rFonts w:hint="eastAsia" w:ascii="宋体" w:hAnsi="宋体" w:cs="宋体"/>
          <w:color w:val="000000"/>
          <w:sz w:val="21"/>
          <w:szCs w:val="21"/>
          <w:highlight w:val="none"/>
        </w:rPr>
        <w:t>：</w:t>
      </w:r>
      <w:r>
        <w:rPr>
          <w:rFonts w:hint="eastAsia" w:ascii="宋体" w:hAnsi="宋体" w:cs="宋体"/>
          <w:color w:val="000000"/>
          <w:sz w:val="22"/>
          <w:szCs w:val="22"/>
          <w:highlight w:val="none"/>
          <w:u w:val="single"/>
        </w:rPr>
        <w:t>按照招标文件、答疑纪要、设计变更、现场签证、洽商文件、发包人认质认价单及承包人中标综合单价、合同补充条款约定进行调整</w:t>
      </w:r>
      <w:r>
        <w:rPr>
          <w:rFonts w:hint="eastAsia" w:ascii="宋体" w:hAnsi="宋体" w:cs="宋体"/>
          <w:color w:val="000000"/>
          <w:sz w:val="22"/>
          <w:szCs w:val="22"/>
          <w:highlight w:val="none"/>
          <w:u w:val="none"/>
        </w:rPr>
        <w:t>。</w:t>
      </w:r>
    </w:p>
    <w:p>
      <w:pPr>
        <w:spacing w:after="120" w:line="360" w:lineRule="auto"/>
        <w:ind w:firstLine="440" w:firstLineChars="200"/>
        <w:rPr>
          <w:rFonts w:ascii="宋体" w:hAnsi="宋体" w:cs="宋体"/>
          <w:color w:val="000000"/>
          <w:sz w:val="22"/>
          <w:szCs w:val="22"/>
          <w:highlight w:val="none"/>
        </w:rPr>
      </w:pPr>
      <w:bookmarkStart w:id="1318" w:name="_Toc297123554"/>
      <w:bookmarkStart w:id="1319" w:name="_Toc303539161"/>
      <w:bookmarkStart w:id="1320" w:name="_Toc297216213"/>
      <w:bookmarkStart w:id="1321" w:name="_Toc312678042"/>
      <w:bookmarkStart w:id="1322" w:name="_Toc304295581"/>
      <w:bookmarkStart w:id="1323" w:name="_Toc300935004"/>
      <w:bookmarkStart w:id="1324" w:name="_Toc296347206"/>
      <w:bookmarkStart w:id="1325" w:name="_Toc296891035"/>
      <w:bookmarkStart w:id="1326" w:name="_Toc296503207"/>
      <w:bookmarkStart w:id="1327" w:name="_Toc296346708"/>
      <w:bookmarkStart w:id="1328" w:name="_Toc292559412"/>
      <w:bookmarkStart w:id="1329" w:name="_Toc296944546"/>
      <w:bookmarkStart w:id="1330" w:name="_Toc292559917"/>
      <w:bookmarkStart w:id="1331" w:name="_Toc297048393"/>
      <w:bookmarkStart w:id="1332" w:name="_Toc296891247"/>
      <w:bookmarkStart w:id="1333" w:name="_Toc297120507"/>
      <w:r>
        <w:rPr>
          <w:rFonts w:hint="eastAsia" w:ascii="宋体" w:hAnsi="宋体" w:cs="宋体"/>
          <w:color w:val="000000"/>
          <w:sz w:val="22"/>
          <w:szCs w:val="22"/>
          <w:highlight w:val="none"/>
        </w:rPr>
        <w:t>12.2 预付款</w:t>
      </w:r>
    </w:p>
    <w:bookmarkEnd w:id="1318"/>
    <w:bookmarkEnd w:id="1319"/>
    <w:bookmarkEnd w:id="1320"/>
    <w:bookmarkEnd w:id="1321"/>
    <w:bookmarkEnd w:id="1322"/>
    <w:bookmarkEnd w:id="1323"/>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12.2.1 预付款的支付</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预付款支付比例或金额：</w:t>
      </w:r>
      <w:r>
        <w:rPr>
          <w:rFonts w:hint="eastAsia" w:ascii="宋体" w:hAnsi="宋体" w:cs="宋体"/>
          <w:color w:val="000000"/>
          <w:sz w:val="22"/>
          <w:szCs w:val="22"/>
          <w:highlight w:val="none"/>
          <w:u w:val="single"/>
          <w:lang w:val="en-US" w:eastAsia="zh-CN"/>
        </w:rPr>
        <w:t>支付</w:t>
      </w:r>
      <w:r>
        <w:rPr>
          <w:rFonts w:hint="eastAsia" w:ascii="宋体" w:hAnsi="宋体" w:cs="宋体"/>
          <w:color w:val="000000"/>
          <w:sz w:val="22"/>
          <w:szCs w:val="22"/>
          <w:highlight w:val="none"/>
          <w:u w:val="single"/>
        </w:rPr>
        <w:t>合同价（</w:t>
      </w:r>
      <w:r>
        <w:rPr>
          <w:rFonts w:hint="eastAsia" w:ascii="宋体" w:hAnsi="宋体" w:cs="宋体"/>
          <w:color w:val="000000"/>
          <w:sz w:val="22"/>
          <w:szCs w:val="22"/>
          <w:highlight w:val="none"/>
          <w:u w:val="single"/>
          <w:lang w:val="en-US" w:eastAsia="zh-CN"/>
        </w:rPr>
        <w:t>不含暂列金额（预留金）、以暂列金为基数计算的其他一切费用、安全文明施工费措施费</w:t>
      </w:r>
      <w:r>
        <w:rPr>
          <w:rFonts w:hint="eastAsia" w:ascii="宋体" w:hAnsi="宋体" w:cs="宋体"/>
          <w:color w:val="000000"/>
          <w:sz w:val="22"/>
          <w:szCs w:val="22"/>
          <w:highlight w:val="none"/>
          <w:u w:val="single"/>
        </w:rPr>
        <w:t>）</w:t>
      </w:r>
      <w:r>
        <w:rPr>
          <w:rFonts w:hint="eastAsia" w:ascii="宋体" w:hAnsi="宋体" w:cs="宋体"/>
          <w:color w:val="000000"/>
          <w:sz w:val="22"/>
          <w:szCs w:val="22"/>
          <w:highlight w:val="none"/>
          <w:u w:val="single"/>
          <w:lang w:val="en-US" w:eastAsia="zh-CN"/>
        </w:rPr>
        <w:t>30%作为预付款，并一次性足额支付安全文明施工费</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预付款支付期限：</w:t>
      </w:r>
      <w:r>
        <w:rPr>
          <w:rFonts w:hint="eastAsia" w:ascii="宋体" w:hAnsi="宋体" w:cs="宋体"/>
          <w:color w:val="000000"/>
          <w:sz w:val="22"/>
          <w:szCs w:val="22"/>
          <w:highlight w:val="none"/>
          <w:u w:val="single"/>
          <w:lang w:val="en-US" w:eastAsia="zh-CN"/>
        </w:rPr>
        <w:t>合同签订且承包人向发包人提交预付款银行保函</w:t>
      </w:r>
      <w:r>
        <w:rPr>
          <w:rFonts w:hint="eastAsia" w:ascii="宋体" w:hAnsi="宋体" w:cs="宋体"/>
          <w:color w:val="000000"/>
          <w:sz w:val="24"/>
          <w:szCs w:val="24"/>
          <w:highlight w:val="none"/>
          <w:u w:val="single"/>
        </w:rPr>
        <w:t xml:space="preserve"> </w:t>
      </w:r>
      <w:r>
        <w:rPr>
          <w:rFonts w:hint="eastAsia" w:ascii="宋体" w:hAnsi="宋体" w:cs="宋体"/>
          <w:color w:val="000000"/>
          <w:sz w:val="22"/>
          <w:szCs w:val="22"/>
          <w:highlight w:val="none"/>
        </w:rPr>
        <w:t>。</w:t>
      </w:r>
    </w:p>
    <w:p>
      <w:pPr>
        <w:spacing w:line="360" w:lineRule="auto"/>
        <w:ind w:firstLine="440" w:firstLineChars="200"/>
        <w:rPr>
          <w:rFonts w:hint="eastAsia" w:ascii="宋体" w:hAnsi="宋体" w:cs="宋体"/>
          <w:color w:val="000000"/>
          <w:sz w:val="22"/>
          <w:szCs w:val="22"/>
          <w:highlight w:val="none"/>
          <w:u w:val="single"/>
          <w:lang w:val="en-US" w:eastAsia="zh-CN"/>
        </w:rPr>
      </w:pPr>
      <w:r>
        <w:rPr>
          <w:rFonts w:hint="eastAsia" w:ascii="宋体" w:hAnsi="宋体" w:cs="宋体"/>
          <w:color w:val="000000"/>
          <w:sz w:val="22"/>
          <w:szCs w:val="22"/>
          <w:highlight w:val="none"/>
        </w:rPr>
        <w:t>预付款扣回的方式：</w:t>
      </w:r>
      <w:r>
        <w:rPr>
          <w:rFonts w:hint="eastAsia" w:ascii="宋体" w:hAnsi="宋体" w:cs="宋体"/>
          <w:color w:val="000000"/>
          <w:sz w:val="22"/>
          <w:szCs w:val="22"/>
          <w:highlight w:val="none"/>
          <w:u w:val="single"/>
          <w:lang w:val="en-US" w:eastAsia="zh-CN"/>
        </w:rPr>
        <w:t>分两次等额扣回（不包含安全文明施工费）。</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12.2.2 预付款担保</w:t>
      </w:r>
    </w:p>
    <w:p>
      <w:pPr>
        <w:spacing w:line="360" w:lineRule="auto"/>
        <w:ind w:firstLine="440" w:firstLineChars="200"/>
        <w:rPr>
          <w:rFonts w:ascii="宋体" w:hAnsi="宋体" w:cs="宋体"/>
          <w:color w:val="000000"/>
          <w:sz w:val="24"/>
          <w:szCs w:val="24"/>
          <w:highlight w:val="none"/>
        </w:rPr>
      </w:pPr>
      <w:r>
        <w:rPr>
          <w:rFonts w:hint="eastAsia" w:ascii="宋体" w:hAnsi="宋体" w:cs="宋体"/>
          <w:color w:val="000000"/>
          <w:sz w:val="22"/>
          <w:szCs w:val="22"/>
          <w:highlight w:val="none"/>
        </w:rPr>
        <w:t>承包人提交预付款担保的期限</w:t>
      </w:r>
      <w:r>
        <w:rPr>
          <w:rFonts w:hint="eastAsia" w:ascii="宋体" w:hAnsi="宋体" w:cs="宋体"/>
          <w:color w:val="000000"/>
          <w:sz w:val="21"/>
          <w:szCs w:val="21"/>
          <w:highlight w:val="none"/>
        </w:rPr>
        <w:t>：</w:t>
      </w:r>
      <w:r>
        <w:rPr>
          <w:rFonts w:hint="eastAsia" w:ascii="宋体" w:hAnsi="宋体" w:cs="宋体"/>
          <w:color w:val="000000"/>
          <w:sz w:val="21"/>
          <w:szCs w:val="21"/>
          <w:highlight w:val="none"/>
          <w:u w:val="single"/>
        </w:rPr>
        <w:t xml:space="preserve"> </w:t>
      </w:r>
      <w:r>
        <w:rPr>
          <w:rFonts w:hint="eastAsia" w:ascii="宋体" w:hAnsi="宋体" w:cs="宋体"/>
          <w:color w:val="000000"/>
          <w:sz w:val="22"/>
          <w:szCs w:val="22"/>
          <w:highlight w:val="none"/>
          <w:u w:val="single"/>
          <w:lang w:val="en-US" w:eastAsia="zh-CN"/>
        </w:rPr>
        <w:t>自项目正式开工至项目竣工综合验收合格且双方最终结算完毕</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预付款担保的形式为：</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银行保函</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w:t>
      </w:r>
    </w:p>
    <w:bookmarkEnd w:id="1324"/>
    <w:bookmarkEnd w:id="1325"/>
    <w:bookmarkEnd w:id="1326"/>
    <w:bookmarkEnd w:id="1327"/>
    <w:bookmarkEnd w:id="1328"/>
    <w:bookmarkEnd w:id="1329"/>
    <w:bookmarkEnd w:id="1330"/>
    <w:bookmarkEnd w:id="1331"/>
    <w:bookmarkEnd w:id="1332"/>
    <w:bookmarkEnd w:id="1333"/>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 计量</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12.3.1 计量原则</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工程量计算规则：</w:t>
      </w:r>
      <w:r>
        <w:rPr>
          <w:rFonts w:hint="eastAsia" w:ascii="宋体" w:hAnsi="宋体" w:cs="宋体"/>
          <w:color w:val="000000"/>
          <w:sz w:val="22"/>
          <w:szCs w:val="22"/>
          <w:highlight w:val="none"/>
          <w:u w:val="single"/>
        </w:rPr>
        <w:t xml:space="preserve"> 依据《陕西省建设工程量清单计价规则》（2009）及相关规定</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12.3.2 计量周期</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关于计量周期的约定</w:t>
      </w:r>
      <w:r>
        <w:rPr>
          <w:rFonts w:hint="eastAsia" w:ascii="宋体" w:hAnsi="宋体" w:cs="宋体"/>
          <w:color w:val="000000"/>
          <w:sz w:val="20"/>
          <w:szCs w:val="20"/>
          <w:highlight w:val="none"/>
        </w:rPr>
        <w:t>：</w:t>
      </w:r>
      <w:r>
        <w:rPr>
          <w:rFonts w:hint="eastAsia" w:ascii="宋体" w:hAnsi="宋体" w:eastAsia="宋体" w:cs="宋体"/>
          <w:color w:val="000000"/>
          <w:sz w:val="21"/>
          <w:szCs w:val="21"/>
          <w:highlight w:val="none"/>
          <w:u w:val="single"/>
          <w:lang w:val="en-US" w:eastAsia="zh-CN"/>
        </w:rPr>
        <w:t>分期支付</w:t>
      </w:r>
      <w:r>
        <w:rPr>
          <w:rFonts w:hint="eastAsia" w:ascii="宋体" w:hAnsi="宋体" w:eastAsia="宋体" w:cs="宋体"/>
          <w:color w:val="000000"/>
          <w:sz w:val="21"/>
          <w:szCs w:val="21"/>
          <w:highlight w:val="none"/>
          <w:u w:val="single"/>
        </w:rPr>
        <w:t>。</w:t>
      </w:r>
    </w:p>
    <w:p>
      <w:pPr>
        <w:spacing w:line="360" w:lineRule="auto"/>
        <w:ind w:firstLine="44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sz w:val="22"/>
          <w:szCs w:val="22"/>
          <w:highlight w:val="none"/>
        </w:rPr>
        <w:t>第一</w:t>
      </w:r>
      <w:r>
        <w:rPr>
          <w:rFonts w:hint="eastAsia" w:ascii="宋体" w:hAnsi="宋体" w:eastAsia="宋体" w:cs="宋体"/>
          <w:sz w:val="22"/>
          <w:szCs w:val="22"/>
          <w:highlight w:val="none"/>
          <w:lang w:eastAsia="zh-CN"/>
        </w:rPr>
        <w:t>期（</w:t>
      </w:r>
      <w:r>
        <w:rPr>
          <w:rFonts w:hint="eastAsia" w:ascii="宋体" w:hAnsi="宋体" w:eastAsia="宋体" w:cs="宋体"/>
          <w:sz w:val="22"/>
          <w:szCs w:val="22"/>
          <w:highlight w:val="none"/>
        </w:rPr>
        <w:t>预付款支付</w:t>
      </w:r>
      <w:r>
        <w:rPr>
          <w:rFonts w:hint="eastAsia" w:ascii="宋体" w:hAnsi="宋体" w:eastAsia="宋体" w:cs="宋体"/>
          <w:sz w:val="22"/>
          <w:szCs w:val="22"/>
          <w:highlight w:val="none"/>
          <w:lang w:eastAsia="zh-CN"/>
        </w:rPr>
        <w:t>）：</w:t>
      </w:r>
      <w:r>
        <w:rPr>
          <w:rFonts w:hint="eastAsia" w:ascii="宋体" w:hAnsi="宋体" w:eastAsia="宋体" w:cs="宋体"/>
          <w:color w:val="000000"/>
          <w:sz w:val="21"/>
          <w:szCs w:val="21"/>
          <w:highlight w:val="none"/>
          <w:u w:val="single"/>
          <w:lang w:val="en-US" w:eastAsia="zh-CN"/>
        </w:rPr>
        <w:t>按专用条款</w:t>
      </w:r>
      <w:r>
        <w:rPr>
          <w:rFonts w:hint="eastAsia" w:ascii="宋体" w:hAnsi="宋体" w:eastAsia="宋体" w:cs="宋体"/>
          <w:color w:val="000000"/>
          <w:sz w:val="21"/>
          <w:szCs w:val="21"/>
          <w:highlight w:val="none"/>
          <w:u w:val="single"/>
        </w:rPr>
        <w:t xml:space="preserve">12.2.1 </w:t>
      </w:r>
      <w:r>
        <w:rPr>
          <w:rFonts w:hint="eastAsia" w:ascii="宋体" w:hAnsi="宋体" w:eastAsia="宋体" w:cs="宋体"/>
          <w:color w:val="000000"/>
          <w:sz w:val="21"/>
          <w:szCs w:val="21"/>
          <w:highlight w:val="none"/>
          <w:u w:val="single"/>
          <w:lang w:val="en-US" w:eastAsia="zh-CN"/>
        </w:rPr>
        <w:t>条执行。</w:t>
      </w:r>
    </w:p>
    <w:p>
      <w:pPr>
        <w:spacing w:line="360" w:lineRule="auto"/>
        <w:ind w:firstLine="44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sz w:val="22"/>
          <w:szCs w:val="22"/>
          <w:highlight w:val="none"/>
        </w:rPr>
        <w:t>第二</w:t>
      </w:r>
      <w:r>
        <w:rPr>
          <w:rFonts w:hint="eastAsia" w:ascii="宋体" w:hAnsi="宋体" w:eastAsia="宋体" w:cs="宋体"/>
          <w:sz w:val="22"/>
          <w:szCs w:val="22"/>
          <w:highlight w:val="none"/>
          <w:lang w:eastAsia="zh-CN"/>
        </w:rPr>
        <w:t>期（进度款中期支付）：</w:t>
      </w:r>
      <w:r>
        <w:rPr>
          <w:rFonts w:hint="eastAsia" w:ascii="宋体" w:hAnsi="宋体" w:eastAsia="宋体" w:cs="宋体"/>
          <w:color w:val="000000"/>
          <w:sz w:val="21"/>
          <w:szCs w:val="21"/>
          <w:highlight w:val="none"/>
          <w:u w:val="single"/>
          <w:lang w:val="en-US" w:eastAsia="zh-CN"/>
        </w:rPr>
        <w:t>工程开工后第4个月10日前。</w:t>
      </w:r>
    </w:p>
    <w:p>
      <w:pPr>
        <w:spacing w:line="360" w:lineRule="auto"/>
        <w:ind w:firstLine="44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sz w:val="22"/>
          <w:szCs w:val="22"/>
          <w:highlight w:val="none"/>
        </w:rPr>
        <w:t>第</w:t>
      </w:r>
      <w:r>
        <w:rPr>
          <w:rFonts w:hint="eastAsia" w:ascii="宋体" w:hAnsi="宋体" w:eastAsia="宋体" w:cs="宋体"/>
          <w:sz w:val="22"/>
          <w:szCs w:val="22"/>
          <w:highlight w:val="none"/>
          <w:lang w:eastAsia="zh-CN"/>
        </w:rPr>
        <w:t>三期（进度款中期支付）：</w:t>
      </w:r>
      <w:r>
        <w:rPr>
          <w:rFonts w:hint="eastAsia" w:ascii="宋体" w:hAnsi="宋体" w:eastAsia="宋体" w:cs="宋体"/>
          <w:color w:val="000000"/>
          <w:sz w:val="21"/>
          <w:szCs w:val="21"/>
          <w:highlight w:val="none"/>
          <w:u w:val="single"/>
          <w:lang w:val="en-US" w:eastAsia="zh-CN"/>
        </w:rPr>
        <w:t>工程完工后。</w:t>
      </w:r>
    </w:p>
    <w:p>
      <w:pPr>
        <w:spacing w:line="360" w:lineRule="auto"/>
        <w:ind w:firstLine="44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sz w:val="22"/>
          <w:szCs w:val="22"/>
          <w:highlight w:val="none"/>
        </w:rPr>
        <w:t>第四</w:t>
      </w:r>
      <w:r>
        <w:rPr>
          <w:rFonts w:hint="eastAsia" w:ascii="宋体" w:hAnsi="宋体" w:eastAsia="宋体" w:cs="宋体"/>
          <w:sz w:val="22"/>
          <w:szCs w:val="22"/>
          <w:highlight w:val="none"/>
          <w:lang w:eastAsia="zh-CN"/>
        </w:rPr>
        <w:t>期（</w:t>
      </w:r>
      <w:r>
        <w:rPr>
          <w:rFonts w:hint="eastAsia" w:ascii="宋体" w:hAnsi="宋体" w:eastAsia="宋体" w:cs="宋体"/>
          <w:sz w:val="22"/>
          <w:szCs w:val="22"/>
          <w:highlight w:val="none"/>
        </w:rPr>
        <w:t>进度款终期支付</w:t>
      </w:r>
      <w:r>
        <w:rPr>
          <w:rFonts w:hint="eastAsia" w:ascii="宋体" w:hAnsi="宋体" w:eastAsia="宋体" w:cs="宋体"/>
          <w:sz w:val="22"/>
          <w:szCs w:val="22"/>
          <w:highlight w:val="none"/>
          <w:lang w:eastAsia="zh-CN"/>
        </w:rPr>
        <w:t>）：</w:t>
      </w:r>
      <w:r>
        <w:rPr>
          <w:rFonts w:hint="eastAsia" w:ascii="宋体" w:hAnsi="宋体" w:eastAsia="宋体" w:cs="宋体"/>
          <w:color w:val="000000"/>
          <w:sz w:val="21"/>
          <w:szCs w:val="21"/>
          <w:highlight w:val="none"/>
          <w:u w:val="single"/>
          <w:lang w:val="en-US" w:eastAsia="zh-CN"/>
        </w:rPr>
        <w:t>进度款终期支付，工程竣工结算审计完成。</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12.3.3 单价合同的计量</w:t>
      </w:r>
    </w:p>
    <w:p>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cs="宋体"/>
          <w:color w:val="000000"/>
          <w:sz w:val="22"/>
          <w:szCs w:val="22"/>
          <w:highlight w:val="none"/>
        </w:rPr>
        <w:t>关于单价合同计量的约定</w:t>
      </w:r>
      <w:r>
        <w:rPr>
          <w:rFonts w:hint="eastAsia" w:ascii="宋体" w:hAnsi="宋体" w:cs="宋体"/>
          <w:color w:val="000000"/>
          <w:sz w:val="21"/>
          <w:szCs w:val="21"/>
          <w:highlight w:val="none"/>
        </w:rPr>
        <w:t>：</w:t>
      </w:r>
      <w:r>
        <w:rPr>
          <w:rFonts w:hint="eastAsia" w:ascii="宋体" w:hAnsi="宋体" w:eastAsia="宋体" w:cs="宋体"/>
          <w:color w:val="000000"/>
          <w:sz w:val="22"/>
          <w:szCs w:val="22"/>
          <w:highlight w:val="none"/>
          <w:u w:val="single"/>
          <w:lang w:val="en-US" w:eastAsia="zh-CN"/>
        </w:rPr>
        <w:t>承包人按约定提交已完工程计量支付申请</w:t>
      </w:r>
      <w:r>
        <w:rPr>
          <w:rFonts w:hint="eastAsia" w:ascii="宋体" w:hAnsi="宋体" w:eastAsia="宋体" w:cs="宋体"/>
          <w:color w:val="000000"/>
          <w:sz w:val="22"/>
          <w:szCs w:val="22"/>
          <w:highlight w:val="none"/>
          <w:u w:val="single"/>
        </w:rPr>
        <w:t>，发包人与监理工程师于5日内审核完毕。</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12.4 工程进度款支付</w:t>
      </w:r>
    </w:p>
    <w:p>
      <w:pPr>
        <w:spacing w:line="360" w:lineRule="auto"/>
        <w:ind w:firstLine="440" w:firstLineChars="200"/>
        <w:rPr>
          <w:rFonts w:ascii="宋体" w:hAnsi="宋体" w:cs="宋体"/>
          <w:color w:val="000000"/>
          <w:sz w:val="22"/>
          <w:szCs w:val="22"/>
          <w:highlight w:val="none"/>
        </w:rPr>
      </w:pPr>
      <w:bookmarkStart w:id="1334" w:name="_Toc300935006"/>
      <w:bookmarkStart w:id="1335" w:name="_Toc303539163"/>
      <w:bookmarkStart w:id="1336" w:name="_Toc296346712"/>
      <w:bookmarkStart w:id="1337" w:name="_Toc292559921"/>
      <w:bookmarkStart w:id="1338" w:name="_Toc292559416"/>
      <w:bookmarkStart w:id="1339" w:name="_Toc297048397"/>
      <w:bookmarkStart w:id="1340" w:name="_Toc297216215"/>
      <w:bookmarkStart w:id="1341" w:name="_Toc297123556"/>
      <w:bookmarkStart w:id="1342" w:name="_Toc296944550"/>
      <w:bookmarkStart w:id="1343" w:name="_Toc296347210"/>
      <w:bookmarkStart w:id="1344" w:name="_Toc296503211"/>
      <w:bookmarkStart w:id="1345" w:name="_Toc296891251"/>
      <w:bookmarkStart w:id="1346" w:name="_Toc297120511"/>
      <w:bookmarkStart w:id="1347" w:name="_Toc296891039"/>
      <w:r>
        <w:rPr>
          <w:rFonts w:hint="eastAsia" w:ascii="宋体" w:hAnsi="宋体" w:cs="宋体"/>
          <w:color w:val="000000"/>
          <w:sz w:val="22"/>
          <w:szCs w:val="22"/>
          <w:highlight w:val="none"/>
        </w:rPr>
        <w:t>12.4.1 付款周期</w:t>
      </w:r>
    </w:p>
    <w:p>
      <w:pPr>
        <w:spacing w:line="360" w:lineRule="auto"/>
        <w:ind w:firstLine="440" w:firstLineChars="200"/>
        <w:rPr>
          <w:rFonts w:hint="eastAsia" w:ascii="宋体" w:hAnsi="宋体" w:cs="宋体"/>
          <w:color w:val="000000"/>
          <w:sz w:val="22"/>
          <w:szCs w:val="22"/>
          <w:highlight w:val="none"/>
          <w:u w:val="single"/>
          <w:lang w:val="en-US" w:eastAsia="zh-CN"/>
        </w:rPr>
      </w:pPr>
      <w:r>
        <w:rPr>
          <w:rFonts w:hint="eastAsia" w:ascii="宋体" w:hAnsi="宋体" w:cs="宋体"/>
          <w:color w:val="000000"/>
          <w:sz w:val="22"/>
          <w:szCs w:val="22"/>
          <w:highlight w:val="none"/>
        </w:rPr>
        <w:t>关于付款周期的约定：</w:t>
      </w:r>
      <w:r>
        <w:rPr>
          <w:rFonts w:hint="eastAsia" w:ascii="宋体" w:hAnsi="宋体" w:cs="宋体"/>
          <w:color w:val="000000"/>
          <w:sz w:val="22"/>
          <w:szCs w:val="22"/>
          <w:highlight w:val="none"/>
          <w:u w:val="single"/>
          <w:lang w:val="en-US" w:eastAsia="zh-CN"/>
        </w:rPr>
        <w:t xml:space="preserve">                              </w:t>
      </w:r>
    </w:p>
    <w:p>
      <w:pPr>
        <w:spacing w:line="360" w:lineRule="auto"/>
        <w:ind w:firstLine="440" w:firstLineChars="200"/>
        <w:rPr>
          <w:rFonts w:ascii="宋体" w:hAnsi="宋体" w:cs="宋体"/>
          <w:color w:val="000000"/>
          <w:sz w:val="22"/>
          <w:szCs w:val="22"/>
          <w:highlight w:val="none"/>
          <w:u w:val="single"/>
        </w:rPr>
      </w:pPr>
      <w:r>
        <w:rPr>
          <w:rFonts w:hint="eastAsia" w:ascii="宋体" w:hAnsi="宋体" w:eastAsia="宋体" w:cs="宋体"/>
          <w:sz w:val="22"/>
          <w:szCs w:val="22"/>
          <w:highlight w:val="none"/>
        </w:rPr>
        <w:t>承包人提供审定工程量等额增值税发票及财务需要的相关资料，资料提交完备后14天支付。若承包人在工程关键节点不能按计划完成，延误工期超过该节点计划工期20%时，该月进度款暂不支付；拖延不到20%时，工程部签署进度意见后支付到审核进度款的90%，本条约定不影响承包人应承担的逾期完工的违约责任。承包人采取赶工措施完成该段工程节点后，在下月支付。若承包人采取赶工措施后未完成该段工程节点，承包人按日承担500元的违约金；</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12.4.2 进度付款申请单的编制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关于进度付款申请单编制的约定：</w:t>
      </w:r>
      <w:r>
        <w:rPr>
          <w:rFonts w:hint="eastAsia" w:ascii="宋体" w:hAnsi="宋体" w:cs="宋体"/>
          <w:color w:val="000000"/>
          <w:sz w:val="22"/>
          <w:szCs w:val="22"/>
          <w:highlight w:val="none"/>
          <w:u w:val="single"/>
        </w:rPr>
        <w:t xml:space="preserve"> 由承包人编制并向监理人和发包人提交审核</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r>
        <w:rPr>
          <w:rFonts w:hint="eastAsia" w:ascii="宋体" w:hAnsi="宋体" w:cs="宋体"/>
          <w:color w:val="000000"/>
          <w:sz w:val="22"/>
          <w:szCs w:val="22"/>
          <w:highlight w:val="none"/>
        </w:rPr>
        <w:t>2.4.3 进度付款申请单的提交</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（1）单价合同进度付款申请单提交的约定：</w:t>
      </w:r>
      <w:r>
        <w:rPr>
          <w:rFonts w:hint="eastAsia" w:ascii="宋体" w:hAnsi="宋体" w:cs="宋体"/>
          <w:color w:val="000000"/>
          <w:sz w:val="22"/>
          <w:szCs w:val="22"/>
          <w:highlight w:val="none"/>
          <w:u w:val="single"/>
        </w:rPr>
        <w:t xml:space="preserve"> 随完成计划进度工程量报告一同提交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（2）总价合同进度付款申请单提交的约定：</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（3）其他价格形式合同进度付款申请单提交的约定：</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12.4.4 进度款审核和支付</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（1）监理人审查并报送发包人的期限：</w:t>
      </w:r>
      <w:r>
        <w:rPr>
          <w:rFonts w:hint="eastAsia" w:ascii="宋体" w:hAnsi="宋体" w:cs="宋体"/>
          <w:color w:val="000000"/>
          <w:sz w:val="22"/>
          <w:szCs w:val="22"/>
          <w:highlight w:val="none"/>
          <w:u w:val="single"/>
        </w:rPr>
        <w:t xml:space="preserve">  7天    </w:t>
      </w:r>
      <w:r>
        <w:rPr>
          <w:rFonts w:hint="eastAsia" w:ascii="宋体" w:hAnsi="宋体" w:cs="宋体"/>
          <w:color w:val="000000"/>
          <w:sz w:val="22"/>
          <w:szCs w:val="22"/>
          <w:highlight w:val="none"/>
        </w:rPr>
        <w:t>。</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发包人完成审批并签发进度款支付证书的期限：</w:t>
      </w:r>
      <w:r>
        <w:rPr>
          <w:rFonts w:hint="eastAsia" w:ascii="宋体" w:hAnsi="宋体" w:cs="宋体"/>
          <w:color w:val="000000"/>
          <w:sz w:val="22"/>
          <w:szCs w:val="22"/>
          <w:highlight w:val="none"/>
          <w:u w:val="single"/>
        </w:rPr>
        <w:t xml:space="preserve">  7天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（2）发包人支付进度款的期限：</w:t>
      </w:r>
      <w:r>
        <w:rPr>
          <w:rFonts w:hint="eastAsia" w:ascii="宋体" w:hAnsi="宋体" w:cs="宋体"/>
          <w:color w:val="000000"/>
          <w:sz w:val="22"/>
          <w:szCs w:val="22"/>
          <w:highlight w:val="none"/>
          <w:u w:val="single"/>
        </w:rPr>
        <w:t>14天</w:t>
      </w:r>
      <w:r>
        <w:rPr>
          <w:rFonts w:hint="eastAsia" w:ascii="宋体" w:hAnsi="宋体" w:cs="宋体"/>
          <w:color w:val="000000"/>
          <w:sz w:val="22"/>
          <w:szCs w:val="22"/>
          <w:highlight w:val="none"/>
        </w:rPr>
        <w:t>。</w:t>
      </w:r>
    </w:p>
    <w:p>
      <w:pPr>
        <w:spacing w:line="360" w:lineRule="auto"/>
        <w:ind w:firstLine="550" w:firstLineChars="250"/>
        <w:rPr>
          <w:rFonts w:ascii="宋体" w:hAnsi="宋体" w:cs="宋体"/>
          <w:color w:val="000000"/>
          <w:sz w:val="22"/>
          <w:szCs w:val="22"/>
          <w:highlight w:val="none"/>
        </w:rPr>
      </w:pPr>
      <w:r>
        <w:rPr>
          <w:rFonts w:hint="eastAsia" w:ascii="宋体" w:hAnsi="宋体" w:cs="宋体"/>
          <w:color w:val="000000"/>
          <w:sz w:val="22"/>
          <w:szCs w:val="22"/>
          <w:highlight w:val="none"/>
        </w:rPr>
        <w:t>12.4.6 支付分解表的编制</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3、单价合同的总价项目支付分解表的编制与审批：</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bookmarkEnd w:id="1175"/>
    <w:p>
      <w:pPr>
        <w:spacing w:before="120" w:after="120" w:line="360" w:lineRule="auto"/>
        <w:rPr>
          <w:rFonts w:ascii="宋体" w:hAnsi="宋体" w:cs="宋体"/>
          <w:color w:val="000000"/>
          <w:sz w:val="22"/>
          <w:szCs w:val="22"/>
          <w:highlight w:val="none"/>
        </w:rPr>
      </w:pPr>
      <w:bookmarkStart w:id="1348" w:name="_Toc351203645"/>
      <w:bookmarkStart w:id="1349" w:name="_Toc297123564"/>
      <w:bookmarkStart w:id="1350" w:name="_Toc296891047"/>
      <w:bookmarkStart w:id="1351" w:name="_Toc300935015"/>
      <w:bookmarkStart w:id="1352" w:name="_Toc296346720"/>
      <w:bookmarkStart w:id="1353" w:name="_Toc297216223"/>
      <w:bookmarkStart w:id="1354" w:name="_Toc296944558"/>
      <w:bookmarkStart w:id="1355" w:name="_Toc297048405"/>
      <w:bookmarkStart w:id="1356" w:name="_Toc292559929"/>
      <w:bookmarkStart w:id="1357" w:name="_Toc312678053"/>
      <w:bookmarkStart w:id="1358" w:name="_Toc292559424"/>
      <w:bookmarkStart w:id="1359" w:name="_Toc297120519"/>
      <w:bookmarkStart w:id="1360" w:name="_Toc296891259"/>
      <w:bookmarkStart w:id="1361" w:name="_Toc303539172"/>
      <w:bookmarkStart w:id="1362" w:name="_Toc304295593"/>
      <w:bookmarkStart w:id="1363" w:name="_Toc296347218"/>
      <w:bookmarkStart w:id="1364" w:name="_Toc296503219"/>
      <w:r>
        <w:rPr>
          <w:rFonts w:hint="eastAsia" w:ascii="宋体" w:hAnsi="宋体" w:cs="宋体"/>
          <w:color w:val="000000"/>
          <w:sz w:val="22"/>
          <w:szCs w:val="22"/>
          <w:highlight w:val="none"/>
        </w:rPr>
        <w:t>13. 验收和工程试车</w:t>
      </w:r>
      <w:bookmarkEnd w:id="1348"/>
    </w:p>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13.1 分部分项工程验收</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13.1.2监理人不能按时进行验收时，应提前</w:t>
      </w:r>
      <w:r>
        <w:rPr>
          <w:rFonts w:hint="eastAsia" w:ascii="宋体" w:hAnsi="宋体" w:cs="宋体"/>
          <w:sz w:val="22"/>
          <w:szCs w:val="22"/>
          <w:highlight w:val="none"/>
          <w:u w:val="single"/>
        </w:rPr>
        <w:t xml:space="preserve"> 12 </w:t>
      </w:r>
      <w:r>
        <w:rPr>
          <w:rFonts w:hint="eastAsia" w:ascii="宋体" w:hAnsi="宋体" w:cs="宋体"/>
          <w:sz w:val="22"/>
          <w:szCs w:val="22"/>
          <w:highlight w:val="none"/>
        </w:rPr>
        <w:t>小时提交书面延期要求。</w:t>
      </w:r>
    </w:p>
    <w:p>
      <w:pPr>
        <w:spacing w:line="360" w:lineRule="auto"/>
        <w:ind w:firstLine="440" w:firstLineChars="200"/>
        <w:rPr>
          <w:rFonts w:ascii="宋体" w:hAnsi="宋体" w:cs="宋体"/>
          <w:b/>
          <w:color w:val="000000"/>
          <w:sz w:val="22"/>
          <w:szCs w:val="22"/>
          <w:highlight w:val="none"/>
        </w:rPr>
      </w:pPr>
      <w:r>
        <w:rPr>
          <w:rFonts w:hint="eastAsia" w:ascii="宋体" w:hAnsi="宋体" w:cs="宋体"/>
          <w:sz w:val="22"/>
          <w:szCs w:val="22"/>
          <w:highlight w:val="none"/>
        </w:rPr>
        <w:t>关于延期最长不得超过：</w:t>
      </w:r>
      <w:r>
        <w:rPr>
          <w:rFonts w:hint="eastAsia" w:ascii="宋体" w:hAnsi="宋体" w:cs="宋体"/>
          <w:sz w:val="22"/>
          <w:szCs w:val="22"/>
          <w:highlight w:val="none"/>
          <w:u w:val="single"/>
        </w:rPr>
        <w:t xml:space="preserve">  48  </w:t>
      </w:r>
      <w:r>
        <w:rPr>
          <w:rFonts w:hint="eastAsia" w:ascii="宋体" w:hAnsi="宋体" w:cs="宋体"/>
          <w:sz w:val="22"/>
          <w:szCs w:val="22"/>
          <w:highlight w:val="none"/>
        </w:rPr>
        <w:t>小时。</w:t>
      </w:r>
    </w:p>
    <w:p>
      <w:pPr>
        <w:spacing w:after="120" w:line="360" w:lineRule="auto"/>
        <w:ind w:firstLine="440" w:firstLineChars="200"/>
        <w:rPr>
          <w:rFonts w:ascii="宋体" w:hAnsi="宋体" w:cs="宋体"/>
          <w:color w:val="000000"/>
          <w:sz w:val="22"/>
          <w:szCs w:val="22"/>
          <w:highlight w:val="none"/>
        </w:rPr>
      </w:pPr>
      <w:bookmarkStart w:id="1365" w:name="_Toc296891263"/>
      <w:bookmarkStart w:id="1366" w:name="_Toc297120523"/>
      <w:bookmarkStart w:id="1367" w:name="_Toc303539173"/>
      <w:bookmarkStart w:id="1368" w:name="_Toc312678056"/>
      <w:bookmarkStart w:id="1369" w:name="_Toc292559428"/>
      <w:bookmarkStart w:id="1370" w:name="_Toc296346724"/>
      <w:bookmarkStart w:id="1371" w:name="_Toc304295596"/>
      <w:bookmarkStart w:id="1372" w:name="_Toc297048409"/>
      <w:bookmarkStart w:id="1373" w:name="_Toc297123565"/>
      <w:bookmarkStart w:id="1374" w:name="_Toc296891051"/>
      <w:bookmarkStart w:id="1375" w:name="_Toc296944562"/>
      <w:bookmarkStart w:id="1376" w:name="_Toc292559933"/>
      <w:bookmarkStart w:id="1377" w:name="_Toc296347222"/>
      <w:bookmarkStart w:id="1378" w:name="_Toc297216224"/>
      <w:bookmarkStart w:id="1379" w:name="_Toc300935016"/>
      <w:bookmarkStart w:id="1380" w:name="_Toc296503223"/>
      <w:bookmarkStart w:id="1381" w:name="_Toc267251472"/>
      <w:bookmarkStart w:id="1382" w:name="_Toc267251470"/>
      <w:bookmarkStart w:id="1383" w:name="_Toc267251476"/>
      <w:bookmarkStart w:id="1384" w:name="_Toc267251475"/>
      <w:bookmarkStart w:id="1385" w:name="_Toc267251474"/>
      <w:bookmarkStart w:id="1386" w:name="_Toc267251473"/>
      <w:bookmarkStart w:id="1387" w:name="_Toc267251471"/>
      <w:r>
        <w:rPr>
          <w:rFonts w:hint="eastAsia" w:ascii="宋体" w:hAnsi="宋体" w:cs="宋体"/>
          <w:color w:val="000000"/>
          <w:sz w:val="22"/>
          <w:szCs w:val="22"/>
          <w:highlight w:val="none"/>
        </w:rPr>
        <w:t>13.2 竣工验收</w:t>
      </w:r>
    </w:p>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Pr>
        <w:spacing w:line="360" w:lineRule="auto"/>
        <w:ind w:firstLine="440" w:firstLineChars="200"/>
        <w:rPr>
          <w:rFonts w:ascii="宋体" w:hAnsi="宋体" w:cs="宋体"/>
          <w:color w:val="000000"/>
          <w:sz w:val="22"/>
          <w:szCs w:val="22"/>
          <w:highlight w:val="none"/>
        </w:rPr>
      </w:pPr>
      <w:bookmarkStart w:id="1388" w:name="_Toc280868704"/>
      <w:bookmarkStart w:id="1389" w:name="_Toc280868705"/>
      <w:bookmarkStart w:id="1390" w:name="_Toc280868706"/>
      <w:bookmarkStart w:id="1391" w:name="_Toc280868707"/>
      <w:bookmarkStart w:id="1392" w:name="_Toc280868708"/>
      <w:bookmarkStart w:id="1393" w:name="_Toc280868709"/>
      <w:r>
        <w:rPr>
          <w:rFonts w:hint="eastAsia" w:ascii="宋体" w:hAnsi="宋体" w:cs="宋体"/>
          <w:color w:val="000000"/>
          <w:sz w:val="22"/>
          <w:szCs w:val="22"/>
          <w:highlight w:val="none"/>
        </w:rPr>
        <w:t>13.2.2竣工验收程序</w:t>
      </w:r>
    </w:p>
    <w:bookmarkEnd w:id="1388"/>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关于竣工验收程序的约定：</w:t>
      </w:r>
      <w:r>
        <w:rPr>
          <w:rFonts w:hint="eastAsia" w:ascii="宋体" w:hAnsi="宋体" w:cs="宋体"/>
          <w:color w:val="000000"/>
          <w:sz w:val="22"/>
          <w:szCs w:val="22"/>
          <w:highlight w:val="none"/>
          <w:u w:val="single"/>
        </w:rPr>
        <w:t>当工程具备竣工验收条件时，承包人应及时向发包人提交竣工图、竣工报告及竣工资料壹式肆套。所有资料必须保证有肆套是用钢笔书写。工程竣工验收前资料必须通过质监站备案要求，按城建部门要求做好资料归档工作。当出现因承包人资源投入不足或借故拖延或不办理竣工图、竣工资料时，发包人有权按合同总价（扣除发发包人分包工程费）的</w:t>
      </w:r>
      <w:r>
        <w:rPr>
          <w:rFonts w:hint="eastAsia" w:ascii="宋体" w:hAnsi="宋体" w:cs="宋体"/>
          <w:color w:val="000000"/>
          <w:sz w:val="22"/>
          <w:szCs w:val="22"/>
          <w:highlight w:val="none"/>
          <w:u w:val="single"/>
          <w:lang w:eastAsia="zh-CN"/>
        </w:rPr>
        <w:t>5%</w:t>
      </w:r>
      <w:r>
        <w:rPr>
          <w:rFonts w:hint="eastAsia" w:ascii="宋体" w:hAnsi="宋体" w:cs="宋体"/>
          <w:color w:val="000000"/>
          <w:sz w:val="22"/>
          <w:szCs w:val="22"/>
          <w:highlight w:val="none"/>
          <w:u w:val="single"/>
        </w:rPr>
        <w:t>金额扣缴承包人违约金，并安排人员整理竣工图、竣工资料，未完成该竣工图、竣工资料所增加的一切费用由承包人承担。</w:t>
      </w:r>
    </w:p>
    <w:bookmarkEnd w:id="1389"/>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13.2.5移交、接收全部与部分工程</w:t>
      </w:r>
    </w:p>
    <w:bookmarkEnd w:id="1390"/>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承包人向发包人移交工程的期限：</w:t>
      </w:r>
      <w:r>
        <w:rPr>
          <w:rFonts w:hint="eastAsia" w:ascii="宋体" w:hAnsi="宋体" w:cs="宋体"/>
          <w:color w:val="000000"/>
          <w:sz w:val="22"/>
          <w:szCs w:val="22"/>
          <w:highlight w:val="none"/>
          <w:u w:val="single"/>
        </w:rPr>
        <w:t xml:space="preserve"> 发包人要求承包人移交工程后15日内 </w:t>
      </w:r>
      <w:r>
        <w:rPr>
          <w:rFonts w:hint="eastAsia" w:ascii="宋体" w:hAnsi="宋体" w:cs="宋体"/>
          <w:color w:val="000000"/>
          <w:sz w:val="22"/>
          <w:szCs w:val="22"/>
          <w:highlight w:val="none"/>
        </w:rPr>
        <w:t>。</w:t>
      </w:r>
      <w:bookmarkEnd w:id="1391"/>
    </w:p>
    <w:p>
      <w:pPr>
        <w:spacing w:after="120"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13.3 工程试车</w:t>
      </w:r>
    </w:p>
    <w:bookmarkEnd w:id="1392"/>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13.3.1 试车程序</w:t>
      </w:r>
    </w:p>
    <w:p>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工程试车内容：</w:t>
      </w:r>
      <w:r>
        <w:rPr>
          <w:rFonts w:hint="eastAsia" w:ascii="宋体" w:hAnsi="宋体" w:cs="宋体"/>
          <w:sz w:val="22"/>
          <w:szCs w:val="22"/>
          <w:highlight w:val="none"/>
          <w:u w:val="single"/>
        </w:rPr>
        <w:t xml:space="preserve">   / 。</w:t>
      </w:r>
    </w:p>
    <w:p>
      <w:pPr>
        <w:spacing w:after="120" w:line="360" w:lineRule="auto"/>
        <w:ind w:firstLine="440" w:firstLineChars="200"/>
        <w:rPr>
          <w:rFonts w:ascii="宋体" w:hAnsi="宋体" w:cs="宋体"/>
          <w:color w:val="000000"/>
          <w:sz w:val="22"/>
          <w:szCs w:val="22"/>
          <w:highlight w:val="none"/>
        </w:rPr>
      </w:pPr>
      <w:bookmarkStart w:id="1394" w:name="_Toc20951"/>
      <w:r>
        <w:rPr>
          <w:rFonts w:hint="eastAsia" w:ascii="宋体" w:hAnsi="宋体" w:cs="宋体"/>
          <w:color w:val="000000"/>
          <w:sz w:val="22"/>
          <w:szCs w:val="22"/>
          <w:highlight w:val="none"/>
        </w:rPr>
        <w:t>13.6 竣工退场</w:t>
      </w:r>
      <w:bookmarkEnd w:id="1394"/>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13.6.1 竣工退场</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承包人完成竣工退场的期限：</w:t>
      </w:r>
      <w:r>
        <w:rPr>
          <w:rFonts w:hint="eastAsia" w:ascii="宋体" w:hAnsi="宋体" w:cs="宋体"/>
          <w:color w:val="000000"/>
          <w:sz w:val="22"/>
          <w:szCs w:val="22"/>
          <w:highlight w:val="none"/>
          <w:u w:val="single"/>
        </w:rPr>
        <w:t xml:space="preserve">  由发包人指定  </w:t>
      </w:r>
      <w:r>
        <w:rPr>
          <w:rFonts w:hint="eastAsia" w:ascii="宋体" w:hAnsi="宋体" w:cs="宋体"/>
          <w:color w:val="000000"/>
          <w:sz w:val="22"/>
          <w:szCs w:val="22"/>
          <w:highlight w:val="none"/>
        </w:rPr>
        <w:t>。</w:t>
      </w:r>
    </w:p>
    <w:p>
      <w:pPr>
        <w:spacing w:before="120" w:after="120" w:line="360" w:lineRule="auto"/>
        <w:rPr>
          <w:rFonts w:ascii="宋体" w:hAnsi="宋体" w:cs="宋体"/>
          <w:color w:val="000000"/>
          <w:sz w:val="22"/>
          <w:szCs w:val="22"/>
          <w:highlight w:val="none"/>
        </w:rPr>
      </w:pPr>
      <w:bookmarkStart w:id="1395" w:name="_Toc351203646"/>
      <w:r>
        <w:rPr>
          <w:rFonts w:hint="eastAsia" w:ascii="宋体" w:hAnsi="宋体" w:cs="宋体"/>
          <w:color w:val="000000"/>
          <w:sz w:val="22"/>
          <w:szCs w:val="22"/>
          <w:highlight w:val="none"/>
        </w:rPr>
        <w:t>14. 竣工结算</w:t>
      </w:r>
      <w:bookmarkEnd w:id="1395"/>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14.1 竣工结算申请</w:t>
      </w:r>
    </w:p>
    <w:p>
      <w:pPr>
        <w:spacing w:line="360" w:lineRule="auto"/>
        <w:ind w:firstLine="440" w:firstLineChars="200"/>
        <w:rPr>
          <w:rFonts w:ascii="宋体" w:hAnsi="宋体" w:cs="宋体"/>
          <w:color w:val="000000"/>
          <w:sz w:val="22"/>
          <w:szCs w:val="22"/>
          <w:highlight w:val="none"/>
        </w:rPr>
      </w:pPr>
      <w:r>
        <w:rPr>
          <w:rFonts w:hint="eastAsia" w:ascii="宋体" w:hAnsi="宋体" w:cs="宋体"/>
          <w:sz w:val="22"/>
          <w:szCs w:val="22"/>
          <w:highlight w:val="none"/>
        </w:rPr>
        <w:t>承包人提交竣工结算申请单的期限：</w:t>
      </w:r>
      <w:r>
        <w:rPr>
          <w:rFonts w:hint="eastAsia" w:ascii="宋体" w:hAnsi="宋体" w:cs="宋体"/>
          <w:color w:val="000000"/>
          <w:sz w:val="22"/>
          <w:szCs w:val="22"/>
          <w:highlight w:val="none"/>
          <w:u w:val="single"/>
        </w:rPr>
        <w:t xml:space="preserve"> 工程竣工验收合格后28天内 </w:t>
      </w:r>
      <w:r>
        <w:rPr>
          <w:rFonts w:hint="eastAsia" w:ascii="宋体" w:hAnsi="宋体" w:cs="宋体"/>
          <w:color w:val="000000"/>
          <w:sz w:val="22"/>
          <w:szCs w:val="22"/>
          <w:highlight w:val="none"/>
        </w:rPr>
        <w:t>。</w:t>
      </w:r>
    </w:p>
    <w:p>
      <w:pPr>
        <w:spacing w:line="360" w:lineRule="auto"/>
        <w:rPr>
          <w:highlight w:val="none"/>
        </w:rPr>
      </w:pPr>
      <w:r>
        <w:rPr>
          <w:rFonts w:hint="eastAsia" w:ascii="宋体" w:hAnsi="宋体" w:cs="宋体"/>
          <w:color w:val="000000"/>
          <w:sz w:val="22"/>
          <w:szCs w:val="22"/>
          <w:highlight w:val="none"/>
        </w:rPr>
        <w:t>竣工结算申请单应包括的内容：</w:t>
      </w:r>
      <w:r>
        <w:rPr>
          <w:rFonts w:hint="eastAsia" w:ascii="宋体" w:hAnsi="宋体" w:cs="宋体"/>
          <w:color w:val="000000"/>
          <w:sz w:val="22"/>
          <w:szCs w:val="22"/>
          <w:highlight w:val="none"/>
          <w:u w:val="single"/>
        </w:rPr>
        <w:t xml:space="preserve">  竣工结算合同价格、发包人已支付承包人的款项、应扣留的质量保证金、发包人应支付承包人的合同价款  </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1396" w:name="_Toc11315"/>
      <w:r>
        <w:rPr>
          <w:rFonts w:hint="eastAsia" w:ascii="宋体" w:hAnsi="宋体" w:cs="宋体"/>
          <w:color w:val="000000"/>
          <w:sz w:val="22"/>
          <w:szCs w:val="22"/>
          <w:highlight w:val="none"/>
        </w:rPr>
        <w:t>14.2 竣工结算审核</w:t>
      </w:r>
      <w:bookmarkEnd w:id="1396"/>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发包人审批竣工付款申请单的期限：</w:t>
      </w:r>
      <w:r>
        <w:rPr>
          <w:rFonts w:hint="eastAsia" w:ascii="宋体" w:hAnsi="宋体" w:cs="宋体"/>
          <w:color w:val="000000"/>
          <w:sz w:val="22"/>
          <w:szCs w:val="22"/>
          <w:highlight w:val="none"/>
          <w:u w:val="single"/>
        </w:rPr>
        <w:t xml:space="preserve"> 28天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sz w:val="22"/>
          <w:szCs w:val="22"/>
          <w:highlight w:val="none"/>
        </w:rPr>
        <w:t>发包人完成竣工付款的期限：</w:t>
      </w:r>
      <w:r>
        <w:rPr>
          <w:rFonts w:hint="eastAsia" w:ascii="宋体" w:hAnsi="宋体" w:cs="宋体"/>
          <w:color w:val="000000"/>
          <w:sz w:val="22"/>
          <w:szCs w:val="22"/>
          <w:highlight w:val="none"/>
          <w:u w:val="single"/>
        </w:rPr>
        <w:t xml:space="preserve">14天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关于竣工付款证书异议部分复核的方式和程序：</w:t>
      </w:r>
      <w:r>
        <w:rPr>
          <w:rFonts w:hint="eastAsia" w:ascii="宋体" w:hAnsi="宋体" w:cs="宋体"/>
          <w:color w:val="000000"/>
          <w:sz w:val="22"/>
          <w:szCs w:val="22"/>
          <w:highlight w:val="none"/>
          <w:u w:val="single"/>
        </w:rPr>
        <w:t>按通用条款执行</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14.4 最终结清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14.4.1 最终结清申请单</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承包人提交最终结清申请单的份数：</w:t>
      </w:r>
      <w:r>
        <w:rPr>
          <w:rFonts w:hint="eastAsia" w:ascii="宋体" w:hAnsi="宋体" w:cs="宋体"/>
          <w:color w:val="000000"/>
          <w:sz w:val="22"/>
          <w:szCs w:val="22"/>
          <w:highlight w:val="none"/>
          <w:u w:val="single"/>
        </w:rPr>
        <w:t xml:space="preserve">  双方约定，按需提供   </w:t>
      </w:r>
      <w:r>
        <w:rPr>
          <w:rFonts w:hint="eastAsia" w:ascii="宋体" w:hAnsi="宋体" w:cs="宋体"/>
          <w:color w:val="000000"/>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color w:val="000000"/>
          <w:sz w:val="22"/>
          <w:szCs w:val="22"/>
          <w:highlight w:val="none"/>
        </w:rPr>
        <w:t>承包人提交最终结算申请单的期限：</w:t>
      </w:r>
      <w:r>
        <w:rPr>
          <w:rFonts w:hint="eastAsia" w:ascii="宋体" w:hAnsi="宋体" w:cs="宋体"/>
          <w:color w:val="000000"/>
          <w:sz w:val="22"/>
          <w:szCs w:val="22"/>
          <w:highlight w:val="none"/>
          <w:u w:val="single"/>
        </w:rPr>
        <w:t>缺陷责任期终止证书颁发后7天</w:t>
      </w:r>
      <w:r>
        <w:rPr>
          <w:rFonts w:hint="eastAsia" w:ascii="宋体" w:hAnsi="宋体" w:cs="宋体"/>
          <w:color w:val="000000"/>
          <w:sz w:val="22"/>
          <w:szCs w:val="22"/>
          <w:highlight w:val="none"/>
        </w:rPr>
        <w:t>。</w:t>
      </w:r>
      <w:r>
        <w:rPr>
          <w:rFonts w:hint="eastAsia" w:ascii="宋体" w:hAnsi="宋体" w:cs="宋体"/>
          <w:sz w:val="22"/>
          <w:szCs w:val="22"/>
          <w:highlight w:val="none"/>
        </w:rPr>
        <w:t xml:space="preserve"> </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14.4.2 最终结清证书和支付</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（1）发包人完成最终结清申请单的审批并颁发最终结清证书的期限：</w:t>
      </w:r>
      <w:r>
        <w:rPr>
          <w:rFonts w:hint="eastAsia" w:ascii="宋体" w:hAnsi="宋体" w:cs="宋体"/>
          <w:color w:val="000000"/>
          <w:sz w:val="22"/>
          <w:szCs w:val="22"/>
          <w:highlight w:val="none"/>
          <w:u w:val="single"/>
        </w:rPr>
        <w:t xml:space="preserve">  14天 </w:t>
      </w:r>
      <w:r>
        <w:rPr>
          <w:rFonts w:hint="eastAsia" w:ascii="宋体" w:hAnsi="宋体" w:cs="宋体"/>
          <w:color w:val="000000"/>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（2）发包人完成支付的期限：</w:t>
      </w:r>
      <w:r>
        <w:rPr>
          <w:rFonts w:hint="eastAsia" w:ascii="宋体" w:hAnsi="宋体" w:cs="宋体"/>
          <w:color w:val="000000"/>
          <w:sz w:val="22"/>
          <w:szCs w:val="22"/>
          <w:highlight w:val="none"/>
          <w:u w:val="single"/>
        </w:rPr>
        <w:t xml:space="preserve">  14天 </w:t>
      </w:r>
      <w:r>
        <w:rPr>
          <w:rFonts w:hint="eastAsia" w:ascii="宋体" w:hAnsi="宋体" w:cs="宋体"/>
          <w:color w:val="000000"/>
          <w:sz w:val="22"/>
          <w:szCs w:val="22"/>
          <w:highlight w:val="none"/>
        </w:rPr>
        <w:t>。</w:t>
      </w:r>
    </w:p>
    <w:bookmarkEnd w:id="1381"/>
    <w:bookmarkEnd w:id="1382"/>
    <w:bookmarkEnd w:id="1383"/>
    <w:bookmarkEnd w:id="1384"/>
    <w:bookmarkEnd w:id="1385"/>
    <w:bookmarkEnd w:id="1386"/>
    <w:bookmarkEnd w:id="1387"/>
    <w:bookmarkEnd w:id="1393"/>
    <w:p>
      <w:pPr>
        <w:spacing w:before="120" w:after="120" w:line="360" w:lineRule="auto"/>
        <w:rPr>
          <w:rFonts w:ascii="宋体" w:hAnsi="宋体" w:cs="宋体"/>
          <w:color w:val="000000"/>
          <w:sz w:val="22"/>
          <w:szCs w:val="22"/>
          <w:highlight w:val="none"/>
        </w:rPr>
      </w:pPr>
      <w:bookmarkStart w:id="1397" w:name="_Toc351203647"/>
      <w:bookmarkStart w:id="1398" w:name="_Toc267251483"/>
      <w:bookmarkStart w:id="1399" w:name="_Toc267251482"/>
      <w:bookmarkStart w:id="1400" w:name="_Toc267251484"/>
      <w:bookmarkStart w:id="1401" w:name="_Toc267251485"/>
      <w:bookmarkStart w:id="1402" w:name="_Toc267251488"/>
      <w:bookmarkStart w:id="1403" w:name="_Toc267251490"/>
      <w:bookmarkStart w:id="1404" w:name="_Toc267251489"/>
      <w:bookmarkStart w:id="1405" w:name="_Toc267251486"/>
      <w:bookmarkStart w:id="1406" w:name="_Toc267251495"/>
      <w:bookmarkStart w:id="1407" w:name="_Toc267251503"/>
      <w:bookmarkStart w:id="1408" w:name="_Toc267251494"/>
      <w:bookmarkStart w:id="1409" w:name="_Toc267251496"/>
      <w:bookmarkStart w:id="1410" w:name="_Toc267251502"/>
      <w:bookmarkStart w:id="1411" w:name="_Toc267251492"/>
      <w:bookmarkStart w:id="1412" w:name="_Toc267251493"/>
      <w:bookmarkStart w:id="1413" w:name="_Toc267251499"/>
      <w:bookmarkStart w:id="1414" w:name="_Toc267251491"/>
      <w:bookmarkStart w:id="1415" w:name="_Toc267251497"/>
      <w:bookmarkStart w:id="1416" w:name="_Toc267251501"/>
      <w:bookmarkStart w:id="1417" w:name="_Toc267251498"/>
      <w:bookmarkStart w:id="1418" w:name="_Toc267251506"/>
      <w:bookmarkStart w:id="1419" w:name="_Toc267251507"/>
      <w:bookmarkStart w:id="1420" w:name="_Toc267251504"/>
      <w:bookmarkStart w:id="1421" w:name="_Toc267251508"/>
      <w:bookmarkStart w:id="1422" w:name="_Toc267251509"/>
      <w:bookmarkStart w:id="1423" w:name="_Toc267251510"/>
      <w:bookmarkStart w:id="1424" w:name="_Toc267251511"/>
      <w:bookmarkStart w:id="1425" w:name="_Toc267251514"/>
      <w:bookmarkStart w:id="1426" w:name="_Toc267251515"/>
      <w:bookmarkStart w:id="1427" w:name="_Toc267251513"/>
      <w:r>
        <w:rPr>
          <w:rFonts w:hint="eastAsia" w:ascii="宋体" w:hAnsi="宋体" w:cs="宋体"/>
          <w:color w:val="000000"/>
          <w:sz w:val="22"/>
          <w:szCs w:val="22"/>
          <w:highlight w:val="none"/>
        </w:rPr>
        <w:t>15. 缺陷责任期与保修</w:t>
      </w:r>
      <w:bookmarkEnd w:id="1397"/>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15.2缺陷责任期</w:t>
      </w:r>
      <w:bookmarkEnd w:id="1398"/>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缺陷责任期的具体期限：</w:t>
      </w:r>
      <w:r>
        <w:rPr>
          <w:rFonts w:hint="eastAsia" w:ascii="宋体" w:hAnsi="宋体" w:cs="宋体"/>
          <w:color w:val="000000"/>
          <w:sz w:val="22"/>
          <w:szCs w:val="22"/>
          <w:highlight w:val="none"/>
          <w:u w:val="single"/>
        </w:rPr>
        <w:t xml:space="preserve">2年  </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1428" w:name="_Toc10681"/>
      <w:r>
        <w:rPr>
          <w:rFonts w:hint="eastAsia" w:ascii="宋体" w:hAnsi="宋体" w:cs="宋体"/>
          <w:color w:val="000000"/>
          <w:sz w:val="22"/>
          <w:szCs w:val="22"/>
          <w:highlight w:val="none"/>
        </w:rPr>
        <w:t>15.3 质量保证金</w:t>
      </w:r>
      <w:bookmarkEnd w:id="1428"/>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关于是否扣留质量保证金的约定：</w:t>
      </w:r>
      <w:r>
        <w:rPr>
          <w:rFonts w:hint="eastAsia" w:ascii="宋体" w:hAnsi="宋体" w:cs="宋体"/>
          <w:color w:val="000000"/>
          <w:sz w:val="22"/>
          <w:szCs w:val="22"/>
          <w:highlight w:val="none"/>
          <w:u w:val="single"/>
        </w:rPr>
        <w:t>是</w:t>
      </w:r>
      <w:r>
        <w:rPr>
          <w:rFonts w:hint="eastAsia" w:ascii="宋体" w:hAnsi="宋体" w:cs="宋体"/>
          <w:color w:val="000000"/>
          <w:sz w:val="22"/>
          <w:szCs w:val="22"/>
          <w:highlight w:val="none"/>
        </w:rPr>
        <w:t>。在工程项目竣工前，承包人按专用合同条款第3.7条提供履约担保的，发包人不得同时预留工程质量保证金。</w:t>
      </w:r>
    </w:p>
    <w:p>
      <w:pPr>
        <w:spacing w:line="360" w:lineRule="auto"/>
        <w:ind w:firstLine="440" w:firstLineChars="200"/>
        <w:rPr>
          <w:rFonts w:ascii="宋体" w:hAnsi="宋体" w:cs="宋体"/>
          <w:color w:val="000000"/>
          <w:sz w:val="22"/>
          <w:szCs w:val="22"/>
          <w:highlight w:val="none"/>
        </w:rPr>
      </w:pPr>
      <w:bookmarkStart w:id="1429" w:name="_Toc25540"/>
      <w:r>
        <w:rPr>
          <w:rFonts w:hint="eastAsia" w:ascii="宋体" w:hAnsi="宋体" w:cs="宋体"/>
          <w:color w:val="000000"/>
          <w:sz w:val="22"/>
          <w:szCs w:val="22"/>
          <w:highlight w:val="none"/>
        </w:rPr>
        <w:t>15.3.1 承包人提供质量保证金的方式</w:t>
      </w:r>
      <w:bookmarkEnd w:id="1429"/>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质量保证金采用以下第</w:t>
      </w:r>
      <w:r>
        <w:rPr>
          <w:rFonts w:hint="eastAsia" w:ascii="宋体" w:hAnsi="宋体" w:cs="宋体"/>
          <w:color w:val="000000"/>
          <w:sz w:val="22"/>
          <w:szCs w:val="22"/>
          <w:highlight w:val="none"/>
          <w:u w:val="single"/>
        </w:rPr>
        <w:t xml:space="preserve"> （2） </w:t>
      </w:r>
      <w:r>
        <w:rPr>
          <w:rFonts w:hint="eastAsia" w:ascii="宋体" w:hAnsi="宋体" w:cs="宋体"/>
          <w:color w:val="000000"/>
          <w:sz w:val="22"/>
          <w:szCs w:val="22"/>
          <w:highlight w:val="none"/>
        </w:rPr>
        <w:t>种方式：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（1）质量保证金保函，保证金额为：</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 xml:space="preserve">； </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w:t>
      </w:r>
      <w:r>
        <w:rPr>
          <w:rFonts w:hint="eastAsia" w:ascii="宋体" w:hAnsi="宋体" w:cs="宋体"/>
          <w:color w:val="000000"/>
          <w:sz w:val="22"/>
          <w:szCs w:val="22"/>
          <w:highlight w:val="none"/>
          <w:u w:val="single"/>
        </w:rPr>
        <w:t xml:space="preserve"> 3 </w:t>
      </w:r>
      <w:r>
        <w:rPr>
          <w:rFonts w:hint="eastAsia" w:ascii="宋体" w:hAnsi="宋体" w:cs="宋体"/>
          <w:color w:val="000000"/>
          <w:sz w:val="22"/>
          <w:szCs w:val="22"/>
          <w:highlight w:val="none"/>
        </w:rPr>
        <w:t>%的工程款；</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（3）其他方式:</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bookmarkStart w:id="1430" w:name="_Toc21626"/>
      <w:r>
        <w:rPr>
          <w:rFonts w:hint="eastAsia" w:ascii="宋体" w:hAnsi="宋体" w:cs="宋体"/>
          <w:color w:val="000000"/>
          <w:sz w:val="22"/>
          <w:szCs w:val="22"/>
          <w:highlight w:val="none"/>
        </w:rPr>
        <w:t>15.3.2 质量保证金的扣留</w:t>
      </w:r>
      <w:bookmarkEnd w:id="1430"/>
      <w:r>
        <w:rPr>
          <w:rFonts w:hint="eastAsia" w:ascii="宋体" w:hAnsi="宋体" w:cs="宋体"/>
          <w:color w:val="000000"/>
          <w:sz w:val="22"/>
          <w:szCs w:val="22"/>
          <w:highlight w:val="none"/>
        </w:rPr>
        <w:t xml:space="preserve"> </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质量保证金的扣留采取以下第</w:t>
      </w:r>
      <w:r>
        <w:rPr>
          <w:rFonts w:hint="eastAsia" w:ascii="宋体" w:hAnsi="宋体" w:cs="宋体"/>
          <w:color w:val="000000"/>
          <w:sz w:val="22"/>
          <w:szCs w:val="22"/>
          <w:highlight w:val="none"/>
          <w:u w:val="single"/>
        </w:rPr>
        <w:t xml:space="preserve"> （2</w:t>
      </w:r>
      <w:r>
        <w:rPr>
          <w:rFonts w:hint="eastAsia" w:ascii="宋体" w:hAnsi="宋体" w:cs="宋体"/>
          <w:color w:val="000000"/>
          <w:sz w:val="21"/>
          <w:szCs w:val="21"/>
          <w:highlight w:val="none"/>
          <w:u w:val="single"/>
        </w:rPr>
        <w:t xml:space="preserve">） </w:t>
      </w:r>
      <w:r>
        <w:rPr>
          <w:rFonts w:hint="eastAsia" w:ascii="宋体" w:hAnsi="宋体" w:cs="宋体"/>
          <w:color w:val="000000"/>
          <w:sz w:val="22"/>
          <w:szCs w:val="22"/>
          <w:highlight w:val="none"/>
        </w:rPr>
        <w:t>种方式：</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40" w:firstLineChars="200"/>
        <w:rPr>
          <w:rFonts w:ascii="宋体" w:hAnsi="宋体" w:cs="宋体"/>
          <w:color w:val="000000"/>
          <w:sz w:val="22"/>
          <w:szCs w:val="22"/>
          <w:highlight w:val="none"/>
        </w:rPr>
      </w:pPr>
      <w:bookmarkStart w:id="1431" w:name="_Toc16839"/>
      <w:r>
        <w:rPr>
          <w:rFonts w:hint="eastAsia" w:ascii="宋体" w:hAnsi="宋体" w:cs="宋体"/>
          <w:color w:val="000000"/>
          <w:sz w:val="22"/>
          <w:szCs w:val="22"/>
          <w:highlight w:val="none"/>
        </w:rPr>
        <w:t>（2）工程竣工结算时一次性扣留质量保证金；</w:t>
      </w:r>
      <w:bookmarkEnd w:id="1431"/>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（3）其他扣留方式:</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关于质量保证金的补充约定：</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w:t>
      </w:r>
    </w:p>
    <w:bookmarkEnd w:id="1399"/>
    <w:bookmarkEnd w:id="1400"/>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15.4保修</w:t>
      </w:r>
    </w:p>
    <w:bookmarkEnd w:id="1401"/>
    <w:p>
      <w:pPr>
        <w:spacing w:line="360" w:lineRule="auto"/>
        <w:ind w:firstLine="429" w:firstLineChars="195"/>
        <w:rPr>
          <w:rFonts w:ascii="宋体" w:hAnsi="宋体" w:cs="宋体"/>
          <w:color w:val="000000"/>
          <w:sz w:val="22"/>
          <w:szCs w:val="22"/>
          <w:highlight w:val="none"/>
        </w:rPr>
      </w:pPr>
      <w:r>
        <w:rPr>
          <w:rFonts w:hint="eastAsia" w:ascii="宋体" w:hAnsi="宋体" w:cs="宋体"/>
          <w:color w:val="000000"/>
          <w:sz w:val="22"/>
          <w:szCs w:val="22"/>
          <w:highlight w:val="none"/>
        </w:rPr>
        <w:t>15.4.1 保修责任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工程保修期为：</w:t>
      </w:r>
      <w:r>
        <w:rPr>
          <w:rFonts w:hint="eastAsia" w:ascii="宋体" w:hAnsi="宋体" w:cs="宋体"/>
          <w:color w:val="000000"/>
          <w:sz w:val="22"/>
          <w:szCs w:val="22"/>
          <w:highlight w:val="none"/>
          <w:u w:val="single"/>
        </w:rPr>
        <w:t xml:space="preserve"> 防水工程、有防水要求的卫生间、房间和外墙面的防渗漏为5年，装修工程2年，电气管道、给排水管道、设备安装工程2年、保温工程5年配套工程为2年</w:t>
      </w:r>
      <w:r>
        <w:rPr>
          <w:rFonts w:hint="eastAsia" w:ascii="宋体" w:hAnsi="宋体" w:cs="宋体"/>
          <w:color w:val="000000"/>
          <w:sz w:val="22"/>
          <w:szCs w:val="22"/>
          <w:highlight w:val="none"/>
        </w:rPr>
        <w:t>。</w:t>
      </w:r>
    </w:p>
    <w:p>
      <w:pPr>
        <w:spacing w:line="360" w:lineRule="auto"/>
        <w:ind w:firstLine="429" w:firstLineChars="195"/>
        <w:rPr>
          <w:rFonts w:ascii="宋体" w:hAnsi="宋体" w:cs="宋体"/>
          <w:color w:val="000000"/>
          <w:sz w:val="22"/>
          <w:szCs w:val="22"/>
          <w:highlight w:val="none"/>
        </w:rPr>
      </w:pPr>
      <w:r>
        <w:rPr>
          <w:rFonts w:hint="eastAsia" w:ascii="宋体" w:hAnsi="宋体" w:cs="宋体"/>
          <w:color w:val="000000"/>
          <w:sz w:val="22"/>
          <w:szCs w:val="22"/>
          <w:highlight w:val="none"/>
        </w:rPr>
        <w:t>15.4.3 修复通知</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承包人收到保修通知并到达工程现场的合理时间：</w:t>
      </w:r>
      <w:r>
        <w:rPr>
          <w:rFonts w:hint="eastAsia" w:ascii="宋体" w:hAnsi="宋体" w:cs="宋体"/>
          <w:color w:val="000000"/>
          <w:sz w:val="22"/>
          <w:szCs w:val="22"/>
          <w:highlight w:val="none"/>
          <w:u w:val="single"/>
        </w:rPr>
        <w:t xml:space="preserve"> 7天  </w:t>
      </w:r>
      <w:r>
        <w:rPr>
          <w:rFonts w:hint="eastAsia" w:ascii="宋体" w:hAnsi="宋体" w:cs="宋体"/>
          <w:color w:val="000000"/>
          <w:sz w:val="22"/>
          <w:szCs w:val="22"/>
          <w:highlight w:val="none"/>
        </w:rPr>
        <w:t>。</w:t>
      </w:r>
    </w:p>
    <w:bookmarkEnd w:id="1402"/>
    <w:bookmarkEnd w:id="1403"/>
    <w:bookmarkEnd w:id="1404"/>
    <w:bookmarkEnd w:id="1405"/>
    <w:p>
      <w:pPr>
        <w:spacing w:before="120" w:after="120" w:line="360" w:lineRule="auto"/>
        <w:rPr>
          <w:rFonts w:ascii="宋体" w:hAnsi="宋体" w:cs="宋体"/>
          <w:color w:val="000000"/>
          <w:sz w:val="22"/>
          <w:szCs w:val="22"/>
          <w:highlight w:val="none"/>
        </w:rPr>
      </w:pPr>
      <w:bookmarkStart w:id="1432" w:name="_Toc351203648"/>
      <w:bookmarkStart w:id="1433" w:name="_Toc280868717"/>
      <w:bookmarkStart w:id="1434" w:name="_Toc280868718"/>
      <w:r>
        <w:rPr>
          <w:rFonts w:hint="eastAsia" w:ascii="宋体" w:hAnsi="宋体" w:cs="宋体"/>
          <w:color w:val="000000"/>
          <w:sz w:val="22"/>
          <w:szCs w:val="22"/>
          <w:highlight w:val="none"/>
        </w:rPr>
        <w:t>16. 违约</w:t>
      </w:r>
      <w:bookmarkEnd w:id="1432"/>
    </w:p>
    <w:p>
      <w:pPr>
        <w:spacing w:after="120" w:line="360" w:lineRule="auto"/>
        <w:ind w:firstLine="440" w:firstLineChars="200"/>
        <w:rPr>
          <w:rFonts w:ascii="宋体" w:hAnsi="宋体" w:cs="宋体"/>
          <w:color w:val="000000"/>
          <w:sz w:val="22"/>
          <w:szCs w:val="22"/>
          <w:highlight w:val="none"/>
        </w:rPr>
      </w:pPr>
      <w:bookmarkStart w:id="1435" w:name="_Toc10184"/>
      <w:r>
        <w:rPr>
          <w:rFonts w:hint="eastAsia" w:ascii="宋体" w:hAnsi="宋体" w:cs="宋体"/>
          <w:color w:val="000000"/>
          <w:sz w:val="22"/>
          <w:szCs w:val="22"/>
          <w:highlight w:val="none"/>
        </w:rPr>
        <w:t>16.1 发包人违约</w:t>
      </w:r>
      <w:bookmarkEnd w:id="1435"/>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16.1.1发包人违约的情形</w:t>
      </w:r>
    </w:p>
    <w:p>
      <w:pPr>
        <w:spacing w:line="360" w:lineRule="auto"/>
        <w:ind w:firstLine="429" w:firstLineChars="195"/>
        <w:rPr>
          <w:rFonts w:ascii="宋体" w:hAnsi="宋体" w:cs="宋体"/>
          <w:color w:val="000000"/>
          <w:sz w:val="22"/>
          <w:szCs w:val="22"/>
          <w:highlight w:val="none"/>
          <w:u w:val="single"/>
        </w:rPr>
      </w:pPr>
      <w:r>
        <w:rPr>
          <w:rFonts w:hint="eastAsia" w:ascii="宋体" w:hAnsi="宋体" w:cs="宋体"/>
          <w:color w:val="000000"/>
          <w:sz w:val="22"/>
          <w:szCs w:val="22"/>
          <w:highlight w:val="none"/>
        </w:rPr>
        <w:t>发包人违约的其他情形：</w:t>
      </w:r>
      <w:r>
        <w:rPr>
          <w:rFonts w:hint="eastAsia" w:ascii="宋体" w:hAnsi="宋体" w:cs="宋体"/>
          <w:color w:val="000000"/>
          <w:sz w:val="22"/>
          <w:szCs w:val="22"/>
          <w:highlight w:val="none"/>
          <w:u w:val="single"/>
        </w:rPr>
        <w:t>支付延误、发包人未能在规定的期限内向承包人提供项目的合规性文件、未能在规定的期限内组织项目或单位工程竣工验收。</w:t>
      </w:r>
    </w:p>
    <w:p>
      <w:pPr>
        <w:spacing w:line="360" w:lineRule="auto"/>
        <w:ind w:left="1100" w:hanging="1100" w:hangingChars="500"/>
        <w:rPr>
          <w:rFonts w:ascii="宋体" w:hAnsi="宋体" w:cs="宋体"/>
          <w:color w:val="000000"/>
          <w:sz w:val="22"/>
          <w:szCs w:val="22"/>
          <w:highlight w:val="none"/>
        </w:rPr>
      </w:pPr>
      <w:r>
        <w:rPr>
          <w:rFonts w:hint="eastAsia" w:ascii="宋体" w:hAnsi="宋体" w:cs="宋体"/>
          <w:color w:val="000000"/>
          <w:sz w:val="22"/>
          <w:szCs w:val="22"/>
          <w:highlight w:val="none"/>
        </w:rPr>
        <w:t xml:space="preserve">    16.1.2 发包人违约的责任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发包人违约责任的承担方式和计算方法：</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（1）因发包人原因未能在计划开工日期前7天内下达开工通知的违约责任：</w:t>
      </w:r>
      <w:r>
        <w:rPr>
          <w:rFonts w:hint="eastAsia" w:ascii="宋体" w:hAnsi="宋体" w:cs="宋体"/>
          <w:color w:val="000000"/>
          <w:sz w:val="22"/>
          <w:szCs w:val="22"/>
          <w:highlight w:val="none"/>
          <w:u w:val="single"/>
        </w:rPr>
        <w:t>工期顺延，造成损失由发包人承担</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（2）因发包人原因未能按合同约定支付合同价款的违约责任：</w:t>
      </w:r>
      <w:r>
        <w:rPr>
          <w:rFonts w:hint="eastAsia" w:ascii="宋体" w:hAnsi="宋体" w:cs="宋体"/>
          <w:color w:val="000000"/>
          <w:sz w:val="22"/>
          <w:szCs w:val="22"/>
          <w:highlight w:val="none"/>
          <w:u w:val="single"/>
        </w:rPr>
        <w:t>按通用条款约定。</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（3）发包人违反第10.1款〔变更的范围〕第（2）项约定，自行实施被取消的工作或转由他人实施的违约责任：</w:t>
      </w:r>
      <w:r>
        <w:rPr>
          <w:rFonts w:hint="eastAsia" w:ascii="宋体" w:hAnsi="宋体" w:cs="宋体"/>
          <w:color w:val="000000"/>
          <w:sz w:val="22"/>
          <w:szCs w:val="22"/>
          <w:highlight w:val="none"/>
          <w:u w:val="single"/>
        </w:rPr>
        <w:t xml:space="preserve"> 按该工程价款的5%补偿承包人被取消的工作或转由他人实施的应得利润</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000000"/>
          <w:sz w:val="22"/>
          <w:szCs w:val="22"/>
          <w:highlight w:val="none"/>
          <w:u w:val="single"/>
        </w:rPr>
        <w:t xml:space="preserve">无 </w:t>
      </w:r>
      <w:r>
        <w:rPr>
          <w:rFonts w:hint="eastAsia" w:ascii="宋体" w:hAnsi="宋体" w:cs="宋体"/>
          <w:color w:val="000000"/>
          <w:sz w:val="22"/>
          <w:szCs w:val="22"/>
          <w:highlight w:val="none"/>
        </w:rPr>
        <w:t>。</w:t>
      </w:r>
    </w:p>
    <w:p>
      <w:pPr>
        <w:spacing w:line="360" w:lineRule="auto"/>
        <w:ind w:firstLine="440" w:firstLineChars="200"/>
        <w:rPr>
          <w:rFonts w:ascii="宋体" w:hAnsi="宋体" w:cs="宋体"/>
          <w:sz w:val="22"/>
          <w:szCs w:val="22"/>
          <w:highlight w:val="none"/>
        </w:rPr>
      </w:pPr>
      <w:r>
        <w:rPr>
          <w:rFonts w:hint="eastAsia" w:ascii="宋体" w:hAnsi="宋体" w:cs="宋体"/>
          <w:color w:val="000000"/>
          <w:sz w:val="22"/>
          <w:szCs w:val="22"/>
          <w:highlight w:val="none"/>
        </w:rPr>
        <w:t>（5）因发包人违反合同约定造成暂停施工的违约责任：</w:t>
      </w:r>
      <w:r>
        <w:rPr>
          <w:rFonts w:hint="eastAsia" w:ascii="宋体" w:hAnsi="宋体" w:cs="宋体"/>
          <w:color w:val="000000"/>
          <w:sz w:val="22"/>
          <w:szCs w:val="22"/>
          <w:highlight w:val="none"/>
          <w:u w:val="single"/>
        </w:rPr>
        <w:t xml:space="preserve"> 工期顺延，并承担承包人的窝工费、机械停滞费、</w:t>
      </w:r>
      <w:r>
        <w:rPr>
          <w:rFonts w:hint="eastAsia" w:ascii="宋体" w:hAnsi="宋体" w:cs="宋体"/>
          <w:sz w:val="22"/>
          <w:szCs w:val="22"/>
          <w:highlight w:val="none"/>
          <w:u w:val="single"/>
        </w:rPr>
        <w:t>现场管理费,总金额不超过工程总价款</w:t>
      </w:r>
      <w:r>
        <w:rPr>
          <w:rFonts w:hint="eastAsia" w:ascii="宋体" w:hAnsi="宋体" w:cs="宋体"/>
          <w:sz w:val="22"/>
          <w:szCs w:val="22"/>
          <w:highlight w:val="none"/>
          <w:u w:val="single"/>
          <w:lang w:val="en-US" w:eastAsia="zh-CN"/>
        </w:rPr>
        <w:t>5%</w:t>
      </w:r>
      <w:r>
        <w:rPr>
          <w:rFonts w:hint="eastAsia" w:ascii="宋体" w:hAnsi="宋体" w:cs="宋体"/>
          <w:sz w:val="22"/>
          <w:szCs w:val="22"/>
          <w:highlight w:val="none"/>
          <w:u w:val="single"/>
        </w:rPr>
        <w:t>。</w:t>
      </w:r>
    </w:p>
    <w:p>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（6）发包人无正当理由没有在约定期限内发出复工指示，导致承包人无法复工的违约责任：</w:t>
      </w:r>
      <w:r>
        <w:rPr>
          <w:rFonts w:hint="eastAsia" w:ascii="宋体" w:hAnsi="宋体" w:cs="宋体"/>
          <w:sz w:val="22"/>
          <w:szCs w:val="22"/>
          <w:highlight w:val="none"/>
          <w:u w:val="single"/>
        </w:rPr>
        <w:t>工期顺延，并承担承包人的窝工费、机械停滞费、现场管理费,总金额不超过工程总价款</w:t>
      </w:r>
      <w:r>
        <w:rPr>
          <w:rFonts w:hint="eastAsia" w:ascii="宋体" w:hAnsi="宋体" w:cs="宋体"/>
          <w:sz w:val="22"/>
          <w:szCs w:val="22"/>
          <w:highlight w:val="none"/>
          <w:u w:val="single"/>
          <w:lang w:val="en-US" w:eastAsia="zh-CN"/>
        </w:rPr>
        <w:t>5%</w:t>
      </w:r>
      <w:r>
        <w:rPr>
          <w:rFonts w:hint="eastAsia" w:ascii="宋体" w:hAnsi="宋体" w:cs="宋体"/>
          <w:sz w:val="22"/>
          <w:szCs w:val="22"/>
          <w:highlight w:val="none"/>
          <w:u w:val="single"/>
        </w:rPr>
        <w:t>。</w:t>
      </w:r>
    </w:p>
    <w:p>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（7）其他：</w:t>
      </w:r>
      <w:r>
        <w:rPr>
          <w:rFonts w:hint="eastAsia" w:ascii="宋体" w:hAnsi="宋体" w:cs="宋体"/>
          <w:sz w:val="22"/>
          <w:szCs w:val="22"/>
          <w:highlight w:val="none"/>
          <w:u w:val="single"/>
        </w:rPr>
        <w:t xml:space="preserve">工程决算以最终实际工程量进行决算，承包人不得以招标价格为借口，向发包人进行索赔 </w:t>
      </w:r>
      <w:r>
        <w:rPr>
          <w:rFonts w:hint="eastAsia" w:ascii="宋体" w:hAnsi="宋体" w:cs="宋体"/>
          <w:sz w:val="22"/>
          <w:szCs w:val="22"/>
          <w:highlight w:val="none"/>
        </w:rPr>
        <w:t>。发包人因政府政策、要求、通知等原因，造成合同违约的，不承担违约责任。</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16.1.3 因发包人违约解除合同</w:t>
      </w:r>
    </w:p>
    <w:p>
      <w:pPr>
        <w:autoSpaceDE w:val="0"/>
        <w:autoSpaceDN w:val="0"/>
        <w:adjustRightInd w:val="0"/>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承包人按16.1.1项〔发包人违约的情形〕约定暂停施工满</w:t>
      </w:r>
      <w:r>
        <w:rPr>
          <w:rFonts w:hint="eastAsia" w:ascii="宋体" w:hAnsi="宋体" w:cs="宋体"/>
          <w:color w:val="000000"/>
          <w:sz w:val="22"/>
          <w:szCs w:val="22"/>
          <w:highlight w:val="none"/>
          <w:u w:val="single"/>
        </w:rPr>
        <w:t xml:space="preserve"> 28 </w:t>
      </w:r>
      <w:r>
        <w:rPr>
          <w:rFonts w:hint="eastAsia" w:ascii="宋体" w:hAnsi="宋体" w:cs="宋体"/>
          <w:color w:val="000000"/>
          <w:sz w:val="22"/>
          <w:szCs w:val="22"/>
          <w:highlight w:val="none"/>
        </w:rPr>
        <w:t>天后发包人仍不纠正其违约行为并致使合同目的不能实现的，承包人有权解除合同。</w:t>
      </w:r>
    </w:p>
    <w:p>
      <w:pPr>
        <w:spacing w:after="120" w:line="360" w:lineRule="auto"/>
        <w:ind w:firstLine="440" w:firstLineChars="200"/>
        <w:rPr>
          <w:rFonts w:ascii="宋体" w:hAnsi="宋体" w:cs="宋体"/>
          <w:color w:val="000000"/>
          <w:sz w:val="22"/>
          <w:szCs w:val="22"/>
          <w:highlight w:val="none"/>
        </w:rPr>
      </w:pPr>
      <w:bookmarkStart w:id="1436" w:name="_Toc26491"/>
      <w:r>
        <w:rPr>
          <w:rFonts w:hint="eastAsia" w:ascii="宋体" w:hAnsi="宋体" w:cs="宋体"/>
          <w:color w:val="000000"/>
          <w:sz w:val="22"/>
          <w:szCs w:val="22"/>
          <w:highlight w:val="none"/>
        </w:rPr>
        <w:t>16.2 承包人违约</w:t>
      </w:r>
      <w:bookmarkEnd w:id="1436"/>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16.2.1 承包人违约的情形</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承包人违约的其他情形：</w:t>
      </w:r>
      <w:r>
        <w:rPr>
          <w:rFonts w:hint="eastAsia" w:ascii="宋体" w:hAnsi="宋体" w:cs="宋体"/>
          <w:color w:val="000000"/>
          <w:sz w:val="22"/>
          <w:szCs w:val="22"/>
          <w:highlight w:val="none"/>
          <w:u w:val="single"/>
        </w:rPr>
        <w:t xml:space="preserve"> 执行通用条款 </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16.2.2承包人违约的责任</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承包人违约责任的承担方式和计算方法：</w:t>
      </w:r>
      <w:r>
        <w:rPr>
          <w:rFonts w:hint="eastAsia" w:ascii="宋体" w:hAnsi="宋体" w:cs="宋体"/>
          <w:color w:val="000000"/>
          <w:sz w:val="22"/>
          <w:szCs w:val="22"/>
          <w:highlight w:val="none"/>
          <w:u w:val="single"/>
        </w:rPr>
        <w:t>（1）承包人质量违约，承包人负责整改并承担相应的费用。（2）由承包人原因引起的工期延误，承包人承担违约责任</w:t>
      </w:r>
      <w:r>
        <w:rPr>
          <w:rFonts w:hint="eastAsia" w:ascii="宋体" w:hAnsi="宋体" w:cs="宋体"/>
          <w:color w:val="000000"/>
          <w:sz w:val="21"/>
          <w:szCs w:val="21"/>
          <w:highlight w:val="none"/>
          <w:u w:val="single"/>
        </w:rPr>
        <w:t> ,</w:t>
      </w:r>
      <w:r>
        <w:rPr>
          <w:rFonts w:hint="eastAsia" w:ascii="宋体" w:hAnsi="宋体" w:cs="宋体"/>
          <w:color w:val="000000"/>
          <w:sz w:val="22"/>
          <w:szCs w:val="22"/>
          <w:highlight w:val="none"/>
          <w:u w:val="single"/>
        </w:rPr>
        <w:t>工期不予顺延.</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16.2.3 因承包人违约解除合同</w:t>
      </w:r>
    </w:p>
    <w:p>
      <w:pPr>
        <w:spacing w:before="120"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关于承包人违约解除合同的特别约定：</w:t>
      </w:r>
      <w:r>
        <w:rPr>
          <w:rFonts w:hint="eastAsia" w:ascii="宋体" w:hAnsi="宋体" w:cs="宋体"/>
          <w:color w:val="000000"/>
          <w:sz w:val="22"/>
          <w:szCs w:val="22"/>
          <w:highlight w:val="none"/>
          <w:u w:val="single"/>
        </w:rPr>
        <w:t>在施工期间出现承包人严重违约，导致合同无法履行，发包人有权暂停工程或解除本合同, 在发包人发出停工或解除合同通知送达承包人时，解除合同自动生效，承包人无条件退场。如出现承包人拒不撤离施工现场，发包人有权强制清场。双方在解除合同后的90天内，发包人完成对承包人已完工程量的结算工作，发包人在结算完成后10日内按结算价的100%支付给承包人。</w:t>
      </w:r>
      <w:r>
        <w:rPr>
          <w:rFonts w:hint="eastAsia" w:ascii="宋体" w:hAnsi="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cs="宋体"/>
          <w:color w:val="000000"/>
          <w:sz w:val="22"/>
          <w:szCs w:val="22"/>
          <w:highlight w:val="none"/>
          <w:u w:val="single"/>
        </w:rPr>
        <w:t>使用施工现场的材料、设备按实结算，使用施工机械、器具按租赁费结算，使用承包人临时工程按租赁费结算。无偿使用承包人为本工程施工所编制的相应文件等。</w:t>
      </w:r>
    </w:p>
    <w:p>
      <w:pPr>
        <w:spacing w:before="120" w:after="120" w:line="360" w:lineRule="auto"/>
        <w:rPr>
          <w:rFonts w:ascii="宋体" w:hAnsi="宋体" w:cs="宋体"/>
          <w:color w:val="000000"/>
          <w:sz w:val="22"/>
          <w:szCs w:val="22"/>
          <w:highlight w:val="none"/>
        </w:rPr>
      </w:pPr>
      <w:bookmarkStart w:id="1437" w:name="_Toc351203649"/>
      <w:r>
        <w:rPr>
          <w:rFonts w:hint="eastAsia" w:ascii="宋体" w:hAnsi="宋体" w:cs="宋体"/>
          <w:color w:val="000000"/>
          <w:sz w:val="22"/>
          <w:szCs w:val="22"/>
          <w:highlight w:val="none"/>
        </w:rPr>
        <w:t>17. 不可抗力</w:t>
      </w:r>
      <w:bookmarkEnd w:id="1437"/>
      <w:r>
        <w:rPr>
          <w:rFonts w:hint="eastAsia" w:ascii="宋体" w:hAnsi="宋体" w:cs="宋体"/>
          <w:color w:val="000000"/>
          <w:sz w:val="22"/>
          <w:szCs w:val="22"/>
          <w:highlight w:val="none"/>
        </w:rPr>
        <w:t xml:space="preserve"> </w:t>
      </w:r>
      <w:bookmarkEnd w:id="1433"/>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17.1 不可抗力的确认</w:t>
      </w:r>
    </w:p>
    <w:p>
      <w:pPr>
        <w:spacing w:line="360" w:lineRule="auto"/>
        <w:ind w:firstLine="440" w:firstLineChars="200"/>
        <w:rPr>
          <w:rFonts w:ascii="宋体" w:hAnsi="宋体" w:cs="宋体"/>
          <w:color w:val="000000"/>
          <w:sz w:val="22"/>
          <w:szCs w:val="22"/>
          <w:highlight w:val="none"/>
          <w:u w:val="single"/>
        </w:rPr>
      </w:pPr>
      <w:r>
        <w:rPr>
          <w:rFonts w:hint="eastAsia" w:ascii="宋体" w:hAnsi="宋体" w:cs="宋体"/>
          <w:color w:val="000000"/>
          <w:sz w:val="22"/>
          <w:szCs w:val="22"/>
          <w:highlight w:val="none"/>
        </w:rPr>
        <w:t>除通用合同条款约定的不可抗力事件之外，视为不可抗力的其他情形：</w:t>
      </w:r>
      <w:r>
        <w:rPr>
          <w:rFonts w:hint="eastAsia" w:ascii="宋体" w:hAnsi="宋体" w:cs="宋体"/>
          <w:color w:val="000000"/>
          <w:sz w:val="22"/>
          <w:szCs w:val="22"/>
          <w:highlight w:val="none"/>
          <w:u w:val="single"/>
        </w:rPr>
        <w:t xml:space="preserve">疫情等突发事件、行政命令或措施 </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1438" w:name="_Toc8429"/>
      <w:r>
        <w:rPr>
          <w:rFonts w:hint="eastAsia" w:ascii="宋体" w:hAnsi="宋体" w:cs="宋体"/>
          <w:color w:val="000000"/>
          <w:sz w:val="22"/>
          <w:szCs w:val="22"/>
          <w:highlight w:val="none"/>
        </w:rPr>
        <w:t>17.4 因不可抗力解除合同</w:t>
      </w:r>
      <w:bookmarkEnd w:id="1438"/>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合同解除后，发包人应在商定或确定发包人应支付款项后</w:t>
      </w:r>
      <w:r>
        <w:rPr>
          <w:rFonts w:hint="eastAsia" w:ascii="宋体" w:hAnsi="宋体" w:cs="宋体"/>
          <w:color w:val="000000"/>
          <w:sz w:val="22"/>
          <w:szCs w:val="22"/>
          <w:highlight w:val="none"/>
          <w:u w:val="single"/>
        </w:rPr>
        <w:t xml:space="preserve"> 28 </w:t>
      </w:r>
      <w:r>
        <w:rPr>
          <w:rFonts w:hint="eastAsia" w:ascii="宋体" w:hAnsi="宋体" w:cs="宋体"/>
          <w:color w:val="000000"/>
          <w:sz w:val="22"/>
          <w:szCs w:val="22"/>
          <w:highlight w:val="none"/>
        </w:rPr>
        <w:t>天内完成款项的支付。</w:t>
      </w:r>
    </w:p>
    <w:p>
      <w:pPr>
        <w:spacing w:before="120" w:after="120" w:line="360" w:lineRule="auto"/>
        <w:rPr>
          <w:rFonts w:ascii="宋体" w:hAnsi="宋体" w:cs="宋体"/>
          <w:color w:val="000000"/>
          <w:sz w:val="22"/>
          <w:szCs w:val="22"/>
          <w:highlight w:val="none"/>
        </w:rPr>
      </w:pPr>
      <w:bookmarkStart w:id="1439" w:name="_Toc351203650"/>
      <w:r>
        <w:rPr>
          <w:rFonts w:hint="eastAsia" w:ascii="宋体" w:hAnsi="宋体" w:cs="宋体"/>
          <w:color w:val="000000"/>
          <w:sz w:val="22"/>
          <w:szCs w:val="22"/>
          <w:highlight w:val="none"/>
        </w:rPr>
        <w:t>18. 保险</w:t>
      </w:r>
      <w:bookmarkEnd w:id="1439"/>
    </w:p>
    <w:bookmarkEnd w:id="1434"/>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18.1 工程保险</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关于工程保险的特别约定：</w:t>
      </w:r>
      <w:r>
        <w:rPr>
          <w:rFonts w:hint="eastAsia" w:ascii="宋体" w:hAnsi="宋体" w:cs="宋体"/>
          <w:color w:val="000000"/>
          <w:sz w:val="22"/>
          <w:szCs w:val="22"/>
          <w:highlight w:val="none"/>
          <w:u w:val="single"/>
        </w:rPr>
        <w:t xml:space="preserve"> 承包人承担 </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bookmarkStart w:id="1440" w:name="_Toc25067"/>
      <w:r>
        <w:rPr>
          <w:rFonts w:hint="eastAsia" w:ascii="宋体" w:hAnsi="宋体" w:cs="宋体"/>
          <w:color w:val="000000"/>
          <w:sz w:val="22"/>
          <w:szCs w:val="22"/>
          <w:highlight w:val="none"/>
        </w:rPr>
        <w:t>18.3 其他保险</w:t>
      </w:r>
      <w:bookmarkEnd w:id="1440"/>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关于其他保险的约定：</w:t>
      </w:r>
      <w:r>
        <w:rPr>
          <w:rFonts w:hint="eastAsia" w:ascii="宋体" w:hAnsi="宋体" w:cs="宋体"/>
          <w:color w:val="000000"/>
          <w:sz w:val="22"/>
          <w:szCs w:val="22"/>
          <w:highlight w:val="none"/>
          <w:u w:val="single"/>
        </w:rPr>
        <w:t xml:space="preserve">执行通用条款  </w:t>
      </w:r>
      <w:r>
        <w:rPr>
          <w:rFonts w:hint="eastAsia" w:ascii="宋体" w:hAnsi="宋体" w:cs="宋体"/>
          <w:color w:val="000000"/>
          <w:sz w:val="22"/>
          <w:szCs w:val="22"/>
          <w:highlight w:val="none"/>
        </w:rPr>
        <w:t>。</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承包人是否应为其施工设备等办理财产保险：</w:t>
      </w:r>
      <w:r>
        <w:rPr>
          <w:rFonts w:hint="eastAsia" w:ascii="宋体" w:hAnsi="宋体" w:cs="宋体"/>
          <w:color w:val="000000"/>
          <w:sz w:val="22"/>
          <w:szCs w:val="22"/>
          <w:highlight w:val="none"/>
          <w:u w:val="single"/>
        </w:rPr>
        <w:t xml:space="preserve">执行通用条款  </w:t>
      </w:r>
      <w:r>
        <w:rPr>
          <w:rFonts w:hint="eastAsia" w:ascii="宋体" w:hAnsi="宋体" w:cs="宋体"/>
          <w:color w:val="000000"/>
          <w:sz w:val="22"/>
          <w:szCs w:val="22"/>
          <w:highlight w:val="none"/>
        </w:rPr>
        <w:t>。</w:t>
      </w:r>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18.7 通知义务</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关于变更保险合同时的通知义务的约定：</w:t>
      </w:r>
      <w:r>
        <w:rPr>
          <w:rFonts w:hint="eastAsia" w:ascii="宋体" w:hAnsi="宋体" w:cs="宋体"/>
          <w:color w:val="000000"/>
          <w:sz w:val="22"/>
          <w:szCs w:val="22"/>
          <w:highlight w:val="none"/>
          <w:u w:val="single"/>
        </w:rPr>
        <w:t xml:space="preserve"> 执行通用条款</w:t>
      </w:r>
      <w:r>
        <w:rPr>
          <w:rFonts w:hint="eastAsia" w:ascii="宋体" w:hAnsi="宋体" w:cs="宋体"/>
          <w:color w:val="000000"/>
          <w:sz w:val="22"/>
          <w:szCs w:val="22"/>
          <w:highlight w:val="none"/>
        </w:rPr>
        <w:t>。</w:t>
      </w:r>
    </w:p>
    <w:bookmarkEnd w:id="1406"/>
    <w:bookmarkEnd w:id="1407"/>
    <w:bookmarkEnd w:id="1408"/>
    <w:bookmarkEnd w:id="1409"/>
    <w:bookmarkEnd w:id="1410"/>
    <w:bookmarkEnd w:id="1411"/>
    <w:bookmarkEnd w:id="1412"/>
    <w:bookmarkEnd w:id="1413"/>
    <w:bookmarkEnd w:id="1414"/>
    <w:bookmarkEnd w:id="1415"/>
    <w:bookmarkEnd w:id="1416"/>
    <w:bookmarkEnd w:id="1417"/>
    <w:p>
      <w:pPr>
        <w:spacing w:before="120" w:after="120" w:line="360" w:lineRule="auto"/>
        <w:rPr>
          <w:rFonts w:ascii="宋体" w:hAnsi="宋体" w:cs="宋体"/>
          <w:color w:val="000000"/>
          <w:sz w:val="22"/>
          <w:szCs w:val="22"/>
          <w:highlight w:val="none"/>
        </w:rPr>
      </w:pPr>
      <w:bookmarkStart w:id="1441" w:name="_Toc351203651"/>
      <w:r>
        <w:rPr>
          <w:rFonts w:hint="eastAsia" w:ascii="宋体" w:hAnsi="宋体" w:cs="宋体"/>
          <w:color w:val="000000"/>
          <w:sz w:val="22"/>
          <w:szCs w:val="22"/>
          <w:highlight w:val="none"/>
        </w:rPr>
        <w:t>20. 争议解决</w:t>
      </w:r>
      <w:bookmarkEnd w:id="1441"/>
    </w:p>
    <w:bookmarkEnd w:id="1418"/>
    <w:bookmarkEnd w:id="1419"/>
    <w:bookmarkEnd w:id="1420"/>
    <w:p>
      <w:pPr>
        <w:spacing w:after="120" w:line="360" w:lineRule="auto"/>
        <w:ind w:firstLine="440" w:firstLineChars="200"/>
        <w:rPr>
          <w:rFonts w:ascii="宋体" w:hAnsi="宋体" w:cs="宋体"/>
          <w:color w:val="000000"/>
          <w:sz w:val="22"/>
          <w:szCs w:val="22"/>
          <w:highlight w:val="none"/>
        </w:rPr>
      </w:pPr>
      <w:bookmarkStart w:id="1442" w:name="_Toc4642"/>
      <w:r>
        <w:rPr>
          <w:rFonts w:hint="eastAsia" w:ascii="宋体" w:hAnsi="宋体" w:cs="宋体"/>
          <w:color w:val="000000"/>
          <w:sz w:val="22"/>
          <w:szCs w:val="22"/>
          <w:highlight w:val="none"/>
        </w:rPr>
        <w:t>20.4仲裁或诉讼</w:t>
      </w:r>
      <w:bookmarkEnd w:id="1421"/>
      <w:bookmarkEnd w:id="1442"/>
    </w:p>
    <w:p>
      <w:pPr>
        <w:spacing w:after="120"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因合同及合同有关事项发生的争议，按下列第</w:t>
      </w:r>
      <w:r>
        <w:rPr>
          <w:rFonts w:hint="eastAsia" w:ascii="宋体" w:hAnsi="宋体" w:cs="宋体"/>
          <w:color w:val="000000"/>
          <w:sz w:val="22"/>
          <w:szCs w:val="22"/>
          <w:highlight w:val="none"/>
          <w:u w:val="single"/>
        </w:rPr>
        <w:t xml:space="preserve"> （2） </w:t>
      </w:r>
      <w:r>
        <w:rPr>
          <w:rFonts w:hint="eastAsia" w:ascii="宋体" w:hAnsi="宋体" w:cs="宋体"/>
          <w:color w:val="000000"/>
          <w:sz w:val="22"/>
          <w:szCs w:val="22"/>
          <w:highlight w:val="none"/>
        </w:rPr>
        <w:t>种方式解决：</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（1）向</w:t>
      </w:r>
      <w:r>
        <w:rPr>
          <w:rFonts w:hint="eastAsia" w:ascii="宋体" w:hAnsi="宋体" w:cs="宋体"/>
          <w:color w:val="000000"/>
          <w:sz w:val="22"/>
          <w:szCs w:val="22"/>
          <w:highlight w:val="none"/>
          <w:u w:val="single"/>
        </w:rPr>
        <w:t xml:space="preserve"> 西安市 </w:t>
      </w:r>
      <w:r>
        <w:rPr>
          <w:rFonts w:hint="eastAsia" w:ascii="宋体" w:hAnsi="宋体" w:cs="宋体"/>
          <w:color w:val="000000"/>
          <w:sz w:val="22"/>
          <w:szCs w:val="22"/>
          <w:highlight w:val="none"/>
        </w:rPr>
        <w:t>仲裁委员会申请仲裁；</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（2）向</w:t>
      </w:r>
      <w:r>
        <w:rPr>
          <w:rFonts w:hint="eastAsia" w:ascii="宋体" w:hAnsi="宋体" w:cs="宋体"/>
          <w:color w:val="000000"/>
          <w:sz w:val="22"/>
          <w:szCs w:val="22"/>
          <w:highlight w:val="none"/>
          <w:u w:val="single"/>
        </w:rPr>
        <w:t xml:space="preserve"> 工程所在地  </w:t>
      </w:r>
      <w:r>
        <w:rPr>
          <w:rFonts w:hint="eastAsia" w:ascii="宋体" w:hAnsi="宋体" w:cs="宋体"/>
          <w:color w:val="000000"/>
          <w:sz w:val="22"/>
          <w:szCs w:val="22"/>
          <w:highlight w:val="none"/>
        </w:rPr>
        <w:t>人民法院起诉。</w:t>
      </w:r>
      <w:bookmarkEnd w:id="1422"/>
      <w:bookmarkEnd w:id="1423"/>
      <w:bookmarkEnd w:id="1424"/>
      <w:bookmarkEnd w:id="1425"/>
      <w:bookmarkEnd w:id="1426"/>
      <w:bookmarkEnd w:id="1427"/>
    </w:p>
    <w:p>
      <w:pPr>
        <w:spacing w:line="360" w:lineRule="auto"/>
        <w:rPr>
          <w:rFonts w:ascii="宋体" w:hAnsi="宋体" w:cs="宋体"/>
          <w:b/>
          <w:color w:val="000000"/>
          <w:sz w:val="22"/>
          <w:szCs w:val="22"/>
          <w:highlight w:val="none"/>
        </w:rPr>
      </w:pPr>
      <w:r>
        <w:rPr>
          <w:rFonts w:hint="eastAsia" w:ascii="宋体" w:hAnsi="宋体" w:cs="宋体"/>
          <w:color w:val="000000"/>
          <w:sz w:val="22"/>
          <w:szCs w:val="22"/>
          <w:highlight w:val="none"/>
        </w:rPr>
        <w:br w:type="page"/>
      </w:r>
      <w:bookmarkStart w:id="1443" w:name="_Toc351203652"/>
      <w:r>
        <w:rPr>
          <w:rFonts w:hint="eastAsia" w:ascii="宋体" w:hAnsi="宋体" w:cs="宋体"/>
          <w:b/>
          <w:color w:val="000000"/>
          <w:sz w:val="22"/>
          <w:szCs w:val="22"/>
          <w:highlight w:val="none"/>
        </w:rPr>
        <w:t>附件</w:t>
      </w:r>
      <w:bookmarkEnd w:id="1443"/>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协议书附件：</w:t>
      </w:r>
    </w:p>
    <w:p>
      <w:pPr>
        <w:spacing w:line="360" w:lineRule="auto"/>
        <w:rPr>
          <w:rFonts w:ascii="宋体" w:hAnsi="宋体" w:cs="宋体"/>
          <w:color w:val="000000"/>
          <w:sz w:val="22"/>
          <w:szCs w:val="22"/>
          <w:highlight w:val="none"/>
        </w:rPr>
      </w:pPr>
      <w:bookmarkStart w:id="1444" w:name="_Toc13915"/>
      <w:r>
        <w:rPr>
          <w:rFonts w:hint="eastAsia" w:ascii="宋体" w:hAnsi="宋体" w:cs="宋体"/>
          <w:color w:val="000000"/>
          <w:sz w:val="22"/>
          <w:szCs w:val="22"/>
          <w:highlight w:val="none"/>
        </w:rPr>
        <w:t>附件1：承包人承揽工程项目一览表</w:t>
      </w:r>
      <w:bookmarkEnd w:id="1444"/>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专用合同条款附件：</w:t>
      </w:r>
    </w:p>
    <w:p>
      <w:pPr>
        <w:spacing w:line="360" w:lineRule="auto"/>
        <w:rPr>
          <w:rFonts w:ascii="宋体" w:hAnsi="宋体" w:cs="宋体"/>
          <w:color w:val="000000"/>
          <w:sz w:val="22"/>
          <w:szCs w:val="22"/>
          <w:highlight w:val="none"/>
        </w:rPr>
      </w:pPr>
      <w:bookmarkStart w:id="1445" w:name="_Toc16328"/>
      <w:r>
        <w:rPr>
          <w:rFonts w:hint="eastAsia" w:ascii="宋体" w:hAnsi="宋体" w:cs="宋体"/>
          <w:color w:val="000000"/>
          <w:sz w:val="22"/>
          <w:szCs w:val="22"/>
          <w:highlight w:val="none"/>
        </w:rPr>
        <w:t>附件2：发包人供应材料设备一览表</w:t>
      </w:r>
      <w:bookmarkEnd w:id="1445"/>
    </w:p>
    <w:p>
      <w:pPr>
        <w:spacing w:line="360" w:lineRule="auto"/>
        <w:rPr>
          <w:rFonts w:ascii="宋体" w:hAnsi="宋体" w:cs="宋体"/>
          <w:color w:val="000000"/>
          <w:sz w:val="22"/>
          <w:szCs w:val="22"/>
          <w:highlight w:val="none"/>
        </w:rPr>
      </w:pPr>
      <w:bookmarkStart w:id="1446" w:name="_Toc17193"/>
      <w:r>
        <w:rPr>
          <w:rFonts w:hint="eastAsia" w:ascii="宋体" w:hAnsi="宋体" w:cs="宋体"/>
          <w:color w:val="000000"/>
          <w:sz w:val="22"/>
          <w:szCs w:val="22"/>
          <w:highlight w:val="none"/>
        </w:rPr>
        <w:t>附件3：工程质量保修书</w:t>
      </w:r>
      <w:bookmarkEnd w:id="1446"/>
    </w:p>
    <w:p>
      <w:pPr>
        <w:spacing w:line="360" w:lineRule="auto"/>
        <w:rPr>
          <w:rFonts w:ascii="宋体" w:hAnsi="宋体" w:cs="宋体"/>
          <w:color w:val="000000"/>
          <w:sz w:val="22"/>
          <w:szCs w:val="22"/>
          <w:highlight w:val="none"/>
        </w:rPr>
      </w:pPr>
      <w:bookmarkStart w:id="1447" w:name="_Toc5180"/>
      <w:r>
        <w:rPr>
          <w:rFonts w:hint="eastAsia" w:ascii="宋体" w:hAnsi="宋体" w:cs="宋体"/>
          <w:color w:val="000000"/>
          <w:sz w:val="22"/>
          <w:szCs w:val="22"/>
          <w:highlight w:val="none"/>
        </w:rPr>
        <w:t>附件4：主要建设工程文件目录</w:t>
      </w:r>
      <w:bookmarkEnd w:id="1447"/>
    </w:p>
    <w:p>
      <w:pPr>
        <w:spacing w:line="360" w:lineRule="auto"/>
        <w:rPr>
          <w:rFonts w:ascii="宋体" w:hAnsi="宋体" w:cs="宋体"/>
          <w:color w:val="000000"/>
          <w:sz w:val="22"/>
          <w:szCs w:val="22"/>
          <w:highlight w:val="none"/>
        </w:rPr>
      </w:pPr>
      <w:bookmarkStart w:id="1448" w:name="_Toc8401"/>
      <w:r>
        <w:rPr>
          <w:rFonts w:hint="eastAsia" w:ascii="宋体" w:hAnsi="宋体" w:cs="宋体"/>
          <w:color w:val="000000"/>
          <w:sz w:val="22"/>
          <w:szCs w:val="22"/>
          <w:highlight w:val="none"/>
        </w:rPr>
        <w:t>附件5：承包人用于本工程施工的机械设备表</w:t>
      </w:r>
      <w:bookmarkEnd w:id="1448"/>
    </w:p>
    <w:p>
      <w:pPr>
        <w:spacing w:line="360" w:lineRule="auto"/>
        <w:rPr>
          <w:rFonts w:ascii="宋体" w:hAnsi="宋体" w:cs="宋体"/>
          <w:color w:val="000000"/>
          <w:sz w:val="22"/>
          <w:szCs w:val="22"/>
          <w:highlight w:val="none"/>
        </w:rPr>
      </w:pPr>
      <w:bookmarkStart w:id="1449" w:name="_Toc1877"/>
      <w:r>
        <w:rPr>
          <w:rFonts w:hint="eastAsia" w:ascii="宋体" w:hAnsi="宋体" w:cs="宋体"/>
          <w:color w:val="000000"/>
          <w:sz w:val="22"/>
          <w:szCs w:val="22"/>
          <w:highlight w:val="none"/>
        </w:rPr>
        <w:t>附件6：承包人主要施工管理人员表</w:t>
      </w:r>
      <w:bookmarkEnd w:id="1449"/>
    </w:p>
    <w:p>
      <w:pPr>
        <w:spacing w:line="360" w:lineRule="auto"/>
        <w:rPr>
          <w:rFonts w:ascii="宋体" w:hAnsi="宋体" w:cs="宋体"/>
          <w:color w:val="000000"/>
          <w:sz w:val="22"/>
          <w:szCs w:val="22"/>
          <w:highlight w:val="none"/>
        </w:rPr>
      </w:pPr>
      <w:bookmarkStart w:id="1450" w:name="_Toc12165"/>
      <w:r>
        <w:rPr>
          <w:rFonts w:hint="eastAsia" w:ascii="宋体" w:hAnsi="宋体" w:cs="宋体"/>
          <w:color w:val="000000"/>
          <w:sz w:val="22"/>
          <w:szCs w:val="22"/>
          <w:highlight w:val="none"/>
        </w:rPr>
        <w:t>附件</w:t>
      </w:r>
      <w:r>
        <w:rPr>
          <w:rFonts w:hint="eastAsia" w:ascii="宋体" w:hAnsi="宋体" w:cs="宋体"/>
          <w:color w:val="000000"/>
          <w:sz w:val="22"/>
          <w:szCs w:val="22"/>
          <w:highlight w:val="none"/>
          <w:lang w:val="en-US" w:eastAsia="zh-CN"/>
        </w:rPr>
        <w:t>7</w:t>
      </w:r>
      <w:r>
        <w:rPr>
          <w:rFonts w:hint="eastAsia" w:ascii="宋体" w:hAnsi="宋体" w:cs="宋体"/>
          <w:color w:val="000000"/>
          <w:sz w:val="22"/>
          <w:szCs w:val="22"/>
          <w:highlight w:val="none"/>
        </w:rPr>
        <w:t>：</w:t>
      </w:r>
      <w:bookmarkEnd w:id="1450"/>
      <w:r>
        <w:rPr>
          <w:rFonts w:hint="eastAsia" w:ascii="宋体" w:hAnsi="宋体" w:cs="宋体"/>
          <w:color w:val="000000"/>
          <w:sz w:val="22"/>
          <w:szCs w:val="22"/>
          <w:highlight w:val="none"/>
        </w:rPr>
        <w:t>专业工程暂估价表</w:t>
      </w:r>
    </w:p>
    <w:p>
      <w:pPr>
        <w:spacing w:line="360" w:lineRule="auto"/>
        <w:rPr>
          <w:rFonts w:ascii="宋体" w:hAnsi="宋体" w:cs="宋体"/>
          <w:color w:val="000000"/>
          <w:sz w:val="22"/>
          <w:szCs w:val="22"/>
          <w:highlight w:val="none"/>
        </w:rPr>
        <w:sectPr>
          <w:headerReference r:id="rId8" w:type="first"/>
          <w:footerReference r:id="rId10" w:type="first"/>
          <w:headerReference r:id="rId7" w:type="default"/>
          <w:footerReference r:id="rId9" w:type="default"/>
          <w:pgSz w:w="11906" w:h="16838"/>
          <w:pgMar w:top="1418" w:right="1555" w:bottom="1418" w:left="1531" w:header="851" w:footer="992" w:gutter="0"/>
          <w:pgNumType w:fmt="decimal"/>
          <w:cols w:space="720" w:num="1"/>
          <w:titlePg/>
          <w:docGrid w:type="lines" w:linePitch="312" w:charSpace="0"/>
        </w:sectPr>
      </w:pPr>
      <w:r>
        <w:rPr>
          <w:rFonts w:hint="eastAsia" w:ascii="宋体" w:hAnsi="宋体" w:cs="宋体"/>
          <w:color w:val="000000"/>
          <w:sz w:val="22"/>
          <w:szCs w:val="22"/>
          <w:highlight w:val="none"/>
        </w:rPr>
        <w:t>附件</w:t>
      </w:r>
      <w:r>
        <w:rPr>
          <w:rFonts w:hint="eastAsia" w:ascii="宋体" w:hAnsi="宋体" w:cs="宋体"/>
          <w:color w:val="000000"/>
          <w:sz w:val="22"/>
          <w:szCs w:val="22"/>
          <w:highlight w:val="none"/>
          <w:lang w:val="en-US" w:eastAsia="zh-CN"/>
        </w:rPr>
        <w:t>8</w:t>
      </w:r>
      <w:r>
        <w:rPr>
          <w:rFonts w:hint="eastAsia" w:ascii="宋体" w:hAnsi="宋体" w:cs="宋体"/>
          <w:color w:val="000000"/>
          <w:sz w:val="22"/>
          <w:szCs w:val="22"/>
          <w:highlight w:val="none"/>
        </w:rPr>
        <w:t>：承诺书</w:t>
      </w:r>
    </w:p>
    <w:p>
      <w:pPr>
        <w:spacing w:beforeLines="50" w:afterLines="50" w:line="440" w:lineRule="exact"/>
        <w:rPr>
          <w:rFonts w:ascii="宋体" w:hAnsi="宋体" w:cs="宋体"/>
          <w:color w:val="000000"/>
          <w:sz w:val="22"/>
          <w:szCs w:val="22"/>
          <w:highlight w:val="none"/>
        </w:rPr>
      </w:pPr>
      <w:bookmarkStart w:id="1451" w:name="_Toc310"/>
      <w:r>
        <w:rPr>
          <w:rFonts w:hint="eastAsia" w:ascii="宋体" w:hAnsi="宋体" w:cs="宋体"/>
          <w:color w:val="000000"/>
          <w:sz w:val="22"/>
          <w:szCs w:val="22"/>
          <w:highlight w:val="none"/>
        </w:rPr>
        <w:t>附件1：</w:t>
      </w:r>
      <w:bookmarkEnd w:id="1451"/>
    </w:p>
    <w:p>
      <w:pPr>
        <w:spacing w:beforeLines="50" w:afterLines="50" w:line="440" w:lineRule="exact"/>
        <w:jc w:val="center"/>
        <w:rPr>
          <w:rFonts w:hint="eastAsia" w:ascii="宋体" w:hAnsi="宋体" w:cs="宋体"/>
          <w:color w:val="000000"/>
          <w:sz w:val="22"/>
          <w:szCs w:val="22"/>
          <w:highlight w:val="none"/>
        </w:rPr>
        <w:sectPr>
          <w:pgSz w:w="16838" w:h="11906" w:orient="landscape"/>
          <w:pgMar w:top="1554" w:right="1418" w:bottom="1531" w:left="1418" w:header="851" w:footer="992" w:gutter="0"/>
          <w:pgNumType w:fmt="decimal"/>
          <w:cols w:space="720" w:num="1"/>
          <w:titlePg/>
          <w:docGrid w:type="linesAndChars" w:linePitch="312" w:charSpace="0"/>
        </w:sectPr>
      </w:pPr>
      <w:r>
        <w:rPr>
          <w:rFonts w:hint="eastAsia" w:ascii="宋体" w:hAnsi="宋体" w:cs="宋体"/>
          <w:color w:val="000000"/>
          <w:sz w:val="22"/>
          <w:szCs w:val="22"/>
          <w:highlight w:val="none"/>
        </w:rPr>
        <w:t>承包人承揽工程项目一览表</w:t>
      </w:r>
    </w:p>
    <w:tbl>
      <w:tblPr>
        <w:tblStyle w:val="3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单位工程名称</w:t>
            </w:r>
          </w:p>
        </w:tc>
        <w:tc>
          <w:tcPr>
            <w:tcW w:w="1843"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建设规模</w:t>
            </w:r>
          </w:p>
        </w:tc>
        <w:tc>
          <w:tcPr>
            <w:tcW w:w="1417"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建筑面积(平方米)</w:t>
            </w:r>
          </w:p>
        </w:tc>
        <w:tc>
          <w:tcPr>
            <w:tcW w:w="241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结构形式</w:t>
            </w:r>
          </w:p>
        </w:tc>
        <w:tc>
          <w:tcPr>
            <w:tcW w:w="85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层数</w:t>
            </w:r>
          </w:p>
        </w:tc>
        <w:tc>
          <w:tcPr>
            <w:tcW w:w="156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生产能力</w:t>
            </w:r>
          </w:p>
        </w:tc>
        <w:tc>
          <w:tcPr>
            <w:tcW w:w="2126"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设备安装内容</w:t>
            </w:r>
          </w:p>
        </w:tc>
        <w:tc>
          <w:tcPr>
            <w:tcW w:w="1417"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合同价格（元）</w:t>
            </w:r>
          </w:p>
        </w:tc>
        <w:tc>
          <w:tcPr>
            <w:tcW w:w="851"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开工日期</w:t>
            </w:r>
          </w:p>
        </w:tc>
        <w:tc>
          <w:tcPr>
            <w:tcW w:w="85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843"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41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56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2126"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bl>
    <w:p>
      <w:pPr>
        <w:spacing w:line="440" w:lineRule="exact"/>
        <w:rPr>
          <w:rFonts w:ascii="宋体" w:hAnsi="宋体" w:cs="宋体"/>
          <w:b/>
          <w:color w:val="000000"/>
          <w:sz w:val="22"/>
          <w:szCs w:val="22"/>
          <w:highlight w:val="none"/>
        </w:rPr>
        <w:sectPr>
          <w:type w:val="continuous"/>
          <w:pgSz w:w="16838" w:h="11906" w:orient="landscape"/>
          <w:pgMar w:top="1554" w:right="1418" w:bottom="1531" w:left="1418" w:header="851" w:footer="992" w:gutter="0"/>
          <w:pgNumType w:fmt="decimal"/>
          <w:cols w:space="720" w:num="1"/>
          <w:titlePg/>
          <w:docGrid w:type="linesAndChars" w:linePitch="312" w:charSpace="0"/>
        </w:sectPr>
      </w:pPr>
    </w:p>
    <w:p>
      <w:pPr>
        <w:spacing w:line="440" w:lineRule="exact"/>
        <w:rPr>
          <w:rFonts w:ascii="宋体" w:hAnsi="宋体" w:cs="宋体"/>
          <w:color w:val="000000"/>
          <w:sz w:val="22"/>
          <w:szCs w:val="22"/>
          <w:highlight w:val="none"/>
        </w:rPr>
      </w:pPr>
      <w:bookmarkStart w:id="1452" w:name="_Toc25656"/>
      <w:r>
        <w:rPr>
          <w:rFonts w:hint="eastAsia" w:ascii="宋体" w:hAnsi="宋体" w:cs="宋体"/>
          <w:color w:val="000000"/>
          <w:sz w:val="22"/>
          <w:szCs w:val="22"/>
          <w:highlight w:val="none"/>
        </w:rPr>
        <w:t>附</w:t>
      </w:r>
      <w:bookmarkStart w:id="1453" w:name="_Toc296891265"/>
      <w:bookmarkStart w:id="1454" w:name="_Toc296503225"/>
      <w:bookmarkStart w:id="1455" w:name="_Toc296944564"/>
      <w:bookmarkStart w:id="1456" w:name="_Toc296346726"/>
      <w:bookmarkStart w:id="1457" w:name="_Toc296891053"/>
      <w:bookmarkStart w:id="1458" w:name="_Toc296347224"/>
      <w:bookmarkStart w:id="1459" w:name="_Toc267261692"/>
      <w:r>
        <w:rPr>
          <w:rFonts w:hint="eastAsia" w:ascii="宋体" w:hAnsi="宋体" w:cs="宋体"/>
          <w:color w:val="000000"/>
          <w:sz w:val="22"/>
          <w:szCs w:val="22"/>
          <w:highlight w:val="none"/>
        </w:rPr>
        <w:t>件2：</w:t>
      </w:r>
      <w:bookmarkEnd w:id="1452"/>
    </w:p>
    <w:bookmarkEnd w:id="1453"/>
    <w:bookmarkEnd w:id="1454"/>
    <w:bookmarkEnd w:id="1455"/>
    <w:bookmarkEnd w:id="1456"/>
    <w:bookmarkEnd w:id="1457"/>
    <w:bookmarkEnd w:id="1458"/>
    <w:bookmarkEnd w:id="1459"/>
    <w:p>
      <w:pPr>
        <w:spacing w:beforeLines="50" w:afterLines="50" w:line="4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发包人供应材料设备一览表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序号</w:t>
            </w:r>
          </w:p>
        </w:tc>
        <w:tc>
          <w:tcPr>
            <w:tcW w:w="1276"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 xml:space="preserve">  材料、</w:t>
            </w:r>
          </w:p>
          <w:p>
            <w:pPr>
              <w:pStyle w:val="15"/>
              <w:keepNext/>
              <w:spacing w:line="440" w:lineRule="exact"/>
              <w:ind w:right="63"/>
              <w:jc w:val="both"/>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设备品种</w:t>
            </w:r>
          </w:p>
        </w:tc>
        <w:tc>
          <w:tcPr>
            <w:tcW w:w="1418"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规格型号</w:t>
            </w:r>
          </w:p>
        </w:tc>
        <w:tc>
          <w:tcPr>
            <w:tcW w:w="94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单位</w:t>
            </w:r>
          </w:p>
        </w:tc>
        <w:tc>
          <w:tcPr>
            <w:tcW w:w="851"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数量</w:t>
            </w:r>
          </w:p>
        </w:tc>
        <w:tc>
          <w:tcPr>
            <w:tcW w:w="1044"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单价（元）</w:t>
            </w:r>
          </w:p>
        </w:tc>
        <w:tc>
          <w:tcPr>
            <w:tcW w:w="992"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质量等级</w:t>
            </w:r>
          </w:p>
        </w:tc>
        <w:tc>
          <w:tcPr>
            <w:tcW w:w="851"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供应时间</w:t>
            </w:r>
          </w:p>
        </w:tc>
        <w:tc>
          <w:tcPr>
            <w:tcW w:w="1487"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送达地点</w:t>
            </w:r>
          </w:p>
        </w:tc>
        <w:tc>
          <w:tcPr>
            <w:tcW w:w="992"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4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4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9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ascii="宋体" w:hAnsi="宋体" w:cs="宋体"/>
                <w:color w:val="000000"/>
                <w:sz w:val="22"/>
                <w:szCs w:val="22"/>
                <w:highlight w:val="none"/>
              </w:rPr>
            </w:pPr>
          </w:p>
        </w:tc>
        <w:tc>
          <w:tcPr>
            <w:tcW w:w="1276" w:type="dxa"/>
            <w:noWrap w:val="0"/>
            <w:vAlign w:val="center"/>
          </w:tcPr>
          <w:p>
            <w:pPr>
              <w:jc w:val="center"/>
              <w:rPr>
                <w:rFonts w:ascii="宋体" w:hAnsi="宋体" w:cs="宋体"/>
                <w:color w:val="000000"/>
                <w:sz w:val="22"/>
                <w:szCs w:val="22"/>
                <w:highlight w:val="none"/>
              </w:rPr>
            </w:pPr>
          </w:p>
        </w:tc>
        <w:tc>
          <w:tcPr>
            <w:tcW w:w="1418" w:type="dxa"/>
            <w:noWrap w:val="0"/>
            <w:vAlign w:val="center"/>
          </w:tcPr>
          <w:p>
            <w:pPr>
              <w:jc w:val="center"/>
              <w:rPr>
                <w:rFonts w:ascii="宋体" w:hAnsi="宋体" w:cs="宋体"/>
                <w:color w:val="000000"/>
                <w:sz w:val="22"/>
                <w:szCs w:val="22"/>
                <w:highlight w:val="none"/>
              </w:rPr>
            </w:pPr>
          </w:p>
        </w:tc>
        <w:tc>
          <w:tcPr>
            <w:tcW w:w="940"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044"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c>
          <w:tcPr>
            <w:tcW w:w="851" w:type="dxa"/>
            <w:noWrap w:val="0"/>
            <w:vAlign w:val="center"/>
          </w:tcPr>
          <w:p>
            <w:pPr>
              <w:jc w:val="center"/>
              <w:rPr>
                <w:rFonts w:ascii="宋体" w:hAnsi="宋体" w:cs="宋体"/>
                <w:color w:val="000000"/>
                <w:sz w:val="22"/>
                <w:szCs w:val="22"/>
                <w:highlight w:val="none"/>
              </w:rPr>
            </w:pPr>
          </w:p>
        </w:tc>
        <w:tc>
          <w:tcPr>
            <w:tcW w:w="1487" w:type="dxa"/>
            <w:noWrap w:val="0"/>
            <w:vAlign w:val="center"/>
          </w:tcPr>
          <w:p>
            <w:pPr>
              <w:jc w:val="center"/>
              <w:rPr>
                <w:rFonts w:ascii="宋体" w:hAnsi="宋体" w:cs="宋体"/>
                <w:color w:val="000000"/>
                <w:sz w:val="22"/>
                <w:szCs w:val="22"/>
                <w:highlight w:val="none"/>
              </w:rPr>
            </w:pPr>
          </w:p>
        </w:tc>
        <w:tc>
          <w:tcPr>
            <w:tcW w:w="992" w:type="dxa"/>
            <w:noWrap w:val="0"/>
            <w:vAlign w:val="center"/>
          </w:tcPr>
          <w:p>
            <w:pPr>
              <w:jc w:val="center"/>
              <w:rPr>
                <w:rFonts w:ascii="宋体" w:hAnsi="宋体" w:cs="宋体"/>
                <w:color w:val="000000"/>
                <w:sz w:val="22"/>
                <w:szCs w:val="22"/>
                <w:highlight w:val="none"/>
              </w:rPr>
            </w:pPr>
          </w:p>
        </w:tc>
      </w:tr>
    </w:tbl>
    <w:p>
      <w:pPr>
        <w:spacing w:line="440" w:lineRule="exact"/>
        <w:rPr>
          <w:rFonts w:ascii="宋体" w:hAnsi="宋体" w:cs="宋体"/>
          <w:color w:val="000000"/>
          <w:sz w:val="22"/>
          <w:szCs w:val="22"/>
          <w:highlight w:val="none"/>
        </w:rPr>
      </w:pPr>
    </w:p>
    <w:p>
      <w:pPr>
        <w:spacing w:line="440" w:lineRule="exact"/>
        <w:rPr>
          <w:rFonts w:ascii="宋体" w:hAnsi="宋体" w:cs="宋体"/>
          <w:color w:val="000000"/>
          <w:sz w:val="22"/>
          <w:szCs w:val="22"/>
          <w:highlight w:val="none"/>
        </w:rPr>
      </w:pPr>
      <w:bookmarkStart w:id="1460" w:name="_Toc15520"/>
    </w:p>
    <w:p>
      <w:pPr>
        <w:spacing w:line="440" w:lineRule="exact"/>
        <w:rPr>
          <w:rFonts w:ascii="宋体" w:hAnsi="宋体" w:cs="宋体"/>
          <w:color w:val="000000"/>
          <w:sz w:val="22"/>
          <w:szCs w:val="22"/>
          <w:highlight w:val="none"/>
        </w:rPr>
      </w:pPr>
    </w:p>
    <w:p>
      <w:pPr>
        <w:spacing w:line="440" w:lineRule="exact"/>
        <w:rPr>
          <w:rFonts w:ascii="宋体" w:hAnsi="宋体" w:cs="宋体"/>
          <w:color w:val="000000"/>
          <w:sz w:val="22"/>
          <w:szCs w:val="22"/>
          <w:highlight w:val="none"/>
        </w:rPr>
      </w:pPr>
      <w:r>
        <w:rPr>
          <w:rFonts w:hint="eastAsia" w:ascii="宋体" w:hAnsi="宋体" w:cs="宋体"/>
          <w:color w:val="000000"/>
          <w:sz w:val="22"/>
          <w:szCs w:val="22"/>
          <w:highlight w:val="none"/>
        </w:rPr>
        <w:t>附</w:t>
      </w:r>
      <w:bookmarkStart w:id="1461" w:name="_Toc296891266"/>
      <w:bookmarkStart w:id="1462" w:name="_Toc296891054"/>
      <w:bookmarkStart w:id="1463" w:name="_Toc296346727"/>
      <w:bookmarkStart w:id="1464" w:name="_Toc296347225"/>
      <w:bookmarkStart w:id="1465" w:name="_Toc296944565"/>
      <w:bookmarkStart w:id="1466" w:name="_Toc267261693"/>
      <w:bookmarkStart w:id="1467" w:name="_Toc296503226"/>
      <w:r>
        <w:rPr>
          <w:rFonts w:hint="eastAsia" w:ascii="宋体" w:hAnsi="宋体" w:cs="宋体"/>
          <w:color w:val="000000"/>
          <w:sz w:val="22"/>
          <w:szCs w:val="22"/>
          <w:highlight w:val="none"/>
        </w:rPr>
        <w:t>件3：</w:t>
      </w:r>
      <w:bookmarkEnd w:id="1460"/>
      <w:bookmarkEnd w:id="1461"/>
      <w:bookmarkEnd w:id="1462"/>
      <w:bookmarkEnd w:id="1463"/>
      <w:bookmarkEnd w:id="1464"/>
      <w:bookmarkEnd w:id="1465"/>
      <w:bookmarkEnd w:id="1466"/>
      <w:bookmarkEnd w:id="1467"/>
      <w:r>
        <w:rPr>
          <w:rFonts w:hint="eastAsia" w:ascii="宋体" w:hAnsi="宋体" w:cs="宋体"/>
          <w:color w:val="000000"/>
          <w:sz w:val="22"/>
          <w:szCs w:val="22"/>
          <w:highlight w:val="none"/>
        </w:rPr>
        <w:t xml:space="preserve">    </w:t>
      </w:r>
    </w:p>
    <w:p>
      <w:pPr>
        <w:spacing w:beforeLines="50" w:afterLines="50" w:line="4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工程质量保修书</w:t>
      </w:r>
    </w:p>
    <w:p>
      <w:pPr>
        <w:spacing w:line="440" w:lineRule="exact"/>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发包人（全称）：</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p>
    <w:p>
      <w:pPr>
        <w:spacing w:line="440" w:lineRule="exact"/>
        <w:rPr>
          <w:rFonts w:ascii="宋体" w:hAnsi="宋体" w:cs="宋体"/>
          <w:color w:val="000000"/>
          <w:sz w:val="22"/>
          <w:szCs w:val="22"/>
          <w:highlight w:val="none"/>
        </w:rPr>
      </w:pPr>
      <w:r>
        <w:rPr>
          <w:rFonts w:hint="eastAsia" w:ascii="宋体" w:hAnsi="宋体" w:cs="宋体"/>
          <w:color w:val="000000"/>
          <w:sz w:val="22"/>
          <w:szCs w:val="22"/>
          <w:highlight w:val="none"/>
        </w:rPr>
        <w:t>　　承包人（全称）：</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p>
    <w:p>
      <w:pPr>
        <w:spacing w:line="440" w:lineRule="exact"/>
        <w:rPr>
          <w:rFonts w:ascii="宋体" w:hAnsi="宋体" w:cs="宋体"/>
          <w:color w:val="000000"/>
          <w:sz w:val="22"/>
          <w:szCs w:val="22"/>
          <w:highlight w:val="none"/>
        </w:rPr>
      </w:pP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发包人和承包人根据《中华人民共和国建筑法》和《建设工程质量管理条例》，经协商一致就</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（工程全称）签订工程质量保修书。</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w:t>
      </w:r>
      <w:bookmarkStart w:id="1468" w:name="_Toc21010"/>
      <w:r>
        <w:rPr>
          <w:rFonts w:hint="eastAsia" w:ascii="宋体" w:hAnsi="宋体" w:cs="宋体"/>
          <w:color w:val="000000"/>
          <w:sz w:val="22"/>
          <w:szCs w:val="22"/>
          <w:highlight w:val="none"/>
        </w:rPr>
        <w:t>一、工程质量保修范围和内容</w:t>
      </w:r>
      <w:bookmarkEnd w:id="1468"/>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承包人在质量保修期内，按照有关法律规定和合同约定，承担工程质量保修责任。</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w:t>
      </w:r>
      <w:r>
        <w:rPr>
          <w:rFonts w:hint="eastAsia" w:ascii="宋体" w:hAnsi="宋体" w:cs="宋体"/>
          <w:color w:val="000000"/>
          <w:sz w:val="22"/>
          <w:szCs w:val="22"/>
          <w:highlight w:val="none"/>
          <w:u w:val="single"/>
        </w:rPr>
        <w:t xml:space="preserve"> 对承包人施工的内容进行保修，凡属承包人施工质量问题引起的维修，均由承包人负责保修。因发包人或业主使用不当造成的返修费用由责任方承担。</w:t>
      </w:r>
    </w:p>
    <w:p>
      <w:pPr>
        <w:spacing w:line="360" w:lineRule="auto"/>
        <w:rPr>
          <w:rFonts w:ascii="宋体" w:hAnsi="宋体" w:cs="宋体"/>
          <w:color w:val="000000"/>
          <w:sz w:val="22"/>
          <w:szCs w:val="22"/>
          <w:highlight w:val="none"/>
        </w:rPr>
      </w:pPr>
      <w:r>
        <w:rPr>
          <w:rFonts w:hint="eastAsia" w:ascii="宋体" w:hAnsi="宋体" w:cs="宋体"/>
          <w:b/>
          <w:color w:val="000000"/>
          <w:sz w:val="22"/>
          <w:szCs w:val="22"/>
          <w:highlight w:val="none"/>
        </w:rPr>
        <w:t>　　</w:t>
      </w:r>
      <w:bookmarkStart w:id="1469" w:name="_Toc3305"/>
      <w:r>
        <w:rPr>
          <w:rFonts w:hint="eastAsia" w:ascii="宋体" w:hAnsi="宋体" w:cs="宋体"/>
          <w:color w:val="000000"/>
          <w:sz w:val="22"/>
          <w:szCs w:val="22"/>
          <w:highlight w:val="none"/>
        </w:rPr>
        <w:t>二、质量保修期</w:t>
      </w:r>
      <w:bookmarkEnd w:id="1469"/>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根据《建设工程质量管理条例》及有关规定，工程的质量保修期如下：</w:t>
      </w:r>
    </w:p>
    <w:p>
      <w:pPr>
        <w:ind w:firstLine="440" w:firstLineChars="200"/>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cs="宋体"/>
          <w:color w:val="000000"/>
          <w:sz w:val="22"/>
          <w:szCs w:val="22"/>
          <w:highlight w:val="none"/>
        </w:rPr>
        <w:t>．</w:t>
      </w:r>
      <w:r>
        <w:rPr>
          <w:rFonts w:hint="eastAsia" w:ascii="宋体" w:hAnsi="宋体" w:cs="宋体"/>
          <w:sz w:val="22"/>
          <w:szCs w:val="22"/>
          <w:highlight w:val="none"/>
        </w:rPr>
        <w:t>地基基础工程和主体结构工程为设计文件规定的工程合理使用年限；</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w:t>
      </w:r>
      <w:r>
        <w:rPr>
          <w:rFonts w:hint="eastAsia" w:ascii="宋体" w:hAnsi="宋体" w:cs="宋体"/>
          <w:sz w:val="22"/>
          <w:szCs w:val="22"/>
          <w:highlight w:val="none"/>
        </w:rPr>
        <w:t>．</w:t>
      </w:r>
      <w:r>
        <w:rPr>
          <w:rFonts w:hint="eastAsia" w:ascii="宋体" w:hAnsi="宋体" w:cs="宋体"/>
          <w:color w:val="000000"/>
          <w:sz w:val="22"/>
          <w:szCs w:val="22"/>
          <w:highlight w:val="none"/>
        </w:rPr>
        <w:t>屋面防水工程、有防水要求的卫生间、房间和外墙面的防渗为</w:t>
      </w:r>
      <w:r>
        <w:rPr>
          <w:rFonts w:hint="eastAsia" w:ascii="宋体" w:hAnsi="宋体" w:cs="宋体"/>
          <w:color w:val="000000"/>
          <w:sz w:val="22"/>
          <w:szCs w:val="22"/>
          <w:highlight w:val="none"/>
          <w:u w:val="single"/>
        </w:rPr>
        <w:t xml:space="preserve"> 5 </w:t>
      </w:r>
      <w:r>
        <w:rPr>
          <w:rFonts w:hint="eastAsia" w:ascii="宋体" w:hAnsi="宋体" w:cs="宋体"/>
          <w:color w:val="000000"/>
          <w:sz w:val="22"/>
          <w:szCs w:val="22"/>
          <w:highlight w:val="none"/>
        </w:rPr>
        <w:t>年；</w:t>
      </w:r>
    </w:p>
    <w:p>
      <w:pPr>
        <w:spacing w:line="360" w:lineRule="auto"/>
        <w:ind w:left="420" w:leftChars="200" w:firstLine="110" w:firstLineChars="50"/>
        <w:rPr>
          <w:rFonts w:ascii="宋体" w:hAnsi="宋体" w:cs="宋体"/>
          <w:color w:val="000000"/>
          <w:sz w:val="22"/>
          <w:szCs w:val="22"/>
          <w:highlight w:val="none"/>
        </w:rPr>
      </w:pPr>
      <w:r>
        <w:rPr>
          <w:rFonts w:hint="eastAsia" w:ascii="宋体" w:hAnsi="宋体" w:cs="宋体"/>
          <w:color w:val="000000"/>
          <w:sz w:val="22"/>
          <w:szCs w:val="22"/>
          <w:highlight w:val="none"/>
        </w:rPr>
        <w:t>3</w:t>
      </w:r>
      <w:r>
        <w:rPr>
          <w:rFonts w:hint="eastAsia" w:ascii="宋体" w:hAnsi="宋体" w:cs="宋体"/>
          <w:sz w:val="22"/>
          <w:szCs w:val="22"/>
          <w:highlight w:val="none"/>
        </w:rPr>
        <w:t>．</w:t>
      </w:r>
      <w:r>
        <w:rPr>
          <w:rFonts w:hint="eastAsia" w:ascii="宋体" w:hAnsi="宋体" w:cs="宋体"/>
          <w:color w:val="000000"/>
          <w:sz w:val="22"/>
          <w:szCs w:val="22"/>
          <w:highlight w:val="none"/>
        </w:rPr>
        <w:t>装修工程为</w:t>
      </w:r>
      <w:r>
        <w:rPr>
          <w:rFonts w:hint="eastAsia" w:ascii="宋体" w:hAnsi="宋体" w:cs="宋体"/>
          <w:color w:val="000000"/>
          <w:sz w:val="22"/>
          <w:szCs w:val="22"/>
          <w:highlight w:val="none"/>
          <w:u w:val="single"/>
        </w:rPr>
        <w:t xml:space="preserve"> 2 </w:t>
      </w:r>
      <w:r>
        <w:rPr>
          <w:rFonts w:hint="eastAsia" w:ascii="宋体" w:hAnsi="宋体" w:cs="宋体"/>
          <w:color w:val="000000"/>
          <w:sz w:val="22"/>
          <w:szCs w:val="22"/>
          <w:highlight w:val="none"/>
        </w:rPr>
        <w:t>年；</w:t>
      </w:r>
    </w:p>
    <w:p>
      <w:pPr>
        <w:spacing w:line="360" w:lineRule="auto"/>
        <w:ind w:left="420" w:leftChars="200" w:firstLine="110" w:firstLineChars="50"/>
        <w:rPr>
          <w:rFonts w:ascii="宋体" w:hAnsi="宋体" w:cs="宋体"/>
          <w:color w:val="000000"/>
          <w:sz w:val="22"/>
          <w:szCs w:val="22"/>
          <w:highlight w:val="none"/>
        </w:rPr>
      </w:pPr>
      <w:r>
        <w:rPr>
          <w:rFonts w:hint="eastAsia" w:ascii="宋体" w:hAnsi="宋体" w:cs="宋体"/>
          <w:color w:val="000000"/>
          <w:sz w:val="22"/>
          <w:szCs w:val="22"/>
          <w:highlight w:val="none"/>
        </w:rPr>
        <w:t>4</w:t>
      </w:r>
      <w:r>
        <w:rPr>
          <w:rFonts w:hint="eastAsia" w:ascii="宋体" w:hAnsi="宋体" w:cs="宋体"/>
          <w:sz w:val="22"/>
          <w:szCs w:val="22"/>
          <w:highlight w:val="none"/>
        </w:rPr>
        <w:t>．</w:t>
      </w:r>
      <w:r>
        <w:rPr>
          <w:rFonts w:hint="eastAsia" w:ascii="宋体" w:hAnsi="宋体" w:cs="宋体"/>
          <w:color w:val="000000"/>
          <w:sz w:val="22"/>
          <w:szCs w:val="22"/>
          <w:highlight w:val="none"/>
        </w:rPr>
        <w:t>电气管线、给排水管道、设备安装工程为</w:t>
      </w:r>
      <w:r>
        <w:rPr>
          <w:rFonts w:hint="eastAsia" w:ascii="宋体" w:hAnsi="宋体" w:cs="宋体"/>
          <w:color w:val="000000"/>
          <w:sz w:val="22"/>
          <w:szCs w:val="22"/>
          <w:highlight w:val="none"/>
          <w:u w:val="single"/>
        </w:rPr>
        <w:t xml:space="preserve"> 2 </w:t>
      </w:r>
      <w:r>
        <w:rPr>
          <w:rFonts w:hint="eastAsia" w:ascii="宋体" w:hAnsi="宋体" w:cs="宋体"/>
          <w:color w:val="000000"/>
          <w:sz w:val="22"/>
          <w:szCs w:val="22"/>
          <w:highlight w:val="none"/>
        </w:rPr>
        <w:t>年；</w:t>
      </w:r>
    </w:p>
    <w:p>
      <w:pPr>
        <w:spacing w:line="360" w:lineRule="auto"/>
        <w:ind w:left="420" w:leftChars="200" w:firstLine="110" w:firstLineChars="50"/>
        <w:rPr>
          <w:rFonts w:ascii="宋体" w:hAnsi="宋体" w:cs="宋体"/>
          <w:color w:val="000000"/>
          <w:sz w:val="22"/>
          <w:szCs w:val="22"/>
          <w:highlight w:val="none"/>
        </w:rPr>
      </w:pPr>
      <w:r>
        <w:rPr>
          <w:rFonts w:hint="eastAsia" w:ascii="宋体" w:hAnsi="宋体" w:cs="宋体"/>
          <w:color w:val="000000"/>
          <w:sz w:val="22"/>
          <w:szCs w:val="22"/>
          <w:highlight w:val="none"/>
        </w:rPr>
        <w:t>5</w:t>
      </w:r>
      <w:r>
        <w:rPr>
          <w:rFonts w:hint="eastAsia" w:ascii="宋体" w:hAnsi="宋体" w:cs="宋体"/>
          <w:sz w:val="22"/>
          <w:szCs w:val="22"/>
          <w:highlight w:val="none"/>
        </w:rPr>
        <w:t>．</w:t>
      </w:r>
      <w:r>
        <w:rPr>
          <w:rFonts w:hint="eastAsia" w:ascii="宋体" w:hAnsi="宋体" w:cs="宋体"/>
          <w:color w:val="000000"/>
          <w:sz w:val="22"/>
          <w:szCs w:val="22"/>
          <w:highlight w:val="none"/>
        </w:rPr>
        <w:t>供热与供冷系统为</w:t>
      </w:r>
      <w:r>
        <w:rPr>
          <w:rFonts w:hint="eastAsia" w:ascii="宋体" w:hAnsi="宋体" w:cs="宋体"/>
          <w:color w:val="000000"/>
          <w:sz w:val="22"/>
          <w:szCs w:val="22"/>
          <w:highlight w:val="none"/>
          <w:u w:val="single"/>
        </w:rPr>
        <w:t xml:space="preserve">  2  </w:t>
      </w:r>
      <w:r>
        <w:rPr>
          <w:rFonts w:hint="eastAsia" w:ascii="宋体" w:hAnsi="宋体" w:cs="宋体"/>
          <w:color w:val="000000"/>
          <w:sz w:val="22"/>
          <w:szCs w:val="22"/>
          <w:highlight w:val="none"/>
        </w:rPr>
        <w:t>个采暖期、供冷期；</w:t>
      </w:r>
    </w:p>
    <w:p>
      <w:pPr>
        <w:spacing w:line="360" w:lineRule="auto"/>
        <w:ind w:left="420" w:leftChars="200" w:firstLine="110" w:firstLineChars="50"/>
        <w:rPr>
          <w:rFonts w:ascii="宋体" w:hAnsi="宋体" w:cs="宋体"/>
          <w:color w:val="FF0000"/>
          <w:sz w:val="22"/>
          <w:szCs w:val="22"/>
          <w:highlight w:val="none"/>
        </w:rPr>
      </w:pPr>
      <w:r>
        <w:rPr>
          <w:rFonts w:hint="eastAsia" w:ascii="宋体" w:hAnsi="宋体" w:cs="宋体"/>
          <w:color w:val="000000"/>
          <w:sz w:val="22"/>
          <w:szCs w:val="22"/>
          <w:highlight w:val="none"/>
        </w:rPr>
        <w:t>6</w:t>
      </w:r>
      <w:r>
        <w:rPr>
          <w:rFonts w:hint="eastAsia" w:ascii="宋体" w:hAnsi="宋体" w:cs="宋体"/>
          <w:sz w:val="22"/>
          <w:szCs w:val="22"/>
          <w:highlight w:val="none"/>
        </w:rPr>
        <w:t>．</w:t>
      </w:r>
      <w:r>
        <w:rPr>
          <w:rFonts w:hint="eastAsia" w:ascii="宋体" w:hAnsi="宋体" w:cs="宋体"/>
          <w:color w:val="000000"/>
          <w:sz w:val="22"/>
          <w:szCs w:val="22"/>
          <w:highlight w:val="none"/>
        </w:rPr>
        <w:t>住宅小区内的给排水设施、道路等配套工程</w:t>
      </w:r>
      <w:r>
        <w:rPr>
          <w:rFonts w:hint="eastAsia" w:ascii="宋体" w:hAnsi="宋体" w:cs="宋体"/>
          <w:sz w:val="22"/>
          <w:szCs w:val="22"/>
          <w:highlight w:val="none"/>
        </w:rPr>
        <w:t>为</w:t>
      </w:r>
      <w:r>
        <w:rPr>
          <w:rFonts w:hint="eastAsia" w:ascii="宋体" w:hAnsi="宋体" w:cs="宋体"/>
          <w:sz w:val="22"/>
          <w:szCs w:val="22"/>
          <w:highlight w:val="none"/>
          <w:u w:val="single"/>
        </w:rPr>
        <w:t xml:space="preserve"> 2 </w:t>
      </w:r>
      <w:r>
        <w:rPr>
          <w:rFonts w:hint="eastAsia" w:ascii="宋体" w:hAnsi="宋体" w:cs="宋体"/>
          <w:sz w:val="22"/>
          <w:szCs w:val="22"/>
          <w:highlight w:val="none"/>
        </w:rPr>
        <w:t>年、保温工程5年；</w:t>
      </w:r>
    </w:p>
    <w:p>
      <w:pPr>
        <w:spacing w:line="360" w:lineRule="auto"/>
        <w:ind w:left="420" w:leftChars="200" w:firstLine="110" w:firstLineChars="50"/>
        <w:rPr>
          <w:rFonts w:ascii="宋体" w:hAnsi="宋体" w:cs="宋体"/>
          <w:color w:val="000000"/>
          <w:sz w:val="22"/>
          <w:szCs w:val="22"/>
          <w:highlight w:val="none"/>
        </w:rPr>
      </w:pPr>
      <w:r>
        <w:rPr>
          <w:rFonts w:hint="eastAsia" w:ascii="宋体" w:hAnsi="宋体" w:cs="宋体"/>
          <w:color w:val="000000"/>
          <w:sz w:val="22"/>
          <w:szCs w:val="22"/>
          <w:highlight w:val="none"/>
        </w:rPr>
        <w:t>7</w:t>
      </w:r>
      <w:r>
        <w:rPr>
          <w:rFonts w:hint="eastAsia" w:ascii="宋体" w:hAnsi="宋体" w:cs="宋体"/>
          <w:sz w:val="22"/>
          <w:szCs w:val="22"/>
          <w:highlight w:val="none"/>
        </w:rPr>
        <w:t>．</w:t>
      </w:r>
      <w:r>
        <w:rPr>
          <w:rFonts w:hint="eastAsia" w:ascii="宋体" w:hAnsi="宋体" w:cs="宋体"/>
          <w:color w:val="000000"/>
          <w:sz w:val="22"/>
          <w:szCs w:val="22"/>
          <w:highlight w:val="none"/>
        </w:rPr>
        <w:t>其他项目保修期限约定如下：质量保修期自工程竣工验收合格之日起。</w:t>
      </w:r>
    </w:p>
    <w:p>
      <w:pPr>
        <w:spacing w:line="360" w:lineRule="auto"/>
        <w:ind w:firstLine="440" w:firstLineChars="200"/>
        <w:rPr>
          <w:rFonts w:ascii="宋体" w:hAnsi="宋体" w:cs="宋体"/>
          <w:color w:val="000000"/>
          <w:sz w:val="22"/>
          <w:szCs w:val="22"/>
          <w:highlight w:val="none"/>
        </w:rPr>
      </w:pPr>
      <w:bookmarkStart w:id="1470" w:name="_Toc9553"/>
      <w:r>
        <w:rPr>
          <w:rFonts w:hint="eastAsia" w:ascii="宋体" w:hAnsi="宋体" w:cs="宋体"/>
          <w:color w:val="000000"/>
          <w:sz w:val="22"/>
          <w:szCs w:val="22"/>
          <w:highlight w:val="none"/>
        </w:rPr>
        <w:t>三、缺陷责任期</w:t>
      </w:r>
      <w:bookmarkEnd w:id="1470"/>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工程缺陷责任期为</w:t>
      </w:r>
      <w:r>
        <w:rPr>
          <w:rFonts w:hint="eastAsia" w:ascii="宋体" w:hAnsi="宋体" w:cs="宋体"/>
          <w:color w:val="000000"/>
          <w:sz w:val="22"/>
          <w:szCs w:val="22"/>
          <w:highlight w:val="none"/>
          <w:u w:val="single"/>
        </w:rPr>
        <w:t xml:space="preserve"> 24</w:t>
      </w:r>
      <w:r>
        <w:rPr>
          <w:rFonts w:hint="eastAsia" w:ascii="宋体" w:hAnsi="宋体" w:cs="宋体"/>
          <w:color w:val="000000"/>
          <w:sz w:val="22"/>
          <w:szCs w:val="22"/>
          <w:highlight w:val="none"/>
        </w:rPr>
        <w:t>个月，缺陷责任期自工程通过竣工验收之日起计算。单位工程先于全部工程进行验收，单位工程缺陷责任期自单位工程验收合格之日起算。</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缺陷责任期终止后，发包人应退还剩余的质量保证金。</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xml:space="preserve">    </w:t>
      </w:r>
      <w:bookmarkStart w:id="1471" w:name="_Toc4610"/>
      <w:r>
        <w:rPr>
          <w:rFonts w:hint="eastAsia" w:ascii="宋体" w:hAnsi="宋体" w:cs="宋体"/>
          <w:color w:val="000000"/>
          <w:sz w:val="22"/>
          <w:szCs w:val="22"/>
          <w:highlight w:val="none"/>
        </w:rPr>
        <w:t>四、质量保修责任</w:t>
      </w:r>
      <w:bookmarkEnd w:id="1471"/>
    </w:p>
    <w:p>
      <w:pPr>
        <w:spacing w:line="360" w:lineRule="auto"/>
        <w:ind w:left="105" w:leftChars="50" w:firstLine="450" w:firstLineChars="205"/>
        <w:rPr>
          <w:rFonts w:ascii="宋体" w:hAnsi="宋体" w:cs="宋体"/>
          <w:color w:val="000000"/>
          <w:sz w:val="22"/>
          <w:szCs w:val="22"/>
          <w:highlight w:val="none"/>
        </w:rPr>
      </w:pPr>
      <w:r>
        <w:rPr>
          <w:rFonts w:hint="eastAsia" w:ascii="宋体" w:hAnsi="宋体" w:cs="宋体"/>
          <w:color w:val="000000"/>
          <w:sz w:val="22"/>
          <w:szCs w:val="22"/>
          <w:highlight w:val="none"/>
        </w:rPr>
        <w:t>1</w:t>
      </w:r>
      <w:r>
        <w:rPr>
          <w:rFonts w:hint="eastAsia" w:ascii="宋体" w:hAnsi="宋体" w:cs="宋体"/>
          <w:sz w:val="22"/>
          <w:szCs w:val="22"/>
          <w:highlight w:val="none"/>
        </w:rPr>
        <w:t>．</w:t>
      </w:r>
      <w:r>
        <w:rPr>
          <w:rFonts w:hint="eastAsia" w:ascii="宋体" w:hAnsi="宋体" w:cs="宋体"/>
          <w:color w:val="000000"/>
          <w:sz w:val="22"/>
          <w:szCs w:val="22"/>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50" w:firstLineChars="205"/>
        <w:rPr>
          <w:rFonts w:ascii="宋体" w:hAnsi="宋体" w:cs="宋体"/>
          <w:color w:val="000000"/>
          <w:sz w:val="22"/>
          <w:szCs w:val="22"/>
          <w:highlight w:val="none"/>
        </w:rPr>
      </w:pPr>
      <w:r>
        <w:rPr>
          <w:rFonts w:hint="eastAsia" w:ascii="宋体" w:hAnsi="宋体" w:cs="宋体"/>
          <w:color w:val="000000"/>
          <w:sz w:val="22"/>
          <w:szCs w:val="22"/>
          <w:highlight w:val="none"/>
        </w:rPr>
        <w:t>2</w:t>
      </w:r>
      <w:r>
        <w:rPr>
          <w:rFonts w:hint="eastAsia" w:ascii="宋体" w:hAnsi="宋体" w:cs="宋体"/>
          <w:sz w:val="22"/>
          <w:szCs w:val="22"/>
          <w:highlight w:val="none"/>
        </w:rPr>
        <w:t>．</w:t>
      </w:r>
      <w:r>
        <w:rPr>
          <w:rFonts w:hint="eastAsia" w:ascii="宋体" w:hAnsi="宋体" w:cs="宋体"/>
          <w:color w:val="000000"/>
          <w:sz w:val="22"/>
          <w:szCs w:val="22"/>
          <w:highlight w:val="none"/>
        </w:rPr>
        <w:t>发生紧急事故需抢修的，承包人在接到事故通知后，应当立即到达事故现场抢修。</w:t>
      </w:r>
    </w:p>
    <w:p>
      <w:pPr>
        <w:spacing w:line="360" w:lineRule="auto"/>
        <w:ind w:left="105" w:leftChars="50" w:firstLine="450" w:firstLineChars="205"/>
        <w:rPr>
          <w:rFonts w:ascii="宋体" w:hAnsi="宋体" w:cs="宋体"/>
          <w:color w:val="000000"/>
          <w:sz w:val="22"/>
          <w:szCs w:val="22"/>
          <w:highlight w:val="none"/>
        </w:rPr>
      </w:pPr>
      <w:r>
        <w:rPr>
          <w:rFonts w:hint="eastAsia" w:ascii="宋体" w:hAnsi="宋体" w:cs="宋体"/>
          <w:color w:val="000000"/>
          <w:sz w:val="22"/>
          <w:szCs w:val="22"/>
          <w:highlight w:val="none"/>
        </w:rPr>
        <w:t>3</w:t>
      </w:r>
      <w:r>
        <w:rPr>
          <w:rFonts w:hint="eastAsia" w:ascii="宋体" w:hAnsi="宋体" w:cs="宋体"/>
          <w:sz w:val="22"/>
          <w:szCs w:val="22"/>
          <w:highlight w:val="none"/>
        </w:rPr>
        <w:t>．</w:t>
      </w:r>
      <w:r>
        <w:rPr>
          <w:rFonts w:hint="eastAsia" w:ascii="宋体" w:hAnsi="宋体" w:cs="宋体"/>
          <w:color w:val="000000"/>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10" w:firstLineChars="50"/>
        <w:rPr>
          <w:rFonts w:ascii="宋体" w:hAnsi="宋体" w:cs="宋体"/>
          <w:color w:val="000000"/>
          <w:sz w:val="22"/>
          <w:szCs w:val="22"/>
          <w:highlight w:val="none"/>
        </w:rPr>
      </w:pPr>
      <w:r>
        <w:rPr>
          <w:rFonts w:hint="eastAsia" w:ascii="宋体" w:hAnsi="宋体" w:cs="宋体"/>
          <w:color w:val="000000"/>
          <w:sz w:val="22"/>
          <w:szCs w:val="22"/>
          <w:highlight w:val="none"/>
        </w:rPr>
        <w:t>4</w:t>
      </w:r>
      <w:r>
        <w:rPr>
          <w:rFonts w:hint="eastAsia" w:ascii="宋体" w:hAnsi="宋体" w:cs="宋体"/>
          <w:sz w:val="22"/>
          <w:szCs w:val="22"/>
          <w:highlight w:val="none"/>
        </w:rPr>
        <w:t>．</w:t>
      </w:r>
      <w:r>
        <w:rPr>
          <w:rFonts w:hint="eastAsia" w:ascii="宋体" w:hAnsi="宋体" w:cs="宋体"/>
          <w:color w:val="000000"/>
          <w:sz w:val="22"/>
          <w:szCs w:val="22"/>
          <w:highlight w:val="none"/>
        </w:rPr>
        <w:t>质量保修完成后，由发包人组织验收。</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　　</w:t>
      </w:r>
      <w:bookmarkStart w:id="1472" w:name="_Toc14367"/>
      <w:r>
        <w:rPr>
          <w:rFonts w:hint="eastAsia" w:ascii="宋体" w:hAnsi="宋体" w:cs="宋体"/>
          <w:color w:val="000000"/>
          <w:sz w:val="22"/>
          <w:szCs w:val="22"/>
          <w:highlight w:val="none"/>
        </w:rPr>
        <w:t>五、保修费用</w:t>
      </w:r>
      <w:bookmarkEnd w:id="1472"/>
    </w:p>
    <w:p>
      <w:pPr>
        <w:spacing w:line="360" w:lineRule="auto"/>
        <w:ind w:firstLine="440"/>
        <w:rPr>
          <w:rFonts w:ascii="宋体" w:hAnsi="宋体" w:cs="宋体"/>
          <w:color w:val="000000"/>
          <w:sz w:val="22"/>
          <w:szCs w:val="22"/>
          <w:highlight w:val="none"/>
        </w:rPr>
      </w:pPr>
      <w:r>
        <w:rPr>
          <w:rFonts w:hint="eastAsia" w:ascii="宋体" w:hAnsi="宋体" w:cs="宋体"/>
          <w:color w:val="000000"/>
          <w:sz w:val="22"/>
          <w:szCs w:val="22"/>
          <w:highlight w:val="none"/>
        </w:rPr>
        <w:t>保修费用由造成质量缺陷的责任方承担。</w:t>
      </w:r>
    </w:p>
    <w:p>
      <w:pPr>
        <w:spacing w:line="36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六</w:t>
      </w:r>
      <w:r>
        <w:rPr>
          <w:rFonts w:hint="eastAsia" w:ascii="宋体" w:hAnsi="宋体" w:cs="宋体"/>
          <w:bCs/>
          <w:color w:val="000000"/>
          <w:sz w:val="22"/>
          <w:szCs w:val="22"/>
          <w:highlight w:val="none"/>
        </w:rPr>
        <w:t>、</w:t>
      </w:r>
      <w:r>
        <w:rPr>
          <w:rFonts w:hint="eastAsia" w:ascii="宋体" w:hAnsi="宋体" w:cs="宋体"/>
          <w:color w:val="000000"/>
          <w:sz w:val="22"/>
          <w:szCs w:val="22"/>
          <w:highlight w:val="none"/>
        </w:rPr>
        <w:t>质量保证金的退还</w:t>
      </w:r>
    </w:p>
    <w:p>
      <w:pPr>
        <w:spacing w:line="360" w:lineRule="auto"/>
        <w:ind w:left="105" w:leftChars="50" w:firstLine="450" w:firstLineChars="205"/>
        <w:rPr>
          <w:rFonts w:ascii="宋体" w:hAnsi="宋体" w:cs="宋体"/>
          <w:color w:val="000000"/>
          <w:sz w:val="22"/>
          <w:szCs w:val="22"/>
          <w:highlight w:val="none"/>
        </w:rPr>
      </w:pPr>
      <w:r>
        <w:rPr>
          <w:rFonts w:hint="eastAsia" w:ascii="宋体" w:hAnsi="宋体" w:cs="宋体"/>
          <w:color w:val="000000"/>
          <w:sz w:val="22"/>
          <w:szCs w:val="22"/>
          <w:highlight w:val="none"/>
        </w:rPr>
        <w:t>质量</w:t>
      </w:r>
      <w:r>
        <w:rPr>
          <w:rFonts w:ascii="宋体" w:hAnsi="宋体" w:cs="宋体"/>
          <w:color w:val="000000"/>
          <w:sz w:val="22"/>
          <w:szCs w:val="22"/>
          <w:highlight w:val="none"/>
        </w:rPr>
        <w:t>保证金为工程竣工结算</w:t>
      </w:r>
      <w:r>
        <w:rPr>
          <w:rFonts w:hint="eastAsia" w:ascii="宋体" w:hAnsi="宋体" w:cs="宋体"/>
          <w:color w:val="000000"/>
          <w:sz w:val="22"/>
          <w:szCs w:val="22"/>
          <w:highlight w:val="none"/>
        </w:rPr>
        <w:t>总价款</w:t>
      </w:r>
      <w:r>
        <w:rPr>
          <w:rFonts w:ascii="宋体" w:hAnsi="宋体" w:cs="宋体"/>
          <w:color w:val="000000"/>
          <w:sz w:val="22"/>
          <w:szCs w:val="22"/>
          <w:highlight w:val="none"/>
        </w:rPr>
        <w:t>的</w:t>
      </w:r>
      <w:r>
        <w:rPr>
          <w:rFonts w:hint="eastAsia" w:ascii="宋体" w:hAnsi="宋体" w:cs="宋体"/>
          <w:color w:val="000000"/>
          <w:sz w:val="22"/>
          <w:szCs w:val="22"/>
          <w:highlight w:val="none"/>
          <w:lang w:eastAsia="zh-CN"/>
        </w:rPr>
        <w:t>5%</w:t>
      </w:r>
      <w:r>
        <w:rPr>
          <w:rFonts w:ascii="宋体" w:hAnsi="宋体" w:cs="宋体"/>
          <w:color w:val="000000"/>
          <w:sz w:val="22"/>
          <w:szCs w:val="22"/>
          <w:highlight w:val="none"/>
        </w:rPr>
        <w:t>，在工程竣工结算时预留。工程竣工验收合格满</w:t>
      </w:r>
      <w:r>
        <w:rPr>
          <w:rFonts w:hint="eastAsia" w:ascii="宋体" w:hAnsi="宋体" w:cs="宋体"/>
          <w:color w:val="000000"/>
          <w:sz w:val="22"/>
          <w:szCs w:val="22"/>
          <w:highlight w:val="none"/>
        </w:rPr>
        <w:t>2</w:t>
      </w:r>
      <w:r>
        <w:rPr>
          <w:rFonts w:ascii="宋体" w:hAnsi="宋体" w:cs="宋体"/>
          <w:color w:val="000000"/>
          <w:sz w:val="22"/>
          <w:szCs w:val="22"/>
          <w:highlight w:val="none"/>
        </w:rPr>
        <w:t>年无质量问题时退还</w:t>
      </w:r>
      <w:r>
        <w:rPr>
          <w:rFonts w:hint="eastAsia" w:ascii="宋体" w:hAnsi="宋体" w:cs="宋体"/>
          <w:color w:val="000000"/>
          <w:sz w:val="22"/>
          <w:szCs w:val="22"/>
          <w:highlight w:val="none"/>
        </w:rPr>
        <w:t>剩余</w:t>
      </w:r>
      <w:r>
        <w:rPr>
          <w:rFonts w:ascii="宋体" w:hAnsi="宋体" w:cs="宋体"/>
          <w:color w:val="000000"/>
          <w:sz w:val="22"/>
          <w:szCs w:val="22"/>
          <w:highlight w:val="none"/>
        </w:rPr>
        <w:t>保证金的100%</w:t>
      </w:r>
      <w:r>
        <w:rPr>
          <w:rFonts w:hint="eastAsia" w:ascii="宋体" w:hAnsi="宋体" w:cs="宋体"/>
          <w:color w:val="000000"/>
          <w:sz w:val="22"/>
          <w:szCs w:val="22"/>
          <w:highlight w:val="none"/>
        </w:rPr>
        <w:t>。</w:t>
      </w:r>
    </w:p>
    <w:p>
      <w:pPr>
        <w:spacing w:line="360" w:lineRule="auto"/>
        <w:ind w:firstLine="440" w:firstLineChars="200"/>
        <w:rPr>
          <w:rFonts w:ascii="宋体" w:hAnsi="宋体" w:cs="宋体"/>
          <w:color w:val="000000"/>
          <w:sz w:val="22"/>
          <w:szCs w:val="22"/>
          <w:highlight w:val="none"/>
        </w:rPr>
      </w:pPr>
      <w:bookmarkStart w:id="1473" w:name="_Toc5992"/>
      <w:r>
        <w:rPr>
          <w:rFonts w:hint="eastAsia" w:ascii="宋体" w:hAnsi="宋体" w:cs="宋体"/>
          <w:bCs/>
          <w:color w:val="000000"/>
          <w:sz w:val="22"/>
          <w:szCs w:val="22"/>
          <w:highlight w:val="none"/>
        </w:rPr>
        <w:t>七、</w:t>
      </w:r>
      <w:r>
        <w:rPr>
          <w:rFonts w:hint="eastAsia" w:ascii="宋体" w:hAnsi="宋体" w:cs="宋体"/>
          <w:color w:val="000000"/>
          <w:sz w:val="22"/>
          <w:szCs w:val="22"/>
          <w:highlight w:val="none"/>
        </w:rPr>
        <w:t>双方约定的其他工程质量保修事项：</w:t>
      </w:r>
      <w:bookmarkEnd w:id="1473"/>
      <w:r>
        <w:rPr>
          <w:rFonts w:hint="eastAsia" w:ascii="宋体" w:hAnsi="宋体" w:cs="宋体"/>
          <w:color w:val="000000"/>
          <w:sz w:val="22"/>
          <w:szCs w:val="22"/>
          <w:highlight w:val="none"/>
          <w:u w:val="single"/>
        </w:rPr>
        <w:t xml:space="preserve">  如发生承包人 街道通知位及时予以维修，而由发包人另行派人维修支付维修费用的情况，该费用自承包人保修金中支出，保修金在结算时多退少补，如发生纠纷按照通用条款相关规定执行  </w:t>
      </w:r>
      <w:r>
        <w:rPr>
          <w:rFonts w:hint="eastAsia" w:ascii="宋体" w:hAnsi="宋体" w:cs="宋体"/>
          <w:color w:val="000000"/>
          <w:sz w:val="22"/>
          <w:szCs w:val="22"/>
          <w:highlight w:val="none"/>
        </w:rPr>
        <w:t>。</w:t>
      </w:r>
    </w:p>
    <w:p>
      <w:pPr>
        <w:spacing w:line="360" w:lineRule="auto"/>
        <w:ind w:firstLine="418" w:firstLineChars="190"/>
        <w:rPr>
          <w:rFonts w:ascii="宋体" w:hAnsi="宋体" w:cs="宋体"/>
          <w:color w:val="000000"/>
          <w:sz w:val="22"/>
          <w:szCs w:val="22"/>
          <w:highlight w:val="none"/>
        </w:rPr>
      </w:pPr>
      <w:r>
        <w:rPr>
          <w:rFonts w:hint="eastAsia" w:ascii="宋体" w:hAnsi="宋体" w:cs="宋体"/>
          <w:color w:val="000000"/>
          <w:sz w:val="22"/>
          <w:szCs w:val="22"/>
          <w:highlight w:val="none"/>
        </w:rPr>
        <w:t>工程质量保修书由发包人、承包人在工程竣工验收前共同签署，作为施工合同附件，其有效期限至保修期满。</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发包人(公章)：</w:t>
      </w:r>
      <w:r>
        <w:rPr>
          <w:rFonts w:hint="eastAsia" w:ascii="宋体" w:hAnsi="宋体" w:cs="宋体"/>
          <w:color w:val="000000"/>
          <w:sz w:val="22"/>
          <w:szCs w:val="22"/>
          <w:highlight w:val="none"/>
          <w:u w:val="single"/>
        </w:rPr>
        <w:t xml:space="preserve">        </w:t>
      </w:r>
      <w:r>
        <w:rPr>
          <w:rFonts w:hint="eastAsia" w:ascii="宋体" w:hAnsi="宋体" w:cs="宋体"/>
          <w:color w:val="000000"/>
          <w:sz w:val="22"/>
          <w:szCs w:val="22"/>
          <w:highlight w:val="none"/>
        </w:rPr>
        <w:t xml:space="preserve">          承包人(公章)：</w:t>
      </w:r>
      <w:r>
        <w:rPr>
          <w:rFonts w:hint="eastAsia" w:ascii="宋体" w:hAnsi="宋体" w:cs="宋体"/>
          <w:color w:val="000000"/>
          <w:sz w:val="22"/>
          <w:szCs w:val="22"/>
          <w:highlight w:val="none"/>
          <w:u w:val="single"/>
        </w:rPr>
        <w:t xml:space="preserve">          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地  址：</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 xml:space="preserve">           地  址：</w:t>
      </w:r>
      <w:r>
        <w:rPr>
          <w:rFonts w:hint="eastAsia" w:ascii="宋体" w:hAnsi="宋体" w:cs="宋体"/>
          <w:color w:val="000000"/>
          <w:sz w:val="22"/>
          <w:szCs w:val="22"/>
          <w:highlight w:val="none"/>
          <w:u w:val="single"/>
        </w:rPr>
        <w:t xml:space="preserve"> 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法定代表人(签字)：</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法定代表人(签字)：</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委托代理人(签字)：</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委托代理人(签字)：</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电  话：</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电  话：</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传  真：</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传  真：</w:t>
      </w:r>
      <w:r>
        <w:rPr>
          <w:rFonts w:hint="eastAsia" w:ascii="宋体" w:hAnsi="宋体" w:cs="宋体"/>
          <w:color w:val="000000"/>
          <w:sz w:val="22"/>
          <w:szCs w:val="22"/>
          <w:highlight w:val="none"/>
          <w:u w:val="single"/>
        </w:rPr>
        <w:t xml:space="preserve">  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开户银行：</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开户银行：</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账  号：</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 xml:space="preserve">           账  号：</w:t>
      </w:r>
      <w:r>
        <w:rPr>
          <w:rFonts w:hint="eastAsia" w:ascii="宋体" w:hAnsi="宋体" w:cs="宋体"/>
          <w:color w:val="000000"/>
          <w:sz w:val="22"/>
          <w:szCs w:val="22"/>
          <w:highlight w:val="none"/>
          <w:u w:val="single"/>
        </w:rPr>
        <w:t xml:space="preserve">     </w:t>
      </w: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邮政编码：</w:t>
      </w:r>
      <w:r>
        <w:rPr>
          <w:rFonts w:hint="eastAsia" w:ascii="宋体" w:hAnsi="宋体" w:cs="宋体"/>
          <w:color w:val="000000"/>
          <w:sz w:val="22"/>
          <w:szCs w:val="22"/>
          <w:highlight w:val="none"/>
          <w:u w:val="single"/>
        </w:rPr>
        <w:t xml:space="preserve">     </w:t>
      </w:r>
      <w:r>
        <w:rPr>
          <w:rFonts w:hint="eastAsia" w:ascii="宋体" w:hAnsi="宋体" w:cs="宋体"/>
          <w:color w:val="000000"/>
          <w:sz w:val="22"/>
          <w:szCs w:val="22"/>
          <w:highlight w:val="none"/>
        </w:rPr>
        <w:t xml:space="preserve">           邮政编码：</w:t>
      </w:r>
      <w:r>
        <w:rPr>
          <w:rFonts w:hint="eastAsia" w:ascii="宋体" w:hAnsi="宋体" w:cs="宋体"/>
          <w:color w:val="000000"/>
          <w:sz w:val="22"/>
          <w:szCs w:val="22"/>
          <w:highlight w:val="none"/>
          <w:u w:val="single"/>
        </w:rPr>
        <w:t xml:space="preserve">   </w:t>
      </w:r>
    </w:p>
    <w:p>
      <w:pPr>
        <w:spacing w:line="440" w:lineRule="exact"/>
        <w:rPr>
          <w:rFonts w:ascii="宋体" w:hAnsi="宋体" w:cs="宋体"/>
          <w:color w:val="000000"/>
          <w:sz w:val="22"/>
          <w:szCs w:val="22"/>
          <w:highlight w:val="none"/>
        </w:rPr>
      </w:pPr>
      <w:r>
        <w:rPr>
          <w:rFonts w:hint="eastAsia" w:ascii="宋体" w:hAnsi="宋体" w:cs="宋体"/>
          <w:b/>
          <w:color w:val="000000"/>
          <w:sz w:val="22"/>
          <w:szCs w:val="22"/>
          <w:highlight w:val="none"/>
        </w:rPr>
        <w:br w:type="page"/>
      </w:r>
      <w:bookmarkStart w:id="1474" w:name="_Toc540"/>
      <w:r>
        <w:rPr>
          <w:rFonts w:hint="eastAsia" w:ascii="宋体" w:hAnsi="宋体" w:cs="宋体"/>
          <w:color w:val="000000"/>
          <w:sz w:val="22"/>
          <w:szCs w:val="22"/>
          <w:highlight w:val="none"/>
        </w:rPr>
        <w:t>附件4：</w:t>
      </w:r>
      <w:bookmarkEnd w:id="1474"/>
    </w:p>
    <w:p>
      <w:pPr>
        <w:spacing w:beforeLines="50" w:afterLines="50" w:line="4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主要建设工程文件目录</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文件名称</w:t>
            </w:r>
          </w:p>
        </w:tc>
        <w:tc>
          <w:tcPr>
            <w:tcW w:w="1276"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套数</w:t>
            </w:r>
          </w:p>
        </w:tc>
        <w:tc>
          <w:tcPr>
            <w:tcW w:w="145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费用（元）</w:t>
            </w:r>
          </w:p>
        </w:tc>
        <w:tc>
          <w:tcPr>
            <w:tcW w:w="1243"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质量</w:t>
            </w:r>
          </w:p>
        </w:tc>
        <w:tc>
          <w:tcPr>
            <w:tcW w:w="1450" w:type="dxa"/>
            <w:tcBorders>
              <w:top w:val="single" w:color="auto" w:sz="12" w:space="0"/>
              <w:bottom w:val="double" w:color="auto" w:sz="6" w:space="0"/>
            </w:tcBorders>
            <w:noWrap w:val="0"/>
            <w:vAlign w:val="top"/>
          </w:tcPr>
          <w:p>
            <w:pPr>
              <w:spacing w:line="4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移交时间</w:t>
            </w:r>
          </w:p>
        </w:tc>
        <w:tc>
          <w:tcPr>
            <w:tcW w:w="1667" w:type="dxa"/>
            <w:tcBorders>
              <w:top w:val="single" w:color="auto" w:sz="12" w:space="0"/>
              <w:bottom w:val="double" w:color="auto" w:sz="6" w:space="0"/>
            </w:tcBorders>
            <w:noWrap w:val="0"/>
            <w:vAlign w:val="top"/>
          </w:tcPr>
          <w:p>
            <w:pPr>
              <w:spacing w:line="4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76"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243"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667"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cs="宋体"/>
                <w:color w:val="000000"/>
                <w:sz w:val="22"/>
                <w:szCs w:val="22"/>
                <w:highlight w:val="none"/>
              </w:rPr>
            </w:pPr>
          </w:p>
        </w:tc>
        <w:tc>
          <w:tcPr>
            <w:tcW w:w="1276"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243" w:type="dxa"/>
            <w:noWrap w:val="0"/>
            <w:vAlign w:val="top"/>
          </w:tcPr>
          <w:p>
            <w:pPr>
              <w:rPr>
                <w:rFonts w:ascii="宋体" w:hAnsi="宋体" w:cs="宋体"/>
                <w:color w:val="000000"/>
                <w:sz w:val="22"/>
                <w:szCs w:val="22"/>
                <w:highlight w:val="none"/>
              </w:rPr>
            </w:pPr>
          </w:p>
        </w:tc>
        <w:tc>
          <w:tcPr>
            <w:tcW w:w="1450" w:type="dxa"/>
            <w:noWrap w:val="0"/>
            <w:vAlign w:val="top"/>
          </w:tcPr>
          <w:p>
            <w:pPr>
              <w:rPr>
                <w:rFonts w:ascii="宋体" w:hAnsi="宋体" w:cs="宋体"/>
                <w:color w:val="000000"/>
                <w:sz w:val="22"/>
                <w:szCs w:val="22"/>
                <w:highlight w:val="none"/>
              </w:rPr>
            </w:pPr>
          </w:p>
        </w:tc>
        <w:tc>
          <w:tcPr>
            <w:tcW w:w="1667" w:type="dxa"/>
            <w:noWrap w:val="0"/>
            <w:vAlign w:val="top"/>
          </w:tcPr>
          <w:p>
            <w:pPr>
              <w:rPr>
                <w:rFonts w:ascii="宋体" w:hAnsi="宋体" w:cs="宋体"/>
                <w:color w:val="000000"/>
                <w:sz w:val="22"/>
                <w:szCs w:val="22"/>
                <w:highlight w:val="none"/>
              </w:rPr>
            </w:pPr>
          </w:p>
        </w:tc>
      </w:tr>
    </w:tbl>
    <w:p>
      <w:pPr>
        <w:spacing w:line="440" w:lineRule="exact"/>
        <w:rPr>
          <w:rFonts w:ascii="宋体" w:hAnsi="宋体" w:cs="宋体"/>
          <w:color w:val="000000"/>
          <w:sz w:val="22"/>
          <w:szCs w:val="22"/>
          <w:highlight w:val="none"/>
        </w:rPr>
      </w:pPr>
    </w:p>
    <w:p>
      <w:pPr>
        <w:spacing w:line="440" w:lineRule="exact"/>
        <w:rPr>
          <w:rFonts w:ascii="宋体" w:hAnsi="宋体" w:cs="宋体"/>
          <w:color w:val="000000"/>
          <w:sz w:val="22"/>
          <w:szCs w:val="22"/>
          <w:highlight w:val="none"/>
        </w:rPr>
      </w:pPr>
      <w:r>
        <w:rPr>
          <w:rFonts w:hint="eastAsia" w:ascii="宋体" w:hAnsi="宋体" w:cs="宋体"/>
          <w:color w:val="000000"/>
          <w:sz w:val="22"/>
          <w:szCs w:val="22"/>
          <w:highlight w:val="none"/>
        </w:rPr>
        <w:br w:type="page"/>
      </w:r>
      <w:bookmarkStart w:id="1475" w:name="_Toc28677"/>
      <w:r>
        <w:rPr>
          <w:rFonts w:hint="eastAsia" w:ascii="宋体" w:hAnsi="宋体" w:cs="宋体"/>
          <w:color w:val="000000"/>
          <w:sz w:val="22"/>
          <w:szCs w:val="22"/>
          <w:highlight w:val="none"/>
        </w:rPr>
        <w:t>附</w:t>
      </w:r>
      <w:bookmarkStart w:id="1476" w:name="_Toc296891267"/>
      <w:bookmarkStart w:id="1477" w:name="_Toc296503227"/>
      <w:bookmarkStart w:id="1478" w:name="_Toc296891055"/>
      <w:bookmarkStart w:id="1479" w:name="_Toc296347226"/>
      <w:bookmarkStart w:id="1480" w:name="_Toc296346728"/>
      <w:bookmarkStart w:id="1481" w:name="_Toc296944566"/>
      <w:bookmarkStart w:id="1482" w:name="_Toc267261698"/>
      <w:r>
        <w:rPr>
          <w:rFonts w:hint="eastAsia" w:ascii="宋体" w:hAnsi="宋体" w:cs="宋体"/>
          <w:color w:val="000000"/>
          <w:sz w:val="22"/>
          <w:szCs w:val="22"/>
          <w:highlight w:val="none"/>
        </w:rPr>
        <w:t>件5：</w:t>
      </w:r>
      <w:bookmarkEnd w:id="1475"/>
    </w:p>
    <w:bookmarkEnd w:id="1476"/>
    <w:bookmarkEnd w:id="1477"/>
    <w:bookmarkEnd w:id="1478"/>
    <w:bookmarkEnd w:id="1479"/>
    <w:bookmarkEnd w:id="1480"/>
    <w:bookmarkEnd w:id="1481"/>
    <w:bookmarkEnd w:id="1482"/>
    <w:p>
      <w:pPr>
        <w:spacing w:beforeLines="50" w:afterLines="50" w:line="4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承包人用于本工程施工的机械设备表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序号</w:t>
            </w:r>
          </w:p>
        </w:tc>
        <w:tc>
          <w:tcPr>
            <w:tcW w:w="1418"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机械或设备名称</w:t>
            </w:r>
          </w:p>
        </w:tc>
        <w:tc>
          <w:tcPr>
            <w:tcW w:w="85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规格型号</w:t>
            </w:r>
          </w:p>
        </w:tc>
        <w:tc>
          <w:tcPr>
            <w:tcW w:w="1058"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数量</w:t>
            </w:r>
          </w:p>
        </w:tc>
        <w:tc>
          <w:tcPr>
            <w:tcW w:w="88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产地</w:t>
            </w:r>
          </w:p>
        </w:tc>
        <w:tc>
          <w:tcPr>
            <w:tcW w:w="102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制造年份</w:t>
            </w:r>
          </w:p>
        </w:tc>
        <w:tc>
          <w:tcPr>
            <w:tcW w:w="148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额定功率(kW)</w:t>
            </w:r>
          </w:p>
        </w:tc>
        <w:tc>
          <w:tcPr>
            <w:tcW w:w="1020"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生产能力</w:t>
            </w:r>
          </w:p>
        </w:tc>
        <w:tc>
          <w:tcPr>
            <w:tcW w:w="921"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5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5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8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8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020"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921"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ascii="宋体" w:hAnsi="宋体" w:cs="宋体"/>
                <w:color w:val="000000"/>
                <w:sz w:val="22"/>
                <w:szCs w:val="22"/>
                <w:highlight w:val="none"/>
              </w:rPr>
            </w:pPr>
          </w:p>
        </w:tc>
        <w:tc>
          <w:tcPr>
            <w:tcW w:w="1418" w:type="dxa"/>
            <w:noWrap w:val="0"/>
            <w:vAlign w:val="top"/>
          </w:tcPr>
          <w:p>
            <w:pPr>
              <w:rPr>
                <w:rFonts w:ascii="宋体" w:hAnsi="宋体" w:cs="宋体"/>
                <w:color w:val="000000"/>
                <w:sz w:val="22"/>
                <w:szCs w:val="22"/>
                <w:highlight w:val="none"/>
              </w:rPr>
            </w:pPr>
          </w:p>
        </w:tc>
        <w:tc>
          <w:tcPr>
            <w:tcW w:w="850" w:type="dxa"/>
            <w:noWrap w:val="0"/>
            <w:vAlign w:val="top"/>
          </w:tcPr>
          <w:p>
            <w:pPr>
              <w:rPr>
                <w:rFonts w:ascii="宋体" w:hAnsi="宋体" w:cs="宋体"/>
                <w:color w:val="000000"/>
                <w:sz w:val="22"/>
                <w:szCs w:val="22"/>
                <w:highlight w:val="none"/>
              </w:rPr>
            </w:pPr>
          </w:p>
        </w:tc>
        <w:tc>
          <w:tcPr>
            <w:tcW w:w="1058" w:type="dxa"/>
            <w:noWrap w:val="0"/>
            <w:vAlign w:val="top"/>
          </w:tcPr>
          <w:p>
            <w:pPr>
              <w:rPr>
                <w:rFonts w:ascii="宋体" w:hAnsi="宋体" w:cs="宋体"/>
                <w:color w:val="000000"/>
                <w:sz w:val="22"/>
                <w:szCs w:val="22"/>
                <w:highlight w:val="none"/>
              </w:rPr>
            </w:pPr>
          </w:p>
        </w:tc>
        <w:tc>
          <w:tcPr>
            <w:tcW w:w="8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1480" w:type="dxa"/>
            <w:noWrap w:val="0"/>
            <w:vAlign w:val="top"/>
          </w:tcPr>
          <w:p>
            <w:pPr>
              <w:rPr>
                <w:rFonts w:ascii="宋体" w:hAnsi="宋体" w:cs="宋体"/>
                <w:color w:val="000000"/>
                <w:sz w:val="22"/>
                <w:szCs w:val="22"/>
                <w:highlight w:val="none"/>
              </w:rPr>
            </w:pPr>
          </w:p>
        </w:tc>
        <w:tc>
          <w:tcPr>
            <w:tcW w:w="1020" w:type="dxa"/>
            <w:noWrap w:val="0"/>
            <w:vAlign w:val="top"/>
          </w:tcPr>
          <w:p>
            <w:pPr>
              <w:rPr>
                <w:rFonts w:ascii="宋体" w:hAnsi="宋体" w:cs="宋体"/>
                <w:color w:val="000000"/>
                <w:sz w:val="22"/>
                <w:szCs w:val="22"/>
                <w:highlight w:val="none"/>
              </w:rPr>
            </w:pPr>
          </w:p>
        </w:tc>
        <w:tc>
          <w:tcPr>
            <w:tcW w:w="921" w:type="dxa"/>
            <w:noWrap w:val="0"/>
            <w:vAlign w:val="top"/>
          </w:tcPr>
          <w:p>
            <w:pPr>
              <w:rPr>
                <w:rFonts w:ascii="宋体" w:hAnsi="宋体" w:cs="宋体"/>
                <w:color w:val="000000"/>
                <w:sz w:val="22"/>
                <w:szCs w:val="22"/>
                <w:highlight w:val="none"/>
              </w:rPr>
            </w:pPr>
          </w:p>
        </w:tc>
      </w:tr>
    </w:tbl>
    <w:p>
      <w:pPr>
        <w:rPr>
          <w:rFonts w:ascii="宋体" w:hAnsi="宋体" w:cs="宋体"/>
          <w:color w:val="000000"/>
          <w:sz w:val="22"/>
          <w:szCs w:val="22"/>
          <w:highlight w:val="none"/>
        </w:rPr>
      </w:pPr>
      <w:bookmarkStart w:id="1483" w:name="_Toc1324"/>
      <w:r>
        <w:rPr>
          <w:rFonts w:hint="eastAsia" w:ascii="宋体" w:hAnsi="宋体" w:cs="宋体"/>
          <w:color w:val="000000"/>
          <w:sz w:val="22"/>
          <w:szCs w:val="22"/>
          <w:highlight w:val="none"/>
        </w:rPr>
        <w:br w:type="page"/>
      </w:r>
    </w:p>
    <w:p>
      <w:pPr>
        <w:spacing w:line="440" w:lineRule="exact"/>
        <w:rPr>
          <w:rFonts w:ascii="宋体" w:hAnsi="宋体" w:cs="宋体"/>
          <w:color w:val="000000"/>
          <w:sz w:val="22"/>
          <w:szCs w:val="22"/>
          <w:highlight w:val="none"/>
        </w:rPr>
      </w:pPr>
      <w:r>
        <w:rPr>
          <w:rFonts w:hint="eastAsia" w:ascii="宋体" w:hAnsi="宋体" w:cs="宋体"/>
          <w:color w:val="000000"/>
          <w:sz w:val="22"/>
          <w:szCs w:val="22"/>
          <w:highlight w:val="none"/>
        </w:rPr>
        <w:t>附</w:t>
      </w:r>
      <w:bookmarkStart w:id="1484" w:name="_Toc267261699"/>
      <w:bookmarkStart w:id="1485" w:name="_Toc296944567"/>
      <w:bookmarkStart w:id="1486" w:name="_Toc296891268"/>
      <w:bookmarkStart w:id="1487" w:name="_Toc296346729"/>
      <w:bookmarkStart w:id="1488" w:name="_Toc296503228"/>
      <w:bookmarkStart w:id="1489" w:name="_Toc296891056"/>
      <w:bookmarkStart w:id="1490" w:name="_Toc296347227"/>
      <w:r>
        <w:rPr>
          <w:rFonts w:hint="eastAsia" w:ascii="宋体" w:hAnsi="宋体" w:cs="宋体"/>
          <w:color w:val="000000"/>
          <w:sz w:val="22"/>
          <w:szCs w:val="22"/>
          <w:highlight w:val="none"/>
        </w:rPr>
        <w:t>件6：</w:t>
      </w:r>
      <w:bookmarkEnd w:id="1483"/>
    </w:p>
    <w:bookmarkEnd w:id="1484"/>
    <w:bookmarkEnd w:id="1485"/>
    <w:bookmarkEnd w:id="1486"/>
    <w:bookmarkEnd w:id="1487"/>
    <w:bookmarkEnd w:id="1488"/>
    <w:bookmarkEnd w:id="1489"/>
    <w:bookmarkEnd w:id="1490"/>
    <w:p>
      <w:pPr>
        <w:spacing w:beforeLines="50" w:afterLines="50" w:line="440" w:lineRule="exact"/>
        <w:jc w:val="center"/>
        <w:rPr>
          <w:rFonts w:ascii="宋体" w:hAnsi="宋体" w:cs="宋体"/>
          <w:color w:val="000000"/>
          <w:sz w:val="22"/>
          <w:szCs w:val="22"/>
          <w:highlight w:val="none"/>
        </w:rPr>
      </w:pPr>
      <w:r>
        <w:rPr>
          <w:rFonts w:hint="eastAsia" w:ascii="宋体" w:hAnsi="宋体" w:cs="宋体"/>
          <w:color w:val="000000"/>
          <w:sz w:val="22"/>
          <w:szCs w:val="22"/>
          <w:highlight w:val="none"/>
        </w:rPr>
        <w:t>承包人主要施工管理人员表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名    称</w:t>
            </w:r>
          </w:p>
        </w:tc>
        <w:tc>
          <w:tcPr>
            <w:tcW w:w="1418"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姓名</w:t>
            </w:r>
          </w:p>
        </w:tc>
        <w:tc>
          <w:tcPr>
            <w:tcW w:w="1134"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职务</w:t>
            </w:r>
          </w:p>
        </w:tc>
        <w:tc>
          <w:tcPr>
            <w:tcW w:w="1134"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职称</w:t>
            </w:r>
          </w:p>
        </w:tc>
        <w:tc>
          <w:tcPr>
            <w:tcW w:w="4252" w:type="dxa"/>
            <w:tcBorders>
              <w:top w:val="single" w:color="auto" w:sz="12" w:space="0"/>
              <w:bottom w:val="doub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项目主管</w:t>
            </w:r>
          </w:p>
        </w:tc>
        <w:tc>
          <w:tcPr>
            <w:tcW w:w="1418"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tcBorders>
              <w:top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其他人员</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项目经理</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项目副经理</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技术负责人</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造价管理</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质量管理</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材料管理</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计划管理</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安全管理</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其他人员</w:t>
            </w: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tcBorders>
              <w:bottom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tcBorders>
              <w:bottom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tcBorders>
              <w:bottom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tcBorders>
              <w:bottom w:val="nil"/>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noWrap w:val="0"/>
            <w:vAlign w:val="center"/>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418" w:type="dxa"/>
            <w:tcBorders>
              <w:bottom w:val="single" w:color="auto" w:sz="12"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tcBorders>
              <w:bottom w:val="single" w:color="auto" w:sz="12"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1134" w:type="dxa"/>
            <w:tcBorders>
              <w:bottom w:val="single" w:color="auto" w:sz="12"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c>
          <w:tcPr>
            <w:tcW w:w="4252" w:type="dxa"/>
            <w:tcBorders>
              <w:bottom w:val="single" w:color="auto" w:sz="12" w:space="0"/>
            </w:tcBorders>
            <w:noWrap w:val="0"/>
            <w:vAlign w:val="center"/>
          </w:tcPr>
          <w:p>
            <w:pPr>
              <w:pStyle w:val="15"/>
              <w:keepNext/>
              <w:spacing w:line="440" w:lineRule="exact"/>
              <w:ind w:left="63" w:right="63"/>
              <w:rPr>
                <w:rFonts w:ascii="宋体" w:hAnsi="宋体" w:cs="宋体"/>
                <w:color w:val="000000"/>
                <w:kern w:val="2"/>
                <w:sz w:val="22"/>
                <w:szCs w:val="22"/>
                <w:highlight w:val="none"/>
              </w:rPr>
            </w:pPr>
          </w:p>
        </w:tc>
      </w:tr>
    </w:tbl>
    <w:p>
      <w:pPr>
        <w:spacing w:line="360" w:lineRule="auto"/>
        <w:ind w:right="150" w:firstLine="440" w:firstLineChars="200"/>
        <w:rPr>
          <w:rFonts w:hint="eastAsia" w:ascii="宋体" w:hAnsi="宋体" w:cs="宋体"/>
          <w:color w:val="000000"/>
          <w:sz w:val="22"/>
          <w:szCs w:val="22"/>
          <w:highlight w:val="none"/>
        </w:rPr>
        <w:sectPr>
          <w:pgSz w:w="11906" w:h="16838"/>
          <w:pgMar w:top="1418" w:right="1555" w:bottom="1418" w:left="1531" w:header="851" w:footer="992" w:gutter="0"/>
          <w:pgNumType w:fmt="decimal"/>
          <w:cols w:space="720" w:num="1"/>
          <w:titlePg/>
          <w:docGrid w:type="lines" w:linePitch="312" w:charSpace="0"/>
        </w:sectPr>
      </w:pPr>
    </w:p>
    <w:p>
      <w:pPr>
        <w:spacing w:line="360" w:lineRule="auto"/>
        <w:ind w:right="150" w:firstLine="440" w:firstLineChars="200"/>
        <w:rPr>
          <w:rFonts w:hint="eastAsia" w:ascii="宋体" w:hAnsi="宋体" w:cs="宋体"/>
          <w:color w:val="000000"/>
          <w:sz w:val="22"/>
          <w:szCs w:val="22"/>
          <w:highlight w:val="none"/>
        </w:rPr>
        <w:sectPr>
          <w:type w:val="continuous"/>
          <w:pgSz w:w="11906" w:h="16838"/>
          <w:pgMar w:top="1418" w:right="1555" w:bottom="1418" w:left="1531" w:header="851" w:footer="992" w:gutter="0"/>
          <w:pgNumType w:fmt="decimal"/>
          <w:cols w:space="720" w:num="1"/>
          <w:titlePg/>
          <w:docGrid w:type="lines" w:linePitch="312" w:charSpace="0"/>
        </w:sectPr>
      </w:pPr>
      <w:r>
        <w:rPr>
          <w:rFonts w:hint="eastAsia" w:ascii="宋体" w:hAnsi="宋体" w:cs="宋体"/>
          <w:color w:val="000000"/>
          <w:sz w:val="22"/>
          <w:szCs w:val="22"/>
          <w:highlight w:val="none"/>
        </w:rPr>
        <w:br w:type="page"/>
      </w:r>
      <w:bookmarkStart w:id="1491" w:name="_Toc23902"/>
      <w:r>
        <w:rPr>
          <w:rFonts w:hint="eastAsia" w:ascii="宋体" w:hAnsi="宋体" w:cs="宋体"/>
          <w:color w:val="000000"/>
          <w:sz w:val="22"/>
          <w:szCs w:val="22"/>
          <w:highlight w:val="none"/>
        </w:rPr>
        <w:t>附件</w:t>
      </w:r>
      <w:r>
        <w:rPr>
          <w:rFonts w:hint="eastAsia" w:ascii="宋体" w:hAnsi="宋体" w:cs="宋体"/>
          <w:color w:val="000000"/>
          <w:sz w:val="22"/>
          <w:szCs w:val="22"/>
          <w:highlight w:val="none"/>
          <w:lang w:val="en-US" w:eastAsia="zh-CN"/>
        </w:rPr>
        <w:t>7</w:t>
      </w:r>
      <w:r>
        <w:rPr>
          <w:rFonts w:hint="eastAsia" w:ascii="宋体" w:hAnsi="宋体" w:cs="宋体"/>
          <w:color w:val="000000"/>
          <w:sz w:val="22"/>
          <w:szCs w:val="22"/>
          <w:highlight w:val="none"/>
        </w:rPr>
        <w:t>：</w:t>
      </w:r>
      <w:bookmarkEnd w:id="1491"/>
      <w:bookmarkStart w:id="1492" w:name="_Toc24897"/>
      <w:r>
        <w:rPr>
          <w:rFonts w:hint="eastAsia" w:ascii="宋体" w:hAnsi="宋体" w:cs="宋体"/>
          <w:color w:val="000000"/>
          <w:sz w:val="22"/>
          <w:szCs w:val="22"/>
          <w:highlight w:val="none"/>
        </w:rPr>
        <w:t>专业工程暂估价表</w:t>
      </w:r>
      <w:bookmarkEnd w:id="1492"/>
    </w:p>
    <w:tbl>
      <w:tblPr>
        <w:tblStyle w:val="35"/>
        <w:tblW w:w="92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8"/>
        <w:gridCol w:w="2458"/>
        <w:gridCol w:w="3322"/>
        <w:gridCol w:w="2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918" w:type="dxa"/>
            <w:tcBorders>
              <w:top w:val="single" w:color="auto" w:sz="12" w:space="0"/>
              <w:bottom w:val="double" w:color="auto" w:sz="6" w:space="0"/>
            </w:tcBorders>
            <w:noWrap w:val="0"/>
            <w:vAlign w:val="top"/>
          </w:tcPr>
          <w:p>
            <w:pPr>
              <w:pStyle w:val="15"/>
              <w:keepNext/>
              <w:spacing w:line="440" w:lineRule="exact"/>
              <w:ind w:left="63" w:right="63"/>
              <w:jc w:val="center"/>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序号</w:t>
            </w:r>
          </w:p>
        </w:tc>
        <w:tc>
          <w:tcPr>
            <w:tcW w:w="2458" w:type="dxa"/>
            <w:tcBorders>
              <w:top w:val="single" w:color="auto" w:sz="12" w:space="0"/>
              <w:bottom w:val="double" w:color="auto" w:sz="6" w:space="0"/>
            </w:tcBorders>
            <w:noWrap w:val="0"/>
            <w:vAlign w:val="top"/>
          </w:tcPr>
          <w:p>
            <w:pPr>
              <w:pStyle w:val="15"/>
              <w:keepNext/>
              <w:spacing w:line="440" w:lineRule="exact"/>
              <w:ind w:left="63" w:right="63"/>
              <w:jc w:val="center"/>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专业工程名称</w:t>
            </w:r>
          </w:p>
        </w:tc>
        <w:tc>
          <w:tcPr>
            <w:tcW w:w="3322" w:type="dxa"/>
            <w:tcBorders>
              <w:top w:val="single" w:color="auto" w:sz="12" w:space="0"/>
              <w:bottom w:val="double" w:color="auto" w:sz="6" w:space="0"/>
            </w:tcBorders>
            <w:noWrap w:val="0"/>
            <w:vAlign w:val="top"/>
          </w:tcPr>
          <w:p>
            <w:pPr>
              <w:pStyle w:val="15"/>
              <w:keepNext/>
              <w:spacing w:line="440" w:lineRule="exact"/>
              <w:ind w:left="63" w:right="63"/>
              <w:jc w:val="center"/>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工程内容</w:t>
            </w:r>
          </w:p>
        </w:tc>
        <w:tc>
          <w:tcPr>
            <w:tcW w:w="2520" w:type="dxa"/>
            <w:tcBorders>
              <w:top w:val="single" w:color="auto" w:sz="12" w:space="0"/>
              <w:bottom w:val="double" w:color="auto" w:sz="6" w:space="0"/>
            </w:tcBorders>
            <w:noWrap w:val="0"/>
            <w:vAlign w:val="top"/>
          </w:tcPr>
          <w:p>
            <w:pPr>
              <w:pStyle w:val="15"/>
              <w:keepNext/>
              <w:spacing w:line="440" w:lineRule="exact"/>
              <w:ind w:left="63" w:right="63"/>
              <w:jc w:val="center"/>
              <w:rPr>
                <w:rFonts w:ascii="宋体" w:hAnsi="宋体" w:cs="宋体"/>
                <w:color w:val="000000"/>
                <w:kern w:val="2"/>
                <w:sz w:val="22"/>
                <w:szCs w:val="22"/>
                <w:highlight w:val="none"/>
              </w:rPr>
            </w:pPr>
            <w:r>
              <w:rPr>
                <w:rFonts w:hint="eastAsia" w:ascii="宋体" w:hAnsi="宋体" w:cs="宋体"/>
                <w:color w:val="000000"/>
                <w:kern w:val="2"/>
                <w:sz w:val="22"/>
                <w:szCs w:val="22"/>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918" w:type="dxa"/>
            <w:tcBorders>
              <w:top w:val="double" w:color="auto" w:sz="6" w:space="0"/>
              <w:bottom w:val="single" w:color="auto" w:sz="6" w:space="0"/>
            </w:tcBorders>
            <w:noWrap w:val="0"/>
            <w:vAlign w:val="top"/>
          </w:tcPr>
          <w:p>
            <w:pPr>
              <w:pStyle w:val="15"/>
              <w:keepNext/>
              <w:spacing w:line="440" w:lineRule="exact"/>
              <w:ind w:left="63" w:right="63"/>
              <w:jc w:val="center"/>
              <w:rPr>
                <w:rFonts w:hint="eastAsia" w:ascii="宋体" w:hAnsi="宋体" w:eastAsia="宋体" w:cs="宋体"/>
                <w:color w:val="000000"/>
                <w:kern w:val="2"/>
                <w:sz w:val="22"/>
                <w:szCs w:val="22"/>
                <w:highlight w:val="none"/>
                <w:lang w:val="en-US" w:eastAsia="zh-CN"/>
              </w:rPr>
            </w:pPr>
            <w:r>
              <w:rPr>
                <w:rFonts w:hint="eastAsia" w:ascii="宋体" w:hAnsi="宋体" w:cs="宋体"/>
                <w:color w:val="000000"/>
                <w:kern w:val="2"/>
                <w:sz w:val="22"/>
                <w:szCs w:val="22"/>
                <w:highlight w:val="none"/>
                <w:lang w:val="en-US" w:eastAsia="zh-CN"/>
              </w:rPr>
              <w:t>1</w:t>
            </w:r>
          </w:p>
        </w:tc>
        <w:tc>
          <w:tcPr>
            <w:tcW w:w="2458" w:type="dxa"/>
            <w:tcBorders>
              <w:top w:val="double" w:color="auto" w:sz="6" w:space="0"/>
              <w:bottom w:val="single" w:color="auto" w:sz="6" w:space="0"/>
            </w:tcBorders>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c>
          <w:tcPr>
            <w:tcW w:w="3322" w:type="dxa"/>
            <w:tcBorders>
              <w:top w:val="double" w:color="auto" w:sz="6" w:space="0"/>
              <w:bottom w:val="single" w:color="auto" w:sz="6" w:space="0"/>
            </w:tcBorders>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c>
          <w:tcPr>
            <w:tcW w:w="2520" w:type="dxa"/>
            <w:tcBorders>
              <w:top w:val="double" w:color="auto" w:sz="6" w:space="0"/>
              <w:bottom w:val="single" w:color="auto" w:sz="6" w:space="0"/>
            </w:tcBorders>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tcBorders>
              <w:top w:val="nil"/>
            </w:tcBorders>
            <w:noWrap w:val="0"/>
            <w:vAlign w:val="top"/>
          </w:tcPr>
          <w:p>
            <w:pPr>
              <w:pStyle w:val="15"/>
              <w:keepNext/>
              <w:spacing w:line="440" w:lineRule="exact"/>
              <w:ind w:left="63" w:right="63"/>
              <w:jc w:val="center"/>
              <w:rPr>
                <w:rFonts w:hint="eastAsia" w:ascii="宋体" w:hAnsi="宋体" w:eastAsia="宋体" w:cs="宋体"/>
                <w:color w:val="000000"/>
                <w:kern w:val="2"/>
                <w:sz w:val="22"/>
                <w:szCs w:val="22"/>
                <w:highlight w:val="none"/>
                <w:lang w:val="en-US" w:eastAsia="zh-CN"/>
              </w:rPr>
            </w:pPr>
            <w:r>
              <w:rPr>
                <w:rFonts w:hint="eastAsia" w:ascii="宋体" w:hAnsi="宋体" w:cs="宋体"/>
                <w:color w:val="000000"/>
                <w:kern w:val="2"/>
                <w:sz w:val="22"/>
                <w:szCs w:val="22"/>
                <w:highlight w:val="none"/>
                <w:lang w:val="en-US" w:eastAsia="zh-CN"/>
              </w:rPr>
              <w:t>2</w:t>
            </w:r>
          </w:p>
        </w:tc>
        <w:tc>
          <w:tcPr>
            <w:tcW w:w="2458" w:type="dxa"/>
            <w:tcBorders>
              <w:top w:val="nil"/>
            </w:tcBorders>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c>
          <w:tcPr>
            <w:tcW w:w="3322" w:type="dxa"/>
            <w:tcBorders>
              <w:top w:val="nil"/>
            </w:tcBorders>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c>
          <w:tcPr>
            <w:tcW w:w="2520" w:type="dxa"/>
            <w:tcBorders>
              <w:top w:val="nil"/>
            </w:tcBorders>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tcBorders>
              <w:top w:val="nil"/>
            </w:tcBorders>
            <w:noWrap w:val="0"/>
            <w:vAlign w:val="top"/>
          </w:tcPr>
          <w:p>
            <w:pPr>
              <w:pStyle w:val="15"/>
              <w:keepNext/>
              <w:spacing w:line="440" w:lineRule="exact"/>
              <w:ind w:left="63" w:right="63"/>
              <w:jc w:val="center"/>
              <w:rPr>
                <w:rFonts w:hint="eastAsia" w:ascii="宋体" w:hAnsi="宋体" w:eastAsia="宋体" w:cs="宋体"/>
                <w:color w:val="000000"/>
                <w:kern w:val="2"/>
                <w:sz w:val="22"/>
                <w:szCs w:val="22"/>
                <w:highlight w:val="none"/>
                <w:lang w:val="en-US" w:eastAsia="zh-CN"/>
              </w:rPr>
            </w:pPr>
            <w:r>
              <w:rPr>
                <w:rFonts w:hint="eastAsia" w:ascii="宋体" w:hAnsi="宋体" w:cs="宋体"/>
                <w:color w:val="000000"/>
                <w:kern w:val="2"/>
                <w:sz w:val="22"/>
                <w:szCs w:val="22"/>
                <w:highlight w:val="none"/>
                <w:lang w:val="en-US" w:eastAsia="zh-CN"/>
              </w:rPr>
              <w:t>3</w:t>
            </w:r>
          </w:p>
        </w:tc>
        <w:tc>
          <w:tcPr>
            <w:tcW w:w="2458" w:type="dxa"/>
            <w:tcBorders>
              <w:top w:val="nil"/>
            </w:tcBorders>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c>
          <w:tcPr>
            <w:tcW w:w="3322" w:type="dxa"/>
            <w:tcBorders>
              <w:top w:val="nil"/>
            </w:tcBorders>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c>
          <w:tcPr>
            <w:tcW w:w="2520" w:type="dxa"/>
            <w:tcBorders>
              <w:top w:val="nil"/>
            </w:tcBorders>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jc w:val="center"/>
              <w:rPr>
                <w:rFonts w:hint="eastAsia" w:ascii="宋体" w:hAnsi="宋体" w:eastAsia="宋体" w:cs="宋体"/>
                <w:color w:val="000000"/>
                <w:kern w:val="2"/>
                <w:sz w:val="22"/>
                <w:szCs w:val="22"/>
                <w:highlight w:val="none"/>
                <w:lang w:val="en-US" w:eastAsia="zh-CN"/>
              </w:rPr>
            </w:pPr>
            <w:r>
              <w:rPr>
                <w:rFonts w:hint="eastAsia" w:ascii="宋体" w:hAnsi="宋体" w:cs="宋体"/>
                <w:color w:val="000000"/>
                <w:kern w:val="2"/>
                <w:sz w:val="22"/>
                <w:szCs w:val="22"/>
                <w:highlight w:val="none"/>
                <w:lang w:val="en-US" w:eastAsia="zh-CN"/>
              </w:rPr>
              <w:t>4</w:t>
            </w:r>
          </w:p>
        </w:tc>
        <w:tc>
          <w:tcPr>
            <w:tcW w:w="2458"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c>
          <w:tcPr>
            <w:tcW w:w="3322" w:type="dxa"/>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c>
          <w:tcPr>
            <w:tcW w:w="2520" w:type="dxa"/>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jc w:val="center"/>
              <w:rPr>
                <w:rFonts w:hint="default" w:ascii="宋体" w:hAnsi="宋体" w:eastAsia="宋体" w:cs="宋体"/>
                <w:color w:val="000000"/>
                <w:kern w:val="2"/>
                <w:sz w:val="22"/>
                <w:szCs w:val="22"/>
                <w:highlight w:val="none"/>
                <w:lang w:val="en-US" w:eastAsia="zh-CN"/>
              </w:rPr>
            </w:pPr>
            <w:r>
              <w:rPr>
                <w:rFonts w:hint="eastAsia" w:ascii="宋体" w:hAnsi="宋体" w:cs="宋体"/>
                <w:color w:val="000000"/>
                <w:kern w:val="2"/>
                <w:sz w:val="22"/>
                <w:szCs w:val="22"/>
                <w:highlight w:val="none"/>
                <w:lang w:val="en-US" w:eastAsia="zh-CN"/>
              </w:rPr>
              <w:t>5</w:t>
            </w:r>
          </w:p>
        </w:tc>
        <w:tc>
          <w:tcPr>
            <w:tcW w:w="2458"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3322" w:type="dxa"/>
            <w:noWrap w:val="0"/>
            <w:vAlign w:val="center"/>
          </w:tcPr>
          <w:p>
            <w:pPr>
              <w:keepNext w:val="0"/>
              <w:keepLines w:val="0"/>
              <w:widowControl/>
              <w:suppressLineNumbers w:val="0"/>
              <w:spacing w:line="240" w:lineRule="auto"/>
              <w:jc w:val="center"/>
              <w:rPr>
                <w:rFonts w:ascii="宋体" w:hAnsi="宋体" w:cs="宋体"/>
                <w:color w:val="000000"/>
                <w:kern w:val="2"/>
                <w:sz w:val="22"/>
                <w:szCs w:val="22"/>
                <w:highlight w:val="none"/>
              </w:rPr>
            </w:pPr>
          </w:p>
        </w:tc>
        <w:tc>
          <w:tcPr>
            <w:tcW w:w="2520" w:type="dxa"/>
            <w:noWrap w:val="0"/>
            <w:vAlign w:val="center"/>
          </w:tcPr>
          <w:p>
            <w:pPr>
              <w:pStyle w:val="15"/>
              <w:keepNext/>
              <w:spacing w:line="240" w:lineRule="auto"/>
              <w:ind w:left="63" w:right="63"/>
              <w:jc w:val="center"/>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jc w:val="center"/>
              <w:rPr>
                <w:rFonts w:hint="eastAsia" w:ascii="宋体" w:hAnsi="宋体" w:eastAsia="宋体" w:cs="宋体"/>
                <w:color w:val="000000"/>
                <w:kern w:val="2"/>
                <w:sz w:val="22"/>
                <w:szCs w:val="22"/>
                <w:highlight w:val="none"/>
                <w:lang w:val="en-US" w:eastAsia="zh-CN"/>
              </w:rPr>
            </w:pPr>
            <w:r>
              <w:rPr>
                <w:rFonts w:hint="eastAsia" w:ascii="宋体" w:hAnsi="宋体" w:cs="宋体"/>
                <w:color w:val="000000"/>
                <w:kern w:val="2"/>
                <w:sz w:val="22"/>
                <w:szCs w:val="22"/>
                <w:highlight w:val="none"/>
                <w:lang w:val="en-US" w:eastAsia="zh-CN"/>
              </w:rPr>
              <w:t>6</w:t>
            </w:r>
          </w:p>
        </w:tc>
        <w:tc>
          <w:tcPr>
            <w:tcW w:w="2458"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3322" w:type="dxa"/>
            <w:noWrap w:val="0"/>
            <w:vAlign w:val="center"/>
          </w:tcPr>
          <w:p>
            <w:pPr>
              <w:keepNext w:val="0"/>
              <w:keepLines w:val="0"/>
              <w:widowControl/>
              <w:suppressLineNumbers w:val="0"/>
              <w:spacing w:line="240" w:lineRule="auto"/>
              <w:jc w:val="center"/>
              <w:rPr>
                <w:rFonts w:ascii="宋体" w:hAnsi="宋体" w:cs="宋体"/>
                <w:color w:val="000000"/>
                <w:kern w:val="2"/>
                <w:sz w:val="22"/>
                <w:szCs w:val="22"/>
                <w:highlight w:val="none"/>
              </w:rPr>
            </w:pPr>
          </w:p>
        </w:tc>
        <w:tc>
          <w:tcPr>
            <w:tcW w:w="2520" w:type="dxa"/>
            <w:noWrap w:val="0"/>
            <w:vAlign w:val="center"/>
          </w:tcPr>
          <w:p>
            <w:pPr>
              <w:keepNext w:val="0"/>
              <w:keepLines w:val="0"/>
              <w:widowControl/>
              <w:suppressLineNumbers w:val="0"/>
              <w:spacing w:line="240" w:lineRule="auto"/>
              <w:jc w:val="center"/>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jc w:val="center"/>
              <w:rPr>
                <w:rFonts w:hint="eastAsia" w:ascii="宋体" w:hAnsi="宋体" w:eastAsia="宋体" w:cs="宋体"/>
                <w:color w:val="000000"/>
                <w:kern w:val="2"/>
                <w:sz w:val="22"/>
                <w:szCs w:val="22"/>
                <w:highlight w:val="none"/>
                <w:lang w:val="en-US" w:eastAsia="zh-CN"/>
              </w:rPr>
            </w:pPr>
            <w:r>
              <w:rPr>
                <w:rFonts w:hint="eastAsia" w:ascii="宋体" w:hAnsi="宋体" w:cs="宋体"/>
                <w:color w:val="000000"/>
                <w:kern w:val="2"/>
                <w:sz w:val="22"/>
                <w:szCs w:val="22"/>
                <w:highlight w:val="none"/>
                <w:lang w:val="en-US" w:eastAsia="zh-CN"/>
              </w:rPr>
              <w:t>7</w:t>
            </w:r>
          </w:p>
        </w:tc>
        <w:tc>
          <w:tcPr>
            <w:tcW w:w="2458"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3322"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jc w:val="center"/>
              <w:rPr>
                <w:rFonts w:hint="default" w:ascii="宋体" w:hAnsi="宋体" w:eastAsia="宋体" w:cs="宋体"/>
                <w:color w:val="000000"/>
                <w:kern w:val="2"/>
                <w:sz w:val="22"/>
                <w:szCs w:val="22"/>
                <w:highlight w:val="none"/>
                <w:lang w:val="en-US" w:eastAsia="zh-CN"/>
              </w:rPr>
            </w:pPr>
            <w:r>
              <w:rPr>
                <w:rFonts w:hint="eastAsia" w:ascii="宋体" w:hAnsi="宋体" w:cs="宋体"/>
                <w:color w:val="000000"/>
                <w:kern w:val="2"/>
                <w:sz w:val="22"/>
                <w:szCs w:val="22"/>
                <w:highlight w:val="none"/>
                <w:lang w:val="en-US" w:eastAsia="zh-CN"/>
              </w:rPr>
              <w:t>8</w:t>
            </w:r>
          </w:p>
        </w:tc>
        <w:tc>
          <w:tcPr>
            <w:tcW w:w="2458"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3322"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520" w:type="dxa"/>
            <w:noWrap w:val="0"/>
            <w:vAlign w:val="top"/>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center"/>
          </w:tcPr>
          <w:p>
            <w:pPr>
              <w:keepNext w:val="0"/>
              <w:keepLines w:val="0"/>
              <w:widowControl/>
              <w:suppressLineNumbers w:val="0"/>
              <w:spacing w:line="240" w:lineRule="auto"/>
              <w:jc w:val="center"/>
              <w:rPr>
                <w:rFonts w:ascii="宋体" w:hAnsi="宋体" w:eastAsia="宋体" w:cs="宋体"/>
                <w:color w:val="000000"/>
                <w:kern w:val="2"/>
                <w:sz w:val="22"/>
                <w:szCs w:val="22"/>
                <w:highlight w:val="none"/>
                <w:lang w:val="en-US" w:eastAsia="zh-CN" w:bidi="ar-SA"/>
              </w:rPr>
            </w:pPr>
          </w:p>
        </w:tc>
        <w:tc>
          <w:tcPr>
            <w:tcW w:w="2520" w:type="dxa"/>
            <w:noWrap w:val="0"/>
            <w:vAlign w:val="center"/>
          </w:tcPr>
          <w:p>
            <w:pPr>
              <w:pStyle w:val="15"/>
              <w:keepNext/>
              <w:spacing w:line="240" w:lineRule="auto"/>
              <w:ind w:left="63" w:leftChars="0" w:right="63" w:rightChars="0"/>
              <w:jc w:val="center"/>
              <w:rPr>
                <w:rFonts w:ascii="宋体" w:hAnsi="宋体" w:eastAsia="宋体" w:cs="宋体"/>
                <w:color w:val="000000"/>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520" w:type="dxa"/>
            <w:noWrap w:val="0"/>
            <w:vAlign w:val="top"/>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91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458"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3322" w:type="dxa"/>
            <w:noWrap w:val="0"/>
            <w:vAlign w:val="top"/>
          </w:tcPr>
          <w:p>
            <w:pPr>
              <w:pStyle w:val="15"/>
              <w:keepNext/>
              <w:spacing w:line="440" w:lineRule="exact"/>
              <w:ind w:left="63" w:right="63"/>
              <w:rPr>
                <w:rFonts w:ascii="宋体" w:hAnsi="宋体" w:cs="宋体"/>
                <w:color w:val="000000"/>
                <w:kern w:val="2"/>
                <w:sz w:val="22"/>
                <w:szCs w:val="22"/>
                <w:highlight w:val="none"/>
              </w:rPr>
            </w:pPr>
          </w:p>
        </w:tc>
        <w:tc>
          <w:tcPr>
            <w:tcW w:w="2520" w:type="dxa"/>
            <w:noWrap w:val="0"/>
            <w:vAlign w:val="top"/>
          </w:tcPr>
          <w:p>
            <w:pPr>
              <w:pStyle w:val="15"/>
              <w:keepNext/>
              <w:spacing w:line="440" w:lineRule="exact"/>
              <w:ind w:left="63" w:right="63"/>
              <w:rPr>
                <w:rFonts w:ascii="宋体" w:hAnsi="宋体" w:cs="宋体"/>
                <w:color w:val="000000"/>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9218" w:type="dxa"/>
            <w:gridSpan w:val="4"/>
            <w:noWrap w:val="0"/>
            <w:vAlign w:val="top"/>
          </w:tcPr>
          <w:p>
            <w:pPr>
              <w:pStyle w:val="15"/>
              <w:keepNext/>
              <w:spacing w:line="440" w:lineRule="exact"/>
              <w:ind w:left="63" w:right="63"/>
              <w:rPr>
                <w:rFonts w:hint="eastAsia" w:ascii="宋体" w:hAnsi="宋体" w:eastAsia="宋体" w:cs="宋体"/>
                <w:color w:val="000000"/>
                <w:kern w:val="2"/>
                <w:sz w:val="22"/>
                <w:szCs w:val="22"/>
                <w:highlight w:val="none"/>
                <w:lang w:eastAsia="zh-CN"/>
              </w:rPr>
            </w:pPr>
            <w:r>
              <w:rPr>
                <w:rFonts w:hint="eastAsia" w:ascii="宋体" w:hAnsi="宋体" w:cs="宋体"/>
                <w:color w:val="000000"/>
                <w:kern w:val="2"/>
                <w:sz w:val="22"/>
                <w:szCs w:val="22"/>
                <w:highlight w:val="none"/>
              </w:rPr>
              <w:t>小计：</w:t>
            </w:r>
            <w:r>
              <w:rPr>
                <w:rFonts w:hint="eastAsia" w:ascii="宋体" w:hAnsi="宋体" w:cs="宋体"/>
                <w:color w:val="000000"/>
                <w:kern w:val="2"/>
                <w:sz w:val="22"/>
                <w:szCs w:val="22"/>
                <w:highlight w:val="none"/>
                <w:lang w:eastAsia="zh-CN"/>
              </w:rPr>
              <w:t>人民币元整（</w:t>
            </w:r>
            <w:r>
              <w:rPr>
                <w:rFonts w:hint="eastAsia" w:ascii="宋体" w:hAnsi="宋体" w:cs="宋体"/>
                <w:color w:val="000000"/>
                <w:kern w:val="2"/>
                <w:sz w:val="22"/>
                <w:szCs w:val="22"/>
                <w:highlight w:val="none"/>
                <w:lang w:val="en-US" w:eastAsia="zh-CN"/>
              </w:rPr>
              <w:t>¥元</w:t>
            </w:r>
            <w:r>
              <w:rPr>
                <w:rFonts w:hint="eastAsia" w:ascii="宋体" w:hAnsi="宋体" w:cs="宋体"/>
                <w:color w:val="000000"/>
                <w:kern w:val="2"/>
                <w:sz w:val="22"/>
                <w:szCs w:val="22"/>
                <w:highlight w:val="none"/>
                <w:lang w:eastAsia="zh-CN"/>
              </w:rPr>
              <w:t>）</w:t>
            </w:r>
          </w:p>
        </w:tc>
      </w:tr>
    </w:tbl>
    <w:p>
      <w:pPr>
        <w:rPr>
          <w:rFonts w:ascii="宋体" w:hAnsi="宋体" w:cs="宋体"/>
          <w:sz w:val="22"/>
          <w:szCs w:val="22"/>
          <w:highlight w:val="none"/>
        </w:rPr>
        <w:sectPr>
          <w:type w:val="continuous"/>
          <w:pgSz w:w="11906" w:h="16838"/>
          <w:pgMar w:top="1418" w:right="1555" w:bottom="1418" w:left="1531" w:header="851" w:footer="992" w:gutter="0"/>
          <w:pgNumType w:fmt="decimal"/>
          <w:cols w:space="720" w:num="1"/>
          <w:titlePg/>
          <w:docGrid w:type="lines" w:linePitch="312" w:charSpace="0"/>
        </w:sectPr>
      </w:pPr>
    </w:p>
    <w:p>
      <w:pPr>
        <w:rPr>
          <w:rFonts w:hint="eastAsia" w:ascii="宋体" w:hAnsi="宋体" w:eastAsia="宋体" w:cs="宋体"/>
          <w:sz w:val="21"/>
          <w:szCs w:val="21"/>
          <w:highlight w:val="none"/>
          <w:lang w:eastAsia="zh-CN"/>
        </w:rPr>
      </w:pPr>
      <w:r>
        <w:rPr>
          <w:rFonts w:hint="eastAsia" w:ascii="宋体" w:hAnsi="宋体" w:cs="宋体"/>
          <w:sz w:val="21"/>
          <w:szCs w:val="21"/>
          <w:highlight w:val="none"/>
        </w:rPr>
        <w:t>附件</w:t>
      </w:r>
      <w:r>
        <w:rPr>
          <w:rFonts w:hint="eastAsia" w:ascii="宋体" w:hAnsi="宋体" w:cs="宋体"/>
          <w:sz w:val="21"/>
          <w:szCs w:val="21"/>
          <w:highlight w:val="none"/>
          <w:lang w:val="en-US" w:eastAsia="zh-CN"/>
        </w:rPr>
        <w:t>8</w:t>
      </w:r>
    </w:p>
    <w:p>
      <w:pPr>
        <w:spacing w:line="480" w:lineRule="auto"/>
        <w:ind w:firstLine="442" w:firstLineChars="200"/>
        <w:jc w:val="center"/>
        <w:rPr>
          <w:rFonts w:ascii="宋体" w:hAnsi="宋体" w:cs="宋体"/>
          <w:b/>
          <w:bCs/>
          <w:color w:val="000000"/>
          <w:sz w:val="22"/>
          <w:szCs w:val="22"/>
          <w:highlight w:val="none"/>
        </w:rPr>
      </w:pPr>
      <w:r>
        <w:rPr>
          <w:rFonts w:hint="eastAsia" w:ascii="宋体" w:hAnsi="宋体" w:cs="宋体"/>
          <w:b/>
          <w:bCs/>
          <w:color w:val="000000"/>
          <w:sz w:val="22"/>
          <w:szCs w:val="22"/>
          <w:highlight w:val="none"/>
          <w:lang w:val="en-US" w:eastAsia="zh-CN"/>
        </w:rPr>
        <w:t>8</w:t>
      </w:r>
      <w:r>
        <w:rPr>
          <w:rFonts w:hint="eastAsia" w:ascii="宋体" w:hAnsi="宋体" w:cs="宋体"/>
          <w:b/>
          <w:bCs/>
          <w:color w:val="000000"/>
          <w:sz w:val="22"/>
          <w:szCs w:val="22"/>
          <w:highlight w:val="none"/>
        </w:rPr>
        <w:t>-1不转包、不违法分包承诺书</w:t>
      </w:r>
    </w:p>
    <w:p>
      <w:pPr>
        <w:spacing w:line="48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我公司在该项目实施过程中,我们除了响应该工程所有条款履行合同内容外，并郑重承诺：在此工程施工中，一定要精心组织，确保工期和质量，不转包工程，不违法分包工程，并随时接受建设单位的监督。</w:t>
      </w:r>
    </w:p>
    <w:p>
      <w:pPr>
        <w:spacing w:line="48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若我公司在项目实施过程中出现转包，分包等违反规定的行为，自愿接受相关处罚。承担由此造成的工程工期延误和质量问题的责任。并向发包人赔偿由此造成的一切经济损失，主动撤出现场。</w:t>
      </w:r>
    </w:p>
    <w:p>
      <w:pPr>
        <w:spacing w:line="480" w:lineRule="auto"/>
        <w:ind w:firstLine="440" w:firstLineChars="200"/>
        <w:jc w:val="center"/>
        <w:rPr>
          <w:rFonts w:ascii="宋体" w:hAnsi="宋体" w:cs="宋体"/>
          <w:color w:val="000000"/>
          <w:sz w:val="22"/>
          <w:szCs w:val="22"/>
          <w:highlight w:val="none"/>
        </w:rPr>
      </w:pPr>
      <w:r>
        <w:rPr>
          <w:rFonts w:hint="eastAsia" w:ascii="宋体" w:hAnsi="宋体" w:cs="宋体"/>
          <w:color w:val="000000"/>
          <w:sz w:val="22"/>
          <w:szCs w:val="22"/>
          <w:highlight w:val="none"/>
        </w:rPr>
        <w:t>承包人（单位名称及公章）：</w:t>
      </w:r>
    </w:p>
    <w:p>
      <w:pPr>
        <w:spacing w:line="480" w:lineRule="auto"/>
        <w:ind w:firstLine="440" w:firstLineChars="200"/>
        <w:jc w:val="center"/>
        <w:rPr>
          <w:rFonts w:ascii="宋体" w:hAnsi="宋体" w:cs="宋体"/>
          <w:color w:val="000000"/>
          <w:sz w:val="22"/>
          <w:szCs w:val="22"/>
          <w:highlight w:val="none"/>
        </w:rPr>
      </w:pPr>
      <w:r>
        <w:rPr>
          <w:rFonts w:hint="eastAsia" w:ascii="宋体" w:hAnsi="宋体" w:cs="宋体"/>
          <w:color w:val="000000"/>
          <w:sz w:val="22"/>
          <w:szCs w:val="22"/>
          <w:highlight w:val="none"/>
        </w:rPr>
        <w:br w:type="page"/>
      </w:r>
      <w:r>
        <w:rPr>
          <w:rFonts w:hint="eastAsia" w:ascii="宋体" w:hAnsi="宋体" w:cs="宋体"/>
          <w:b/>
          <w:bCs/>
          <w:color w:val="000000"/>
          <w:sz w:val="22"/>
          <w:szCs w:val="22"/>
          <w:highlight w:val="none"/>
          <w:lang w:val="en-US" w:eastAsia="zh-CN"/>
        </w:rPr>
        <w:t>8</w:t>
      </w:r>
      <w:r>
        <w:rPr>
          <w:rFonts w:hint="eastAsia" w:ascii="宋体" w:hAnsi="宋体" w:cs="宋体"/>
          <w:b/>
          <w:bCs/>
          <w:color w:val="000000"/>
          <w:sz w:val="22"/>
          <w:szCs w:val="22"/>
          <w:highlight w:val="none"/>
        </w:rPr>
        <w:t>-2不拖欠农民工工资承诺书</w:t>
      </w:r>
    </w:p>
    <w:p>
      <w:pPr>
        <w:spacing w:line="48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为保护农民工的合法权益，不拖欠农民工工资，本公司郑重承诺，在本项目实施过程中，需要使用农民工时，将保证做到：</w:t>
      </w:r>
    </w:p>
    <w:p>
      <w:pPr>
        <w:spacing w:line="48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1、按照《劳动法》规定雇佣和使用农民工，工资将及时如数发放给农民工。</w:t>
      </w:r>
    </w:p>
    <w:p>
      <w:pPr>
        <w:spacing w:line="48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2、我公司分包单位雇佣农民工的，将要求分包单位按照第1条规定签订用工合同，并负责督促其按照合同规定及时结付农民工工资。</w:t>
      </w:r>
    </w:p>
    <w:p>
      <w:pPr>
        <w:spacing w:line="480" w:lineRule="auto"/>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3、如果发生违反规定拖欠或克扣农民工工资行为，造成农民工上访，本公司愿意接受依照有关规定作出的处罚决定。</w:t>
      </w:r>
    </w:p>
    <w:p>
      <w:pPr>
        <w:spacing w:line="480" w:lineRule="auto"/>
        <w:ind w:firstLine="440" w:firstLineChars="200"/>
        <w:jc w:val="center"/>
        <w:rPr>
          <w:rFonts w:ascii="宋体" w:hAnsi="宋体" w:cs="宋体"/>
          <w:color w:val="000000"/>
          <w:sz w:val="22"/>
          <w:szCs w:val="22"/>
          <w:highlight w:val="none"/>
        </w:rPr>
      </w:pPr>
      <w:r>
        <w:rPr>
          <w:rFonts w:hint="eastAsia" w:ascii="宋体" w:hAnsi="宋体" w:cs="宋体"/>
          <w:color w:val="000000"/>
          <w:sz w:val="22"/>
          <w:szCs w:val="22"/>
          <w:highlight w:val="none"/>
        </w:rPr>
        <w:t>承包人（单位名称及公章）：</w:t>
      </w:r>
    </w:p>
    <w:p>
      <w:pPr>
        <w:spacing w:line="480" w:lineRule="auto"/>
        <w:ind w:firstLine="440" w:firstLineChars="200"/>
        <w:jc w:val="center"/>
        <w:rPr>
          <w:rFonts w:ascii="宋体" w:hAnsi="宋体" w:cs="宋体"/>
          <w:color w:val="000000"/>
          <w:sz w:val="22"/>
          <w:szCs w:val="22"/>
          <w:highlight w:val="none"/>
        </w:rPr>
      </w:pPr>
    </w:p>
    <w:p>
      <w:pPr>
        <w:rPr>
          <w:rFonts w:hint="eastAsia" w:ascii="宋体" w:hAnsi="宋体" w:eastAsia="宋体" w:cs="宋体"/>
          <w:b/>
          <w:sz w:val="48"/>
          <w:szCs w:val="48"/>
          <w:highlight w:val="none"/>
        </w:rPr>
      </w:pPr>
    </w:p>
    <w:p>
      <w:pPr>
        <w:snapToGrid w:val="0"/>
        <w:spacing w:line="480" w:lineRule="auto"/>
        <w:rPr>
          <w:rFonts w:hint="eastAsia" w:ascii="宋体" w:hAnsi="宋体" w:eastAsia="宋体" w:cs="宋体"/>
          <w:highlight w:val="none"/>
        </w:rPr>
      </w:pPr>
    </w:p>
    <w:p>
      <w:pPr>
        <w:spacing w:line="480" w:lineRule="auto"/>
        <w:ind w:firstLine="440" w:firstLineChars="200"/>
        <w:jc w:val="center"/>
        <w:rPr>
          <w:rFonts w:ascii="宋体" w:hAnsi="宋体" w:cs="宋体"/>
          <w:color w:val="000000"/>
          <w:sz w:val="22"/>
          <w:szCs w:val="22"/>
          <w:highlight w:val="none"/>
        </w:rPr>
      </w:pPr>
    </w:p>
    <w:p>
      <w:pPr>
        <w:spacing w:line="480" w:lineRule="auto"/>
        <w:ind w:firstLine="440" w:firstLineChars="200"/>
        <w:jc w:val="center"/>
        <w:rPr>
          <w:rFonts w:ascii="宋体" w:hAnsi="宋体" w:cs="宋体"/>
          <w:color w:val="000000"/>
          <w:sz w:val="22"/>
          <w:szCs w:val="22"/>
          <w:highlight w:val="none"/>
        </w:rPr>
      </w:pPr>
    </w:p>
    <w:p>
      <w:pPr>
        <w:rPr>
          <w:rFonts w:hint="eastAsia" w:ascii="宋体" w:hAnsi="宋体" w:eastAsia="宋体" w:cs="宋体"/>
          <w:b/>
          <w:sz w:val="48"/>
          <w:szCs w:val="48"/>
          <w:highlight w:val="none"/>
        </w:rPr>
      </w:pPr>
    </w:p>
    <w:p>
      <w:pPr>
        <w:pStyle w:val="6"/>
        <w:numPr>
          <w:ilvl w:val="0"/>
          <w:numId w:val="0"/>
        </w:numPr>
        <w:bidi w:val="0"/>
        <w:ind w:leftChars="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br w:type="page"/>
      </w:r>
      <w:bookmarkEnd w:id="430"/>
      <w:bookmarkEnd w:id="431"/>
      <w:bookmarkEnd w:id="432"/>
      <w:bookmarkEnd w:id="433"/>
      <w:bookmarkEnd w:id="436"/>
      <w:bookmarkStart w:id="1493" w:name="_Toc510859906"/>
      <w:bookmarkStart w:id="1494" w:name="_Toc32313"/>
      <w:bookmarkStart w:id="1495" w:name="_Toc31783"/>
      <w:bookmarkStart w:id="1496" w:name="_Toc18121"/>
      <w:bookmarkStart w:id="1497" w:name="_Toc474770761"/>
      <w:bookmarkStart w:id="1498" w:name="_Toc504605199"/>
      <w:r>
        <w:rPr>
          <w:rFonts w:hint="eastAsia" w:ascii="宋体" w:hAnsi="宋体" w:eastAsia="宋体" w:cs="宋体"/>
          <w:b/>
          <w:bCs/>
          <w:sz w:val="44"/>
          <w:szCs w:val="44"/>
          <w:highlight w:val="none"/>
          <w:lang w:eastAsia="zh-CN"/>
        </w:rPr>
        <w:t>第</w:t>
      </w:r>
      <w:r>
        <w:rPr>
          <w:rFonts w:hint="eastAsia" w:ascii="宋体" w:hAnsi="宋体" w:cs="宋体"/>
          <w:b/>
          <w:bCs/>
          <w:sz w:val="44"/>
          <w:szCs w:val="44"/>
          <w:highlight w:val="none"/>
          <w:lang w:eastAsia="zh-CN"/>
        </w:rPr>
        <w:t>六</w:t>
      </w:r>
      <w:r>
        <w:rPr>
          <w:rFonts w:hint="eastAsia" w:ascii="宋体" w:hAnsi="宋体" w:eastAsia="宋体" w:cs="宋体"/>
          <w:b/>
          <w:bCs/>
          <w:sz w:val="44"/>
          <w:szCs w:val="44"/>
          <w:highlight w:val="none"/>
          <w:lang w:eastAsia="zh-CN"/>
        </w:rPr>
        <w:t>章</w:t>
      </w:r>
      <w:bookmarkEnd w:id="437"/>
      <w:bookmarkEnd w:id="1493"/>
      <w:bookmarkEnd w:id="1494"/>
      <w:bookmarkEnd w:id="1495"/>
      <w:bookmarkEnd w:id="1496"/>
      <w:r>
        <w:rPr>
          <w:rFonts w:hint="eastAsia" w:ascii="宋体" w:hAnsi="宋体" w:eastAsia="宋体" w:cs="宋体"/>
          <w:b/>
          <w:bCs/>
          <w:sz w:val="44"/>
          <w:szCs w:val="44"/>
          <w:highlight w:val="none"/>
          <w:lang w:val="en-US" w:eastAsia="zh-CN"/>
        </w:rPr>
        <w:t xml:space="preserve"> 技术部分标准和商务要求</w:t>
      </w:r>
    </w:p>
    <w:p>
      <w:pPr>
        <w:numPr>
          <w:ilvl w:val="0"/>
          <w:numId w:val="0"/>
        </w:numPr>
        <w:ind w:leftChars="0"/>
        <w:rPr>
          <w:rFonts w:hint="eastAsia"/>
          <w:highlight w:val="none"/>
        </w:rPr>
      </w:pPr>
    </w:p>
    <w:bookmarkEnd w:id="1497"/>
    <w:p>
      <w:pPr>
        <w:widowControl/>
        <w:adjustRightInd w:val="0"/>
        <w:snapToGrid w:val="0"/>
        <w:spacing w:beforeLines="50" w:line="360" w:lineRule="auto"/>
        <w:rPr>
          <w:rFonts w:hint="eastAsia" w:ascii="宋体" w:hAnsi="宋体" w:eastAsia="宋体" w:cs="宋体"/>
          <w:b/>
          <w:bCs/>
          <w:sz w:val="24"/>
          <w:highlight w:val="none"/>
        </w:rPr>
      </w:pPr>
      <w:bookmarkStart w:id="1499" w:name="_Toc17070"/>
      <w:bookmarkStart w:id="1500" w:name="_Toc24775"/>
      <w:bookmarkStart w:id="1501" w:name="_Toc21239"/>
      <w:bookmarkStart w:id="1502" w:name="_Toc510882479"/>
      <w:bookmarkStart w:id="1503" w:name="_Toc324521854"/>
      <w:bookmarkStart w:id="1504" w:name="_Toc321812058"/>
      <w:bookmarkStart w:id="1505" w:name="_Toc510881999"/>
      <w:r>
        <w:rPr>
          <w:rFonts w:hint="eastAsia" w:ascii="宋体" w:hAnsi="宋体" w:eastAsia="宋体" w:cs="宋体"/>
          <w:b/>
          <w:bCs/>
          <w:sz w:val="24"/>
          <w:highlight w:val="none"/>
        </w:rPr>
        <w:t>一、采购内容</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1、项目名称：西安经开第八小学校舍及操场维修改造项目 </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2、工期：</w:t>
      </w:r>
      <w:r>
        <w:rPr>
          <w:rFonts w:hint="eastAsia" w:ascii="宋体" w:hAnsi="宋体" w:eastAsia="宋体" w:cs="宋体"/>
          <w:sz w:val="24"/>
          <w:highlight w:val="none"/>
          <w:lang w:eastAsia="zh-CN"/>
        </w:rPr>
        <w:t>计划工期：90 日历天</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具体开工日期以实际开工日期为准。</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3、施工地点：西安经开第八小学校园内</w:t>
      </w:r>
    </w:p>
    <w:p>
      <w:pPr>
        <w:adjustRightInd w:val="0"/>
        <w:snapToGrid w:val="0"/>
        <w:spacing w:line="360" w:lineRule="auto"/>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eastAsia="zh-CN"/>
        </w:rPr>
        <w:t>4、质量要求：达到国家现行施工验收规范“合格”标准。</w:t>
      </w:r>
      <w:r>
        <w:rPr>
          <w:rFonts w:hint="eastAsia" w:ascii="宋体" w:hAnsi="宋体" w:eastAsia="宋体" w:cs="宋体"/>
          <w:sz w:val="24"/>
          <w:highlight w:val="none"/>
          <w:lang w:val="zh-CN" w:eastAsia="zh-CN"/>
        </w:rPr>
        <w:t>。</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5、付款方式：</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（1）中标单位进场后，支付合同总价款的40%，施工完毕并经验收合格后14天内支付合同总价款的60%。</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（2）中标单位承诺在招标人办理以上各期付款的支付手续前，为招标人出具等额的符合国家规定的发票。</w:t>
      </w:r>
    </w:p>
    <w:p>
      <w:pPr>
        <w:pStyle w:val="10"/>
        <w:spacing w:before="120" w:after="120" w:line="360" w:lineRule="auto"/>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bCs w:val="0"/>
          <w:kern w:val="2"/>
          <w:sz w:val="24"/>
          <w:szCs w:val="24"/>
          <w:highlight w:val="none"/>
          <w:lang w:val="en-US" w:eastAsia="zh-CN" w:bidi="ar-SA"/>
        </w:rPr>
        <w:t>6、</w:t>
      </w:r>
      <w:r>
        <w:rPr>
          <w:rFonts w:hint="eastAsia" w:ascii="宋体" w:hAnsi="宋体" w:eastAsia="宋体" w:cs="宋体"/>
          <w:b w:val="0"/>
          <w:color w:val="000000"/>
          <w:sz w:val="24"/>
          <w:szCs w:val="24"/>
          <w:highlight w:val="none"/>
        </w:rPr>
        <w:t>保修</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6.1保修责任</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发包人未经竣工验收擅自使用工程的，保修期自转移占有之日起算。</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修复费用</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保修期内，修复的费用按照以下约定处理：</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（1）保修期内，因承包人原因造成工程的缺陷、损坏，承包人应负责修复，并承担修复的费用以及因工程的缺陷、损坏造成的人身伤害和财产损失；</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（2）保修期内，因发包人使用不当造成工程的缺陷、损坏，可以委托承包人修复，但发包人应承担修复的费用，并支付承包人合理利润；</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（3）因其他原因造成工程的缺陷、损坏，可以委托承包人修复，发包人应承担修复的费用，并支付承包人合理的利润，因工程的缺陷、损坏造成的人身伤害和财产损失由责任方承担。</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 修复通知</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6.4 未能修复</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6.5 承包人出入权</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6.6、根据《建设工程质量管理条例》及有关规定，工程的质量保修期如下：</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（1）地基基础工程和主体结构工程为设计文件规定的工程合理使用年限；</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（2）屋面防水工程、有防水要求的卫生间、房间和外墙面的防渗为5年；</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（3）装修工程为2年；</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（4）电气管线、给排水管道、设备安装工程为2年；</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（5）市政基础设施道路等配套工程为2年；</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（6）其他项目保修期限约定如下：按照第279号令《建设工程质量管理条例》相关规定执行。</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7、缺陷责任期</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工程缺陷责任期为24个月，缺陷责任期自工程实际竣工之日起计算。单位工程先于全部工程进行验收，单位工程缺陷责任期自单位工程验收合格之日起算。</w:t>
      </w:r>
    </w:p>
    <w:p>
      <w:pPr>
        <w:widowControl/>
        <w:adjustRightInd w:val="0"/>
        <w:snapToGrid w:val="0"/>
        <w:spacing w:beforeLines="50" w:line="360" w:lineRule="auto"/>
        <w:rPr>
          <w:rFonts w:hint="eastAsia" w:ascii="宋体" w:hAnsi="宋体" w:eastAsia="宋体" w:cs="宋体"/>
          <w:b/>
          <w:bCs/>
          <w:sz w:val="24"/>
          <w:highlight w:val="none"/>
          <w:lang w:eastAsia="zh-CN"/>
        </w:rPr>
        <w:sectPr>
          <w:pgSz w:w="11906" w:h="16838"/>
          <w:pgMar w:top="1440" w:right="1457" w:bottom="1440" w:left="1417" w:header="851" w:footer="992" w:gutter="0"/>
          <w:pgNumType w:fmt="decimal"/>
          <w:cols w:space="0" w:num="1"/>
          <w:docGrid w:type="lines" w:linePitch="312" w:charSpace="0"/>
        </w:sectPr>
      </w:pPr>
    </w:p>
    <w:p>
      <w:pPr>
        <w:pStyle w:val="80"/>
        <w:pageBreakBefore w:val="0"/>
        <w:kinsoku/>
        <w:wordWrap/>
        <w:overflowPunct/>
        <w:topLinePunct w:val="0"/>
        <w:autoSpaceDE/>
        <w:autoSpaceDN/>
        <w:bidi w:val="0"/>
        <w:adjustRightInd w:val="0"/>
        <w:snapToGrid w:val="0"/>
        <w:spacing w:line="360" w:lineRule="auto"/>
        <w:ind w:left="0" w:leftChars="0" w:firstLine="0" w:firstLineChars="0"/>
        <w:jc w:val="center"/>
        <w:outlineLvl w:val="0"/>
        <w:rPr>
          <w:rFonts w:hint="default" w:ascii="宋体" w:hAnsi="宋体" w:eastAsia="宋体" w:cs="宋体"/>
          <w:szCs w:val="36"/>
          <w:highlight w:val="none"/>
          <w:lang w:val="en-US" w:eastAsia="zh-CN"/>
        </w:rPr>
      </w:pPr>
      <w:r>
        <w:rPr>
          <w:rFonts w:hint="eastAsia" w:ascii="宋体" w:hAnsi="宋体" w:eastAsia="宋体" w:cs="宋体"/>
          <w:b/>
          <w:bCs/>
          <w:kern w:val="2"/>
          <w:sz w:val="44"/>
          <w:szCs w:val="44"/>
          <w:highlight w:val="none"/>
          <w:lang w:val="en-US" w:eastAsia="zh-CN" w:bidi="ar-SA"/>
        </w:rPr>
        <w:t>第</w:t>
      </w:r>
      <w:r>
        <w:rPr>
          <w:rFonts w:hint="eastAsia" w:cs="宋体"/>
          <w:b/>
          <w:bCs/>
          <w:kern w:val="2"/>
          <w:sz w:val="44"/>
          <w:szCs w:val="44"/>
          <w:highlight w:val="none"/>
          <w:lang w:val="en-US" w:eastAsia="zh-CN" w:bidi="ar-SA"/>
        </w:rPr>
        <w:t>七</w:t>
      </w:r>
      <w:r>
        <w:rPr>
          <w:rFonts w:hint="eastAsia" w:ascii="宋体" w:hAnsi="宋体" w:eastAsia="宋体" w:cs="宋体"/>
          <w:b/>
          <w:bCs/>
          <w:kern w:val="2"/>
          <w:sz w:val="44"/>
          <w:szCs w:val="44"/>
          <w:highlight w:val="none"/>
          <w:lang w:val="en-US" w:eastAsia="zh-CN" w:bidi="ar-SA"/>
        </w:rPr>
        <w:t>章   投标文件格式</w:t>
      </w:r>
      <w:bookmarkEnd w:id="1499"/>
      <w:bookmarkEnd w:id="1500"/>
      <w:bookmarkEnd w:id="1501"/>
    </w:p>
    <w:p>
      <w:pPr>
        <w:tabs>
          <w:tab w:val="left" w:pos="420"/>
        </w:tabs>
        <w:jc w:val="center"/>
        <w:rPr>
          <w:rFonts w:hint="eastAsia" w:ascii="宋体" w:hAnsi="宋体" w:eastAsia="宋体" w:cs="宋体"/>
          <w:b/>
          <w:sz w:val="32"/>
          <w:szCs w:val="32"/>
          <w:highlight w:val="none"/>
        </w:rPr>
      </w:pPr>
    </w:p>
    <w:p>
      <w:pPr>
        <w:tabs>
          <w:tab w:val="left" w:pos="420"/>
        </w:tabs>
        <w:adjustRightInd w:val="0"/>
        <w:snapToGrid w:val="0"/>
        <w:spacing w:line="360" w:lineRule="auto"/>
        <w:jc w:val="center"/>
        <w:outlineLvl w:val="9"/>
        <w:rPr>
          <w:rFonts w:hint="eastAsia" w:ascii="宋体" w:hAnsi="宋体" w:eastAsia="宋体" w:cs="宋体"/>
          <w:b/>
          <w:sz w:val="24"/>
          <w:szCs w:val="24"/>
          <w:highlight w:val="none"/>
        </w:rPr>
      </w:pPr>
      <w:bookmarkStart w:id="1506" w:name="_Toc7433"/>
      <w:bookmarkStart w:id="1507" w:name="_Toc12337"/>
      <w:bookmarkStart w:id="1508" w:name="_Toc3258"/>
      <w:r>
        <w:rPr>
          <w:rFonts w:hint="eastAsia" w:ascii="宋体" w:hAnsi="宋体" w:eastAsia="宋体" w:cs="宋体"/>
          <w:b/>
          <w:sz w:val="24"/>
          <w:szCs w:val="24"/>
          <w:highlight w:val="none"/>
        </w:rPr>
        <w:t>投标文件编制说明</w:t>
      </w:r>
      <w:bookmarkEnd w:id="1506"/>
      <w:bookmarkEnd w:id="1507"/>
      <w:bookmarkEnd w:id="1508"/>
    </w:p>
    <w:p>
      <w:pPr>
        <w:tabs>
          <w:tab w:val="left" w:pos="420"/>
        </w:tabs>
        <w:adjustRightInd w:val="0"/>
        <w:snapToGrid w:val="0"/>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编制投标文件前，请详细阅读招标文件的全部内容，理解文件中的每一项要求。</w:t>
      </w:r>
    </w:p>
    <w:p>
      <w:pPr>
        <w:tabs>
          <w:tab w:val="left" w:pos="420"/>
        </w:tabs>
        <w:adjustRightInd w:val="0"/>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2.投标文件的编制应按照招标文件要求内容及提供的格式内容逐一做出明确的响应；</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认为有必要，还可以做其它补充，其目录自行编制，但不得缺失。如因</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自身原因未编制或编制目录中未附其相应内容，其相关不利风险由其自行承担。</w:t>
      </w:r>
    </w:p>
    <w:p>
      <w:pPr>
        <w:tabs>
          <w:tab w:val="left" w:pos="420"/>
        </w:tabs>
        <w:adjustRightInd w:val="0"/>
        <w:snapToGrid w:val="0"/>
        <w:spacing w:line="360" w:lineRule="auto"/>
        <w:ind w:firstLine="480" w:firstLineChars="200"/>
        <w:jc w:val="left"/>
        <w:rPr>
          <w:rFonts w:hint="eastAsia" w:ascii="宋体" w:hAnsi="宋体" w:eastAsia="宋体" w:cs="宋体"/>
          <w:b/>
          <w:sz w:val="28"/>
          <w:szCs w:val="28"/>
          <w:highlight w:val="none"/>
        </w:rPr>
      </w:pPr>
      <w:r>
        <w:rPr>
          <w:rFonts w:hint="eastAsia" w:ascii="宋体" w:hAnsi="宋体" w:eastAsia="宋体" w:cs="宋体"/>
          <w:b/>
          <w:sz w:val="24"/>
          <w:szCs w:val="24"/>
          <w:highlight w:val="none"/>
        </w:rPr>
        <w:t>3.全部编制完成应仔细核查相应格式内容并</w:t>
      </w:r>
      <w:r>
        <w:rPr>
          <w:rFonts w:hint="eastAsia" w:ascii="宋体" w:hAnsi="宋体" w:eastAsia="宋体" w:cs="宋体"/>
          <w:b/>
          <w:sz w:val="24"/>
          <w:szCs w:val="24"/>
          <w:highlight w:val="none"/>
          <w:lang w:eastAsia="zh-CN"/>
        </w:rPr>
        <w:t>按照平台相关要求及时上传电子文件</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eastAsia="zh-CN"/>
        </w:rPr>
        <w:t>单独递交的纸质文件</w:t>
      </w:r>
      <w:r>
        <w:rPr>
          <w:rFonts w:hint="eastAsia" w:ascii="宋体" w:hAnsi="宋体" w:eastAsia="宋体" w:cs="宋体"/>
          <w:b/>
          <w:sz w:val="24"/>
          <w:szCs w:val="24"/>
          <w:highlight w:val="none"/>
        </w:rPr>
        <w:t>应</w:t>
      </w:r>
      <w:r>
        <w:rPr>
          <w:rFonts w:hint="eastAsia" w:ascii="宋体" w:hAnsi="宋体" w:eastAsia="宋体" w:cs="宋体"/>
          <w:b/>
          <w:sz w:val="24"/>
          <w:szCs w:val="24"/>
          <w:highlight w:val="none"/>
          <w:lang w:eastAsia="zh-CN"/>
        </w:rPr>
        <w:t>与上传平台的电子文件内容保持一致</w:t>
      </w:r>
      <w:r>
        <w:rPr>
          <w:rFonts w:hint="eastAsia" w:ascii="宋体" w:hAnsi="宋体" w:eastAsia="宋体" w:cs="宋体"/>
          <w:b/>
          <w:sz w:val="24"/>
          <w:szCs w:val="24"/>
          <w:highlight w:val="none"/>
        </w:rPr>
        <w:t>。</w:t>
      </w:r>
    </w:p>
    <w:p>
      <w:pPr>
        <w:spacing w:line="360" w:lineRule="auto"/>
        <w:ind w:firstLine="600" w:firstLineChars="250"/>
        <w:rPr>
          <w:rFonts w:hint="eastAsia" w:ascii="宋体" w:hAnsi="宋体" w:eastAsia="宋体" w:cs="宋体"/>
          <w:b/>
          <w:sz w:val="24"/>
          <w:szCs w:val="24"/>
          <w:highlight w:val="none"/>
        </w:rPr>
      </w:pPr>
    </w:p>
    <w:p>
      <w:pPr>
        <w:spacing w:line="360" w:lineRule="auto"/>
        <w:ind w:firstLine="600" w:firstLineChars="250"/>
        <w:rPr>
          <w:rFonts w:hint="eastAsia" w:ascii="宋体" w:hAnsi="宋体" w:eastAsia="宋体" w:cs="宋体"/>
          <w:b/>
          <w:sz w:val="24"/>
          <w:szCs w:val="24"/>
          <w:highlight w:val="none"/>
        </w:rPr>
      </w:pPr>
    </w:p>
    <w:p>
      <w:pPr>
        <w:spacing w:line="360" w:lineRule="auto"/>
        <w:ind w:firstLine="600" w:firstLineChars="250"/>
        <w:rPr>
          <w:rFonts w:hint="eastAsia" w:ascii="宋体" w:hAnsi="宋体" w:eastAsia="宋体" w:cs="宋体"/>
          <w:b/>
          <w:sz w:val="24"/>
          <w:szCs w:val="24"/>
          <w:highlight w:val="none"/>
        </w:rPr>
      </w:pPr>
    </w:p>
    <w:p>
      <w:pPr>
        <w:spacing w:line="360" w:lineRule="auto"/>
        <w:ind w:firstLine="600" w:firstLineChars="250"/>
        <w:rPr>
          <w:rFonts w:hint="eastAsia" w:ascii="宋体" w:hAnsi="宋体" w:eastAsia="宋体" w:cs="宋体"/>
          <w:b/>
          <w:sz w:val="24"/>
          <w:szCs w:val="24"/>
          <w:highlight w:val="none"/>
        </w:rPr>
      </w:pPr>
    </w:p>
    <w:p>
      <w:pPr>
        <w:spacing w:line="360" w:lineRule="auto"/>
        <w:ind w:firstLine="600" w:firstLineChars="250"/>
        <w:rPr>
          <w:rFonts w:hint="eastAsia" w:ascii="宋体" w:hAnsi="宋体" w:eastAsia="宋体" w:cs="宋体"/>
          <w:b/>
          <w:sz w:val="24"/>
          <w:szCs w:val="24"/>
          <w:highlight w:val="none"/>
        </w:rPr>
      </w:pPr>
    </w:p>
    <w:p>
      <w:pPr>
        <w:spacing w:line="360" w:lineRule="auto"/>
        <w:ind w:firstLine="600" w:firstLineChars="250"/>
        <w:rPr>
          <w:rFonts w:hint="eastAsia" w:ascii="宋体" w:hAnsi="宋体" w:eastAsia="宋体" w:cs="宋体"/>
          <w:b/>
          <w:sz w:val="24"/>
          <w:szCs w:val="24"/>
          <w:highlight w:val="none"/>
        </w:rPr>
      </w:pPr>
    </w:p>
    <w:p>
      <w:pPr>
        <w:spacing w:line="360" w:lineRule="auto"/>
        <w:ind w:firstLine="600" w:firstLineChars="250"/>
        <w:rPr>
          <w:rFonts w:hint="eastAsia" w:ascii="宋体" w:hAnsi="宋体" w:eastAsia="宋体" w:cs="宋体"/>
          <w:b/>
          <w:sz w:val="24"/>
          <w:szCs w:val="24"/>
          <w:highlight w:val="none"/>
        </w:rPr>
      </w:pPr>
    </w:p>
    <w:p>
      <w:pPr>
        <w:spacing w:line="360" w:lineRule="auto"/>
        <w:ind w:firstLine="600" w:firstLineChars="250"/>
        <w:rPr>
          <w:rFonts w:hint="eastAsia" w:ascii="宋体" w:hAnsi="宋体" w:eastAsia="宋体" w:cs="宋体"/>
          <w:b/>
          <w:sz w:val="24"/>
          <w:szCs w:val="24"/>
          <w:highlight w:val="none"/>
        </w:rPr>
      </w:pPr>
    </w:p>
    <w:p>
      <w:pPr>
        <w:spacing w:line="360" w:lineRule="auto"/>
        <w:ind w:firstLine="600" w:firstLineChars="250"/>
        <w:rPr>
          <w:rFonts w:hint="eastAsia" w:ascii="宋体" w:hAnsi="宋体" w:eastAsia="宋体" w:cs="宋体"/>
          <w:b/>
          <w:sz w:val="24"/>
          <w:szCs w:val="24"/>
          <w:highlight w:val="none"/>
        </w:rPr>
      </w:pPr>
    </w:p>
    <w:p>
      <w:pPr>
        <w:ind w:right="884"/>
        <w:rPr>
          <w:rFonts w:hint="eastAsia" w:ascii="宋体" w:hAnsi="宋体" w:eastAsia="宋体" w:cs="宋体"/>
          <w:b/>
          <w:sz w:val="24"/>
          <w:szCs w:val="24"/>
          <w:highlight w:val="none"/>
        </w:rPr>
      </w:pPr>
    </w:p>
    <w:p>
      <w:pPr>
        <w:ind w:right="884"/>
        <w:rPr>
          <w:rFonts w:hint="eastAsia" w:ascii="宋体" w:hAnsi="宋体" w:eastAsia="宋体" w:cs="宋体"/>
          <w:b/>
          <w:sz w:val="44"/>
          <w:szCs w:val="44"/>
          <w:highlight w:val="none"/>
        </w:rPr>
      </w:pPr>
    </w:p>
    <w:p>
      <w:pPr>
        <w:pStyle w:val="15"/>
        <w:rPr>
          <w:rFonts w:hint="eastAsia" w:ascii="宋体" w:hAnsi="宋体" w:eastAsia="宋体" w:cs="宋体"/>
          <w:b/>
          <w:sz w:val="44"/>
          <w:szCs w:val="44"/>
          <w:highlight w:val="none"/>
        </w:rPr>
      </w:pPr>
    </w:p>
    <w:p>
      <w:pPr>
        <w:pStyle w:val="15"/>
        <w:rPr>
          <w:rFonts w:hint="eastAsia" w:ascii="宋体" w:hAnsi="宋体" w:eastAsia="宋体" w:cs="宋体"/>
          <w:b/>
          <w:sz w:val="44"/>
          <w:szCs w:val="44"/>
          <w:highlight w:val="none"/>
        </w:rPr>
      </w:pPr>
    </w:p>
    <w:p>
      <w:pPr>
        <w:spacing w:line="360" w:lineRule="auto"/>
        <w:rPr>
          <w:rFonts w:hint="eastAsia" w:ascii="宋体" w:hAnsi="宋体" w:eastAsia="宋体" w:cs="宋体"/>
          <w:b/>
          <w:sz w:val="28"/>
          <w:szCs w:val="28"/>
          <w:highlight w:val="none"/>
        </w:rPr>
      </w:pPr>
      <w:bookmarkStart w:id="1509" w:name="_Toc513557045"/>
      <w:bookmarkStart w:id="1510" w:name="_Toc3727"/>
      <w:bookmarkStart w:id="1511" w:name="_Toc17585"/>
    </w:p>
    <w:p>
      <w:pPr>
        <w:spacing w:line="360" w:lineRule="auto"/>
        <w:rPr>
          <w:rFonts w:hint="eastAsia" w:ascii="宋体" w:hAnsi="宋体" w:eastAsia="宋体" w:cs="宋体"/>
          <w:b/>
          <w:sz w:val="28"/>
          <w:szCs w:val="28"/>
          <w:highlight w:val="none"/>
        </w:rPr>
      </w:pPr>
    </w:p>
    <w:p>
      <w:pPr>
        <w:spacing w:line="360" w:lineRule="auto"/>
        <w:rPr>
          <w:rFonts w:hint="eastAsia" w:ascii="宋体" w:hAnsi="宋体" w:eastAsia="宋体" w:cs="宋体"/>
          <w:b/>
          <w:sz w:val="28"/>
          <w:szCs w:val="28"/>
          <w:highlight w:val="none"/>
        </w:rPr>
      </w:pPr>
    </w:p>
    <w:bookmarkEnd w:id="1509"/>
    <w:bookmarkEnd w:id="1510"/>
    <w:bookmarkEnd w:id="1511"/>
    <w:p>
      <w:pPr>
        <w:jc w:val="both"/>
        <w:rPr>
          <w:rFonts w:hint="eastAsia" w:ascii="宋体" w:hAnsi="宋体" w:eastAsia="宋体" w:cs="宋体"/>
          <w:b/>
          <w:bCs/>
          <w:spacing w:val="26"/>
          <w:szCs w:val="21"/>
          <w:highlight w:val="none"/>
        </w:rPr>
      </w:pPr>
      <w:bookmarkStart w:id="1512" w:name="_Toc8349"/>
      <w:bookmarkStart w:id="1513" w:name="_Toc21471"/>
      <w:bookmarkStart w:id="1514" w:name="_Toc4350"/>
      <w:bookmarkStart w:id="1515" w:name="_Toc513557046"/>
      <w:r>
        <w:rPr>
          <w:rFonts w:hint="eastAsia" w:ascii="宋体" w:hAnsi="宋体" w:eastAsia="宋体" w:cs="宋体"/>
          <w:b/>
          <w:sz w:val="28"/>
          <w:szCs w:val="28"/>
          <w:highlight w:val="none"/>
        </w:rPr>
        <w:br w:type="page"/>
      </w:r>
      <w:bookmarkEnd w:id="1502"/>
      <w:bookmarkEnd w:id="1503"/>
      <w:bookmarkEnd w:id="1504"/>
      <w:bookmarkEnd w:id="1505"/>
      <w:bookmarkEnd w:id="1512"/>
      <w:bookmarkEnd w:id="1513"/>
      <w:bookmarkEnd w:id="1514"/>
      <w:bookmarkEnd w:id="1515"/>
      <w:r>
        <w:rPr>
          <w:rFonts w:hint="eastAsia" w:ascii="宋体" w:hAnsi="宋体" w:eastAsia="宋体" w:cs="宋体"/>
          <w:b/>
          <w:bCs w:val="0"/>
          <w:spacing w:val="26"/>
          <w:kern w:val="2"/>
          <w:sz w:val="22"/>
          <w:szCs w:val="36"/>
          <w:highlight w:val="none"/>
          <w:lang w:val="en-US" w:eastAsia="zh-CN" w:bidi="ar-SA"/>
        </w:rPr>
        <w:t>项目编号：</w:t>
      </w:r>
      <w:r>
        <w:rPr>
          <w:rFonts w:hint="eastAsia" w:ascii="宋体" w:hAnsi="宋体" w:cs="宋体"/>
          <w:b/>
          <w:bCs w:val="0"/>
          <w:spacing w:val="26"/>
          <w:kern w:val="2"/>
          <w:sz w:val="22"/>
          <w:szCs w:val="36"/>
          <w:highlight w:val="none"/>
          <w:lang w:val="en-US" w:eastAsia="zh-CN" w:bidi="ar-SA"/>
        </w:rPr>
        <w:t>ZRS-2023-ZC-011</w:t>
      </w:r>
      <w:r>
        <w:rPr>
          <w:rFonts w:hint="eastAsia" w:ascii="宋体" w:hAnsi="宋体" w:eastAsia="宋体" w:cs="宋体"/>
          <w:b/>
          <w:bCs w:val="0"/>
          <w:spacing w:val="26"/>
          <w:kern w:val="2"/>
          <w:sz w:val="22"/>
          <w:szCs w:val="36"/>
          <w:highlight w:val="none"/>
          <w:lang w:val="en-US" w:eastAsia="zh-CN" w:bidi="ar-SA"/>
        </w:rPr>
        <w:t xml:space="preserve">                      </w:t>
      </w:r>
      <w:r>
        <w:rPr>
          <w:rFonts w:hint="eastAsia" w:ascii="宋体" w:hAnsi="宋体" w:eastAsia="宋体" w:cs="宋体"/>
          <w:b/>
          <w:bCs/>
          <w:spacing w:val="26"/>
          <w:sz w:val="24"/>
          <w:szCs w:val="24"/>
          <w:highlight w:val="none"/>
        </w:rPr>
        <w:t>【正/副本】</w:t>
      </w:r>
    </w:p>
    <w:p>
      <w:pPr>
        <w:spacing w:line="480" w:lineRule="auto"/>
        <w:jc w:val="right"/>
        <w:rPr>
          <w:rFonts w:hint="eastAsia" w:ascii="宋体" w:hAnsi="宋体" w:eastAsia="宋体" w:cs="宋体"/>
          <w:b/>
          <w:bCs/>
          <w:spacing w:val="26"/>
          <w:sz w:val="24"/>
          <w:szCs w:val="24"/>
          <w:highlight w:val="none"/>
        </w:rPr>
      </w:pP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shd w:val="clear" w:color="auto" w:fill="FFFFFF"/>
        <w:spacing w:before="300" w:after="300" w:line="525" w:lineRule="atLeast"/>
        <w:jc w:val="center"/>
        <w:outlineLvl w:val="9"/>
        <w:rPr>
          <w:rFonts w:hint="eastAsia" w:ascii="宋体" w:hAnsi="宋体" w:cs="宋体"/>
          <w:b/>
          <w:bCs w:val="0"/>
          <w:spacing w:val="26"/>
          <w:sz w:val="52"/>
          <w:szCs w:val="52"/>
          <w:highlight w:val="none"/>
          <w:lang w:eastAsia="zh-CN"/>
        </w:rPr>
      </w:pPr>
      <w:r>
        <w:rPr>
          <w:rFonts w:hint="eastAsia" w:ascii="宋体" w:hAnsi="宋体" w:cs="宋体"/>
          <w:b/>
          <w:bCs w:val="0"/>
          <w:spacing w:val="26"/>
          <w:sz w:val="52"/>
          <w:szCs w:val="52"/>
          <w:highlight w:val="none"/>
          <w:lang w:eastAsia="zh-CN"/>
        </w:rPr>
        <w:t>西安经开第八小学校舍及操场</w:t>
      </w:r>
    </w:p>
    <w:p>
      <w:pPr>
        <w:shd w:val="clear" w:color="auto" w:fill="FFFFFF"/>
        <w:spacing w:before="300" w:after="300" w:line="525" w:lineRule="atLeast"/>
        <w:jc w:val="center"/>
        <w:outlineLvl w:val="9"/>
        <w:rPr>
          <w:rFonts w:hint="eastAsia" w:ascii="宋体" w:hAnsi="宋体" w:eastAsia="宋体" w:cs="宋体"/>
          <w:b/>
          <w:bCs w:val="0"/>
          <w:spacing w:val="26"/>
          <w:sz w:val="52"/>
          <w:szCs w:val="52"/>
          <w:highlight w:val="none"/>
          <w:lang w:eastAsia="zh-CN"/>
        </w:rPr>
      </w:pPr>
      <w:r>
        <w:rPr>
          <w:rFonts w:hint="eastAsia" w:ascii="宋体" w:hAnsi="宋体" w:cs="宋体"/>
          <w:b/>
          <w:bCs w:val="0"/>
          <w:spacing w:val="26"/>
          <w:sz w:val="52"/>
          <w:szCs w:val="52"/>
          <w:highlight w:val="none"/>
          <w:lang w:eastAsia="zh-CN"/>
        </w:rPr>
        <w:t>维修改造项目</w:t>
      </w:r>
    </w:p>
    <w:p>
      <w:pPr>
        <w:spacing w:line="600" w:lineRule="auto"/>
        <w:jc w:val="center"/>
        <w:rPr>
          <w:rFonts w:hint="eastAsia" w:ascii="宋体" w:hAnsi="宋体" w:eastAsia="宋体" w:cs="宋体"/>
          <w:b/>
          <w:bCs w:val="0"/>
          <w:spacing w:val="26"/>
          <w:sz w:val="44"/>
          <w:szCs w:val="44"/>
          <w:highlight w:val="none"/>
        </w:rPr>
      </w:pPr>
    </w:p>
    <w:p>
      <w:pPr>
        <w:spacing w:line="600" w:lineRule="auto"/>
        <w:jc w:val="center"/>
        <w:rPr>
          <w:rFonts w:hint="eastAsia" w:ascii="宋体" w:hAnsi="宋体" w:eastAsia="宋体" w:cs="宋体"/>
          <w:b/>
          <w:sz w:val="36"/>
          <w:szCs w:val="36"/>
          <w:highlight w:val="none"/>
        </w:rPr>
      </w:pPr>
    </w:p>
    <w:p>
      <w:pPr>
        <w:spacing w:line="600" w:lineRule="auto"/>
        <w:jc w:val="center"/>
        <w:rPr>
          <w:rFonts w:hint="eastAsia" w:ascii="宋体" w:hAnsi="宋体" w:eastAsia="宋体" w:cs="宋体"/>
          <w:b/>
          <w:bCs/>
          <w:spacing w:val="26"/>
          <w:sz w:val="104"/>
          <w:szCs w:val="104"/>
          <w:highlight w:val="none"/>
        </w:rPr>
      </w:pPr>
      <w:r>
        <w:rPr>
          <w:rFonts w:hint="eastAsia" w:ascii="宋体" w:hAnsi="宋体" w:eastAsia="宋体" w:cs="宋体"/>
          <w:b/>
          <w:bCs/>
          <w:spacing w:val="26"/>
          <w:sz w:val="104"/>
          <w:szCs w:val="104"/>
          <w:highlight w:val="none"/>
        </w:rPr>
        <w:t>投标文件</w:t>
      </w:r>
    </w:p>
    <w:p>
      <w:pPr>
        <w:jc w:val="center"/>
        <w:rPr>
          <w:rFonts w:hint="eastAsia" w:ascii="宋体" w:hAnsi="宋体" w:eastAsia="宋体" w:cs="宋体"/>
          <w:b/>
          <w:sz w:val="28"/>
          <w:szCs w:val="28"/>
          <w:highlight w:val="none"/>
          <w:lang w:val="en-US" w:eastAsia="zh-CN"/>
        </w:rPr>
      </w:pPr>
    </w:p>
    <w:p>
      <w:pPr>
        <w:spacing w:line="600" w:lineRule="auto"/>
        <w:jc w:val="center"/>
        <w:rPr>
          <w:rFonts w:hint="eastAsia" w:ascii="宋体" w:hAnsi="宋体" w:eastAsia="宋体" w:cs="宋体"/>
          <w:b/>
          <w:bCs/>
          <w:spacing w:val="26"/>
          <w:sz w:val="36"/>
          <w:szCs w:val="36"/>
          <w:highlight w:val="none"/>
        </w:rPr>
      </w:pPr>
    </w:p>
    <w:p>
      <w:pPr>
        <w:pStyle w:val="15"/>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600" w:lineRule="auto"/>
        <w:ind w:firstLine="1460" w:firstLineChars="500"/>
        <w:jc w:val="both"/>
        <w:rPr>
          <w:rFonts w:hint="eastAsia" w:ascii="宋体" w:hAnsi="宋体" w:eastAsia="宋体" w:cs="宋体"/>
          <w:b/>
          <w:bCs/>
          <w:spacing w:val="26"/>
          <w:sz w:val="24"/>
          <w:szCs w:val="24"/>
          <w:highlight w:val="none"/>
          <w:u w:val="single"/>
        </w:rPr>
      </w:pPr>
      <w:r>
        <w:rPr>
          <w:rFonts w:hint="eastAsia" w:ascii="宋体" w:hAnsi="宋体" w:eastAsia="宋体" w:cs="宋体"/>
          <w:b/>
          <w:bCs/>
          <w:spacing w:val="26"/>
          <w:sz w:val="24"/>
          <w:szCs w:val="24"/>
          <w:highlight w:val="none"/>
          <w:lang w:eastAsia="zh-CN"/>
        </w:rPr>
        <w:t>供应商</w:t>
      </w:r>
      <w:r>
        <w:rPr>
          <w:rFonts w:hint="eastAsia" w:ascii="宋体" w:hAnsi="宋体" w:eastAsia="宋体" w:cs="宋体"/>
          <w:b/>
          <w:bCs/>
          <w:spacing w:val="26"/>
          <w:sz w:val="24"/>
          <w:szCs w:val="24"/>
          <w:highlight w:val="none"/>
        </w:rPr>
        <w:t>全称：</w:t>
      </w:r>
      <w:r>
        <w:rPr>
          <w:rFonts w:hint="eastAsia" w:ascii="宋体" w:hAnsi="宋体" w:eastAsia="宋体" w:cs="宋体"/>
          <w:b/>
          <w:bCs/>
          <w:spacing w:val="26"/>
          <w:sz w:val="24"/>
          <w:szCs w:val="24"/>
          <w:highlight w:val="none"/>
          <w:u w:val="single"/>
          <w:lang w:val="en-US" w:eastAsia="zh-CN"/>
        </w:rPr>
        <w:t xml:space="preserve">                  </w:t>
      </w:r>
      <w:r>
        <w:rPr>
          <w:rFonts w:hint="eastAsia" w:ascii="宋体" w:hAnsi="宋体" w:eastAsia="宋体" w:cs="宋体"/>
          <w:b/>
          <w:bCs/>
          <w:spacing w:val="26"/>
          <w:sz w:val="24"/>
          <w:szCs w:val="24"/>
          <w:highlight w:val="none"/>
          <w:u w:val="single"/>
        </w:rPr>
        <w:t>（盖章）</w:t>
      </w:r>
    </w:p>
    <w:p>
      <w:pPr>
        <w:spacing w:line="600" w:lineRule="auto"/>
        <w:jc w:val="center"/>
        <w:rPr>
          <w:rFonts w:hint="eastAsia" w:ascii="宋体" w:hAnsi="宋体" w:eastAsia="宋体" w:cs="宋体"/>
          <w:b/>
          <w:bCs/>
          <w:spacing w:val="26"/>
          <w:sz w:val="24"/>
          <w:szCs w:val="24"/>
          <w:highlight w:val="none"/>
          <w:u w:val="single"/>
        </w:rPr>
      </w:pPr>
      <w:r>
        <w:rPr>
          <w:rFonts w:hint="eastAsia" w:ascii="宋体" w:hAnsi="宋体" w:eastAsia="宋体" w:cs="宋体"/>
          <w:b/>
          <w:bCs/>
          <w:spacing w:val="26"/>
          <w:sz w:val="24"/>
          <w:szCs w:val="24"/>
          <w:highlight w:val="none"/>
        </w:rPr>
        <w:t>法定代表人或其</w:t>
      </w:r>
      <w:r>
        <w:rPr>
          <w:rFonts w:hint="eastAsia" w:ascii="宋体" w:hAnsi="宋体" w:eastAsia="宋体" w:cs="宋体"/>
          <w:b/>
          <w:bCs/>
          <w:spacing w:val="26"/>
          <w:sz w:val="24"/>
          <w:szCs w:val="24"/>
          <w:highlight w:val="none"/>
          <w:lang w:eastAsia="zh-CN"/>
        </w:rPr>
        <w:t>委托</w:t>
      </w:r>
      <w:r>
        <w:rPr>
          <w:rFonts w:hint="eastAsia" w:ascii="宋体" w:hAnsi="宋体" w:eastAsia="宋体" w:cs="宋体"/>
          <w:b/>
          <w:bCs/>
          <w:spacing w:val="26"/>
          <w:sz w:val="24"/>
          <w:szCs w:val="24"/>
          <w:highlight w:val="none"/>
        </w:rPr>
        <w:t>代理人：</w:t>
      </w:r>
      <w:r>
        <w:rPr>
          <w:rFonts w:hint="eastAsia" w:ascii="宋体" w:hAnsi="宋体" w:eastAsia="宋体" w:cs="宋体"/>
          <w:b/>
          <w:bCs/>
          <w:spacing w:val="26"/>
          <w:sz w:val="24"/>
          <w:szCs w:val="24"/>
          <w:highlight w:val="none"/>
          <w:u w:val="single"/>
          <w:lang w:val="en-US" w:eastAsia="zh-CN"/>
        </w:rPr>
        <w:t xml:space="preserve">          </w:t>
      </w:r>
      <w:r>
        <w:rPr>
          <w:rFonts w:hint="eastAsia" w:ascii="宋体" w:hAnsi="宋体" w:eastAsia="宋体" w:cs="宋体"/>
          <w:b/>
          <w:bCs/>
          <w:spacing w:val="26"/>
          <w:sz w:val="24"/>
          <w:szCs w:val="24"/>
          <w:highlight w:val="none"/>
          <w:u w:val="single"/>
        </w:rPr>
        <w:t>（盖章或签字）</w:t>
      </w:r>
    </w:p>
    <w:p>
      <w:pPr>
        <w:jc w:val="center"/>
        <w:rPr>
          <w:rFonts w:hint="eastAsia" w:ascii="宋体" w:hAnsi="宋体" w:eastAsia="宋体" w:cs="宋体"/>
          <w:b/>
          <w:bCs/>
          <w:spacing w:val="26"/>
          <w:sz w:val="24"/>
          <w:szCs w:val="24"/>
          <w:highlight w:val="none"/>
          <w:u w:val="single"/>
          <w:lang w:val="en-US" w:eastAsia="zh-CN"/>
        </w:rPr>
      </w:pPr>
    </w:p>
    <w:p>
      <w:pPr>
        <w:jc w:val="center"/>
        <w:rPr>
          <w:rFonts w:hint="eastAsia" w:ascii="宋体" w:hAnsi="宋体" w:eastAsia="宋体" w:cs="宋体"/>
          <w:b/>
          <w:bCs/>
          <w:spacing w:val="26"/>
          <w:sz w:val="24"/>
          <w:szCs w:val="24"/>
          <w:highlight w:val="none"/>
        </w:rPr>
        <w:sectPr>
          <w:footerReference r:id="rId11" w:type="default"/>
          <w:pgSz w:w="11906" w:h="16838"/>
          <w:pgMar w:top="1440" w:right="1304" w:bottom="1440" w:left="1304" w:header="851" w:footer="992" w:gutter="0"/>
          <w:pgNumType w:fmt="decimal"/>
          <w:cols w:space="720" w:num="1"/>
          <w:docGrid w:type="linesAndChars" w:linePitch="312" w:charSpace="0"/>
        </w:sectPr>
      </w:pPr>
      <w:r>
        <w:rPr>
          <w:rFonts w:hint="eastAsia" w:ascii="宋体" w:hAnsi="宋体" w:eastAsia="宋体" w:cs="宋体"/>
          <w:b/>
          <w:bCs/>
          <w:spacing w:val="26"/>
          <w:sz w:val="24"/>
          <w:szCs w:val="24"/>
          <w:highlight w:val="none"/>
          <w:u w:val="single"/>
          <w:lang w:val="en-US" w:eastAsia="zh-CN"/>
        </w:rPr>
        <w:t xml:space="preserve">    </w:t>
      </w:r>
      <w:r>
        <w:rPr>
          <w:rFonts w:hint="eastAsia" w:ascii="宋体" w:hAnsi="宋体" w:eastAsia="宋体" w:cs="宋体"/>
          <w:b/>
          <w:bCs/>
          <w:spacing w:val="26"/>
          <w:sz w:val="24"/>
          <w:szCs w:val="24"/>
          <w:highlight w:val="none"/>
        </w:rPr>
        <w:t>年</w:t>
      </w:r>
      <w:r>
        <w:rPr>
          <w:rFonts w:hint="eastAsia" w:ascii="宋体" w:hAnsi="宋体" w:eastAsia="宋体" w:cs="宋体"/>
          <w:b/>
          <w:bCs/>
          <w:spacing w:val="26"/>
          <w:sz w:val="24"/>
          <w:szCs w:val="24"/>
          <w:highlight w:val="none"/>
          <w:u w:val="single"/>
          <w:lang w:val="en-US" w:eastAsia="zh-CN"/>
        </w:rPr>
        <w:t xml:space="preserve">    </w:t>
      </w:r>
      <w:r>
        <w:rPr>
          <w:rFonts w:hint="eastAsia" w:ascii="宋体" w:hAnsi="宋体" w:eastAsia="宋体" w:cs="宋体"/>
          <w:b/>
          <w:bCs/>
          <w:spacing w:val="26"/>
          <w:sz w:val="24"/>
          <w:szCs w:val="24"/>
          <w:highlight w:val="none"/>
        </w:rPr>
        <w:t>月</w:t>
      </w:r>
      <w:r>
        <w:rPr>
          <w:rFonts w:hint="eastAsia" w:ascii="宋体" w:hAnsi="宋体" w:eastAsia="宋体" w:cs="宋体"/>
          <w:b/>
          <w:bCs/>
          <w:spacing w:val="26"/>
          <w:sz w:val="24"/>
          <w:szCs w:val="24"/>
          <w:highlight w:val="none"/>
          <w:u w:val="single"/>
          <w:lang w:val="en-US" w:eastAsia="zh-CN"/>
        </w:rPr>
        <w:t xml:space="preserve">    </w:t>
      </w:r>
      <w:r>
        <w:rPr>
          <w:rFonts w:hint="eastAsia" w:ascii="宋体" w:hAnsi="宋体" w:eastAsia="宋体" w:cs="宋体"/>
          <w:b/>
          <w:bCs/>
          <w:spacing w:val="26"/>
          <w:sz w:val="24"/>
          <w:szCs w:val="24"/>
          <w:highlight w:val="none"/>
        </w:rPr>
        <w:t>日</w:t>
      </w:r>
    </w:p>
    <w:p>
      <w:pPr>
        <w:spacing w:beforeLines="100" w:afterLines="10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目录</w:t>
      </w:r>
    </w:p>
    <w:p>
      <w:pPr>
        <w:pStyle w:val="2"/>
        <w:rPr>
          <w:rFonts w:hint="eastAsia" w:ascii="宋体" w:hAnsi="宋体" w:eastAsia="宋体" w:cs="宋体"/>
          <w:highlight w:val="none"/>
        </w:rPr>
        <w:sectPr>
          <w:pgSz w:w="11906" w:h="16838"/>
          <w:pgMar w:top="1440" w:right="1304" w:bottom="1440" w:left="1304" w:header="851" w:footer="992" w:gutter="0"/>
          <w:pgNumType w:fmt="decimal"/>
          <w:cols w:space="720" w:num="1"/>
          <w:docGrid w:type="linesAndChars" w:linePitch="312" w:charSpace="0"/>
        </w:sectPr>
      </w:pPr>
      <w:r>
        <w:rPr>
          <w:rFonts w:hint="eastAsia" w:ascii="宋体" w:hAnsi="宋体" w:eastAsia="宋体" w:cs="宋体"/>
          <w:sz w:val="28"/>
          <w:szCs w:val="36"/>
          <w:highlight w:val="none"/>
        </w:rPr>
        <w:t>（由各</w:t>
      </w:r>
      <w:r>
        <w:rPr>
          <w:rFonts w:hint="eastAsia" w:ascii="宋体" w:hAnsi="宋体" w:eastAsia="宋体" w:cs="宋体"/>
          <w:sz w:val="28"/>
          <w:szCs w:val="36"/>
          <w:highlight w:val="none"/>
          <w:lang w:eastAsia="zh-CN"/>
        </w:rPr>
        <w:t>供应商</w:t>
      </w:r>
      <w:r>
        <w:rPr>
          <w:rFonts w:hint="eastAsia" w:ascii="宋体" w:hAnsi="宋体" w:eastAsia="宋体" w:cs="宋体"/>
          <w:sz w:val="28"/>
          <w:szCs w:val="36"/>
          <w:highlight w:val="none"/>
        </w:rPr>
        <w:t>根据企业自身情况及投标文件编制情况自行拟定</w:t>
      </w:r>
      <w:r>
        <w:rPr>
          <w:rFonts w:hint="eastAsia" w:hAnsi="宋体" w:cs="宋体"/>
          <w:sz w:val="28"/>
          <w:szCs w:val="36"/>
          <w:highlight w:val="none"/>
          <w:lang w:eastAsia="zh-CN"/>
        </w:rPr>
        <w:t>，并标注好页码</w:t>
      </w:r>
      <w:r>
        <w:rPr>
          <w:rFonts w:hint="eastAsia" w:ascii="宋体" w:hAnsi="宋体" w:eastAsia="宋体" w:cs="宋体"/>
          <w:sz w:val="28"/>
          <w:szCs w:val="36"/>
          <w:highlight w:val="none"/>
        </w:rPr>
        <w:t>）</w:t>
      </w:r>
    </w:p>
    <w:p>
      <w:pPr>
        <w:spacing w:line="600" w:lineRule="auto"/>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一、投标函及投标函附录</w:t>
      </w:r>
    </w:p>
    <w:p>
      <w:pPr>
        <w:spacing w:beforeLines="100" w:afterLines="50" w:line="360" w:lineRule="auto"/>
        <w:jc w:val="center"/>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（一）投标函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名称）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在充分研究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（项目名称）（以下简称“本工程”）施工招标文件的全部内容后，我方兹以：</w:t>
      </w:r>
    </w:p>
    <w:p>
      <w:pPr>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RMB￥：</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的投标价格和按合同约定有权得到的其它金额，并严格按照合同约定，施工、竣工和交付本工程并维修其中的任何缺陷。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在我方的上述投标报价中，包括：</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措施项目费RMB￥：</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其中：安全文明施工费RMB￥：</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如果我方中标，我方保证在招标文件规定的工期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天（日历</w:t>
      </w:r>
      <w:r>
        <w:rPr>
          <w:rFonts w:hint="eastAsia" w:ascii="宋体" w:hAnsi="宋体" w:eastAsia="宋体" w:cs="宋体"/>
          <w:sz w:val="24"/>
          <w:szCs w:val="24"/>
          <w:highlight w:val="none"/>
          <w:lang w:eastAsia="zh-CN"/>
        </w:rPr>
        <w:t>天</w:t>
      </w:r>
      <w:r>
        <w:rPr>
          <w:rFonts w:hint="eastAsia" w:ascii="宋体" w:hAnsi="宋体" w:eastAsia="宋体" w:cs="宋体"/>
          <w:sz w:val="24"/>
          <w:szCs w:val="24"/>
          <w:highlight w:val="none"/>
        </w:rPr>
        <w:t>）内竣工，并确保工程质量达到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我方在此声明，所递交的投标文件及有关资料内容完整、真实和准确，且不存在第二章“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须知”第 1.4.</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项规定的任何一种情形。</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我方拟派项目经理：</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随本投标函递交的投标函附录是本投标函的组成部分，对我方构成约束力。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在签署协议书之前，你方的中标通知书连同本投标函，包括投标函附录，对双方具有约束力。</w:t>
      </w: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（盖章）：</w:t>
      </w:r>
    </w:p>
    <w:p>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法定代表人或委托代理人（签字或盖章）：</w:t>
      </w:r>
      <w:r>
        <w:rPr>
          <w:rFonts w:hint="eastAsia" w:ascii="宋体" w:hAnsi="宋体" w:eastAsia="宋体" w:cs="宋体"/>
          <w:bCs/>
          <w:sz w:val="24"/>
          <w:szCs w:val="24"/>
          <w:highlight w:val="none"/>
          <w:lang w:val="en-US" w:eastAsia="zh-CN"/>
        </w:rPr>
        <w:t xml:space="preserve">                                                                                                                                                                                                                                                                                                                                                  </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auto"/>
        <w:jc w:val="center"/>
        <w:outlineLvl w:val="2"/>
        <w:rPr>
          <w:rFonts w:hint="eastAsia" w:ascii="宋体" w:hAnsi="宋体" w:eastAsia="宋体" w:cs="宋体"/>
          <w:b/>
          <w:sz w:val="21"/>
          <w:szCs w:val="21"/>
          <w:highlight w:val="none"/>
        </w:rPr>
      </w:pPr>
      <w:r>
        <w:rPr>
          <w:rFonts w:hint="eastAsia" w:ascii="宋体" w:hAnsi="宋体" w:eastAsia="宋体" w:cs="宋体"/>
          <w:b/>
          <w:sz w:val="24"/>
          <w:szCs w:val="24"/>
          <w:highlight w:val="none"/>
        </w:rPr>
        <w:br w:type="page"/>
      </w:r>
      <w:r>
        <w:rPr>
          <w:rFonts w:hint="eastAsia" w:ascii="宋体" w:hAnsi="宋体" w:eastAsia="宋体" w:cs="宋体"/>
          <w:b/>
          <w:sz w:val="21"/>
          <w:szCs w:val="21"/>
          <w:highlight w:val="none"/>
        </w:rPr>
        <w:t>（二）投标函附录</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3"/>
        <w:gridCol w:w="7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763" w:type="dxa"/>
            <w:tcBorders>
              <w:top w:val="single" w:color="auto" w:sz="4" w:space="0"/>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项目名称</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763" w:type="dxa"/>
            <w:vMerge w:val="restart"/>
            <w:tcBorders>
              <w:top w:val="single" w:color="auto" w:sz="4" w:space="0"/>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投标报价</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含税工程总造价（元）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1763" w:type="dxa"/>
            <w:vMerge w:val="continue"/>
            <w:tcBorders>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 xml:space="preserve">小写：￥ </w:t>
            </w:r>
            <w:r>
              <w:rPr>
                <w:rFonts w:hint="eastAsia" w:ascii="宋体" w:hAnsi="宋体" w:eastAsia="宋体" w:cs="宋体"/>
                <w:b/>
                <w:sz w:val="22"/>
                <w:szCs w:val="22"/>
                <w:highlight w:val="none"/>
                <w:u w:val="single"/>
              </w:rPr>
              <w:t xml:space="preserve">                           </w:t>
            </w:r>
            <w:r>
              <w:rPr>
                <w:rFonts w:hint="eastAsia" w:ascii="宋体" w:hAnsi="宋体" w:eastAsia="宋体" w:cs="宋体"/>
                <w:b/>
                <w:sz w:val="22"/>
                <w:szCs w:val="22"/>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1763" w:type="dxa"/>
            <w:vMerge w:val="continue"/>
            <w:tcBorders>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大写：人民币</w:t>
            </w:r>
            <w:r>
              <w:rPr>
                <w:rFonts w:hint="eastAsia" w:ascii="宋体" w:hAnsi="宋体" w:eastAsia="宋体" w:cs="宋体"/>
                <w:b/>
                <w:sz w:val="22"/>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1763" w:type="dxa"/>
            <w:tcBorders>
              <w:top w:val="single" w:color="auto" w:sz="4" w:space="0"/>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措施项目费</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 xml:space="preserve">    </w:t>
            </w:r>
            <w:r>
              <w:rPr>
                <w:rFonts w:hint="eastAsia" w:ascii="宋体" w:hAnsi="宋体" w:eastAsia="宋体" w:cs="宋体"/>
                <w:b/>
                <w:sz w:val="22"/>
                <w:szCs w:val="22"/>
                <w:highlight w:val="none"/>
                <w:u w:val="single"/>
              </w:rPr>
              <w:t xml:space="preserve">                         </w:t>
            </w:r>
            <w:r>
              <w:rPr>
                <w:rFonts w:hint="eastAsia" w:ascii="宋体" w:hAnsi="宋体" w:eastAsia="宋体" w:cs="宋体"/>
                <w:b/>
                <w:sz w:val="22"/>
                <w:szCs w:val="22"/>
                <w:highlight w:val="none"/>
              </w:rPr>
              <w:t xml:space="preserve">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1763" w:type="dxa"/>
            <w:tcBorders>
              <w:top w:val="single" w:color="auto" w:sz="4" w:space="0"/>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安全文明施工费</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 xml:space="preserve">    </w:t>
            </w:r>
            <w:r>
              <w:rPr>
                <w:rFonts w:hint="eastAsia" w:ascii="宋体" w:hAnsi="宋体" w:eastAsia="宋体" w:cs="宋体"/>
                <w:b/>
                <w:sz w:val="22"/>
                <w:szCs w:val="22"/>
                <w:highlight w:val="none"/>
                <w:u w:val="single"/>
              </w:rPr>
              <w:t xml:space="preserve">                         </w:t>
            </w:r>
            <w:r>
              <w:rPr>
                <w:rFonts w:hint="eastAsia" w:ascii="宋体" w:hAnsi="宋体" w:eastAsia="宋体" w:cs="宋体"/>
                <w:b/>
                <w:sz w:val="22"/>
                <w:szCs w:val="22"/>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1763" w:type="dxa"/>
            <w:tcBorders>
              <w:top w:val="single" w:color="auto" w:sz="4" w:space="0"/>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lang w:val="en-US" w:eastAsia="zh-CN" w:bidi="ar-SA"/>
              </w:rPr>
            </w:pPr>
            <w:r>
              <w:rPr>
                <w:rFonts w:hint="eastAsia" w:ascii="宋体" w:hAnsi="宋体" w:eastAsia="宋体" w:cs="宋体"/>
                <w:b/>
                <w:sz w:val="22"/>
                <w:szCs w:val="22"/>
                <w:highlight w:val="none"/>
              </w:rPr>
              <w:t>工期</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rPr>
                <w:rFonts w:hint="eastAsia" w:ascii="宋体" w:hAnsi="宋体" w:eastAsia="宋体" w:cs="宋体"/>
                <w:b/>
                <w:sz w:val="22"/>
                <w:szCs w:val="22"/>
                <w:highlight w:val="none"/>
                <w:lang w:val="en-US" w:eastAsia="zh-CN" w:bidi="ar-SA"/>
              </w:rPr>
            </w:pPr>
            <w:r>
              <w:rPr>
                <w:rFonts w:hint="eastAsia" w:ascii="宋体" w:hAnsi="宋体" w:eastAsia="宋体" w:cs="宋体"/>
                <w:b/>
                <w:sz w:val="22"/>
                <w:szCs w:val="22"/>
                <w:highlight w:val="none"/>
              </w:rPr>
              <w:t xml:space="preserve">    </w:t>
            </w:r>
            <w:r>
              <w:rPr>
                <w:rFonts w:hint="eastAsia" w:ascii="宋体" w:hAnsi="宋体" w:eastAsia="宋体" w:cs="宋体"/>
                <w:b/>
                <w:sz w:val="22"/>
                <w:szCs w:val="22"/>
                <w:highlight w:val="none"/>
                <w:u w:val="single"/>
              </w:rPr>
              <w:t xml:space="preserve">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763" w:type="dxa"/>
            <w:tcBorders>
              <w:top w:val="single" w:color="auto" w:sz="4" w:space="0"/>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工程质量</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763" w:type="dxa"/>
            <w:tcBorders>
              <w:top w:val="single" w:color="auto" w:sz="4" w:space="0"/>
              <w:left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eastAsia="zh-CN"/>
              </w:rPr>
              <w:t>项目经理</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pStyle w:val="31"/>
              <w:spacing w:before="240" w:beforeAutospacing="0" w:after="0" w:afterAutospacing="0"/>
              <w:ind w:firstLine="240" w:firstLineChars="100"/>
              <w:jc w:val="both"/>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cs="宋体"/>
                <w:b/>
                <w:bCs/>
                <w:color w:val="auto"/>
                <w:sz w:val="24"/>
                <w:szCs w:val="24"/>
                <w:highlight w:val="none"/>
                <w:u w:val="none"/>
                <w:lang w:eastAsia="zh-CN"/>
              </w:rPr>
              <w:t>身份证号：</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建造师注册证号：</w:t>
            </w:r>
            <w:r>
              <w:rPr>
                <w:rFonts w:hint="eastAsia" w:ascii="宋体" w:hAnsi="宋体" w:eastAsia="宋体" w:cs="宋体"/>
                <w:b/>
                <w:bCs/>
                <w:color w:val="auto"/>
                <w:sz w:val="24"/>
                <w:szCs w:val="24"/>
                <w:highlight w:val="none"/>
                <w:u w:val="single"/>
              </w:rPr>
              <w:t xml:space="preserve">         </w:t>
            </w:r>
          </w:p>
          <w:p>
            <w:pPr>
              <w:kinsoku w:val="0"/>
              <w:spacing w:line="480" w:lineRule="exact"/>
              <w:jc w:val="left"/>
              <w:rPr>
                <w:rFonts w:hint="default" w:ascii="宋体" w:hAnsi="宋体" w:eastAsia="宋体" w:cs="宋体"/>
                <w:b/>
                <w:sz w:val="22"/>
                <w:szCs w:val="22"/>
                <w:highlight w:val="non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级建造师，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备注</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insoku w:val="0"/>
              <w:spacing w:line="480" w:lineRule="exact"/>
              <w:jc w:val="center"/>
              <w:rPr>
                <w:rFonts w:hint="eastAsia" w:ascii="宋体" w:hAnsi="宋体" w:eastAsia="宋体" w:cs="宋体"/>
                <w:b/>
                <w:sz w:val="22"/>
                <w:szCs w:val="22"/>
                <w:highlight w:val="none"/>
              </w:rPr>
            </w:pPr>
          </w:p>
        </w:tc>
      </w:tr>
    </w:tbl>
    <w:p>
      <w:pPr>
        <w:spacing w:line="480" w:lineRule="exact"/>
        <w:ind w:firstLine="420" w:firstLineChars="200"/>
        <w:rPr>
          <w:rFonts w:hint="eastAsia" w:ascii="宋体" w:hAnsi="宋体" w:eastAsia="宋体" w:cs="宋体"/>
          <w:b/>
          <w:sz w:val="21"/>
          <w:szCs w:val="21"/>
          <w:highlight w:val="none"/>
        </w:rPr>
      </w:pPr>
    </w:p>
    <w:p>
      <w:pPr>
        <w:spacing w:line="4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（盖章）：</w:t>
      </w:r>
    </w:p>
    <w:p>
      <w:pPr>
        <w:spacing w:line="4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法定代表人或委托代理人（签字或盖章）：</w:t>
      </w:r>
    </w:p>
    <w:p>
      <w:pPr>
        <w:spacing w:line="4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日期：</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sz w:val="28"/>
          <w:szCs w:val="28"/>
          <w:highlight w:val="none"/>
        </w:rPr>
      </w:pPr>
      <w:r>
        <w:rPr>
          <w:rFonts w:hint="eastAsia" w:ascii="宋体" w:hAnsi="宋体" w:eastAsia="宋体" w:cs="宋体"/>
          <w:b/>
          <w:sz w:val="21"/>
          <w:szCs w:val="21"/>
          <w:highlight w:val="none"/>
        </w:rPr>
        <w:br w:type="page"/>
      </w:r>
      <w:r>
        <w:rPr>
          <w:rFonts w:hint="eastAsia" w:ascii="宋体" w:hAnsi="宋体" w:eastAsia="宋体" w:cs="宋体"/>
          <w:b/>
          <w:sz w:val="28"/>
          <w:szCs w:val="28"/>
          <w:highlight w:val="none"/>
          <w:lang w:val="en-US" w:eastAsia="zh-CN"/>
        </w:rPr>
        <w:t>供应商资质证明资料</w:t>
      </w:r>
    </w:p>
    <w:p>
      <w:pPr>
        <w:snapToGrid w:val="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eastAsia="zh-CN"/>
        </w:rPr>
        <w:t>供应商</w:t>
      </w:r>
      <w:r>
        <w:rPr>
          <w:rFonts w:hint="eastAsia" w:ascii="宋体" w:hAnsi="宋体" w:eastAsia="宋体" w:cs="宋体"/>
          <w:b/>
          <w:bCs/>
          <w:sz w:val="30"/>
          <w:szCs w:val="30"/>
          <w:highlight w:val="none"/>
        </w:rPr>
        <w:t>基本情况表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7"/>
        <w:gridCol w:w="1120"/>
        <w:gridCol w:w="738"/>
        <w:gridCol w:w="844"/>
        <w:gridCol w:w="422"/>
        <w:gridCol w:w="315"/>
        <w:gridCol w:w="1207"/>
        <w:gridCol w:w="367"/>
        <w:gridCol w:w="864"/>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w:t>
            </w:r>
          </w:p>
        </w:tc>
        <w:tc>
          <w:tcPr>
            <w:tcW w:w="736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注册地址</w:t>
            </w:r>
          </w:p>
        </w:tc>
        <w:tc>
          <w:tcPr>
            <w:tcW w:w="343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邮政编码</w:t>
            </w:r>
          </w:p>
        </w:tc>
        <w:tc>
          <w:tcPr>
            <w:tcW w:w="27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7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联系方式</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23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电 话</w:t>
            </w:r>
          </w:p>
        </w:tc>
        <w:tc>
          <w:tcPr>
            <w:tcW w:w="27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7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传  真</w:t>
            </w:r>
          </w:p>
        </w:tc>
        <w:tc>
          <w:tcPr>
            <w:tcW w:w="23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网 址</w:t>
            </w:r>
          </w:p>
        </w:tc>
        <w:tc>
          <w:tcPr>
            <w:tcW w:w="27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组织结构</w:t>
            </w:r>
          </w:p>
        </w:tc>
        <w:tc>
          <w:tcPr>
            <w:tcW w:w="736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姓名</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电话</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技术负责人</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姓名</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电话</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成立时间</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550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企业资质等级</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8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其中</w:t>
            </w:r>
          </w:p>
        </w:tc>
        <w:tc>
          <w:tcPr>
            <w:tcW w:w="23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营业执照号</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23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高级职称人员</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注册资金</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23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中级职称人员</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开户银行</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23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初级职称人员</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账号</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8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c>
          <w:tcPr>
            <w:tcW w:w="23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技  工</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3" w:hRule="atLeast"/>
          <w:jc w:val="center"/>
        </w:trPr>
        <w:tc>
          <w:tcPr>
            <w:tcW w:w="17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ind w:firstLine="240" w:firstLineChars="1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经营范围</w:t>
            </w:r>
          </w:p>
        </w:tc>
        <w:tc>
          <w:tcPr>
            <w:tcW w:w="7362" w:type="dxa"/>
            <w:gridSpan w:val="9"/>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备注</w:t>
            </w:r>
          </w:p>
        </w:tc>
        <w:tc>
          <w:tcPr>
            <w:tcW w:w="736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center" w:pos="4153"/>
                <w:tab w:val="right" w:pos="8306"/>
              </w:tabs>
              <w:kinsoku/>
              <w:wordWrap/>
              <w:overflowPunct/>
              <w:autoSpaceDE/>
              <w:autoSpaceDN/>
              <w:bidi w:val="0"/>
              <w:adjustRightInd w:val="0"/>
              <w:snapToGrid w:val="0"/>
              <w:spacing w:line="360" w:lineRule="auto"/>
              <w:textAlignment w:val="auto"/>
              <w:rPr>
                <w:rFonts w:hint="eastAsia" w:ascii="宋体" w:hAnsi="宋体" w:eastAsia="宋体" w:cs="宋体"/>
                <w:sz w:val="24"/>
                <w:highlight w:val="none"/>
              </w:rPr>
            </w:pPr>
          </w:p>
        </w:tc>
      </w:tr>
    </w:tbl>
    <w:p>
      <w:pPr>
        <w:keepNext w:val="0"/>
        <w:keepLines w:val="0"/>
        <w:pageBreakBefore w:val="0"/>
        <w:widowControl w:val="0"/>
        <w:tabs>
          <w:tab w:val="center" w:pos="4153"/>
          <w:tab w:val="right" w:pos="8306"/>
        </w:tabs>
        <w:kinsoku/>
        <w:wordWrap/>
        <w:overflowPunct/>
        <w:autoSpaceDE/>
        <w:autoSpaceDN/>
        <w:bidi w:val="0"/>
        <w:adjustRightInd w:val="0"/>
        <w:snapToGrid w:val="0"/>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注：供应商须</w:t>
      </w:r>
      <w:r>
        <w:rPr>
          <w:rFonts w:hint="eastAsia" w:ascii="宋体" w:hAnsi="宋体" w:eastAsia="宋体" w:cs="宋体"/>
          <w:b/>
          <w:bCs/>
          <w:sz w:val="24"/>
          <w:szCs w:val="24"/>
          <w:highlight w:val="none"/>
        </w:rPr>
        <w:t>在</w:t>
      </w:r>
      <w:r>
        <w:rPr>
          <w:rFonts w:hint="eastAsia" w:ascii="宋体" w:hAnsi="宋体" w:eastAsia="宋体" w:cs="宋体"/>
          <w:b/>
          <w:bCs/>
          <w:sz w:val="24"/>
          <w:szCs w:val="24"/>
          <w:highlight w:val="none"/>
          <w:lang w:eastAsia="zh-CN"/>
        </w:rPr>
        <w:t>本表后</w:t>
      </w:r>
      <w:r>
        <w:rPr>
          <w:rFonts w:hint="eastAsia" w:ascii="宋体" w:hAnsi="宋体" w:eastAsia="宋体" w:cs="宋体"/>
          <w:b/>
          <w:bCs/>
          <w:sz w:val="24"/>
          <w:szCs w:val="24"/>
          <w:highlight w:val="none"/>
        </w:rPr>
        <w:t>附招标公告或招标文件</w:t>
      </w:r>
      <w:r>
        <w:rPr>
          <w:rFonts w:hint="eastAsia" w:ascii="宋体" w:hAnsi="宋体" w:eastAsia="宋体" w:cs="宋体"/>
          <w:b/>
          <w:bCs/>
          <w:sz w:val="24"/>
          <w:szCs w:val="24"/>
          <w:highlight w:val="none"/>
          <w:lang w:eastAsia="zh-CN"/>
        </w:rPr>
        <w:t>前附表</w:t>
      </w:r>
      <w:r>
        <w:rPr>
          <w:rFonts w:hint="eastAsia" w:ascii="宋体" w:hAnsi="宋体" w:eastAsia="宋体" w:cs="宋体"/>
          <w:b/>
          <w:bCs/>
          <w:sz w:val="24"/>
          <w:szCs w:val="24"/>
          <w:highlight w:val="none"/>
          <w:lang w:val="en-US" w:eastAsia="zh-CN"/>
        </w:rPr>
        <w:t>3.5条</w:t>
      </w:r>
      <w:r>
        <w:rPr>
          <w:rFonts w:hint="eastAsia" w:ascii="宋体" w:hAnsi="宋体" w:eastAsia="宋体" w:cs="宋体"/>
          <w:b/>
          <w:bCs/>
          <w:sz w:val="24"/>
          <w:szCs w:val="24"/>
          <w:highlight w:val="none"/>
        </w:rPr>
        <w:t>要求的资质证明文件</w:t>
      </w:r>
      <w:r>
        <w:rPr>
          <w:rFonts w:hint="eastAsia" w:ascii="宋体" w:hAnsi="宋体" w:cs="宋体"/>
          <w:b/>
          <w:bCs/>
          <w:sz w:val="24"/>
          <w:szCs w:val="24"/>
          <w:highlight w:val="none"/>
          <w:lang w:eastAsia="zh-CN"/>
        </w:rPr>
        <w:t>。</w:t>
      </w:r>
    </w:p>
    <w:p>
      <w:pPr>
        <w:keepNext w:val="0"/>
        <w:keepLines w:val="0"/>
        <w:pageBreakBefore w:val="0"/>
        <w:widowControl w:val="0"/>
        <w:tabs>
          <w:tab w:val="center" w:pos="4153"/>
          <w:tab w:val="right" w:pos="8306"/>
        </w:tabs>
        <w:kinsoku/>
        <w:wordWrap/>
        <w:overflowPunct/>
        <w:autoSpaceDE/>
        <w:autoSpaceDN/>
        <w:bidi w:val="0"/>
        <w:adjustRightInd w:val="0"/>
        <w:snapToGrid w:val="0"/>
        <w:spacing w:line="360" w:lineRule="auto"/>
        <w:textAlignment w:val="auto"/>
        <w:rPr>
          <w:rFonts w:hint="eastAsia" w:ascii="宋体" w:hAnsi="宋体" w:eastAsia="宋体" w:cs="宋体"/>
          <w:b/>
          <w:bCs/>
          <w:sz w:val="24"/>
          <w:szCs w:val="24"/>
          <w:highlight w:val="none"/>
        </w:rPr>
      </w:pPr>
    </w:p>
    <w:p>
      <w:pPr>
        <w:keepNext w:val="0"/>
        <w:keepLines w:val="0"/>
        <w:pageBreakBefore w:val="0"/>
        <w:widowControl w:val="0"/>
        <w:tabs>
          <w:tab w:val="center" w:pos="4153"/>
          <w:tab w:val="right" w:pos="8306"/>
        </w:tabs>
        <w:kinsoku/>
        <w:wordWrap/>
        <w:overflowPunct/>
        <w:autoSpaceDE/>
        <w:autoSpaceDN/>
        <w:bidi w:val="0"/>
        <w:adjustRightInd w:val="0"/>
        <w:snapToGrid w:val="0"/>
        <w:spacing w:line="360" w:lineRule="auto"/>
        <w:textAlignment w:val="auto"/>
        <w:rPr>
          <w:rFonts w:hint="eastAsia" w:ascii="宋体" w:hAnsi="宋体" w:eastAsia="宋体" w:cs="宋体"/>
          <w:b/>
          <w:bCs/>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（1）具有独立承担民事责任能力的法人、其他组织或自然人，营业执照、组织机构代码证、税务登记证（三证合一只提供营业执照，事业单位提供事业单位法人证书，自然人应提供身份证）合法有效；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（2）法定代表人参加投标时，提供本人身份证；授权代表参加投标时，提供法定代表人授权书和被授权人身份证；非法人单位参照执行；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（3）须具备建设部门颁发的建筑工程施工总承包三级（含）及以上资质，且具有有效的安全生产许可证；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（4）拟委派项目经理须具有有效的相关专业贰级（含）及以上注册建造师资质并具有有效的安全生产考核合格证（B证），在本单位注册且无在建工程；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（5）单位负责人为同一人或者存在控股、管理关系的不同单位不得同时进行投标；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（6）参加政府采购活动前三年内，在经营活动中没有重大违法记录的书面声明；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（7）税收缴纳证明：提供开标前近六个月内已缴纳任意一个月完税凭证或税务机关开具的完税证明（任意税种）；依法免税的应提供相关文件证明；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（8）社会保障资金缴纳证明：提供开标前近六个月内已缴存的任意一个月的社会保障资金缴存证明或社保机构开具的社会保险参保缴费情况证明；依法不需要缴纳社会保障资金的应提供相关文件证明；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财务状况报告：提供2021年度或2022年度经审计的财务会计报告（包括审计报告、资产负债表、利润表、现金流量表、所有者权益变动表及其附注，成立时间至提交投标文件截止时间不足一年的可提供成立后任意时段的资产负债表），或其开标前六个月内基本存款账户开户银行出具的资信证明，或信用担保机构出具的投标担保函。（以上三种形式的资料提供任何一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（10）投标单位不得为“信用中国”网站（www.creditchina.gov.cn）和中国政府采购网（www.ccgp.gov.cn）中被列入失信被执行人、重大税收违法案件当事人名单、政府采购严重违法失信行为记录名单的单位。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（11）本项目不接受联合体投标。</w:t>
      </w:r>
    </w:p>
    <w:p>
      <w:pPr>
        <w:rPr>
          <w:rFonts w:hint="eastAsia" w:ascii="宋体" w:hAnsi="宋体" w:eastAsia="宋体" w:cs="宋体"/>
          <w:b/>
          <w:bCs/>
          <w:sz w:val="30"/>
          <w:szCs w:val="30"/>
          <w:highlight w:val="none"/>
          <w:lang w:eastAsia="zh-CN"/>
        </w:rPr>
      </w:pPr>
      <w:r>
        <w:rPr>
          <w:rFonts w:hint="eastAsia" w:ascii="宋体" w:hAnsi="宋体" w:eastAsia="宋体" w:cs="宋体"/>
          <w:b/>
        </w:rPr>
        <w:t>以上</w:t>
      </w:r>
      <w:r>
        <w:rPr>
          <w:rFonts w:hint="eastAsia" w:ascii="宋体" w:hAnsi="宋体" w:eastAsia="宋体" w:cs="宋体"/>
          <w:b/>
          <w:lang w:eastAsia="zh-CN"/>
        </w:rPr>
        <w:t>投标人</w:t>
      </w:r>
      <w:r>
        <w:rPr>
          <w:rFonts w:hint="eastAsia" w:ascii="宋体" w:hAnsi="宋体" w:eastAsia="宋体" w:cs="宋体"/>
          <w:b/>
        </w:rPr>
        <w:t>资格要求为必备资质，缺一项或某项达不到要求，按无效投标处理。以上资质须附在投标文件中（复印件加盖公章</w:t>
      </w:r>
      <w:r>
        <w:rPr>
          <w:rFonts w:hint="eastAsia" w:ascii="宋体" w:hAnsi="宋体" w:eastAsia="宋体" w:cs="宋体"/>
          <w:b/>
          <w:lang w:eastAsia="zh-CN"/>
        </w:rPr>
        <w:t>）</w:t>
      </w:r>
      <w:r>
        <w:rPr>
          <w:rFonts w:hint="eastAsia" w:ascii="宋体" w:hAnsi="宋体" w:eastAsia="宋体" w:cs="宋体"/>
          <w:b/>
          <w:szCs w:val="24"/>
        </w:rPr>
        <w:t>，资格审查时以投标文件中所附证明材料为准，原件备查。</w:t>
      </w:r>
    </w:p>
    <w:p>
      <w:pP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eastAsia="zh-CN"/>
        </w:rPr>
        <w:br w:type="page"/>
      </w:r>
    </w:p>
    <w:p>
      <w:pPr>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投标文件附资质复印件或扫描件加盖</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公章</w:t>
      </w:r>
      <w:r>
        <w:rPr>
          <w:rFonts w:hint="eastAsia" w:ascii="宋体" w:hAnsi="宋体" w:eastAsia="宋体" w:cs="宋体"/>
          <w:b/>
          <w:bCs/>
          <w:sz w:val="24"/>
          <w:szCs w:val="24"/>
          <w:highlight w:val="none"/>
          <w:lang w:eastAsia="zh-CN"/>
        </w:rPr>
        <w:t>，部分格式如下</w:t>
      </w:r>
      <w:r>
        <w:rPr>
          <w:rFonts w:hint="eastAsia" w:ascii="宋体" w:hAnsi="宋体" w:cs="宋体"/>
          <w:b/>
          <w:bCs/>
          <w:sz w:val="24"/>
          <w:szCs w:val="24"/>
          <w:highlight w:val="none"/>
          <w:lang w:eastAsia="zh-CN"/>
        </w:rPr>
        <w:t>：</w:t>
      </w:r>
    </w:p>
    <w:p>
      <w:pPr>
        <w:outlineLvl w:val="9"/>
        <w:rPr>
          <w:rFonts w:hint="eastAsia" w:ascii="宋体" w:hAnsi="宋体" w:eastAsia="宋体" w:cs="宋体"/>
          <w:highlight w:val="none"/>
          <w:lang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符合《政府采购法》第二十二条规定条件的承诺函</w:t>
      </w:r>
      <w:r>
        <w:rPr>
          <w:rFonts w:hint="eastAsia" w:ascii="宋体" w:hAnsi="宋体" w:eastAsia="宋体" w:cs="宋体"/>
          <w:b/>
          <w:bCs/>
          <w:sz w:val="24"/>
          <w:szCs w:val="24"/>
          <w:highlight w:val="none"/>
          <w:lang w:eastAsia="zh-CN"/>
        </w:rPr>
        <w:t>（格式）</w:t>
      </w:r>
    </w:p>
    <w:p>
      <w:pPr>
        <w:pStyle w:val="3"/>
        <w:spacing w:line="360" w:lineRule="auto"/>
        <w:ind w:left="0" w:leftChars="0" w:firstLine="0" w:firstLineChars="0"/>
        <w:rPr>
          <w:rFonts w:hint="eastAsia" w:ascii="宋体" w:hAnsi="宋体" w:eastAsia="宋体" w:cs="宋体"/>
          <w:sz w:val="24"/>
          <w:szCs w:val="24"/>
          <w:highlight w:val="none"/>
        </w:rPr>
      </w:pPr>
    </w:p>
    <w:p>
      <w:pPr>
        <w:pStyle w:val="3"/>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hAnsi="宋体" w:cs="宋体"/>
          <w:sz w:val="24"/>
          <w:szCs w:val="24"/>
          <w:highlight w:val="none"/>
          <w:lang w:eastAsia="zh-CN"/>
        </w:rPr>
        <w:t>陕西卓尔盛工程项目管理有限公司</w:t>
      </w:r>
      <w:r>
        <w:rPr>
          <w:rFonts w:hint="eastAsia" w:ascii="宋体" w:hAnsi="宋体" w:eastAsia="宋体" w:cs="宋体"/>
          <w:sz w:val="24"/>
          <w:szCs w:val="24"/>
          <w:highlight w:val="none"/>
        </w:rPr>
        <w:t xml:space="preserve">： </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本公司</w:t>
      </w:r>
      <w:r>
        <w:rPr>
          <w:rFonts w:hint="eastAsia" w:ascii="宋体" w:hAnsi="宋体" w:eastAsia="宋体" w:cs="宋体"/>
          <w:sz w:val="24"/>
          <w:szCs w:val="24"/>
          <w:highlight w:val="none"/>
          <w:u w:val="single"/>
        </w:rPr>
        <w:t xml:space="preserve">             （公司名称）</w:t>
      </w:r>
      <w:r>
        <w:rPr>
          <w:rFonts w:hint="eastAsia" w:ascii="宋体" w:hAnsi="宋体" w:eastAsia="宋体" w:cs="宋体"/>
          <w:sz w:val="24"/>
          <w:szCs w:val="24"/>
          <w:highlight w:val="none"/>
        </w:rPr>
        <w:t>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的投标活动，现承诺：</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我公司满足政府采购法第二十二条关于供应商的资格要求：</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（一）具有独立承担民事责任的能力； </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（二）具有良好的商业信誉和健全的财务会计制度； </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（三）具有履行合同所必需的设备和专业技术能力； </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（四）有依法缴纳税收的良好记录； </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（五）参加政府采购活动前三年内，在经营活动中没有重大违法记录； </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同时也满足本项目法律法规规章规定关于供应商的其他资格性条件，未参与本采购项目前期咨询论证，不属于禁止参加投标的供应商。</w:t>
      </w:r>
    </w:p>
    <w:p>
      <w:pPr>
        <w:pStyle w:val="3"/>
        <w:spacing w:line="360" w:lineRule="auto"/>
        <w:ind w:left="0" w:leftChars="0"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如违反以上承诺，本公司愿承担一切法律责任。</w:t>
      </w:r>
    </w:p>
    <w:p>
      <w:pPr>
        <w:pStyle w:val="3"/>
        <w:spacing w:line="360" w:lineRule="auto"/>
        <w:ind w:left="0" w:leftChars="0"/>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（名称及盖章）</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outlineLvl w:val="9"/>
        <w:rPr>
          <w:rFonts w:hint="eastAsia" w:ascii="宋体" w:hAnsi="宋体" w:eastAsia="宋体" w:cs="宋体"/>
          <w:sz w:val="32"/>
          <w:szCs w:val="36"/>
          <w:highlight w:val="none"/>
          <w:lang w:eastAsia="zh-CN"/>
        </w:rPr>
      </w:pPr>
      <w:r>
        <w:rPr>
          <w:rFonts w:hint="eastAsia" w:ascii="宋体" w:hAnsi="宋体" w:eastAsia="宋体" w:cs="宋体"/>
          <w:sz w:val="24"/>
          <w:szCs w:val="24"/>
          <w:highlight w:val="none"/>
        </w:rPr>
        <w:br w:type="page"/>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、法定代表人证明书及法定代表人授权书</w:t>
      </w:r>
      <w:r>
        <w:rPr>
          <w:rFonts w:hint="eastAsia" w:ascii="宋体" w:hAnsi="宋体" w:eastAsia="宋体" w:cs="宋体"/>
          <w:b/>
          <w:bCs/>
          <w:sz w:val="24"/>
          <w:szCs w:val="24"/>
          <w:highlight w:val="none"/>
          <w:lang w:eastAsia="zh-CN"/>
        </w:rPr>
        <w:t>（格式）</w:t>
      </w:r>
    </w:p>
    <w:p>
      <w:pPr>
        <w:spacing w:line="600" w:lineRule="auto"/>
        <w:jc w:val="center"/>
        <w:outlineLvl w:val="9"/>
        <w:rPr>
          <w:rFonts w:hint="eastAsia" w:ascii="宋体" w:hAnsi="宋体" w:eastAsia="宋体" w:cs="宋体"/>
          <w:b/>
          <w:sz w:val="22"/>
          <w:szCs w:val="22"/>
          <w:highlight w:val="none"/>
        </w:rPr>
      </w:pPr>
      <w:bookmarkStart w:id="1516" w:name="_Toc290389793"/>
      <w:bookmarkStart w:id="1517" w:name="_Toc291488682"/>
      <w:r>
        <w:rPr>
          <w:rFonts w:hint="eastAsia" w:ascii="宋体" w:hAnsi="宋体" w:eastAsia="宋体" w:cs="宋体"/>
          <w:b/>
          <w:sz w:val="22"/>
          <w:szCs w:val="22"/>
          <w:highlight w:val="none"/>
          <w:lang w:val="en-US" w:eastAsia="zh-CN"/>
        </w:rPr>
        <w:t>2.1</w:t>
      </w:r>
      <w:r>
        <w:rPr>
          <w:rFonts w:hint="eastAsia" w:ascii="宋体" w:hAnsi="宋体" w:eastAsia="宋体" w:cs="宋体"/>
          <w:b/>
          <w:sz w:val="22"/>
          <w:szCs w:val="22"/>
          <w:highlight w:val="none"/>
        </w:rPr>
        <w:t>法定代表人身份证明</w:t>
      </w:r>
    </w:p>
    <w:p>
      <w:pPr>
        <w:spacing w:line="500" w:lineRule="exact"/>
        <w:ind w:firstLine="420" w:firstLineChars="200"/>
        <w:rPr>
          <w:rFonts w:hint="eastAsia" w:ascii="宋体" w:hAnsi="宋体" w:eastAsia="宋体" w:cs="宋体"/>
          <w:sz w:val="21"/>
          <w:szCs w:val="21"/>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highlight w:val="none"/>
        </w:rPr>
        <w:t xml:space="preserve"> </w:t>
      </w:r>
    </w:p>
    <w:p>
      <w:pPr>
        <w:topLinePunct/>
        <w:spacing w:line="360" w:lineRule="auto"/>
        <w:rPr>
          <w:rFonts w:hint="eastAsia" w:ascii="宋体" w:hAnsi="宋体" w:eastAsia="宋体" w:cs="宋体"/>
          <w:bCs/>
          <w:sz w:val="22"/>
          <w:szCs w:val="24"/>
          <w:highlight w:val="none"/>
          <w:u w:val="single"/>
        </w:rPr>
      </w:pPr>
      <w:r>
        <w:rPr>
          <w:rFonts w:hint="eastAsia" w:ascii="宋体" w:hAnsi="宋体" w:eastAsia="宋体" w:cs="宋体"/>
          <w:sz w:val="21"/>
          <w:szCs w:val="21"/>
          <w:highlight w:val="none"/>
          <w:lang w:eastAsia="zh-CN"/>
        </w:rPr>
        <w:t>供应商</w:t>
      </w:r>
      <w:r>
        <w:rPr>
          <w:rFonts w:hint="eastAsia" w:ascii="宋体" w:hAnsi="宋体" w:eastAsia="宋体" w:cs="宋体"/>
          <w:bCs/>
          <w:sz w:val="22"/>
          <w:szCs w:val="24"/>
          <w:highlight w:val="none"/>
        </w:rPr>
        <w:t>名称：</w:t>
      </w:r>
      <w:r>
        <w:rPr>
          <w:rFonts w:hint="eastAsia" w:ascii="宋体" w:hAnsi="宋体" w:eastAsia="宋体" w:cs="宋体"/>
          <w:bCs/>
          <w:sz w:val="22"/>
          <w:szCs w:val="24"/>
          <w:highlight w:val="none"/>
          <w:u w:val="single"/>
        </w:rPr>
        <w:t xml:space="preserve">                         </w:t>
      </w:r>
    </w:p>
    <w:p>
      <w:pPr>
        <w:topLinePunct/>
        <w:spacing w:line="360" w:lineRule="auto"/>
        <w:rPr>
          <w:rFonts w:hint="eastAsia" w:ascii="宋体" w:hAnsi="宋体" w:eastAsia="宋体" w:cs="宋体"/>
          <w:bCs/>
          <w:sz w:val="22"/>
          <w:szCs w:val="24"/>
          <w:highlight w:val="none"/>
        </w:rPr>
      </w:pPr>
      <w:r>
        <w:rPr>
          <w:rFonts w:hint="eastAsia" w:ascii="宋体" w:hAnsi="宋体" w:eastAsia="宋体" w:cs="宋体"/>
          <w:bCs/>
          <w:sz w:val="22"/>
          <w:szCs w:val="24"/>
          <w:highlight w:val="none"/>
        </w:rPr>
        <w:t>单位性质：</w:t>
      </w:r>
      <w:r>
        <w:rPr>
          <w:rFonts w:hint="eastAsia" w:ascii="宋体" w:hAnsi="宋体" w:eastAsia="宋体" w:cs="宋体"/>
          <w:bCs/>
          <w:sz w:val="22"/>
          <w:szCs w:val="24"/>
          <w:highlight w:val="none"/>
          <w:u w:val="single"/>
        </w:rPr>
        <w:t xml:space="preserve">                           </w:t>
      </w:r>
    </w:p>
    <w:p>
      <w:pPr>
        <w:topLinePunct/>
        <w:spacing w:line="360" w:lineRule="auto"/>
        <w:rPr>
          <w:rFonts w:hint="eastAsia" w:ascii="宋体" w:hAnsi="宋体" w:eastAsia="宋体" w:cs="宋体"/>
          <w:bCs/>
          <w:sz w:val="22"/>
          <w:szCs w:val="24"/>
          <w:highlight w:val="none"/>
        </w:rPr>
      </w:pPr>
      <w:r>
        <w:rPr>
          <w:rFonts w:hint="eastAsia" w:ascii="宋体" w:hAnsi="宋体" w:eastAsia="宋体" w:cs="宋体"/>
          <w:bCs/>
          <w:sz w:val="22"/>
          <w:szCs w:val="24"/>
          <w:highlight w:val="none"/>
        </w:rPr>
        <w:t>成立时间：</w:t>
      </w:r>
      <w:r>
        <w:rPr>
          <w:rFonts w:hint="eastAsia" w:ascii="宋体" w:hAnsi="宋体" w:eastAsia="宋体" w:cs="宋体"/>
          <w:bCs/>
          <w:sz w:val="22"/>
          <w:szCs w:val="24"/>
          <w:highlight w:val="none"/>
          <w:u w:val="single"/>
        </w:rPr>
        <w:t xml:space="preserve">       </w:t>
      </w:r>
      <w:r>
        <w:rPr>
          <w:rFonts w:hint="eastAsia" w:ascii="宋体" w:hAnsi="宋体" w:eastAsia="宋体" w:cs="宋体"/>
          <w:bCs/>
          <w:sz w:val="22"/>
          <w:szCs w:val="24"/>
          <w:highlight w:val="none"/>
        </w:rPr>
        <w:t>年</w:t>
      </w:r>
      <w:r>
        <w:rPr>
          <w:rFonts w:hint="eastAsia" w:ascii="宋体" w:hAnsi="宋体" w:eastAsia="宋体" w:cs="宋体"/>
          <w:bCs/>
          <w:sz w:val="22"/>
          <w:szCs w:val="24"/>
          <w:highlight w:val="none"/>
          <w:u w:val="single"/>
        </w:rPr>
        <w:t xml:space="preserve">       </w:t>
      </w:r>
      <w:r>
        <w:rPr>
          <w:rFonts w:hint="eastAsia" w:ascii="宋体" w:hAnsi="宋体" w:eastAsia="宋体" w:cs="宋体"/>
          <w:bCs/>
          <w:sz w:val="22"/>
          <w:szCs w:val="24"/>
          <w:highlight w:val="none"/>
        </w:rPr>
        <w:t>月</w:t>
      </w:r>
      <w:r>
        <w:rPr>
          <w:rFonts w:hint="eastAsia" w:ascii="宋体" w:hAnsi="宋体" w:eastAsia="宋体" w:cs="宋体"/>
          <w:bCs/>
          <w:sz w:val="22"/>
          <w:szCs w:val="24"/>
          <w:highlight w:val="none"/>
          <w:u w:val="single"/>
        </w:rPr>
        <w:t xml:space="preserve">       </w:t>
      </w:r>
      <w:r>
        <w:rPr>
          <w:rFonts w:hint="eastAsia" w:ascii="宋体" w:hAnsi="宋体" w:eastAsia="宋体" w:cs="宋体"/>
          <w:bCs/>
          <w:sz w:val="22"/>
          <w:szCs w:val="24"/>
          <w:highlight w:val="none"/>
        </w:rPr>
        <w:t>日</w:t>
      </w:r>
    </w:p>
    <w:p>
      <w:pPr>
        <w:topLinePunct/>
        <w:spacing w:line="360" w:lineRule="auto"/>
        <w:rPr>
          <w:rFonts w:hint="eastAsia" w:ascii="宋体" w:hAnsi="宋体" w:eastAsia="宋体" w:cs="宋体"/>
          <w:bCs/>
          <w:sz w:val="22"/>
          <w:szCs w:val="24"/>
          <w:highlight w:val="none"/>
        </w:rPr>
      </w:pPr>
      <w:r>
        <w:rPr>
          <w:rFonts w:hint="eastAsia" w:ascii="宋体" w:hAnsi="宋体" w:eastAsia="宋体" w:cs="宋体"/>
          <w:bCs/>
          <w:sz w:val="22"/>
          <w:szCs w:val="24"/>
          <w:highlight w:val="none"/>
        </w:rPr>
        <w:t>经营期限：</w:t>
      </w:r>
      <w:r>
        <w:rPr>
          <w:rFonts w:hint="eastAsia" w:ascii="宋体" w:hAnsi="宋体" w:eastAsia="宋体" w:cs="宋体"/>
          <w:bCs/>
          <w:sz w:val="22"/>
          <w:szCs w:val="24"/>
          <w:highlight w:val="none"/>
          <w:u w:val="single"/>
        </w:rPr>
        <w:t xml:space="preserve">            </w:t>
      </w:r>
    </w:p>
    <w:p>
      <w:pPr>
        <w:topLinePunct/>
        <w:spacing w:line="360" w:lineRule="auto"/>
        <w:rPr>
          <w:rFonts w:hint="eastAsia" w:ascii="宋体" w:hAnsi="宋体" w:eastAsia="宋体" w:cs="宋体"/>
          <w:bCs/>
          <w:sz w:val="22"/>
          <w:szCs w:val="24"/>
          <w:highlight w:val="none"/>
          <w:u w:val="single"/>
        </w:rPr>
      </w:pPr>
      <w:r>
        <w:rPr>
          <w:rFonts w:hint="eastAsia" w:ascii="宋体" w:hAnsi="宋体" w:eastAsia="宋体" w:cs="宋体"/>
          <w:bCs/>
          <w:sz w:val="22"/>
          <w:szCs w:val="24"/>
          <w:highlight w:val="none"/>
        </w:rPr>
        <w:t>姓名：</w:t>
      </w:r>
      <w:r>
        <w:rPr>
          <w:rFonts w:hint="eastAsia" w:ascii="宋体" w:hAnsi="宋体" w:eastAsia="宋体" w:cs="宋体"/>
          <w:bCs/>
          <w:sz w:val="22"/>
          <w:szCs w:val="24"/>
          <w:highlight w:val="none"/>
          <w:u w:val="single"/>
        </w:rPr>
        <w:t xml:space="preserve">         </w:t>
      </w:r>
      <w:r>
        <w:rPr>
          <w:rFonts w:hint="eastAsia" w:ascii="宋体" w:hAnsi="宋体" w:eastAsia="宋体" w:cs="宋体"/>
          <w:bCs/>
          <w:sz w:val="22"/>
          <w:szCs w:val="24"/>
          <w:highlight w:val="none"/>
        </w:rPr>
        <w:t>性别：</w:t>
      </w:r>
      <w:r>
        <w:rPr>
          <w:rFonts w:hint="eastAsia" w:ascii="宋体" w:hAnsi="宋体" w:eastAsia="宋体" w:cs="宋体"/>
          <w:bCs/>
          <w:sz w:val="22"/>
          <w:szCs w:val="24"/>
          <w:highlight w:val="none"/>
          <w:u w:val="single"/>
        </w:rPr>
        <w:t xml:space="preserve">          </w:t>
      </w:r>
      <w:r>
        <w:rPr>
          <w:rFonts w:hint="eastAsia" w:ascii="宋体" w:hAnsi="宋体" w:eastAsia="宋体" w:cs="宋体"/>
          <w:bCs/>
          <w:sz w:val="22"/>
          <w:szCs w:val="24"/>
          <w:highlight w:val="none"/>
        </w:rPr>
        <w:t>年龄：</w:t>
      </w:r>
      <w:r>
        <w:rPr>
          <w:rFonts w:hint="eastAsia" w:ascii="宋体" w:hAnsi="宋体" w:eastAsia="宋体" w:cs="宋体"/>
          <w:bCs/>
          <w:sz w:val="22"/>
          <w:szCs w:val="24"/>
          <w:highlight w:val="none"/>
          <w:u w:val="single"/>
        </w:rPr>
        <w:t xml:space="preserve">         </w:t>
      </w:r>
      <w:r>
        <w:rPr>
          <w:rFonts w:hint="eastAsia" w:ascii="宋体" w:hAnsi="宋体" w:eastAsia="宋体" w:cs="宋体"/>
          <w:bCs/>
          <w:sz w:val="22"/>
          <w:szCs w:val="24"/>
          <w:highlight w:val="none"/>
        </w:rPr>
        <w:t>职务：</w:t>
      </w:r>
      <w:r>
        <w:rPr>
          <w:rFonts w:hint="eastAsia" w:ascii="宋体" w:hAnsi="宋体" w:eastAsia="宋体" w:cs="宋体"/>
          <w:bCs/>
          <w:sz w:val="22"/>
          <w:szCs w:val="24"/>
          <w:highlight w:val="none"/>
          <w:u w:val="single"/>
        </w:rPr>
        <w:t xml:space="preserve">         </w:t>
      </w:r>
    </w:p>
    <w:p>
      <w:pPr>
        <w:topLinePunct/>
        <w:spacing w:line="360" w:lineRule="auto"/>
        <w:rPr>
          <w:rFonts w:hint="eastAsia" w:ascii="宋体" w:hAnsi="宋体" w:eastAsia="宋体" w:cs="宋体"/>
          <w:bCs/>
          <w:sz w:val="22"/>
          <w:szCs w:val="24"/>
          <w:highlight w:val="none"/>
        </w:rPr>
      </w:pPr>
      <w:r>
        <w:rPr>
          <w:rFonts w:hint="eastAsia" w:ascii="宋体" w:hAnsi="宋体" w:eastAsia="宋体" w:cs="宋体"/>
          <w:bCs/>
          <w:sz w:val="22"/>
          <w:szCs w:val="24"/>
          <w:highlight w:val="none"/>
        </w:rPr>
        <w:t>系</w:t>
      </w:r>
      <w:r>
        <w:rPr>
          <w:rFonts w:hint="eastAsia" w:ascii="宋体" w:hAnsi="宋体" w:eastAsia="宋体" w:cs="宋体"/>
          <w:bCs/>
          <w:sz w:val="22"/>
          <w:szCs w:val="24"/>
          <w:highlight w:val="none"/>
          <w:u w:val="single"/>
        </w:rPr>
        <w:t xml:space="preserve">                   </w:t>
      </w:r>
      <w:r>
        <w:rPr>
          <w:rFonts w:hint="eastAsia" w:ascii="宋体" w:hAnsi="宋体" w:eastAsia="宋体" w:cs="宋体"/>
          <w:bCs/>
          <w:sz w:val="22"/>
          <w:szCs w:val="24"/>
          <w:highlight w:val="none"/>
        </w:rPr>
        <w:t>（</w:t>
      </w:r>
      <w:r>
        <w:rPr>
          <w:rFonts w:hint="eastAsia" w:ascii="宋体" w:hAnsi="宋体" w:eastAsia="宋体" w:cs="宋体"/>
          <w:bCs/>
          <w:sz w:val="22"/>
          <w:szCs w:val="24"/>
          <w:highlight w:val="none"/>
          <w:lang w:eastAsia="zh-CN"/>
        </w:rPr>
        <w:t>供应商</w:t>
      </w:r>
      <w:r>
        <w:rPr>
          <w:rFonts w:hint="eastAsia" w:ascii="宋体" w:hAnsi="宋体" w:eastAsia="宋体" w:cs="宋体"/>
          <w:bCs/>
          <w:sz w:val="22"/>
          <w:szCs w:val="24"/>
          <w:highlight w:val="none"/>
        </w:rPr>
        <w:t>名称）的法定代表人。</w:t>
      </w:r>
    </w:p>
    <w:p>
      <w:pPr>
        <w:topLinePunct/>
        <w:spacing w:line="360" w:lineRule="auto"/>
        <w:ind w:firstLine="440" w:firstLineChars="200"/>
        <w:rPr>
          <w:rFonts w:hint="eastAsia" w:ascii="宋体" w:hAnsi="宋体" w:eastAsia="宋体" w:cs="宋体"/>
          <w:bCs/>
          <w:sz w:val="22"/>
          <w:szCs w:val="24"/>
          <w:highlight w:val="none"/>
        </w:rPr>
      </w:pPr>
      <w:r>
        <w:rPr>
          <w:rFonts w:hint="eastAsia" w:ascii="宋体" w:hAnsi="宋体" w:eastAsia="宋体" w:cs="宋体"/>
          <w:bCs/>
          <w:sz w:val="22"/>
          <w:szCs w:val="24"/>
          <w:highlight w:val="none"/>
        </w:rPr>
        <w:t>特此证明。</w:t>
      </w:r>
    </w:p>
    <w:p>
      <w:pPr>
        <w:spacing w:line="360" w:lineRule="auto"/>
        <w:rPr>
          <w:rFonts w:hint="eastAsia" w:ascii="宋体" w:hAnsi="宋体" w:eastAsia="宋体" w:cs="宋体"/>
          <w:sz w:val="22"/>
          <w:szCs w:val="24"/>
          <w:highlight w:val="none"/>
        </w:rPr>
      </w:pPr>
    </w:p>
    <w:p>
      <w:pPr>
        <w:spacing w:line="360" w:lineRule="auto"/>
        <w:rPr>
          <w:rFonts w:hint="eastAsia" w:ascii="宋体" w:hAnsi="宋体" w:eastAsia="宋体" w:cs="宋体"/>
          <w:sz w:val="36"/>
          <w:szCs w:val="36"/>
          <w:highlight w:val="none"/>
        </w:rPr>
      </w:pPr>
      <w:r>
        <w:rPr>
          <w:rFonts w:hint="eastAsia" w:ascii="宋体" w:hAnsi="宋体" w:eastAsia="宋体" w:cs="宋体"/>
          <w:sz w:val="22"/>
          <w:szCs w:val="24"/>
          <w:highlight w:val="none"/>
        </w:rPr>
        <w:t>附：</w:t>
      </w:r>
      <w:r>
        <w:rPr>
          <w:rFonts w:hint="eastAsia" w:ascii="宋体" w:hAnsi="宋体" w:eastAsia="宋体" w:cs="宋体"/>
          <w:sz w:val="21"/>
          <w:szCs w:val="21"/>
          <w:highlight w:val="none"/>
        </w:rPr>
        <w:t>法定代表人</w:t>
      </w:r>
      <w:r>
        <w:rPr>
          <w:rFonts w:hint="eastAsia" w:ascii="宋体" w:hAnsi="宋体" w:eastAsia="宋体" w:cs="宋体"/>
          <w:sz w:val="22"/>
          <w:szCs w:val="24"/>
          <w:highlight w:val="none"/>
        </w:rPr>
        <w:t>身份证复印件并加盖单位公章。</w:t>
      </w:r>
    </w:p>
    <w:p>
      <w:pPr>
        <w:spacing w:line="500" w:lineRule="exact"/>
        <w:rPr>
          <w:rFonts w:hint="eastAsia" w:ascii="宋体" w:hAnsi="宋体" w:eastAsia="宋体" w:cs="宋体"/>
          <w:sz w:val="24"/>
          <w:szCs w:val="24"/>
          <w:highlight w:val="none"/>
        </w:rPr>
      </w:pPr>
    </w:p>
    <w:p>
      <w:pPr>
        <w:spacing w:line="500" w:lineRule="exact"/>
        <w:jc w:val="righ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（盖单位章）</w:t>
      </w:r>
    </w:p>
    <w:p>
      <w:pPr>
        <w:spacing w:line="600" w:lineRule="auto"/>
        <w:jc w:val="right"/>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日 </w:t>
      </w:r>
    </w:p>
    <w:p>
      <w:pPr>
        <w:spacing w:line="600" w:lineRule="auto"/>
        <w:jc w:val="center"/>
        <w:outlineLvl w:val="9"/>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br w:type="page"/>
      </w:r>
      <w:bookmarkEnd w:id="1516"/>
      <w:bookmarkEnd w:id="1517"/>
      <w:r>
        <w:rPr>
          <w:rFonts w:hint="eastAsia" w:ascii="宋体" w:hAnsi="宋体" w:eastAsia="宋体" w:cs="宋体"/>
          <w:b/>
          <w:sz w:val="22"/>
          <w:szCs w:val="22"/>
          <w:highlight w:val="none"/>
          <w:lang w:val="en-US" w:eastAsia="zh-CN"/>
        </w:rPr>
        <w:t>2.2</w:t>
      </w:r>
      <w:r>
        <w:rPr>
          <w:rFonts w:hint="eastAsia" w:ascii="宋体" w:hAnsi="宋体" w:eastAsia="宋体" w:cs="宋体"/>
          <w:b/>
          <w:sz w:val="22"/>
          <w:szCs w:val="22"/>
          <w:highlight w:val="none"/>
        </w:rPr>
        <w:t>法定代表人授权委托书</w:t>
      </w:r>
    </w:p>
    <w:p>
      <w:pPr>
        <w:spacing w:line="400" w:lineRule="exact"/>
        <w:rPr>
          <w:rFonts w:hint="eastAsia" w:ascii="宋体" w:hAnsi="宋体" w:eastAsia="宋体" w:cs="宋体"/>
          <w:color w:val="000000"/>
          <w:sz w:val="24"/>
          <w:szCs w:val="28"/>
          <w:highlight w:val="none"/>
          <w:u w:val="single"/>
        </w:rPr>
      </w:pPr>
      <w:r>
        <w:rPr>
          <w:rFonts w:hint="eastAsia" w:ascii="宋体" w:hAnsi="宋体" w:eastAsia="宋体" w:cs="宋体"/>
          <w:color w:val="000000"/>
          <w:sz w:val="24"/>
          <w:szCs w:val="28"/>
          <w:highlight w:val="none"/>
        </w:rPr>
        <w:t>致：</w:t>
      </w:r>
      <w:r>
        <w:rPr>
          <w:rFonts w:hint="eastAsia" w:ascii="宋体" w:hAnsi="宋体" w:eastAsia="宋体" w:cs="宋体"/>
          <w:color w:val="000000"/>
          <w:sz w:val="24"/>
          <w:szCs w:val="28"/>
          <w:highlight w:val="none"/>
          <w:u w:val="single"/>
        </w:rPr>
        <w:t>（</w:t>
      </w:r>
      <w:r>
        <w:rPr>
          <w:rFonts w:hint="eastAsia" w:ascii="宋体" w:hAnsi="宋体" w:eastAsia="宋体" w:cs="宋体"/>
          <w:color w:val="000000"/>
          <w:sz w:val="24"/>
          <w:szCs w:val="28"/>
          <w:highlight w:val="none"/>
          <w:u w:val="single"/>
          <w:lang w:eastAsia="zh-CN"/>
        </w:rPr>
        <w:t>采购人</w:t>
      </w:r>
      <w:r>
        <w:rPr>
          <w:rFonts w:hint="eastAsia" w:ascii="宋体" w:hAnsi="宋体" w:eastAsia="宋体" w:cs="宋体"/>
          <w:color w:val="000000"/>
          <w:sz w:val="24"/>
          <w:szCs w:val="28"/>
          <w:highlight w:val="none"/>
          <w:u w:val="single"/>
        </w:rPr>
        <w:t>名称）</w:t>
      </w:r>
    </w:p>
    <w:p>
      <w:pPr>
        <w:spacing w:line="400" w:lineRule="exact"/>
        <w:rPr>
          <w:rFonts w:hint="eastAsia" w:ascii="宋体" w:hAnsi="宋体" w:eastAsia="宋体" w:cs="宋体"/>
          <w:color w:val="000000"/>
          <w:sz w:val="24"/>
          <w:szCs w:val="28"/>
          <w:highlight w:val="none"/>
        </w:rPr>
      </w:pPr>
    </w:p>
    <w:p>
      <w:pPr>
        <w:topLinePunct/>
        <w:spacing w:line="540" w:lineRule="exact"/>
        <w:ind w:firstLine="480" w:firstLineChars="200"/>
        <w:rPr>
          <w:rFonts w:hint="eastAsia" w:ascii="宋体" w:hAnsi="宋体" w:eastAsia="宋体" w:cs="宋体"/>
          <w:sz w:val="24"/>
          <w:szCs w:val="28"/>
          <w:highlight w:val="none"/>
          <w:u w:val="single"/>
        </w:rPr>
      </w:pPr>
      <w:r>
        <w:rPr>
          <w:rFonts w:hint="eastAsia" w:ascii="宋体" w:hAnsi="宋体" w:eastAsia="宋体" w:cs="宋体"/>
          <w:sz w:val="24"/>
          <w:szCs w:val="28"/>
          <w:highlight w:val="none"/>
        </w:rPr>
        <w:t>本人</w:t>
      </w:r>
      <w:r>
        <w:rPr>
          <w:rFonts w:hint="eastAsia" w:ascii="宋体" w:hAnsi="宋体" w:eastAsia="宋体" w:cs="宋体"/>
          <w:sz w:val="24"/>
          <w:szCs w:val="28"/>
          <w:highlight w:val="none"/>
          <w:u w:val="single"/>
        </w:rPr>
        <w:t xml:space="preserve">    （姓名）</w:t>
      </w:r>
      <w:r>
        <w:rPr>
          <w:rFonts w:hint="eastAsia" w:ascii="宋体" w:hAnsi="宋体" w:eastAsia="宋体" w:cs="宋体"/>
          <w:sz w:val="24"/>
          <w:szCs w:val="28"/>
          <w:highlight w:val="none"/>
        </w:rPr>
        <w:t xml:space="preserve">系 </w:t>
      </w:r>
      <w:r>
        <w:rPr>
          <w:rFonts w:hint="eastAsia" w:ascii="宋体" w:hAnsi="宋体" w:eastAsia="宋体" w:cs="宋体"/>
          <w:sz w:val="24"/>
          <w:szCs w:val="28"/>
          <w:highlight w:val="none"/>
          <w:u w:val="single"/>
        </w:rPr>
        <w:t>（</w:t>
      </w:r>
      <w:r>
        <w:rPr>
          <w:rFonts w:hint="eastAsia" w:ascii="宋体" w:hAnsi="宋体" w:eastAsia="宋体" w:cs="宋体"/>
          <w:sz w:val="24"/>
          <w:szCs w:val="28"/>
          <w:highlight w:val="none"/>
          <w:u w:val="single"/>
          <w:lang w:eastAsia="zh-CN"/>
        </w:rPr>
        <w:t>供应商</w:t>
      </w:r>
      <w:r>
        <w:rPr>
          <w:rFonts w:hint="eastAsia" w:ascii="宋体" w:hAnsi="宋体" w:eastAsia="宋体" w:cs="宋体"/>
          <w:sz w:val="24"/>
          <w:szCs w:val="28"/>
          <w:highlight w:val="none"/>
          <w:u w:val="single"/>
        </w:rPr>
        <w:t>名称）</w:t>
      </w:r>
      <w:r>
        <w:rPr>
          <w:rFonts w:hint="eastAsia" w:ascii="宋体" w:hAnsi="宋体" w:eastAsia="宋体" w:cs="宋体"/>
          <w:sz w:val="24"/>
          <w:szCs w:val="28"/>
          <w:highlight w:val="none"/>
        </w:rPr>
        <w:t>的法定代表人，现委托</w:t>
      </w:r>
      <w:r>
        <w:rPr>
          <w:rFonts w:hint="eastAsia" w:ascii="宋体" w:hAnsi="宋体" w:eastAsia="宋体" w:cs="宋体"/>
          <w:sz w:val="24"/>
          <w:szCs w:val="28"/>
          <w:highlight w:val="none"/>
          <w:u w:val="single"/>
        </w:rPr>
        <w:t xml:space="preserve">  （姓名）</w:t>
      </w:r>
      <w:r>
        <w:rPr>
          <w:rFonts w:hint="eastAsia" w:ascii="宋体" w:hAnsi="宋体" w:eastAsia="宋体" w:cs="宋体"/>
          <w:sz w:val="24"/>
          <w:szCs w:val="28"/>
          <w:highlight w:val="none"/>
        </w:rPr>
        <w:t>为我方代理人。代理人根据授权，以我方名义签署、澄清、递交、撤回、修改</w:t>
      </w:r>
      <w:r>
        <w:rPr>
          <w:rFonts w:hint="eastAsia" w:ascii="宋体" w:hAnsi="宋体" w:eastAsia="宋体" w:cs="宋体"/>
          <w:sz w:val="24"/>
          <w:szCs w:val="28"/>
          <w:highlight w:val="none"/>
          <w:u w:val="single"/>
        </w:rPr>
        <w:t xml:space="preserve">                    （项目名称）    </w:t>
      </w:r>
      <w:r>
        <w:rPr>
          <w:rFonts w:hint="eastAsia" w:ascii="宋体" w:hAnsi="宋体" w:eastAsia="宋体" w:cs="宋体"/>
          <w:sz w:val="24"/>
          <w:szCs w:val="28"/>
          <w:highlight w:val="none"/>
        </w:rPr>
        <w:t>投标文件，其法律后果由我方承担。</w:t>
      </w:r>
    </w:p>
    <w:p>
      <w:pPr>
        <w:spacing w:beforeLines="50" w:line="5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4"/>
          <w:highlight w:val="none"/>
        </w:rPr>
        <w:t>委托期限：</w:t>
      </w:r>
      <w:r>
        <w:rPr>
          <w:rFonts w:hint="eastAsia" w:ascii="宋体" w:hAnsi="宋体" w:eastAsia="宋体" w:cs="宋体"/>
          <w:sz w:val="24"/>
          <w:szCs w:val="24"/>
          <w:highlight w:val="none"/>
          <w:u w:val="single"/>
          <w:shd w:val="clear" w:color="auto" w:fill="FFFFFF"/>
        </w:rPr>
        <w:t>自</w:t>
      </w:r>
      <w:r>
        <w:rPr>
          <w:rFonts w:hint="eastAsia" w:ascii="宋体" w:hAnsi="宋体" w:eastAsia="宋体" w:cs="宋体"/>
          <w:sz w:val="24"/>
          <w:szCs w:val="24"/>
          <w:highlight w:val="none"/>
          <w:u w:val="single"/>
          <w:shd w:val="clear" w:color="auto" w:fill="FFFFFF"/>
          <w:lang w:eastAsia="zh-CN"/>
        </w:rPr>
        <w:t>投标截止之日起</w:t>
      </w:r>
      <w:r>
        <w:rPr>
          <w:rFonts w:hint="eastAsia" w:ascii="宋体" w:hAnsi="宋体" w:eastAsia="宋体" w:cs="宋体"/>
          <w:sz w:val="24"/>
          <w:szCs w:val="24"/>
          <w:highlight w:val="none"/>
          <w:u w:val="single"/>
          <w:shd w:val="clear" w:color="auto" w:fill="FFFFFF"/>
        </w:rPr>
        <w:t>至投标截止之日后90日历天止</w:t>
      </w:r>
    </w:p>
    <w:p>
      <w:pPr>
        <w:topLinePunct/>
        <w:spacing w:line="54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代理人无转委托权。</w:t>
      </w:r>
    </w:p>
    <w:p>
      <w:pPr>
        <w:topLinePunct/>
        <w:spacing w:line="540" w:lineRule="exact"/>
        <w:ind w:firstLine="480" w:firstLineChars="200"/>
        <w:rPr>
          <w:rFonts w:hint="eastAsia" w:ascii="宋体" w:hAnsi="宋体" w:eastAsia="宋体" w:cs="宋体"/>
          <w:sz w:val="24"/>
          <w:szCs w:val="28"/>
          <w:highlight w:val="none"/>
        </w:rPr>
      </w:pPr>
    </w:p>
    <w:p>
      <w:pPr>
        <w:topLinePunct/>
        <w:spacing w:line="540" w:lineRule="exact"/>
        <w:ind w:firstLine="480" w:firstLineChars="200"/>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附：法定代表人身份证复印件及委托代理人身份证复印件</w:t>
      </w:r>
    </w:p>
    <w:p>
      <w:pPr>
        <w:topLinePunct/>
        <w:spacing w:line="540" w:lineRule="exact"/>
        <w:ind w:firstLine="610"/>
        <w:rPr>
          <w:rFonts w:hint="eastAsia" w:ascii="宋体" w:hAnsi="宋体" w:eastAsia="宋体" w:cs="宋体"/>
          <w:sz w:val="22"/>
          <w:szCs w:val="22"/>
          <w:highlight w:val="none"/>
        </w:rPr>
      </w:pPr>
    </w:p>
    <w:p>
      <w:pPr>
        <w:topLinePunct/>
        <w:spacing w:line="540" w:lineRule="exact"/>
        <w:ind w:firstLine="6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p>
    <w:p>
      <w:pPr>
        <w:spacing w:line="500" w:lineRule="exact"/>
        <w:rPr>
          <w:rFonts w:hint="eastAsia" w:ascii="宋体" w:hAnsi="宋体" w:eastAsia="宋体" w:cs="宋体"/>
          <w:sz w:val="22"/>
          <w:szCs w:val="22"/>
          <w:highlight w:val="none"/>
        </w:rPr>
      </w:pPr>
    </w:p>
    <w:p>
      <w:pPr>
        <w:spacing w:line="400" w:lineRule="exact"/>
        <w:ind w:firstLine="2880" w:firstLineChars="1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spacing w:line="400" w:lineRule="exact"/>
        <w:ind w:firstLine="4080" w:firstLineChars="1700"/>
        <w:rPr>
          <w:rFonts w:hint="eastAsia" w:ascii="宋体" w:hAnsi="宋体" w:eastAsia="宋体" w:cs="宋体"/>
          <w:sz w:val="24"/>
          <w:szCs w:val="24"/>
          <w:highlight w:val="none"/>
        </w:rPr>
      </w:pPr>
    </w:p>
    <w:p>
      <w:pPr>
        <w:spacing w:line="400" w:lineRule="exact"/>
        <w:ind w:firstLine="2880" w:firstLineChars="1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pPr>
        <w:spacing w:line="400" w:lineRule="exact"/>
        <w:ind w:firstLine="4080" w:firstLineChars="1700"/>
        <w:rPr>
          <w:rFonts w:hint="eastAsia" w:ascii="宋体" w:hAnsi="宋体" w:eastAsia="宋体" w:cs="宋体"/>
          <w:sz w:val="24"/>
          <w:szCs w:val="24"/>
          <w:highlight w:val="none"/>
        </w:rPr>
      </w:pPr>
    </w:p>
    <w:p>
      <w:pPr>
        <w:spacing w:line="400" w:lineRule="exact"/>
        <w:ind w:firstLine="2880" w:firstLineChars="1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400" w:lineRule="exact"/>
        <w:ind w:firstLine="4080" w:firstLineChars="1700"/>
        <w:rPr>
          <w:rFonts w:hint="eastAsia" w:ascii="宋体" w:hAnsi="宋体" w:eastAsia="宋体" w:cs="宋体"/>
          <w:sz w:val="24"/>
          <w:szCs w:val="24"/>
          <w:highlight w:val="none"/>
          <w:u w:val="single"/>
        </w:rPr>
      </w:pPr>
    </w:p>
    <w:p>
      <w:pPr>
        <w:spacing w:line="400" w:lineRule="exact"/>
        <w:ind w:firstLine="2880" w:firstLineChars="1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pPr>
        <w:spacing w:line="400" w:lineRule="exact"/>
        <w:ind w:firstLine="3740" w:firstLineChars="1700"/>
        <w:rPr>
          <w:rFonts w:hint="eastAsia" w:ascii="宋体" w:hAnsi="宋体" w:eastAsia="宋体" w:cs="宋体"/>
          <w:sz w:val="22"/>
          <w:szCs w:val="22"/>
          <w:highlight w:val="none"/>
        </w:rPr>
      </w:pPr>
    </w:p>
    <w:p>
      <w:pPr>
        <w:spacing w:line="400" w:lineRule="exact"/>
        <w:ind w:firstLine="2860" w:firstLineChars="13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p>
    <w:p>
      <w:pPr>
        <w:spacing w:line="400" w:lineRule="exact"/>
        <w:ind w:firstLine="3740" w:firstLineChars="1700"/>
        <w:rPr>
          <w:rFonts w:hint="eastAsia" w:ascii="宋体" w:hAnsi="宋体" w:eastAsia="宋体" w:cs="宋体"/>
          <w:sz w:val="22"/>
          <w:szCs w:val="22"/>
          <w:highlight w:val="none"/>
        </w:rPr>
      </w:pPr>
    </w:p>
    <w:p>
      <w:pPr>
        <w:spacing w:line="400" w:lineRule="exact"/>
        <w:ind w:firstLine="5280" w:firstLineChars="2400"/>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pPr>
        <w:jc w:val="center"/>
        <w:rPr>
          <w:rFonts w:hint="eastAsia" w:ascii="宋体" w:hAnsi="宋体" w:eastAsia="宋体" w:cs="宋体"/>
          <w:sz w:val="24"/>
          <w:szCs w:val="28"/>
          <w:highlight w:val="none"/>
          <w:lang w:eastAsia="zh-CN"/>
        </w:rPr>
      </w:pPr>
    </w:p>
    <w:p>
      <w:pPr>
        <w:pStyle w:val="63"/>
        <w:rPr>
          <w:rFonts w:hint="eastAsia"/>
          <w:highlight w:val="none"/>
          <w:lang w:eastAsia="zh-CN"/>
        </w:rPr>
      </w:pPr>
    </w:p>
    <w:p>
      <w:pPr>
        <w:jc w:val="center"/>
        <w:outlineLvl w:val="9"/>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br w:type="page"/>
      </w:r>
      <w:r>
        <w:rPr>
          <w:rFonts w:hint="eastAsia" w:ascii="宋体" w:hAnsi="宋体" w:eastAsia="宋体" w:cs="宋体"/>
          <w:b/>
          <w:bCs/>
          <w:sz w:val="24"/>
          <w:szCs w:val="28"/>
          <w:highlight w:val="none"/>
          <w:lang w:val="en-US" w:eastAsia="zh-CN"/>
        </w:rPr>
        <w:t>3</w:t>
      </w:r>
      <w:r>
        <w:rPr>
          <w:rFonts w:hint="eastAsia" w:ascii="宋体" w:hAnsi="宋体" w:eastAsia="宋体" w:cs="宋体"/>
          <w:b/>
          <w:bCs/>
          <w:sz w:val="24"/>
          <w:szCs w:val="28"/>
          <w:highlight w:val="none"/>
        </w:rPr>
        <w:t>、无重大违法记录声明</w:t>
      </w:r>
      <w:r>
        <w:rPr>
          <w:rFonts w:hint="eastAsia" w:ascii="宋体" w:hAnsi="宋体" w:eastAsia="宋体" w:cs="宋体"/>
          <w:b/>
          <w:bCs/>
          <w:sz w:val="24"/>
          <w:szCs w:val="28"/>
          <w:highlight w:val="none"/>
          <w:lang w:eastAsia="zh-CN"/>
        </w:rPr>
        <w:t>（格式）</w:t>
      </w:r>
    </w:p>
    <w:p>
      <w:pPr>
        <w:widowControl/>
        <w:snapToGrid w:val="0"/>
        <w:spacing w:line="480" w:lineRule="auto"/>
        <w:ind w:firstLine="480" w:firstLineChars="200"/>
        <w:jc w:val="left"/>
        <w:rPr>
          <w:rFonts w:hint="eastAsia" w:ascii="宋体" w:hAnsi="宋体" w:eastAsia="宋体" w:cs="宋体"/>
          <w:kern w:val="0"/>
          <w:sz w:val="24"/>
          <w:highlight w:val="none"/>
        </w:rPr>
      </w:pP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我单位参与</w:t>
      </w:r>
      <w:r>
        <w:rPr>
          <w:rFonts w:hint="eastAsia" w:ascii="宋体" w:hAnsi="宋体" w:cs="宋体"/>
          <w:kern w:val="0"/>
          <w:sz w:val="24"/>
          <w:highlight w:val="none"/>
          <w:u w:val="single"/>
          <w:lang w:eastAsia="zh-CN"/>
        </w:rPr>
        <w:t>陕西卓尔盛工程项目管理有限公司</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组织的</w:t>
      </w:r>
      <w:r>
        <w:rPr>
          <w:rFonts w:hint="eastAsia" w:ascii="宋体" w:hAnsi="宋体" w:eastAsia="宋体" w:cs="宋体"/>
          <w:kern w:val="0"/>
          <w:sz w:val="24"/>
          <w:highlight w:val="none"/>
          <w:u w:val="single"/>
        </w:rPr>
        <w:t xml:space="preserve">               （项目名称）                </w:t>
      </w:r>
      <w:r>
        <w:rPr>
          <w:rFonts w:hint="eastAsia" w:ascii="宋体" w:hAnsi="宋体" w:eastAsia="宋体" w:cs="宋体"/>
          <w:kern w:val="0"/>
          <w:sz w:val="24"/>
          <w:highlight w:val="none"/>
        </w:rPr>
        <w:t>公开招标，我单位郑重声明：我方参加本项目公开招标工作前三年内在经营活动中无重大违法活动记录，未被信用中国（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特此声明。</w:t>
      </w:r>
    </w:p>
    <w:p>
      <w:pPr>
        <w:widowControl/>
        <w:spacing w:line="460" w:lineRule="exact"/>
        <w:ind w:firstLine="480" w:firstLineChars="200"/>
        <w:jc w:val="left"/>
        <w:rPr>
          <w:rFonts w:hint="eastAsia" w:ascii="宋体" w:hAnsi="宋体" w:eastAsia="宋体" w:cs="宋体"/>
          <w:kern w:val="0"/>
          <w:sz w:val="24"/>
          <w:highlight w:val="none"/>
        </w:rPr>
      </w:pPr>
    </w:p>
    <w:p>
      <w:pPr>
        <w:pStyle w:val="18"/>
        <w:spacing w:line="480" w:lineRule="auto"/>
        <w:jc w:val="left"/>
        <w:rPr>
          <w:rFonts w:hint="eastAsia" w:ascii="宋体" w:hAnsi="宋体" w:eastAsia="宋体" w:cs="宋体"/>
          <w:kern w:val="0"/>
          <w:sz w:val="24"/>
          <w:highlight w:val="none"/>
          <w:lang w:eastAsia="zh-CN"/>
        </w:rPr>
      </w:pPr>
    </w:p>
    <w:p>
      <w:pPr>
        <w:pStyle w:val="18"/>
        <w:spacing w:line="480" w:lineRule="auto"/>
        <w:jc w:val="left"/>
        <w:rPr>
          <w:rFonts w:hint="eastAsia" w:ascii="宋体" w:hAnsi="宋体" w:eastAsia="宋体" w:cs="宋体"/>
          <w:b/>
          <w:bCs/>
          <w:sz w:val="24"/>
          <w:highlight w:val="none"/>
        </w:rPr>
      </w:pP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（单位名称及公章）：</w:t>
      </w:r>
      <w:r>
        <w:rPr>
          <w:rFonts w:hint="eastAsia" w:ascii="宋体" w:hAnsi="宋体" w:eastAsia="宋体" w:cs="宋体"/>
          <w:kern w:val="0"/>
          <w:sz w:val="24"/>
          <w:highlight w:val="none"/>
          <w:u w:val="single"/>
        </w:rPr>
        <w:t xml:space="preserve">             </w:t>
      </w:r>
    </w:p>
    <w:p>
      <w:pPr>
        <w:pStyle w:val="18"/>
        <w:spacing w:line="48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法定代表人或委托代理人（签字或盖章）：</w:t>
      </w:r>
      <w:r>
        <w:rPr>
          <w:rFonts w:hint="eastAsia" w:ascii="宋体" w:hAnsi="宋体" w:eastAsia="宋体" w:cs="宋体"/>
          <w:kern w:val="0"/>
          <w:sz w:val="24"/>
          <w:highlight w:val="none"/>
          <w:u w:val="single"/>
        </w:rPr>
        <w:t xml:space="preserve">          </w:t>
      </w:r>
    </w:p>
    <w:p>
      <w:pPr>
        <w:pStyle w:val="5"/>
        <w:rPr>
          <w:rFonts w:hint="eastAsia" w:ascii="宋体" w:hAnsi="宋体" w:eastAsia="宋体" w:cs="宋体"/>
          <w:kern w:val="0"/>
          <w:sz w:val="24"/>
          <w:highlight w:val="none"/>
          <w:u w:val="single"/>
        </w:rPr>
      </w:pPr>
      <w:r>
        <w:rPr>
          <w:rFonts w:hint="eastAsia" w:ascii="宋体" w:hAnsi="宋体" w:eastAsia="宋体" w:cs="宋体"/>
          <w:kern w:val="0"/>
          <w:sz w:val="24"/>
          <w:highlight w:val="none"/>
        </w:rPr>
        <w:t>日    期</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u w:val="single"/>
        </w:rPr>
        <w:t xml:space="preserve">             </w:t>
      </w:r>
    </w:p>
    <w:p>
      <w:pPr>
        <w:pStyle w:val="2"/>
        <w:rPr>
          <w:rFonts w:hint="eastAsia" w:ascii="宋体" w:hAnsi="宋体" w:eastAsia="宋体" w:cs="宋体"/>
          <w:kern w:val="0"/>
          <w:sz w:val="24"/>
          <w:highlight w:val="none"/>
          <w:u w:val="single"/>
        </w:rPr>
      </w:pPr>
    </w:p>
    <w:p>
      <w:pPr>
        <w:pStyle w:val="5"/>
        <w:rPr>
          <w:rFonts w:hint="eastAsia" w:ascii="宋体" w:hAnsi="宋体" w:eastAsia="宋体" w:cs="宋体"/>
          <w:kern w:val="0"/>
          <w:sz w:val="24"/>
          <w:highlight w:val="none"/>
          <w:u w:val="single"/>
        </w:rPr>
      </w:pPr>
    </w:p>
    <w:p>
      <w:pPr>
        <w:pStyle w:val="2"/>
        <w:rPr>
          <w:rFonts w:hint="eastAsia" w:ascii="宋体" w:hAnsi="宋体" w:eastAsia="宋体" w:cs="宋体"/>
          <w:kern w:val="0"/>
          <w:sz w:val="24"/>
          <w:highlight w:val="none"/>
          <w:u w:val="single"/>
        </w:rPr>
      </w:pPr>
    </w:p>
    <w:p>
      <w:pPr>
        <w:pStyle w:val="5"/>
        <w:rPr>
          <w:rFonts w:hint="eastAsia" w:ascii="宋体" w:hAnsi="宋体" w:eastAsia="宋体" w:cs="宋体"/>
          <w:kern w:val="0"/>
          <w:sz w:val="24"/>
          <w:highlight w:val="none"/>
          <w:u w:val="single"/>
        </w:rPr>
      </w:pPr>
    </w:p>
    <w:p>
      <w:pPr>
        <w:widowControl/>
        <w:snapToGrid w:val="0"/>
        <w:spacing w:line="480"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注：</w:t>
      </w:r>
      <w:r>
        <w:rPr>
          <w:rFonts w:hint="eastAsia" w:ascii="宋体" w:hAnsi="宋体" w:eastAsia="宋体" w:cs="宋体"/>
          <w:b/>
          <w:bCs/>
          <w:kern w:val="0"/>
          <w:sz w:val="24"/>
          <w:highlight w:val="none"/>
          <w:lang w:eastAsia="zh-CN"/>
        </w:rPr>
        <w:t>提供</w:t>
      </w:r>
      <w:r>
        <w:rPr>
          <w:rFonts w:hint="eastAsia" w:ascii="宋体" w:hAnsi="宋体" w:eastAsia="宋体" w:cs="宋体"/>
          <w:kern w:val="0"/>
          <w:sz w:val="24"/>
          <w:highlight w:val="none"/>
        </w:rPr>
        <w:t>未被信用中国（www.creditchina.gov.cn）列入失信被执行人、重大税收违法案件当事人名单，未被中国政府采购（www.ccgp.gov.cn）列入政府采购严重违法失信行为记录名单</w:t>
      </w:r>
      <w:r>
        <w:rPr>
          <w:rFonts w:hint="eastAsia" w:ascii="宋体" w:hAnsi="宋体" w:eastAsia="宋体" w:cs="宋体"/>
          <w:b/>
          <w:bCs/>
          <w:kern w:val="0"/>
          <w:sz w:val="24"/>
          <w:highlight w:val="none"/>
          <w:lang w:eastAsia="zh-CN"/>
        </w:rPr>
        <w:t>截图</w:t>
      </w:r>
      <w:r>
        <w:rPr>
          <w:rFonts w:hint="eastAsia" w:ascii="宋体" w:hAnsi="宋体" w:eastAsia="宋体" w:cs="宋体"/>
          <w:kern w:val="0"/>
          <w:sz w:val="24"/>
          <w:highlight w:val="none"/>
          <w:lang w:eastAsia="zh-CN"/>
        </w:rPr>
        <w:t>。</w:t>
      </w:r>
    </w:p>
    <w:p>
      <w:pPr>
        <w:widowControl/>
        <w:snapToGrid w:val="0"/>
        <w:spacing w:line="480" w:lineRule="auto"/>
        <w:ind w:firstLine="480" w:firstLineChars="200"/>
        <w:jc w:val="left"/>
        <w:rPr>
          <w:rFonts w:hint="eastAsia" w:ascii="宋体" w:hAnsi="宋体" w:eastAsia="宋体" w:cs="宋体"/>
          <w:kern w:val="0"/>
          <w:sz w:val="24"/>
          <w:highlight w:val="none"/>
        </w:rPr>
      </w:pPr>
    </w:p>
    <w:p>
      <w:pPr>
        <w:widowControl/>
        <w:snapToGrid w:val="0"/>
        <w:spacing w:line="480" w:lineRule="auto"/>
        <w:ind w:firstLine="480" w:firstLineChars="200"/>
        <w:jc w:val="left"/>
        <w:rPr>
          <w:rFonts w:hint="eastAsia" w:ascii="宋体" w:hAnsi="宋体" w:eastAsia="宋体" w:cs="宋体"/>
          <w:kern w:val="0"/>
          <w:sz w:val="24"/>
          <w:highlight w:val="none"/>
        </w:rPr>
        <w:sectPr>
          <w:pgSz w:w="11906" w:h="16838"/>
          <w:pgMar w:top="1440" w:right="1474" w:bottom="1440" w:left="1474" w:header="851" w:footer="992" w:gutter="0"/>
          <w:pgNumType w:fmt="decimal"/>
          <w:cols w:space="720" w:num="1"/>
          <w:docGrid w:type="linesAndChars" w:linePitch="312" w:charSpace="0"/>
        </w:sectPr>
      </w:pPr>
    </w:p>
    <w:p>
      <w:pPr>
        <w:spacing w:line="500" w:lineRule="exact"/>
        <w:ind w:firstLine="2168" w:firstLineChars="900"/>
        <w:rPr>
          <w:rFonts w:hint="eastAsia"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4</w:t>
      </w:r>
      <w:r>
        <w:rPr>
          <w:rFonts w:hint="eastAsia" w:ascii="宋体" w:hAnsi="宋体" w:eastAsia="宋体" w:cs="宋体"/>
          <w:b/>
          <w:bCs/>
          <w:sz w:val="24"/>
          <w:szCs w:val="28"/>
          <w:highlight w:val="none"/>
        </w:rPr>
        <w:t>、</w:t>
      </w:r>
      <w:r>
        <w:rPr>
          <w:rFonts w:hint="eastAsia" w:ascii="宋体" w:hAnsi="宋体" w:eastAsia="宋体" w:cs="宋体"/>
          <w:b/>
          <w:bCs/>
          <w:sz w:val="24"/>
          <w:szCs w:val="28"/>
          <w:highlight w:val="none"/>
          <w:lang w:val="zh-CN" w:eastAsia="zh-CN"/>
        </w:rPr>
        <w:t>供应商企业关系关联承诺书</w:t>
      </w:r>
    </w:p>
    <w:p>
      <w:pPr>
        <w:spacing w:line="500" w:lineRule="exact"/>
        <w:ind w:firstLine="210" w:firstLineChars="100"/>
        <w:rPr>
          <w:rFonts w:hint="eastAsia" w:ascii="宋体" w:hAnsi="宋体" w:eastAsia="宋体" w:cs="宋体"/>
          <w:szCs w:val="24"/>
          <w:highlight w:val="none"/>
        </w:rPr>
      </w:pP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1、投标人股东及股权证明。（提供国家企业信用信息公示系统http://www.gsxt.gov.cn/index.html网页截图并加盖投标人红章）</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2、投标人在本项目投标中，不存在与其它投标人负责人为同一人，有控股、管理等关联关系承诺：</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2.1管理关系说明：</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我单位管理的具有独立法人的下属单位有    。</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我单位的上级管理单位有     。</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2.2股权关系说明：</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我单位控股的单位有    。</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我单位被单位控股     。</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2.3单位负责人：</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3、（是或否，没有填否）为采购项目提供整体设计、规范编制或者项目管理、监理、检测等服务的供应商。</w:t>
      </w: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4、其他与本项目有关的利害关系说明：</w:t>
      </w:r>
    </w:p>
    <w:p>
      <w:pPr>
        <w:widowControl/>
        <w:snapToGrid w:val="0"/>
        <w:spacing w:line="480" w:lineRule="auto"/>
        <w:ind w:firstLine="480" w:firstLineChars="200"/>
        <w:jc w:val="left"/>
        <w:rPr>
          <w:rFonts w:hint="eastAsia" w:ascii="宋体" w:hAnsi="宋体" w:eastAsia="宋体" w:cs="宋体"/>
          <w:kern w:val="0"/>
          <w:sz w:val="24"/>
          <w:highlight w:val="none"/>
        </w:rPr>
      </w:pPr>
    </w:p>
    <w:p>
      <w:pPr>
        <w:widowControl/>
        <w:snapToGrid w:val="0"/>
        <w:spacing w:line="48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我单位承诺以上说明真实有效，无虚假内容或隐瞒。</w:t>
      </w:r>
    </w:p>
    <w:p>
      <w:pPr>
        <w:widowControl/>
        <w:snapToGrid w:val="0"/>
        <w:spacing w:line="480" w:lineRule="auto"/>
        <w:jc w:val="left"/>
        <w:rPr>
          <w:rFonts w:hint="eastAsia" w:ascii="宋体" w:hAnsi="宋体" w:eastAsia="宋体" w:cs="宋体"/>
          <w:kern w:val="0"/>
          <w:sz w:val="24"/>
          <w:highlight w:val="none"/>
        </w:rPr>
      </w:pPr>
    </w:p>
    <w:p>
      <w:pPr>
        <w:widowControl/>
        <w:snapToGrid w:val="0"/>
        <w:spacing w:line="480" w:lineRule="auto"/>
        <w:ind w:firstLine="480" w:firstLineChars="200"/>
        <w:jc w:val="righ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供应商名称：      （加盖单位公章）      </w:t>
      </w:r>
    </w:p>
    <w:p>
      <w:pPr>
        <w:widowControl/>
        <w:snapToGrid w:val="0"/>
        <w:spacing w:line="480" w:lineRule="auto"/>
        <w:ind w:firstLine="480" w:firstLineChars="200"/>
        <w:jc w:val="righ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法定代表人或被授权人：（签字或盖章）</w:t>
      </w:r>
    </w:p>
    <w:p>
      <w:pPr>
        <w:widowControl/>
        <w:snapToGrid w:val="0"/>
        <w:spacing w:line="480" w:lineRule="auto"/>
        <w:ind w:firstLine="4080" w:firstLineChars="17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日      期：      年   月    日</w:t>
      </w:r>
    </w:p>
    <w:p>
      <w:pPr>
        <w:tabs>
          <w:tab w:val="left" w:pos="7839"/>
        </w:tabs>
        <w:jc w:val="center"/>
        <w:rPr>
          <w:rFonts w:hint="eastAsia" w:ascii="宋体" w:hAnsi="宋体" w:eastAsia="宋体" w:cs="宋体"/>
          <w:b/>
          <w:bCs/>
          <w:sz w:val="30"/>
          <w:szCs w:val="30"/>
          <w:highlight w:val="none"/>
        </w:rPr>
      </w:pPr>
    </w:p>
    <w:p>
      <w:pPr>
        <w:pStyle w:val="5"/>
        <w:spacing w:line="360" w:lineRule="auto"/>
        <w:ind w:firstLine="482"/>
        <w:jc w:val="left"/>
        <w:rPr>
          <w:rFonts w:hint="eastAsia" w:ascii="宋体" w:hAnsi="宋体" w:cs="宋体"/>
          <w:b/>
          <w:sz w:val="24"/>
          <w:highlight w:val="none"/>
          <w:lang w:eastAsia="zh-CN"/>
        </w:rPr>
      </w:pPr>
      <w:bookmarkStart w:id="1518" w:name="_Toc25036"/>
      <w:r>
        <w:rPr>
          <w:rFonts w:hint="eastAsia" w:ascii="宋体" w:hAnsi="宋体" w:eastAsia="宋体" w:cs="宋体"/>
          <w:b/>
          <w:sz w:val="24"/>
          <w:highlight w:val="none"/>
        </w:rPr>
        <w:t>项目经理</w:t>
      </w:r>
      <w:r>
        <w:rPr>
          <w:rFonts w:hint="eastAsia" w:ascii="宋体" w:hAnsi="宋体" w:cs="宋体"/>
          <w:b/>
          <w:sz w:val="24"/>
          <w:highlight w:val="none"/>
          <w:lang w:eastAsia="zh-CN"/>
        </w:rPr>
        <w:t>未担任其他</w:t>
      </w:r>
      <w:r>
        <w:rPr>
          <w:rFonts w:hint="eastAsia" w:ascii="宋体" w:hAnsi="宋体" w:eastAsia="宋体" w:cs="宋体"/>
          <w:b/>
          <w:sz w:val="24"/>
          <w:highlight w:val="none"/>
        </w:rPr>
        <w:t>在建工程</w:t>
      </w:r>
      <w:r>
        <w:rPr>
          <w:rFonts w:hint="eastAsia" w:ascii="宋体" w:hAnsi="宋体" w:cs="宋体"/>
          <w:b/>
          <w:sz w:val="24"/>
          <w:highlight w:val="none"/>
          <w:lang w:eastAsia="zh-CN"/>
        </w:rPr>
        <w:t>项目经理的书面声明；（格式自拟）</w:t>
      </w:r>
    </w:p>
    <w:p>
      <w:pPr>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0"/>
          <w:sz w:val="32"/>
          <w:szCs w:val="32"/>
          <w:highlight w:val="none"/>
          <w:lang w:val="en-US" w:eastAsia="zh-CN" w:bidi="ar-SA"/>
        </w:rPr>
        <w:br w:type="page"/>
      </w:r>
    </w:p>
    <w:p>
      <w:pPr>
        <w:pStyle w:val="5"/>
        <w:spacing w:line="360" w:lineRule="auto"/>
        <w:ind w:firstLine="482"/>
        <w:jc w:val="left"/>
        <w:rPr>
          <w:rFonts w:hint="eastAsia" w:ascii="宋体" w:hAnsi="宋体" w:cs="宋体"/>
          <w:b/>
          <w:sz w:val="24"/>
          <w:highlight w:val="none"/>
          <w:lang w:eastAsia="zh-CN"/>
        </w:rPr>
      </w:pPr>
      <w:r>
        <w:rPr>
          <w:rFonts w:hint="eastAsia" w:ascii="宋体" w:hAnsi="宋体" w:cs="宋体"/>
          <w:b/>
          <w:sz w:val="24"/>
          <w:highlight w:val="none"/>
          <w:lang w:eastAsia="zh-CN"/>
        </w:rPr>
        <w:t>非联合体投标书面声明；（格式自拟）</w:t>
      </w:r>
    </w:p>
    <w:p>
      <w:pPr>
        <w:pStyle w:val="5"/>
        <w:spacing w:line="360" w:lineRule="auto"/>
        <w:ind w:firstLine="482"/>
        <w:jc w:val="left"/>
        <w:rPr>
          <w:rFonts w:hint="eastAsia" w:ascii="宋体" w:hAnsi="宋体" w:eastAsia="宋体" w:cs="宋体"/>
          <w:b/>
          <w:sz w:val="24"/>
          <w:highlight w:val="none"/>
        </w:rPr>
        <w:sectPr>
          <w:pgSz w:w="11906" w:h="16838"/>
          <w:pgMar w:top="1440" w:right="1457" w:bottom="1440" w:left="1463" w:header="851" w:footer="992" w:gutter="0"/>
          <w:pgNumType w:fmt="decimal"/>
          <w:cols w:space="0" w:num="1"/>
          <w:titlePg/>
          <w:docGrid w:type="lines" w:linePitch="312" w:charSpace="0"/>
        </w:sectPr>
      </w:pPr>
    </w:p>
    <w:p>
      <w:pPr>
        <w:jc w:val="center"/>
        <w:outlineLvl w:val="1"/>
        <w:rPr>
          <w:rFonts w:hint="eastAsia" w:ascii="宋体" w:hAnsi="宋体" w:eastAsia="宋体" w:cs="宋体"/>
          <w:sz w:val="28"/>
          <w:szCs w:val="28"/>
          <w:highlight w:val="none"/>
        </w:rPr>
      </w:pPr>
      <w:r>
        <w:rPr>
          <w:rFonts w:hint="eastAsia" w:ascii="宋体" w:hAnsi="宋体" w:eastAsia="宋体" w:cs="宋体"/>
          <w:b/>
          <w:bCs/>
          <w:color w:val="000000"/>
          <w:kern w:val="0"/>
          <w:sz w:val="32"/>
          <w:szCs w:val="32"/>
          <w:highlight w:val="none"/>
          <w:lang w:val="en-US" w:eastAsia="zh-CN" w:bidi="ar-SA"/>
        </w:rPr>
        <w:t>三、</w:t>
      </w:r>
      <w:r>
        <w:rPr>
          <w:rFonts w:hint="eastAsia" w:ascii="宋体" w:hAnsi="宋体" w:eastAsia="宋体" w:cs="宋体"/>
          <w:b/>
          <w:bCs/>
          <w:sz w:val="32"/>
          <w:szCs w:val="32"/>
          <w:highlight w:val="none"/>
        </w:rPr>
        <w:t>商务条款与</w:t>
      </w:r>
      <w:bookmarkEnd w:id="1518"/>
      <w:r>
        <w:rPr>
          <w:rFonts w:hint="eastAsia" w:ascii="宋体" w:hAnsi="宋体" w:eastAsia="宋体" w:cs="宋体"/>
          <w:b/>
          <w:bCs/>
          <w:sz w:val="32"/>
          <w:szCs w:val="32"/>
          <w:highlight w:val="none"/>
          <w:lang w:eastAsia="zh-CN"/>
        </w:rPr>
        <w:t>技术部分响应偏离说明</w:t>
      </w:r>
    </w:p>
    <w:p>
      <w:pPr>
        <w:jc w:val="center"/>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表1、商务</w:t>
      </w:r>
      <w:r>
        <w:rPr>
          <w:rFonts w:hint="eastAsia" w:ascii="宋体" w:hAnsi="宋体" w:eastAsia="宋体" w:cs="宋体"/>
          <w:sz w:val="28"/>
          <w:szCs w:val="28"/>
          <w:highlight w:val="none"/>
          <w:lang w:eastAsia="zh-CN"/>
        </w:rPr>
        <w:t>条款</w:t>
      </w:r>
      <w:r>
        <w:rPr>
          <w:rFonts w:hint="eastAsia" w:ascii="宋体" w:hAnsi="宋体" w:eastAsia="宋体" w:cs="宋体"/>
          <w:sz w:val="28"/>
          <w:szCs w:val="28"/>
          <w:highlight w:val="none"/>
        </w:rPr>
        <w:t>响应偏差表</w:t>
      </w:r>
    </w:p>
    <w:tbl>
      <w:tblPr>
        <w:tblStyle w:val="3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825"/>
        <w:gridCol w:w="1469"/>
        <w:gridCol w:w="2656"/>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noWrap w:val="0"/>
            <w:vAlign w:val="center"/>
          </w:tcPr>
          <w:p>
            <w:pPr>
              <w:pStyle w:val="18"/>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825" w:type="dxa"/>
            <w:noWrap w:val="0"/>
            <w:vAlign w:val="center"/>
          </w:tcPr>
          <w:p>
            <w:pPr>
              <w:pStyle w:val="18"/>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商务条款</w:t>
            </w:r>
          </w:p>
        </w:tc>
        <w:tc>
          <w:tcPr>
            <w:tcW w:w="1469" w:type="dxa"/>
            <w:noWrap w:val="0"/>
            <w:vAlign w:val="center"/>
          </w:tcPr>
          <w:p>
            <w:pPr>
              <w:pStyle w:val="18"/>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商务</w:t>
            </w:r>
            <w:r>
              <w:rPr>
                <w:rFonts w:hint="eastAsia" w:ascii="宋体" w:hAnsi="宋体" w:eastAsia="宋体" w:cs="宋体"/>
                <w:sz w:val="24"/>
                <w:szCs w:val="24"/>
                <w:highlight w:val="none"/>
                <w:lang w:eastAsia="zh-CN"/>
              </w:rPr>
              <w:t>条款</w:t>
            </w:r>
          </w:p>
          <w:p>
            <w:pPr>
              <w:pStyle w:val="18"/>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要求内容</w:t>
            </w:r>
          </w:p>
        </w:tc>
        <w:tc>
          <w:tcPr>
            <w:tcW w:w="2656" w:type="dxa"/>
            <w:noWrap w:val="0"/>
            <w:vAlign w:val="center"/>
          </w:tcPr>
          <w:p>
            <w:pPr>
              <w:pStyle w:val="18"/>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pStyle w:val="18"/>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响应内容</w:t>
            </w:r>
          </w:p>
        </w:tc>
        <w:tc>
          <w:tcPr>
            <w:tcW w:w="1834" w:type="dxa"/>
            <w:noWrap w:val="0"/>
            <w:vAlign w:val="center"/>
          </w:tcPr>
          <w:p>
            <w:pPr>
              <w:pStyle w:val="18"/>
              <w:spacing w:line="24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25"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469" w:type="dxa"/>
            <w:noWrap w:val="0"/>
            <w:vAlign w:val="center"/>
          </w:tcPr>
          <w:p>
            <w:pPr>
              <w:pStyle w:val="18"/>
              <w:spacing w:line="480" w:lineRule="auto"/>
              <w:ind w:firstLine="480" w:firstLineChars="200"/>
              <w:jc w:val="left"/>
              <w:rPr>
                <w:rFonts w:hint="eastAsia" w:ascii="宋体" w:hAnsi="宋体" w:eastAsia="宋体" w:cs="宋体"/>
                <w:sz w:val="24"/>
                <w:szCs w:val="24"/>
                <w:highlight w:val="none"/>
              </w:rPr>
            </w:pPr>
          </w:p>
        </w:tc>
        <w:tc>
          <w:tcPr>
            <w:tcW w:w="2656" w:type="dxa"/>
            <w:noWrap w:val="0"/>
            <w:vAlign w:val="center"/>
          </w:tcPr>
          <w:p>
            <w:pPr>
              <w:pStyle w:val="18"/>
              <w:spacing w:line="480" w:lineRule="auto"/>
              <w:ind w:firstLine="480" w:firstLineChars="200"/>
              <w:jc w:val="left"/>
              <w:rPr>
                <w:rFonts w:hint="eastAsia" w:ascii="宋体" w:hAnsi="宋体" w:eastAsia="宋体" w:cs="宋体"/>
                <w:sz w:val="24"/>
                <w:szCs w:val="24"/>
                <w:highlight w:val="none"/>
              </w:rPr>
            </w:pPr>
          </w:p>
        </w:tc>
        <w:tc>
          <w:tcPr>
            <w:tcW w:w="1834" w:type="dxa"/>
            <w:noWrap w:val="0"/>
            <w:vAlign w:val="center"/>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25"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46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65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3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25"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46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65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3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25"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46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65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3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25"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46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65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3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25"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46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65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3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noWrap w:val="0"/>
            <w:vAlign w:val="top"/>
          </w:tcPr>
          <w:p>
            <w:pPr>
              <w:pStyle w:val="18"/>
              <w:spacing w:line="48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825" w:type="dxa"/>
            <w:noWrap w:val="0"/>
            <w:vAlign w:val="top"/>
          </w:tcPr>
          <w:p>
            <w:pPr>
              <w:pStyle w:val="18"/>
              <w:spacing w:line="48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其他合同条款</w:t>
            </w:r>
          </w:p>
        </w:tc>
        <w:tc>
          <w:tcPr>
            <w:tcW w:w="146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656"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83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bl>
    <w:p>
      <w:pPr>
        <w:pStyle w:val="31"/>
        <w:widowControl w:val="0"/>
        <w:spacing w:before="0" w:beforeAutospacing="0" w:after="0" w:afterAutospacing="0"/>
        <w:ind w:firstLine="480" w:firstLineChars="200"/>
        <w:jc w:val="both"/>
        <w:rPr>
          <w:rFonts w:hint="eastAsia" w:ascii="宋体" w:hAnsi="宋体" w:eastAsia="宋体" w:cs="宋体"/>
          <w:highlight w:val="none"/>
        </w:rPr>
      </w:pPr>
    </w:p>
    <w:p>
      <w:pPr>
        <w:pStyle w:val="31"/>
        <w:widowControl w:val="0"/>
        <w:spacing w:before="0" w:beforeAutospacing="0" w:after="0" w:afterAutospacing="0"/>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1.本表只填写投标文件中与招标文件有偏离（包括正偏离和负偏离）的内容，投标文件中商务响应与招标文件要求完全一致的，不用在此表中列出，但必须提交空白表。</w:t>
      </w:r>
    </w:p>
    <w:p>
      <w:pPr>
        <w:pStyle w:val="31"/>
        <w:widowControl w:val="0"/>
        <w:spacing w:before="0" w:beforeAutospacing="0" w:after="0" w:afterAutospacing="0"/>
        <w:ind w:firstLine="482" w:firstLineChars="200"/>
        <w:rPr>
          <w:rFonts w:hint="eastAsia" w:ascii="宋体" w:hAnsi="宋体" w:eastAsia="宋体" w:cs="宋体"/>
          <w:b/>
          <w:bCs/>
          <w:highlight w:val="none"/>
        </w:rPr>
      </w:pPr>
      <w:r>
        <w:rPr>
          <w:rFonts w:hint="eastAsia" w:ascii="宋体" w:hAnsi="宋体" w:eastAsia="宋体" w:cs="宋体"/>
          <w:b/>
          <w:bCs/>
          <w:highlight w:val="none"/>
        </w:rPr>
        <w:t>2.供应商必须据实填写，不得虚假响应，否则将取消其投标或中标资格，并按有关规定进处罚。</w:t>
      </w:r>
    </w:p>
    <w:p>
      <w:pPr>
        <w:adjustRightInd w:val="0"/>
        <w:snapToGrid w:val="0"/>
        <w:spacing w:line="480" w:lineRule="auto"/>
        <w:jc w:val="left"/>
        <w:rPr>
          <w:rFonts w:hint="eastAsia" w:ascii="宋体" w:hAnsi="宋体" w:eastAsia="宋体" w:cs="宋体"/>
          <w:sz w:val="28"/>
          <w:szCs w:val="28"/>
          <w:highlight w:val="none"/>
        </w:rPr>
      </w:pPr>
    </w:p>
    <w:p>
      <w:pPr>
        <w:adjustRightInd w:val="0"/>
        <w:snapToGrid w:val="0"/>
        <w:spacing w:line="48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（单位名称及公章）：</w:t>
      </w:r>
    </w:p>
    <w:p>
      <w:pPr>
        <w:adjustRightInd w:val="0"/>
        <w:snapToGrid w:val="0"/>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法定代表人或委托代理人</w:t>
      </w:r>
      <w:r>
        <w:rPr>
          <w:rFonts w:hint="eastAsia" w:ascii="宋体" w:hAnsi="宋体" w:eastAsia="宋体" w:cs="宋体"/>
          <w:sz w:val="28"/>
          <w:szCs w:val="28"/>
          <w:highlight w:val="none"/>
        </w:rPr>
        <w:t>（签字或盖章）：</w:t>
      </w:r>
    </w:p>
    <w:p>
      <w:pPr>
        <w:rPr>
          <w:rFonts w:hint="eastAsia" w:ascii="宋体" w:hAnsi="宋体" w:eastAsia="宋体" w:cs="宋体"/>
          <w:b/>
          <w:bCs/>
          <w:sz w:val="28"/>
          <w:szCs w:val="28"/>
          <w:highlight w:val="none"/>
        </w:rPr>
      </w:pPr>
      <w:r>
        <w:rPr>
          <w:rFonts w:hint="eastAsia" w:ascii="宋体" w:hAnsi="宋体" w:eastAsia="宋体" w:cs="宋体"/>
          <w:sz w:val="28"/>
          <w:szCs w:val="28"/>
          <w:highlight w:val="none"/>
        </w:rPr>
        <w:t>日    期：   年   月  日</w:t>
      </w:r>
    </w:p>
    <w:p>
      <w:pPr>
        <w:pStyle w:val="18"/>
        <w:spacing w:after="159" w:afterLines="50" w:line="500" w:lineRule="exact"/>
        <w:ind w:firstLine="560" w:firstLineChars="200"/>
        <w:jc w:val="left"/>
        <w:rPr>
          <w:rFonts w:hint="eastAsia" w:ascii="宋体" w:hAnsi="宋体" w:eastAsia="宋体" w:cs="宋体"/>
          <w:b/>
          <w:bCs/>
          <w:sz w:val="28"/>
          <w:szCs w:val="28"/>
          <w:highlight w:val="none"/>
        </w:rPr>
      </w:pPr>
      <w:r>
        <w:rPr>
          <w:rFonts w:hint="eastAsia" w:ascii="宋体" w:hAnsi="宋体" w:eastAsia="宋体" w:cs="宋体"/>
          <w:color w:val="000000"/>
          <w:sz w:val="28"/>
          <w:szCs w:val="28"/>
          <w:highlight w:val="none"/>
        </w:rPr>
        <w:br w:type="page"/>
      </w:r>
      <w:r>
        <w:rPr>
          <w:rFonts w:hint="eastAsia" w:ascii="宋体" w:hAnsi="宋体" w:eastAsia="宋体" w:cs="宋体"/>
          <w:color w:val="000000"/>
          <w:sz w:val="28"/>
          <w:szCs w:val="28"/>
          <w:highlight w:val="none"/>
        </w:rPr>
        <w:t>表2、</w:t>
      </w:r>
      <w:r>
        <w:rPr>
          <w:rFonts w:hint="eastAsia" w:ascii="宋体" w:hAnsi="宋体" w:eastAsia="宋体" w:cs="宋体"/>
          <w:color w:val="000000"/>
          <w:sz w:val="28"/>
          <w:szCs w:val="28"/>
          <w:highlight w:val="none"/>
          <w:lang w:eastAsia="zh-CN"/>
        </w:rPr>
        <w:t>技术标准和要求</w:t>
      </w:r>
      <w:r>
        <w:rPr>
          <w:rFonts w:hint="eastAsia" w:ascii="宋体" w:hAnsi="宋体" w:eastAsia="宋体" w:cs="宋体"/>
          <w:color w:val="000000"/>
          <w:sz w:val="28"/>
          <w:szCs w:val="28"/>
          <w:highlight w:val="none"/>
        </w:rPr>
        <w:t>响应偏差表</w:t>
      </w:r>
    </w:p>
    <w:tbl>
      <w:tblPr>
        <w:tblStyle w:val="35"/>
        <w:tblW w:w="89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813"/>
        <w:gridCol w:w="299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149" w:type="dxa"/>
            <w:noWrap w:val="0"/>
            <w:vAlign w:val="center"/>
          </w:tcPr>
          <w:p>
            <w:pPr>
              <w:pStyle w:val="18"/>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813" w:type="dxa"/>
            <w:noWrap w:val="0"/>
            <w:vAlign w:val="center"/>
          </w:tcPr>
          <w:p>
            <w:pPr>
              <w:pStyle w:val="18"/>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文件</w:t>
            </w:r>
          </w:p>
          <w:p>
            <w:pPr>
              <w:pStyle w:val="18"/>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技术要求</w:t>
            </w:r>
          </w:p>
        </w:tc>
        <w:tc>
          <w:tcPr>
            <w:tcW w:w="2992" w:type="dxa"/>
            <w:noWrap w:val="0"/>
            <w:vAlign w:val="center"/>
          </w:tcPr>
          <w:p>
            <w:pPr>
              <w:pStyle w:val="18"/>
              <w:spacing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lang w:val="en-US" w:eastAsia="zh-CN"/>
              </w:rPr>
              <w:t>文件</w:t>
            </w:r>
          </w:p>
          <w:p>
            <w:pPr>
              <w:pStyle w:val="18"/>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内容</w:t>
            </w:r>
          </w:p>
        </w:tc>
        <w:tc>
          <w:tcPr>
            <w:tcW w:w="1984" w:type="dxa"/>
            <w:noWrap w:val="0"/>
            <w:vAlign w:val="center"/>
          </w:tcPr>
          <w:p>
            <w:pPr>
              <w:pStyle w:val="18"/>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center"/>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center"/>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center"/>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49"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813"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2992"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c>
          <w:tcPr>
            <w:tcW w:w="1984" w:type="dxa"/>
            <w:noWrap w:val="0"/>
            <w:vAlign w:val="top"/>
          </w:tcPr>
          <w:p>
            <w:pPr>
              <w:pStyle w:val="18"/>
              <w:spacing w:line="480" w:lineRule="auto"/>
              <w:ind w:firstLine="480" w:firstLineChars="200"/>
              <w:jc w:val="left"/>
              <w:rPr>
                <w:rFonts w:hint="eastAsia" w:ascii="宋体" w:hAnsi="宋体" w:eastAsia="宋体" w:cs="宋体"/>
                <w:sz w:val="24"/>
                <w:szCs w:val="24"/>
                <w:highlight w:val="none"/>
              </w:rPr>
            </w:pPr>
          </w:p>
        </w:tc>
      </w:tr>
    </w:tbl>
    <w:p>
      <w:pPr>
        <w:pStyle w:val="31"/>
        <w:widowControl w:val="0"/>
        <w:spacing w:before="0" w:beforeAutospacing="0" w:after="0" w:afterAutospacing="0"/>
        <w:ind w:firstLine="482" w:firstLineChars="200"/>
        <w:jc w:val="both"/>
        <w:rPr>
          <w:rFonts w:hint="eastAsia" w:ascii="宋体" w:hAnsi="宋体" w:eastAsia="宋体" w:cs="宋体"/>
          <w:b/>
          <w:bCs/>
          <w:highlight w:val="none"/>
        </w:rPr>
      </w:pPr>
    </w:p>
    <w:p>
      <w:pPr>
        <w:pStyle w:val="31"/>
        <w:widowControl w:val="0"/>
        <w:spacing w:before="0" w:beforeAutospacing="0" w:after="0" w:afterAutospacing="0"/>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1.本表只填写投标文件中与招标文件有偏离（包括正偏离和负偏离）的内容，投标文件中商务响应与招标文件要求完全一致的，不用在此表中列出，但必须提交空白表。</w:t>
      </w:r>
    </w:p>
    <w:p>
      <w:pPr>
        <w:pStyle w:val="31"/>
        <w:widowControl w:val="0"/>
        <w:spacing w:before="0" w:beforeAutospacing="0" w:after="0" w:afterAutospacing="0"/>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2.供应商必须据实填写，不得虚假响应，否则将取消其投标或中标资格，并按有关规定进处罚。</w:t>
      </w:r>
    </w:p>
    <w:p>
      <w:pPr>
        <w:adjustRightInd w:val="0"/>
        <w:snapToGrid w:val="0"/>
        <w:spacing w:line="480" w:lineRule="auto"/>
        <w:jc w:val="left"/>
        <w:rPr>
          <w:rFonts w:hint="eastAsia" w:ascii="宋体" w:hAnsi="宋体" w:eastAsia="宋体" w:cs="宋体"/>
          <w:sz w:val="28"/>
          <w:szCs w:val="28"/>
          <w:highlight w:val="none"/>
          <w:lang w:eastAsia="zh-CN"/>
        </w:rPr>
      </w:pPr>
    </w:p>
    <w:p>
      <w:pPr>
        <w:adjustRightInd w:val="0"/>
        <w:snapToGrid w:val="0"/>
        <w:spacing w:line="480" w:lineRule="auto"/>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（单位名称及公章）：</w:t>
      </w:r>
    </w:p>
    <w:p>
      <w:pPr>
        <w:adjustRightInd w:val="0"/>
        <w:snapToGrid w:val="0"/>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法定代表人或委托代理人</w:t>
      </w:r>
      <w:r>
        <w:rPr>
          <w:rFonts w:hint="eastAsia" w:ascii="宋体" w:hAnsi="宋体" w:eastAsia="宋体" w:cs="宋体"/>
          <w:sz w:val="28"/>
          <w:szCs w:val="28"/>
          <w:highlight w:val="none"/>
        </w:rPr>
        <w:t>（签字或盖章）：</w:t>
      </w:r>
    </w:p>
    <w:p>
      <w:pPr>
        <w:rPr>
          <w:rFonts w:hint="eastAsia" w:ascii="宋体" w:hAnsi="宋体" w:eastAsia="宋体" w:cs="宋体"/>
          <w:b/>
          <w:bCs/>
          <w:sz w:val="28"/>
          <w:szCs w:val="28"/>
          <w:highlight w:val="none"/>
        </w:rPr>
      </w:pPr>
      <w:r>
        <w:rPr>
          <w:rFonts w:hint="eastAsia" w:ascii="宋体" w:hAnsi="宋体" w:eastAsia="宋体" w:cs="宋体"/>
          <w:sz w:val="28"/>
          <w:szCs w:val="28"/>
          <w:highlight w:val="none"/>
        </w:rPr>
        <w:t>日    期：   年   月  日</w:t>
      </w:r>
    </w:p>
    <w:p>
      <w:pPr>
        <w:pStyle w:val="15"/>
        <w:ind w:firstLine="210" w:firstLineChars="100"/>
        <w:jc w:val="center"/>
        <w:outlineLvl w:val="1"/>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highlight w:val="none"/>
        </w:rPr>
        <w:br w:type="page"/>
      </w:r>
      <w:r>
        <w:rPr>
          <w:rFonts w:hint="eastAsia" w:ascii="宋体" w:hAnsi="宋体" w:eastAsia="宋体" w:cs="宋体"/>
          <w:b/>
          <w:bCs/>
          <w:color w:val="000000"/>
          <w:kern w:val="0"/>
          <w:sz w:val="32"/>
          <w:szCs w:val="32"/>
          <w:highlight w:val="none"/>
          <w:lang w:val="en-US" w:eastAsia="zh-CN" w:bidi="ar-SA"/>
        </w:rPr>
        <w:t>四、已标价工程量清单</w:t>
      </w:r>
    </w:p>
    <w:p>
      <w:pPr>
        <w:pStyle w:val="15"/>
        <w:ind w:firstLine="240" w:firstLineChars="100"/>
        <w:rPr>
          <w:rFonts w:hint="eastAsia" w:ascii="宋体" w:hAnsi="宋体" w:eastAsia="宋体" w:cs="宋体"/>
          <w:b w:val="0"/>
          <w:bCs w:val="0"/>
          <w:color w:val="000000"/>
          <w:kern w:val="0"/>
          <w:sz w:val="24"/>
          <w:szCs w:val="24"/>
          <w:highlight w:val="none"/>
          <w:lang w:val="en-US" w:eastAsia="zh-CN" w:bidi="ar-SA"/>
        </w:rPr>
        <w:sectPr>
          <w:headerReference r:id="rId12" w:type="default"/>
          <w:pgSz w:w="11906" w:h="16838"/>
          <w:pgMar w:top="1440" w:right="1800" w:bottom="1440" w:left="1800" w:header="851" w:footer="992" w:gutter="0"/>
          <w:pgNumType w:fmt="decimal"/>
          <w:cols w:space="720" w:num="1"/>
          <w:titlePg/>
          <w:docGrid w:type="lines" w:linePitch="312" w:charSpace="0"/>
        </w:sectPr>
      </w:pPr>
      <w:r>
        <w:rPr>
          <w:rFonts w:hint="eastAsia" w:ascii="宋体" w:hAnsi="宋体" w:eastAsia="宋体" w:cs="宋体"/>
          <w:b w:val="0"/>
          <w:bCs w:val="0"/>
          <w:color w:val="000000"/>
          <w:kern w:val="0"/>
          <w:sz w:val="24"/>
          <w:szCs w:val="24"/>
          <w:highlight w:val="none"/>
          <w:lang w:val="en-US" w:eastAsia="zh-CN" w:bidi="ar-SA"/>
        </w:rPr>
        <w:t>说明：已标价工程量清单按第五章“工程量清单”中的相关清单表格式填写。构成合同文件的已标价工程量清单包括但不限于投标报价汇总表，总说明，单项工程造价汇总表，单位工程造价汇总表，分部分项工程量清单计价表，措施项目清单计价表,其他项目清单计价表，规费、税金计价表，主要材料价格表。</w:t>
      </w:r>
    </w:p>
    <w:p>
      <w:pPr>
        <w:numPr>
          <w:ilvl w:val="0"/>
          <w:numId w:val="10"/>
        </w:numPr>
        <w:jc w:val="center"/>
        <w:outlineLvl w:val="1"/>
        <w:rPr>
          <w:rFonts w:hint="eastAsia" w:ascii="宋体" w:hAnsi="宋体" w:eastAsia="宋体" w:cs="宋体"/>
          <w:b/>
          <w:bCs/>
          <w:color w:val="000000"/>
          <w:kern w:val="0"/>
          <w:sz w:val="32"/>
          <w:szCs w:val="32"/>
          <w:highlight w:val="none"/>
          <w:lang w:val="en-US" w:eastAsia="zh-CN" w:bidi="ar-SA"/>
        </w:rPr>
      </w:pPr>
      <w:r>
        <w:rPr>
          <w:rFonts w:hint="eastAsia" w:ascii="宋体" w:hAnsi="宋体" w:eastAsia="宋体" w:cs="宋体"/>
          <w:b/>
          <w:bCs/>
          <w:color w:val="000000"/>
          <w:kern w:val="0"/>
          <w:sz w:val="32"/>
          <w:szCs w:val="32"/>
          <w:highlight w:val="none"/>
          <w:lang w:val="en-US" w:eastAsia="zh-CN" w:bidi="ar-SA"/>
        </w:rPr>
        <w:t>施工组织方案</w:t>
      </w:r>
    </w:p>
    <w:p>
      <w:pPr>
        <w:pStyle w:val="15"/>
        <w:rPr>
          <w:rFonts w:hint="eastAsia" w:ascii="宋体" w:hAnsi="宋体" w:eastAsia="宋体" w:cs="宋体"/>
          <w:sz w:val="24"/>
          <w:highlight w:val="none"/>
          <w:lang w:eastAsia="zh-CN"/>
        </w:rPr>
      </w:pPr>
    </w:p>
    <w:p>
      <w:pPr>
        <w:spacing w:line="520" w:lineRule="exact"/>
        <w:ind w:firstLine="480" w:firstLineChars="200"/>
        <w:rPr>
          <w:rFonts w:hint="eastAsia" w:ascii="宋体" w:hAnsi="宋体" w:eastAsia="宋体" w:cs="宋体"/>
          <w:sz w:val="24"/>
          <w:szCs w:val="24"/>
          <w:highlight w:val="none"/>
        </w:rPr>
      </w:pPr>
      <w:bookmarkStart w:id="1519" w:name="_Toc16683"/>
      <w:bookmarkStart w:id="1520" w:name="_Toc1605"/>
      <w:bookmarkStart w:id="1521" w:name="_Toc27860"/>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应根据招标文件和对现场的勘察情况，采用文字并结合图表形式，</w:t>
      </w:r>
      <w:r>
        <w:rPr>
          <w:rFonts w:hint="eastAsia" w:ascii="宋体" w:hAnsi="宋体" w:eastAsia="宋体" w:cs="宋体"/>
          <w:sz w:val="24"/>
          <w:szCs w:val="24"/>
          <w:highlight w:val="none"/>
          <w:lang w:eastAsia="zh-CN"/>
        </w:rPr>
        <w:t>依据</w:t>
      </w:r>
      <w:r>
        <w:rPr>
          <w:rFonts w:hint="eastAsia" w:ascii="宋体" w:hAnsi="宋体" w:eastAsia="宋体" w:cs="宋体"/>
          <w:sz w:val="24"/>
          <w:szCs w:val="24"/>
          <w:highlight w:val="none"/>
        </w:rPr>
        <w:t>以下要点编制本工程的施工组织</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rPr>
        <w:t>：</w:t>
      </w:r>
    </w:p>
    <w:tbl>
      <w:tblPr>
        <w:tblStyle w:val="35"/>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ascii="宋体" w:hAnsi="宋体"/>
                <w:sz w:val="21"/>
                <w:szCs w:val="21"/>
                <w:highlight w:val="none"/>
              </w:rPr>
              <w:t>施工方案</w:t>
            </w:r>
            <w:r>
              <w:rPr>
                <w:rFonts w:hint="eastAsia" w:ascii="宋体" w:hAnsi="宋体"/>
                <w:sz w:val="21"/>
                <w:szCs w:val="21"/>
                <w:highlight w:val="none"/>
                <w:lang w:eastAsia="zh-CN"/>
              </w:rPr>
              <w:t>及</w:t>
            </w:r>
            <w:r>
              <w:rPr>
                <w:rFonts w:ascii="宋体" w:hAnsi="宋体"/>
                <w:sz w:val="21"/>
                <w:szCs w:val="21"/>
                <w:highlight w:val="none"/>
              </w:rPr>
              <w:t>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hint="eastAsia" w:ascii="宋体" w:hAnsi="宋体"/>
                <w:sz w:val="21"/>
                <w:szCs w:val="21"/>
                <w:highlight w:val="none"/>
              </w:rPr>
              <w:t>项目部人员组成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hint="eastAsia" w:ascii="宋体" w:hAnsi="宋体"/>
                <w:sz w:val="21"/>
                <w:szCs w:val="21"/>
                <w:highlight w:val="none"/>
              </w:rPr>
              <w:t>质量管理体系与措施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hint="eastAsia" w:ascii="宋体" w:hAnsi="宋体"/>
                <w:sz w:val="21"/>
                <w:szCs w:val="21"/>
                <w:highlight w:val="none"/>
              </w:rPr>
              <w:t>工程</w:t>
            </w:r>
            <w:r>
              <w:rPr>
                <w:rFonts w:ascii="宋体" w:hAnsi="宋体"/>
                <w:sz w:val="21"/>
                <w:szCs w:val="21"/>
                <w:highlight w:val="none"/>
              </w:rPr>
              <w:t>进度计划</w:t>
            </w:r>
            <w:r>
              <w:rPr>
                <w:rFonts w:hint="eastAsia" w:ascii="宋体" w:hAnsi="宋体"/>
                <w:sz w:val="21"/>
                <w:szCs w:val="21"/>
                <w:highlight w:val="none"/>
              </w:rPr>
              <w:t>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hint="eastAsia" w:ascii="宋体" w:hAnsi="宋体"/>
                <w:sz w:val="21"/>
                <w:szCs w:val="21"/>
                <w:highlight w:val="none"/>
                <w:lang w:val="en-US" w:eastAsia="zh-CN"/>
              </w:rPr>
              <w:t>主要材料和设备选用情况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hint="eastAsia" w:ascii="宋体" w:hAnsi="宋体"/>
                <w:sz w:val="21"/>
                <w:szCs w:val="21"/>
                <w:highlight w:val="none"/>
              </w:rPr>
              <w:t>安全管理体系与措施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hint="eastAsia" w:ascii="宋体" w:hAnsi="宋体"/>
                <w:sz w:val="21"/>
                <w:szCs w:val="21"/>
                <w:highlight w:val="none"/>
              </w:rPr>
              <w:t>环境保护管理体系与措施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ascii="宋体" w:hAnsi="宋体"/>
                <w:color w:val="auto"/>
                <w:sz w:val="21"/>
                <w:szCs w:val="21"/>
                <w:highlight w:val="none"/>
              </w:rPr>
              <w:t>劳动力计划安排</w:t>
            </w:r>
            <w:r>
              <w:rPr>
                <w:rFonts w:hint="eastAsia" w:ascii="宋体" w:hAnsi="宋体"/>
                <w:color w:val="auto"/>
                <w:sz w:val="21"/>
                <w:szCs w:val="21"/>
                <w:highlight w:val="none"/>
              </w:rPr>
              <w:t>及设备配置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60" w:type="dxa"/>
            <w:noWrap w:val="0"/>
            <w:vAlign w:val="center"/>
          </w:tcPr>
          <w:p>
            <w:pPr>
              <w:widowControl w:val="0"/>
              <w:jc w:val="left"/>
              <w:rPr>
                <w:rFonts w:hint="eastAsia" w:ascii="宋体" w:hAnsi="宋体" w:eastAsia="宋体" w:cs="宋体"/>
                <w:sz w:val="24"/>
                <w:szCs w:val="24"/>
                <w:highlight w:val="none"/>
              </w:rPr>
            </w:pPr>
            <w:r>
              <w:rPr>
                <w:rFonts w:hint="eastAsia" w:ascii="宋体" w:hAnsi="宋体" w:eastAsia="宋体" w:cs="宋体"/>
                <w:color w:val="auto"/>
                <w:sz w:val="21"/>
                <w:szCs w:val="21"/>
                <w:highlight w:val="none"/>
                <w:lang w:eastAsia="zh-CN"/>
              </w:rPr>
              <w:t>本本工程的合理化建议</w:t>
            </w:r>
          </w:p>
        </w:tc>
      </w:tr>
    </w:tbl>
    <w:p>
      <w:pPr>
        <w:spacing w:line="500" w:lineRule="exact"/>
        <w:ind w:firstLine="480" w:firstLineChars="200"/>
        <w:rPr>
          <w:rFonts w:hint="eastAsia" w:ascii="宋体" w:hAnsi="宋体" w:eastAsia="宋体" w:cs="宋体"/>
          <w:strike/>
          <w:sz w:val="24"/>
          <w:highlight w:val="none"/>
        </w:rPr>
      </w:pPr>
    </w:p>
    <w:p>
      <w:pPr>
        <w:spacing w:afterLines="100" w:line="420" w:lineRule="exact"/>
        <w:rPr>
          <w:rFonts w:ascii="宋体" w:cs="宋体"/>
          <w:b/>
          <w:sz w:val="24"/>
          <w:szCs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lang w:eastAsia="zh-CN"/>
        </w:rPr>
        <w:t>附表一：</w:t>
      </w:r>
      <w:r>
        <w:rPr>
          <w:rFonts w:hint="eastAsia" w:ascii="宋体" w:hAnsi="宋体" w:cs="宋体"/>
          <w:b/>
          <w:bCs/>
          <w:sz w:val="24"/>
          <w:szCs w:val="24"/>
          <w:highlight w:val="none"/>
        </w:rPr>
        <w:t>项目</w:t>
      </w:r>
      <w:r>
        <w:rPr>
          <w:rFonts w:hint="eastAsia" w:ascii="宋体" w:hAnsi="宋体" w:cs="宋体"/>
          <w:b/>
          <w:bCs/>
          <w:sz w:val="24"/>
          <w:szCs w:val="24"/>
          <w:highlight w:val="none"/>
          <w:lang w:eastAsia="zh-CN"/>
        </w:rPr>
        <w:t>部人员</w:t>
      </w:r>
      <w:r>
        <w:rPr>
          <w:rFonts w:hint="eastAsia" w:ascii="宋体" w:hAnsi="宋体" w:cs="宋体"/>
          <w:b/>
          <w:bCs/>
          <w:sz w:val="24"/>
          <w:szCs w:val="24"/>
          <w:highlight w:val="none"/>
        </w:rPr>
        <w:t>组成</w:t>
      </w:r>
    </w:p>
    <w:tbl>
      <w:tblPr>
        <w:tblStyle w:val="3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876"/>
        <w:gridCol w:w="1356"/>
        <w:gridCol w:w="1417"/>
        <w:gridCol w:w="1388"/>
        <w:gridCol w:w="173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noWrap w:val="0"/>
            <w:vAlign w:val="center"/>
          </w:tcPr>
          <w:p>
            <w:pPr>
              <w:jc w:val="center"/>
              <w:rPr>
                <w:rFonts w:ascii="宋体" w:cs="宋体"/>
                <w:sz w:val="24"/>
                <w:szCs w:val="24"/>
                <w:highlight w:val="none"/>
              </w:rPr>
            </w:pPr>
            <w:r>
              <w:rPr>
                <w:rFonts w:hint="eastAsia" w:ascii="宋体" w:hAnsi="宋体" w:cs="宋体"/>
                <w:sz w:val="24"/>
                <w:szCs w:val="24"/>
                <w:highlight w:val="none"/>
              </w:rPr>
              <w:t>职务</w:t>
            </w:r>
          </w:p>
        </w:tc>
        <w:tc>
          <w:tcPr>
            <w:tcW w:w="720" w:type="dxa"/>
            <w:vMerge w:val="restart"/>
            <w:noWrap w:val="0"/>
            <w:vAlign w:val="center"/>
          </w:tcPr>
          <w:p>
            <w:pPr>
              <w:jc w:val="center"/>
              <w:rPr>
                <w:rFonts w:ascii="宋体" w:cs="宋体"/>
                <w:sz w:val="24"/>
                <w:szCs w:val="24"/>
                <w:highlight w:val="none"/>
              </w:rPr>
            </w:pPr>
            <w:r>
              <w:rPr>
                <w:rFonts w:hint="eastAsia" w:ascii="宋体" w:hAnsi="宋体" w:cs="宋体"/>
                <w:sz w:val="24"/>
                <w:szCs w:val="24"/>
                <w:highlight w:val="none"/>
              </w:rPr>
              <w:t>姓名</w:t>
            </w:r>
          </w:p>
        </w:tc>
        <w:tc>
          <w:tcPr>
            <w:tcW w:w="876" w:type="dxa"/>
            <w:vMerge w:val="restart"/>
            <w:noWrap w:val="0"/>
            <w:vAlign w:val="center"/>
          </w:tcPr>
          <w:p>
            <w:pPr>
              <w:jc w:val="center"/>
              <w:rPr>
                <w:rFonts w:ascii="宋体" w:cs="宋体"/>
                <w:sz w:val="24"/>
                <w:szCs w:val="24"/>
                <w:highlight w:val="none"/>
              </w:rPr>
            </w:pPr>
            <w:r>
              <w:rPr>
                <w:rFonts w:hint="eastAsia" w:ascii="宋体" w:hAnsi="宋体" w:cs="宋体"/>
                <w:sz w:val="24"/>
                <w:szCs w:val="24"/>
                <w:highlight w:val="none"/>
              </w:rPr>
              <w:t>职称</w:t>
            </w:r>
          </w:p>
        </w:tc>
        <w:tc>
          <w:tcPr>
            <w:tcW w:w="5892" w:type="dxa"/>
            <w:gridSpan w:val="4"/>
            <w:noWrap w:val="0"/>
            <w:vAlign w:val="center"/>
          </w:tcPr>
          <w:p>
            <w:pPr>
              <w:jc w:val="center"/>
              <w:rPr>
                <w:rFonts w:ascii="宋体" w:cs="宋体"/>
                <w:sz w:val="24"/>
                <w:szCs w:val="24"/>
                <w:highlight w:val="none"/>
              </w:rPr>
            </w:pPr>
            <w:r>
              <w:rPr>
                <w:rFonts w:hint="eastAsia" w:ascii="宋体" w:hAnsi="宋体" w:cs="宋体"/>
                <w:sz w:val="24"/>
                <w:szCs w:val="24"/>
                <w:highlight w:val="none"/>
              </w:rPr>
              <w:t>执业或职业资格证明</w:t>
            </w:r>
          </w:p>
        </w:tc>
        <w:tc>
          <w:tcPr>
            <w:tcW w:w="708" w:type="dxa"/>
            <w:vMerge w:val="restart"/>
            <w:noWrap w:val="0"/>
            <w:vAlign w:val="center"/>
          </w:tcPr>
          <w:p>
            <w:pPr>
              <w:jc w:val="center"/>
              <w:rPr>
                <w:rFonts w:asci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noWrap w:val="0"/>
            <w:vAlign w:val="center"/>
          </w:tcPr>
          <w:p>
            <w:pPr>
              <w:jc w:val="center"/>
              <w:rPr>
                <w:rFonts w:ascii="宋体" w:cs="宋体"/>
                <w:sz w:val="24"/>
                <w:szCs w:val="24"/>
                <w:highlight w:val="none"/>
              </w:rPr>
            </w:pPr>
          </w:p>
        </w:tc>
        <w:tc>
          <w:tcPr>
            <w:tcW w:w="720" w:type="dxa"/>
            <w:vMerge w:val="continue"/>
            <w:noWrap w:val="0"/>
            <w:vAlign w:val="center"/>
          </w:tcPr>
          <w:p>
            <w:pPr>
              <w:jc w:val="center"/>
              <w:rPr>
                <w:rFonts w:ascii="宋体" w:cs="宋体"/>
                <w:sz w:val="24"/>
                <w:szCs w:val="24"/>
                <w:highlight w:val="none"/>
              </w:rPr>
            </w:pPr>
          </w:p>
        </w:tc>
        <w:tc>
          <w:tcPr>
            <w:tcW w:w="876" w:type="dxa"/>
            <w:vMerge w:val="continue"/>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r>
              <w:rPr>
                <w:rFonts w:hint="eastAsia" w:ascii="宋体" w:hAnsi="宋体" w:cs="宋体"/>
                <w:sz w:val="24"/>
                <w:szCs w:val="24"/>
                <w:highlight w:val="none"/>
              </w:rPr>
              <w:t>证书名称</w:t>
            </w:r>
          </w:p>
        </w:tc>
        <w:tc>
          <w:tcPr>
            <w:tcW w:w="1417" w:type="dxa"/>
            <w:noWrap w:val="0"/>
            <w:vAlign w:val="center"/>
          </w:tcPr>
          <w:p>
            <w:pPr>
              <w:jc w:val="center"/>
              <w:rPr>
                <w:rFonts w:ascii="宋体" w:cs="宋体"/>
                <w:sz w:val="24"/>
                <w:szCs w:val="24"/>
                <w:highlight w:val="none"/>
              </w:rPr>
            </w:pPr>
            <w:r>
              <w:rPr>
                <w:rFonts w:hint="eastAsia" w:ascii="宋体" w:hAnsi="宋体" w:cs="宋体"/>
                <w:sz w:val="24"/>
                <w:szCs w:val="24"/>
                <w:highlight w:val="none"/>
              </w:rPr>
              <w:t>级别</w:t>
            </w:r>
          </w:p>
        </w:tc>
        <w:tc>
          <w:tcPr>
            <w:tcW w:w="1388" w:type="dxa"/>
            <w:noWrap w:val="0"/>
            <w:vAlign w:val="center"/>
          </w:tcPr>
          <w:p>
            <w:pPr>
              <w:jc w:val="center"/>
              <w:rPr>
                <w:rFonts w:ascii="宋体" w:cs="宋体"/>
                <w:sz w:val="24"/>
                <w:szCs w:val="24"/>
                <w:highlight w:val="none"/>
              </w:rPr>
            </w:pPr>
            <w:r>
              <w:rPr>
                <w:rFonts w:hint="eastAsia" w:ascii="宋体" w:hAnsi="宋体" w:cs="宋体"/>
                <w:sz w:val="24"/>
                <w:szCs w:val="24"/>
                <w:highlight w:val="none"/>
              </w:rPr>
              <w:t>证号</w:t>
            </w:r>
          </w:p>
        </w:tc>
        <w:tc>
          <w:tcPr>
            <w:tcW w:w="1731" w:type="dxa"/>
            <w:noWrap w:val="0"/>
            <w:vAlign w:val="center"/>
          </w:tcPr>
          <w:p>
            <w:pPr>
              <w:jc w:val="center"/>
              <w:rPr>
                <w:rFonts w:ascii="宋体" w:cs="宋体"/>
                <w:sz w:val="24"/>
                <w:szCs w:val="24"/>
                <w:highlight w:val="none"/>
              </w:rPr>
            </w:pPr>
            <w:r>
              <w:rPr>
                <w:rFonts w:hint="eastAsia" w:ascii="宋体" w:hAnsi="宋体" w:cs="宋体"/>
                <w:sz w:val="24"/>
                <w:szCs w:val="24"/>
                <w:highlight w:val="none"/>
              </w:rPr>
              <w:t>专业</w:t>
            </w:r>
          </w:p>
          <w:p>
            <w:pPr>
              <w:jc w:val="center"/>
              <w:rPr>
                <w:rFonts w:ascii="宋体" w:cs="宋体"/>
                <w:sz w:val="24"/>
                <w:szCs w:val="24"/>
                <w:highlight w:val="none"/>
              </w:rPr>
            </w:pPr>
          </w:p>
        </w:tc>
        <w:tc>
          <w:tcPr>
            <w:tcW w:w="708" w:type="dxa"/>
            <w:vMerge w:val="continue"/>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jc w:val="center"/>
              <w:rPr>
                <w:rFonts w:ascii="宋体" w:cs="宋体"/>
                <w:sz w:val="24"/>
                <w:szCs w:val="24"/>
                <w:highlight w:val="none"/>
              </w:rPr>
            </w:pPr>
          </w:p>
        </w:tc>
        <w:tc>
          <w:tcPr>
            <w:tcW w:w="720" w:type="dxa"/>
            <w:noWrap w:val="0"/>
            <w:vAlign w:val="center"/>
          </w:tcPr>
          <w:p>
            <w:pPr>
              <w:jc w:val="center"/>
              <w:rPr>
                <w:rFonts w:ascii="宋体" w:cs="宋体"/>
                <w:sz w:val="24"/>
                <w:szCs w:val="24"/>
                <w:highlight w:val="none"/>
              </w:rPr>
            </w:pPr>
          </w:p>
        </w:tc>
        <w:tc>
          <w:tcPr>
            <w:tcW w:w="876" w:type="dxa"/>
            <w:noWrap w:val="0"/>
            <w:vAlign w:val="center"/>
          </w:tcPr>
          <w:p>
            <w:pPr>
              <w:jc w:val="center"/>
              <w:rPr>
                <w:rFonts w:ascii="宋体" w:cs="宋体"/>
                <w:sz w:val="24"/>
                <w:szCs w:val="24"/>
                <w:highlight w:val="none"/>
              </w:rPr>
            </w:pPr>
          </w:p>
        </w:tc>
        <w:tc>
          <w:tcPr>
            <w:tcW w:w="1356" w:type="dxa"/>
            <w:noWrap w:val="0"/>
            <w:vAlign w:val="center"/>
          </w:tcPr>
          <w:p>
            <w:pPr>
              <w:jc w:val="center"/>
              <w:rPr>
                <w:rFonts w:ascii="宋体" w:cs="宋体"/>
                <w:sz w:val="24"/>
                <w:szCs w:val="24"/>
                <w:highlight w:val="none"/>
              </w:rPr>
            </w:pPr>
          </w:p>
        </w:tc>
        <w:tc>
          <w:tcPr>
            <w:tcW w:w="1417" w:type="dxa"/>
            <w:noWrap w:val="0"/>
            <w:vAlign w:val="center"/>
          </w:tcPr>
          <w:p>
            <w:pPr>
              <w:jc w:val="center"/>
              <w:rPr>
                <w:rFonts w:ascii="宋体" w:cs="宋体"/>
                <w:sz w:val="24"/>
                <w:szCs w:val="24"/>
                <w:highlight w:val="none"/>
              </w:rPr>
            </w:pPr>
          </w:p>
        </w:tc>
        <w:tc>
          <w:tcPr>
            <w:tcW w:w="1388" w:type="dxa"/>
            <w:noWrap w:val="0"/>
            <w:vAlign w:val="center"/>
          </w:tcPr>
          <w:p>
            <w:pPr>
              <w:jc w:val="center"/>
              <w:rPr>
                <w:rFonts w:ascii="宋体" w:cs="宋体"/>
                <w:sz w:val="24"/>
                <w:szCs w:val="24"/>
                <w:highlight w:val="none"/>
              </w:rPr>
            </w:pPr>
          </w:p>
        </w:tc>
        <w:tc>
          <w:tcPr>
            <w:tcW w:w="1731" w:type="dxa"/>
            <w:noWrap w:val="0"/>
            <w:vAlign w:val="center"/>
          </w:tcPr>
          <w:p>
            <w:pPr>
              <w:jc w:val="center"/>
              <w:rPr>
                <w:rFonts w:ascii="宋体" w:cs="宋体"/>
                <w:sz w:val="24"/>
                <w:szCs w:val="24"/>
                <w:highlight w:val="none"/>
              </w:rPr>
            </w:pPr>
          </w:p>
        </w:tc>
        <w:tc>
          <w:tcPr>
            <w:tcW w:w="708" w:type="dxa"/>
            <w:noWrap w:val="0"/>
            <w:vAlign w:val="center"/>
          </w:tcPr>
          <w:p>
            <w:pPr>
              <w:jc w:val="center"/>
              <w:rPr>
                <w:rFonts w:ascii="宋体" w:cs="宋体"/>
                <w:sz w:val="24"/>
                <w:szCs w:val="24"/>
                <w:highlight w:val="none"/>
              </w:rPr>
            </w:pPr>
          </w:p>
        </w:tc>
      </w:tr>
    </w:tbl>
    <w:p>
      <w:pPr>
        <w:spacing w:line="420" w:lineRule="exact"/>
        <w:rPr>
          <w:rFonts w:ascii="宋体" w:cs="宋体"/>
          <w:sz w:val="24"/>
          <w:szCs w:val="24"/>
          <w:highlight w:val="none"/>
        </w:rPr>
      </w:pPr>
      <w:r>
        <w:rPr>
          <w:rFonts w:hint="eastAsia" w:ascii="宋体" w:hAnsi="宋体" w:cs="宋体"/>
          <w:sz w:val="24"/>
          <w:szCs w:val="24"/>
          <w:highlight w:val="none"/>
        </w:rPr>
        <w:t>附</w:t>
      </w:r>
      <w:r>
        <w:rPr>
          <w:rFonts w:hint="eastAsia" w:ascii="宋体" w:hAnsi="宋体" w:cs="宋体"/>
          <w:sz w:val="24"/>
          <w:szCs w:val="24"/>
          <w:highlight w:val="none"/>
          <w:lang w:eastAsia="zh-CN"/>
        </w:rPr>
        <w:t>相关人员</w:t>
      </w:r>
      <w:r>
        <w:rPr>
          <w:rFonts w:hint="eastAsia" w:ascii="宋体" w:hAnsi="宋体" w:cs="宋体"/>
          <w:sz w:val="24"/>
          <w:szCs w:val="24"/>
          <w:highlight w:val="none"/>
        </w:rPr>
        <w:t>相关证明材料</w:t>
      </w:r>
    </w:p>
    <w:p>
      <w:pPr>
        <w:outlineLvl w:val="9"/>
        <w:rPr>
          <w:rFonts w:hint="eastAsia" w:ascii="宋体" w:hAnsi="宋体" w:cs="宋体"/>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highlight w:val="none"/>
          <w:lang w:val="en-US" w:eastAsia="zh-CN"/>
        </w:rPr>
      </w:pPr>
      <w:r>
        <w:rPr>
          <w:rFonts w:hint="eastAsia"/>
          <w:b/>
          <w:bCs/>
          <w:sz w:val="24"/>
          <w:szCs w:val="24"/>
          <w:highlight w:val="none"/>
          <w:lang w:val="en-US" w:eastAsia="zh-CN"/>
        </w:rPr>
        <w:br w:type="page"/>
      </w:r>
      <w:r>
        <w:rPr>
          <w:rFonts w:hint="eastAsia"/>
          <w:b/>
          <w:bCs/>
          <w:sz w:val="24"/>
          <w:szCs w:val="24"/>
          <w:highlight w:val="none"/>
          <w:lang w:val="en-US" w:eastAsia="zh-CN"/>
        </w:rPr>
        <w:t>附表二：主要材料、设备品牌选用表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739"/>
        <w:gridCol w:w="1691"/>
        <w:gridCol w:w="214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序号</w:t>
            </w:r>
          </w:p>
        </w:tc>
        <w:tc>
          <w:tcPr>
            <w:tcW w:w="2739" w:type="dxa"/>
            <w:noWrap w:val="0"/>
            <w:vAlign w:val="top"/>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材料、设备名称</w:t>
            </w:r>
          </w:p>
        </w:tc>
        <w:tc>
          <w:tcPr>
            <w:tcW w:w="1691" w:type="dxa"/>
            <w:noWrap w:val="0"/>
            <w:vAlign w:val="top"/>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品牌</w:t>
            </w:r>
          </w:p>
        </w:tc>
        <w:tc>
          <w:tcPr>
            <w:tcW w:w="2149" w:type="dxa"/>
            <w:noWrap w:val="0"/>
            <w:vAlign w:val="top"/>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型号或系列</w:t>
            </w:r>
          </w:p>
        </w:tc>
        <w:tc>
          <w:tcPr>
            <w:tcW w:w="1631" w:type="dxa"/>
            <w:noWrap w:val="0"/>
            <w:vAlign w:val="top"/>
          </w:tcPr>
          <w:p>
            <w:pPr>
              <w:jc w:val="center"/>
              <w:rPr>
                <w:rFonts w:hint="default"/>
                <w:sz w:val="28"/>
                <w:szCs w:val="28"/>
                <w:highlight w:val="none"/>
                <w:vertAlign w:val="baseline"/>
                <w:lang w:val="en-US" w:eastAsia="zh-CN"/>
              </w:rPr>
            </w:pPr>
            <w:r>
              <w:rPr>
                <w:rFonts w:hint="eastAsia"/>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2</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3</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4</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5</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6</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7</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8</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9</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10</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sz w:val="28"/>
                <w:szCs w:val="28"/>
                <w:highlight w:val="none"/>
                <w:vertAlign w:val="baseline"/>
                <w:lang w:val="en-US" w:eastAsia="zh-CN"/>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11</w:t>
            </w:r>
          </w:p>
        </w:tc>
        <w:tc>
          <w:tcPr>
            <w:tcW w:w="2739" w:type="dxa"/>
            <w:noWrap w:val="0"/>
            <w:vAlign w:val="center"/>
          </w:tcPr>
          <w:p>
            <w:pPr>
              <w:widowControl/>
              <w:jc w:val="center"/>
              <w:textAlignment w:val="center"/>
              <w:rPr>
                <w:rFonts w:hint="default"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12</w:t>
            </w:r>
          </w:p>
        </w:tc>
        <w:tc>
          <w:tcPr>
            <w:tcW w:w="2739" w:type="dxa"/>
            <w:noWrap w:val="0"/>
            <w:vAlign w:val="center"/>
          </w:tcPr>
          <w:p>
            <w:pPr>
              <w:widowControl/>
              <w:jc w:val="center"/>
              <w:textAlignment w:val="center"/>
              <w:rPr>
                <w:rFonts w:hint="default"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13</w:t>
            </w:r>
          </w:p>
        </w:tc>
        <w:tc>
          <w:tcPr>
            <w:tcW w:w="2739" w:type="dxa"/>
            <w:noWrap w:val="0"/>
            <w:vAlign w:val="center"/>
          </w:tcPr>
          <w:p>
            <w:pPr>
              <w:widowControl/>
              <w:jc w:val="center"/>
              <w:textAlignment w:val="center"/>
              <w:rPr>
                <w:rFonts w:hint="default"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kern w:val="2"/>
                <w:sz w:val="28"/>
                <w:szCs w:val="28"/>
                <w:highlight w:val="none"/>
                <w:vertAlign w:val="baseline"/>
                <w:lang w:val="en-US" w:eastAsia="zh-CN" w:bidi="ar-SA"/>
              </w:rPr>
            </w:pPr>
            <w:r>
              <w:rPr>
                <w:rFonts w:hint="eastAsia" w:ascii="宋体" w:hAnsi="宋体" w:eastAsia="宋体" w:cs="宋体"/>
                <w:sz w:val="28"/>
                <w:szCs w:val="28"/>
                <w:highlight w:val="none"/>
                <w:vertAlign w:val="baseline"/>
                <w:lang w:val="en-US" w:eastAsia="zh-CN"/>
              </w:rPr>
              <w:t>14</w:t>
            </w:r>
          </w:p>
        </w:tc>
        <w:tc>
          <w:tcPr>
            <w:tcW w:w="2739" w:type="dxa"/>
            <w:noWrap w:val="0"/>
            <w:vAlign w:val="center"/>
          </w:tcPr>
          <w:p>
            <w:pPr>
              <w:widowControl/>
              <w:jc w:val="center"/>
              <w:textAlignment w:val="center"/>
              <w:rPr>
                <w:rFonts w:hint="default" w:ascii="宋体" w:hAnsi="宋体" w:eastAsia="宋体" w:cs="宋体"/>
                <w:b w:val="0"/>
                <w:bCs/>
                <w:color w:val="000000"/>
                <w:kern w:val="0"/>
                <w:sz w:val="28"/>
                <w:szCs w:val="28"/>
                <w:highlight w:val="none"/>
                <w:lang w:val="en-US" w:eastAsia="zh-CN"/>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eastAsia" w:ascii="宋体" w:hAnsi="宋体" w:eastAsia="宋体" w:cs="宋体"/>
                <w:kern w:val="2"/>
                <w:sz w:val="28"/>
                <w:szCs w:val="28"/>
                <w:highlight w:val="none"/>
                <w:vertAlign w:val="baseline"/>
                <w:lang w:val="en-US" w:eastAsia="zh-CN" w:bidi="ar-SA"/>
              </w:rPr>
            </w:pPr>
            <w:r>
              <w:rPr>
                <w:rFonts w:hint="eastAsia" w:ascii="宋体" w:hAnsi="宋体" w:eastAsia="宋体" w:cs="宋体"/>
                <w:sz w:val="28"/>
                <w:szCs w:val="28"/>
                <w:highlight w:val="none"/>
                <w:vertAlign w:val="baseline"/>
                <w:lang w:val="en-US" w:eastAsia="zh-CN"/>
              </w:rPr>
              <w:t>15</w:t>
            </w:r>
          </w:p>
        </w:tc>
        <w:tc>
          <w:tcPr>
            <w:tcW w:w="2739" w:type="dxa"/>
            <w:noWrap w:val="0"/>
            <w:vAlign w:val="center"/>
          </w:tcPr>
          <w:p>
            <w:pPr>
              <w:widowControl/>
              <w:jc w:val="center"/>
              <w:textAlignment w:val="center"/>
              <w:rPr>
                <w:rFonts w:hint="default" w:ascii="宋体" w:hAnsi="宋体" w:eastAsia="宋体" w:cs="宋体"/>
                <w:b w:val="0"/>
                <w:bCs/>
                <w:color w:val="000000"/>
                <w:kern w:val="0"/>
                <w:sz w:val="28"/>
                <w:szCs w:val="28"/>
                <w:highlight w:val="none"/>
                <w:lang w:val="en-US" w:eastAsia="zh-CN"/>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16</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17</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18</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19</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kern w:val="2"/>
                <w:sz w:val="28"/>
                <w:szCs w:val="28"/>
                <w:highlight w:val="none"/>
                <w:vertAlign w:val="baseline"/>
                <w:lang w:val="en-US" w:eastAsia="zh-CN" w:bidi="ar-SA"/>
              </w:rPr>
            </w:pPr>
            <w:r>
              <w:rPr>
                <w:rFonts w:hint="eastAsia" w:ascii="宋体" w:hAnsi="宋体" w:cs="宋体"/>
                <w:sz w:val="28"/>
                <w:szCs w:val="28"/>
                <w:highlight w:val="none"/>
                <w:vertAlign w:val="baseline"/>
                <w:lang w:val="en-US" w:eastAsia="zh-CN"/>
              </w:rPr>
              <w:t>20</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21</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22</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23</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24</w:t>
            </w:r>
          </w:p>
        </w:tc>
        <w:tc>
          <w:tcPr>
            <w:tcW w:w="2739" w:type="dxa"/>
            <w:noWrap w:val="0"/>
            <w:vAlign w:val="center"/>
          </w:tcPr>
          <w:p>
            <w:pPr>
              <w:widowControl/>
              <w:jc w:val="center"/>
              <w:textAlignment w:val="center"/>
              <w:rPr>
                <w:rFonts w:hint="eastAsia" w:ascii="宋体" w:hAnsi="宋体" w:eastAsia="宋体" w:cs="宋体"/>
                <w:color w:val="000000"/>
                <w:kern w:val="2"/>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25</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26</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27</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kern w:val="2"/>
                <w:sz w:val="28"/>
                <w:szCs w:val="28"/>
                <w:highlight w:val="none"/>
                <w:vertAlign w:val="baseline"/>
                <w:lang w:val="en-US" w:eastAsia="zh-CN" w:bidi="ar-SA"/>
              </w:rPr>
            </w:pPr>
            <w:r>
              <w:rPr>
                <w:rFonts w:hint="eastAsia" w:ascii="宋体" w:hAnsi="宋体" w:cs="宋体"/>
                <w:sz w:val="28"/>
                <w:szCs w:val="28"/>
                <w:highlight w:val="none"/>
                <w:vertAlign w:val="baseline"/>
                <w:lang w:val="en-US" w:eastAsia="zh-CN"/>
              </w:rPr>
              <w:t>28</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kern w:val="2"/>
                <w:sz w:val="28"/>
                <w:szCs w:val="28"/>
                <w:highlight w:val="none"/>
                <w:vertAlign w:val="baseline"/>
                <w:lang w:val="en-US" w:eastAsia="zh-CN" w:bidi="ar-SA"/>
              </w:rPr>
            </w:pPr>
            <w:r>
              <w:rPr>
                <w:rFonts w:hint="eastAsia" w:ascii="宋体" w:hAnsi="宋体" w:cs="宋体"/>
                <w:kern w:val="2"/>
                <w:sz w:val="28"/>
                <w:szCs w:val="28"/>
                <w:highlight w:val="none"/>
                <w:vertAlign w:val="baseline"/>
                <w:lang w:val="en-US" w:eastAsia="zh-CN" w:bidi="ar-SA"/>
              </w:rPr>
              <w:t>29</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kern w:val="2"/>
                <w:sz w:val="28"/>
                <w:szCs w:val="28"/>
                <w:highlight w:val="none"/>
                <w:vertAlign w:val="baseline"/>
                <w:lang w:val="en-US" w:eastAsia="zh-CN" w:bidi="ar-SA"/>
              </w:rPr>
            </w:pPr>
            <w:r>
              <w:rPr>
                <w:rFonts w:hint="eastAsia" w:ascii="宋体" w:hAnsi="宋体" w:cs="宋体"/>
                <w:kern w:val="2"/>
                <w:sz w:val="28"/>
                <w:szCs w:val="28"/>
                <w:highlight w:val="none"/>
                <w:vertAlign w:val="baseline"/>
                <w:lang w:val="en-US" w:eastAsia="zh-CN" w:bidi="ar-SA"/>
              </w:rPr>
              <w:t>30</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kern w:val="2"/>
                <w:sz w:val="28"/>
                <w:szCs w:val="28"/>
                <w:highlight w:val="none"/>
                <w:vertAlign w:val="baseline"/>
                <w:lang w:val="en-US" w:eastAsia="zh-CN" w:bidi="ar-SA"/>
              </w:rPr>
            </w:pPr>
            <w:r>
              <w:rPr>
                <w:rFonts w:hint="eastAsia" w:ascii="宋体" w:hAnsi="宋体" w:cs="宋体"/>
                <w:kern w:val="2"/>
                <w:sz w:val="28"/>
                <w:szCs w:val="28"/>
                <w:highlight w:val="none"/>
                <w:vertAlign w:val="baseline"/>
                <w:lang w:val="en-US" w:eastAsia="zh-CN" w:bidi="ar-SA"/>
              </w:rPr>
              <w:t>31</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kern w:val="2"/>
                <w:sz w:val="28"/>
                <w:szCs w:val="28"/>
                <w:highlight w:val="none"/>
                <w:vertAlign w:val="baseline"/>
                <w:lang w:val="en-US" w:eastAsia="zh-CN" w:bidi="ar-SA"/>
              </w:rPr>
            </w:pPr>
            <w:r>
              <w:rPr>
                <w:rFonts w:hint="eastAsia" w:ascii="宋体" w:hAnsi="宋体" w:cs="宋体"/>
                <w:kern w:val="2"/>
                <w:sz w:val="28"/>
                <w:szCs w:val="28"/>
                <w:highlight w:val="none"/>
                <w:vertAlign w:val="baseline"/>
                <w:lang w:val="en-US" w:eastAsia="zh-CN" w:bidi="ar-SA"/>
              </w:rPr>
              <w:t>32</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33</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jc w:val="center"/>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34</w:t>
            </w:r>
          </w:p>
        </w:tc>
        <w:tc>
          <w:tcPr>
            <w:tcW w:w="2739" w:type="dxa"/>
            <w:noWrap w:val="0"/>
            <w:vAlign w:val="center"/>
          </w:tcPr>
          <w:p>
            <w:pPr>
              <w:widowControl/>
              <w:jc w:val="center"/>
              <w:textAlignment w:val="center"/>
              <w:rPr>
                <w:rFonts w:hint="eastAsia" w:ascii="宋体" w:hAnsi="宋体" w:eastAsia="宋体" w:cs="宋体"/>
                <w:b w:val="0"/>
                <w:bCs/>
                <w:color w:val="000000"/>
                <w:kern w:val="0"/>
                <w:sz w:val="28"/>
                <w:szCs w:val="28"/>
                <w:highlight w:val="none"/>
                <w:lang w:val="en-US" w:eastAsia="zh-CN" w:bidi="ar-SA"/>
              </w:rPr>
            </w:pPr>
          </w:p>
        </w:tc>
        <w:tc>
          <w:tcPr>
            <w:tcW w:w="1691" w:type="dxa"/>
            <w:noWrap w:val="0"/>
            <w:vAlign w:val="top"/>
          </w:tcPr>
          <w:p>
            <w:pPr>
              <w:jc w:val="center"/>
              <w:rPr>
                <w:rFonts w:hint="eastAsia" w:ascii="Calibri" w:hAnsi="Calibri" w:eastAsia="宋体" w:cs="Times New Roman"/>
                <w:kern w:val="2"/>
                <w:sz w:val="28"/>
                <w:szCs w:val="28"/>
                <w:highlight w:val="none"/>
                <w:vertAlign w:val="baseline"/>
                <w:lang w:val="en-US" w:eastAsia="zh-CN" w:bidi="ar-SA"/>
              </w:rPr>
            </w:pPr>
          </w:p>
        </w:tc>
        <w:tc>
          <w:tcPr>
            <w:tcW w:w="2149" w:type="dxa"/>
            <w:noWrap w:val="0"/>
            <w:vAlign w:val="top"/>
          </w:tcPr>
          <w:p>
            <w:pPr>
              <w:jc w:val="center"/>
              <w:rPr>
                <w:rFonts w:hint="eastAsia"/>
                <w:sz w:val="28"/>
                <w:szCs w:val="28"/>
                <w:highlight w:val="none"/>
                <w:vertAlign w:val="baseline"/>
                <w:lang w:val="en-US" w:eastAsia="zh-CN"/>
              </w:rPr>
            </w:pPr>
          </w:p>
        </w:tc>
        <w:tc>
          <w:tcPr>
            <w:tcW w:w="1631" w:type="dxa"/>
            <w:noWrap w:val="0"/>
            <w:vAlign w:val="top"/>
          </w:tcPr>
          <w:p>
            <w:pPr>
              <w:jc w:val="center"/>
              <w:rPr>
                <w:rFonts w:hint="eastAsia"/>
                <w:sz w:val="28"/>
                <w:szCs w:val="28"/>
                <w:highlight w:val="none"/>
                <w:vertAlign w:val="baseline"/>
                <w:lang w:val="en-US" w:eastAsia="zh-CN"/>
              </w:rPr>
            </w:pPr>
          </w:p>
        </w:tc>
      </w:tr>
    </w:tbl>
    <w:p>
      <w:pPr>
        <w:jc w:val="both"/>
        <w:rPr>
          <w:rFonts w:hint="default"/>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420" w:lineRule="exact"/>
        <w:jc w:val="center"/>
        <w:textAlignment w:val="auto"/>
        <w:outlineLvl w:val="1"/>
        <w:rPr>
          <w:rFonts w:hint="eastAsia" w:ascii="宋体" w:hAnsi="宋体" w:eastAsia="宋体" w:cs="宋体"/>
          <w:highlight w:val="none"/>
        </w:rPr>
      </w:pPr>
      <w:r>
        <w:rPr>
          <w:rFonts w:hint="eastAsia" w:ascii="宋体" w:hAnsi="宋体" w:eastAsia="宋体" w:cs="宋体"/>
          <w:sz w:val="24"/>
          <w:highlight w:val="none"/>
        </w:rPr>
        <w:br w:type="page"/>
      </w:r>
      <w:bookmarkStart w:id="1522" w:name="_Toc22519"/>
      <w:r>
        <w:rPr>
          <w:rFonts w:hint="eastAsia" w:ascii="宋体" w:hAnsi="宋体" w:eastAsia="宋体" w:cs="宋体"/>
          <w:b/>
          <w:bCs/>
          <w:sz w:val="36"/>
          <w:szCs w:val="32"/>
          <w:highlight w:val="none"/>
          <w:lang w:eastAsia="zh-CN"/>
        </w:rPr>
        <w:t>六、类似</w:t>
      </w:r>
      <w:r>
        <w:rPr>
          <w:rFonts w:hint="eastAsia" w:ascii="宋体" w:hAnsi="宋体" w:eastAsia="宋体" w:cs="宋体"/>
          <w:b/>
          <w:bCs/>
          <w:sz w:val="36"/>
          <w:szCs w:val="32"/>
          <w:highlight w:val="none"/>
        </w:rPr>
        <w:t>业绩</w:t>
      </w:r>
      <w:bookmarkEnd w:id="1522"/>
      <w:r>
        <w:rPr>
          <w:rFonts w:hint="eastAsia" w:ascii="宋体" w:hAnsi="宋体" w:eastAsia="宋体" w:cs="宋体"/>
          <w:b/>
          <w:bCs/>
          <w:sz w:val="36"/>
          <w:szCs w:val="32"/>
          <w:highlight w:val="none"/>
          <w:lang w:eastAsia="zh-CN"/>
        </w:rPr>
        <w:t>一览表</w:t>
      </w:r>
    </w:p>
    <w:bookmarkEnd w:id="1519"/>
    <w:bookmarkEnd w:id="1520"/>
    <w:bookmarkEnd w:id="1521"/>
    <w:tbl>
      <w:tblPr>
        <w:tblStyle w:val="3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竣工日期</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施工承包方</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6606" w:type="dxa"/>
            <w:noWrap w:val="0"/>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606" w:type="dxa"/>
            <w:noWrap w:val="0"/>
            <w:vAlign w:val="center"/>
          </w:tcPr>
          <w:p>
            <w:pPr>
              <w:rPr>
                <w:rFonts w:hint="eastAsia" w:ascii="宋体" w:hAnsi="宋体" w:eastAsia="宋体" w:cs="宋体"/>
                <w:sz w:val="24"/>
                <w:szCs w:val="24"/>
                <w:highlight w:val="none"/>
              </w:rPr>
            </w:pPr>
          </w:p>
        </w:tc>
      </w:tr>
    </w:tbl>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注：1.每张表格只填写一个工程项目，并标明表序。</w:t>
      </w:r>
    </w:p>
    <w:p>
      <w:pPr>
        <w:adjustRightInd w:val="0"/>
        <w:snapToGrid w:val="0"/>
        <w:spacing w:line="360" w:lineRule="auto"/>
        <w:rPr>
          <w:rFonts w:hint="eastAsia" w:ascii="宋体" w:hAnsi="宋体" w:eastAsia="宋体" w:cs="宋体"/>
          <w:highlight w:val="none"/>
        </w:rPr>
      </w:pPr>
      <w:r>
        <w:rPr>
          <w:rFonts w:hint="eastAsia" w:ascii="宋体" w:hAnsi="宋体" w:eastAsia="宋体" w:cs="宋体"/>
          <w:sz w:val="24"/>
          <w:szCs w:val="24"/>
          <w:highlight w:val="none"/>
        </w:rPr>
        <w:t xml:space="preserve">    2.类似项目业绩须在此表后附相关证明材料，具体要求见评标办法。</w:t>
      </w:r>
    </w:p>
    <w:p>
      <w:pPr>
        <w:jc w:val="center"/>
        <w:outlineLvl w:val="1"/>
        <w:rPr>
          <w:rFonts w:hint="eastAsia" w:ascii="宋体" w:hAnsi="宋体" w:eastAsia="宋体" w:cs="宋体"/>
          <w:b/>
          <w:bCs/>
          <w:sz w:val="28"/>
          <w:szCs w:val="24"/>
          <w:highlight w:val="none"/>
          <w:lang w:eastAsia="zh-CN"/>
        </w:rPr>
      </w:pPr>
      <w:r>
        <w:rPr>
          <w:rFonts w:hint="eastAsia" w:ascii="宋体" w:hAnsi="宋体" w:eastAsia="宋体" w:cs="宋体"/>
          <w:highlight w:val="none"/>
        </w:rPr>
        <w:br w:type="page"/>
      </w:r>
      <w:r>
        <w:rPr>
          <w:rFonts w:hint="eastAsia" w:ascii="宋体" w:hAnsi="宋体" w:eastAsia="宋体" w:cs="宋体"/>
          <w:b/>
          <w:bCs/>
          <w:sz w:val="36"/>
          <w:szCs w:val="32"/>
          <w:highlight w:val="none"/>
          <w:lang w:eastAsia="zh-CN"/>
        </w:rPr>
        <w:t>七、其他资料</w:t>
      </w:r>
    </w:p>
    <w:p>
      <w:pPr>
        <w:pStyle w:val="5"/>
        <w:rPr>
          <w:rFonts w:hint="eastAsia" w:ascii="宋体" w:hAnsi="宋体" w:eastAsia="宋体" w:cs="宋体"/>
          <w:b/>
          <w:bCs/>
          <w:sz w:val="28"/>
          <w:szCs w:val="24"/>
          <w:highlight w:val="none"/>
          <w:lang w:eastAsia="zh-CN"/>
        </w:rPr>
      </w:pPr>
    </w:p>
    <w:p>
      <w:pPr>
        <w:pStyle w:val="2"/>
        <w:rPr>
          <w:rFonts w:hint="eastAsia"/>
          <w:highlight w:val="none"/>
          <w:lang w:eastAsia="zh-CN"/>
        </w:rPr>
        <w:sectPr>
          <w:headerReference r:id="rId13" w:type="default"/>
          <w:pgSz w:w="11906" w:h="16838"/>
          <w:pgMar w:top="1440" w:right="1304" w:bottom="1440" w:left="1304" w:header="851" w:footer="992" w:gutter="0"/>
          <w:pgNumType w:fmt="decimal"/>
          <w:cols w:space="720" w:num="1"/>
          <w:docGrid w:type="linesAndChars" w:linePitch="312" w:charSpace="0"/>
        </w:sectPr>
      </w:pPr>
      <w:r>
        <w:rPr>
          <w:rFonts w:hint="eastAsia" w:ascii="宋体" w:hAnsi="宋体" w:eastAsia="宋体" w:cs="宋体"/>
          <w:b/>
          <w:bCs/>
          <w:sz w:val="28"/>
          <w:szCs w:val="24"/>
          <w:highlight w:val="none"/>
          <w:lang w:eastAsia="zh-CN"/>
        </w:rPr>
        <w:t>供应商认为有必要说明的其他资料</w:t>
      </w:r>
    </w:p>
    <w:bookmarkEnd w:id="1498"/>
    <w:p>
      <w:pPr>
        <w:pStyle w:val="8"/>
        <w:bidi w:val="0"/>
        <w:jc w:val="left"/>
        <w:outlineLvl w:val="2"/>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附件1：</w:t>
      </w:r>
    </w:p>
    <w:p>
      <w:pPr>
        <w:pStyle w:val="8"/>
        <w:bidi w:val="0"/>
        <w:jc w:val="center"/>
        <w:outlineLvl w:val="2"/>
        <w:rPr>
          <w:rFonts w:hint="eastAsia" w:ascii="宋体" w:hAnsi="宋体" w:eastAsia="宋体" w:cs="宋体"/>
          <w:b/>
          <w:bCs/>
          <w:highlight w:val="none"/>
        </w:rPr>
      </w:pPr>
      <w:bookmarkStart w:id="1523" w:name="_Toc14841"/>
      <w:r>
        <w:rPr>
          <w:rFonts w:hint="eastAsia" w:ascii="宋体" w:hAnsi="宋体" w:eastAsia="宋体" w:cs="宋体"/>
          <w:highlight w:val="none"/>
        </w:rPr>
        <w:t>中小企业声明函</w:t>
      </w:r>
      <w:bookmarkEnd w:id="1523"/>
    </w:p>
    <w:p>
      <w:pPr>
        <w:pStyle w:val="15"/>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本公司（联合体）郑重声明，根据《政府采购促进中小企业发展管理办法》（财库﹝2020﹞46 号）的规定，本公司（联合体）参加</w:t>
      </w:r>
      <w:r>
        <w:rPr>
          <w:rFonts w:hint="eastAsia" w:ascii="宋体" w:hAnsi="宋体" w:eastAsia="宋体" w:cs="宋体"/>
          <w:kern w:val="0"/>
          <w:sz w:val="24"/>
          <w:highlight w:val="none"/>
          <w:u w:val="single"/>
        </w:rPr>
        <w:t>（单位名称）</w:t>
      </w:r>
      <w:r>
        <w:rPr>
          <w:rFonts w:hint="eastAsia" w:ascii="宋体" w:hAnsi="宋体" w:eastAsia="宋体" w:cs="宋体"/>
          <w:kern w:val="0"/>
          <w:sz w:val="24"/>
          <w:highlight w:val="none"/>
        </w:rPr>
        <w:t>的</w:t>
      </w:r>
      <w:r>
        <w:rPr>
          <w:rFonts w:hint="eastAsia" w:ascii="宋体" w:hAnsi="宋体" w:eastAsia="宋体" w:cs="宋体"/>
          <w:kern w:val="0"/>
          <w:sz w:val="24"/>
          <w:highlight w:val="none"/>
          <w:u w:val="single"/>
        </w:rPr>
        <w:t>（项目名称）</w:t>
      </w:r>
      <w:r>
        <w:rPr>
          <w:rFonts w:hint="eastAsia" w:ascii="宋体" w:hAnsi="宋体" w:eastAsia="宋体" w:cs="宋体"/>
          <w:kern w:val="0"/>
          <w:sz w:val="24"/>
          <w:highlight w:val="none"/>
        </w:rPr>
        <w:t>采购活动，工程的施工单位全部为符合政策要求的中小企业。相关企业（含联合体中的中小企业、签订分包意向协议的中小企业）的具体情况如下：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u w:val="single"/>
        </w:rPr>
        <w:t>（标的名称）</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rPr>
        <w:t>（采购文件中明确的所属行业）</w:t>
      </w:r>
      <w:r>
        <w:rPr>
          <w:rFonts w:hint="eastAsia" w:ascii="宋体" w:hAnsi="宋体" w:eastAsia="宋体" w:cs="宋体"/>
          <w:kern w:val="0"/>
          <w:sz w:val="24"/>
          <w:szCs w:val="24"/>
          <w:highlight w:val="none"/>
        </w:rPr>
        <w:t>；承建（承接）企业为</w:t>
      </w:r>
      <w:r>
        <w:rPr>
          <w:rFonts w:hint="eastAsia" w:ascii="宋体" w:hAnsi="宋体" w:eastAsia="宋体" w:cs="宋体"/>
          <w:kern w:val="0"/>
          <w:sz w:val="24"/>
          <w:szCs w:val="24"/>
          <w:highlight w:val="none"/>
          <w:u w:val="single"/>
        </w:rPr>
        <w:t>（企业名称）</w:t>
      </w: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人，营业收入为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万元，资产总额为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万元，属于</w:t>
      </w:r>
      <w:r>
        <w:rPr>
          <w:rFonts w:hint="eastAsia" w:ascii="宋体" w:hAnsi="宋体" w:eastAsia="宋体" w:cs="宋体"/>
          <w:kern w:val="0"/>
          <w:sz w:val="24"/>
          <w:szCs w:val="24"/>
          <w:highlight w:val="none"/>
          <w:u w:val="single"/>
        </w:rPr>
        <w:t>（中型企业、小型企业、微型企业）</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u w:val="single"/>
        </w:rPr>
        <w:t>（标的名称）</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rPr>
        <w:t>（采购文件中明确的所属行业）</w:t>
      </w:r>
      <w:r>
        <w:rPr>
          <w:rFonts w:hint="eastAsia" w:ascii="宋体" w:hAnsi="宋体" w:eastAsia="宋体" w:cs="宋体"/>
          <w:kern w:val="0"/>
          <w:sz w:val="24"/>
          <w:szCs w:val="24"/>
          <w:highlight w:val="none"/>
        </w:rPr>
        <w:t>；承建（承接）企业为</w:t>
      </w:r>
      <w:r>
        <w:rPr>
          <w:rFonts w:hint="eastAsia" w:ascii="宋体" w:hAnsi="宋体" w:eastAsia="宋体" w:cs="宋体"/>
          <w:kern w:val="0"/>
          <w:sz w:val="24"/>
          <w:szCs w:val="24"/>
          <w:highlight w:val="none"/>
          <w:u w:val="single"/>
        </w:rPr>
        <w:t>（企业名称）</w:t>
      </w: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人，营业收入为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万元，资产总额为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万元，属于</w:t>
      </w:r>
      <w:r>
        <w:rPr>
          <w:rFonts w:hint="eastAsia" w:ascii="宋体" w:hAnsi="宋体" w:eastAsia="宋体" w:cs="宋体"/>
          <w:kern w:val="0"/>
          <w:sz w:val="24"/>
          <w:szCs w:val="24"/>
          <w:highlight w:val="none"/>
          <w:u w:val="single"/>
        </w:rPr>
        <w:t>（中型企业、小型企业、微型企业）</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本企业对上述声明内容的真实性负责。如有虚假，将依法承担相应责任。</w:t>
      </w:r>
    </w:p>
    <w:p>
      <w:pPr>
        <w:widowControl/>
        <w:spacing w:line="480" w:lineRule="auto"/>
        <w:ind w:firstLine="5280" w:firstLineChars="2200"/>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eastAsia="zh-CN"/>
        </w:rPr>
        <w:t>单位名称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（盖章）</w:t>
      </w:r>
    </w:p>
    <w:p>
      <w:pPr>
        <w:widowControl/>
        <w:spacing w:line="480" w:lineRule="auto"/>
        <w:ind w:firstLine="5280" w:firstLineChars="2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pPr>
        <w:spacing w:line="440" w:lineRule="exact"/>
        <w:ind w:firstLine="482"/>
        <w:rPr>
          <w:rFonts w:hint="eastAsia" w:ascii="宋体" w:hAnsi="宋体" w:eastAsia="宋体" w:cs="宋体"/>
          <w:b/>
          <w:color w:val="auto"/>
          <w:sz w:val="24"/>
          <w:highlight w:val="none"/>
        </w:rPr>
      </w:pPr>
      <w:bookmarkStart w:id="1524" w:name="_Hlk17733230"/>
      <w:r>
        <w:rPr>
          <w:rFonts w:hint="eastAsia" w:ascii="宋体" w:hAnsi="宋体" w:eastAsia="宋体" w:cs="宋体"/>
          <w:b/>
          <w:color w:val="auto"/>
          <w:sz w:val="24"/>
          <w:highlight w:val="none"/>
        </w:rPr>
        <w:t>备注：</w:t>
      </w:r>
    </w:p>
    <w:p>
      <w:pPr>
        <w:spacing w:line="44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eastAsia="zh-CN"/>
        </w:rPr>
        <w:t>本项目为建筑业行业。</w:t>
      </w:r>
    </w:p>
    <w:p>
      <w:pPr>
        <w:spacing w:line="440" w:lineRule="exact"/>
        <w:ind w:firstLine="482"/>
        <w:rPr>
          <w:rFonts w:hint="eastAsia" w:ascii="宋体" w:hAnsi="宋体" w:eastAsia="宋体" w:cs="宋体"/>
          <w:b/>
          <w:color w:val="auto"/>
          <w:sz w:val="24"/>
          <w:szCs w:val="22"/>
          <w:highlight w:val="none"/>
        </w:rPr>
      </w:pPr>
      <w:r>
        <w:rPr>
          <w:rFonts w:hint="eastAsia" w:ascii="宋体" w:hAnsi="宋体" w:cs="宋体"/>
          <w:b/>
          <w:color w:val="auto"/>
          <w:sz w:val="24"/>
          <w:szCs w:val="22"/>
          <w:highlight w:val="none"/>
          <w:lang w:val="en-US" w:eastAsia="zh-CN"/>
        </w:rPr>
        <w:t>2</w:t>
      </w:r>
      <w:r>
        <w:rPr>
          <w:rFonts w:hint="eastAsia" w:ascii="宋体" w:hAnsi="宋体" w:eastAsia="宋体" w:cs="宋体"/>
          <w:b/>
          <w:color w:val="auto"/>
          <w:sz w:val="24"/>
          <w:szCs w:val="22"/>
          <w:highlight w:val="none"/>
        </w:rPr>
        <w:t>.</w:t>
      </w:r>
      <w:r>
        <w:rPr>
          <w:rFonts w:hint="eastAsia" w:ascii="宋体" w:hAnsi="宋体" w:cs="宋体"/>
          <w:b/>
          <w:color w:val="auto"/>
          <w:sz w:val="24"/>
          <w:szCs w:val="22"/>
          <w:highlight w:val="none"/>
          <w:lang w:eastAsia="zh-CN"/>
        </w:rPr>
        <w:t>本项目专门面向中小企业，</w:t>
      </w:r>
      <w:r>
        <w:rPr>
          <w:rFonts w:hint="eastAsia" w:ascii="宋体" w:hAnsi="宋体" w:eastAsia="宋体" w:cs="宋体"/>
          <w:b/>
          <w:color w:val="auto"/>
          <w:sz w:val="24"/>
          <w:szCs w:val="22"/>
          <w:highlight w:val="none"/>
          <w:lang w:eastAsia="zh-CN"/>
        </w:rPr>
        <w:t>供应商</w:t>
      </w:r>
      <w:r>
        <w:rPr>
          <w:rFonts w:hint="eastAsia" w:ascii="宋体" w:hAnsi="宋体" w:cs="宋体"/>
          <w:b/>
          <w:color w:val="auto"/>
          <w:sz w:val="24"/>
          <w:szCs w:val="22"/>
          <w:highlight w:val="none"/>
          <w:lang w:eastAsia="zh-CN"/>
        </w:rPr>
        <w:t>须</w:t>
      </w:r>
      <w:r>
        <w:rPr>
          <w:rFonts w:hint="eastAsia" w:ascii="宋体" w:hAnsi="宋体" w:eastAsia="宋体" w:cs="宋体"/>
          <w:b/>
          <w:color w:val="auto"/>
          <w:sz w:val="24"/>
          <w:szCs w:val="22"/>
          <w:highlight w:val="none"/>
        </w:rPr>
        <w:t>提供《中小企业声明函》</w:t>
      </w:r>
      <w:r>
        <w:rPr>
          <w:rFonts w:hint="eastAsia" w:ascii="宋体" w:hAnsi="宋体" w:cs="宋体"/>
          <w:b/>
          <w:color w:val="auto"/>
          <w:sz w:val="24"/>
          <w:szCs w:val="22"/>
          <w:highlight w:val="none"/>
          <w:lang w:eastAsia="zh-CN"/>
        </w:rPr>
        <w:t>并需</w:t>
      </w:r>
      <w:r>
        <w:rPr>
          <w:rFonts w:hint="eastAsia" w:ascii="宋体" w:hAnsi="宋体" w:eastAsia="宋体" w:cs="宋体"/>
          <w:b/>
          <w:color w:val="auto"/>
          <w:sz w:val="24"/>
          <w:szCs w:val="22"/>
          <w:highlight w:val="none"/>
        </w:rPr>
        <w:t>保证其真实性，如经查实存在虚假证明的情况，由</w:t>
      </w:r>
      <w:r>
        <w:rPr>
          <w:rFonts w:hint="eastAsia" w:ascii="宋体" w:hAnsi="宋体" w:eastAsia="宋体" w:cs="宋体"/>
          <w:b/>
          <w:color w:val="auto"/>
          <w:sz w:val="24"/>
          <w:szCs w:val="22"/>
          <w:highlight w:val="none"/>
          <w:lang w:eastAsia="zh-CN"/>
        </w:rPr>
        <w:t>供应商</w:t>
      </w:r>
      <w:r>
        <w:rPr>
          <w:rFonts w:hint="eastAsia" w:ascii="宋体" w:hAnsi="宋体" w:eastAsia="宋体" w:cs="宋体"/>
          <w:b/>
          <w:color w:val="auto"/>
          <w:sz w:val="24"/>
          <w:szCs w:val="22"/>
          <w:highlight w:val="none"/>
        </w:rPr>
        <w:t>承担相应责任。</w:t>
      </w:r>
    </w:p>
    <w:p>
      <w:pPr>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附件2：</w:t>
      </w:r>
    </w:p>
    <w:p>
      <w:pPr>
        <w:jc w:val="center"/>
        <w:rPr>
          <w:rFonts w:hint="eastAsia" w:ascii="宋体" w:hAnsi="宋体" w:eastAsia="宋体" w:cs="宋体"/>
          <w:b/>
          <w:bCs/>
          <w:sz w:val="44"/>
          <w:szCs w:val="44"/>
          <w:highlight w:val="none"/>
        </w:rPr>
      </w:pPr>
      <w:r>
        <w:rPr>
          <w:rFonts w:hint="eastAsia" w:ascii="宋体" w:hAnsi="宋体" w:eastAsia="宋体" w:cs="宋体"/>
          <w:b/>
          <w:bCs/>
          <w:kern w:val="2"/>
          <w:sz w:val="32"/>
          <w:szCs w:val="32"/>
          <w:highlight w:val="none"/>
          <w:lang w:val="en-US" w:eastAsia="zh-CN" w:bidi="ar-SA"/>
        </w:rPr>
        <w:t>《监狱企业声明函》</w:t>
      </w:r>
    </w:p>
    <w:p>
      <w:pPr>
        <w:spacing w:line="360" w:lineRule="auto"/>
        <w:ind w:firstLine="475" w:firstLineChars="198"/>
        <w:rPr>
          <w:rFonts w:hint="eastAsia" w:ascii="宋体" w:hAnsi="宋体" w:eastAsia="宋体" w:cs="宋体"/>
          <w:bCs/>
          <w:sz w:val="24"/>
          <w:highlight w:val="none"/>
        </w:rPr>
      </w:pPr>
    </w:p>
    <w:p>
      <w:pPr>
        <w:spacing w:line="360" w:lineRule="auto"/>
        <w:ind w:firstLine="475" w:firstLineChars="198"/>
        <w:rPr>
          <w:rFonts w:hint="eastAsia" w:ascii="宋体" w:hAnsi="宋体" w:eastAsia="宋体" w:cs="宋体"/>
          <w:bCs/>
          <w:sz w:val="24"/>
          <w:highlight w:val="none"/>
        </w:rPr>
      </w:pPr>
      <w:r>
        <w:rPr>
          <w:rFonts w:hint="eastAsia" w:ascii="宋体" w:hAnsi="宋体" w:eastAsia="宋体" w:cs="宋体"/>
          <w:bCs/>
          <w:sz w:val="24"/>
          <w:highlight w:val="none"/>
        </w:rPr>
        <w:t>本公司郑重声明，根据</w:t>
      </w:r>
      <w:r>
        <w:rPr>
          <w:rFonts w:hint="eastAsia" w:ascii="宋体" w:hAnsi="宋体" w:eastAsia="宋体" w:cs="宋体"/>
          <w:bCs/>
          <w:sz w:val="24"/>
          <w:szCs w:val="24"/>
          <w:highlight w:val="none"/>
        </w:rPr>
        <w:t>《财政部司法部关于政府采购支持监狱企业发展有关问题的通知》（财库</w:t>
      </w:r>
      <w:r>
        <w:rPr>
          <w:rFonts w:hint="eastAsia" w:ascii="宋体" w:hAnsi="宋体" w:eastAsia="宋体" w:cs="宋体"/>
          <w:sz w:val="24"/>
          <w:szCs w:val="24"/>
          <w:highlight w:val="none"/>
        </w:rPr>
        <w:t>〔2014〕</w:t>
      </w:r>
      <w:r>
        <w:rPr>
          <w:rFonts w:hint="eastAsia" w:ascii="宋体" w:hAnsi="宋体" w:eastAsia="宋体" w:cs="宋体"/>
          <w:bCs/>
          <w:sz w:val="24"/>
          <w:szCs w:val="24"/>
          <w:highlight w:val="none"/>
        </w:rPr>
        <w:t>68号）</w:t>
      </w:r>
      <w:r>
        <w:rPr>
          <w:rFonts w:hint="eastAsia" w:ascii="宋体" w:hAnsi="宋体" w:eastAsia="宋体" w:cs="宋体"/>
          <w:bCs/>
          <w:sz w:val="24"/>
          <w:highlight w:val="none"/>
        </w:rPr>
        <w:t>的规定，本公司为（请填写：监狱）企业。</w:t>
      </w:r>
    </w:p>
    <w:p>
      <w:pPr>
        <w:spacing w:line="360" w:lineRule="auto"/>
        <w:ind w:firstLine="235" w:firstLineChars="98"/>
        <w:rPr>
          <w:rFonts w:hint="eastAsia" w:ascii="宋体" w:hAnsi="宋体" w:eastAsia="宋体" w:cs="宋体"/>
          <w:bCs/>
          <w:sz w:val="24"/>
          <w:highlight w:val="none"/>
        </w:rPr>
      </w:pPr>
      <w:r>
        <w:rPr>
          <w:rFonts w:hint="eastAsia" w:ascii="宋体" w:hAnsi="宋体" w:eastAsia="宋体" w:cs="宋体"/>
          <w:bCs/>
          <w:sz w:val="24"/>
          <w:highlight w:val="none"/>
        </w:rPr>
        <w:t>本单位为符合条件的监狱企业，且本单位参加______单位的______项目采购活动提供本单位制造的货物（由本单位承担工程/提供服务）。</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本公司对上述声明的真实性负责，若有虚假，将依法承担相应责任。</w:t>
      </w:r>
    </w:p>
    <w:p>
      <w:pPr>
        <w:spacing w:line="360" w:lineRule="auto"/>
        <w:ind w:firstLine="480" w:firstLineChars="200"/>
        <w:rPr>
          <w:rFonts w:hint="eastAsia" w:ascii="宋体" w:hAnsi="宋体" w:eastAsia="宋体" w:cs="宋体"/>
          <w:bCs/>
          <w:sz w:val="24"/>
          <w:highlight w:val="none"/>
        </w:rPr>
      </w:pPr>
    </w:p>
    <w:p>
      <w:pPr>
        <w:spacing w:line="360" w:lineRule="auto"/>
        <w:ind w:firstLine="480" w:firstLineChars="200"/>
        <w:rPr>
          <w:rFonts w:hint="eastAsia" w:ascii="宋体" w:hAnsi="宋体" w:eastAsia="宋体" w:cs="宋体"/>
          <w:bCs/>
          <w:sz w:val="24"/>
          <w:highlight w:val="none"/>
        </w:rPr>
      </w:pPr>
    </w:p>
    <w:p>
      <w:pPr>
        <w:pStyle w:val="15"/>
        <w:rPr>
          <w:rFonts w:hint="eastAsia" w:ascii="宋体" w:hAnsi="宋体" w:eastAsia="宋体" w:cs="宋体"/>
          <w:highlight w:val="none"/>
        </w:rPr>
      </w:pPr>
    </w:p>
    <w:p>
      <w:pPr>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（盖单位章）</w:t>
      </w:r>
    </w:p>
    <w:p>
      <w:pPr>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pPr>
        <w:spacing w:line="360" w:lineRule="auto"/>
        <w:ind w:left="1"/>
        <w:jc w:val="right"/>
        <w:rPr>
          <w:rFonts w:hint="eastAsia" w:ascii="宋体" w:hAnsi="宋体" w:eastAsia="宋体" w:cs="宋体"/>
          <w:spacing w:val="4"/>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pPr>
        <w:spacing w:line="360" w:lineRule="auto"/>
        <w:rPr>
          <w:rFonts w:hint="eastAsia" w:ascii="宋体" w:hAnsi="宋体" w:eastAsia="宋体" w:cs="宋体"/>
          <w:b/>
          <w:sz w:val="24"/>
          <w:highlight w:val="none"/>
        </w:rPr>
      </w:pP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注：</w:t>
      </w: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1.非监狱企业无需在响应文件中提供。如为监狱企业应在响应文件的封面右上角明确注明相关信息以便方便认可。</w:t>
      </w: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提供《监狱企业声明函》的需保证其真实性，如经查实存在虚假证明的情况，由</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承担相应责任。</w:t>
      </w:r>
    </w:p>
    <w:bookmarkEnd w:id="1524"/>
    <w:p>
      <w:pPr>
        <w:jc w:val="left"/>
        <w:rPr>
          <w:rFonts w:hint="eastAsia" w:ascii="宋体" w:hAnsi="宋体" w:eastAsia="宋体" w:cs="宋体"/>
          <w:b/>
          <w:bCs/>
          <w:sz w:val="32"/>
          <w:szCs w:val="32"/>
          <w:highlight w:val="none"/>
        </w:rPr>
      </w:pPr>
    </w:p>
    <w:p>
      <w:pPr>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附件3：</w:t>
      </w:r>
    </w:p>
    <w:p>
      <w:pPr>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《残疾人福利性单位声明函》</w:t>
      </w:r>
    </w:p>
    <w:p>
      <w:pPr>
        <w:spacing w:line="480" w:lineRule="auto"/>
        <w:ind w:firstLine="643" w:firstLineChars="200"/>
        <w:rPr>
          <w:rFonts w:hint="eastAsia" w:ascii="宋体" w:hAnsi="宋体" w:eastAsia="宋体" w:cs="宋体"/>
          <w:b/>
          <w:bCs/>
          <w:kern w:val="2"/>
          <w:sz w:val="32"/>
          <w:szCs w:val="32"/>
          <w:highlight w:val="none"/>
          <w:lang w:val="en-US" w:eastAsia="zh-CN" w:bidi="ar-SA"/>
        </w:rPr>
      </w:pPr>
    </w:p>
    <w:p>
      <w:pPr>
        <w:spacing w:line="48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本单位郑重声明，根据《财政部、民政部、中国残疾人联合会关于促进残疾人就业政府采购政策的通知》（财库〔2017〕141号）的规定，</w:t>
      </w:r>
      <w:bookmarkStart w:id="1525" w:name="_Hlk17707165"/>
      <w:r>
        <w:rPr>
          <w:rFonts w:hint="eastAsia" w:ascii="宋体" w:hAnsi="宋体" w:eastAsia="宋体" w:cs="宋体"/>
          <w:bCs/>
          <w:sz w:val="24"/>
          <w:highlight w:val="none"/>
        </w:rPr>
        <w:t>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bookmarkEnd w:id="1525"/>
    <w:p>
      <w:pPr>
        <w:spacing w:line="480" w:lineRule="auto"/>
        <w:ind w:firstLine="475" w:firstLineChars="198"/>
        <w:rPr>
          <w:rFonts w:hint="eastAsia" w:ascii="宋体" w:hAnsi="宋体" w:eastAsia="宋体" w:cs="宋体"/>
          <w:bCs/>
          <w:sz w:val="24"/>
          <w:highlight w:val="none"/>
        </w:rPr>
      </w:pPr>
      <w:r>
        <w:rPr>
          <w:rFonts w:hint="eastAsia" w:ascii="宋体" w:hAnsi="宋体" w:eastAsia="宋体" w:cs="宋体"/>
          <w:bCs/>
          <w:sz w:val="24"/>
          <w:highlight w:val="none"/>
        </w:rPr>
        <w:t>本单位对上述声明的真实性负责。如有虚假，将依法承担相应责任。</w:t>
      </w:r>
    </w:p>
    <w:p>
      <w:pPr>
        <w:spacing w:line="588" w:lineRule="exact"/>
        <w:rPr>
          <w:rFonts w:hint="eastAsia" w:ascii="宋体" w:hAnsi="宋体" w:eastAsia="宋体" w:cs="宋体"/>
          <w:b/>
          <w:bCs/>
          <w:spacing w:val="6"/>
          <w:sz w:val="30"/>
          <w:szCs w:val="30"/>
          <w:highlight w:val="none"/>
        </w:rPr>
      </w:pPr>
    </w:p>
    <w:p>
      <w:pPr>
        <w:pStyle w:val="15"/>
        <w:rPr>
          <w:rFonts w:hint="eastAsia" w:ascii="宋体" w:hAnsi="宋体" w:eastAsia="宋体" w:cs="宋体"/>
          <w:highlight w:val="none"/>
        </w:rPr>
      </w:pPr>
    </w:p>
    <w:p>
      <w:pPr>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（盖单位章）</w:t>
      </w:r>
    </w:p>
    <w:p>
      <w:pPr>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pPr>
        <w:spacing w:line="360" w:lineRule="auto"/>
        <w:ind w:left="1"/>
        <w:jc w:val="right"/>
        <w:rPr>
          <w:rFonts w:hint="eastAsia" w:ascii="宋体" w:hAnsi="宋体" w:eastAsia="宋体" w:cs="宋体"/>
          <w:spacing w:val="4"/>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pPr>
        <w:spacing w:line="480" w:lineRule="auto"/>
        <w:ind w:firstLine="235" w:firstLineChars="98"/>
        <w:jc w:val="right"/>
        <w:rPr>
          <w:rFonts w:hint="eastAsia" w:ascii="宋体" w:hAnsi="宋体" w:eastAsia="宋体" w:cs="宋体"/>
          <w:bCs/>
          <w:sz w:val="24"/>
          <w:highlight w:val="none"/>
        </w:rPr>
      </w:pPr>
    </w:p>
    <w:p>
      <w:pPr>
        <w:spacing w:line="480" w:lineRule="auto"/>
        <w:rPr>
          <w:rFonts w:hint="eastAsia" w:ascii="宋体" w:hAnsi="宋体" w:eastAsia="宋体" w:cs="宋体"/>
          <w:sz w:val="24"/>
          <w:highlight w:val="none"/>
        </w:rPr>
      </w:pPr>
    </w:p>
    <w:p>
      <w:pPr>
        <w:spacing w:line="480" w:lineRule="auto"/>
        <w:rPr>
          <w:rFonts w:hint="eastAsia" w:ascii="宋体" w:hAnsi="宋体" w:eastAsia="宋体" w:cs="宋体"/>
          <w:b/>
          <w:sz w:val="24"/>
          <w:highlight w:val="none"/>
        </w:rPr>
      </w:pP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注：</w:t>
      </w: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1.非残疾人福利性单位无需在响应文件中提供。如为残疾人福利性单位应在响应文件的封面右上角明确注明相关信息以便方便认可。</w:t>
      </w: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企业所提供的《残疾人福利性单位声明函》，由其自行承担相应的法律责任。</w:t>
      </w:r>
    </w:p>
    <w:p>
      <w:pPr>
        <w:jc w:val="center"/>
        <w:rPr>
          <w:rFonts w:hint="eastAsia" w:ascii="宋体" w:hAnsi="宋体" w:eastAsia="宋体" w:cs="宋体"/>
          <w:b/>
          <w:bCs/>
          <w:highlight w:val="none"/>
        </w:rPr>
      </w:pPr>
      <w:r>
        <w:rPr>
          <w:rFonts w:hint="eastAsia" w:ascii="宋体" w:hAnsi="宋体" w:eastAsia="宋体" w:cs="宋体"/>
          <w:b/>
          <w:bCs/>
          <w:sz w:val="32"/>
          <w:szCs w:val="32"/>
          <w:highlight w:val="none"/>
        </w:rPr>
        <w:br w:type="page"/>
      </w:r>
      <w:r>
        <w:rPr>
          <w:rFonts w:hint="eastAsia" w:ascii="宋体" w:hAnsi="宋体" w:eastAsia="宋体" w:cs="宋体"/>
          <w:b/>
          <w:bCs/>
          <w:kern w:val="2"/>
          <w:sz w:val="32"/>
          <w:szCs w:val="32"/>
          <w:highlight w:val="none"/>
          <w:lang w:val="en-US" w:eastAsia="zh-CN" w:bidi="ar-SA"/>
        </w:rPr>
        <w:t>《福利性单位声明函》</w:t>
      </w:r>
    </w:p>
    <w:p>
      <w:pPr>
        <w:spacing w:line="480" w:lineRule="auto"/>
        <w:ind w:firstLine="480" w:firstLineChars="200"/>
        <w:rPr>
          <w:rFonts w:hint="eastAsia" w:ascii="宋体" w:hAnsi="宋体" w:eastAsia="宋体" w:cs="宋体"/>
          <w:bCs/>
          <w:sz w:val="24"/>
          <w:highlight w:val="none"/>
        </w:rPr>
      </w:pPr>
    </w:p>
    <w:p>
      <w:pPr>
        <w:spacing w:line="48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单位郑重声明，根据陕西省《关于政府采购优先购买福利性企业产品和服务的意见》规定，本单位为符合条件的福利性单位，且本单位参加______单位的______项目采购活动提供本单位制造的货物（由本单位承担工程/提供服务），或者提供其他福利性单位制造的货物（不包括使用非福利性单位注册商标的货物）。</w:t>
      </w:r>
    </w:p>
    <w:p>
      <w:pPr>
        <w:spacing w:line="480" w:lineRule="auto"/>
        <w:ind w:firstLine="475" w:firstLineChars="198"/>
        <w:rPr>
          <w:rFonts w:hint="eastAsia" w:ascii="宋体" w:hAnsi="宋体" w:eastAsia="宋体" w:cs="宋体"/>
          <w:bCs/>
          <w:sz w:val="24"/>
          <w:highlight w:val="none"/>
        </w:rPr>
      </w:pPr>
      <w:r>
        <w:rPr>
          <w:rFonts w:hint="eastAsia" w:ascii="宋体" w:hAnsi="宋体" w:eastAsia="宋体" w:cs="宋体"/>
          <w:bCs/>
          <w:sz w:val="24"/>
          <w:highlight w:val="none"/>
        </w:rPr>
        <w:t>本单位对上述声明的真实性负责。如有虚假，将依法承担相应责任。</w:t>
      </w:r>
    </w:p>
    <w:p>
      <w:pPr>
        <w:spacing w:line="588" w:lineRule="exact"/>
        <w:rPr>
          <w:rFonts w:hint="eastAsia" w:ascii="宋体" w:hAnsi="宋体" w:eastAsia="宋体" w:cs="宋体"/>
          <w:b/>
          <w:bCs/>
          <w:spacing w:val="6"/>
          <w:sz w:val="30"/>
          <w:szCs w:val="30"/>
          <w:highlight w:val="none"/>
        </w:rPr>
      </w:pPr>
    </w:p>
    <w:p>
      <w:pPr>
        <w:pStyle w:val="15"/>
        <w:rPr>
          <w:rFonts w:hint="eastAsia" w:ascii="宋体" w:hAnsi="宋体" w:eastAsia="宋体" w:cs="宋体"/>
          <w:b/>
          <w:bCs/>
          <w:spacing w:val="6"/>
          <w:sz w:val="30"/>
          <w:szCs w:val="30"/>
          <w:highlight w:val="none"/>
        </w:rPr>
      </w:pPr>
    </w:p>
    <w:p>
      <w:pPr>
        <w:rPr>
          <w:rFonts w:hint="eastAsia" w:ascii="宋体" w:hAnsi="宋体" w:eastAsia="宋体" w:cs="宋体"/>
          <w:highlight w:val="none"/>
        </w:rPr>
      </w:pPr>
    </w:p>
    <w:p>
      <w:pPr>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（盖单位章）</w:t>
      </w:r>
    </w:p>
    <w:p>
      <w:pPr>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pPr>
        <w:spacing w:line="360" w:lineRule="auto"/>
        <w:ind w:left="1"/>
        <w:jc w:val="right"/>
        <w:rPr>
          <w:rFonts w:hint="eastAsia" w:ascii="宋体" w:hAnsi="宋体" w:eastAsia="宋体" w:cs="宋体"/>
          <w:spacing w:val="4"/>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pPr>
        <w:spacing w:line="480" w:lineRule="auto"/>
        <w:rPr>
          <w:rFonts w:hint="eastAsia" w:ascii="宋体" w:hAnsi="宋体" w:eastAsia="宋体" w:cs="宋体"/>
          <w:sz w:val="24"/>
          <w:highlight w:val="none"/>
        </w:rPr>
      </w:pPr>
    </w:p>
    <w:p>
      <w:pPr>
        <w:spacing w:line="480" w:lineRule="auto"/>
        <w:rPr>
          <w:rFonts w:hint="eastAsia" w:ascii="宋体" w:hAnsi="宋体" w:eastAsia="宋体" w:cs="宋体"/>
          <w:b/>
          <w:sz w:val="24"/>
          <w:highlight w:val="none"/>
        </w:rPr>
      </w:pP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注：</w:t>
      </w: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1.非福利性单位无需在响应文件中提供。如为福利性单位应在响应文件的封面右上角明确注明相关信息以便方便认可。</w:t>
      </w: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企业所提供的《福利性单位声明函》，由其自行承担相应的法律责任。</w:t>
      </w:r>
    </w:p>
    <w:p>
      <w:pPr>
        <w:jc w:val="left"/>
        <w:rPr>
          <w:rFonts w:hint="eastAsia" w:ascii="宋体" w:hAnsi="宋体" w:eastAsia="宋体" w:cs="宋体"/>
          <w:b/>
          <w:bCs/>
          <w:sz w:val="32"/>
          <w:szCs w:val="32"/>
          <w:highlight w:val="none"/>
        </w:rPr>
      </w:pPr>
    </w:p>
    <w:p>
      <w:pPr>
        <w:pStyle w:val="34"/>
        <w:ind w:firstLine="31680"/>
        <w:rPr>
          <w:rFonts w:hint="eastAsia" w:ascii="宋体" w:hAnsi="宋体" w:eastAsia="宋体" w:cs="宋体"/>
          <w:b/>
          <w:bCs/>
          <w:sz w:val="32"/>
          <w:szCs w:val="32"/>
          <w:highlight w:val="none"/>
        </w:rPr>
      </w:pPr>
    </w:p>
    <w:p>
      <w:pPr>
        <w:jc w:val="left"/>
        <w:rPr>
          <w:rFonts w:hint="eastAsia" w:ascii="宋体" w:hAnsi="宋体" w:eastAsia="宋体" w:cs="宋体"/>
          <w:b/>
          <w:bCs/>
          <w:sz w:val="32"/>
          <w:szCs w:val="32"/>
          <w:highlight w:val="none"/>
        </w:rPr>
      </w:pPr>
    </w:p>
    <w:p>
      <w:pPr>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附件4：</w:t>
      </w:r>
    </w:p>
    <w:p>
      <w:pPr>
        <w:spacing w:line="360" w:lineRule="auto"/>
        <w:jc w:val="center"/>
        <w:rPr>
          <w:rFonts w:hint="eastAsia" w:ascii="宋体" w:hAnsi="宋体" w:eastAsia="宋体" w:cs="宋体"/>
          <w:sz w:val="36"/>
          <w:szCs w:val="36"/>
          <w:highlight w:val="none"/>
        </w:rPr>
      </w:pPr>
      <w:r>
        <w:rPr>
          <w:rFonts w:hint="eastAsia" w:ascii="宋体" w:hAnsi="宋体" w:eastAsia="宋体" w:cs="宋体"/>
          <w:b/>
          <w:bCs/>
          <w:sz w:val="32"/>
          <w:szCs w:val="32"/>
          <w:highlight w:val="none"/>
        </w:rPr>
        <w:tab/>
      </w:r>
      <w:r>
        <w:rPr>
          <w:rFonts w:hint="eastAsia" w:ascii="宋体" w:hAnsi="宋体" w:eastAsia="宋体" w:cs="宋体"/>
          <w:b/>
          <w:bCs/>
          <w:kern w:val="2"/>
          <w:sz w:val="32"/>
          <w:szCs w:val="32"/>
          <w:highlight w:val="none"/>
          <w:lang w:val="en-US" w:eastAsia="zh-CN" w:bidi="ar-SA"/>
        </w:rPr>
        <w:t>节能环保、环境标志产品明细表</w:t>
      </w:r>
    </w:p>
    <w:tbl>
      <w:tblPr>
        <w:tblStyle w:val="35"/>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82"/>
        <w:gridCol w:w="990"/>
        <w:gridCol w:w="1016"/>
        <w:gridCol w:w="873"/>
        <w:gridCol w:w="1069"/>
        <w:gridCol w:w="717"/>
        <w:gridCol w:w="757"/>
        <w:gridCol w:w="756"/>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0"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882"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产品</w:t>
            </w:r>
          </w:p>
          <w:p>
            <w:pPr>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990"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制造厂家</w:t>
            </w:r>
          </w:p>
        </w:tc>
        <w:tc>
          <w:tcPr>
            <w:tcW w:w="1016"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规格</w:t>
            </w:r>
          </w:p>
          <w:p>
            <w:pPr>
              <w:jc w:val="center"/>
              <w:rPr>
                <w:rFonts w:hint="eastAsia" w:ascii="宋体" w:hAnsi="宋体" w:eastAsia="宋体" w:cs="宋体"/>
                <w:szCs w:val="21"/>
                <w:highlight w:val="none"/>
              </w:rPr>
            </w:pPr>
            <w:r>
              <w:rPr>
                <w:rFonts w:hint="eastAsia" w:ascii="宋体" w:hAnsi="宋体" w:eastAsia="宋体" w:cs="宋体"/>
                <w:szCs w:val="21"/>
                <w:highlight w:val="none"/>
              </w:rPr>
              <w:t>型号</w:t>
            </w:r>
          </w:p>
        </w:tc>
        <w:tc>
          <w:tcPr>
            <w:tcW w:w="873"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类别</w:t>
            </w:r>
          </w:p>
        </w:tc>
        <w:tc>
          <w:tcPr>
            <w:tcW w:w="1069"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认证证书编号</w:t>
            </w:r>
          </w:p>
        </w:tc>
        <w:tc>
          <w:tcPr>
            <w:tcW w:w="717"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57"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单价</w:t>
            </w:r>
          </w:p>
        </w:tc>
        <w:tc>
          <w:tcPr>
            <w:tcW w:w="756"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总价</w:t>
            </w:r>
          </w:p>
        </w:tc>
        <w:tc>
          <w:tcPr>
            <w:tcW w:w="630"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pPr>
              <w:spacing w:line="360" w:lineRule="auto"/>
              <w:rPr>
                <w:rFonts w:hint="eastAsia" w:ascii="宋体" w:hAnsi="宋体" w:eastAsia="宋体" w:cs="宋体"/>
                <w:sz w:val="24"/>
                <w:szCs w:val="24"/>
                <w:highlight w:val="none"/>
              </w:rPr>
            </w:pPr>
          </w:p>
        </w:tc>
        <w:tc>
          <w:tcPr>
            <w:tcW w:w="882" w:type="dxa"/>
            <w:noWrap w:val="0"/>
            <w:vAlign w:val="top"/>
          </w:tcPr>
          <w:p>
            <w:pPr>
              <w:spacing w:line="360" w:lineRule="auto"/>
              <w:rPr>
                <w:rFonts w:hint="eastAsia" w:ascii="宋体" w:hAnsi="宋体" w:eastAsia="宋体" w:cs="宋体"/>
                <w:sz w:val="24"/>
                <w:szCs w:val="24"/>
                <w:highlight w:val="none"/>
              </w:rPr>
            </w:pPr>
          </w:p>
        </w:tc>
        <w:tc>
          <w:tcPr>
            <w:tcW w:w="990" w:type="dxa"/>
            <w:noWrap w:val="0"/>
            <w:vAlign w:val="top"/>
          </w:tcPr>
          <w:p>
            <w:pPr>
              <w:spacing w:line="360" w:lineRule="auto"/>
              <w:rPr>
                <w:rFonts w:hint="eastAsia" w:ascii="宋体" w:hAnsi="宋体" w:eastAsia="宋体" w:cs="宋体"/>
                <w:sz w:val="24"/>
                <w:szCs w:val="24"/>
                <w:highlight w:val="none"/>
              </w:rPr>
            </w:pPr>
          </w:p>
        </w:tc>
        <w:tc>
          <w:tcPr>
            <w:tcW w:w="1016" w:type="dxa"/>
            <w:noWrap w:val="0"/>
            <w:vAlign w:val="top"/>
          </w:tcPr>
          <w:p>
            <w:pPr>
              <w:spacing w:line="360" w:lineRule="auto"/>
              <w:rPr>
                <w:rFonts w:hint="eastAsia" w:ascii="宋体" w:hAnsi="宋体" w:eastAsia="宋体" w:cs="宋体"/>
                <w:sz w:val="24"/>
                <w:szCs w:val="24"/>
                <w:highlight w:val="none"/>
              </w:rPr>
            </w:pPr>
          </w:p>
        </w:tc>
        <w:tc>
          <w:tcPr>
            <w:tcW w:w="873" w:type="dxa"/>
            <w:noWrap w:val="0"/>
            <w:vAlign w:val="top"/>
          </w:tcPr>
          <w:p>
            <w:pPr>
              <w:spacing w:line="360" w:lineRule="auto"/>
              <w:rPr>
                <w:rFonts w:hint="eastAsia" w:ascii="宋体" w:hAnsi="宋体" w:eastAsia="宋体" w:cs="宋体"/>
                <w:sz w:val="24"/>
                <w:szCs w:val="24"/>
                <w:highlight w:val="none"/>
              </w:rPr>
            </w:pPr>
          </w:p>
        </w:tc>
        <w:tc>
          <w:tcPr>
            <w:tcW w:w="1069" w:type="dxa"/>
            <w:noWrap w:val="0"/>
            <w:vAlign w:val="top"/>
          </w:tcPr>
          <w:p>
            <w:pPr>
              <w:spacing w:line="360" w:lineRule="auto"/>
              <w:rPr>
                <w:rFonts w:hint="eastAsia" w:ascii="宋体" w:hAnsi="宋体" w:eastAsia="宋体" w:cs="宋体"/>
                <w:sz w:val="24"/>
                <w:szCs w:val="24"/>
                <w:highlight w:val="none"/>
              </w:rPr>
            </w:pPr>
          </w:p>
        </w:tc>
        <w:tc>
          <w:tcPr>
            <w:tcW w:w="717" w:type="dxa"/>
            <w:noWrap w:val="0"/>
            <w:vAlign w:val="top"/>
          </w:tcPr>
          <w:p>
            <w:pPr>
              <w:spacing w:line="360" w:lineRule="auto"/>
              <w:rPr>
                <w:rFonts w:hint="eastAsia" w:ascii="宋体" w:hAnsi="宋体" w:eastAsia="宋体" w:cs="宋体"/>
                <w:sz w:val="24"/>
                <w:szCs w:val="24"/>
                <w:highlight w:val="none"/>
              </w:rPr>
            </w:pPr>
          </w:p>
        </w:tc>
        <w:tc>
          <w:tcPr>
            <w:tcW w:w="757" w:type="dxa"/>
            <w:noWrap w:val="0"/>
            <w:vAlign w:val="top"/>
          </w:tcPr>
          <w:p>
            <w:pPr>
              <w:spacing w:line="360" w:lineRule="auto"/>
              <w:rPr>
                <w:rFonts w:hint="eastAsia" w:ascii="宋体" w:hAnsi="宋体" w:eastAsia="宋体" w:cs="宋体"/>
                <w:sz w:val="24"/>
                <w:szCs w:val="24"/>
                <w:highlight w:val="none"/>
              </w:rPr>
            </w:pPr>
          </w:p>
        </w:tc>
        <w:tc>
          <w:tcPr>
            <w:tcW w:w="756" w:type="dxa"/>
            <w:noWrap w:val="0"/>
            <w:vAlign w:val="top"/>
          </w:tcPr>
          <w:p>
            <w:pPr>
              <w:spacing w:line="360" w:lineRule="auto"/>
              <w:rPr>
                <w:rFonts w:hint="eastAsia" w:ascii="宋体" w:hAnsi="宋体" w:eastAsia="宋体" w:cs="宋体"/>
                <w:sz w:val="24"/>
                <w:szCs w:val="24"/>
                <w:highlight w:val="none"/>
              </w:rPr>
            </w:pPr>
          </w:p>
        </w:tc>
        <w:tc>
          <w:tcPr>
            <w:tcW w:w="630"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pPr>
              <w:spacing w:line="360" w:lineRule="auto"/>
              <w:rPr>
                <w:rFonts w:hint="eastAsia" w:ascii="宋体" w:hAnsi="宋体" w:eastAsia="宋体" w:cs="宋体"/>
                <w:sz w:val="24"/>
                <w:szCs w:val="24"/>
                <w:highlight w:val="none"/>
              </w:rPr>
            </w:pPr>
          </w:p>
        </w:tc>
        <w:tc>
          <w:tcPr>
            <w:tcW w:w="882" w:type="dxa"/>
            <w:noWrap w:val="0"/>
            <w:vAlign w:val="top"/>
          </w:tcPr>
          <w:p>
            <w:pPr>
              <w:spacing w:line="360" w:lineRule="auto"/>
              <w:rPr>
                <w:rFonts w:hint="eastAsia" w:ascii="宋体" w:hAnsi="宋体" w:eastAsia="宋体" w:cs="宋体"/>
                <w:sz w:val="24"/>
                <w:szCs w:val="24"/>
                <w:highlight w:val="none"/>
              </w:rPr>
            </w:pPr>
          </w:p>
        </w:tc>
        <w:tc>
          <w:tcPr>
            <w:tcW w:w="990" w:type="dxa"/>
            <w:noWrap w:val="0"/>
            <w:vAlign w:val="top"/>
          </w:tcPr>
          <w:p>
            <w:pPr>
              <w:spacing w:line="360" w:lineRule="auto"/>
              <w:rPr>
                <w:rFonts w:hint="eastAsia" w:ascii="宋体" w:hAnsi="宋体" w:eastAsia="宋体" w:cs="宋体"/>
                <w:sz w:val="24"/>
                <w:szCs w:val="24"/>
                <w:highlight w:val="none"/>
              </w:rPr>
            </w:pPr>
          </w:p>
        </w:tc>
        <w:tc>
          <w:tcPr>
            <w:tcW w:w="1016" w:type="dxa"/>
            <w:noWrap w:val="0"/>
            <w:vAlign w:val="top"/>
          </w:tcPr>
          <w:p>
            <w:pPr>
              <w:spacing w:line="360" w:lineRule="auto"/>
              <w:rPr>
                <w:rFonts w:hint="eastAsia" w:ascii="宋体" w:hAnsi="宋体" w:eastAsia="宋体" w:cs="宋体"/>
                <w:sz w:val="24"/>
                <w:szCs w:val="24"/>
                <w:highlight w:val="none"/>
              </w:rPr>
            </w:pPr>
          </w:p>
        </w:tc>
        <w:tc>
          <w:tcPr>
            <w:tcW w:w="873" w:type="dxa"/>
            <w:noWrap w:val="0"/>
            <w:vAlign w:val="top"/>
          </w:tcPr>
          <w:p>
            <w:pPr>
              <w:spacing w:line="360" w:lineRule="auto"/>
              <w:rPr>
                <w:rFonts w:hint="eastAsia" w:ascii="宋体" w:hAnsi="宋体" w:eastAsia="宋体" w:cs="宋体"/>
                <w:sz w:val="24"/>
                <w:szCs w:val="24"/>
                <w:highlight w:val="none"/>
              </w:rPr>
            </w:pPr>
          </w:p>
        </w:tc>
        <w:tc>
          <w:tcPr>
            <w:tcW w:w="1069" w:type="dxa"/>
            <w:noWrap w:val="0"/>
            <w:vAlign w:val="top"/>
          </w:tcPr>
          <w:p>
            <w:pPr>
              <w:spacing w:line="360" w:lineRule="auto"/>
              <w:rPr>
                <w:rFonts w:hint="eastAsia" w:ascii="宋体" w:hAnsi="宋体" w:eastAsia="宋体" w:cs="宋体"/>
                <w:sz w:val="24"/>
                <w:szCs w:val="24"/>
                <w:highlight w:val="none"/>
              </w:rPr>
            </w:pPr>
          </w:p>
        </w:tc>
        <w:tc>
          <w:tcPr>
            <w:tcW w:w="717" w:type="dxa"/>
            <w:noWrap w:val="0"/>
            <w:vAlign w:val="top"/>
          </w:tcPr>
          <w:p>
            <w:pPr>
              <w:spacing w:line="360" w:lineRule="auto"/>
              <w:rPr>
                <w:rFonts w:hint="eastAsia" w:ascii="宋体" w:hAnsi="宋体" w:eastAsia="宋体" w:cs="宋体"/>
                <w:sz w:val="24"/>
                <w:szCs w:val="24"/>
                <w:highlight w:val="none"/>
              </w:rPr>
            </w:pPr>
          </w:p>
        </w:tc>
        <w:tc>
          <w:tcPr>
            <w:tcW w:w="757" w:type="dxa"/>
            <w:noWrap w:val="0"/>
            <w:vAlign w:val="top"/>
          </w:tcPr>
          <w:p>
            <w:pPr>
              <w:spacing w:line="360" w:lineRule="auto"/>
              <w:rPr>
                <w:rFonts w:hint="eastAsia" w:ascii="宋体" w:hAnsi="宋体" w:eastAsia="宋体" w:cs="宋体"/>
                <w:sz w:val="24"/>
                <w:szCs w:val="24"/>
                <w:highlight w:val="none"/>
              </w:rPr>
            </w:pPr>
          </w:p>
        </w:tc>
        <w:tc>
          <w:tcPr>
            <w:tcW w:w="756" w:type="dxa"/>
            <w:noWrap w:val="0"/>
            <w:vAlign w:val="top"/>
          </w:tcPr>
          <w:p>
            <w:pPr>
              <w:spacing w:line="360" w:lineRule="auto"/>
              <w:rPr>
                <w:rFonts w:hint="eastAsia" w:ascii="宋体" w:hAnsi="宋体" w:eastAsia="宋体" w:cs="宋体"/>
                <w:sz w:val="24"/>
                <w:szCs w:val="24"/>
                <w:highlight w:val="none"/>
              </w:rPr>
            </w:pPr>
          </w:p>
        </w:tc>
        <w:tc>
          <w:tcPr>
            <w:tcW w:w="630"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pPr>
              <w:spacing w:line="360" w:lineRule="auto"/>
              <w:rPr>
                <w:rFonts w:hint="eastAsia" w:ascii="宋体" w:hAnsi="宋体" w:eastAsia="宋体" w:cs="宋体"/>
                <w:sz w:val="24"/>
                <w:szCs w:val="24"/>
                <w:highlight w:val="none"/>
              </w:rPr>
            </w:pPr>
          </w:p>
        </w:tc>
        <w:tc>
          <w:tcPr>
            <w:tcW w:w="882" w:type="dxa"/>
            <w:noWrap w:val="0"/>
            <w:vAlign w:val="top"/>
          </w:tcPr>
          <w:p>
            <w:pPr>
              <w:spacing w:line="360" w:lineRule="auto"/>
              <w:rPr>
                <w:rFonts w:hint="eastAsia" w:ascii="宋体" w:hAnsi="宋体" w:eastAsia="宋体" w:cs="宋体"/>
                <w:sz w:val="24"/>
                <w:szCs w:val="24"/>
                <w:highlight w:val="none"/>
              </w:rPr>
            </w:pPr>
          </w:p>
        </w:tc>
        <w:tc>
          <w:tcPr>
            <w:tcW w:w="990" w:type="dxa"/>
            <w:noWrap w:val="0"/>
            <w:vAlign w:val="top"/>
          </w:tcPr>
          <w:p>
            <w:pPr>
              <w:spacing w:line="360" w:lineRule="auto"/>
              <w:rPr>
                <w:rFonts w:hint="eastAsia" w:ascii="宋体" w:hAnsi="宋体" w:eastAsia="宋体" w:cs="宋体"/>
                <w:sz w:val="24"/>
                <w:szCs w:val="24"/>
                <w:highlight w:val="none"/>
              </w:rPr>
            </w:pPr>
          </w:p>
        </w:tc>
        <w:tc>
          <w:tcPr>
            <w:tcW w:w="1016" w:type="dxa"/>
            <w:noWrap w:val="0"/>
            <w:vAlign w:val="top"/>
          </w:tcPr>
          <w:p>
            <w:pPr>
              <w:spacing w:line="360" w:lineRule="auto"/>
              <w:rPr>
                <w:rFonts w:hint="eastAsia" w:ascii="宋体" w:hAnsi="宋体" w:eastAsia="宋体" w:cs="宋体"/>
                <w:sz w:val="24"/>
                <w:szCs w:val="24"/>
                <w:highlight w:val="none"/>
              </w:rPr>
            </w:pPr>
          </w:p>
        </w:tc>
        <w:tc>
          <w:tcPr>
            <w:tcW w:w="873" w:type="dxa"/>
            <w:noWrap w:val="0"/>
            <w:vAlign w:val="top"/>
          </w:tcPr>
          <w:p>
            <w:pPr>
              <w:spacing w:line="360" w:lineRule="auto"/>
              <w:rPr>
                <w:rFonts w:hint="eastAsia" w:ascii="宋体" w:hAnsi="宋体" w:eastAsia="宋体" w:cs="宋体"/>
                <w:sz w:val="24"/>
                <w:szCs w:val="24"/>
                <w:highlight w:val="none"/>
              </w:rPr>
            </w:pPr>
          </w:p>
        </w:tc>
        <w:tc>
          <w:tcPr>
            <w:tcW w:w="1069" w:type="dxa"/>
            <w:noWrap w:val="0"/>
            <w:vAlign w:val="top"/>
          </w:tcPr>
          <w:p>
            <w:pPr>
              <w:spacing w:line="360" w:lineRule="auto"/>
              <w:rPr>
                <w:rFonts w:hint="eastAsia" w:ascii="宋体" w:hAnsi="宋体" w:eastAsia="宋体" w:cs="宋体"/>
                <w:sz w:val="24"/>
                <w:szCs w:val="24"/>
                <w:highlight w:val="none"/>
              </w:rPr>
            </w:pPr>
          </w:p>
        </w:tc>
        <w:tc>
          <w:tcPr>
            <w:tcW w:w="717" w:type="dxa"/>
            <w:noWrap w:val="0"/>
            <w:vAlign w:val="top"/>
          </w:tcPr>
          <w:p>
            <w:pPr>
              <w:spacing w:line="360" w:lineRule="auto"/>
              <w:rPr>
                <w:rFonts w:hint="eastAsia" w:ascii="宋体" w:hAnsi="宋体" w:eastAsia="宋体" w:cs="宋体"/>
                <w:sz w:val="24"/>
                <w:szCs w:val="24"/>
                <w:highlight w:val="none"/>
              </w:rPr>
            </w:pPr>
          </w:p>
        </w:tc>
        <w:tc>
          <w:tcPr>
            <w:tcW w:w="757" w:type="dxa"/>
            <w:noWrap w:val="0"/>
            <w:vAlign w:val="top"/>
          </w:tcPr>
          <w:p>
            <w:pPr>
              <w:spacing w:line="360" w:lineRule="auto"/>
              <w:rPr>
                <w:rFonts w:hint="eastAsia" w:ascii="宋体" w:hAnsi="宋体" w:eastAsia="宋体" w:cs="宋体"/>
                <w:sz w:val="24"/>
                <w:szCs w:val="24"/>
                <w:highlight w:val="none"/>
              </w:rPr>
            </w:pPr>
          </w:p>
        </w:tc>
        <w:tc>
          <w:tcPr>
            <w:tcW w:w="756" w:type="dxa"/>
            <w:noWrap w:val="0"/>
            <w:vAlign w:val="top"/>
          </w:tcPr>
          <w:p>
            <w:pPr>
              <w:spacing w:line="360" w:lineRule="auto"/>
              <w:rPr>
                <w:rFonts w:hint="eastAsia" w:ascii="宋体" w:hAnsi="宋体" w:eastAsia="宋体" w:cs="宋体"/>
                <w:sz w:val="24"/>
                <w:szCs w:val="24"/>
                <w:highlight w:val="none"/>
              </w:rPr>
            </w:pPr>
          </w:p>
        </w:tc>
        <w:tc>
          <w:tcPr>
            <w:tcW w:w="630"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pPr>
              <w:spacing w:line="360" w:lineRule="auto"/>
              <w:rPr>
                <w:rFonts w:hint="eastAsia" w:ascii="宋体" w:hAnsi="宋体" w:eastAsia="宋体" w:cs="宋体"/>
                <w:sz w:val="24"/>
                <w:szCs w:val="24"/>
                <w:highlight w:val="none"/>
              </w:rPr>
            </w:pPr>
          </w:p>
        </w:tc>
        <w:tc>
          <w:tcPr>
            <w:tcW w:w="882" w:type="dxa"/>
            <w:noWrap w:val="0"/>
            <w:vAlign w:val="top"/>
          </w:tcPr>
          <w:p>
            <w:pPr>
              <w:spacing w:line="360" w:lineRule="auto"/>
              <w:rPr>
                <w:rFonts w:hint="eastAsia" w:ascii="宋体" w:hAnsi="宋体" w:eastAsia="宋体" w:cs="宋体"/>
                <w:sz w:val="24"/>
                <w:szCs w:val="24"/>
                <w:highlight w:val="none"/>
              </w:rPr>
            </w:pPr>
          </w:p>
        </w:tc>
        <w:tc>
          <w:tcPr>
            <w:tcW w:w="990" w:type="dxa"/>
            <w:noWrap w:val="0"/>
            <w:vAlign w:val="top"/>
          </w:tcPr>
          <w:p>
            <w:pPr>
              <w:spacing w:line="360" w:lineRule="auto"/>
              <w:rPr>
                <w:rFonts w:hint="eastAsia" w:ascii="宋体" w:hAnsi="宋体" w:eastAsia="宋体" w:cs="宋体"/>
                <w:sz w:val="24"/>
                <w:szCs w:val="24"/>
                <w:highlight w:val="none"/>
              </w:rPr>
            </w:pPr>
          </w:p>
        </w:tc>
        <w:tc>
          <w:tcPr>
            <w:tcW w:w="1016" w:type="dxa"/>
            <w:noWrap w:val="0"/>
            <w:vAlign w:val="top"/>
          </w:tcPr>
          <w:p>
            <w:pPr>
              <w:spacing w:line="360" w:lineRule="auto"/>
              <w:rPr>
                <w:rFonts w:hint="eastAsia" w:ascii="宋体" w:hAnsi="宋体" w:eastAsia="宋体" w:cs="宋体"/>
                <w:sz w:val="24"/>
                <w:szCs w:val="24"/>
                <w:highlight w:val="none"/>
              </w:rPr>
            </w:pPr>
          </w:p>
        </w:tc>
        <w:tc>
          <w:tcPr>
            <w:tcW w:w="873" w:type="dxa"/>
            <w:noWrap w:val="0"/>
            <w:vAlign w:val="top"/>
          </w:tcPr>
          <w:p>
            <w:pPr>
              <w:spacing w:line="360" w:lineRule="auto"/>
              <w:rPr>
                <w:rFonts w:hint="eastAsia" w:ascii="宋体" w:hAnsi="宋体" w:eastAsia="宋体" w:cs="宋体"/>
                <w:sz w:val="24"/>
                <w:szCs w:val="24"/>
                <w:highlight w:val="none"/>
              </w:rPr>
            </w:pPr>
          </w:p>
        </w:tc>
        <w:tc>
          <w:tcPr>
            <w:tcW w:w="1069" w:type="dxa"/>
            <w:noWrap w:val="0"/>
            <w:vAlign w:val="top"/>
          </w:tcPr>
          <w:p>
            <w:pPr>
              <w:spacing w:line="360" w:lineRule="auto"/>
              <w:rPr>
                <w:rFonts w:hint="eastAsia" w:ascii="宋体" w:hAnsi="宋体" w:eastAsia="宋体" w:cs="宋体"/>
                <w:sz w:val="24"/>
                <w:szCs w:val="24"/>
                <w:highlight w:val="none"/>
              </w:rPr>
            </w:pPr>
          </w:p>
        </w:tc>
        <w:tc>
          <w:tcPr>
            <w:tcW w:w="717" w:type="dxa"/>
            <w:noWrap w:val="0"/>
            <w:vAlign w:val="top"/>
          </w:tcPr>
          <w:p>
            <w:pPr>
              <w:spacing w:line="360" w:lineRule="auto"/>
              <w:rPr>
                <w:rFonts w:hint="eastAsia" w:ascii="宋体" w:hAnsi="宋体" w:eastAsia="宋体" w:cs="宋体"/>
                <w:sz w:val="24"/>
                <w:szCs w:val="24"/>
                <w:highlight w:val="none"/>
              </w:rPr>
            </w:pPr>
          </w:p>
        </w:tc>
        <w:tc>
          <w:tcPr>
            <w:tcW w:w="757" w:type="dxa"/>
            <w:noWrap w:val="0"/>
            <w:vAlign w:val="top"/>
          </w:tcPr>
          <w:p>
            <w:pPr>
              <w:spacing w:line="360" w:lineRule="auto"/>
              <w:rPr>
                <w:rFonts w:hint="eastAsia" w:ascii="宋体" w:hAnsi="宋体" w:eastAsia="宋体" w:cs="宋体"/>
                <w:sz w:val="24"/>
                <w:szCs w:val="24"/>
                <w:highlight w:val="none"/>
              </w:rPr>
            </w:pPr>
          </w:p>
        </w:tc>
        <w:tc>
          <w:tcPr>
            <w:tcW w:w="756" w:type="dxa"/>
            <w:noWrap w:val="0"/>
            <w:vAlign w:val="top"/>
          </w:tcPr>
          <w:p>
            <w:pPr>
              <w:spacing w:line="360" w:lineRule="auto"/>
              <w:rPr>
                <w:rFonts w:hint="eastAsia" w:ascii="宋体" w:hAnsi="宋体" w:eastAsia="宋体" w:cs="宋体"/>
                <w:sz w:val="24"/>
                <w:szCs w:val="24"/>
                <w:highlight w:val="none"/>
              </w:rPr>
            </w:pPr>
          </w:p>
        </w:tc>
        <w:tc>
          <w:tcPr>
            <w:tcW w:w="630"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pPr>
              <w:spacing w:line="360" w:lineRule="auto"/>
              <w:rPr>
                <w:rFonts w:hint="eastAsia" w:ascii="宋体" w:hAnsi="宋体" w:eastAsia="宋体" w:cs="宋体"/>
                <w:sz w:val="24"/>
                <w:szCs w:val="24"/>
                <w:highlight w:val="none"/>
              </w:rPr>
            </w:pPr>
          </w:p>
        </w:tc>
        <w:tc>
          <w:tcPr>
            <w:tcW w:w="882" w:type="dxa"/>
            <w:noWrap w:val="0"/>
            <w:vAlign w:val="top"/>
          </w:tcPr>
          <w:p>
            <w:pPr>
              <w:spacing w:line="360" w:lineRule="auto"/>
              <w:rPr>
                <w:rFonts w:hint="eastAsia" w:ascii="宋体" w:hAnsi="宋体" w:eastAsia="宋体" w:cs="宋体"/>
                <w:sz w:val="24"/>
                <w:szCs w:val="24"/>
                <w:highlight w:val="none"/>
              </w:rPr>
            </w:pPr>
          </w:p>
        </w:tc>
        <w:tc>
          <w:tcPr>
            <w:tcW w:w="990" w:type="dxa"/>
            <w:noWrap w:val="0"/>
            <w:vAlign w:val="top"/>
          </w:tcPr>
          <w:p>
            <w:pPr>
              <w:spacing w:line="360" w:lineRule="auto"/>
              <w:rPr>
                <w:rFonts w:hint="eastAsia" w:ascii="宋体" w:hAnsi="宋体" w:eastAsia="宋体" w:cs="宋体"/>
                <w:sz w:val="24"/>
                <w:szCs w:val="24"/>
                <w:highlight w:val="none"/>
              </w:rPr>
            </w:pPr>
          </w:p>
        </w:tc>
        <w:tc>
          <w:tcPr>
            <w:tcW w:w="1016" w:type="dxa"/>
            <w:noWrap w:val="0"/>
            <w:vAlign w:val="top"/>
          </w:tcPr>
          <w:p>
            <w:pPr>
              <w:spacing w:line="360" w:lineRule="auto"/>
              <w:rPr>
                <w:rFonts w:hint="eastAsia" w:ascii="宋体" w:hAnsi="宋体" w:eastAsia="宋体" w:cs="宋体"/>
                <w:sz w:val="24"/>
                <w:szCs w:val="24"/>
                <w:highlight w:val="none"/>
              </w:rPr>
            </w:pPr>
          </w:p>
        </w:tc>
        <w:tc>
          <w:tcPr>
            <w:tcW w:w="873" w:type="dxa"/>
            <w:noWrap w:val="0"/>
            <w:vAlign w:val="top"/>
          </w:tcPr>
          <w:p>
            <w:pPr>
              <w:spacing w:line="360" w:lineRule="auto"/>
              <w:rPr>
                <w:rFonts w:hint="eastAsia" w:ascii="宋体" w:hAnsi="宋体" w:eastAsia="宋体" w:cs="宋体"/>
                <w:sz w:val="24"/>
                <w:szCs w:val="24"/>
                <w:highlight w:val="none"/>
              </w:rPr>
            </w:pPr>
          </w:p>
        </w:tc>
        <w:tc>
          <w:tcPr>
            <w:tcW w:w="1069" w:type="dxa"/>
            <w:noWrap w:val="0"/>
            <w:vAlign w:val="top"/>
          </w:tcPr>
          <w:p>
            <w:pPr>
              <w:spacing w:line="360" w:lineRule="auto"/>
              <w:rPr>
                <w:rFonts w:hint="eastAsia" w:ascii="宋体" w:hAnsi="宋体" w:eastAsia="宋体" w:cs="宋体"/>
                <w:sz w:val="24"/>
                <w:szCs w:val="24"/>
                <w:highlight w:val="none"/>
              </w:rPr>
            </w:pPr>
          </w:p>
        </w:tc>
        <w:tc>
          <w:tcPr>
            <w:tcW w:w="717" w:type="dxa"/>
            <w:noWrap w:val="0"/>
            <w:vAlign w:val="top"/>
          </w:tcPr>
          <w:p>
            <w:pPr>
              <w:spacing w:line="360" w:lineRule="auto"/>
              <w:rPr>
                <w:rFonts w:hint="eastAsia" w:ascii="宋体" w:hAnsi="宋体" w:eastAsia="宋体" w:cs="宋体"/>
                <w:sz w:val="24"/>
                <w:szCs w:val="24"/>
                <w:highlight w:val="none"/>
              </w:rPr>
            </w:pPr>
          </w:p>
        </w:tc>
        <w:tc>
          <w:tcPr>
            <w:tcW w:w="757" w:type="dxa"/>
            <w:noWrap w:val="0"/>
            <w:vAlign w:val="top"/>
          </w:tcPr>
          <w:p>
            <w:pPr>
              <w:spacing w:line="360" w:lineRule="auto"/>
              <w:rPr>
                <w:rFonts w:hint="eastAsia" w:ascii="宋体" w:hAnsi="宋体" w:eastAsia="宋体" w:cs="宋体"/>
                <w:sz w:val="24"/>
                <w:szCs w:val="24"/>
                <w:highlight w:val="none"/>
              </w:rPr>
            </w:pPr>
          </w:p>
        </w:tc>
        <w:tc>
          <w:tcPr>
            <w:tcW w:w="756" w:type="dxa"/>
            <w:noWrap w:val="0"/>
            <w:vAlign w:val="top"/>
          </w:tcPr>
          <w:p>
            <w:pPr>
              <w:spacing w:line="360" w:lineRule="auto"/>
              <w:rPr>
                <w:rFonts w:hint="eastAsia" w:ascii="宋体" w:hAnsi="宋体" w:eastAsia="宋体" w:cs="宋体"/>
                <w:sz w:val="24"/>
                <w:szCs w:val="24"/>
                <w:highlight w:val="none"/>
              </w:rPr>
            </w:pPr>
          </w:p>
        </w:tc>
        <w:tc>
          <w:tcPr>
            <w:tcW w:w="630"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30" w:type="dxa"/>
            <w:noWrap w:val="0"/>
            <w:vAlign w:val="top"/>
          </w:tcPr>
          <w:p>
            <w:pPr>
              <w:spacing w:line="360" w:lineRule="auto"/>
              <w:rPr>
                <w:rFonts w:hint="eastAsia" w:ascii="宋体" w:hAnsi="宋体" w:eastAsia="宋体" w:cs="宋体"/>
                <w:sz w:val="24"/>
                <w:szCs w:val="24"/>
                <w:highlight w:val="none"/>
              </w:rPr>
            </w:pPr>
          </w:p>
        </w:tc>
        <w:tc>
          <w:tcPr>
            <w:tcW w:w="882" w:type="dxa"/>
            <w:noWrap w:val="0"/>
            <w:vAlign w:val="top"/>
          </w:tcPr>
          <w:p>
            <w:pPr>
              <w:spacing w:line="360" w:lineRule="auto"/>
              <w:rPr>
                <w:rFonts w:hint="eastAsia" w:ascii="宋体" w:hAnsi="宋体" w:eastAsia="宋体" w:cs="宋体"/>
                <w:sz w:val="24"/>
                <w:szCs w:val="24"/>
                <w:highlight w:val="none"/>
              </w:rPr>
            </w:pPr>
          </w:p>
        </w:tc>
        <w:tc>
          <w:tcPr>
            <w:tcW w:w="990" w:type="dxa"/>
            <w:noWrap w:val="0"/>
            <w:vAlign w:val="top"/>
          </w:tcPr>
          <w:p>
            <w:pPr>
              <w:spacing w:line="360" w:lineRule="auto"/>
              <w:rPr>
                <w:rFonts w:hint="eastAsia" w:ascii="宋体" w:hAnsi="宋体" w:eastAsia="宋体" w:cs="宋体"/>
                <w:sz w:val="24"/>
                <w:szCs w:val="24"/>
                <w:highlight w:val="none"/>
              </w:rPr>
            </w:pPr>
          </w:p>
        </w:tc>
        <w:tc>
          <w:tcPr>
            <w:tcW w:w="1016" w:type="dxa"/>
            <w:noWrap w:val="0"/>
            <w:vAlign w:val="top"/>
          </w:tcPr>
          <w:p>
            <w:pPr>
              <w:spacing w:line="360" w:lineRule="auto"/>
              <w:rPr>
                <w:rFonts w:hint="eastAsia" w:ascii="宋体" w:hAnsi="宋体" w:eastAsia="宋体" w:cs="宋体"/>
                <w:sz w:val="24"/>
                <w:szCs w:val="24"/>
                <w:highlight w:val="none"/>
              </w:rPr>
            </w:pPr>
          </w:p>
        </w:tc>
        <w:tc>
          <w:tcPr>
            <w:tcW w:w="873" w:type="dxa"/>
            <w:noWrap w:val="0"/>
            <w:vAlign w:val="top"/>
          </w:tcPr>
          <w:p>
            <w:pPr>
              <w:spacing w:line="360" w:lineRule="auto"/>
              <w:rPr>
                <w:rFonts w:hint="eastAsia" w:ascii="宋体" w:hAnsi="宋体" w:eastAsia="宋体" w:cs="宋体"/>
                <w:sz w:val="24"/>
                <w:szCs w:val="24"/>
                <w:highlight w:val="none"/>
              </w:rPr>
            </w:pPr>
          </w:p>
        </w:tc>
        <w:tc>
          <w:tcPr>
            <w:tcW w:w="1069" w:type="dxa"/>
            <w:noWrap w:val="0"/>
            <w:vAlign w:val="top"/>
          </w:tcPr>
          <w:p>
            <w:pPr>
              <w:spacing w:line="360" w:lineRule="auto"/>
              <w:rPr>
                <w:rFonts w:hint="eastAsia" w:ascii="宋体" w:hAnsi="宋体" w:eastAsia="宋体" w:cs="宋体"/>
                <w:sz w:val="24"/>
                <w:szCs w:val="24"/>
                <w:highlight w:val="none"/>
              </w:rPr>
            </w:pPr>
          </w:p>
        </w:tc>
        <w:tc>
          <w:tcPr>
            <w:tcW w:w="717" w:type="dxa"/>
            <w:noWrap w:val="0"/>
            <w:vAlign w:val="top"/>
          </w:tcPr>
          <w:p>
            <w:pPr>
              <w:spacing w:line="360" w:lineRule="auto"/>
              <w:rPr>
                <w:rFonts w:hint="eastAsia" w:ascii="宋体" w:hAnsi="宋体" w:eastAsia="宋体" w:cs="宋体"/>
                <w:sz w:val="24"/>
                <w:szCs w:val="24"/>
                <w:highlight w:val="none"/>
              </w:rPr>
            </w:pPr>
          </w:p>
        </w:tc>
        <w:tc>
          <w:tcPr>
            <w:tcW w:w="757" w:type="dxa"/>
            <w:noWrap w:val="0"/>
            <w:vAlign w:val="top"/>
          </w:tcPr>
          <w:p>
            <w:pPr>
              <w:spacing w:line="360" w:lineRule="auto"/>
              <w:rPr>
                <w:rFonts w:hint="eastAsia" w:ascii="宋体" w:hAnsi="宋体" w:eastAsia="宋体" w:cs="宋体"/>
                <w:sz w:val="24"/>
                <w:szCs w:val="24"/>
                <w:highlight w:val="none"/>
              </w:rPr>
            </w:pPr>
          </w:p>
        </w:tc>
        <w:tc>
          <w:tcPr>
            <w:tcW w:w="756" w:type="dxa"/>
            <w:noWrap w:val="0"/>
            <w:vAlign w:val="top"/>
          </w:tcPr>
          <w:p>
            <w:pPr>
              <w:spacing w:line="360" w:lineRule="auto"/>
              <w:rPr>
                <w:rFonts w:hint="eastAsia" w:ascii="宋体" w:hAnsi="宋体" w:eastAsia="宋体" w:cs="宋体"/>
                <w:sz w:val="24"/>
                <w:szCs w:val="24"/>
                <w:highlight w:val="none"/>
              </w:rPr>
            </w:pPr>
          </w:p>
        </w:tc>
        <w:tc>
          <w:tcPr>
            <w:tcW w:w="630" w:type="dxa"/>
            <w:noWrap w:val="0"/>
            <w:vAlign w:val="top"/>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91" w:type="dxa"/>
            <w:gridSpan w:val="5"/>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Cs w:val="21"/>
                <w:highlight w:val="none"/>
              </w:rPr>
              <w:t>合计（人民币）</w:t>
            </w:r>
          </w:p>
        </w:tc>
        <w:tc>
          <w:tcPr>
            <w:tcW w:w="3929" w:type="dxa"/>
            <w:gridSpan w:val="5"/>
            <w:noWrap w:val="0"/>
            <w:vAlign w:val="top"/>
          </w:tcPr>
          <w:p>
            <w:pPr>
              <w:spacing w:line="360" w:lineRule="auto"/>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spacing w:line="360" w:lineRule="auto"/>
        <w:jc w:val="right"/>
        <w:rPr>
          <w:rFonts w:hint="eastAsia" w:ascii="宋体" w:hAnsi="宋体" w:eastAsia="宋体" w:cs="宋体"/>
          <w:sz w:val="24"/>
          <w:szCs w:val="24"/>
          <w:highlight w:val="none"/>
        </w:rPr>
      </w:pPr>
    </w:p>
    <w:p>
      <w:pPr>
        <w:pStyle w:val="15"/>
        <w:rPr>
          <w:rFonts w:hint="eastAsia" w:ascii="宋体" w:hAnsi="宋体" w:eastAsia="宋体" w:cs="宋体"/>
          <w:sz w:val="24"/>
          <w:highlight w:val="none"/>
        </w:rPr>
      </w:pPr>
    </w:p>
    <w:p>
      <w:pPr>
        <w:rPr>
          <w:rFonts w:hint="eastAsia" w:ascii="宋体" w:hAnsi="宋体" w:eastAsia="宋体" w:cs="宋体"/>
          <w:highlight w:val="none"/>
        </w:rPr>
      </w:pPr>
    </w:p>
    <w:p>
      <w:pPr>
        <w:adjustRightInd w:val="0"/>
        <w:snapToGrid w:val="0"/>
        <w:spacing w:line="360" w:lineRule="auto"/>
        <w:ind w:firstLine="480" w:firstLineChars="20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（盖单位章）</w:t>
      </w:r>
    </w:p>
    <w:p>
      <w:pPr>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pPr>
        <w:spacing w:line="360" w:lineRule="auto"/>
        <w:ind w:left="1"/>
        <w:jc w:val="right"/>
        <w:rPr>
          <w:rFonts w:hint="eastAsia" w:ascii="宋体" w:hAnsi="宋体" w:eastAsia="宋体" w:cs="宋体"/>
          <w:spacing w:val="4"/>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pPr>
        <w:spacing w:line="360" w:lineRule="auto"/>
        <w:rPr>
          <w:rFonts w:hint="eastAsia" w:ascii="宋体" w:hAnsi="宋体" w:eastAsia="宋体" w:cs="宋体"/>
          <w:b/>
          <w:sz w:val="24"/>
          <w:szCs w:val="24"/>
          <w:highlight w:val="none"/>
        </w:rPr>
      </w:pP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注：</w:t>
      </w: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1、如投标产品为节能环保、环境标志产品，须按格式逐项填写，并附相关证明（注：环境标志产品是指由财政部、国家环境保护总局颁布的“环境标志产品政府采购清单”中的有效期内的产品；节能产品是指由财政部、国家发改委颁布的“节能产品政府采购清单”中的有效期内的产品）。</w:t>
      </w:r>
    </w:p>
    <w:p>
      <w:pPr>
        <w:spacing w:line="44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2、类别填写：节能环保产品或环境标志产品。</w:t>
      </w:r>
    </w:p>
    <w:p>
      <w:pPr>
        <w:jc w:val="left"/>
        <w:rPr>
          <w:rFonts w:hint="eastAsia" w:ascii="宋体" w:hAnsi="宋体" w:eastAsia="宋体" w:cs="宋体"/>
          <w:b/>
          <w:bCs/>
          <w:sz w:val="32"/>
          <w:szCs w:val="32"/>
          <w:highlight w:val="none"/>
        </w:rPr>
      </w:pPr>
    </w:p>
    <w:p>
      <w:pPr>
        <w:jc w:val="left"/>
        <w:rPr>
          <w:rFonts w:hint="eastAsia" w:ascii="宋体" w:hAnsi="宋体" w:eastAsia="宋体" w:cs="宋体"/>
          <w:b/>
          <w:bCs/>
          <w:sz w:val="32"/>
          <w:szCs w:val="32"/>
          <w:highlight w:val="none"/>
        </w:rPr>
      </w:pPr>
    </w:p>
    <w:p>
      <w:pPr>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附件5：</w:t>
      </w:r>
    </w:p>
    <w:p>
      <w:pPr>
        <w:pStyle w:val="8"/>
        <w:bidi w:val="0"/>
        <w:jc w:val="center"/>
        <w:outlineLvl w:val="2"/>
        <w:rPr>
          <w:rFonts w:hint="eastAsia" w:ascii="宋体" w:hAnsi="宋体" w:eastAsia="宋体" w:cs="宋体"/>
          <w:b/>
          <w:bCs/>
          <w:szCs w:val="44"/>
          <w:highlight w:val="none"/>
        </w:rPr>
      </w:pPr>
      <w:bookmarkStart w:id="1526" w:name="_Toc29184"/>
      <w:r>
        <w:rPr>
          <w:rFonts w:hint="eastAsia" w:ascii="宋体" w:hAnsi="宋体" w:eastAsia="宋体" w:cs="宋体"/>
          <w:highlight w:val="none"/>
        </w:rPr>
        <w:t>《拒绝政府采购领域商业贿赂承诺书》</w:t>
      </w:r>
      <w:bookmarkEnd w:id="1526"/>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为响应党中央、国务院关于治理采购领域商业贿赂行为的号召，我公司再次承诺：</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在参与采购活动中遵纪守法、诚信经营、公平竞标。</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不向</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招标代理机构</w:t>
      </w:r>
      <w:r>
        <w:rPr>
          <w:rFonts w:hint="eastAsia" w:ascii="宋体" w:hAnsi="宋体" w:eastAsia="宋体" w:cs="宋体"/>
          <w:bCs/>
          <w:sz w:val="24"/>
          <w:szCs w:val="24"/>
          <w:highlight w:val="none"/>
        </w:rPr>
        <w:t>和采购评审专家进行任何形式的商业贿赂以谋取成交交易机会。</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不向</w:t>
      </w:r>
      <w:r>
        <w:rPr>
          <w:rFonts w:hint="eastAsia" w:ascii="宋体" w:hAnsi="宋体" w:eastAsia="宋体" w:cs="宋体"/>
          <w:bCs/>
          <w:sz w:val="24"/>
          <w:szCs w:val="24"/>
          <w:highlight w:val="none"/>
          <w:lang w:eastAsia="zh-CN"/>
        </w:rPr>
        <w:t>招标代理机构</w:t>
      </w:r>
      <w:r>
        <w:rPr>
          <w:rFonts w:hint="eastAsia" w:ascii="宋体" w:hAnsi="宋体" w:eastAsia="宋体" w:cs="宋体"/>
          <w:bCs/>
          <w:sz w:val="24"/>
          <w:szCs w:val="24"/>
          <w:highlight w:val="none"/>
        </w:rPr>
        <w:t>和</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提供虚假资质文件或采用虚假应标方式参与采购市场竞争并谋取中标、成交。</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不采取“围标、陪标”等商业欺诈手段获取采购订单。</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不采取不正当手段诋毁、排挤其他</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不在提供商品和服务时“偷梁换柱、以次充好”损害</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的合法权益。</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不与</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招标代理机构</w:t>
      </w:r>
      <w:r>
        <w:rPr>
          <w:rFonts w:hint="eastAsia" w:ascii="宋体" w:hAnsi="宋体" w:eastAsia="宋体" w:cs="宋体"/>
          <w:bCs/>
          <w:sz w:val="24"/>
          <w:szCs w:val="24"/>
          <w:highlight w:val="none"/>
        </w:rPr>
        <w:t>、采购评审专家或其他应</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恶意串通，进行质疑和投诉，维护采购市场秩序。</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尊重和接受采购监督管理部门的监督和</w:t>
      </w:r>
      <w:r>
        <w:rPr>
          <w:rFonts w:hint="eastAsia" w:ascii="宋体" w:hAnsi="宋体" w:eastAsia="宋体" w:cs="宋体"/>
          <w:bCs/>
          <w:sz w:val="24"/>
          <w:szCs w:val="24"/>
          <w:highlight w:val="none"/>
          <w:lang w:eastAsia="zh-CN"/>
        </w:rPr>
        <w:t>招标代理机构</w:t>
      </w:r>
      <w:r>
        <w:rPr>
          <w:rFonts w:hint="eastAsia" w:ascii="宋体" w:hAnsi="宋体" w:eastAsia="宋体" w:cs="宋体"/>
          <w:bCs/>
          <w:sz w:val="24"/>
          <w:szCs w:val="24"/>
          <w:highlight w:val="none"/>
        </w:rPr>
        <w:t>招标采购要求，承担因违约行为给</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造成的损失。</w:t>
      </w:r>
    </w:p>
    <w:p>
      <w:pPr>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不发生其他有悖于政府采购公开、公平、公正和诚信原则的行为。</w:t>
      </w:r>
    </w:p>
    <w:p>
      <w:pPr>
        <w:snapToGrid w:val="0"/>
        <w:spacing w:line="480" w:lineRule="auto"/>
        <w:ind w:left="482"/>
        <w:rPr>
          <w:rFonts w:hint="eastAsia" w:ascii="宋体" w:hAnsi="宋体" w:eastAsia="宋体" w:cs="宋体"/>
          <w:bCs/>
          <w:sz w:val="24"/>
          <w:szCs w:val="24"/>
          <w:highlight w:val="none"/>
        </w:rPr>
      </w:pPr>
    </w:p>
    <w:p>
      <w:pPr>
        <w:snapToGrid w:val="0"/>
        <w:spacing w:line="480" w:lineRule="auto"/>
        <w:ind w:left="482"/>
        <w:rPr>
          <w:rFonts w:hint="eastAsia" w:ascii="宋体" w:hAnsi="宋体" w:eastAsia="宋体" w:cs="宋体"/>
          <w:bCs/>
          <w:sz w:val="24"/>
          <w:szCs w:val="24"/>
          <w:highlight w:val="none"/>
        </w:rPr>
      </w:pPr>
      <w:r>
        <w:rPr>
          <w:rFonts w:hint="eastAsia" w:ascii="宋体" w:hAnsi="宋体" w:eastAsia="宋体" w:cs="宋体"/>
          <w:bCs/>
          <w:sz w:val="24"/>
          <w:szCs w:val="24"/>
          <w:highlight w:val="none"/>
        </w:rPr>
        <w:t>承诺单位：</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（盖章）全权代表：</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（签字）</w:t>
      </w:r>
    </w:p>
    <w:p>
      <w:pPr>
        <w:snapToGrid w:val="0"/>
        <w:spacing w:line="480" w:lineRule="auto"/>
        <w:ind w:left="482"/>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bCs/>
          <w:sz w:val="24"/>
          <w:szCs w:val="24"/>
          <w:highlight w:val="none"/>
        </w:rPr>
        <w:t>邮编：</w:t>
      </w:r>
      <w:r>
        <w:rPr>
          <w:rFonts w:hint="eastAsia" w:ascii="宋体" w:hAnsi="宋体" w:eastAsia="宋体" w:cs="宋体"/>
          <w:bCs/>
          <w:sz w:val="24"/>
          <w:szCs w:val="24"/>
          <w:highlight w:val="none"/>
          <w:u w:val="single"/>
          <w:lang w:val="en-US" w:eastAsia="zh-CN"/>
        </w:rPr>
        <w:t xml:space="preserve">             </w:t>
      </w:r>
    </w:p>
    <w:p>
      <w:pPr>
        <w:snapToGrid w:val="0"/>
        <w:spacing w:line="480" w:lineRule="auto"/>
        <w:ind w:left="482"/>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bCs/>
          <w:sz w:val="24"/>
          <w:szCs w:val="24"/>
          <w:highlight w:val="none"/>
        </w:rPr>
        <w:t>电话：</w:t>
      </w:r>
      <w:r>
        <w:rPr>
          <w:rFonts w:hint="eastAsia" w:ascii="宋体" w:hAnsi="宋体" w:eastAsia="宋体" w:cs="宋体"/>
          <w:bCs/>
          <w:sz w:val="24"/>
          <w:szCs w:val="24"/>
          <w:highlight w:val="none"/>
          <w:u w:val="single"/>
          <w:lang w:val="en-US" w:eastAsia="zh-CN"/>
        </w:rPr>
        <w:t xml:space="preserve">             </w:t>
      </w:r>
    </w:p>
    <w:p>
      <w:pPr>
        <w:snapToGrid w:val="0"/>
        <w:spacing w:line="480" w:lineRule="auto"/>
        <w:ind w:firstLine="5280" w:firstLineChars="2200"/>
        <w:rPr>
          <w:rFonts w:hint="eastAsia" w:ascii="宋体" w:hAnsi="宋体" w:eastAsia="宋体" w:cs="宋体"/>
          <w:highlight w:val="none"/>
        </w:rPr>
      </w:pP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日</w:t>
      </w:r>
    </w:p>
    <w:sectPr>
      <w:headerReference r:id="rId14" w:type="default"/>
      <w:footerReference r:id="rId15" w:type="default"/>
      <w:footerReference r:id="rId16" w:type="even"/>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9"/>
        <w:rFonts w:hint="eastAsia"/>
      </w:rPr>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9"/>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0apDI3gEAAL8DAAAOAAAAAAAA&#10;AAEAIAAAAB4BAABkcnMvZTJvRG9jLnhtbFBLBQYAAAAABgAGAFkBAABu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3oq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T1&#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3/eioyQEAAJo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NlXGHIAQAAmgMAAA4AAAAAAAAAAQAgAAAAHgEAAGRycy9lMm9Eb2Mu&#10;eG1sUEsFBgAAAAAGAAYAWQEAAFg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136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Zd8BAAC/AwAADgAAAGRycy9lMm9Eb2MueG1srVPBjtMwEL0j8Q+W&#10;7zTZI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TqZd8BAAC/AwAADgAAAAAA&#10;AAABACAAAAAeAQAAZHJzL2Uyb0RvYy54bWxQSwUGAAAAAAYABgBZAQAAbwU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9"/>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170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AlYt8BAAC/AwAADgAAAGRycy9lMm9Eb2MueG1srVPBjtMwEL0j8Q+W&#10;7zTZSqy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YvOXPC0sDP37+df/w6//zK&#10;lt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KAlYt8BAAC/AwAADgAAAAAA&#10;AAABACAAAAAeAQAAZHJzL2Uyb0RvYy54bWxQSwUGAAAAAAYABgBZAQAAbwU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170</w:t>
                    </w:r>
                    <w:r>
                      <w:fldChar w:fldCharType="end"/>
                    </w:r>
                    <w:r>
                      <w:t xml:space="preserve"> 页</w:t>
                    </w:r>
                  </w:p>
                </w:txbxContent>
              </v:textbox>
            </v:shape>
          </w:pict>
        </mc:Fallback>
      </mc:AlternateContent>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right"/>
      <w:rPr>
        <w:rFonts w:hint="eastAsia"/>
      </w:rPr>
    </w:pPr>
    <w:r>
      <w:rPr>
        <w:rFonts w:hint="eastAsia"/>
      </w:rPr>
      <w:t xml:space="preserve"> </w:t>
    </w:r>
  </w:p>
  <w:p>
    <w:pPr>
      <w:pStyle w:val="23"/>
      <w:pBdr>
        <w:bottom w:val="single" w:color="auto" w:sz="4" w:space="0"/>
      </w:pBdr>
      <w:jc w:val="left"/>
      <w:rPr>
        <w:rFonts w:hint="eastAsia"/>
      </w:rPr>
    </w:pPr>
    <w:r>
      <w:rPr>
        <w:rFonts w:hint="eastAsia"/>
        <w:lang w:eastAsia="zh-CN"/>
      </w:rPr>
      <w:t>西安经开第八小学校舍及操场维修改造项目</w:t>
    </w:r>
    <w:r>
      <w:rPr>
        <w:rFonts w:hint="eastAsia"/>
      </w:rPr>
      <w:t xml:space="preserve">     </w:t>
    </w:r>
    <w:r>
      <w:rPr>
        <w:rFonts w:hint="eastAsia"/>
        <w:lang w:val="en-US" w:eastAsia="zh-CN"/>
      </w:rPr>
      <w:t xml:space="preserve">                                              招标文件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u w:val="single"/>
      </w:rPr>
    </w:pPr>
    <w:r>
      <w:rPr>
        <w:rFonts w:hint="eastAsia"/>
        <w:u w:val="single"/>
        <w:lang w:eastAsia="zh-CN"/>
      </w:rPr>
      <w:t>西安经开第八小学校舍及操场维修改造项目</w:t>
    </w:r>
    <w:r>
      <w:rPr>
        <w:rFonts w:hint="eastAsia"/>
        <w:u w:val="single"/>
      </w:rPr>
      <w:t xml:space="preserve">     </w:t>
    </w:r>
    <w:r>
      <w:rPr>
        <w:rFonts w:hint="eastAsia"/>
        <w:u w:val="single"/>
        <w:lang w:val="en-US" w:eastAsia="zh-CN"/>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rPr>
        <w:u w:val="single"/>
      </w:rPr>
    </w:pPr>
    <w:r>
      <w:rPr>
        <w:rFonts w:hint="eastAsia"/>
        <w:u w:val="single"/>
        <w:lang w:eastAsia="zh-CN"/>
      </w:rPr>
      <w:t>西安经开第八小学校舍及操场维修改造项目</w:t>
    </w:r>
    <w:r>
      <w:rPr>
        <w:rFonts w:hint="eastAsia"/>
        <w:u w:val="single"/>
      </w:rPr>
      <w:t xml:space="preserve">     </w:t>
    </w:r>
    <w:r>
      <w:rPr>
        <w:rFonts w:hint="eastAsia"/>
        <w:u w:val="single"/>
        <w:lang w:val="en-US" w:eastAsia="zh-CN"/>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right"/>
      <w:rPr>
        <w:rFonts w:hint="eastAsia"/>
      </w:rPr>
    </w:pPr>
    <w:r>
      <w:rPr>
        <w:rFonts w:hint="eastAsia"/>
      </w:rPr>
      <w:t xml:space="preserve"> </w:t>
    </w:r>
  </w:p>
  <w:p>
    <w:pPr>
      <w:pStyle w:val="23"/>
      <w:pBdr>
        <w:bottom w:val="none" w:color="auto" w:sz="0" w:space="0"/>
      </w:pBdr>
      <w:jc w:val="righ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2101"/>
    <w:multiLevelType w:val="singleLevel"/>
    <w:tmpl w:val="963C2101"/>
    <w:lvl w:ilvl="0" w:tentative="0">
      <w:start w:val="1"/>
      <w:numFmt w:val="chineseCounting"/>
      <w:suff w:val="space"/>
      <w:lvlText w:val="第%1章"/>
      <w:lvlJc w:val="left"/>
      <w:rPr>
        <w:rFonts w:hint="eastAsia"/>
      </w:rPr>
    </w:lvl>
  </w:abstractNum>
  <w:abstractNum w:abstractNumId="1">
    <w:nsid w:val="A99D5269"/>
    <w:multiLevelType w:val="singleLevel"/>
    <w:tmpl w:val="A99D5269"/>
    <w:lvl w:ilvl="0" w:tentative="0">
      <w:start w:val="5"/>
      <w:numFmt w:val="chineseCounting"/>
      <w:suff w:val="nothing"/>
      <w:lvlText w:val="%1、"/>
      <w:lvlJc w:val="left"/>
      <w:rPr>
        <w:rFonts w:hint="eastAsia"/>
      </w:rPr>
    </w:lvl>
  </w:abstractNum>
  <w:abstractNum w:abstractNumId="2">
    <w:nsid w:val="EE621C4B"/>
    <w:multiLevelType w:val="singleLevel"/>
    <w:tmpl w:val="EE621C4B"/>
    <w:lvl w:ilvl="0" w:tentative="0">
      <w:start w:val="1"/>
      <w:numFmt w:val="decimalEnclosedCircleChinese"/>
      <w:suff w:val="nothing"/>
      <w:lvlText w:val="%1　"/>
      <w:lvlJc w:val="left"/>
      <w:pPr>
        <w:ind w:left="0" w:firstLine="400"/>
      </w:pPr>
      <w:rPr>
        <w:rFonts w:hint="eastAsia"/>
      </w:rPr>
    </w:lvl>
  </w:abstractNum>
  <w:abstractNum w:abstractNumId="3">
    <w:nsid w:val="FCC78ABE"/>
    <w:multiLevelType w:val="singleLevel"/>
    <w:tmpl w:val="FCC78ABE"/>
    <w:lvl w:ilvl="0" w:tentative="0">
      <w:start w:val="2"/>
      <w:numFmt w:val="chineseCounting"/>
      <w:suff w:val="nothing"/>
      <w:lvlText w:val="%1、"/>
      <w:lvlJc w:val="left"/>
      <w:rPr>
        <w:rFonts w:hint="eastAsia"/>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2545A5FB"/>
    <w:multiLevelType w:val="singleLevel"/>
    <w:tmpl w:val="2545A5FB"/>
    <w:lvl w:ilvl="0" w:tentative="0">
      <w:start w:val="2"/>
      <w:numFmt w:val="chineseCounting"/>
      <w:suff w:val="nothing"/>
      <w:lvlText w:val="（%1）"/>
      <w:lvlJc w:val="left"/>
      <w:rPr>
        <w:rFonts w:hint="eastAsia"/>
      </w:rPr>
    </w:lvl>
  </w:abstractNum>
  <w:abstractNum w:abstractNumId="6">
    <w:nsid w:val="28D178E9"/>
    <w:multiLevelType w:val="singleLevel"/>
    <w:tmpl w:val="28D178E9"/>
    <w:lvl w:ilvl="0" w:tentative="0">
      <w:start w:val="1"/>
      <w:numFmt w:val="decimal"/>
      <w:suff w:val="nothing"/>
      <w:lvlText w:val="（%1）"/>
      <w:lvlJc w:val="left"/>
    </w:lvl>
  </w:abstractNum>
  <w:abstractNum w:abstractNumId="7">
    <w:nsid w:val="2C14F492"/>
    <w:multiLevelType w:val="singleLevel"/>
    <w:tmpl w:val="2C14F492"/>
    <w:lvl w:ilvl="0" w:tentative="0">
      <w:start w:val="1"/>
      <w:numFmt w:val="chineseCounting"/>
      <w:suff w:val="space"/>
      <w:lvlText w:val="第%1部分"/>
      <w:lvlJc w:val="left"/>
      <w:rPr>
        <w:rFonts w:hint="eastAsia"/>
      </w:rPr>
    </w:lvl>
  </w:abstractNum>
  <w:abstractNum w:abstractNumId="8">
    <w:nsid w:val="308DF400"/>
    <w:multiLevelType w:val="singleLevel"/>
    <w:tmpl w:val="308DF400"/>
    <w:lvl w:ilvl="0" w:tentative="0">
      <w:start w:val="2"/>
      <w:numFmt w:val="decimal"/>
      <w:lvlText w:val="(%1)"/>
      <w:lvlJc w:val="left"/>
      <w:pPr>
        <w:tabs>
          <w:tab w:val="left" w:pos="312"/>
        </w:tabs>
      </w:pPr>
    </w:lvl>
  </w:abstractNum>
  <w:abstractNum w:abstractNumId="9">
    <w:nsid w:val="3A650DEE"/>
    <w:multiLevelType w:val="singleLevel"/>
    <w:tmpl w:val="3A650DEE"/>
    <w:lvl w:ilvl="0" w:tentative="0">
      <w:start w:val="1"/>
      <w:numFmt w:val="decimal"/>
      <w:suff w:val="nothing"/>
      <w:lvlText w:val="（%1）"/>
      <w:lvlJc w:val="left"/>
      <w:pPr>
        <w:ind w:left="440" w:firstLine="0"/>
      </w:pPr>
    </w:lvl>
  </w:abstractNum>
  <w:num w:numId="1">
    <w:abstractNumId w:val="0"/>
  </w:num>
  <w:num w:numId="2">
    <w:abstractNumId w:val="6"/>
  </w:num>
  <w:num w:numId="3">
    <w:abstractNumId w:val="5"/>
  </w:num>
  <w:num w:numId="4">
    <w:abstractNumId w:val="8"/>
  </w:num>
  <w:num w:numId="5">
    <w:abstractNumId w:val="7"/>
  </w:num>
  <w:num w:numId="6">
    <w:abstractNumId w:val="4"/>
  </w:num>
  <w:num w:numId="7">
    <w:abstractNumId w:val="9"/>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FB25EC"/>
    <w:rsid w:val="0000130B"/>
    <w:rsid w:val="0000198B"/>
    <w:rsid w:val="00003708"/>
    <w:rsid w:val="00003ED1"/>
    <w:rsid w:val="0000441E"/>
    <w:rsid w:val="00004514"/>
    <w:rsid w:val="0000467C"/>
    <w:rsid w:val="00004B36"/>
    <w:rsid w:val="00005A5B"/>
    <w:rsid w:val="00007DA5"/>
    <w:rsid w:val="00011849"/>
    <w:rsid w:val="000129C3"/>
    <w:rsid w:val="00014AA2"/>
    <w:rsid w:val="000153A7"/>
    <w:rsid w:val="00015423"/>
    <w:rsid w:val="00016074"/>
    <w:rsid w:val="00016747"/>
    <w:rsid w:val="00016780"/>
    <w:rsid w:val="0001730A"/>
    <w:rsid w:val="0002220F"/>
    <w:rsid w:val="00022FC2"/>
    <w:rsid w:val="00023C31"/>
    <w:rsid w:val="00023C67"/>
    <w:rsid w:val="0002628F"/>
    <w:rsid w:val="00026A83"/>
    <w:rsid w:val="00026B18"/>
    <w:rsid w:val="00027245"/>
    <w:rsid w:val="00027BF6"/>
    <w:rsid w:val="00027DC9"/>
    <w:rsid w:val="000321B6"/>
    <w:rsid w:val="00034064"/>
    <w:rsid w:val="00037E68"/>
    <w:rsid w:val="00040005"/>
    <w:rsid w:val="00041008"/>
    <w:rsid w:val="000418CD"/>
    <w:rsid w:val="000423AB"/>
    <w:rsid w:val="0004262D"/>
    <w:rsid w:val="00042AB8"/>
    <w:rsid w:val="00043C34"/>
    <w:rsid w:val="00043DCB"/>
    <w:rsid w:val="000442B2"/>
    <w:rsid w:val="000451EB"/>
    <w:rsid w:val="000455D5"/>
    <w:rsid w:val="000458B0"/>
    <w:rsid w:val="000468C6"/>
    <w:rsid w:val="000470BE"/>
    <w:rsid w:val="00047EB8"/>
    <w:rsid w:val="00051277"/>
    <w:rsid w:val="00051F1D"/>
    <w:rsid w:val="00052D57"/>
    <w:rsid w:val="000536B4"/>
    <w:rsid w:val="00053ECE"/>
    <w:rsid w:val="00054063"/>
    <w:rsid w:val="00054D22"/>
    <w:rsid w:val="00054E6A"/>
    <w:rsid w:val="0005502A"/>
    <w:rsid w:val="00055252"/>
    <w:rsid w:val="0005565B"/>
    <w:rsid w:val="00056B70"/>
    <w:rsid w:val="0005730F"/>
    <w:rsid w:val="00060486"/>
    <w:rsid w:val="000607CC"/>
    <w:rsid w:val="00060FB1"/>
    <w:rsid w:val="00061B95"/>
    <w:rsid w:val="0006212D"/>
    <w:rsid w:val="000638A1"/>
    <w:rsid w:val="00063B47"/>
    <w:rsid w:val="00064A58"/>
    <w:rsid w:val="00064B51"/>
    <w:rsid w:val="0006557E"/>
    <w:rsid w:val="00065781"/>
    <w:rsid w:val="00067555"/>
    <w:rsid w:val="00067849"/>
    <w:rsid w:val="00067A80"/>
    <w:rsid w:val="00067F43"/>
    <w:rsid w:val="00071152"/>
    <w:rsid w:val="00071CF6"/>
    <w:rsid w:val="0007245B"/>
    <w:rsid w:val="00072851"/>
    <w:rsid w:val="0007404B"/>
    <w:rsid w:val="0007422F"/>
    <w:rsid w:val="00074721"/>
    <w:rsid w:val="00074846"/>
    <w:rsid w:val="000757A9"/>
    <w:rsid w:val="00075878"/>
    <w:rsid w:val="00080978"/>
    <w:rsid w:val="00081947"/>
    <w:rsid w:val="0008287A"/>
    <w:rsid w:val="00083D6D"/>
    <w:rsid w:val="0008551A"/>
    <w:rsid w:val="00085C2E"/>
    <w:rsid w:val="00086F3B"/>
    <w:rsid w:val="00087B32"/>
    <w:rsid w:val="00087B4D"/>
    <w:rsid w:val="00087BEB"/>
    <w:rsid w:val="000913F1"/>
    <w:rsid w:val="000918D0"/>
    <w:rsid w:val="00092719"/>
    <w:rsid w:val="000932A5"/>
    <w:rsid w:val="0009344A"/>
    <w:rsid w:val="00095542"/>
    <w:rsid w:val="00095665"/>
    <w:rsid w:val="00097A8A"/>
    <w:rsid w:val="000A06C7"/>
    <w:rsid w:val="000A2D66"/>
    <w:rsid w:val="000A5701"/>
    <w:rsid w:val="000A65C1"/>
    <w:rsid w:val="000A6A34"/>
    <w:rsid w:val="000A6CDF"/>
    <w:rsid w:val="000A73D3"/>
    <w:rsid w:val="000B0971"/>
    <w:rsid w:val="000B131F"/>
    <w:rsid w:val="000B1D75"/>
    <w:rsid w:val="000B1E4C"/>
    <w:rsid w:val="000B2B57"/>
    <w:rsid w:val="000B370F"/>
    <w:rsid w:val="000B43C5"/>
    <w:rsid w:val="000B4788"/>
    <w:rsid w:val="000B4D0D"/>
    <w:rsid w:val="000B506C"/>
    <w:rsid w:val="000B6AAD"/>
    <w:rsid w:val="000B77EA"/>
    <w:rsid w:val="000C035E"/>
    <w:rsid w:val="000C1157"/>
    <w:rsid w:val="000C19DD"/>
    <w:rsid w:val="000C1C60"/>
    <w:rsid w:val="000C1D92"/>
    <w:rsid w:val="000C21B0"/>
    <w:rsid w:val="000C30B7"/>
    <w:rsid w:val="000C709E"/>
    <w:rsid w:val="000D1D7C"/>
    <w:rsid w:val="000D43CF"/>
    <w:rsid w:val="000D4713"/>
    <w:rsid w:val="000D4DF5"/>
    <w:rsid w:val="000D63A7"/>
    <w:rsid w:val="000D66EC"/>
    <w:rsid w:val="000D6E2E"/>
    <w:rsid w:val="000D6E38"/>
    <w:rsid w:val="000E01E2"/>
    <w:rsid w:val="000E054D"/>
    <w:rsid w:val="000E21CB"/>
    <w:rsid w:val="000E31DA"/>
    <w:rsid w:val="000E4596"/>
    <w:rsid w:val="000E5B97"/>
    <w:rsid w:val="000E6946"/>
    <w:rsid w:val="000E7413"/>
    <w:rsid w:val="000E7915"/>
    <w:rsid w:val="000F0DDA"/>
    <w:rsid w:val="000F1652"/>
    <w:rsid w:val="000F1DD5"/>
    <w:rsid w:val="000F1FD6"/>
    <w:rsid w:val="000F3786"/>
    <w:rsid w:val="000F411A"/>
    <w:rsid w:val="000F489A"/>
    <w:rsid w:val="000F4952"/>
    <w:rsid w:val="000F4B75"/>
    <w:rsid w:val="000F57F9"/>
    <w:rsid w:val="000F5A18"/>
    <w:rsid w:val="000F5D17"/>
    <w:rsid w:val="000F6855"/>
    <w:rsid w:val="000F6E9A"/>
    <w:rsid w:val="000F6F43"/>
    <w:rsid w:val="000F7B51"/>
    <w:rsid w:val="000F7CEB"/>
    <w:rsid w:val="00101AE8"/>
    <w:rsid w:val="00101AF2"/>
    <w:rsid w:val="00101D55"/>
    <w:rsid w:val="00101DA2"/>
    <w:rsid w:val="00102080"/>
    <w:rsid w:val="001025C6"/>
    <w:rsid w:val="00102615"/>
    <w:rsid w:val="00104DBB"/>
    <w:rsid w:val="00110184"/>
    <w:rsid w:val="00110AEC"/>
    <w:rsid w:val="00111C48"/>
    <w:rsid w:val="00112396"/>
    <w:rsid w:val="001124E1"/>
    <w:rsid w:val="00113923"/>
    <w:rsid w:val="00114C16"/>
    <w:rsid w:val="00115AFB"/>
    <w:rsid w:val="00115C5C"/>
    <w:rsid w:val="00116585"/>
    <w:rsid w:val="00117742"/>
    <w:rsid w:val="001179EC"/>
    <w:rsid w:val="00117EF8"/>
    <w:rsid w:val="00117FE5"/>
    <w:rsid w:val="00121711"/>
    <w:rsid w:val="001219AA"/>
    <w:rsid w:val="00121CBE"/>
    <w:rsid w:val="0012601E"/>
    <w:rsid w:val="001268B0"/>
    <w:rsid w:val="00126C2E"/>
    <w:rsid w:val="00130B03"/>
    <w:rsid w:val="001313D7"/>
    <w:rsid w:val="0013291C"/>
    <w:rsid w:val="00132983"/>
    <w:rsid w:val="00133C29"/>
    <w:rsid w:val="00134290"/>
    <w:rsid w:val="00134C00"/>
    <w:rsid w:val="00135568"/>
    <w:rsid w:val="00136826"/>
    <w:rsid w:val="00141A1E"/>
    <w:rsid w:val="0014342C"/>
    <w:rsid w:val="0014346A"/>
    <w:rsid w:val="0014368E"/>
    <w:rsid w:val="00145F12"/>
    <w:rsid w:val="001461FB"/>
    <w:rsid w:val="00147892"/>
    <w:rsid w:val="00147BA8"/>
    <w:rsid w:val="00150B16"/>
    <w:rsid w:val="001510CE"/>
    <w:rsid w:val="001512DF"/>
    <w:rsid w:val="00151982"/>
    <w:rsid w:val="0015208D"/>
    <w:rsid w:val="00152E14"/>
    <w:rsid w:val="00153148"/>
    <w:rsid w:val="0015376C"/>
    <w:rsid w:val="00153BAA"/>
    <w:rsid w:val="0015514B"/>
    <w:rsid w:val="0015560D"/>
    <w:rsid w:val="00155D82"/>
    <w:rsid w:val="001563D3"/>
    <w:rsid w:val="0015704F"/>
    <w:rsid w:val="001574B1"/>
    <w:rsid w:val="00161704"/>
    <w:rsid w:val="00161BB3"/>
    <w:rsid w:val="00162180"/>
    <w:rsid w:val="00162848"/>
    <w:rsid w:val="00162DD7"/>
    <w:rsid w:val="001630FA"/>
    <w:rsid w:val="00163103"/>
    <w:rsid w:val="00163C85"/>
    <w:rsid w:val="00164853"/>
    <w:rsid w:val="00164AF6"/>
    <w:rsid w:val="00166A16"/>
    <w:rsid w:val="00167DD3"/>
    <w:rsid w:val="0017046E"/>
    <w:rsid w:val="00170B81"/>
    <w:rsid w:val="00170CDA"/>
    <w:rsid w:val="00171421"/>
    <w:rsid w:val="00172088"/>
    <w:rsid w:val="00172374"/>
    <w:rsid w:val="001737B0"/>
    <w:rsid w:val="00174E81"/>
    <w:rsid w:val="001764F7"/>
    <w:rsid w:val="00176DD9"/>
    <w:rsid w:val="00177B65"/>
    <w:rsid w:val="00177DAE"/>
    <w:rsid w:val="00181E62"/>
    <w:rsid w:val="00183581"/>
    <w:rsid w:val="00184062"/>
    <w:rsid w:val="0018480D"/>
    <w:rsid w:val="00184BA6"/>
    <w:rsid w:val="00185FD9"/>
    <w:rsid w:val="00186444"/>
    <w:rsid w:val="00187C90"/>
    <w:rsid w:val="00190AC1"/>
    <w:rsid w:val="00193A29"/>
    <w:rsid w:val="00193B3D"/>
    <w:rsid w:val="0019442E"/>
    <w:rsid w:val="00194E3B"/>
    <w:rsid w:val="00195060"/>
    <w:rsid w:val="001959FC"/>
    <w:rsid w:val="00195D73"/>
    <w:rsid w:val="00195EBF"/>
    <w:rsid w:val="00196562"/>
    <w:rsid w:val="001A0289"/>
    <w:rsid w:val="001A0E3F"/>
    <w:rsid w:val="001A0E49"/>
    <w:rsid w:val="001A0E5E"/>
    <w:rsid w:val="001A14B5"/>
    <w:rsid w:val="001A28D3"/>
    <w:rsid w:val="001A3D25"/>
    <w:rsid w:val="001A52A9"/>
    <w:rsid w:val="001A5D6E"/>
    <w:rsid w:val="001A7B80"/>
    <w:rsid w:val="001B2458"/>
    <w:rsid w:val="001B3690"/>
    <w:rsid w:val="001B37BD"/>
    <w:rsid w:val="001B3B69"/>
    <w:rsid w:val="001B51EA"/>
    <w:rsid w:val="001B5FA5"/>
    <w:rsid w:val="001B6080"/>
    <w:rsid w:val="001B6BFE"/>
    <w:rsid w:val="001B7241"/>
    <w:rsid w:val="001B7C58"/>
    <w:rsid w:val="001C00E0"/>
    <w:rsid w:val="001C05B0"/>
    <w:rsid w:val="001C20F6"/>
    <w:rsid w:val="001C389D"/>
    <w:rsid w:val="001C42B1"/>
    <w:rsid w:val="001C42DD"/>
    <w:rsid w:val="001C46BD"/>
    <w:rsid w:val="001C49B1"/>
    <w:rsid w:val="001C57DF"/>
    <w:rsid w:val="001C5F42"/>
    <w:rsid w:val="001C64BA"/>
    <w:rsid w:val="001C6FC2"/>
    <w:rsid w:val="001C7EA3"/>
    <w:rsid w:val="001D171D"/>
    <w:rsid w:val="001D1966"/>
    <w:rsid w:val="001D1DA0"/>
    <w:rsid w:val="001D23A6"/>
    <w:rsid w:val="001D2819"/>
    <w:rsid w:val="001D4D68"/>
    <w:rsid w:val="001D5128"/>
    <w:rsid w:val="001D56E7"/>
    <w:rsid w:val="001D5EB4"/>
    <w:rsid w:val="001D667A"/>
    <w:rsid w:val="001D6818"/>
    <w:rsid w:val="001E0350"/>
    <w:rsid w:val="001E048A"/>
    <w:rsid w:val="001E47DD"/>
    <w:rsid w:val="001E519D"/>
    <w:rsid w:val="001E6791"/>
    <w:rsid w:val="001E70D6"/>
    <w:rsid w:val="001E74B1"/>
    <w:rsid w:val="001E7FDF"/>
    <w:rsid w:val="001F02DA"/>
    <w:rsid w:val="001F0533"/>
    <w:rsid w:val="001F2DF2"/>
    <w:rsid w:val="001F3A62"/>
    <w:rsid w:val="001F3E72"/>
    <w:rsid w:val="001F45F5"/>
    <w:rsid w:val="001F476E"/>
    <w:rsid w:val="001F480D"/>
    <w:rsid w:val="001F67BE"/>
    <w:rsid w:val="001F6C08"/>
    <w:rsid w:val="001F71BB"/>
    <w:rsid w:val="002001CC"/>
    <w:rsid w:val="00200D3C"/>
    <w:rsid w:val="00200E74"/>
    <w:rsid w:val="002014C1"/>
    <w:rsid w:val="0020330F"/>
    <w:rsid w:val="0020410A"/>
    <w:rsid w:val="0020413F"/>
    <w:rsid w:val="002051E7"/>
    <w:rsid w:val="00205875"/>
    <w:rsid w:val="00206868"/>
    <w:rsid w:val="00206D54"/>
    <w:rsid w:val="00206DA2"/>
    <w:rsid w:val="00207A8F"/>
    <w:rsid w:val="00207CB5"/>
    <w:rsid w:val="0021153E"/>
    <w:rsid w:val="00211BCC"/>
    <w:rsid w:val="00211E16"/>
    <w:rsid w:val="002123A5"/>
    <w:rsid w:val="00212776"/>
    <w:rsid w:val="00212966"/>
    <w:rsid w:val="002129CB"/>
    <w:rsid w:val="00213623"/>
    <w:rsid w:val="00213665"/>
    <w:rsid w:val="00215310"/>
    <w:rsid w:val="00215486"/>
    <w:rsid w:val="002155A3"/>
    <w:rsid w:val="002177E0"/>
    <w:rsid w:val="00217B64"/>
    <w:rsid w:val="002214C7"/>
    <w:rsid w:val="00221DDD"/>
    <w:rsid w:val="00222A7A"/>
    <w:rsid w:val="00223FDF"/>
    <w:rsid w:val="0022439F"/>
    <w:rsid w:val="00225197"/>
    <w:rsid w:val="00227834"/>
    <w:rsid w:val="00227E45"/>
    <w:rsid w:val="002305EC"/>
    <w:rsid w:val="00230608"/>
    <w:rsid w:val="00231DC8"/>
    <w:rsid w:val="0023310E"/>
    <w:rsid w:val="00234EA1"/>
    <w:rsid w:val="00235AB9"/>
    <w:rsid w:val="00235F91"/>
    <w:rsid w:val="00237126"/>
    <w:rsid w:val="00237E34"/>
    <w:rsid w:val="00240CE6"/>
    <w:rsid w:val="0024133E"/>
    <w:rsid w:val="00241CC1"/>
    <w:rsid w:val="00242177"/>
    <w:rsid w:val="00242C77"/>
    <w:rsid w:val="00243173"/>
    <w:rsid w:val="0024319D"/>
    <w:rsid w:val="00243E84"/>
    <w:rsid w:val="00244255"/>
    <w:rsid w:val="00244497"/>
    <w:rsid w:val="002454AF"/>
    <w:rsid w:val="00246EE3"/>
    <w:rsid w:val="00246F33"/>
    <w:rsid w:val="002470DB"/>
    <w:rsid w:val="002477D5"/>
    <w:rsid w:val="002478D7"/>
    <w:rsid w:val="00250937"/>
    <w:rsid w:val="0025122B"/>
    <w:rsid w:val="00251390"/>
    <w:rsid w:val="0025203B"/>
    <w:rsid w:val="00253808"/>
    <w:rsid w:val="002539BD"/>
    <w:rsid w:val="002556FF"/>
    <w:rsid w:val="00255BBF"/>
    <w:rsid w:val="002625BF"/>
    <w:rsid w:val="002627B2"/>
    <w:rsid w:val="00262E6C"/>
    <w:rsid w:val="00267406"/>
    <w:rsid w:val="00270588"/>
    <w:rsid w:val="002713A9"/>
    <w:rsid w:val="00271F17"/>
    <w:rsid w:val="002725D0"/>
    <w:rsid w:val="00272B2A"/>
    <w:rsid w:val="00272DDD"/>
    <w:rsid w:val="00272E02"/>
    <w:rsid w:val="002734AE"/>
    <w:rsid w:val="00274124"/>
    <w:rsid w:val="002761DE"/>
    <w:rsid w:val="00280454"/>
    <w:rsid w:val="0028204F"/>
    <w:rsid w:val="002849BF"/>
    <w:rsid w:val="00286CE2"/>
    <w:rsid w:val="00287F36"/>
    <w:rsid w:val="0029190E"/>
    <w:rsid w:val="00291CCC"/>
    <w:rsid w:val="00292BD1"/>
    <w:rsid w:val="002932B6"/>
    <w:rsid w:val="00293E21"/>
    <w:rsid w:val="00297303"/>
    <w:rsid w:val="002977D0"/>
    <w:rsid w:val="002A0927"/>
    <w:rsid w:val="002A0D8E"/>
    <w:rsid w:val="002A1916"/>
    <w:rsid w:val="002A2553"/>
    <w:rsid w:val="002A2E88"/>
    <w:rsid w:val="002A499D"/>
    <w:rsid w:val="002A4AB6"/>
    <w:rsid w:val="002A533D"/>
    <w:rsid w:val="002A56A6"/>
    <w:rsid w:val="002A5928"/>
    <w:rsid w:val="002A680E"/>
    <w:rsid w:val="002A7198"/>
    <w:rsid w:val="002A7DFB"/>
    <w:rsid w:val="002B1ADF"/>
    <w:rsid w:val="002B352D"/>
    <w:rsid w:val="002B37D1"/>
    <w:rsid w:val="002B3EEA"/>
    <w:rsid w:val="002B460E"/>
    <w:rsid w:val="002B5B25"/>
    <w:rsid w:val="002B5CAC"/>
    <w:rsid w:val="002B66BB"/>
    <w:rsid w:val="002B768F"/>
    <w:rsid w:val="002C0833"/>
    <w:rsid w:val="002C16DB"/>
    <w:rsid w:val="002C2A1A"/>
    <w:rsid w:val="002C3C4A"/>
    <w:rsid w:val="002C3F7B"/>
    <w:rsid w:val="002C41D6"/>
    <w:rsid w:val="002C456C"/>
    <w:rsid w:val="002C4E40"/>
    <w:rsid w:val="002C4F3E"/>
    <w:rsid w:val="002D22BD"/>
    <w:rsid w:val="002D296B"/>
    <w:rsid w:val="002D2A46"/>
    <w:rsid w:val="002D336A"/>
    <w:rsid w:val="002D3A5F"/>
    <w:rsid w:val="002D3A69"/>
    <w:rsid w:val="002D4066"/>
    <w:rsid w:val="002D4329"/>
    <w:rsid w:val="002D7282"/>
    <w:rsid w:val="002D7B33"/>
    <w:rsid w:val="002E023B"/>
    <w:rsid w:val="002E062F"/>
    <w:rsid w:val="002E1B10"/>
    <w:rsid w:val="002E1ED7"/>
    <w:rsid w:val="002E38B8"/>
    <w:rsid w:val="002E3BFA"/>
    <w:rsid w:val="002E440F"/>
    <w:rsid w:val="002E5211"/>
    <w:rsid w:val="002E55D0"/>
    <w:rsid w:val="002E5EF6"/>
    <w:rsid w:val="002E689C"/>
    <w:rsid w:val="002E68A9"/>
    <w:rsid w:val="002E7037"/>
    <w:rsid w:val="002E7075"/>
    <w:rsid w:val="002F05C8"/>
    <w:rsid w:val="002F200F"/>
    <w:rsid w:val="002F2449"/>
    <w:rsid w:val="002F28A8"/>
    <w:rsid w:val="002F6CB1"/>
    <w:rsid w:val="002F7B6A"/>
    <w:rsid w:val="003005A9"/>
    <w:rsid w:val="003005C5"/>
    <w:rsid w:val="00300BFD"/>
    <w:rsid w:val="0030159A"/>
    <w:rsid w:val="00302C45"/>
    <w:rsid w:val="003030B1"/>
    <w:rsid w:val="00305F28"/>
    <w:rsid w:val="0030754A"/>
    <w:rsid w:val="003110D8"/>
    <w:rsid w:val="00314882"/>
    <w:rsid w:val="003148EC"/>
    <w:rsid w:val="00315F1B"/>
    <w:rsid w:val="003160CF"/>
    <w:rsid w:val="00316A26"/>
    <w:rsid w:val="003218CF"/>
    <w:rsid w:val="00321A18"/>
    <w:rsid w:val="00321F16"/>
    <w:rsid w:val="00323914"/>
    <w:rsid w:val="003241D8"/>
    <w:rsid w:val="00325A85"/>
    <w:rsid w:val="00326773"/>
    <w:rsid w:val="003268EA"/>
    <w:rsid w:val="003269EE"/>
    <w:rsid w:val="003270FE"/>
    <w:rsid w:val="003277CA"/>
    <w:rsid w:val="00331387"/>
    <w:rsid w:val="00331602"/>
    <w:rsid w:val="0033295F"/>
    <w:rsid w:val="00332DF3"/>
    <w:rsid w:val="003333E3"/>
    <w:rsid w:val="00333B56"/>
    <w:rsid w:val="00334947"/>
    <w:rsid w:val="0033542E"/>
    <w:rsid w:val="00335521"/>
    <w:rsid w:val="00335ADC"/>
    <w:rsid w:val="00335C94"/>
    <w:rsid w:val="00336D57"/>
    <w:rsid w:val="003405C4"/>
    <w:rsid w:val="0034090D"/>
    <w:rsid w:val="00341419"/>
    <w:rsid w:val="003435F5"/>
    <w:rsid w:val="00343700"/>
    <w:rsid w:val="003438C0"/>
    <w:rsid w:val="00344580"/>
    <w:rsid w:val="00346197"/>
    <w:rsid w:val="00350D57"/>
    <w:rsid w:val="00352773"/>
    <w:rsid w:val="00352BF0"/>
    <w:rsid w:val="00352F67"/>
    <w:rsid w:val="003532E1"/>
    <w:rsid w:val="003546ED"/>
    <w:rsid w:val="00356160"/>
    <w:rsid w:val="00356250"/>
    <w:rsid w:val="003575D8"/>
    <w:rsid w:val="00357DB2"/>
    <w:rsid w:val="00360318"/>
    <w:rsid w:val="00360470"/>
    <w:rsid w:val="00361197"/>
    <w:rsid w:val="003611D2"/>
    <w:rsid w:val="0036129B"/>
    <w:rsid w:val="00361BCF"/>
    <w:rsid w:val="003624BB"/>
    <w:rsid w:val="003625D1"/>
    <w:rsid w:val="0036400C"/>
    <w:rsid w:val="0036405E"/>
    <w:rsid w:val="00366946"/>
    <w:rsid w:val="00367B77"/>
    <w:rsid w:val="00370C49"/>
    <w:rsid w:val="00372FB9"/>
    <w:rsid w:val="0037457E"/>
    <w:rsid w:val="00375308"/>
    <w:rsid w:val="003753B6"/>
    <w:rsid w:val="003758F0"/>
    <w:rsid w:val="003767A0"/>
    <w:rsid w:val="00376A3E"/>
    <w:rsid w:val="00380368"/>
    <w:rsid w:val="0038059D"/>
    <w:rsid w:val="00382D27"/>
    <w:rsid w:val="00383F52"/>
    <w:rsid w:val="00384C57"/>
    <w:rsid w:val="00384C9E"/>
    <w:rsid w:val="00384F26"/>
    <w:rsid w:val="003858BF"/>
    <w:rsid w:val="00386A4C"/>
    <w:rsid w:val="00386F86"/>
    <w:rsid w:val="003872B6"/>
    <w:rsid w:val="00387751"/>
    <w:rsid w:val="003879CD"/>
    <w:rsid w:val="00387E51"/>
    <w:rsid w:val="0039100B"/>
    <w:rsid w:val="00392534"/>
    <w:rsid w:val="00392E57"/>
    <w:rsid w:val="00393610"/>
    <w:rsid w:val="003945CC"/>
    <w:rsid w:val="0039485C"/>
    <w:rsid w:val="0039666E"/>
    <w:rsid w:val="003966DD"/>
    <w:rsid w:val="00396AA4"/>
    <w:rsid w:val="0039722B"/>
    <w:rsid w:val="00397254"/>
    <w:rsid w:val="003A107F"/>
    <w:rsid w:val="003A2177"/>
    <w:rsid w:val="003A2B40"/>
    <w:rsid w:val="003A2CCD"/>
    <w:rsid w:val="003A4BCD"/>
    <w:rsid w:val="003A5342"/>
    <w:rsid w:val="003A58E0"/>
    <w:rsid w:val="003A5D22"/>
    <w:rsid w:val="003A72C0"/>
    <w:rsid w:val="003A7F67"/>
    <w:rsid w:val="003B0890"/>
    <w:rsid w:val="003B0D07"/>
    <w:rsid w:val="003B11EB"/>
    <w:rsid w:val="003B1872"/>
    <w:rsid w:val="003B2684"/>
    <w:rsid w:val="003B2701"/>
    <w:rsid w:val="003B4D7B"/>
    <w:rsid w:val="003B51B0"/>
    <w:rsid w:val="003B5682"/>
    <w:rsid w:val="003B5AD0"/>
    <w:rsid w:val="003B67AB"/>
    <w:rsid w:val="003B6DCB"/>
    <w:rsid w:val="003B7ECD"/>
    <w:rsid w:val="003C0972"/>
    <w:rsid w:val="003C271F"/>
    <w:rsid w:val="003C3E87"/>
    <w:rsid w:val="003C4080"/>
    <w:rsid w:val="003C417B"/>
    <w:rsid w:val="003C4876"/>
    <w:rsid w:val="003C5B32"/>
    <w:rsid w:val="003C5D07"/>
    <w:rsid w:val="003C5FEF"/>
    <w:rsid w:val="003C751D"/>
    <w:rsid w:val="003D1FAB"/>
    <w:rsid w:val="003D27BF"/>
    <w:rsid w:val="003D2D23"/>
    <w:rsid w:val="003D2E89"/>
    <w:rsid w:val="003D2E9D"/>
    <w:rsid w:val="003D374B"/>
    <w:rsid w:val="003D3A76"/>
    <w:rsid w:val="003D3A87"/>
    <w:rsid w:val="003D4AAD"/>
    <w:rsid w:val="003D5517"/>
    <w:rsid w:val="003D5728"/>
    <w:rsid w:val="003D7745"/>
    <w:rsid w:val="003D78DA"/>
    <w:rsid w:val="003E0C56"/>
    <w:rsid w:val="003E0CDF"/>
    <w:rsid w:val="003E0E16"/>
    <w:rsid w:val="003E10B6"/>
    <w:rsid w:val="003E233C"/>
    <w:rsid w:val="003E367C"/>
    <w:rsid w:val="003E4E67"/>
    <w:rsid w:val="003E6217"/>
    <w:rsid w:val="003E66E4"/>
    <w:rsid w:val="003E7462"/>
    <w:rsid w:val="003E7CB1"/>
    <w:rsid w:val="003E7EBE"/>
    <w:rsid w:val="003F0115"/>
    <w:rsid w:val="003F1094"/>
    <w:rsid w:val="003F147C"/>
    <w:rsid w:val="003F1CB3"/>
    <w:rsid w:val="003F239A"/>
    <w:rsid w:val="003F426D"/>
    <w:rsid w:val="003F5199"/>
    <w:rsid w:val="003F66E6"/>
    <w:rsid w:val="003F6FC1"/>
    <w:rsid w:val="003F7D4B"/>
    <w:rsid w:val="00401797"/>
    <w:rsid w:val="00401B72"/>
    <w:rsid w:val="00401BC9"/>
    <w:rsid w:val="00402A65"/>
    <w:rsid w:val="00404803"/>
    <w:rsid w:val="0040480A"/>
    <w:rsid w:val="0040599D"/>
    <w:rsid w:val="0040684C"/>
    <w:rsid w:val="004076B8"/>
    <w:rsid w:val="004110A8"/>
    <w:rsid w:val="00411B03"/>
    <w:rsid w:val="00411E23"/>
    <w:rsid w:val="004127CC"/>
    <w:rsid w:val="00413887"/>
    <w:rsid w:val="004143BC"/>
    <w:rsid w:val="0041502E"/>
    <w:rsid w:val="004158A1"/>
    <w:rsid w:val="00416193"/>
    <w:rsid w:val="00420FB8"/>
    <w:rsid w:val="00422EAE"/>
    <w:rsid w:val="0042320F"/>
    <w:rsid w:val="00423AC8"/>
    <w:rsid w:val="00425554"/>
    <w:rsid w:val="004278BE"/>
    <w:rsid w:val="004307BA"/>
    <w:rsid w:val="004310D7"/>
    <w:rsid w:val="00432361"/>
    <w:rsid w:val="00433075"/>
    <w:rsid w:val="00433259"/>
    <w:rsid w:val="004333CD"/>
    <w:rsid w:val="004353F8"/>
    <w:rsid w:val="004353FF"/>
    <w:rsid w:val="004357CC"/>
    <w:rsid w:val="00436FF7"/>
    <w:rsid w:val="004374DF"/>
    <w:rsid w:val="00437AB1"/>
    <w:rsid w:val="0044075E"/>
    <w:rsid w:val="0044156B"/>
    <w:rsid w:val="00444096"/>
    <w:rsid w:val="00444675"/>
    <w:rsid w:val="00445642"/>
    <w:rsid w:val="00445E78"/>
    <w:rsid w:val="00446657"/>
    <w:rsid w:val="00451388"/>
    <w:rsid w:val="00451EF6"/>
    <w:rsid w:val="00452E96"/>
    <w:rsid w:val="004547CE"/>
    <w:rsid w:val="00454E10"/>
    <w:rsid w:val="004556C2"/>
    <w:rsid w:val="004558B5"/>
    <w:rsid w:val="00455C3B"/>
    <w:rsid w:val="00456C08"/>
    <w:rsid w:val="0045790A"/>
    <w:rsid w:val="004613D7"/>
    <w:rsid w:val="0046187C"/>
    <w:rsid w:val="0046204A"/>
    <w:rsid w:val="0046205B"/>
    <w:rsid w:val="00462EC8"/>
    <w:rsid w:val="00463657"/>
    <w:rsid w:val="00465755"/>
    <w:rsid w:val="00467835"/>
    <w:rsid w:val="00467B98"/>
    <w:rsid w:val="00470155"/>
    <w:rsid w:val="00471982"/>
    <w:rsid w:val="00471DB6"/>
    <w:rsid w:val="00471F96"/>
    <w:rsid w:val="00472033"/>
    <w:rsid w:val="0047258D"/>
    <w:rsid w:val="0047382C"/>
    <w:rsid w:val="00474146"/>
    <w:rsid w:val="00474E08"/>
    <w:rsid w:val="00475D26"/>
    <w:rsid w:val="00476FB3"/>
    <w:rsid w:val="00477E7B"/>
    <w:rsid w:val="004802D8"/>
    <w:rsid w:val="00480755"/>
    <w:rsid w:val="00481F16"/>
    <w:rsid w:val="00484058"/>
    <w:rsid w:val="004841FC"/>
    <w:rsid w:val="00484341"/>
    <w:rsid w:val="00485D66"/>
    <w:rsid w:val="004869AE"/>
    <w:rsid w:val="00486A0C"/>
    <w:rsid w:val="00492941"/>
    <w:rsid w:val="00493BC4"/>
    <w:rsid w:val="00495CE9"/>
    <w:rsid w:val="00495ED2"/>
    <w:rsid w:val="00497681"/>
    <w:rsid w:val="004A0315"/>
    <w:rsid w:val="004A0998"/>
    <w:rsid w:val="004A1C21"/>
    <w:rsid w:val="004A2189"/>
    <w:rsid w:val="004A4A8E"/>
    <w:rsid w:val="004A51C4"/>
    <w:rsid w:val="004A5435"/>
    <w:rsid w:val="004A5440"/>
    <w:rsid w:val="004A6C2B"/>
    <w:rsid w:val="004A7752"/>
    <w:rsid w:val="004A7E63"/>
    <w:rsid w:val="004B01AA"/>
    <w:rsid w:val="004B0890"/>
    <w:rsid w:val="004B1A85"/>
    <w:rsid w:val="004B26EA"/>
    <w:rsid w:val="004B2AC1"/>
    <w:rsid w:val="004B34B6"/>
    <w:rsid w:val="004B3558"/>
    <w:rsid w:val="004B572D"/>
    <w:rsid w:val="004B5E5E"/>
    <w:rsid w:val="004B62BA"/>
    <w:rsid w:val="004C0808"/>
    <w:rsid w:val="004C094A"/>
    <w:rsid w:val="004C0C5F"/>
    <w:rsid w:val="004C0D10"/>
    <w:rsid w:val="004C0D52"/>
    <w:rsid w:val="004C22EE"/>
    <w:rsid w:val="004C3AD5"/>
    <w:rsid w:val="004C49E4"/>
    <w:rsid w:val="004C49F5"/>
    <w:rsid w:val="004C4E0A"/>
    <w:rsid w:val="004C4E4A"/>
    <w:rsid w:val="004C5E24"/>
    <w:rsid w:val="004C621F"/>
    <w:rsid w:val="004C633F"/>
    <w:rsid w:val="004C64D4"/>
    <w:rsid w:val="004C6C26"/>
    <w:rsid w:val="004C6D7C"/>
    <w:rsid w:val="004C6FC4"/>
    <w:rsid w:val="004D104C"/>
    <w:rsid w:val="004D1CD1"/>
    <w:rsid w:val="004D2AD2"/>
    <w:rsid w:val="004D2C98"/>
    <w:rsid w:val="004D30F5"/>
    <w:rsid w:val="004D4733"/>
    <w:rsid w:val="004D54AA"/>
    <w:rsid w:val="004D5E9F"/>
    <w:rsid w:val="004D61BA"/>
    <w:rsid w:val="004D6EF0"/>
    <w:rsid w:val="004D7791"/>
    <w:rsid w:val="004E1D17"/>
    <w:rsid w:val="004E1E47"/>
    <w:rsid w:val="004E26A0"/>
    <w:rsid w:val="004E4466"/>
    <w:rsid w:val="004E4CF1"/>
    <w:rsid w:val="004E5220"/>
    <w:rsid w:val="004E5727"/>
    <w:rsid w:val="004E594D"/>
    <w:rsid w:val="004E5B81"/>
    <w:rsid w:val="004E6C19"/>
    <w:rsid w:val="004F0C9D"/>
    <w:rsid w:val="004F1E4C"/>
    <w:rsid w:val="004F1EB8"/>
    <w:rsid w:val="004F29AD"/>
    <w:rsid w:val="004F3B90"/>
    <w:rsid w:val="004F4D24"/>
    <w:rsid w:val="004F64F4"/>
    <w:rsid w:val="004F73E2"/>
    <w:rsid w:val="00500C3A"/>
    <w:rsid w:val="005012B4"/>
    <w:rsid w:val="00501760"/>
    <w:rsid w:val="00501FB1"/>
    <w:rsid w:val="005021EB"/>
    <w:rsid w:val="0050285E"/>
    <w:rsid w:val="005028E0"/>
    <w:rsid w:val="00503D96"/>
    <w:rsid w:val="0050424E"/>
    <w:rsid w:val="00504CD5"/>
    <w:rsid w:val="00504D6D"/>
    <w:rsid w:val="00506E62"/>
    <w:rsid w:val="0050722A"/>
    <w:rsid w:val="00507420"/>
    <w:rsid w:val="005074F4"/>
    <w:rsid w:val="0050765A"/>
    <w:rsid w:val="005078CE"/>
    <w:rsid w:val="00507970"/>
    <w:rsid w:val="0051127A"/>
    <w:rsid w:val="00511C7B"/>
    <w:rsid w:val="005130C1"/>
    <w:rsid w:val="0051471C"/>
    <w:rsid w:val="00514B32"/>
    <w:rsid w:val="00514E94"/>
    <w:rsid w:val="00516F2E"/>
    <w:rsid w:val="005179BC"/>
    <w:rsid w:val="00517DE9"/>
    <w:rsid w:val="0052057D"/>
    <w:rsid w:val="00520812"/>
    <w:rsid w:val="00521947"/>
    <w:rsid w:val="00522959"/>
    <w:rsid w:val="00522F92"/>
    <w:rsid w:val="00524182"/>
    <w:rsid w:val="00526256"/>
    <w:rsid w:val="005273C1"/>
    <w:rsid w:val="00527B41"/>
    <w:rsid w:val="00527B7F"/>
    <w:rsid w:val="00527E65"/>
    <w:rsid w:val="0053005D"/>
    <w:rsid w:val="0053176B"/>
    <w:rsid w:val="005319BA"/>
    <w:rsid w:val="00531E2C"/>
    <w:rsid w:val="00532E8A"/>
    <w:rsid w:val="00533631"/>
    <w:rsid w:val="00534945"/>
    <w:rsid w:val="00535A64"/>
    <w:rsid w:val="00535D1C"/>
    <w:rsid w:val="00535D5B"/>
    <w:rsid w:val="00536248"/>
    <w:rsid w:val="005371B1"/>
    <w:rsid w:val="005371B9"/>
    <w:rsid w:val="00537A0A"/>
    <w:rsid w:val="00540895"/>
    <w:rsid w:val="005410D8"/>
    <w:rsid w:val="005428F3"/>
    <w:rsid w:val="00542D40"/>
    <w:rsid w:val="00545500"/>
    <w:rsid w:val="005460A6"/>
    <w:rsid w:val="00546BB5"/>
    <w:rsid w:val="005471E2"/>
    <w:rsid w:val="005479EC"/>
    <w:rsid w:val="005506F7"/>
    <w:rsid w:val="00550CA9"/>
    <w:rsid w:val="005513DA"/>
    <w:rsid w:val="00553B92"/>
    <w:rsid w:val="00553C40"/>
    <w:rsid w:val="00555248"/>
    <w:rsid w:val="00555BA6"/>
    <w:rsid w:val="00555BAC"/>
    <w:rsid w:val="0055706B"/>
    <w:rsid w:val="005603C3"/>
    <w:rsid w:val="00560C74"/>
    <w:rsid w:val="00560F36"/>
    <w:rsid w:val="0056231D"/>
    <w:rsid w:val="00562BFF"/>
    <w:rsid w:val="005643C6"/>
    <w:rsid w:val="00565411"/>
    <w:rsid w:val="005660DC"/>
    <w:rsid w:val="00566DFB"/>
    <w:rsid w:val="005709AB"/>
    <w:rsid w:val="00572851"/>
    <w:rsid w:val="005735F0"/>
    <w:rsid w:val="0057581A"/>
    <w:rsid w:val="00575F22"/>
    <w:rsid w:val="00575FC2"/>
    <w:rsid w:val="005764B5"/>
    <w:rsid w:val="0057796B"/>
    <w:rsid w:val="005801A3"/>
    <w:rsid w:val="00580614"/>
    <w:rsid w:val="00581087"/>
    <w:rsid w:val="00581C22"/>
    <w:rsid w:val="00581FA9"/>
    <w:rsid w:val="005822C6"/>
    <w:rsid w:val="005827C8"/>
    <w:rsid w:val="00582A5F"/>
    <w:rsid w:val="005833D4"/>
    <w:rsid w:val="00585090"/>
    <w:rsid w:val="0058562C"/>
    <w:rsid w:val="005858D9"/>
    <w:rsid w:val="00586FE5"/>
    <w:rsid w:val="005871BA"/>
    <w:rsid w:val="005878B2"/>
    <w:rsid w:val="00590A94"/>
    <w:rsid w:val="00590B44"/>
    <w:rsid w:val="00592456"/>
    <w:rsid w:val="00592A8B"/>
    <w:rsid w:val="00593243"/>
    <w:rsid w:val="00594EEC"/>
    <w:rsid w:val="005A0976"/>
    <w:rsid w:val="005A204C"/>
    <w:rsid w:val="005A224C"/>
    <w:rsid w:val="005A25B8"/>
    <w:rsid w:val="005A2B19"/>
    <w:rsid w:val="005A2B50"/>
    <w:rsid w:val="005A2D5C"/>
    <w:rsid w:val="005A3505"/>
    <w:rsid w:val="005A4C9F"/>
    <w:rsid w:val="005A7B03"/>
    <w:rsid w:val="005B040B"/>
    <w:rsid w:val="005B195E"/>
    <w:rsid w:val="005B1C46"/>
    <w:rsid w:val="005B21A2"/>
    <w:rsid w:val="005B360D"/>
    <w:rsid w:val="005B41DE"/>
    <w:rsid w:val="005B4522"/>
    <w:rsid w:val="005B48B1"/>
    <w:rsid w:val="005B4C1B"/>
    <w:rsid w:val="005B5B60"/>
    <w:rsid w:val="005B7563"/>
    <w:rsid w:val="005B79B3"/>
    <w:rsid w:val="005C0333"/>
    <w:rsid w:val="005C1BEC"/>
    <w:rsid w:val="005C3339"/>
    <w:rsid w:val="005C3393"/>
    <w:rsid w:val="005C52EB"/>
    <w:rsid w:val="005C5C33"/>
    <w:rsid w:val="005C5DD2"/>
    <w:rsid w:val="005C60C8"/>
    <w:rsid w:val="005C7169"/>
    <w:rsid w:val="005C72B5"/>
    <w:rsid w:val="005D0520"/>
    <w:rsid w:val="005D0CE9"/>
    <w:rsid w:val="005D0F71"/>
    <w:rsid w:val="005D1B51"/>
    <w:rsid w:val="005D231A"/>
    <w:rsid w:val="005D26DA"/>
    <w:rsid w:val="005D2CC2"/>
    <w:rsid w:val="005D2E5B"/>
    <w:rsid w:val="005D3F68"/>
    <w:rsid w:val="005D4167"/>
    <w:rsid w:val="005D504B"/>
    <w:rsid w:val="005D5CBA"/>
    <w:rsid w:val="005D7F96"/>
    <w:rsid w:val="005E0B73"/>
    <w:rsid w:val="005E1B0D"/>
    <w:rsid w:val="005E2B54"/>
    <w:rsid w:val="005E2F8C"/>
    <w:rsid w:val="005E3F73"/>
    <w:rsid w:val="005E4A7E"/>
    <w:rsid w:val="005E4EE7"/>
    <w:rsid w:val="005E6D2C"/>
    <w:rsid w:val="005E71FE"/>
    <w:rsid w:val="005F19AD"/>
    <w:rsid w:val="005F1B9D"/>
    <w:rsid w:val="005F285A"/>
    <w:rsid w:val="005F39F9"/>
    <w:rsid w:val="005F4D0F"/>
    <w:rsid w:val="005F528D"/>
    <w:rsid w:val="005F5760"/>
    <w:rsid w:val="005F5C4C"/>
    <w:rsid w:val="005F5E4F"/>
    <w:rsid w:val="005F607A"/>
    <w:rsid w:val="005F643E"/>
    <w:rsid w:val="005F6AF5"/>
    <w:rsid w:val="005F6E8D"/>
    <w:rsid w:val="005F73F0"/>
    <w:rsid w:val="0060209F"/>
    <w:rsid w:val="00602516"/>
    <w:rsid w:val="00602650"/>
    <w:rsid w:val="00604A58"/>
    <w:rsid w:val="00604A9C"/>
    <w:rsid w:val="00604C47"/>
    <w:rsid w:val="006057B4"/>
    <w:rsid w:val="00606AD1"/>
    <w:rsid w:val="006078A1"/>
    <w:rsid w:val="00607A6B"/>
    <w:rsid w:val="00607AC6"/>
    <w:rsid w:val="00607E8D"/>
    <w:rsid w:val="00610892"/>
    <w:rsid w:val="00610BFF"/>
    <w:rsid w:val="006111EE"/>
    <w:rsid w:val="00611215"/>
    <w:rsid w:val="00612A49"/>
    <w:rsid w:val="0061367C"/>
    <w:rsid w:val="00616FAC"/>
    <w:rsid w:val="0061790D"/>
    <w:rsid w:val="00617F5C"/>
    <w:rsid w:val="00620323"/>
    <w:rsid w:val="00621593"/>
    <w:rsid w:val="00621D2D"/>
    <w:rsid w:val="00623EB5"/>
    <w:rsid w:val="00624C30"/>
    <w:rsid w:val="00625644"/>
    <w:rsid w:val="006261F7"/>
    <w:rsid w:val="00626674"/>
    <w:rsid w:val="00626827"/>
    <w:rsid w:val="006270CF"/>
    <w:rsid w:val="006275AB"/>
    <w:rsid w:val="00627CAE"/>
    <w:rsid w:val="006301D1"/>
    <w:rsid w:val="00630323"/>
    <w:rsid w:val="00630B6C"/>
    <w:rsid w:val="006310B1"/>
    <w:rsid w:val="00631BA1"/>
    <w:rsid w:val="006322F5"/>
    <w:rsid w:val="00633643"/>
    <w:rsid w:val="00633E69"/>
    <w:rsid w:val="0063409E"/>
    <w:rsid w:val="00634B6D"/>
    <w:rsid w:val="00634C53"/>
    <w:rsid w:val="00635728"/>
    <w:rsid w:val="00635B53"/>
    <w:rsid w:val="006364CD"/>
    <w:rsid w:val="006365C2"/>
    <w:rsid w:val="0064080A"/>
    <w:rsid w:val="0064102E"/>
    <w:rsid w:val="0064181A"/>
    <w:rsid w:val="0064313A"/>
    <w:rsid w:val="00643BEB"/>
    <w:rsid w:val="00643CCA"/>
    <w:rsid w:val="006448A5"/>
    <w:rsid w:val="006450C0"/>
    <w:rsid w:val="00645807"/>
    <w:rsid w:val="006458C1"/>
    <w:rsid w:val="00646F3B"/>
    <w:rsid w:val="00647C4B"/>
    <w:rsid w:val="00647D02"/>
    <w:rsid w:val="00647F6E"/>
    <w:rsid w:val="006503B2"/>
    <w:rsid w:val="006504B3"/>
    <w:rsid w:val="00650F45"/>
    <w:rsid w:val="00652493"/>
    <w:rsid w:val="006541A4"/>
    <w:rsid w:val="00654ACA"/>
    <w:rsid w:val="00655DF5"/>
    <w:rsid w:val="00657A9F"/>
    <w:rsid w:val="00657B0B"/>
    <w:rsid w:val="00661139"/>
    <w:rsid w:val="00661857"/>
    <w:rsid w:val="0066225F"/>
    <w:rsid w:val="00666454"/>
    <w:rsid w:val="00666958"/>
    <w:rsid w:val="00670B3D"/>
    <w:rsid w:val="00670D62"/>
    <w:rsid w:val="00671018"/>
    <w:rsid w:val="006729A6"/>
    <w:rsid w:val="006729E7"/>
    <w:rsid w:val="00673CE4"/>
    <w:rsid w:val="00673FA7"/>
    <w:rsid w:val="00674D93"/>
    <w:rsid w:val="006768F3"/>
    <w:rsid w:val="00676E2B"/>
    <w:rsid w:val="00676F31"/>
    <w:rsid w:val="006806B3"/>
    <w:rsid w:val="00680A7F"/>
    <w:rsid w:val="006815B0"/>
    <w:rsid w:val="006818D8"/>
    <w:rsid w:val="006819B1"/>
    <w:rsid w:val="00681C1E"/>
    <w:rsid w:val="0068413F"/>
    <w:rsid w:val="00684188"/>
    <w:rsid w:val="00684AF8"/>
    <w:rsid w:val="00684F9F"/>
    <w:rsid w:val="00686350"/>
    <w:rsid w:val="00686A4B"/>
    <w:rsid w:val="0068704F"/>
    <w:rsid w:val="00687459"/>
    <w:rsid w:val="00687795"/>
    <w:rsid w:val="006900D6"/>
    <w:rsid w:val="006914BF"/>
    <w:rsid w:val="00691A50"/>
    <w:rsid w:val="00691DE0"/>
    <w:rsid w:val="006920CF"/>
    <w:rsid w:val="006944B4"/>
    <w:rsid w:val="006945E9"/>
    <w:rsid w:val="0069467D"/>
    <w:rsid w:val="00694861"/>
    <w:rsid w:val="006A01BB"/>
    <w:rsid w:val="006A1A97"/>
    <w:rsid w:val="006A1B1F"/>
    <w:rsid w:val="006A1FB4"/>
    <w:rsid w:val="006A3205"/>
    <w:rsid w:val="006A456C"/>
    <w:rsid w:val="006A4A6B"/>
    <w:rsid w:val="006A6309"/>
    <w:rsid w:val="006A6793"/>
    <w:rsid w:val="006A6A70"/>
    <w:rsid w:val="006A6B04"/>
    <w:rsid w:val="006A6B5E"/>
    <w:rsid w:val="006A798F"/>
    <w:rsid w:val="006A7C98"/>
    <w:rsid w:val="006B1955"/>
    <w:rsid w:val="006B20F1"/>
    <w:rsid w:val="006B328D"/>
    <w:rsid w:val="006B353E"/>
    <w:rsid w:val="006B3F11"/>
    <w:rsid w:val="006B535A"/>
    <w:rsid w:val="006B537C"/>
    <w:rsid w:val="006B548B"/>
    <w:rsid w:val="006B55DE"/>
    <w:rsid w:val="006B6B8C"/>
    <w:rsid w:val="006B73B2"/>
    <w:rsid w:val="006B7756"/>
    <w:rsid w:val="006C01E7"/>
    <w:rsid w:val="006C0A20"/>
    <w:rsid w:val="006C0CDD"/>
    <w:rsid w:val="006C1692"/>
    <w:rsid w:val="006C3955"/>
    <w:rsid w:val="006C58EA"/>
    <w:rsid w:val="006D01B4"/>
    <w:rsid w:val="006D0DA6"/>
    <w:rsid w:val="006D3292"/>
    <w:rsid w:val="006D32F7"/>
    <w:rsid w:val="006D35D7"/>
    <w:rsid w:val="006D66D0"/>
    <w:rsid w:val="006D6C9F"/>
    <w:rsid w:val="006E0BE7"/>
    <w:rsid w:val="006E1231"/>
    <w:rsid w:val="006E3223"/>
    <w:rsid w:val="006E325A"/>
    <w:rsid w:val="006E3A24"/>
    <w:rsid w:val="006E7127"/>
    <w:rsid w:val="006E794C"/>
    <w:rsid w:val="006E7F89"/>
    <w:rsid w:val="006F0BB7"/>
    <w:rsid w:val="006F1E0B"/>
    <w:rsid w:val="006F2A21"/>
    <w:rsid w:val="006F3E1E"/>
    <w:rsid w:val="006F408B"/>
    <w:rsid w:val="006F4106"/>
    <w:rsid w:val="006F453C"/>
    <w:rsid w:val="006F56F4"/>
    <w:rsid w:val="006F592A"/>
    <w:rsid w:val="006F6201"/>
    <w:rsid w:val="006F6419"/>
    <w:rsid w:val="006F7467"/>
    <w:rsid w:val="006F793B"/>
    <w:rsid w:val="007008A6"/>
    <w:rsid w:val="007011C9"/>
    <w:rsid w:val="00702A4C"/>
    <w:rsid w:val="00703F81"/>
    <w:rsid w:val="00704F22"/>
    <w:rsid w:val="00705EAE"/>
    <w:rsid w:val="0070659E"/>
    <w:rsid w:val="00707290"/>
    <w:rsid w:val="00707AF3"/>
    <w:rsid w:val="00707E27"/>
    <w:rsid w:val="00707F5C"/>
    <w:rsid w:val="00711DEE"/>
    <w:rsid w:val="007124B7"/>
    <w:rsid w:val="00712503"/>
    <w:rsid w:val="00714E37"/>
    <w:rsid w:val="007154AB"/>
    <w:rsid w:val="00716014"/>
    <w:rsid w:val="0071648A"/>
    <w:rsid w:val="00716C2F"/>
    <w:rsid w:val="00720C1B"/>
    <w:rsid w:val="007218FF"/>
    <w:rsid w:val="0072305D"/>
    <w:rsid w:val="007236A4"/>
    <w:rsid w:val="00725D8E"/>
    <w:rsid w:val="00725EC2"/>
    <w:rsid w:val="00726C21"/>
    <w:rsid w:val="00726FB9"/>
    <w:rsid w:val="00730281"/>
    <w:rsid w:val="00730BF9"/>
    <w:rsid w:val="00731133"/>
    <w:rsid w:val="00731454"/>
    <w:rsid w:val="0073200F"/>
    <w:rsid w:val="007327B7"/>
    <w:rsid w:val="00732847"/>
    <w:rsid w:val="00732F21"/>
    <w:rsid w:val="00733BF3"/>
    <w:rsid w:val="00734106"/>
    <w:rsid w:val="00734716"/>
    <w:rsid w:val="0073600F"/>
    <w:rsid w:val="00736852"/>
    <w:rsid w:val="00737DC5"/>
    <w:rsid w:val="007404B3"/>
    <w:rsid w:val="007405F4"/>
    <w:rsid w:val="00741168"/>
    <w:rsid w:val="00741DE1"/>
    <w:rsid w:val="007421ED"/>
    <w:rsid w:val="00745C43"/>
    <w:rsid w:val="0074617A"/>
    <w:rsid w:val="007461AA"/>
    <w:rsid w:val="00746823"/>
    <w:rsid w:val="00746BF1"/>
    <w:rsid w:val="0075179C"/>
    <w:rsid w:val="0075191C"/>
    <w:rsid w:val="00753A92"/>
    <w:rsid w:val="00753F34"/>
    <w:rsid w:val="00754064"/>
    <w:rsid w:val="0075491D"/>
    <w:rsid w:val="00755134"/>
    <w:rsid w:val="00757419"/>
    <w:rsid w:val="00757D59"/>
    <w:rsid w:val="00757EA9"/>
    <w:rsid w:val="00757FF3"/>
    <w:rsid w:val="00760172"/>
    <w:rsid w:val="00760D67"/>
    <w:rsid w:val="007611BF"/>
    <w:rsid w:val="00764BA2"/>
    <w:rsid w:val="00766185"/>
    <w:rsid w:val="00766291"/>
    <w:rsid w:val="00766C2E"/>
    <w:rsid w:val="00766DF1"/>
    <w:rsid w:val="00766E9A"/>
    <w:rsid w:val="007704CF"/>
    <w:rsid w:val="007709D9"/>
    <w:rsid w:val="00770D2F"/>
    <w:rsid w:val="007712CA"/>
    <w:rsid w:val="00771AA9"/>
    <w:rsid w:val="00773BBA"/>
    <w:rsid w:val="00773E5B"/>
    <w:rsid w:val="00774E35"/>
    <w:rsid w:val="00775B56"/>
    <w:rsid w:val="00776CD7"/>
    <w:rsid w:val="00776CE7"/>
    <w:rsid w:val="0077708C"/>
    <w:rsid w:val="007773C5"/>
    <w:rsid w:val="00780891"/>
    <w:rsid w:val="00780B85"/>
    <w:rsid w:val="007827DE"/>
    <w:rsid w:val="00782AF8"/>
    <w:rsid w:val="00784310"/>
    <w:rsid w:val="007853EF"/>
    <w:rsid w:val="0078560F"/>
    <w:rsid w:val="007859E6"/>
    <w:rsid w:val="00785A81"/>
    <w:rsid w:val="00786AF9"/>
    <w:rsid w:val="0078752F"/>
    <w:rsid w:val="00787D25"/>
    <w:rsid w:val="007906B6"/>
    <w:rsid w:val="00790926"/>
    <w:rsid w:val="00791F1F"/>
    <w:rsid w:val="007924FA"/>
    <w:rsid w:val="00793E2D"/>
    <w:rsid w:val="00795510"/>
    <w:rsid w:val="00795D32"/>
    <w:rsid w:val="00796EEB"/>
    <w:rsid w:val="0079712B"/>
    <w:rsid w:val="0079728D"/>
    <w:rsid w:val="007977E4"/>
    <w:rsid w:val="007978D2"/>
    <w:rsid w:val="00797A4B"/>
    <w:rsid w:val="007A0AFE"/>
    <w:rsid w:val="007A0C61"/>
    <w:rsid w:val="007A0C98"/>
    <w:rsid w:val="007A15FD"/>
    <w:rsid w:val="007A3551"/>
    <w:rsid w:val="007A5E34"/>
    <w:rsid w:val="007A62FF"/>
    <w:rsid w:val="007A7575"/>
    <w:rsid w:val="007A7DEC"/>
    <w:rsid w:val="007B13C6"/>
    <w:rsid w:val="007B4820"/>
    <w:rsid w:val="007B679D"/>
    <w:rsid w:val="007B681C"/>
    <w:rsid w:val="007B6BFE"/>
    <w:rsid w:val="007B7230"/>
    <w:rsid w:val="007C0698"/>
    <w:rsid w:val="007C0803"/>
    <w:rsid w:val="007C128E"/>
    <w:rsid w:val="007C39D7"/>
    <w:rsid w:val="007C4667"/>
    <w:rsid w:val="007C494A"/>
    <w:rsid w:val="007C70DC"/>
    <w:rsid w:val="007C7EC3"/>
    <w:rsid w:val="007D13A4"/>
    <w:rsid w:val="007D1A5F"/>
    <w:rsid w:val="007D2F74"/>
    <w:rsid w:val="007D2F8C"/>
    <w:rsid w:val="007D356B"/>
    <w:rsid w:val="007D4006"/>
    <w:rsid w:val="007D4675"/>
    <w:rsid w:val="007D686C"/>
    <w:rsid w:val="007D72C3"/>
    <w:rsid w:val="007D7B63"/>
    <w:rsid w:val="007E09AD"/>
    <w:rsid w:val="007E1FEB"/>
    <w:rsid w:val="007E2C7D"/>
    <w:rsid w:val="007E59EB"/>
    <w:rsid w:val="007E6105"/>
    <w:rsid w:val="007E7449"/>
    <w:rsid w:val="007E7C38"/>
    <w:rsid w:val="007E7D8E"/>
    <w:rsid w:val="007F088A"/>
    <w:rsid w:val="007F31C5"/>
    <w:rsid w:val="007F31FD"/>
    <w:rsid w:val="007F4500"/>
    <w:rsid w:val="007F55DA"/>
    <w:rsid w:val="007F5D17"/>
    <w:rsid w:val="007F6E6B"/>
    <w:rsid w:val="008015ED"/>
    <w:rsid w:val="008040E7"/>
    <w:rsid w:val="00804B4E"/>
    <w:rsid w:val="00804D2C"/>
    <w:rsid w:val="00805A83"/>
    <w:rsid w:val="00807CD6"/>
    <w:rsid w:val="00810765"/>
    <w:rsid w:val="00812620"/>
    <w:rsid w:val="00812C04"/>
    <w:rsid w:val="00812EE8"/>
    <w:rsid w:val="00813CFE"/>
    <w:rsid w:val="00813D79"/>
    <w:rsid w:val="00813E33"/>
    <w:rsid w:val="00816C36"/>
    <w:rsid w:val="00817EF8"/>
    <w:rsid w:val="0082071D"/>
    <w:rsid w:val="008209D5"/>
    <w:rsid w:val="00820BBD"/>
    <w:rsid w:val="008210B1"/>
    <w:rsid w:val="00822D0C"/>
    <w:rsid w:val="00822ED2"/>
    <w:rsid w:val="00824AF9"/>
    <w:rsid w:val="00825015"/>
    <w:rsid w:val="00825073"/>
    <w:rsid w:val="008259F7"/>
    <w:rsid w:val="00825D4D"/>
    <w:rsid w:val="00827498"/>
    <w:rsid w:val="00827BE9"/>
    <w:rsid w:val="00827FB4"/>
    <w:rsid w:val="00830316"/>
    <w:rsid w:val="00830736"/>
    <w:rsid w:val="00831580"/>
    <w:rsid w:val="0083219C"/>
    <w:rsid w:val="008328CA"/>
    <w:rsid w:val="00833D54"/>
    <w:rsid w:val="00835824"/>
    <w:rsid w:val="0083734E"/>
    <w:rsid w:val="0083796C"/>
    <w:rsid w:val="00841047"/>
    <w:rsid w:val="00841A67"/>
    <w:rsid w:val="008433E5"/>
    <w:rsid w:val="0084380F"/>
    <w:rsid w:val="00844CC2"/>
    <w:rsid w:val="0084610F"/>
    <w:rsid w:val="008466A5"/>
    <w:rsid w:val="00847F85"/>
    <w:rsid w:val="008508D3"/>
    <w:rsid w:val="00851554"/>
    <w:rsid w:val="00852E97"/>
    <w:rsid w:val="008531D8"/>
    <w:rsid w:val="00853315"/>
    <w:rsid w:val="00854F10"/>
    <w:rsid w:val="0085586A"/>
    <w:rsid w:val="008566AC"/>
    <w:rsid w:val="00856E7B"/>
    <w:rsid w:val="00857B21"/>
    <w:rsid w:val="00857FFA"/>
    <w:rsid w:val="0086097C"/>
    <w:rsid w:val="00860A86"/>
    <w:rsid w:val="00861F17"/>
    <w:rsid w:val="008620EA"/>
    <w:rsid w:val="00862890"/>
    <w:rsid w:val="00864CDD"/>
    <w:rsid w:val="00870765"/>
    <w:rsid w:val="0087100A"/>
    <w:rsid w:val="0087141D"/>
    <w:rsid w:val="00872692"/>
    <w:rsid w:val="008730A0"/>
    <w:rsid w:val="00873440"/>
    <w:rsid w:val="0087347D"/>
    <w:rsid w:val="00874278"/>
    <w:rsid w:val="0087445A"/>
    <w:rsid w:val="0087451D"/>
    <w:rsid w:val="00874CA2"/>
    <w:rsid w:val="0087534D"/>
    <w:rsid w:val="00876120"/>
    <w:rsid w:val="00876381"/>
    <w:rsid w:val="008763C4"/>
    <w:rsid w:val="008771C1"/>
    <w:rsid w:val="00877314"/>
    <w:rsid w:val="00877559"/>
    <w:rsid w:val="008812C8"/>
    <w:rsid w:val="008817AF"/>
    <w:rsid w:val="0088264E"/>
    <w:rsid w:val="00883638"/>
    <w:rsid w:val="0088390E"/>
    <w:rsid w:val="00885A54"/>
    <w:rsid w:val="00886302"/>
    <w:rsid w:val="0088657D"/>
    <w:rsid w:val="008866C9"/>
    <w:rsid w:val="00886B4A"/>
    <w:rsid w:val="00887659"/>
    <w:rsid w:val="0088788C"/>
    <w:rsid w:val="00887A27"/>
    <w:rsid w:val="00890F94"/>
    <w:rsid w:val="00891550"/>
    <w:rsid w:val="00891D3E"/>
    <w:rsid w:val="00892286"/>
    <w:rsid w:val="00893192"/>
    <w:rsid w:val="008945E7"/>
    <w:rsid w:val="008954E0"/>
    <w:rsid w:val="008956BD"/>
    <w:rsid w:val="00895CCE"/>
    <w:rsid w:val="00895E9D"/>
    <w:rsid w:val="0089673C"/>
    <w:rsid w:val="00896871"/>
    <w:rsid w:val="00896F14"/>
    <w:rsid w:val="008970D2"/>
    <w:rsid w:val="008A0D9D"/>
    <w:rsid w:val="008A0DB6"/>
    <w:rsid w:val="008A1827"/>
    <w:rsid w:val="008A1E1C"/>
    <w:rsid w:val="008A2913"/>
    <w:rsid w:val="008A3232"/>
    <w:rsid w:val="008A35A6"/>
    <w:rsid w:val="008A38C9"/>
    <w:rsid w:val="008A4044"/>
    <w:rsid w:val="008A4BF2"/>
    <w:rsid w:val="008A5F7A"/>
    <w:rsid w:val="008A7205"/>
    <w:rsid w:val="008A75B1"/>
    <w:rsid w:val="008B029D"/>
    <w:rsid w:val="008B02B2"/>
    <w:rsid w:val="008B24BB"/>
    <w:rsid w:val="008B28F1"/>
    <w:rsid w:val="008B4CD9"/>
    <w:rsid w:val="008B6036"/>
    <w:rsid w:val="008B6329"/>
    <w:rsid w:val="008B66D6"/>
    <w:rsid w:val="008B698C"/>
    <w:rsid w:val="008B69BC"/>
    <w:rsid w:val="008B753E"/>
    <w:rsid w:val="008C10A9"/>
    <w:rsid w:val="008C1B4B"/>
    <w:rsid w:val="008C2023"/>
    <w:rsid w:val="008C289D"/>
    <w:rsid w:val="008C4067"/>
    <w:rsid w:val="008C45EB"/>
    <w:rsid w:val="008C5A17"/>
    <w:rsid w:val="008C612E"/>
    <w:rsid w:val="008C62CB"/>
    <w:rsid w:val="008C7B4D"/>
    <w:rsid w:val="008C7EAA"/>
    <w:rsid w:val="008D0E29"/>
    <w:rsid w:val="008D1F6C"/>
    <w:rsid w:val="008D2A1E"/>
    <w:rsid w:val="008D2AFC"/>
    <w:rsid w:val="008D3E0C"/>
    <w:rsid w:val="008D426E"/>
    <w:rsid w:val="008D61BE"/>
    <w:rsid w:val="008D6A5A"/>
    <w:rsid w:val="008D6AFA"/>
    <w:rsid w:val="008D7AC5"/>
    <w:rsid w:val="008E112B"/>
    <w:rsid w:val="008E1E8D"/>
    <w:rsid w:val="008E1F78"/>
    <w:rsid w:val="008E2056"/>
    <w:rsid w:val="008E2275"/>
    <w:rsid w:val="008E232A"/>
    <w:rsid w:val="008E26A5"/>
    <w:rsid w:val="008E2BDB"/>
    <w:rsid w:val="008E337B"/>
    <w:rsid w:val="008E39BF"/>
    <w:rsid w:val="008E4545"/>
    <w:rsid w:val="008E4C55"/>
    <w:rsid w:val="008E6889"/>
    <w:rsid w:val="008E6F81"/>
    <w:rsid w:val="008E70A9"/>
    <w:rsid w:val="008F0251"/>
    <w:rsid w:val="008F0CA1"/>
    <w:rsid w:val="008F151D"/>
    <w:rsid w:val="008F1E0F"/>
    <w:rsid w:val="008F2055"/>
    <w:rsid w:val="008F2E67"/>
    <w:rsid w:val="008F3556"/>
    <w:rsid w:val="008F37C2"/>
    <w:rsid w:val="008F3AE6"/>
    <w:rsid w:val="008F4E77"/>
    <w:rsid w:val="008F506C"/>
    <w:rsid w:val="008F664B"/>
    <w:rsid w:val="008F6A44"/>
    <w:rsid w:val="008F7213"/>
    <w:rsid w:val="00901915"/>
    <w:rsid w:val="0090239C"/>
    <w:rsid w:val="00903323"/>
    <w:rsid w:val="00903F24"/>
    <w:rsid w:val="00905C98"/>
    <w:rsid w:val="00906859"/>
    <w:rsid w:val="0090749C"/>
    <w:rsid w:val="00907A20"/>
    <w:rsid w:val="00907D64"/>
    <w:rsid w:val="0091103A"/>
    <w:rsid w:val="009122DF"/>
    <w:rsid w:val="00912FBA"/>
    <w:rsid w:val="0091382C"/>
    <w:rsid w:val="00914F82"/>
    <w:rsid w:val="00916C76"/>
    <w:rsid w:val="009205AB"/>
    <w:rsid w:val="00920EB4"/>
    <w:rsid w:val="00920F9B"/>
    <w:rsid w:val="00922D1D"/>
    <w:rsid w:val="00923A7C"/>
    <w:rsid w:val="00923C62"/>
    <w:rsid w:val="00924499"/>
    <w:rsid w:val="00924869"/>
    <w:rsid w:val="009260F2"/>
    <w:rsid w:val="009261BB"/>
    <w:rsid w:val="00926EBB"/>
    <w:rsid w:val="00926F7F"/>
    <w:rsid w:val="00930A92"/>
    <w:rsid w:val="00930DAA"/>
    <w:rsid w:val="00930EE4"/>
    <w:rsid w:val="00930F69"/>
    <w:rsid w:val="00931735"/>
    <w:rsid w:val="009329AA"/>
    <w:rsid w:val="00932BDE"/>
    <w:rsid w:val="0093377F"/>
    <w:rsid w:val="00933AF6"/>
    <w:rsid w:val="00934BD4"/>
    <w:rsid w:val="00934FCC"/>
    <w:rsid w:val="009351AE"/>
    <w:rsid w:val="009356F5"/>
    <w:rsid w:val="00936CCD"/>
    <w:rsid w:val="00936D27"/>
    <w:rsid w:val="00937A53"/>
    <w:rsid w:val="009403D3"/>
    <w:rsid w:val="00941EC7"/>
    <w:rsid w:val="009429D2"/>
    <w:rsid w:val="009439B6"/>
    <w:rsid w:val="009444A0"/>
    <w:rsid w:val="00945169"/>
    <w:rsid w:val="009457BA"/>
    <w:rsid w:val="009462A9"/>
    <w:rsid w:val="0094642F"/>
    <w:rsid w:val="0094706C"/>
    <w:rsid w:val="0095246E"/>
    <w:rsid w:val="00952A6F"/>
    <w:rsid w:val="00952D68"/>
    <w:rsid w:val="00954DC8"/>
    <w:rsid w:val="0095536A"/>
    <w:rsid w:val="009553FC"/>
    <w:rsid w:val="009557A2"/>
    <w:rsid w:val="00955DDA"/>
    <w:rsid w:val="0096251E"/>
    <w:rsid w:val="00964D99"/>
    <w:rsid w:val="00964E20"/>
    <w:rsid w:val="009650BB"/>
    <w:rsid w:val="00966969"/>
    <w:rsid w:val="00966BA5"/>
    <w:rsid w:val="00966D1E"/>
    <w:rsid w:val="009702B0"/>
    <w:rsid w:val="00970B09"/>
    <w:rsid w:val="00970E78"/>
    <w:rsid w:val="009713B7"/>
    <w:rsid w:val="009715BA"/>
    <w:rsid w:val="00971905"/>
    <w:rsid w:val="00971BB6"/>
    <w:rsid w:val="00972456"/>
    <w:rsid w:val="009730C2"/>
    <w:rsid w:val="0097368F"/>
    <w:rsid w:val="009749C0"/>
    <w:rsid w:val="009751C2"/>
    <w:rsid w:val="0097625C"/>
    <w:rsid w:val="00976837"/>
    <w:rsid w:val="00977102"/>
    <w:rsid w:val="00980030"/>
    <w:rsid w:val="00980A65"/>
    <w:rsid w:val="00980E35"/>
    <w:rsid w:val="00981F4D"/>
    <w:rsid w:val="00982064"/>
    <w:rsid w:val="00982665"/>
    <w:rsid w:val="0098477D"/>
    <w:rsid w:val="00987986"/>
    <w:rsid w:val="0099094A"/>
    <w:rsid w:val="00990C69"/>
    <w:rsid w:val="0099290C"/>
    <w:rsid w:val="00993731"/>
    <w:rsid w:val="00993F99"/>
    <w:rsid w:val="00994C92"/>
    <w:rsid w:val="009959F3"/>
    <w:rsid w:val="00995B5B"/>
    <w:rsid w:val="00996008"/>
    <w:rsid w:val="009A06EC"/>
    <w:rsid w:val="009A0CFB"/>
    <w:rsid w:val="009A0E10"/>
    <w:rsid w:val="009A520F"/>
    <w:rsid w:val="009A7A1D"/>
    <w:rsid w:val="009B220D"/>
    <w:rsid w:val="009B28DF"/>
    <w:rsid w:val="009B321D"/>
    <w:rsid w:val="009B400D"/>
    <w:rsid w:val="009B6D23"/>
    <w:rsid w:val="009B71E0"/>
    <w:rsid w:val="009B7205"/>
    <w:rsid w:val="009C0433"/>
    <w:rsid w:val="009C2545"/>
    <w:rsid w:val="009C26B9"/>
    <w:rsid w:val="009C2EF4"/>
    <w:rsid w:val="009C3A20"/>
    <w:rsid w:val="009C3E4E"/>
    <w:rsid w:val="009C4C23"/>
    <w:rsid w:val="009C4CE0"/>
    <w:rsid w:val="009C562D"/>
    <w:rsid w:val="009C579D"/>
    <w:rsid w:val="009C5914"/>
    <w:rsid w:val="009C5CDF"/>
    <w:rsid w:val="009C6AD5"/>
    <w:rsid w:val="009C6C67"/>
    <w:rsid w:val="009D04C4"/>
    <w:rsid w:val="009D0655"/>
    <w:rsid w:val="009D084F"/>
    <w:rsid w:val="009D278F"/>
    <w:rsid w:val="009D6255"/>
    <w:rsid w:val="009D73A4"/>
    <w:rsid w:val="009D75A8"/>
    <w:rsid w:val="009D7940"/>
    <w:rsid w:val="009E0461"/>
    <w:rsid w:val="009E4644"/>
    <w:rsid w:val="009E4F78"/>
    <w:rsid w:val="009E53B4"/>
    <w:rsid w:val="009E62B6"/>
    <w:rsid w:val="009E690E"/>
    <w:rsid w:val="009E6A9F"/>
    <w:rsid w:val="009E734A"/>
    <w:rsid w:val="009F108F"/>
    <w:rsid w:val="009F157A"/>
    <w:rsid w:val="009F15EB"/>
    <w:rsid w:val="009F2F7C"/>
    <w:rsid w:val="009F306D"/>
    <w:rsid w:val="009F340A"/>
    <w:rsid w:val="009F3E32"/>
    <w:rsid w:val="009F5ED9"/>
    <w:rsid w:val="009F7213"/>
    <w:rsid w:val="009F753E"/>
    <w:rsid w:val="00A0234D"/>
    <w:rsid w:val="00A02600"/>
    <w:rsid w:val="00A02C75"/>
    <w:rsid w:val="00A048ED"/>
    <w:rsid w:val="00A05478"/>
    <w:rsid w:val="00A067FD"/>
    <w:rsid w:val="00A06FDE"/>
    <w:rsid w:val="00A07D0F"/>
    <w:rsid w:val="00A10B2B"/>
    <w:rsid w:val="00A113CB"/>
    <w:rsid w:val="00A11DB5"/>
    <w:rsid w:val="00A11E23"/>
    <w:rsid w:val="00A142B4"/>
    <w:rsid w:val="00A15C24"/>
    <w:rsid w:val="00A160E5"/>
    <w:rsid w:val="00A20125"/>
    <w:rsid w:val="00A20CDE"/>
    <w:rsid w:val="00A21490"/>
    <w:rsid w:val="00A22230"/>
    <w:rsid w:val="00A22C6C"/>
    <w:rsid w:val="00A23695"/>
    <w:rsid w:val="00A24B3F"/>
    <w:rsid w:val="00A24D31"/>
    <w:rsid w:val="00A24E22"/>
    <w:rsid w:val="00A26E15"/>
    <w:rsid w:val="00A27A73"/>
    <w:rsid w:val="00A3147F"/>
    <w:rsid w:val="00A32C94"/>
    <w:rsid w:val="00A32D2D"/>
    <w:rsid w:val="00A34C9D"/>
    <w:rsid w:val="00A35263"/>
    <w:rsid w:val="00A353B1"/>
    <w:rsid w:val="00A3613D"/>
    <w:rsid w:val="00A40611"/>
    <w:rsid w:val="00A411FC"/>
    <w:rsid w:val="00A41BBF"/>
    <w:rsid w:val="00A420F9"/>
    <w:rsid w:val="00A42F84"/>
    <w:rsid w:val="00A431C9"/>
    <w:rsid w:val="00A44252"/>
    <w:rsid w:val="00A443E5"/>
    <w:rsid w:val="00A444DE"/>
    <w:rsid w:val="00A45412"/>
    <w:rsid w:val="00A45423"/>
    <w:rsid w:val="00A467B6"/>
    <w:rsid w:val="00A47789"/>
    <w:rsid w:val="00A50095"/>
    <w:rsid w:val="00A51148"/>
    <w:rsid w:val="00A51B08"/>
    <w:rsid w:val="00A51B9F"/>
    <w:rsid w:val="00A5351C"/>
    <w:rsid w:val="00A53CA3"/>
    <w:rsid w:val="00A546C6"/>
    <w:rsid w:val="00A54DE1"/>
    <w:rsid w:val="00A54FA7"/>
    <w:rsid w:val="00A55DE3"/>
    <w:rsid w:val="00A56EE9"/>
    <w:rsid w:val="00A57921"/>
    <w:rsid w:val="00A57D3D"/>
    <w:rsid w:val="00A6074A"/>
    <w:rsid w:val="00A610DC"/>
    <w:rsid w:val="00A62860"/>
    <w:rsid w:val="00A62C9A"/>
    <w:rsid w:val="00A63235"/>
    <w:rsid w:val="00A63300"/>
    <w:rsid w:val="00A63629"/>
    <w:rsid w:val="00A63EA6"/>
    <w:rsid w:val="00A65EDC"/>
    <w:rsid w:val="00A6630C"/>
    <w:rsid w:val="00A671B8"/>
    <w:rsid w:val="00A70E28"/>
    <w:rsid w:val="00A71526"/>
    <w:rsid w:val="00A716C3"/>
    <w:rsid w:val="00A717F1"/>
    <w:rsid w:val="00A72462"/>
    <w:rsid w:val="00A73A86"/>
    <w:rsid w:val="00A73ED0"/>
    <w:rsid w:val="00A753C7"/>
    <w:rsid w:val="00A759D1"/>
    <w:rsid w:val="00A75E6D"/>
    <w:rsid w:val="00A77C31"/>
    <w:rsid w:val="00A807A6"/>
    <w:rsid w:val="00A8171B"/>
    <w:rsid w:val="00A8193E"/>
    <w:rsid w:val="00A83002"/>
    <w:rsid w:val="00A83C18"/>
    <w:rsid w:val="00A83CC2"/>
    <w:rsid w:val="00A84807"/>
    <w:rsid w:val="00A85C14"/>
    <w:rsid w:val="00A905A4"/>
    <w:rsid w:val="00A90797"/>
    <w:rsid w:val="00A93E01"/>
    <w:rsid w:val="00A94449"/>
    <w:rsid w:val="00A947FE"/>
    <w:rsid w:val="00A94A82"/>
    <w:rsid w:val="00A96ADF"/>
    <w:rsid w:val="00A97C29"/>
    <w:rsid w:val="00A97C58"/>
    <w:rsid w:val="00AA0503"/>
    <w:rsid w:val="00AA06B3"/>
    <w:rsid w:val="00AA0A68"/>
    <w:rsid w:val="00AA1840"/>
    <w:rsid w:val="00AA5F05"/>
    <w:rsid w:val="00AA6C13"/>
    <w:rsid w:val="00AA79CD"/>
    <w:rsid w:val="00AA7EF3"/>
    <w:rsid w:val="00AB2D6E"/>
    <w:rsid w:val="00AB386C"/>
    <w:rsid w:val="00AC0DE8"/>
    <w:rsid w:val="00AC2A15"/>
    <w:rsid w:val="00AC2E42"/>
    <w:rsid w:val="00AC3455"/>
    <w:rsid w:val="00AC367A"/>
    <w:rsid w:val="00AC386E"/>
    <w:rsid w:val="00AC4224"/>
    <w:rsid w:val="00AC4554"/>
    <w:rsid w:val="00AC4FCC"/>
    <w:rsid w:val="00AC53B4"/>
    <w:rsid w:val="00AC5D30"/>
    <w:rsid w:val="00AC6578"/>
    <w:rsid w:val="00AC662D"/>
    <w:rsid w:val="00AC7D9B"/>
    <w:rsid w:val="00AD025D"/>
    <w:rsid w:val="00AD054A"/>
    <w:rsid w:val="00AD1FF9"/>
    <w:rsid w:val="00AD224A"/>
    <w:rsid w:val="00AD3EA5"/>
    <w:rsid w:val="00AD4880"/>
    <w:rsid w:val="00AD49BD"/>
    <w:rsid w:val="00AD6322"/>
    <w:rsid w:val="00AD775F"/>
    <w:rsid w:val="00AE17D1"/>
    <w:rsid w:val="00AE20EC"/>
    <w:rsid w:val="00AE2724"/>
    <w:rsid w:val="00AE2918"/>
    <w:rsid w:val="00AE2B13"/>
    <w:rsid w:val="00AE2EF6"/>
    <w:rsid w:val="00AE33F3"/>
    <w:rsid w:val="00AE46B7"/>
    <w:rsid w:val="00AE5DC4"/>
    <w:rsid w:val="00AF031C"/>
    <w:rsid w:val="00AF0753"/>
    <w:rsid w:val="00AF0A40"/>
    <w:rsid w:val="00AF167E"/>
    <w:rsid w:val="00AF1B97"/>
    <w:rsid w:val="00AF1E5E"/>
    <w:rsid w:val="00AF1FCE"/>
    <w:rsid w:val="00AF2751"/>
    <w:rsid w:val="00AF2E33"/>
    <w:rsid w:val="00AF30C2"/>
    <w:rsid w:val="00AF41F2"/>
    <w:rsid w:val="00AF5427"/>
    <w:rsid w:val="00AF566C"/>
    <w:rsid w:val="00AF6ABC"/>
    <w:rsid w:val="00AF7461"/>
    <w:rsid w:val="00AF7BD9"/>
    <w:rsid w:val="00B039E5"/>
    <w:rsid w:val="00B06BF9"/>
    <w:rsid w:val="00B07384"/>
    <w:rsid w:val="00B10F34"/>
    <w:rsid w:val="00B110AD"/>
    <w:rsid w:val="00B11692"/>
    <w:rsid w:val="00B11784"/>
    <w:rsid w:val="00B11CC9"/>
    <w:rsid w:val="00B131F4"/>
    <w:rsid w:val="00B13CB5"/>
    <w:rsid w:val="00B13D23"/>
    <w:rsid w:val="00B13ECD"/>
    <w:rsid w:val="00B1478C"/>
    <w:rsid w:val="00B14B3B"/>
    <w:rsid w:val="00B15916"/>
    <w:rsid w:val="00B17A6E"/>
    <w:rsid w:val="00B17A94"/>
    <w:rsid w:val="00B17AF7"/>
    <w:rsid w:val="00B17CFC"/>
    <w:rsid w:val="00B2035A"/>
    <w:rsid w:val="00B2054D"/>
    <w:rsid w:val="00B20ABD"/>
    <w:rsid w:val="00B20F91"/>
    <w:rsid w:val="00B21908"/>
    <w:rsid w:val="00B21D4C"/>
    <w:rsid w:val="00B232A7"/>
    <w:rsid w:val="00B23E82"/>
    <w:rsid w:val="00B24843"/>
    <w:rsid w:val="00B263A0"/>
    <w:rsid w:val="00B269ED"/>
    <w:rsid w:val="00B27AFF"/>
    <w:rsid w:val="00B30457"/>
    <w:rsid w:val="00B314E9"/>
    <w:rsid w:val="00B31A20"/>
    <w:rsid w:val="00B344A1"/>
    <w:rsid w:val="00B365CF"/>
    <w:rsid w:val="00B36842"/>
    <w:rsid w:val="00B36A2D"/>
    <w:rsid w:val="00B36F11"/>
    <w:rsid w:val="00B37175"/>
    <w:rsid w:val="00B42B03"/>
    <w:rsid w:val="00B4352D"/>
    <w:rsid w:val="00B440C8"/>
    <w:rsid w:val="00B4490B"/>
    <w:rsid w:val="00B4677C"/>
    <w:rsid w:val="00B4680D"/>
    <w:rsid w:val="00B46AC5"/>
    <w:rsid w:val="00B46B6C"/>
    <w:rsid w:val="00B47276"/>
    <w:rsid w:val="00B475A7"/>
    <w:rsid w:val="00B5168E"/>
    <w:rsid w:val="00B518EB"/>
    <w:rsid w:val="00B52608"/>
    <w:rsid w:val="00B52835"/>
    <w:rsid w:val="00B52BC3"/>
    <w:rsid w:val="00B541FF"/>
    <w:rsid w:val="00B551FB"/>
    <w:rsid w:val="00B5606B"/>
    <w:rsid w:val="00B5737D"/>
    <w:rsid w:val="00B61829"/>
    <w:rsid w:val="00B621FA"/>
    <w:rsid w:val="00B6223F"/>
    <w:rsid w:val="00B6245A"/>
    <w:rsid w:val="00B62B3E"/>
    <w:rsid w:val="00B62E77"/>
    <w:rsid w:val="00B63221"/>
    <w:rsid w:val="00B632AC"/>
    <w:rsid w:val="00B6389C"/>
    <w:rsid w:val="00B642D3"/>
    <w:rsid w:val="00B6561E"/>
    <w:rsid w:val="00B67416"/>
    <w:rsid w:val="00B6768A"/>
    <w:rsid w:val="00B676BF"/>
    <w:rsid w:val="00B7052E"/>
    <w:rsid w:val="00B70DFB"/>
    <w:rsid w:val="00B71D68"/>
    <w:rsid w:val="00B732F4"/>
    <w:rsid w:val="00B74445"/>
    <w:rsid w:val="00B747B6"/>
    <w:rsid w:val="00B75361"/>
    <w:rsid w:val="00B75377"/>
    <w:rsid w:val="00B756DE"/>
    <w:rsid w:val="00B75C6D"/>
    <w:rsid w:val="00B7602A"/>
    <w:rsid w:val="00B802F3"/>
    <w:rsid w:val="00B803D8"/>
    <w:rsid w:val="00B8060E"/>
    <w:rsid w:val="00B82550"/>
    <w:rsid w:val="00B82C89"/>
    <w:rsid w:val="00B83414"/>
    <w:rsid w:val="00B84EFD"/>
    <w:rsid w:val="00B8582D"/>
    <w:rsid w:val="00B85BCE"/>
    <w:rsid w:val="00B863A6"/>
    <w:rsid w:val="00B86D92"/>
    <w:rsid w:val="00B87103"/>
    <w:rsid w:val="00B92CF5"/>
    <w:rsid w:val="00B92D58"/>
    <w:rsid w:val="00B95056"/>
    <w:rsid w:val="00B95DB0"/>
    <w:rsid w:val="00B95F36"/>
    <w:rsid w:val="00B96B90"/>
    <w:rsid w:val="00B97800"/>
    <w:rsid w:val="00BA03C4"/>
    <w:rsid w:val="00BA0E09"/>
    <w:rsid w:val="00BA1516"/>
    <w:rsid w:val="00BA1BF1"/>
    <w:rsid w:val="00BA1D55"/>
    <w:rsid w:val="00BA2569"/>
    <w:rsid w:val="00BA2802"/>
    <w:rsid w:val="00BA3609"/>
    <w:rsid w:val="00BA53BF"/>
    <w:rsid w:val="00BA6EDB"/>
    <w:rsid w:val="00BA7DBF"/>
    <w:rsid w:val="00BA7FC0"/>
    <w:rsid w:val="00BB00C9"/>
    <w:rsid w:val="00BB0CC2"/>
    <w:rsid w:val="00BB0F14"/>
    <w:rsid w:val="00BB357A"/>
    <w:rsid w:val="00BB4196"/>
    <w:rsid w:val="00BB4E38"/>
    <w:rsid w:val="00BB541E"/>
    <w:rsid w:val="00BB7770"/>
    <w:rsid w:val="00BB7A45"/>
    <w:rsid w:val="00BB7C03"/>
    <w:rsid w:val="00BC0CD8"/>
    <w:rsid w:val="00BC26D9"/>
    <w:rsid w:val="00BC2BB6"/>
    <w:rsid w:val="00BC4DDF"/>
    <w:rsid w:val="00BC5070"/>
    <w:rsid w:val="00BC6F70"/>
    <w:rsid w:val="00BD0592"/>
    <w:rsid w:val="00BD1A4A"/>
    <w:rsid w:val="00BD2CFE"/>
    <w:rsid w:val="00BD3ACD"/>
    <w:rsid w:val="00BD42CC"/>
    <w:rsid w:val="00BD4F80"/>
    <w:rsid w:val="00BD594C"/>
    <w:rsid w:val="00BD62FA"/>
    <w:rsid w:val="00BD65F7"/>
    <w:rsid w:val="00BD77E1"/>
    <w:rsid w:val="00BD7904"/>
    <w:rsid w:val="00BD7B60"/>
    <w:rsid w:val="00BE01CC"/>
    <w:rsid w:val="00BE17E5"/>
    <w:rsid w:val="00BE1E12"/>
    <w:rsid w:val="00BE268B"/>
    <w:rsid w:val="00BE3ACB"/>
    <w:rsid w:val="00BE3B4F"/>
    <w:rsid w:val="00BE451D"/>
    <w:rsid w:val="00BE5973"/>
    <w:rsid w:val="00BE63F1"/>
    <w:rsid w:val="00BE6A03"/>
    <w:rsid w:val="00BE7184"/>
    <w:rsid w:val="00BE727E"/>
    <w:rsid w:val="00BE769A"/>
    <w:rsid w:val="00BF2661"/>
    <w:rsid w:val="00BF2F11"/>
    <w:rsid w:val="00BF38D6"/>
    <w:rsid w:val="00BF3E09"/>
    <w:rsid w:val="00BF40F1"/>
    <w:rsid w:val="00BF42A0"/>
    <w:rsid w:val="00BF4AC6"/>
    <w:rsid w:val="00BF6198"/>
    <w:rsid w:val="00BF6780"/>
    <w:rsid w:val="00BF6C0E"/>
    <w:rsid w:val="00C0086B"/>
    <w:rsid w:val="00C01232"/>
    <w:rsid w:val="00C02DB9"/>
    <w:rsid w:val="00C05A0A"/>
    <w:rsid w:val="00C1144A"/>
    <w:rsid w:val="00C1256C"/>
    <w:rsid w:val="00C12996"/>
    <w:rsid w:val="00C13553"/>
    <w:rsid w:val="00C140DA"/>
    <w:rsid w:val="00C155A5"/>
    <w:rsid w:val="00C16066"/>
    <w:rsid w:val="00C16511"/>
    <w:rsid w:val="00C20754"/>
    <w:rsid w:val="00C2147F"/>
    <w:rsid w:val="00C21806"/>
    <w:rsid w:val="00C21A99"/>
    <w:rsid w:val="00C223C7"/>
    <w:rsid w:val="00C22494"/>
    <w:rsid w:val="00C22910"/>
    <w:rsid w:val="00C22D36"/>
    <w:rsid w:val="00C2394B"/>
    <w:rsid w:val="00C23C33"/>
    <w:rsid w:val="00C2577E"/>
    <w:rsid w:val="00C25869"/>
    <w:rsid w:val="00C25F85"/>
    <w:rsid w:val="00C30070"/>
    <w:rsid w:val="00C31922"/>
    <w:rsid w:val="00C329F9"/>
    <w:rsid w:val="00C32BFB"/>
    <w:rsid w:val="00C3307C"/>
    <w:rsid w:val="00C33C6B"/>
    <w:rsid w:val="00C34032"/>
    <w:rsid w:val="00C34591"/>
    <w:rsid w:val="00C350A0"/>
    <w:rsid w:val="00C36237"/>
    <w:rsid w:val="00C365B1"/>
    <w:rsid w:val="00C40BEB"/>
    <w:rsid w:val="00C4118E"/>
    <w:rsid w:val="00C42D2B"/>
    <w:rsid w:val="00C44A35"/>
    <w:rsid w:val="00C452D3"/>
    <w:rsid w:val="00C477AC"/>
    <w:rsid w:val="00C52393"/>
    <w:rsid w:val="00C5353F"/>
    <w:rsid w:val="00C568A1"/>
    <w:rsid w:val="00C60208"/>
    <w:rsid w:val="00C6262B"/>
    <w:rsid w:val="00C62A8C"/>
    <w:rsid w:val="00C6356F"/>
    <w:rsid w:val="00C647FD"/>
    <w:rsid w:val="00C64A30"/>
    <w:rsid w:val="00C65474"/>
    <w:rsid w:val="00C67B5E"/>
    <w:rsid w:val="00C70D30"/>
    <w:rsid w:val="00C7136E"/>
    <w:rsid w:val="00C71891"/>
    <w:rsid w:val="00C71E90"/>
    <w:rsid w:val="00C734EC"/>
    <w:rsid w:val="00C7364A"/>
    <w:rsid w:val="00C7398E"/>
    <w:rsid w:val="00C747F8"/>
    <w:rsid w:val="00C75D00"/>
    <w:rsid w:val="00C75FF7"/>
    <w:rsid w:val="00C7669D"/>
    <w:rsid w:val="00C7671E"/>
    <w:rsid w:val="00C77682"/>
    <w:rsid w:val="00C776CE"/>
    <w:rsid w:val="00C80269"/>
    <w:rsid w:val="00C80D39"/>
    <w:rsid w:val="00C82F5D"/>
    <w:rsid w:val="00C839E8"/>
    <w:rsid w:val="00C85979"/>
    <w:rsid w:val="00C8713C"/>
    <w:rsid w:val="00C875AF"/>
    <w:rsid w:val="00C877BE"/>
    <w:rsid w:val="00C87D94"/>
    <w:rsid w:val="00C90F04"/>
    <w:rsid w:val="00C91B0E"/>
    <w:rsid w:val="00C9301E"/>
    <w:rsid w:val="00C9389F"/>
    <w:rsid w:val="00C94611"/>
    <w:rsid w:val="00C9506F"/>
    <w:rsid w:val="00C967CD"/>
    <w:rsid w:val="00C96D04"/>
    <w:rsid w:val="00C97191"/>
    <w:rsid w:val="00C97574"/>
    <w:rsid w:val="00CA0490"/>
    <w:rsid w:val="00CA0DFD"/>
    <w:rsid w:val="00CA2196"/>
    <w:rsid w:val="00CA21A7"/>
    <w:rsid w:val="00CA30E4"/>
    <w:rsid w:val="00CA3197"/>
    <w:rsid w:val="00CA34A4"/>
    <w:rsid w:val="00CA4B60"/>
    <w:rsid w:val="00CA4D30"/>
    <w:rsid w:val="00CA516B"/>
    <w:rsid w:val="00CA52A5"/>
    <w:rsid w:val="00CA6165"/>
    <w:rsid w:val="00CA7412"/>
    <w:rsid w:val="00CB0CD9"/>
    <w:rsid w:val="00CB4D57"/>
    <w:rsid w:val="00CB5525"/>
    <w:rsid w:val="00CB63CE"/>
    <w:rsid w:val="00CB6AB0"/>
    <w:rsid w:val="00CB749F"/>
    <w:rsid w:val="00CB78E8"/>
    <w:rsid w:val="00CC02B5"/>
    <w:rsid w:val="00CC06E5"/>
    <w:rsid w:val="00CC08F6"/>
    <w:rsid w:val="00CC0FCA"/>
    <w:rsid w:val="00CC3B26"/>
    <w:rsid w:val="00CD07E8"/>
    <w:rsid w:val="00CD0DC7"/>
    <w:rsid w:val="00CD271D"/>
    <w:rsid w:val="00CD3139"/>
    <w:rsid w:val="00CD3966"/>
    <w:rsid w:val="00CD3B05"/>
    <w:rsid w:val="00CD453F"/>
    <w:rsid w:val="00CD4AE2"/>
    <w:rsid w:val="00CD5C49"/>
    <w:rsid w:val="00CD5D2D"/>
    <w:rsid w:val="00CD6B2E"/>
    <w:rsid w:val="00CE02E9"/>
    <w:rsid w:val="00CE26F8"/>
    <w:rsid w:val="00CE2D82"/>
    <w:rsid w:val="00CE2D8B"/>
    <w:rsid w:val="00CE4A08"/>
    <w:rsid w:val="00CE6DEE"/>
    <w:rsid w:val="00CF0865"/>
    <w:rsid w:val="00CF0DEA"/>
    <w:rsid w:val="00CF279F"/>
    <w:rsid w:val="00CF29C4"/>
    <w:rsid w:val="00CF2CC2"/>
    <w:rsid w:val="00CF455B"/>
    <w:rsid w:val="00CF5857"/>
    <w:rsid w:val="00CF59D5"/>
    <w:rsid w:val="00CF5B7A"/>
    <w:rsid w:val="00CF69CF"/>
    <w:rsid w:val="00CF782A"/>
    <w:rsid w:val="00D006A0"/>
    <w:rsid w:val="00D00EDC"/>
    <w:rsid w:val="00D0146A"/>
    <w:rsid w:val="00D05A15"/>
    <w:rsid w:val="00D0690B"/>
    <w:rsid w:val="00D07D9B"/>
    <w:rsid w:val="00D10E5B"/>
    <w:rsid w:val="00D1153C"/>
    <w:rsid w:val="00D133BC"/>
    <w:rsid w:val="00D134F2"/>
    <w:rsid w:val="00D13CFE"/>
    <w:rsid w:val="00D13DE6"/>
    <w:rsid w:val="00D154C6"/>
    <w:rsid w:val="00D1657A"/>
    <w:rsid w:val="00D16C34"/>
    <w:rsid w:val="00D1792D"/>
    <w:rsid w:val="00D17BC4"/>
    <w:rsid w:val="00D221B3"/>
    <w:rsid w:val="00D22B47"/>
    <w:rsid w:val="00D22D92"/>
    <w:rsid w:val="00D23576"/>
    <w:rsid w:val="00D24B0C"/>
    <w:rsid w:val="00D25049"/>
    <w:rsid w:val="00D26C7A"/>
    <w:rsid w:val="00D30D91"/>
    <w:rsid w:val="00D3124D"/>
    <w:rsid w:val="00D3286B"/>
    <w:rsid w:val="00D3343D"/>
    <w:rsid w:val="00D3409A"/>
    <w:rsid w:val="00D34180"/>
    <w:rsid w:val="00D35A32"/>
    <w:rsid w:val="00D35F58"/>
    <w:rsid w:val="00D4007A"/>
    <w:rsid w:val="00D42AF5"/>
    <w:rsid w:val="00D42B36"/>
    <w:rsid w:val="00D43509"/>
    <w:rsid w:val="00D43683"/>
    <w:rsid w:val="00D43E68"/>
    <w:rsid w:val="00D4563E"/>
    <w:rsid w:val="00D46EEE"/>
    <w:rsid w:val="00D47152"/>
    <w:rsid w:val="00D47A7B"/>
    <w:rsid w:val="00D50ED4"/>
    <w:rsid w:val="00D5281E"/>
    <w:rsid w:val="00D52948"/>
    <w:rsid w:val="00D52E1D"/>
    <w:rsid w:val="00D53291"/>
    <w:rsid w:val="00D535AB"/>
    <w:rsid w:val="00D54552"/>
    <w:rsid w:val="00D56517"/>
    <w:rsid w:val="00D61FAD"/>
    <w:rsid w:val="00D62618"/>
    <w:rsid w:val="00D62650"/>
    <w:rsid w:val="00D631E7"/>
    <w:rsid w:val="00D65625"/>
    <w:rsid w:val="00D6562B"/>
    <w:rsid w:val="00D669E3"/>
    <w:rsid w:val="00D71851"/>
    <w:rsid w:val="00D7244B"/>
    <w:rsid w:val="00D724BA"/>
    <w:rsid w:val="00D73D73"/>
    <w:rsid w:val="00D74D2A"/>
    <w:rsid w:val="00D75BEC"/>
    <w:rsid w:val="00D8219D"/>
    <w:rsid w:val="00D83BAD"/>
    <w:rsid w:val="00D84BD4"/>
    <w:rsid w:val="00D84DAD"/>
    <w:rsid w:val="00D850C2"/>
    <w:rsid w:val="00D85257"/>
    <w:rsid w:val="00D855C1"/>
    <w:rsid w:val="00D866DE"/>
    <w:rsid w:val="00D910D7"/>
    <w:rsid w:val="00D91C7E"/>
    <w:rsid w:val="00D92334"/>
    <w:rsid w:val="00D92F82"/>
    <w:rsid w:val="00D93ACD"/>
    <w:rsid w:val="00D947C9"/>
    <w:rsid w:val="00D94851"/>
    <w:rsid w:val="00D94D91"/>
    <w:rsid w:val="00D9555B"/>
    <w:rsid w:val="00D95AF1"/>
    <w:rsid w:val="00D968AC"/>
    <w:rsid w:val="00D96B5D"/>
    <w:rsid w:val="00D96FF4"/>
    <w:rsid w:val="00D97D81"/>
    <w:rsid w:val="00DA046C"/>
    <w:rsid w:val="00DA0C48"/>
    <w:rsid w:val="00DA1DFC"/>
    <w:rsid w:val="00DA2C8E"/>
    <w:rsid w:val="00DA32B1"/>
    <w:rsid w:val="00DA402A"/>
    <w:rsid w:val="00DA440E"/>
    <w:rsid w:val="00DA511C"/>
    <w:rsid w:val="00DA52F1"/>
    <w:rsid w:val="00DA533E"/>
    <w:rsid w:val="00DA54F6"/>
    <w:rsid w:val="00DA5FD4"/>
    <w:rsid w:val="00DA62B0"/>
    <w:rsid w:val="00DA71B3"/>
    <w:rsid w:val="00DB09AD"/>
    <w:rsid w:val="00DB0F54"/>
    <w:rsid w:val="00DB2B72"/>
    <w:rsid w:val="00DB3F0B"/>
    <w:rsid w:val="00DB586D"/>
    <w:rsid w:val="00DB5F8F"/>
    <w:rsid w:val="00DB6776"/>
    <w:rsid w:val="00DC0309"/>
    <w:rsid w:val="00DC0A6D"/>
    <w:rsid w:val="00DC0C27"/>
    <w:rsid w:val="00DC14EB"/>
    <w:rsid w:val="00DC17BB"/>
    <w:rsid w:val="00DC21B3"/>
    <w:rsid w:val="00DC22F2"/>
    <w:rsid w:val="00DC292A"/>
    <w:rsid w:val="00DC3408"/>
    <w:rsid w:val="00DC4E12"/>
    <w:rsid w:val="00DC57A8"/>
    <w:rsid w:val="00DC590A"/>
    <w:rsid w:val="00DC61F9"/>
    <w:rsid w:val="00DC6F95"/>
    <w:rsid w:val="00DC701F"/>
    <w:rsid w:val="00DD209A"/>
    <w:rsid w:val="00DD56B5"/>
    <w:rsid w:val="00DD68CF"/>
    <w:rsid w:val="00DD761D"/>
    <w:rsid w:val="00DE152F"/>
    <w:rsid w:val="00DE1D84"/>
    <w:rsid w:val="00DE44CC"/>
    <w:rsid w:val="00DE4730"/>
    <w:rsid w:val="00DE5434"/>
    <w:rsid w:val="00DE54D3"/>
    <w:rsid w:val="00DE5526"/>
    <w:rsid w:val="00DE579D"/>
    <w:rsid w:val="00DE6583"/>
    <w:rsid w:val="00DE6858"/>
    <w:rsid w:val="00DE7886"/>
    <w:rsid w:val="00DF113C"/>
    <w:rsid w:val="00DF28D3"/>
    <w:rsid w:val="00DF4BD1"/>
    <w:rsid w:val="00DF5299"/>
    <w:rsid w:val="00DF6034"/>
    <w:rsid w:val="00DF69EF"/>
    <w:rsid w:val="00DF6C8B"/>
    <w:rsid w:val="00DF75FF"/>
    <w:rsid w:val="00E000A8"/>
    <w:rsid w:val="00E0052F"/>
    <w:rsid w:val="00E00890"/>
    <w:rsid w:val="00E00BE7"/>
    <w:rsid w:val="00E01F01"/>
    <w:rsid w:val="00E03288"/>
    <w:rsid w:val="00E04CA8"/>
    <w:rsid w:val="00E058EF"/>
    <w:rsid w:val="00E068B3"/>
    <w:rsid w:val="00E06B77"/>
    <w:rsid w:val="00E1043E"/>
    <w:rsid w:val="00E1099F"/>
    <w:rsid w:val="00E117A6"/>
    <w:rsid w:val="00E119A3"/>
    <w:rsid w:val="00E119CE"/>
    <w:rsid w:val="00E11F06"/>
    <w:rsid w:val="00E1211D"/>
    <w:rsid w:val="00E1233A"/>
    <w:rsid w:val="00E139CD"/>
    <w:rsid w:val="00E14DDD"/>
    <w:rsid w:val="00E20518"/>
    <w:rsid w:val="00E20828"/>
    <w:rsid w:val="00E20BFE"/>
    <w:rsid w:val="00E20C46"/>
    <w:rsid w:val="00E22742"/>
    <w:rsid w:val="00E2334A"/>
    <w:rsid w:val="00E2487E"/>
    <w:rsid w:val="00E25C22"/>
    <w:rsid w:val="00E26196"/>
    <w:rsid w:val="00E277FF"/>
    <w:rsid w:val="00E30529"/>
    <w:rsid w:val="00E30C5D"/>
    <w:rsid w:val="00E30F38"/>
    <w:rsid w:val="00E30FF6"/>
    <w:rsid w:val="00E31741"/>
    <w:rsid w:val="00E31E92"/>
    <w:rsid w:val="00E3257C"/>
    <w:rsid w:val="00E33AF6"/>
    <w:rsid w:val="00E33C1B"/>
    <w:rsid w:val="00E33E75"/>
    <w:rsid w:val="00E35D3D"/>
    <w:rsid w:val="00E3609F"/>
    <w:rsid w:val="00E360C2"/>
    <w:rsid w:val="00E36246"/>
    <w:rsid w:val="00E3659C"/>
    <w:rsid w:val="00E403EF"/>
    <w:rsid w:val="00E4062C"/>
    <w:rsid w:val="00E436D6"/>
    <w:rsid w:val="00E43FB8"/>
    <w:rsid w:val="00E443EE"/>
    <w:rsid w:val="00E44725"/>
    <w:rsid w:val="00E452FD"/>
    <w:rsid w:val="00E45A06"/>
    <w:rsid w:val="00E467BA"/>
    <w:rsid w:val="00E477C2"/>
    <w:rsid w:val="00E4780F"/>
    <w:rsid w:val="00E504CE"/>
    <w:rsid w:val="00E5104C"/>
    <w:rsid w:val="00E52238"/>
    <w:rsid w:val="00E537A2"/>
    <w:rsid w:val="00E53AE7"/>
    <w:rsid w:val="00E53D0D"/>
    <w:rsid w:val="00E56194"/>
    <w:rsid w:val="00E56211"/>
    <w:rsid w:val="00E56273"/>
    <w:rsid w:val="00E603EB"/>
    <w:rsid w:val="00E61993"/>
    <w:rsid w:val="00E61B41"/>
    <w:rsid w:val="00E61D33"/>
    <w:rsid w:val="00E636E5"/>
    <w:rsid w:val="00E637A0"/>
    <w:rsid w:val="00E66E0F"/>
    <w:rsid w:val="00E719EA"/>
    <w:rsid w:val="00E71DDB"/>
    <w:rsid w:val="00E72630"/>
    <w:rsid w:val="00E73340"/>
    <w:rsid w:val="00E73422"/>
    <w:rsid w:val="00E73861"/>
    <w:rsid w:val="00E73F70"/>
    <w:rsid w:val="00E74992"/>
    <w:rsid w:val="00E74C08"/>
    <w:rsid w:val="00E75881"/>
    <w:rsid w:val="00E77C77"/>
    <w:rsid w:val="00E77D5C"/>
    <w:rsid w:val="00E836DF"/>
    <w:rsid w:val="00E83953"/>
    <w:rsid w:val="00E85668"/>
    <w:rsid w:val="00E85F0A"/>
    <w:rsid w:val="00E86295"/>
    <w:rsid w:val="00E86B22"/>
    <w:rsid w:val="00E87BFE"/>
    <w:rsid w:val="00E908CE"/>
    <w:rsid w:val="00E91013"/>
    <w:rsid w:val="00E9283A"/>
    <w:rsid w:val="00E93996"/>
    <w:rsid w:val="00E94819"/>
    <w:rsid w:val="00E94C3E"/>
    <w:rsid w:val="00E95525"/>
    <w:rsid w:val="00E956F8"/>
    <w:rsid w:val="00E957B6"/>
    <w:rsid w:val="00E95D7F"/>
    <w:rsid w:val="00E97522"/>
    <w:rsid w:val="00EA00B8"/>
    <w:rsid w:val="00EA25B1"/>
    <w:rsid w:val="00EA2CF9"/>
    <w:rsid w:val="00EA33DC"/>
    <w:rsid w:val="00EA37E9"/>
    <w:rsid w:val="00EA3BDA"/>
    <w:rsid w:val="00EA3C4C"/>
    <w:rsid w:val="00EA3F50"/>
    <w:rsid w:val="00EA40F7"/>
    <w:rsid w:val="00EA4233"/>
    <w:rsid w:val="00EA45A2"/>
    <w:rsid w:val="00EA7B96"/>
    <w:rsid w:val="00EA7BD5"/>
    <w:rsid w:val="00EB02E2"/>
    <w:rsid w:val="00EB07C0"/>
    <w:rsid w:val="00EB0CD6"/>
    <w:rsid w:val="00EB238B"/>
    <w:rsid w:val="00EB2434"/>
    <w:rsid w:val="00EB54F9"/>
    <w:rsid w:val="00EB56B1"/>
    <w:rsid w:val="00EB6926"/>
    <w:rsid w:val="00EB6C81"/>
    <w:rsid w:val="00EB7885"/>
    <w:rsid w:val="00EB7E46"/>
    <w:rsid w:val="00EC0778"/>
    <w:rsid w:val="00EC126C"/>
    <w:rsid w:val="00EC1791"/>
    <w:rsid w:val="00EC179C"/>
    <w:rsid w:val="00EC1DB1"/>
    <w:rsid w:val="00EC249A"/>
    <w:rsid w:val="00EC263F"/>
    <w:rsid w:val="00EC28C0"/>
    <w:rsid w:val="00EC2DFA"/>
    <w:rsid w:val="00EC304B"/>
    <w:rsid w:val="00EC30BC"/>
    <w:rsid w:val="00EC3944"/>
    <w:rsid w:val="00EC3D86"/>
    <w:rsid w:val="00EC3EE7"/>
    <w:rsid w:val="00EC4498"/>
    <w:rsid w:val="00EC4D38"/>
    <w:rsid w:val="00EC5FCC"/>
    <w:rsid w:val="00EC6E63"/>
    <w:rsid w:val="00EC725F"/>
    <w:rsid w:val="00ED0B04"/>
    <w:rsid w:val="00ED1953"/>
    <w:rsid w:val="00ED2D6B"/>
    <w:rsid w:val="00ED3936"/>
    <w:rsid w:val="00ED46EB"/>
    <w:rsid w:val="00ED5233"/>
    <w:rsid w:val="00ED5DC2"/>
    <w:rsid w:val="00ED6F2C"/>
    <w:rsid w:val="00ED7272"/>
    <w:rsid w:val="00ED74E2"/>
    <w:rsid w:val="00ED782F"/>
    <w:rsid w:val="00EE0153"/>
    <w:rsid w:val="00EE0A9B"/>
    <w:rsid w:val="00EE0BB2"/>
    <w:rsid w:val="00EE2A27"/>
    <w:rsid w:val="00EE34C3"/>
    <w:rsid w:val="00EE4248"/>
    <w:rsid w:val="00EE4736"/>
    <w:rsid w:val="00EE49DC"/>
    <w:rsid w:val="00EE52EC"/>
    <w:rsid w:val="00EE5C1F"/>
    <w:rsid w:val="00EE634C"/>
    <w:rsid w:val="00EE7584"/>
    <w:rsid w:val="00EF0D41"/>
    <w:rsid w:val="00EF1869"/>
    <w:rsid w:val="00EF2ED4"/>
    <w:rsid w:val="00EF3899"/>
    <w:rsid w:val="00EF4A16"/>
    <w:rsid w:val="00EF4EC0"/>
    <w:rsid w:val="00EF5A79"/>
    <w:rsid w:val="00EF5AFC"/>
    <w:rsid w:val="00EF6B5E"/>
    <w:rsid w:val="00F01266"/>
    <w:rsid w:val="00F01FD7"/>
    <w:rsid w:val="00F034A4"/>
    <w:rsid w:val="00F04ECF"/>
    <w:rsid w:val="00F116B7"/>
    <w:rsid w:val="00F1205B"/>
    <w:rsid w:val="00F12642"/>
    <w:rsid w:val="00F13946"/>
    <w:rsid w:val="00F13F3A"/>
    <w:rsid w:val="00F1444A"/>
    <w:rsid w:val="00F14DE5"/>
    <w:rsid w:val="00F15487"/>
    <w:rsid w:val="00F163C6"/>
    <w:rsid w:val="00F17A53"/>
    <w:rsid w:val="00F17DEF"/>
    <w:rsid w:val="00F203B8"/>
    <w:rsid w:val="00F21766"/>
    <w:rsid w:val="00F235D1"/>
    <w:rsid w:val="00F23A0E"/>
    <w:rsid w:val="00F25641"/>
    <w:rsid w:val="00F25A57"/>
    <w:rsid w:val="00F26063"/>
    <w:rsid w:val="00F26AAA"/>
    <w:rsid w:val="00F279AC"/>
    <w:rsid w:val="00F301F1"/>
    <w:rsid w:val="00F3090F"/>
    <w:rsid w:val="00F311AB"/>
    <w:rsid w:val="00F32F62"/>
    <w:rsid w:val="00F33FED"/>
    <w:rsid w:val="00F3588F"/>
    <w:rsid w:val="00F35B65"/>
    <w:rsid w:val="00F361B6"/>
    <w:rsid w:val="00F3668B"/>
    <w:rsid w:val="00F3726B"/>
    <w:rsid w:val="00F401B2"/>
    <w:rsid w:val="00F409F4"/>
    <w:rsid w:val="00F40EAB"/>
    <w:rsid w:val="00F410E7"/>
    <w:rsid w:val="00F4113D"/>
    <w:rsid w:val="00F41AFA"/>
    <w:rsid w:val="00F44626"/>
    <w:rsid w:val="00F44F18"/>
    <w:rsid w:val="00F4514B"/>
    <w:rsid w:val="00F46C36"/>
    <w:rsid w:val="00F47175"/>
    <w:rsid w:val="00F47630"/>
    <w:rsid w:val="00F47B48"/>
    <w:rsid w:val="00F52081"/>
    <w:rsid w:val="00F520A2"/>
    <w:rsid w:val="00F52C0F"/>
    <w:rsid w:val="00F54B67"/>
    <w:rsid w:val="00F55404"/>
    <w:rsid w:val="00F5547E"/>
    <w:rsid w:val="00F557FB"/>
    <w:rsid w:val="00F55C19"/>
    <w:rsid w:val="00F55D61"/>
    <w:rsid w:val="00F56992"/>
    <w:rsid w:val="00F60B9A"/>
    <w:rsid w:val="00F6115A"/>
    <w:rsid w:val="00F62AE7"/>
    <w:rsid w:val="00F62F01"/>
    <w:rsid w:val="00F63D75"/>
    <w:rsid w:val="00F63D9D"/>
    <w:rsid w:val="00F643C8"/>
    <w:rsid w:val="00F644E7"/>
    <w:rsid w:val="00F65B28"/>
    <w:rsid w:val="00F6684F"/>
    <w:rsid w:val="00F66B45"/>
    <w:rsid w:val="00F670F5"/>
    <w:rsid w:val="00F67FAB"/>
    <w:rsid w:val="00F7010E"/>
    <w:rsid w:val="00F73AFB"/>
    <w:rsid w:val="00F73D82"/>
    <w:rsid w:val="00F740A9"/>
    <w:rsid w:val="00F75B5B"/>
    <w:rsid w:val="00F76F86"/>
    <w:rsid w:val="00F8044D"/>
    <w:rsid w:val="00F810A4"/>
    <w:rsid w:val="00F8115C"/>
    <w:rsid w:val="00F81818"/>
    <w:rsid w:val="00F8354E"/>
    <w:rsid w:val="00F83E64"/>
    <w:rsid w:val="00F8546C"/>
    <w:rsid w:val="00F85621"/>
    <w:rsid w:val="00F86580"/>
    <w:rsid w:val="00F87D7A"/>
    <w:rsid w:val="00F90AC2"/>
    <w:rsid w:val="00F917EE"/>
    <w:rsid w:val="00F93E36"/>
    <w:rsid w:val="00F95641"/>
    <w:rsid w:val="00F96024"/>
    <w:rsid w:val="00F96217"/>
    <w:rsid w:val="00F966B4"/>
    <w:rsid w:val="00F96FCA"/>
    <w:rsid w:val="00FA171A"/>
    <w:rsid w:val="00FA182A"/>
    <w:rsid w:val="00FA1C3F"/>
    <w:rsid w:val="00FA2BCF"/>
    <w:rsid w:val="00FA2E5C"/>
    <w:rsid w:val="00FA47A8"/>
    <w:rsid w:val="00FA584D"/>
    <w:rsid w:val="00FA6076"/>
    <w:rsid w:val="00FA6DF9"/>
    <w:rsid w:val="00FA6ED7"/>
    <w:rsid w:val="00FA7500"/>
    <w:rsid w:val="00FA7A7A"/>
    <w:rsid w:val="00FA7DDA"/>
    <w:rsid w:val="00FB0028"/>
    <w:rsid w:val="00FB25EC"/>
    <w:rsid w:val="00FB2BF2"/>
    <w:rsid w:val="00FB3D16"/>
    <w:rsid w:val="00FB4048"/>
    <w:rsid w:val="00FB4898"/>
    <w:rsid w:val="00FB4D28"/>
    <w:rsid w:val="00FB6590"/>
    <w:rsid w:val="00FC1144"/>
    <w:rsid w:val="00FC1731"/>
    <w:rsid w:val="00FC285D"/>
    <w:rsid w:val="00FC6A56"/>
    <w:rsid w:val="00FC7361"/>
    <w:rsid w:val="00FC7A12"/>
    <w:rsid w:val="00FC7A2A"/>
    <w:rsid w:val="00FD0FEC"/>
    <w:rsid w:val="00FD18E0"/>
    <w:rsid w:val="00FD1B3F"/>
    <w:rsid w:val="00FD2573"/>
    <w:rsid w:val="00FD3EB7"/>
    <w:rsid w:val="00FD4525"/>
    <w:rsid w:val="00FD5029"/>
    <w:rsid w:val="00FD5A27"/>
    <w:rsid w:val="00FD5CB1"/>
    <w:rsid w:val="00FD6374"/>
    <w:rsid w:val="00FD66A4"/>
    <w:rsid w:val="00FD7FD3"/>
    <w:rsid w:val="00FE029C"/>
    <w:rsid w:val="00FE1523"/>
    <w:rsid w:val="00FE1527"/>
    <w:rsid w:val="00FE20D4"/>
    <w:rsid w:val="00FE2116"/>
    <w:rsid w:val="00FE451F"/>
    <w:rsid w:val="00FE45E1"/>
    <w:rsid w:val="00FE58E7"/>
    <w:rsid w:val="00FE6187"/>
    <w:rsid w:val="00FE6872"/>
    <w:rsid w:val="00FE758F"/>
    <w:rsid w:val="00FE7B2F"/>
    <w:rsid w:val="00FE7E3B"/>
    <w:rsid w:val="00FF050F"/>
    <w:rsid w:val="00FF0836"/>
    <w:rsid w:val="00FF1EE9"/>
    <w:rsid w:val="00FF1F05"/>
    <w:rsid w:val="00FF2392"/>
    <w:rsid w:val="00FF27A0"/>
    <w:rsid w:val="00FF2847"/>
    <w:rsid w:val="00FF3E6C"/>
    <w:rsid w:val="00FF48EF"/>
    <w:rsid w:val="00FF4D75"/>
    <w:rsid w:val="00FF606A"/>
    <w:rsid w:val="00FF7F12"/>
    <w:rsid w:val="01384209"/>
    <w:rsid w:val="01B36BD0"/>
    <w:rsid w:val="01E213B4"/>
    <w:rsid w:val="025F4662"/>
    <w:rsid w:val="02B524D4"/>
    <w:rsid w:val="02CC221A"/>
    <w:rsid w:val="02F16969"/>
    <w:rsid w:val="02FC50B2"/>
    <w:rsid w:val="031A2B91"/>
    <w:rsid w:val="032303C8"/>
    <w:rsid w:val="03243B0F"/>
    <w:rsid w:val="036C13B5"/>
    <w:rsid w:val="0387065D"/>
    <w:rsid w:val="03F83FDC"/>
    <w:rsid w:val="04567CE7"/>
    <w:rsid w:val="046D5159"/>
    <w:rsid w:val="04A472BA"/>
    <w:rsid w:val="04AC2385"/>
    <w:rsid w:val="050D4849"/>
    <w:rsid w:val="051926D6"/>
    <w:rsid w:val="051E0804"/>
    <w:rsid w:val="058A6868"/>
    <w:rsid w:val="05D0188E"/>
    <w:rsid w:val="06395C38"/>
    <w:rsid w:val="065D363A"/>
    <w:rsid w:val="06EF3CF8"/>
    <w:rsid w:val="070B4DB8"/>
    <w:rsid w:val="0732203A"/>
    <w:rsid w:val="077A45AF"/>
    <w:rsid w:val="07A93B78"/>
    <w:rsid w:val="085857D8"/>
    <w:rsid w:val="08652436"/>
    <w:rsid w:val="08B55666"/>
    <w:rsid w:val="096F3B54"/>
    <w:rsid w:val="0983332C"/>
    <w:rsid w:val="0A2E403B"/>
    <w:rsid w:val="0A397E8E"/>
    <w:rsid w:val="0A3B7001"/>
    <w:rsid w:val="0A7737B5"/>
    <w:rsid w:val="0AE23781"/>
    <w:rsid w:val="0B5A511E"/>
    <w:rsid w:val="0B8C630D"/>
    <w:rsid w:val="0BA46FF4"/>
    <w:rsid w:val="0C486437"/>
    <w:rsid w:val="0C604814"/>
    <w:rsid w:val="0CB447D4"/>
    <w:rsid w:val="0CBA1B32"/>
    <w:rsid w:val="0CE707A1"/>
    <w:rsid w:val="0CEA7AFC"/>
    <w:rsid w:val="0D052AEE"/>
    <w:rsid w:val="0D0814B0"/>
    <w:rsid w:val="0D7F2FE5"/>
    <w:rsid w:val="0E144BB8"/>
    <w:rsid w:val="0E1E1875"/>
    <w:rsid w:val="0E3053A1"/>
    <w:rsid w:val="0E3557F1"/>
    <w:rsid w:val="0E395AE0"/>
    <w:rsid w:val="0EED38BB"/>
    <w:rsid w:val="0F2E17B4"/>
    <w:rsid w:val="0F7D4857"/>
    <w:rsid w:val="0FBB0202"/>
    <w:rsid w:val="104355C3"/>
    <w:rsid w:val="10CD4AA1"/>
    <w:rsid w:val="11591981"/>
    <w:rsid w:val="11877731"/>
    <w:rsid w:val="11C34BC3"/>
    <w:rsid w:val="11FD5D54"/>
    <w:rsid w:val="12414866"/>
    <w:rsid w:val="12DD7042"/>
    <w:rsid w:val="130C5571"/>
    <w:rsid w:val="13176B07"/>
    <w:rsid w:val="13C407C9"/>
    <w:rsid w:val="13FF170D"/>
    <w:rsid w:val="142F71C0"/>
    <w:rsid w:val="14823DC5"/>
    <w:rsid w:val="14A53859"/>
    <w:rsid w:val="15020600"/>
    <w:rsid w:val="151E59F4"/>
    <w:rsid w:val="158A5A42"/>
    <w:rsid w:val="15DD5AFC"/>
    <w:rsid w:val="15F30AE4"/>
    <w:rsid w:val="16470D94"/>
    <w:rsid w:val="16490DAA"/>
    <w:rsid w:val="16AB3EC2"/>
    <w:rsid w:val="16FC795A"/>
    <w:rsid w:val="1749706D"/>
    <w:rsid w:val="17557C94"/>
    <w:rsid w:val="178C6993"/>
    <w:rsid w:val="17D07086"/>
    <w:rsid w:val="180A201F"/>
    <w:rsid w:val="180E2D25"/>
    <w:rsid w:val="1826385A"/>
    <w:rsid w:val="18982224"/>
    <w:rsid w:val="18C87413"/>
    <w:rsid w:val="18D411EB"/>
    <w:rsid w:val="190C42CC"/>
    <w:rsid w:val="19CA5D26"/>
    <w:rsid w:val="19EF056A"/>
    <w:rsid w:val="19F863D7"/>
    <w:rsid w:val="1A2E09C7"/>
    <w:rsid w:val="1A312930"/>
    <w:rsid w:val="1A3F5978"/>
    <w:rsid w:val="1A9F6656"/>
    <w:rsid w:val="1B2F50C2"/>
    <w:rsid w:val="1B3B2F91"/>
    <w:rsid w:val="1BCF032C"/>
    <w:rsid w:val="1C3F7DAE"/>
    <w:rsid w:val="1C622C88"/>
    <w:rsid w:val="1CCF7E6C"/>
    <w:rsid w:val="1CE04199"/>
    <w:rsid w:val="1D0A5738"/>
    <w:rsid w:val="1D6B6463"/>
    <w:rsid w:val="1D7040D1"/>
    <w:rsid w:val="1D751642"/>
    <w:rsid w:val="1D9F423B"/>
    <w:rsid w:val="1DC16278"/>
    <w:rsid w:val="1EAB5D97"/>
    <w:rsid w:val="1EF1068A"/>
    <w:rsid w:val="1F0873C2"/>
    <w:rsid w:val="1F485564"/>
    <w:rsid w:val="1F570B40"/>
    <w:rsid w:val="1F7A262E"/>
    <w:rsid w:val="1F811C64"/>
    <w:rsid w:val="1F92566D"/>
    <w:rsid w:val="1FB57B59"/>
    <w:rsid w:val="1FD5401A"/>
    <w:rsid w:val="1FE81278"/>
    <w:rsid w:val="204B072D"/>
    <w:rsid w:val="20D506FC"/>
    <w:rsid w:val="21311DFD"/>
    <w:rsid w:val="215967D5"/>
    <w:rsid w:val="216B0532"/>
    <w:rsid w:val="21E433FC"/>
    <w:rsid w:val="22042A2A"/>
    <w:rsid w:val="22767F8B"/>
    <w:rsid w:val="22910410"/>
    <w:rsid w:val="22C22CF9"/>
    <w:rsid w:val="22C977AB"/>
    <w:rsid w:val="23490DC5"/>
    <w:rsid w:val="23910C62"/>
    <w:rsid w:val="241F428D"/>
    <w:rsid w:val="24607F3E"/>
    <w:rsid w:val="24632042"/>
    <w:rsid w:val="2468284B"/>
    <w:rsid w:val="249B1ED5"/>
    <w:rsid w:val="24A324BA"/>
    <w:rsid w:val="24EA0B95"/>
    <w:rsid w:val="24F55B5A"/>
    <w:rsid w:val="25555DD2"/>
    <w:rsid w:val="258013E4"/>
    <w:rsid w:val="2581746D"/>
    <w:rsid w:val="258C3BB9"/>
    <w:rsid w:val="25D85BE4"/>
    <w:rsid w:val="25E250DC"/>
    <w:rsid w:val="26027740"/>
    <w:rsid w:val="26875D7D"/>
    <w:rsid w:val="26D54936"/>
    <w:rsid w:val="274E60A0"/>
    <w:rsid w:val="277B250C"/>
    <w:rsid w:val="2797229F"/>
    <w:rsid w:val="27CD0169"/>
    <w:rsid w:val="281D1B62"/>
    <w:rsid w:val="284033EB"/>
    <w:rsid w:val="28FB0483"/>
    <w:rsid w:val="29833C5F"/>
    <w:rsid w:val="29B77D1E"/>
    <w:rsid w:val="29CE0533"/>
    <w:rsid w:val="29D91B25"/>
    <w:rsid w:val="2A663F30"/>
    <w:rsid w:val="2AED0380"/>
    <w:rsid w:val="2AF77C9A"/>
    <w:rsid w:val="2B1B11BE"/>
    <w:rsid w:val="2B321B1B"/>
    <w:rsid w:val="2B452244"/>
    <w:rsid w:val="2B5621F6"/>
    <w:rsid w:val="2B5B6D43"/>
    <w:rsid w:val="2B6A4410"/>
    <w:rsid w:val="2BDF21EC"/>
    <w:rsid w:val="2BE53CB3"/>
    <w:rsid w:val="2C3C1D0A"/>
    <w:rsid w:val="2C63137A"/>
    <w:rsid w:val="2C695F59"/>
    <w:rsid w:val="2CB40161"/>
    <w:rsid w:val="2CC6720D"/>
    <w:rsid w:val="2CDE35AE"/>
    <w:rsid w:val="2CE37BDC"/>
    <w:rsid w:val="2D0637A8"/>
    <w:rsid w:val="2D3E1194"/>
    <w:rsid w:val="2D65208A"/>
    <w:rsid w:val="2DAD03EE"/>
    <w:rsid w:val="2DC773DC"/>
    <w:rsid w:val="2EE1746B"/>
    <w:rsid w:val="2F1607DA"/>
    <w:rsid w:val="2F3E3346"/>
    <w:rsid w:val="2F416D1A"/>
    <w:rsid w:val="2F550579"/>
    <w:rsid w:val="2F675E7A"/>
    <w:rsid w:val="2FA05D26"/>
    <w:rsid w:val="2FAA65FD"/>
    <w:rsid w:val="2FF34B84"/>
    <w:rsid w:val="300868EC"/>
    <w:rsid w:val="30192B38"/>
    <w:rsid w:val="3044001B"/>
    <w:rsid w:val="30DB7305"/>
    <w:rsid w:val="319A79E1"/>
    <w:rsid w:val="31C0541A"/>
    <w:rsid w:val="3216623C"/>
    <w:rsid w:val="32DC7485"/>
    <w:rsid w:val="332350B4"/>
    <w:rsid w:val="335C445D"/>
    <w:rsid w:val="336B684F"/>
    <w:rsid w:val="33B04FDE"/>
    <w:rsid w:val="33D9245D"/>
    <w:rsid w:val="34795E79"/>
    <w:rsid w:val="35493093"/>
    <w:rsid w:val="358F1404"/>
    <w:rsid w:val="362D6059"/>
    <w:rsid w:val="364D531C"/>
    <w:rsid w:val="36551B8F"/>
    <w:rsid w:val="367708E3"/>
    <w:rsid w:val="36E41FB8"/>
    <w:rsid w:val="372B33BD"/>
    <w:rsid w:val="375F68D7"/>
    <w:rsid w:val="37661778"/>
    <w:rsid w:val="377C2FE5"/>
    <w:rsid w:val="3819368D"/>
    <w:rsid w:val="395E4B16"/>
    <w:rsid w:val="39BD0897"/>
    <w:rsid w:val="39F54FCB"/>
    <w:rsid w:val="3A0A7ABC"/>
    <w:rsid w:val="3A2636DC"/>
    <w:rsid w:val="3A3961CF"/>
    <w:rsid w:val="3A44129C"/>
    <w:rsid w:val="3A802DEC"/>
    <w:rsid w:val="3AA805FE"/>
    <w:rsid w:val="3AFD4854"/>
    <w:rsid w:val="3B3836C7"/>
    <w:rsid w:val="3B414FCB"/>
    <w:rsid w:val="3B446A74"/>
    <w:rsid w:val="3B4C7BA5"/>
    <w:rsid w:val="3B8B5C38"/>
    <w:rsid w:val="3B8F407F"/>
    <w:rsid w:val="3B936B4F"/>
    <w:rsid w:val="3B947D42"/>
    <w:rsid w:val="3C2B4E49"/>
    <w:rsid w:val="3C325F30"/>
    <w:rsid w:val="3C954E05"/>
    <w:rsid w:val="3CE21F34"/>
    <w:rsid w:val="3E306E46"/>
    <w:rsid w:val="3E330D8A"/>
    <w:rsid w:val="3E7B7AD3"/>
    <w:rsid w:val="3E9A01D2"/>
    <w:rsid w:val="3EB7033F"/>
    <w:rsid w:val="3F431621"/>
    <w:rsid w:val="401E103E"/>
    <w:rsid w:val="402F21B5"/>
    <w:rsid w:val="405E2FEA"/>
    <w:rsid w:val="408D1DBF"/>
    <w:rsid w:val="40C95EF4"/>
    <w:rsid w:val="4102230C"/>
    <w:rsid w:val="413545A0"/>
    <w:rsid w:val="41F15866"/>
    <w:rsid w:val="42185AF2"/>
    <w:rsid w:val="42242B94"/>
    <w:rsid w:val="425C1778"/>
    <w:rsid w:val="42777E6B"/>
    <w:rsid w:val="429A4C67"/>
    <w:rsid w:val="42A14CDF"/>
    <w:rsid w:val="43326EBF"/>
    <w:rsid w:val="4335673E"/>
    <w:rsid w:val="43F33CF9"/>
    <w:rsid w:val="44193A03"/>
    <w:rsid w:val="441D78FE"/>
    <w:rsid w:val="444A6BF7"/>
    <w:rsid w:val="444E5D09"/>
    <w:rsid w:val="4483499A"/>
    <w:rsid w:val="44C32E74"/>
    <w:rsid w:val="44E02051"/>
    <w:rsid w:val="44E827F6"/>
    <w:rsid w:val="44EE6A25"/>
    <w:rsid w:val="450A685F"/>
    <w:rsid w:val="452C295D"/>
    <w:rsid w:val="45476A70"/>
    <w:rsid w:val="45982027"/>
    <w:rsid w:val="46032B23"/>
    <w:rsid w:val="460F14C8"/>
    <w:rsid w:val="46397091"/>
    <w:rsid w:val="46675B6D"/>
    <w:rsid w:val="46BB4A11"/>
    <w:rsid w:val="46C1699C"/>
    <w:rsid w:val="46E55C8A"/>
    <w:rsid w:val="46E6047B"/>
    <w:rsid w:val="47BE10AC"/>
    <w:rsid w:val="48A112DD"/>
    <w:rsid w:val="48A40001"/>
    <w:rsid w:val="48C67642"/>
    <w:rsid w:val="498A77E3"/>
    <w:rsid w:val="49FC0FF6"/>
    <w:rsid w:val="4A5C2D72"/>
    <w:rsid w:val="4A941610"/>
    <w:rsid w:val="4A9C4182"/>
    <w:rsid w:val="4AF85881"/>
    <w:rsid w:val="4B3016CC"/>
    <w:rsid w:val="4B4368F7"/>
    <w:rsid w:val="4B7306DB"/>
    <w:rsid w:val="4B9F458B"/>
    <w:rsid w:val="4C1D04E1"/>
    <w:rsid w:val="4C4E30F6"/>
    <w:rsid w:val="4C8974D9"/>
    <w:rsid w:val="4CA701AE"/>
    <w:rsid w:val="4D1E30C5"/>
    <w:rsid w:val="4D467339"/>
    <w:rsid w:val="4D49380A"/>
    <w:rsid w:val="4D5D411B"/>
    <w:rsid w:val="4D632B78"/>
    <w:rsid w:val="4D7F716A"/>
    <w:rsid w:val="4DEE141E"/>
    <w:rsid w:val="4E021B72"/>
    <w:rsid w:val="4E21623C"/>
    <w:rsid w:val="4E233D62"/>
    <w:rsid w:val="4E481A8B"/>
    <w:rsid w:val="4E6F42B6"/>
    <w:rsid w:val="4E8651D3"/>
    <w:rsid w:val="4EA428B7"/>
    <w:rsid w:val="4EF95253"/>
    <w:rsid w:val="4F08072A"/>
    <w:rsid w:val="4F0C06E7"/>
    <w:rsid w:val="4F277400"/>
    <w:rsid w:val="4F2B3B43"/>
    <w:rsid w:val="4F3101AE"/>
    <w:rsid w:val="4F435760"/>
    <w:rsid w:val="4F514508"/>
    <w:rsid w:val="4F704421"/>
    <w:rsid w:val="4F872AF7"/>
    <w:rsid w:val="4FCC35CB"/>
    <w:rsid w:val="4FDE021A"/>
    <w:rsid w:val="4FE319FB"/>
    <w:rsid w:val="50E3694D"/>
    <w:rsid w:val="511F76B3"/>
    <w:rsid w:val="51534B4B"/>
    <w:rsid w:val="51BF4BEF"/>
    <w:rsid w:val="5293437B"/>
    <w:rsid w:val="52C443DE"/>
    <w:rsid w:val="533271AD"/>
    <w:rsid w:val="53513120"/>
    <w:rsid w:val="535530D6"/>
    <w:rsid w:val="53E207EE"/>
    <w:rsid w:val="53ED65D0"/>
    <w:rsid w:val="5428796D"/>
    <w:rsid w:val="542A7CBB"/>
    <w:rsid w:val="54420CBA"/>
    <w:rsid w:val="54773275"/>
    <w:rsid w:val="54B25E40"/>
    <w:rsid w:val="54B363DE"/>
    <w:rsid w:val="55571B9B"/>
    <w:rsid w:val="557012E6"/>
    <w:rsid w:val="55CA3B0C"/>
    <w:rsid w:val="56051C32"/>
    <w:rsid w:val="564E3725"/>
    <w:rsid w:val="5651249E"/>
    <w:rsid w:val="5654231D"/>
    <w:rsid w:val="56BF13FD"/>
    <w:rsid w:val="57265336"/>
    <w:rsid w:val="57CB25AC"/>
    <w:rsid w:val="57CC097A"/>
    <w:rsid w:val="57D96868"/>
    <w:rsid w:val="582A3F3F"/>
    <w:rsid w:val="585B412F"/>
    <w:rsid w:val="586A278D"/>
    <w:rsid w:val="586C6B79"/>
    <w:rsid w:val="58906498"/>
    <w:rsid w:val="58DF28FA"/>
    <w:rsid w:val="58F15D0D"/>
    <w:rsid w:val="58F37DDA"/>
    <w:rsid w:val="59153A25"/>
    <w:rsid w:val="595A0426"/>
    <w:rsid w:val="5AB21C84"/>
    <w:rsid w:val="5AD30298"/>
    <w:rsid w:val="5B21162A"/>
    <w:rsid w:val="5B8329F2"/>
    <w:rsid w:val="5B837F4E"/>
    <w:rsid w:val="5B863B83"/>
    <w:rsid w:val="5BCE1AC3"/>
    <w:rsid w:val="5BD364E5"/>
    <w:rsid w:val="5C3A202E"/>
    <w:rsid w:val="5C4D1F51"/>
    <w:rsid w:val="5C545A2F"/>
    <w:rsid w:val="5CDD096B"/>
    <w:rsid w:val="5CE16EEF"/>
    <w:rsid w:val="5CF1327E"/>
    <w:rsid w:val="5D393FB8"/>
    <w:rsid w:val="5D43242B"/>
    <w:rsid w:val="5D8B1A3C"/>
    <w:rsid w:val="5DB24EF2"/>
    <w:rsid w:val="5DC80482"/>
    <w:rsid w:val="5E3B6DE6"/>
    <w:rsid w:val="5E402858"/>
    <w:rsid w:val="5E692D38"/>
    <w:rsid w:val="5ECC503A"/>
    <w:rsid w:val="5EDB32E9"/>
    <w:rsid w:val="5F3C5F70"/>
    <w:rsid w:val="5F6E1CDF"/>
    <w:rsid w:val="5F811ABE"/>
    <w:rsid w:val="5FA25E8E"/>
    <w:rsid w:val="5FCD7DC5"/>
    <w:rsid w:val="5FF368C7"/>
    <w:rsid w:val="5FF36EF7"/>
    <w:rsid w:val="601D2D02"/>
    <w:rsid w:val="6145071A"/>
    <w:rsid w:val="61533050"/>
    <w:rsid w:val="62146E8E"/>
    <w:rsid w:val="6227605C"/>
    <w:rsid w:val="624F12C5"/>
    <w:rsid w:val="62E83523"/>
    <w:rsid w:val="63512CC8"/>
    <w:rsid w:val="63C40900"/>
    <w:rsid w:val="645E569D"/>
    <w:rsid w:val="64E06A5F"/>
    <w:rsid w:val="65B347E1"/>
    <w:rsid w:val="65F067C8"/>
    <w:rsid w:val="66277E08"/>
    <w:rsid w:val="66331E3A"/>
    <w:rsid w:val="66EF79D9"/>
    <w:rsid w:val="67074B35"/>
    <w:rsid w:val="6708306A"/>
    <w:rsid w:val="671516C4"/>
    <w:rsid w:val="67323AF9"/>
    <w:rsid w:val="677D0530"/>
    <w:rsid w:val="67B35CFF"/>
    <w:rsid w:val="67CC5551"/>
    <w:rsid w:val="67CD3770"/>
    <w:rsid w:val="67D06652"/>
    <w:rsid w:val="683F0A82"/>
    <w:rsid w:val="69330C2E"/>
    <w:rsid w:val="69736F72"/>
    <w:rsid w:val="6A4E37FE"/>
    <w:rsid w:val="6A7F5A7E"/>
    <w:rsid w:val="6AD84565"/>
    <w:rsid w:val="6AE70A29"/>
    <w:rsid w:val="6B0600A5"/>
    <w:rsid w:val="6B4B287D"/>
    <w:rsid w:val="6C1276B0"/>
    <w:rsid w:val="6C2600DB"/>
    <w:rsid w:val="6C747AEE"/>
    <w:rsid w:val="6C8A5377"/>
    <w:rsid w:val="6CEF741D"/>
    <w:rsid w:val="6D125DD9"/>
    <w:rsid w:val="6DB50C6B"/>
    <w:rsid w:val="6E3022FE"/>
    <w:rsid w:val="6E903B92"/>
    <w:rsid w:val="6ECA2533"/>
    <w:rsid w:val="6F3F69A3"/>
    <w:rsid w:val="6F793C80"/>
    <w:rsid w:val="703300B9"/>
    <w:rsid w:val="70865B02"/>
    <w:rsid w:val="709E4DBD"/>
    <w:rsid w:val="718F21C8"/>
    <w:rsid w:val="71A072F4"/>
    <w:rsid w:val="71D92806"/>
    <w:rsid w:val="71E50EBB"/>
    <w:rsid w:val="72861B1D"/>
    <w:rsid w:val="7292429A"/>
    <w:rsid w:val="7295497F"/>
    <w:rsid w:val="72CC4119"/>
    <w:rsid w:val="735B1689"/>
    <w:rsid w:val="738B3466"/>
    <w:rsid w:val="73916A8E"/>
    <w:rsid w:val="73D4663A"/>
    <w:rsid w:val="73EC488C"/>
    <w:rsid w:val="73ED329C"/>
    <w:rsid w:val="74A20C7D"/>
    <w:rsid w:val="74C303C1"/>
    <w:rsid w:val="74DD2A0C"/>
    <w:rsid w:val="75155DA8"/>
    <w:rsid w:val="755A101E"/>
    <w:rsid w:val="75720FA8"/>
    <w:rsid w:val="75814501"/>
    <w:rsid w:val="758160FE"/>
    <w:rsid w:val="75831048"/>
    <w:rsid w:val="75BC54E7"/>
    <w:rsid w:val="75BE21F1"/>
    <w:rsid w:val="75C2673F"/>
    <w:rsid w:val="75E73359"/>
    <w:rsid w:val="763444AF"/>
    <w:rsid w:val="766215A0"/>
    <w:rsid w:val="766E6510"/>
    <w:rsid w:val="767B10A1"/>
    <w:rsid w:val="76D34C1D"/>
    <w:rsid w:val="770F4686"/>
    <w:rsid w:val="773D2656"/>
    <w:rsid w:val="776C61B1"/>
    <w:rsid w:val="776C7C79"/>
    <w:rsid w:val="77D33AB2"/>
    <w:rsid w:val="78447FB0"/>
    <w:rsid w:val="78B03D19"/>
    <w:rsid w:val="792817E3"/>
    <w:rsid w:val="793E13DD"/>
    <w:rsid w:val="79573A29"/>
    <w:rsid w:val="79881D58"/>
    <w:rsid w:val="799E778F"/>
    <w:rsid w:val="79C858D8"/>
    <w:rsid w:val="7A4C6D95"/>
    <w:rsid w:val="7A6B5AF6"/>
    <w:rsid w:val="7A916128"/>
    <w:rsid w:val="7AA22366"/>
    <w:rsid w:val="7AB607DB"/>
    <w:rsid w:val="7B977081"/>
    <w:rsid w:val="7BB4572B"/>
    <w:rsid w:val="7BFE2A0C"/>
    <w:rsid w:val="7C2D025B"/>
    <w:rsid w:val="7C905799"/>
    <w:rsid w:val="7CA6260B"/>
    <w:rsid w:val="7CB5585B"/>
    <w:rsid w:val="7CCC5441"/>
    <w:rsid w:val="7CD6006E"/>
    <w:rsid w:val="7D140E89"/>
    <w:rsid w:val="7D1E3CED"/>
    <w:rsid w:val="7D33078B"/>
    <w:rsid w:val="7D425704"/>
    <w:rsid w:val="7D5E7E18"/>
    <w:rsid w:val="7D6737DD"/>
    <w:rsid w:val="7D93039E"/>
    <w:rsid w:val="7D96543C"/>
    <w:rsid w:val="7DDC06B3"/>
    <w:rsid w:val="7DEF0559"/>
    <w:rsid w:val="7E4E0F4F"/>
    <w:rsid w:val="7E6F2952"/>
    <w:rsid w:val="7EBF171C"/>
    <w:rsid w:val="7EC87E8B"/>
    <w:rsid w:val="7F1A01D4"/>
    <w:rsid w:val="7F230AE7"/>
    <w:rsid w:val="7F273E21"/>
    <w:rsid w:val="7F993489"/>
    <w:rsid w:val="7FC56178"/>
    <w:rsid w:val="7FCB64FD"/>
    <w:rsid w:val="7FFA5E96"/>
    <w:rsid w:val="7FFC24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 w:semiHidden="0" w:name="heading 5"/>
    <w:lsdException w:qFormat="1"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61"/>
    <w:qFormat/>
    <w:uiPriority w:val="0"/>
    <w:pPr>
      <w:keepNext/>
      <w:jc w:val="center"/>
      <w:outlineLvl w:val="0"/>
    </w:pPr>
    <w:rPr>
      <w:sz w:val="28"/>
    </w:rPr>
  </w:style>
  <w:style w:type="paragraph" w:styleId="7">
    <w:name w:val="heading 2"/>
    <w:basedOn w:val="1"/>
    <w:next w:val="1"/>
    <w:link w:val="54"/>
    <w:qFormat/>
    <w:uiPriority w:val="0"/>
    <w:pPr>
      <w:keepNext/>
      <w:keepLines/>
      <w:spacing w:before="260" w:after="260" w:line="360" w:lineRule="auto"/>
      <w:jc w:val="center"/>
      <w:outlineLvl w:val="1"/>
    </w:pPr>
    <w:rPr>
      <w:rFonts w:ascii="Arial" w:hAnsi="Arial" w:eastAsia="仿宋"/>
      <w:b/>
      <w:bCs/>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99"/>
    <w:pPr>
      <w:keepNext/>
      <w:keepLines/>
      <w:spacing w:before="280" w:after="290" w:line="376" w:lineRule="auto"/>
      <w:outlineLvl w:val="3"/>
    </w:pPr>
    <w:rPr>
      <w:rFonts w:ascii="Cambria" w:hAnsi="Cambria"/>
      <w:b/>
      <w:bCs/>
      <w:sz w:val="28"/>
      <w:szCs w:val="28"/>
    </w:rPr>
  </w:style>
  <w:style w:type="paragraph" w:styleId="10">
    <w:name w:val="heading 5"/>
    <w:basedOn w:val="1"/>
    <w:next w:val="1"/>
    <w:qFormat/>
    <w:uiPriority w:val="9"/>
    <w:pPr>
      <w:keepNext/>
      <w:keepLines/>
      <w:spacing w:before="280" w:after="290" w:line="376" w:lineRule="auto"/>
      <w:outlineLvl w:val="4"/>
    </w:pPr>
    <w:rPr>
      <w:b/>
      <w:bCs/>
      <w:sz w:val="28"/>
      <w:szCs w:val="28"/>
    </w:rPr>
  </w:style>
  <w:style w:type="paragraph" w:styleId="11">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552"/>
    </w:pPr>
    <w:rPr>
      <w:rFonts w:ascii="宋体"/>
      <w:sz w:val="28"/>
    </w:rPr>
  </w:style>
  <w:style w:type="paragraph" w:styleId="4">
    <w:name w:val="envelope return"/>
    <w:basedOn w:val="1"/>
    <w:qFormat/>
    <w:uiPriority w:val="0"/>
    <w:pPr>
      <w:snapToGrid w:val="0"/>
    </w:pPr>
    <w:rPr>
      <w:rFonts w:ascii="Arial" w:hAnsi="Arial"/>
    </w:rPr>
  </w:style>
  <w:style w:type="paragraph" w:styleId="5">
    <w:name w:val="Normal Indent"/>
    <w:basedOn w:val="1"/>
    <w:next w:val="2"/>
    <w:link w:val="52"/>
    <w:qFormat/>
    <w:uiPriority w:val="0"/>
    <w:pPr>
      <w:ind w:firstLine="420" w:firstLineChars="200"/>
    </w:pPr>
    <w:rPr>
      <w:rFonts w:ascii="Calibri" w:hAnsi="Calibri"/>
      <w:kern w:val="0"/>
      <w:sz w:val="20"/>
    </w:rPr>
  </w:style>
  <w:style w:type="paragraph" w:styleId="12">
    <w:name w:val="toc 7"/>
    <w:basedOn w:val="1"/>
    <w:next w:val="1"/>
    <w:qFormat/>
    <w:uiPriority w:val="0"/>
    <w:pPr>
      <w:ind w:left="1260"/>
      <w:jc w:val="left"/>
    </w:pPr>
    <w:rPr>
      <w:rFonts w:ascii="Calibri" w:hAnsi="Calibri" w:cs="Calibri"/>
      <w:sz w:val="18"/>
      <w:szCs w:val="18"/>
    </w:rPr>
  </w:style>
  <w:style w:type="paragraph" w:styleId="13">
    <w:name w:val="annotation text"/>
    <w:basedOn w:val="1"/>
    <w:link w:val="55"/>
    <w:qFormat/>
    <w:uiPriority w:val="0"/>
    <w:pPr>
      <w:jc w:val="left"/>
    </w:pPr>
  </w:style>
  <w:style w:type="paragraph" w:styleId="14">
    <w:name w:val="Body Text 3"/>
    <w:basedOn w:val="1"/>
    <w:qFormat/>
    <w:uiPriority w:val="0"/>
    <w:pPr>
      <w:spacing w:after="120"/>
    </w:pPr>
    <w:rPr>
      <w:sz w:val="16"/>
      <w:szCs w:val="16"/>
    </w:rPr>
  </w:style>
  <w:style w:type="paragraph" w:styleId="15">
    <w:name w:val="Body Text"/>
    <w:basedOn w:val="1"/>
    <w:next w:val="1"/>
    <w:qFormat/>
    <w:uiPriority w:val="0"/>
    <w:pPr>
      <w:spacing w:after="120"/>
    </w:pPr>
    <w:rPr>
      <w:szCs w:val="24"/>
    </w:r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0"/>
    <w:pPr>
      <w:ind w:left="420"/>
      <w:jc w:val="left"/>
    </w:pPr>
    <w:rPr>
      <w:rFonts w:ascii="Calibri" w:hAnsi="Calibri" w:cs="Calibri"/>
      <w:i/>
      <w:iCs/>
      <w:sz w:val="20"/>
    </w:rPr>
  </w:style>
  <w:style w:type="paragraph" w:styleId="18">
    <w:name w:val="Plain Text"/>
    <w:basedOn w:val="1"/>
    <w:link w:val="56"/>
    <w:qFormat/>
    <w:uiPriority w:val="0"/>
    <w:rPr>
      <w:rFonts w:ascii="宋体" w:hAnsi="Courier New"/>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qFormat/>
    <w:uiPriority w:val="0"/>
    <w:rPr>
      <w:rFonts w:ascii="宋体"/>
      <w:sz w:val="24"/>
    </w:rPr>
  </w:style>
  <w:style w:type="paragraph" w:styleId="21">
    <w:name w:val="Balloon Text"/>
    <w:basedOn w:val="1"/>
    <w:link w:val="57"/>
    <w:qFormat/>
    <w:uiPriority w:val="0"/>
    <w:rPr>
      <w:sz w:val="18"/>
      <w:szCs w:val="18"/>
    </w:rPr>
  </w:style>
  <w:style w:type="paragraph" w:styleId="22">
    <w:name w:val="footer"/>
    <w:basedOn w:val="1"/>
    <w:link w:val="58"/>
    <w:qFormat/>
    <w:uiPriority w:val="99"/>
    <w:pPr>
      <w:tabs>
        <w:tab w:val="center" w:pos="4153"/>
        <w:tab w:val="right" w:pos="8306"/>
      </w:tabs>
      <w:adjustRightInd w:val="0"/>
      <w:spacing w:line="240" w:lineRule="atLeast"/>
      <w:jc w:val="left"/>
      <w:textAlignment w:val="baseline"/>
    </w:pPr>
    <w:rPr>
      <w:kern w:val="0"/>
      <w:sz w:val="18"/>
    </w:rPr>
  </w:style>
  <w:style w:type="paragraph" w:styleId="23">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Calibri" w:hAnsi="Calibri" w:cs="Calibri"/>
      <w:b/>
      <w:bCs/>
      <w:caps/>
      <w:sz w:val="20"/>
    </w:rPr>
  </w:style>
  <w:style w:type="paragraph" w:styleId="25">
    <w:name w:val="toc 4"/>
    <w:basedOn w:val="1"/>
    <w:next w:val="1"/>
    <w:qFormat/>
    <w:uiPriority w:val="0"/>
    <w:pPr>
      <w:ind w:left="630"/>
      <w:jc w:val="left"/>
    </w:pPr>
    <w:rPr>
      <w:rFonts w:ascii="Calibri" w:hAnsi="Calibri" w:cs="Calibri"/>
      <w:sz w:val="18"/>
      <w:szCs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toc 2"/>
    <w:basedOn w:val="1"/>
    <w:next w:val="1"/>
    <w:qFormat/>
    <w:uiPriority w:val="39"/>
    <w:pPr>
      <w:ind w:left="210"/>
      <w:jc w:val="left"/>
    </w:pPr>
    <w:rPr>
      <w:rFonts w:ascii="Calibri" w:hAnsi="Calibri" w:cs="Calibri"/>
      <w:smallCaps/>
      <w:sz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Body Text 2"/>
    <w:basedOn w:val="1"/>
    <w:qFormat/>
    <w:uiPriority w:val="0"/>
    <w:pPr>
      <w:jc w:val="left"/>
    </w:pPr>
    <w:rPr>
      <w:rFonts w:ascii="仿宋_GB2312" w:hAnsi="宋体" w:eastAsia="仿宋_GB2312" w:cs="Times New Roman"/>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1">
    <w:name w:val="Normal (Web)"/>
    <w:basedOn w:val="1"/>
    <w:next w:val="22"/>
    <w:qFormat/>
    <w:uiPriority w:val="0"/>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33">
    <w:name w:val="annotation subject"/>
    <w:basedOn w:val="13"/>
    <w:next w:val="13"/>
    <w:link w:val="60"/>
    <w:qFormat/>
    <w:uiPriority w:val="0"/>
    <w:rPr>
      <w:b/>
      <w:bCs/>
    </w:rPr>
  </w:style>
  <w:style w:type="paragraph" w:styleId="34">
    <w:name w:val="Body Text First Indent"/>
    <w:basedOn w:val="15"/>
    <w:unhideWhenUsed/>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qFormat/>
    <w:uiPriority w:val="0"/>
    <w:rPr>
      <w:color w:val="800080"/>
      <w:u w:val="none"/>
    </w:rPr>
  </w:style>
  <w:style w:type="character" w:styleId="41">
    <w:name w:val="Emphasis"/>
    <w:basedOn w:val="37"/>
    <w:qFormat/>
    <w:uiPriority w:val="0"/>
    <w:rPr>
      <w:b/>
      <w:bCs/>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bdr w:val="single" w:color="BDBEC1" w:sz="6" w:space="0"/>
      <w:shd w:val="clear" w:color="auto" w:fill="F2F4F9"/>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99"/>
    <w:rPr>
      <w:color w:val="0000FF"/>
      <w:u w:val="none"/>
    </w:rPr>
  </w:style>
  <w:style w:type="character" w:styleId="47">
    <w:name w:val="HTML Code"/>
    <w:basedOn w:val="37"/>
    <w:qFormat/>
    <w:uiPriority w:val="0"/>
    <w:rPr>
      <w:rFonts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hint="default" w:ascii="monospace" w:hAnsi="monospace" w:eastAsia="monospace" w:cs="monospace"/>
    </w:rPr>
  </w:style>
  <w:style w:type="character" w:customStyle="1" w:styleId="52">
    <w:name w:val="正文缩进 Char"/>
    <w:link w:val="5"/>
    <w:qFormat/>
    <w:uiPriority w:val="0"/>
    <w:rPr>
      <w:rFonts w:ascii="Calibri" w:hAnsi="Calibri"/>
    </w:rPr>
  </w:style>
  <w:style w:type="character" w:customStyle="1" w:styleId="53">
    <w:name w:val="Heading 1 Char1"/>
    <w:basedOn w:val="37"/>
    <w:link w:val="6"/>
    <w:qFormat/>
    <w:locked/>
    <w:uiPriority w:val="99"/>
    <w:rPr>
      <w:rFonts w:eastAsia="宋体" w:cs="Times New Roman"/>
      <w:b/>
      <w:kern w:val="2"/>
      <w:sz w:val="44"/>
    </w:rPr>
  </w:style>
  <w:style w:type="character" w:customStyle="1" w:styleId="54">
    <w:name w:val="Heading 2 Char1"/>
    <w:basedOn w:val="37"/>
    <w:link w:val="7"/>
    <w:qFormat/>
    <w:locked/>
    <w:uiPriority w:val="99"/>
    <w:rPr>
      <w:rFonts w:ascii="Arial" w:hAnsi="Arial" w:eastAsia="仿宋"/>
      <w:b/>
      <w:bCs/>
      <w:sz w:val="32"/>
      <w:szCs w:val="32"/>
    </w:rPr>
  </w:style>
  <w:style w:type="character" w:customStyle="1" w:styleId="55">
    <w:name w:val="批注文字 Char"/>
    <w:link w:val="13"/>
    <w:qFormat/>
    <w:uiPriority w:val="0"/>
    <w:rPr>
      <w:kern w:val="2"/>
      <w:sz w:val="21"/>
    </w:rPr>
  </w:style>
  <w:style w:type="character" w:customStyle="1" w:styleId="56">
    <w:name w:val="纯文本 Char"/>
    <w:link w:val="18"/>
    <w:qFormat/>
    <w:uiPriority w:val="0"/>
    <w:rPr>
      <w:rFonts w:ascii="宋体" w:hAnsi="Courier New"/>
      <w:kern w:val="2"/>
      <w:sz w:val="21"/>
    </w:rPr>
  </w:style>
  <w:style w:type="character" w:customStyle="1" w:styleId="57">
    <w:name w:val="批注框文本 Char"/>
    <w:link w:val="21"/>
    <w:qFormat/>
    <w:uiPriority w:val="0"/>
    <w:rPr>
      <w:kern w:val="2"/>
      <w:sz w:val="18"/>
      <w:szCs w:val="18"/>
    </w:rPr>
  </w:style>
  <w:style w:type="character" w:customStyle="1" w:styleId="58">
    <w:name w:val="页脚 Char"/>
    <w:link w:val="22"/>
    <w:qFormat/>
    <w:uiPriority w:val="99"/>
    <w:rPr>
      <w:sz w:val="18"/>
    </w:rPr>
  </w:style>
  <w:style w:type="character" w:customStyle="1" w:styleId="59">
    <w:name w:val="页眉 Char"/>
    <w:link w:val="23"/>
    <w:qFormat/>
    <w:uiPriority w:val="99"/>
    <w:rPr>
      <w:kern w:val="2"/>
      <w:sz w:val="18"/>
      <w:szCs w:val="18"/>
    </w:rPr>
  </w:style>
  <w:style w:type="character" w:customStyle="1" w:styleId="60">
    <w:name w:val="批注主题 Char"/>
    <w:link w:val="33"/>
    <w:qFormat/>
    <w:uiPriority w:val="0"/>
    <w:rPr>
      <w:b/>
      <w:bCs/>
      <w:kern w:val="2"/>
      <w:sz w:val="21"/>
    </w:rPr>
  </w:style>
  <w:style w:type="character" w:customStyle="1" w:styleId="61">
    <w:name w:val="标题 1 Char"/>
    <w:link w:val="6"/>
    <w:qFormat/>
    <w:uiPriority w:val="0"/>
    <w:rPr>
      <w:sz w:val="28"/>
    </w:rPr>
  </w:style>
  <w:style w:type="paragraph" w:customStyle="1" w:styleId="62">
    <w:name w:val="TOC 标题1"/>
    <w:basedOn w:val="6"/>
    <w:next w:val="1"/>
    <w:qFormat/>
    <w:uiPriority w:val="99"/>
    <w:pPr>
      <w:spacing w:before="480" w:after="0" w:line="276" w:lineRule="auto"/>
      <w:outlineLvl w:val="9"/>
    </w:pPr>
    <w:rPr>
      <w:rFonts w:ascii="仿宋" w:hAnsi="仿宋" w:eastAsia="仿宋"/>
      <w:color w:val="000000"/>
      <w:kern w:val="0"/>
      <w:szCs w:val="32"/>
    </w:rPr>
  </w:style>
  <w:style w:type="paragraph" w:customStyle="1" w:styleId="63">
    <w:name w:val="正文缩进1"/>
    <w:basedOn w:val="1"/>
    <w:qFormat/>
    <w:uiPriority w:val="0"/>
    <w:pPr>
      <w:ind w:firstLine="420" w:firstLineChars="200"/>
    </w:pPr>
  </w:style>
  <w:style w:type="character" w:customStyle="1" w:styleId="64">
    <w:name w:val="NormalCharacter"/>
    <w:qFormat/>
    <w:uiPriority w:val="0"/>
  </w:style>
  <w:style w:type="paragraph" w:customStyle="1" w:styleId="65">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kern w:val="0"/>
      <w:sz w:val="28"/>
    </w:rPr>
  </w:style>
  <w:style w:type="paragraph" w:customStyle="1" w:styleId="66">
    <w:name w:val="标题3"/>
    <w:basedOn w:val="1"/>
    <w:qFormat/>
    <w:uiPriority w:val="0"/>
    <w:pPr>
      <w:spacing w:before="240" w:after="240"/>
      <w:contextualSpacing/>
      <w:outlineLvl w:val="2"/>
    </w:pPr>
    <w:rPr>
      <w:rFonts w:ascii="Times New Roman" w:hAnsi="Times New Roman" w:eastAsia="仿宋_GB2312"/>
      <w:b/>
      <w:color w:val="000000"/>
      <w:sz w:val="28"/>
      <w:szCs w:val="30"/>
    </w:rPr>
  </w:style>
  <w:style w:type="paragraph" w:customStyle="1" w:styleId="67">
    <w:name w:val="List Paragraph1"/>
    <w:basedOn w:val="1"/>
    <w:qFormat/>
    <w:uiPriority w:val="99"/>
    <w:pPr>
      <w:ind w:firstLine="420" w:firstLineChars="200"/>
    </w:pPr>
    <w:rPr>
      <w:lang w:val="en-US" w:eastAsia="zh-CN" w:bidi="ar-SA"/>
    </w:rPr>
  </w:style>
  <w:style w:type="paragraph" w:customStyle="1" w:styleId="6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 Char2"/>
    <w:basedOn w:val="1"/>
    <w:qFormat/>
    <w:uiPriority w:val="0"/>
    <w:rPr>
      <w:rFonts w:ascii="Tahoma" w:hAnsi="Tahoma"/>
      <w:sz w:val="24"/>
    </w:rPr>
  </w:style>
  <w:style w:type="paragraph" w:customStyle="1" w:styleId="70">
    <w:name w:val="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1">
    <w:name w:val="图号字体"/>
    <w:basedOn w:val="1"/>
    <w:qFormat/>
    <w:uiPriority w:val="0"/>
    <w:pPr>
      <w:adjustRightInd w:val="0"/>
      <w:snapToGrid w:val="0"/>
      <w:spacing w:line="340" w:lineRule="exact"/>
      <w:ind w:firstLine="482" w:firstLineChars="200"/>
      <w:jc w:val="center"/>
    </w:pPr>
    <w:rPr>
      <w:rFonts w:ascii="Times New Roman" w:hAnsi="宋体"/>
      <w:b/>
      <w:sz w:val="24"/>
      <w:szCs w:val="24"/>
    </w:rPr>
  </w:style>
  <w:style w:type="paragraph" w:customStyle="1" w:styleId="72">
    <w:name w:val="样式 标题 3 + (中文) 黑体 小四 非加粗 段前: 7.8 磅 段后: 0 磅 行距: 固定值 20 磅"/>
    <w:basedOn w:val="8"/>
    <w:next w:val="1"/>
    <w:qFormat/>
    <w:uiPriority w:val="0"/>
    <w:pPr>
      <w:spacing w:before="0" w:after="0" w:line="400" w:lineRule="exact"/>
    </w:pPr>
    <w:rPr>
      <w:rFonts w:hAnsi="Calibri" w:eastAsia="黑体" w:cs="宋体"/>
      <w:b w:val="0"/>
      <w:sz w:val="24"/>
    </w:rPr>
  </w:style>
  <w:style w:type="paragraph" w:customStyle="1" w:styleId="73">
    <w:name w:val="列出段落1"/>
    <w:basedOn w:val="1"/>
    <w:qFormat/>
    <w:uiPriority w:val="34"/>
    <w:pPr>
      <w:ind w:firstLine="420" w:firstLineChars="200"/>
    </w:pPr>
    <w:rPr>
      <w:rFonts w:ascii="Calibri" w:hAnsi="Calibri"/>
      <w:szCs w:val="22"/>
    </w:rPr>
  </w:style>
  <w:style w:type="paragraph" w:styleId="74">
    <w:name w:val="List Paragraph"/>
    <w:basedOn w:val="1"/>
    <w:qFormat/>
    <w:uiPriority w:val="34"/>
    <w:pPr>
      <w:ind w:firstLine="420" w:firstLineChars="200"/>
    </w:pPr>
    <w:rPr>
      <w:rFonts w:ascii="Calibri" w:hAnsi="Calibri" w:eastAsia="宋体" w:cs="Times New Roman"/>
      <w:szCs w:val="22"/>
    </w:rPr>
  </w:style>
  <w:style w:type="paragraph" w:customStyle="1" w:styleId="75">
    <w:name w:val="正文格式"/>
    <w:basedOn w:val="1"/>
    <w:qFormat/>
    <w:uiPriority w:val="0"/>
    <w:pPr>
      <w:spacing w:line="360" w:lineRule="auto"/>
      <w:ind w:firstLine="480" w:firstLineChars="200"/>
    </w:pPr>
    <w:rPr>
      <w:rFonts w:ascii="Times New Roman" w:hAnsi="Times New Roman"/>
      <w:sz w:val="28"/>
      <w:szCs w:val="24"/>
    </w:rPr>
  </w:style>
  <w:style w:type="paragraph" w:customStyle="1" w:styleId="76">
    <w:name w:val="_Style 75"/>
    <w:basedOn w:val="6"/>
    <w:next w:val="1"/>
    <w:unhideWhenUsed/>
    <w:qFormat/>
    <w:uiPriority w:val="39"/>
    <w:pPr>
      <w:keepLines/>
      <w:widowControl/>
      <w:spacing w:before="240" w:line="259" w:lineRule="auto"/>
      <w:jc w:val="left"/>
      <w:outlineLvl w:val="9"/>
    </w:pPr>
    <w:rPr>
      <w:rFonts w:ascii="等线 Light" w:hAnsi="等线 Light" w:eastAsia="等线 Light" w:cs="Times New Roman"/>
      <w:color w:val="2F5496"/>
      <w:kern w:val="0"/>
      <w:sz w:val="32"/>
      <w:szCs w:val="32"/>
    </w:rPr>
  </w:style>
  <w:style w:type="paragraph" w:customStyle="1" w:styleId="77">
    <w:name w:val="HTML 预设格式1"/>
    <w:basedOn w:val="1"/>
    <w:qFormat/>
    <w:uiPriority w:val="0"/>
    <w:rPr>
      <w:rFonts w:ascii="Courier New" w:hAnsi="Courier New"/>
      <w:sz w:val="20"/>
    </w:rPr>
  </w:style>
  <w:style w:type="paragraph" w:customStyle="1" w:styleId="7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79">
    <w:name w:val="目录"/>
    <w:basedOn w:val="1"/>
    <w:qFormat/>
    <w:uiPriority w:val="99"/>
    <w:pPr>
      <w:jc w:val="center"/>
    </w:pPr>
    <w:rPr>
      <w:rFonts w:ascii="宋体" w:hAnsi="Calibri"/>
      <w:b/>
      <w:sz w:val="36"/>
      <w:szCs w:val="22"/>
    </w:rPr>
  </w:style>
  <w:style w:type="paragraph" w:customStyle="1" w:styleId="80">
    <w:name w:val="文本格式"/>
    <w:basedOn w:val="1"/>
    <w:qFormat/>
    <w:uiPriority w:val="0"/>
    <w:pPr>
      <w:spacing w:line="360" w:lineRule="auto"/>
      <w:ind w:firstLine="480" w:firstLineChars="200"/>
    </w:pPr>
    <w:rPr>
      <w:rFonts w:ascii="宋体" w:hAnsi="宋体"/>
      <w:sz w:val="28"/>
      <w:szCs w:val="24"/>
    </w:rPr>
  </w:style>
  <w:style w:type="paragraph" w:customStyle="1" w:styleId="81">
    <w:name w:val="※正文"/>
    <w:basedOn w:val="1"/>
    <w:next w:val="1"/>
    <w:qFormat/>
    <w:uiPriority w:val="0"/>
    <w:pPr>
      <w:wordWrap w:val="0"/>
    </w:pPr>
    <w:rPr>
      <w:rFonts w:cs="Times New Roman"/>
    </w:rPr>
  </w:style>
  <w:style w:type="character" w:customStyle="1" w:styleId="82">
    <w:name w:val="mini-outputtext1"/>
    <w:basedOn w:val="37"/>
    <w:qFormat/>
    <w:uiPriority w:val="0"/>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167</Pages>
  <Words>94371</Words>
  <Characters>99044</Characters>
  <Lines>250</Lines>
  <Paragraphs>70</Paragraphs>
  <TotalTime>10</TotalTime>
  <ScaleCrop>false</ScaleCrop>
  <LinksUpToDate>false</LinksUpToDate>
  <CharactersWithSpaces>104072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2018-02-01T09:45:00Z</dcterms:created>
  <dc:creator>User</dc:creator>
  <cp:lastModifiedBy>人海中有你</cp:lastModifiedBy>
  <cp:lastPrinted>2021-09-06T01:51:00Z</cp:lastPrinted>
  <dcterms:modified xsi:type="dcterms:W3CDTF">2023-04-14T15:04:06Z</dcterms:modified>
  <dc:title>政府采购货物和服务项目</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C0EEE14BAE344F2B8865BDC83A0D5971</vt:lpwstr>
  </property>
</Properties>
</file>