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Style w:val="7"/>
          <w:rFonts w:ascii="仿宋" w:hAnsi="仿宋" w:eastAsia="仿宋" w:cs="仿宋"/>
          <w:color w:val="auto"/>
          <w:sz w:val="36"/>
          <w:szCs w:val="36"/>
          <w:highlight w:val="none"/>
        </w:rPr>
      </w:pPr>
      <w:bookmarkStart w:id="0" w:name="_Toc58504448"/>
      <w:bookmarkStart w:id="1" w:name="_Toc27662"/>
      <w:r>
        <w:rPr>
          <w:rStyle w:val="7"/>
          <w:rFonts w:hint="eastAsia" w:ascii="仿宋" w:hAnsi="仿宋" w:eastAsia="仿宋" w:cs="仿宋"/>
          <w:color w:val="auto"/>
          <w:sz w:val="36"/>
          <w:szCs w:val="36"/>
          <w:highlight w:val="none"/>
        </w:rPr>
        <w:t>采购内容及要求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绿地国际生态城2期东区1#别墅位于西安市雁鸣三路与白龙池路丁字路口西北角，绿地与湖二期约建于2011年。目前，该栋别墅及围墙出现不均匀沉降并伴有开裂现象，其中别墅沉降较轻，围墙沉降较为严重。白龙池路地基沿延伸方向存在不同厚度的杂填土或填土，地基多次发生不均匀沉降，造成路面开裂。本招标项目绿地国际生态城2期东区1#别墅、围墙及白龙池路</w:t>
      </w:r>
      <w:r>
        <w:rPr>
          <w:rFonts w:hint="eastAsia" w:ascii="仿宋" w:hAnsi="仿宋" w:eastAsia="仿宋" w:cs="仿宋"/>
          <w:snapToGrid w:val="0"/>
          <w:color w:val="000000"/>
          <w:sz w:val="24"/>
          <w:szCs w:val="24"/>
          <w:lang w:val="en-US" w:eastAsia="zh-CN" w:bidi="ar-SA"/>
        </w:rPr>
        <w:t>（月登阁路以南路段）</w:t>
      </w: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安全性检测鉴定项目。</w:t>
      </w:r>
      <w:bookmarkStart w:id="9" w:name="_GoBack"/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二、服务范围和内容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本项目需针对绿地国际生态城2期东区1#别墅、围墙及白龙池路（月登阁路以南路段）进行安全性检测鉴定。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1.查明别墅、围墙及道路地基土是否受外来浸水影响；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2.普查白龙池路地基下方的市政管线有无渗漏情况；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3.对白龙池路不均匀沉降较为明显的地段及近1#别墅附近地基土进行岩土工程钻探及原位测试，了解地基地层，对钻探所取土样进行室内土工试验，查明地层岩土物理力学指标；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4.综合分析别墅及围墙、白龙池路（月登阁路以南路段）地基不均匀沉降的原因；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5.对1#别墅进行结构结构检测，承载力评估，安全性鉴定及抗震鉴定，针对建筑物目前的安全性水平及现场发现的问题，指出建筑物中不满足安全性标准及抗震的部位和构件，对具体问题提出解决建议。</w:t>
      </w:r>
      <w:bookmarkStart w:id="2" w:name="bookmark5"/>
      <w:bookmarkEnd w:id="2"/>
      <w:bookmarkStart w:id="3" w:name="bookmark4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三、检测鉴定要求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本招标工程质量标准必须符合中华人民共和国国家标准，如果本文件中规定的执行标准高于国家标准，则按本文件中规定的标准执行，如果低于国家标准，则按国家标准执行。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bookmarkStart w:id="4" w:name="bookmark39"/>
      <w:bookmarkEnd w:id="4"/>
      <w:bookmarkStart w:id="5" w:name="bookmark41"/>
      <w:bookmarkEnd w:id="5"/>
      <w:bookmarkStart w:id="6" w:name="bookmark40"/>
      <w:bookmarkEnd w:id="6"/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四、规范和标准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4.1 承包商应采用现行最新的规范和标准，包括但不限于：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《岩土工程勘察规范》 (GB50021-2001(2009修订版))；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《土工试验方法标准》 (GB/T 50123-2019)；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《建筑工程地质勘探与取样技术规程》 （JGJ/T 87-2012)；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《建筑地基检测技术规范》 （JGJ 340-2015)；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《建筑地基处理技术规范》 （JGJ 79-2012)；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《民用建筑可靠性鉴定标准》 (GB 50292-2015)；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《既有建筑鉴定与加固通用规范》 （GB55021-2021）；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《建筑抗震鉴定标准》 (GB 50023-2009)；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《危险房屋鉴定标准》（JGJ 125-2016）；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《建筑结构检测技术标准》 (GB/T 50344-2019)；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《混凝土结构现场检测技术标准》 (GB/T 50784-2013)；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《回弹法检测混凝土抗压强度技术规程》 (JGJ/T 23-2011)；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《混凝土中钢筋检测技术标准》 (JGJ/T 152-2019）；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《砌体工程现场检测技术标准》 (GB/T 50315-2011)；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《贯入法检测砌筑砂浆抗压强度技术规程》 (JGJ136-2017)；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《建筑变形测量规范》（JGJ/T8-2016）；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《建筑结构荷载规范》（GB50009-2012）；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《建筑抗震设计规范》 (GB 50011-2010)；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《混凝土结构设计规范》 (GB 50010-2010（2015 年版））；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《混凝土结构工程施工质量验收规范》 (GB 50204-2015)；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国家、陕西省、西安市有关法规、规范、标准等。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4.2 除合同另有约定外，适用的现行规范、标准和规程的最新版本执行。若适用的现行规范、 标准和规程的最新版本是在基准日后颁布的，且相应标准发生变更并成为合同文件中最严格的标准。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4.3 构成合同文件的任何内容与适用的规范、标准和规程之间出现矛盾，承包单位应书面要求招标人予以澄清，除招标人有特别指示外，承包单位应按照最严格的标准执行。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bookmarkStart w:id="7" w:name="bookmark42"/>
      <w:bookmarkEnd w:id="7"/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五、检测内容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施工期安全影响评估工作内容包括：1#别墅房屋现状结构检测与安全鉴定、围墙结构检测与安全鉴定、1#别墅、围墙及白龙池路（月登阁路以南路段）地基检测。具体内容如下表：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sectPr>
          <w:headerReference r:id="rId3" w:type="default"/>
          <w:footerReference r:id="rId4" w:type="default"/>
          <w:pgSz w:w="11906" w:h="16839"/>
          <w:pgMar w:top="1431" w:right="1498" w:bottom="1259" w:left="1475" w:header="0" w:footer="1097" w:gutter="0"/>
          <w:cols w:space="720" w:num="1"/>
        </w:sectPr>
      </w:pPr>
    </w:p>
    <w:tbl>
      <w:tblPr>
        <w:tblStyle w:val="8"/>
        <w:tblW w:w="502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8"/>
        <w:gridCol w:w="4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具体内容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1#别墅房屋现状结构检测与安全鉴定</w:t>
            </w: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结构现状调查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基础检测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结构强度检测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截面尺寸检测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钢筋数量检测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混凝土碳化深度检测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裂缝及变形检测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测量建筑结构侧向位移。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结构验算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安全性分析评定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抗震性能分析评定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报告编制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围墙结构检测与安全鉴定</w:t>
            </w: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结构现状调查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基础检测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墙体材料风化、腐蚀检测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砖及砂浆强度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墙体垂直度测量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墙体裂缝检测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承载力评估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安全性分析评定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报告编制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52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  <w:lang w:eastAsia="zh-CN"/>
              </w:rPr>
              <w:t>1#别墅及其围墙附近、白龙池路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（月登阁路以南路段）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  <w:lang w:eastAsia="zh-CN"/>
              </w:rPr>
              <w:t>地基检测</w:t>
            </w: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504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工程地质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96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钻探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504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管道探测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508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地球物理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探测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2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504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室内试验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504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原位测试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2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48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firstLine="50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资料整理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报告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eastAsia="zh-CN"/>
              </w:rPr>
              <w:t>编制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注：表中项目及具体内容供参考，包括但不仅限于上述内容，具体内容应满足评估需求及相关规范要求。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bookmarkStart w:id="8" w:name="bookmark43"/>
      <w:bookmarkEnd w:id="8"/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六、服务周期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自合同签订后 30 天内提交正式报告并通过专家评审。其中：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（1） 自合同签订后 10 天内完成招标范围内房屋、围墙、及道路检测；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snapToGrid w:val="0"/>
          <w:color w:val="000000"/>
          <w:spacing w:val="10"/>
          <w:sz w:val="24"/>
          <w:szCs w:val="24"/>
          <w:lang w:val="en-US" w:eastAsia="zh-CN" w:bidi="ar-SA"/>
        </w:rPr>
        <w:t>（2）房屋现状结构检测、围墙、及道路检测完成后 20 天内提供安全鉴定报告。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530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tLeas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t>5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tLeas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t>5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kinsoku w:val="0"/>
      <w:autoSpaceDE w:val="0"/>
      <w:autoSpaceDN w:val="0"/>
      <w:adjustRightInd w:val="0"/>
      <w:snapToGrid w:val="0"/>
      <w:jc w:val="right"/>
      <w:textAlignment w:val="baseline"/>
      <w:rPr>
        <w:rFonts w:ascii="Arial" w:hAnsi="Arial" w:eastAsia="Arial" w:cs="Arial"/>
        <w:snapToGrid w:val="0"/>
        <w:color w:val="000000"/>
        <w:sz w:val="18"/>
        <w:szCs w:val="18"/>
        <w:lang w:val="en-US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DQxYWM0MTczYjBhMzlmYjdkYmMwMzBhMmYwMWMifQ=="/>
  </w:docVars>
  <w:rsids>
    <w:rsidRoot w:val="00000000"/>
    <w:rsid w:val="39A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ahoma" w:hAnsi="Tahoma"/>
      <w:sz w:val="18"/>
      <w:szCs w:val="18"/>
    </w:rPr>
  </w:style>
  <w:style w:type="paragraph" w:styleId="3">
    <w:name w:val="toc 8"/>
    <w:basedOn w:val="1"/>
    <w:next w:val="1"/>
    <w:qFormat/>
    <w:uiPriority w:val="39"/>
    <w:pPr>
      <w:spacing w:line="440" w:lineRule="exact"/>
      <w:ind w:left="1960"/>
      <w:jc w:val="left"/>
    </w:pPr>
    <w:rPr>
      <w:rFonts w:ascii="Calibri" w:hAnsi="Calibri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1"/>
    <w:qFormat/>
    <w:uiPriority w:val="99"/>
    <w:rPr>
      <w:rFonts w:ascii="黑体" w:eastAsia="黑体"/>
      <w:sz w:val="52"/>
      <w:lang w:bidi="ar-SA"/>
    </w:rPr>
  </w:style>
  <w:style w:type="table" w:customStyle="1" w:styleId="8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2023-09-19T09:28:31Z</dcterms:created>
  <dc:creator>Administrator</dc:creator>
  <cp:lastModifiedBy>Jun</cp:lastModifiedBy>
  <dcterms:modified xsi:type="dcterms:W3CDTF">2023-09-19T09:28:53Z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349A75F2D6E54F5DB65B9D1CA87C0B98_12</vt:lpwstr>
  </property>
</Properties>
</file>