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beforeLines="50" w:after="100" w:afterAutospacing="1"/>
        <w:jc w:val="center"/>
        <w:rPr>
          <w:rFonts w:hint="eastAsia" w:ascii="宋体" w:hAnsi="宋体"/>
          <w:szCs w:val="21"/>
        </w:rPr>
      </w:pPr>
      <w:r>
        <w:rPr>
          <w:rFonts w:hint="eastAsia" w:ascii="宋体" w:hAnsi="宋体" w:eastAsia="宋体"/>
          <w:sz w:val="44"/>
          <w:szCs w:val="44"/>
        </w:rPr>
        <w:t>第五章 采购需求</w:t>
      </w:r>
      <w:bookmarkStart w:id="0" w:name="_Toc217446094"/>
    </w:p>
    <w:bookmarkEnd w:id="0"/>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（一）总体需求</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1、满足相关的国际标准、国家标准和行业标准；</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2、能够支持各种计算机网络设备和电话系统；</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3、具有先进性、可靠性、可互换性和可扩充性；</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4、本次综合布线系统是一个高标准的布线系统，此布线系统应具有如下功能与特点：</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1）支持大容量信息并易于灵活调整和增容的系统；</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2）支持高质量语音通讯服务；</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3）支持高速数据通讯服务；</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4）支持实时视频及图像传送服务；</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5）支持多媒体通讯服务。</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 xml:space="preserve">6）综合布线系统它不但必须满足当前的业务处理需求，更需要考虑今后的通讯及宽带网络发展需求。综合布线系统必须符合相关国际标准和规定. </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5、所有信息点(数据、语音、光纤)必须使用专业合格的测试仪器进行测试，并出具单点测试报告。</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（二）总设备间：</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本项目的配线总设备间位于地下车库内。电信间内所有电缆光纤配线架需以整洁而且安全的方式安装并集成在独立的19″标准机柜内。并有足够空间应对将来增加的布线。配线架必须考虑网络设备的安装空间。</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（三）户内部分</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1、插座面板： 86型结构尺寸， 采用PC材料。 提供（语音和数据）不同组合的标识，灵活更换，方便系统维护。自带防尘盖。</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2、信息模块：信息模块满足TIA/EIA对于六类标准的要求。</w:t>
      </w:r>
    </w:p>
    <w:p>
      <w:pPr>
        <w:spacing w:line="360" w:lineRule="auto"/>
        <w:ind w:firstLine="630" w:firstLineChars="300"/>
        <w:jc w:val="left"/>
        <w:rPr>
          <w:rFonts w:hint="eastAsia" w:ascii="宋体" w:hAnsi="宋体"/>
          <w:color w:val="000000"/>
          <w:szCs w:val="21"/>
        </w:rPr>
      </w:pPr>
      <w:r>
        <w:rPr>
          <w:rFonts w:hint="eastAsia" w:ascii="宋体" w:hAnsi="宋体"/>
          <w:color w:val="000000"/>
          <w:szCs w:val="21"/>
        </w:rPr>
        <w:t>3、户内水平线缆数据点采用六类非屏蔽双绞线；</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ODU0MjUyNmQ3MzU1MmY1ZjVmZmQ5M2MwYWYyNjMifQ=="/>
  </w:docVars>
  <w:rsids>
    <w:rsidRoot w:val="78A73712"/>
    <w:rsid w:val="78A7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2023-05-10T07:26:00Z</dcterms:created>
  <dc:creator>靖</dc:creator>
  <cp:lastModifiedBy>靖</cp:lastModifiedBy>
  <dcterms:modified xsi:type="dcterms:W3CDTF">2023-05-10T07:29:55Z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8F289271747446B3AC937BA1E1C6465B_11</vt:lpwstr>
  </property>
</Properties>
</file>