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Ansi="宋体" w:cs="宋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bookmarkStart w:id="0" w:name="_Toc31597"/>
      <w:bookmarkStart w:id="1" w:name="_Toc2582"/>
      <w:bookmarkStart w:id="2" w:name="_Toc23399"/>
      <w:bookmarkStart w:id="3" w:name="_Toc26962"/>
      <w:bookmarkStart w:id="4" w:name="_Toc344572163"/>
      <w:r>
        <w:rPr>
          <w:rFonts w:hint="eastAsia" w:hAnsi="宋体" w:cs="宋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分项报价表</w:t>
      </w:r>
    </w:p>
    <w:p>
      <w:pPr>
        <w:jc w:val="center"/>
        <w:rPr>
          <w:rFonts w:hAnsi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</w:p>
    <w:p>
      <w:pPr>
        <w:ind w:firstLine="240" w:firstLineChars="100"/>
        <w:jc w:val="left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项目名称：                                                 </w:t>
      </w:r>
    </w:p>
    <w:p>
      <w:pPr>
        <w:ind w:firstLine="240" w:firstLineChars="100"/>
        <w:jc w:val="left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ind w:firstLine="240" w:firstLineChars="100"/>
        <w:jc w:val="left"/>
        <w:rPr>
          <w:rFonts w:hAnsi="宋体" w:cs="宋体"/>
          <w:b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项目编号：                  </w:t>
      </w:r>
    </w:p>
    <w:p>
      <w:pPr>
        <w:spacing w:line="360" w:lineRule="auto"/>
        <w:ind w:right="420"/>
        <w:jc w:val="right"/>
        <w:rPr>
          <w:szCs w:val="21"/>
        </w:rPr>
      </w:pPr>
      <w:r>
        <w:rPr>
          <w:rFonts w:hint="eastAsia"/>
          <w:szCs w:val="21"/>
        </w:rPr>
        <w:t>报价</w:t>
      </w:r>
      <w:r>
        <w:rPr>
          <w:szCs w:val="21"/>
        </w:rPr>
        <w:t>货币为人民币</w:t>
      </w:r>
    </w:p>
    <w:tbl>
      <w:tblPr>
        <w:tblStyle w:val="12"/>
        <w:tblW w:w="8789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3260"/>
        <w:gridCol w:w="36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 w:cs="宋体"/>
                <w:b/>
                <w:bCs/>
                <w:szCs w:val="21"/>
              </w:rPr>
            </w:pPr>
            <w:r>
              <w:rPr>
                <w:rFonts w:hint="eastAsia" w:hAnsi="宋体" w:cs="宋体"/>
                <w:b/>
                <w:bCs/>
                <w:szCs w:val="21"/>
              </w:rPr>
              <w:t>序号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Ansi="宋体" w:cs="宋体"/>
                <w:b/>
                <w:bCs/>
                <w:szCs w:val="21"/>
              </w:rPr>
            </w:pPr>
            <w:r>
              <w:rPr>
                <w:rFonts w:hint="eastAsia" w:hAnsi="宋体" w:cs="宋体"/>
                <w:b/>
                <w:bCs/>
                <w:szCs w:val="21"/>
              </w:rPr>
              <w:t>名称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ind w:right="-49"/>
              <w:jc w:val="center"/>
              <w:rPr>
                <w:rFonts w:hAnsi="宋体"/>
                <w:b/>
                <w:szCs w:val="21"/>
                <w:lang w:val="zh-CN"/>
              </w:rPr>
            </w:pPr>
            <w:r>
              <w:rPr>
                <w:rFonts w:hint="eastAsia" w:hAnsi="宋体"/>
                <w:b/>
                <w:szCs w:val="21"/>
                <w:lang w:val="zh-CN"/>
              </w:rPr>
              <w:t>投标报价</w:t>
            </w:r>
          </w:p>
          <w:p>
            <w:pPr>
              <w:spacing w:line="400" w:lineRule="atLeast"/>
              <w:ind w:right="-49"/>
              <w:jc w:val="center"/>
              <w:rPr>
                <w:rFonts w:hAnsi="宋体"/>
                <w:b/>
                <w:szCs w:val="21"/>
                <w:lang w:val="zh-CN"/>
              </w:rPr>
            </w:pPr>
            <w:r>
              <w:rPr>
                <w:rFonts w:hint="eastAsia" w:hAnsi="宋体"/>
                <w:b/>
                <w:szCs w:val="21"/>
                <w:lang w:val="zh-CN"/>
              </w:rPr>
              <w:t>（元</w:t>
            </w:r>
            <w:r>
              <w:rPr>
                <w:rFonts w:hAnsi="宋体"/>
                <w:b/>
                <w:szCs w:val="21"/>
                <w:lang w:val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/>
                <w:szCs w:val="21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/>
                <w:color w:val="0000FF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/>
                <w:szCs w:val="21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/>
                <w:color w:val="0000FF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…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/>
                <w:szCs w:val="21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/>
                <w:color w:val="0000FF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…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/>
                <w:szCs w:val="21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ind w:right="893"/>
              <w:jc w:val="center"/>
              <w:rPr>
                <w:rFonts w:hAnsi="宋体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atLeast"/>
        </w:trPr>
        <w:tc>
          <w:tcPr>
            <w:tcW w:w="5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投标报价合计（元）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ind w:right="893"/>
              <w:jc w:val="center"/>
              <w:rPr>
                <w:rFonts w:hAnsi="宋体"/>
                <w:szCs w:val="21"/>
                <w:lang w:val="zh-CN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ind w:firstLine="6000" w:firstLineChars="2500"/>
        <w:jc w:val="right"/>
        <w:rPr>
          <w:rFonts w:hAnsi="宋体"/>
          <w:szCs w:val="21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Ansi="宋体"/>
          <w:szCs w:val="21"/>
        </w:rPr>
      </w:pPr>
      <w:r>
        <w:rPr>
          <w:rFonts w:hint="eastAsia" w:hAnsi="宋体"/>
          <w:szCs w:val="21"/>
        </w:rPr>
        <w:t>说明</w:t>
      </w:r>
      <w:r>
        <w:rPr>
          <w:rFonts w:hAnsi="宋体"/>
          <w:szCs w:val="21"/>
        </w:rPr>
        <w:t>：</w:t>
      </w:r>
      <w:r>
        <w:rPr>
          <w:rFonts w:hint="eastAsia" w:hAnsi="宋体"/>
          <w:szCs w:val="21"/>
        </w:rPr>
        <w:t>1</w:t>
      </w:r>
      <w:r>
        <w:rPr>
          <w:rFonts w:hAnsi="宋体"/>
          <w:szCs w:val="21"/>
        </w:rPr>
        <w:t>.报价明细表</w:t>
      </w:r>
      <w:r>
        <w:rPr>
          <w:rFonts w:hint="eastAsia" w:hAnsi="宋体"/>
          <w:szCs w:val="21"/>
        </w:rPr>
        <w:t>中</w:t>
      </w:r>
      <w:r>
        <w:rPr>
          <w:rFonts w:hAnsi="宋体"/>
          <w:szCs w:val="21"/>
        </w:rPr>
        <w:t>的</w:t>
      </w:r>
      <w:r>
        <w:rPr>
          <w:rFonts w:hint="eastAsia" w:hAnsi="宋体"/>
          <w:szCs w:val="21"/>
        </w:rPr>
        <w:t>报价合计金额</w:t>
      </w:r>
      <w:r>
        <w:rPr>
          <w:rFonts w:hAnsi="宋体"/>
          <w:szCs w:val="21"/>
        </w:rPr>
        <w:t>与开标一览表中</w:t>
      </w:r>
      <w:r>
        <w:rPr>
          <w:rFonts w:hint="eastAsia" w:hAnsi="宋体"/>
          <w:szCs w:val="21"/>
        </w:rPr>
        <w:t>的磋商</w:t>
      </w:r>
      <w:r>
        <w:rPr>
          <w:rFonts w:hAnsi="宋体"/>
          <w:szCs w:val="21"/>
        </w:rPr>
        <w:t>总报价</w:t>
      </w:r>
      <w:r>
        <w:rPr>
          <w:rFonts w:hint="eastAsia" w:hAnsi="宋体"/>
          <w:szCs w:val="21"/>
        </w:rPr>
        <w:t>金额</w:t>
      </w:r>
      <w:r>
        <w:rPr>
          <w:rFonts w:hAnsi="宋体"/>
          <w:szCs w:val="21"/>
        </w:rPr>
        <w:t>一致。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Ansi="宋体"/>
          <w:szCs w:val="21"/>
        </w:rPr>
      </w:pPr>
      <w:r>
        <w:rPr>
          <w:rFonts w:hint="eastAsia" w:hAnsi="宋体"/>
          <w:szCs w:val="21"/>
        </w:rPr>
        <w:t xml:space="preserve"> </w:t>
      </w:r>
      <w:r>
        <w:rPr>
          <w:rFonts w:hAnsi="宋体"/>
          <w:szCs w:val="21"/>
        </w:rPr>
        <w:t xml:space="preserve">     2.</w:t>
      </w:r>
      <w:r>
        <w:rPr>
          <w:rFonts w:hint="eastAsia" w:hAnsi="宋体"/>
          <w:szCs w:val="21"/>
        </w:rPr>
        <w:t>磋商总报价</w:t>
      </w:r>
      <w:r>
        <w:rPr>
          <w:rFonts w:hAnsi="宋体"/>
          <w:szCs w:val="21"/>
        </w:rPr>
        <w:t>不得超出</w:t>
      </w:r>
      <w:r>
        <w:rPr>
          <w:rFonts w:hint="eastAsia" w:hAnsi="宋体"/>
          <w:szCs w:val="21"/>
        </w:rPr>
        <w:t>本项目</w:t>
      </w:r>
      <w:r>
        <w:rPr>
          <w:rFonts w:hAnsi="宋体"/>
          <w:szCs w:val="21"/>
        </w:rPr>
        <w:t>采购预算，否则</w:t>
      </w:r>
      <w:r>
        <w:rPr>
          <w:rFonts w:hint="eastAsia" w:hAnsi="宋体"/>
          <w:szCs w:val="21"/>
        </w:rPr>
        <w:t>其</w:t>
      </w:r>
      <w:r>
        <w:rPr>
          <w:rFonts w:hAnsi="宋体"/>
          <w:szCs w:val="21"/>
        </w:rPr>
        <w:t>投标将被否决。</w:t>
      </w:r>
    </w:p>
    <w:p>
      <w:pPr>
        <w:autoSpaceDE w:val="0"/>
        <w:autoSpaceDN w:val="0"/>
        <w:adjustRightInd w:val="0"/>
        <w:spacing w:line="360" w:lineRule="auto"/>
        <w:ind w:firstLine="720" w:firstLineChars="300"/>
        <w:jc w:val="left"/>
        <w:rPr>
          <w:rFonts w:hAnsi="宋体"/>
          <w:szCs w:val="21"/>
        </w:rPr>
      </w:pPr>
      <w:r>
        <w:rPr>
          <w:rFonts w:hAnsi="宋体"/>
          <w:szCs w:val="21"/>
        </w:rPr>
        <w:t>3.</w:t>
      </w:r>
      <w:r>
        <w:rPr>
          <w:rFonts w:hint="eastAsia" w:hAnsi="宋体"/>
          <w:szCs w:val="21"/>
        </w:rPr>
        <w:t>若不提供报价明细表将视为没有实质性响应磋商文件。</w:t>
      </w:r>
    </w:p>
    <w:bookmarkEnd w:id="0"/>
    <w:bookmarkEnd w:id="1"/>
    <w:bookmarkEnd w:id="2"/>
    <w:bookmarkEnd w:id="3"/>
    <w:p>
      <w:pPr>
        <w:spacing w:line="500" w:lineRule="exact"/>
        <w:jc w:val="left"/>
        <w:rPr>
          <w:rFonts w:hAnsi="宋体" w:cs="宋体"/>
          <w:color w:val="000000" w:themeColor="text1"/>
          <w:spacing w:val="4"/>
          <w14:textFill>
            <w14:solidFill>
              <w14:schemeClr w14:val="tx1"/>
            </w14:solidFill>
          </w14:textFill>
        </w:rPr>
      </w:pPr>
    </w:p>
    <w:p>
      <w:pPr>
        <w:pStyle w:val="7"/>
        <w:rPr>
          <w:rFonts w:ascii="宋体" w:hAnsi="宋体" w:cs="宋体"/>
          <w:color w:val="000000" w:themeColor="text1"/>
          <w:spacing w:val="4"/>
          <w14:textFill>
            <w14:solidFill>
              <w14:schemeClr w14:val="tx1"/>
            </w14:solidFill>
          </w14:textFill>
        </w:rPr>
      </w:pPr>
    </w:p>
    <w:p>
      <w:pPr>
        <w:rPr>
          <w:rFonts w:hAnsi="宋体" w:cs="宋体"/>
          <w:color w:val="000000" w:themeColor="text1"/>
          <w:spacing w:val="4"/>
          <w14:textFill>
            <w14:solidFill>
              <w14:schemeClr w14:val="tx1"/>
            </w14:solidFill>
          </w14:textFill>
        </w:rPr>
      </w:pPr>
    </w:p>
    <w:p>
      <w:pPr>
        <w:pStyle w:val="7"/>
        <w:rPr>
          <w:rFonts w:ascii="宋体" w:hAnsi="宋体" w:cs="宋体"/>
          <w:color w:val="000000" w:themeColor="text1"/>
          <w:spacing w:val="4"/>
          <w14:textFill>
            <w14:solidFill>
              <w14:schemeClr w14:val="tx1"/>
            </w14:solidFill>
          </w14:textFill>
        </w:rPr>
      </w:pPr>
    </w:p>
    <w:p>
      <w:pPr>
        <w:rPr>
          <w:rFonts w:hAnsi="宋体" w:cs="宋体"/>
          <w:color w:val="000000" w:themeColor="text1"/>
          <w:spacing w:val="4"/>
          <w14:textFill>
            <w14:solidFill>
              <w14:schemeClr w14:val="tx1"/>
            </w14:solidFill>
          </w14:textFill>
        </w:rPr>
      </w:pPr>
    </w:p>
    <w:p>
      <w:pPr>
        <w:pStyle w:val="7"/>
        <w:rPr>
          <w:rFonts w:ascii="宋体" w:hAnsi="宋体" w:cs="宋体"/>
          <w:color w:val="000000" w:themeColor="text1"/>
          <w:spacing w:val="4"/>
          <w14:textFill>
            <w14:solidFill>
              <w14:schemeClr w14:val="tx1"/>
            </w14:solidFill>
          </w14:textFill>
        </w:rPr>
      </w:pPr>
    </w:p>
    <w:p>
      <w:pPr>
        <w:rPr>
          <w:rFonts w:hAnsi="宋体" w:cs="宋体"/>
          <w:color w:val="000000" w:themeColor="text1"/>
          <w:spacing w:val="4"/>
          <w14:textFill>
            <w14:solidFill>
              <w14:schemeClr w14:val="tx1"/>
            </w14:solidFill>
          </w14:textFill>
        </w:rPr>
      </w:pPr>
    </w:p>
    <w:p>
      <w:pPr>
        <w:pStyle w:val="7"/>
        <w:rPr>
          <w:rFonts w:ascii="宋体" w:hAnsi="宋体" w:cs="宋体"/>
          <w:color w:val="000000" w:themeColor="text1"/>
          <w:spacing w:val="4"/>
          <w14:textFill>
            <w14:solidFill>
              <w14:schemeClr w14:val="tx1"/>
            </w14:solidFill>
          </w14:textFill>
        </w:rPr>
      </w:pPr>
    </w:p>
    <w:p>
      <w:pPr>
        <w:rPr>
          <w:rFonts w:hAnsi="宋体" w:cs="宋体"/>
          <w:color w:val="000000" w:themeColor="text1"/>
          <w:spacing w:val="4"/>
          <w14:textFill>
            <w14:solidFill>
              <w14:schemeClr w14:val="tx1"/>
            </w14:solidFill>
          </w14:textFill>
        </w:rPr>
      </w:pPr>
    </w:p>
    <w:p>
      <w:pPr>
        <w:pStyle w:val="7"/>
        <w:rPr>
          <w:rFonts w:ascii="宋体" w:hAnsi="宋体" w:cs="宋体"/>
          <w:color w:val="000000" w:themeColor="text1"/>
          <w:spacing w:val="4"/>
          <w14:textFill>
            <w14:solidFill>
              <w14:schemeClr w14:val="tx1"/>
            </w14:solidFill>
          </w14:textFill>
        </w:rPr>
      </w:pPr>
    </w:p>
    <w:p>
      <w:pPr>
        <w:rPr>
          <w:rFonts w:hAnsi="宋体" w:cs="宋体"/>
          <w:color w:val="000000" w:themeColor="text1"/>
          <w:spacing w:val="4"/>
          <w14:textFill>
            <w14:solidFill>
              <w14:schemeClr w14:val="tx1"/>
            </w14:solidFill>
          </w14:textFill>
        </w:rPr>
      </w:pPr>
    </w:p>
    <w:p>
      <w:pPr>
        <w:pStyle w:val="7"/>
        <w:rPr>
          <w:rFonts w:ascii="宋体" w:hAnsi="宋体" w:cs="宋体"/>
          <w:color w:val="000000" w:themeColor="text1"/>
          <w:spacing w:val="4"/>
          <w14:textFill>
            <w14:solidFill>
              <w14:schemeClr w14:val="tx1"/>
            </w14:solidFill>
          </w14:textFill>
        </w:rPr>
      </w:pPr>
    </w:p>
    <w:p>
      <w:pPr>
        <w:rPr>
          <w:rFonts w:hAnsi="宋体" w:cs="宋体"/>
          <w:color w:val="000000" w:themeColor="text1"/>
          <w:spacing w:val="4"/>
          <w14:textFill>
            <w14:solidFill>
              <w14:schemeClr w14:val="tx1"/>
            </w14:solidFill>
          </w14:textFill>
        </w:rPr>
      </w:pPr>
    </w:p>
    <w:p>
      <w:pPr>
        <w:pStyle w:val="7"/>
        <w:rPr>
          <w:rFonts w:ascii="宋体" w:hAnsi="宋体" w:cs="宋体"/>
          <w:color w:val="000000" w:themeColor="text1"/>
          <w:spacing w:val="4"/>
          <w14:textFill>
            <w14:solidFill>
              <w14:schemeClr w14:val="tx1"/>
            </w14:solidFill>
          </w14:textFill>
        </w:rPr>
      </w:pPr>
    </w:p>
    <w:bookmarkEnd w:id="4"/>
    <w:p>
      <w:bookmarkStart w:id="5" w:name="_GoBack"/>
      <w:bookmarkEnd w:id="5"/>
    </w:p>
    <w:sectPr>
      <w:headerReference r:id="rId3" w:type="default"/>
      <w:footerReference r:id="rId4" w:type="default"/>
      <w:pgSz w:w="11906" w:h="16838"/>
      <w:pgMar w:top="1417" w:right="1417" w:bottom="1417" w:left="1417" w:header="851" w:footer="85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both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1"/>
      </w:pBdr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NDU0MTEzNzc2ZmJkOTM3NWM0Y2FjOTJiZTk1OGYifQ=="/>
  </w:docVars>
  <w:rsids>
    <w:rsidRoot w:val="00000000"/>
    <w:rsid w:val="72F50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link w:val="15"/>
    <w:qFormat/>
    <w:uiPriority w:val="0"/>
    <w:pPr>
      <w:keepNext/>
      <w:outlineLvl w:val="0"/>
    </w:pPr>
    <w:rPr>
      <w:rFonts w:ascii="仿宋_GB2312" w:hAnsi="宋体" w:eastAsia="仿宋_GB2312"/>
      <w:b/>
      <w:kern w:val="2"/>
      <w:sz w:val="32"/>
    </w:rPr>
  </w:style>
  <w:style w:type="paragraph" w:styleId="4">
    <w:name w:val="heading 2"/>
    <w:basedOn w:val="1"/>
    <w:next w:val="1"/>
    <w:qFormat/>
    <w:uiPriority w:val="9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3">
    <w:name w:val="Default Paragraph Font"/>
    <w:semiHidden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6">
    <w:name w:val="annotation text"/>
    <w:basedOn w:val="1"/>
    <w:qFormat/>
    <w:uiPriority w:val="99"/>
    <w:pPr>
      <w:jc w:val="left"/>
    </w:pPr>
    <w:rPr>
      <w:rFonts w:ascii="Times New Roman"/>
      <w:kern w:val="2"/>
      <w:sz w:val="21"/>
      <w:szCs w:val="24"/>
    </w:rPr>
  </w:style>
  <w:style w:type="paragraph" w:styleId="7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8">
    <w:name w:val="Block Text"/>
    <w:basedOn w:val="1"/>
    <w:unhideWhenUsed/>
    <w:qFormat/>
    <w:uiPriority w:val="99"/>
    <w:pPr>
      <w:spacing w:after="120"/>
      <w:ind w:left="1440" w:leftChars="700" w:right="700" w:rightChars="700"/>
    </w:pPr>
  </w:style>
  <w:style w:type="paragraph" w:styleId="9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10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/>
      <w:kern w:val="2"/>
      <w:sz w:val="18"/>
      <w:szCs w:val="18"/>
    </w:rPr>
  </w:style>
  <w:style w:type="paragraph" w:styleId="11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paragraph" w:customStyle="1" w:styleId="14">
    <w:name w:val="列出段落2"/>
    <w:basedOn w:val="1"/>
    <w:qFormat/>
    <w:uiPriority w:val="34"/>
    <w:pPr>
      <w:ind w:firstLine="420" w:firstLineChars="200"/>
    </w:pPr>
  </w:style>
  <w:style w:type="character" w:customStyle="1" w:styleId="15">
    <w:name w:val="标题 1 字符"/>
    <w:link w:val="3"/>
    <w:qFormat/>
    <w:uiPriority w:val="0"/>
    <w:rPr>
      <w:rFonts w:ascii="仿宋_GB2312" w:hAnsi="宋体" w:eastAsia="仿宋_GB2312"/>
      <w:b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它不懂</cp:lastModifiedBy>
  <dcterms:modified xsi:type="dcterms:W3CDTF">2023-11-06T07:42:27Z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1428314906E74AA3A729D0B7DDF5B80B_12</vt:lpwstr>
  </property>
</Properties>
</file>