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合同条款</w:t>
      </w:r>
    </w:p>
    <w:p>
      <w:pPr>
        <w:pStyle w:val="6"/>
        <w:spacing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（仅供参考，</w:t>
      </w:r>
      <w:r>
        <w:rPr>
          <w:rFonts w:hint="eastAsia" w:ascii="宋体" w:hAnsi="宋体" w:eastAsia="宋体" w:cs="宋体"/>
          <w:color w:val="auto"/>
          <w:highlight w:val="none"/>
          <w:lang w:val="en-US" w:eastAsia="zh-CN"/>
        </w:rPr>
        <w:t>最终合同以甲乙双方签订为准</w:t>
      </w:r>
      <w:r>
        <w:rPr>
          <w:rFonts w:hint="eastAsia" w:ascii="宋体" w:hAnsi="宋体" w:eastAsia="宋体" w:cs="宋体"/>
          <w:color w:val="auto"/>
          <w:highlight w:val="none"/>
          <w:lang w:eastAsia="zh-CN"/>
        </w:rPr>
        <w:t>）</w:t>
      </w:r>
    </w:p>
    <w:p>
      <w:pPr>
        <w:spacing w:line="360" w:lineRule="auto"/>
        <w:jc w:val="center"/>
        <w:rPr>
          <w:rFonts w:hint="eastAsia" w:ascii="宋体" w:hAnsi="宋体" w:eastAsia="宋体" w:cs="宋体"/>
          <w:b/>
          <w:sz w:val="32"/>
          <w:szCs w:val="32"/>
        </w:rPr>
      </w:pPr>
      <w:r>
        <w:rPr>
          <w:rFonts w:hint="eastAsia" w:ascii="宋体" w:hAnsi="宋体" w:eastAsia="宋体" w:cs="宋体"/>
          <w:b/>
          <w:sz w:val="32"/>
          <w:szCs w:val="32"/>
          <w:lang w:eastAsia="zh-CN"/>
        </w:rPr>
        <w:t>（</w:t>
      </w:r>
      <w:r>
        <w:rPr>
          <w:rFonts w:hint="eastAsia" w:ascii="宋体" w:hAnsi="宋体" w:eastAsia="宋体" w:cs="宋体"/>
          <w:b/>
          <w:sz w:val="32"/>
          <w:szCs w:val="32"/>
        </w:rPr>
        <w:t>一</w:t>
      </w:r>
      <w:r>
        <w:rPr>
          <w:rFonts w:hint="eastAsia" w:ascii="宋体" w:hAnsi="宋体" w:eastAsia="宋体" w:cs="宋体"/>
          <w:b/>
          <w:sz w:val="32"/>
          <w:szCs w:val="32"/>
          <w:lang w:eastAsia="zh-CN"/>
        </w:rPr>
        <w:t>）</w:t>
      </w:r>
      <w:r>
        <w:rPr>
          <w:rFonts w:hint="eastAsia" w:ascii="宋体" w:hAnsi="宋体" w:eastAsia="宋体" w:cs="宋体"/>
          <w:b/>
          <w:sz w:val="32"/>
          <w:szCs w:val="32"/>
        </w:rPr>
        <w:t>、主要合同条款</w:t>
      </w:r>
    </w:p>
    <w:p>
      <w:pPr>
        <w:spacing w:line="360" w:lineRule="auto"/>
        <w:rPr>
          <w:rFonts w:hint="eastAsia" w:ascii="宋体" w:hAnsi="宋体" w:eastAsia="宋体" w:cs="宋体"/>
          <w:sz w:val="24"/>
          <w:szCs w:val="24"/>
        </w:rPr>
      </w:pPr>
      <w:r>
        <w:rPr>
          <w:rFonts w:hint="eastAsia" w:ascii="宋体" w:hAnsi="宋体" w:eastAsia="宋体" w:cs="宋体"/>
          <w:sz w:val="24"/>
          <w:szCs w:val="24"/>
        </w:rPr>
        <w:t>1. 定义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 “合同”系指招标人和中标人（以下简称合同双方）已达成的协议，即由双方签订的合同格式中的文件，包括所有的附件、附录和组成合同部分的所有其它文件。</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 “合同价格”系指根据合同规定，在中标人全面正确地履行合同义务时招标人应支付给中标人的款项。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 “货物”系指中标人按合同要求，须向招标人提供的一切设备、机械、仪器仪表、备品备件、工具、手册及其它技术资料和其它材料。</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 “服务”系指合同规定中标人须承担的安装、调试、技术协助、校准、培训以及其它类似的服务。</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 “招标人”系指通过招标采购，接受合同货物及服务的企业或单位。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 “中标人”系指中标后提供合同货物和服务的经济实体。</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 “现场”系指将要进行货物安装的地点。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 “验收”系指招标人依据技术规格规定接受合同货物所依据的程序和条件。</w:t>
      </w:r>
    </w:p>
    <w:p>
      <w:pPr>
        <w:spacing w:line="360" w:lineRule="auto"/>
        <w:rPr>
          <w:rFonts w:hint="eastAsia" w:ascii="宋体" w:hAnsi="宋体" w:eastAsia="宋体" w:cs="宋体"/>
          <w:sz w:val="24"/>
          <w:szCs w:val="24"/>
        </w:rPr>
      </w:pPr>
      <w:r>
        <w:rPr>
          <w:rFonts w:hint="eastAsia" w:ascii="宋体" w:hAnsi="宋体" w:eastAsia="宋体" w:cs="宋体"/>
          <w:sz w:val="24"/>
          <w:szCs w:val="24"/>
        </w:rPr>
        <w:t>2. 适用范围</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 本合同条款适用于本次招标活动。中标方将在“合同一般条款”原则下与招标人签订正式合同，其内容可经双方协商进行适当简化。</w:t>
      </w:r>
    </w:p>
    <w:p>
      <w:pPr>
        <w:spacing w:line="360" w:lineRule="auto"/>
        <w:rPr>
          <w:rFonts w:hint="eastAsia" w:ascii="宋体" w:hAnsi="宋体" w:eastAsia="宋体" w:cs="宋体"/>
          <w:sz w:val="24"/>
          <w:szCs w:val="24"/>
        </w:rPr>
      </w:pPr>
      <w:r>
        <w:rPr>
          <w:rFonts w:hint="eastAsia" w:ascii="宋体" w:hAnsi="宋体" w:eastAsia="宋体" w:cs="宋体"/>
          <w:sz w:val="24"/>
          <w:szCs w:val="24"/>
        </w:rPr>
        <w:t>3. 交货期及交货地点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3.1供货期：自报最短供货期（但不能超过采购要求的时限）；</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3.2交货地点：指定的地点，交货地点合同中另行约定。</w:t>
      </w:r>
    </w:p>
    <w:p>
      <w:pPr>
        <w:spacing w:line="360" w:lineRule="auto"/>
        <w:rPr>
          <w:rFonts w:hint="eastAsia" w:ascii="宋体" w:hAnsi="宋体" w:eastAsia="宋体" w:cs="宋体"/>
          <w:sz w:val="24"/>
          <w:szCs w:val="24"/>
        </w:rPr>
      </w:pPr>
      <w:r>
        <w:rPr>
          <w:rFonts w:hint="eastAsia" w:ascii="宋体" w:hAnsi="宋体" w:eastAsia="宋体" w:cs="宋体"/>
          <w:sz w:val="24"/>
          <w:szCs w:val="24"/>
        </w:rPr>
        <w:t>4. 技术规格和标准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 本合同项下所供货物的技术规格应与本招标文件技术规格规定的标准相一致。</w:t>
      </w:r>
    </w:p>
    <w:p>
      <w:pPr>
        <w:spacing w:line="360" w:lineRule="auto"/>
        <w:rPr>
          <w:rFonts w:hint="eastAsia" w:ascii="宋体" w:hAnsi="宋体" w:eastAsia="宋体" w:cs="宋体"/>
          <w:sz w:val="24"/>
          <w:szCs w:val="24"/>
        </w:rPr>
      </w:pPr>
      <w:r>
        <w:rPr>
          <w:rFonts w:hint="eastAsia" w:ascii="宋体" w:hAnsi="宋体" w:eastAsia="宋体" w:cs="宋体"/>
          <w:sz w:val="24"/>
          <w:szCs w:val="24"/>
        </w:rPr>
        <w:t>5. 包装</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 除非本合同另有规定，提供的全部货物须采用相应标准的保护措施进行包装。这种包装应适于内陆运输，并有良好的防潮、防撞击、防震、防锈和防野蛮装卸等保护措施,以确保货物安全运抵现场。 中标人应承担由于其包装或其防护措施不妥而引起货物锈蚀、损坏和丢失的任何损失的责任或费用。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 每件包装应附有详细装箱单和质量证书各两套，一套在包装箱里，一套在包装箱外。</w:t>
      </w:r>
    </w:p>
    <w:p>
      <w:pPr>
        <w:spacing w:line="360" w:lineRule="auto"/>
        <w:rPr>
          <w:rFonts w:hint="eastAsia" w:ascii="宋体" w:hAnsi="宋体" w:eastAsia="宋体" w:cs="宋体"/>
          <w:sz w:val="24"/>
          <w:szCs w:val="24"/>
        </w:rPr>
      </w:pPr>
      <w:r>
        <w:rPr>
          <w:rFonts w:hint="eastAsia" w:ascii="宋体" w:hAnsi="宋体" w:eastAsia="宋体" w:cs="宋体"/>
          <w:sz w:val="24"/>
          <w:szCs w:val="24"/>
        </w:rPr>
        <w:t>6 运输标记</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 中标人应在每一包装箱邻接的四个侧面用不易褪色的油漆以醒目中文印刷字体标明以下各项：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收货人</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合同号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发货标记（唛头）</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 收货人代号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目的地</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货物的名称、品目号、箱号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 毛重/净重（公斤）</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 尺寸（长×宽×高，以厘米计）</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 凡重达两吨或两吨以上的包装，中标人应在每件包装箱上标明 “重心”和“吊装点”，并根据货物的特点和运输的不同要求，以清晰字样在包装箱上注明“小心轻放”、“勿倒置”、“防潮”等标志，以方便装卸和搬运。</w:t>
      </w:r>
    </w:p>
    <w:p>
      <w:pPr>
        <w:spacing w:line="360" w:lineRule="auto"/>
        <w:rPr>
          <w:rFonts w:hint="eastAsia" w:ascii="宋体" w:hAnsi="宋体" w:eastAsia="宋体" w:cs="宋体"/>
          <w:sz w:val="24"/>
          <w:szCs w:val="24"/>
        </w:rPr>
      </w:pPr>
      <w:r>
        <w:rPr>
          <w:rFonts w:hint="eastAsia" w:ascii="宋体" w:hAnsi="宋体" w:eastAsia="宋体" w:cs="宋体"/>
          <w:sz w:val="24"/>
          <w:szCs w:val="24"/>
        </w:rPr>
        <w:t>7. 装运条件</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7.1根据设备特征，供货单位自行选择运输与包装方式。</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7.2运杂费一次包死在合同价内，包括供货地点到安装地点的装卸、二次倒运费、运输费（含保险费）。</w:t>
      </w:r>
    </w:p>
    <w:p>
      <w:pPr>
        <w:spacing w:line="360" w:lineRule="auto"/>
        <w:rPr>
          <w:rFonts w:hint="eastAsia" w:ascii="宋体" w:hAnsi="宋体" w:eastAsia="宋体" w:cs="宋体"/>
          <w:sz w:val="24"/>
          <w:szCs w:val="24"/>
        </w:rPr>
      </w:pPr>
      <w:r>
        <w:rPr>
          <w:rFonts w:hint="eastAsia" w:ascii="宋体" w:hAnsi="宋体" w:eastAsia="宋体" w:cs="宋体"/>
          <w:sz w:val="24"/>
          <w:szCs w:val="24"/>
        </w:rPr>
        <w:t>8. 付款</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8.1付款方式：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中标后，双方自行约定</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8.2结算单位：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8.3结算方式：银行转账。</w:t>
      </w:r>
    </w:p>
    <w:p>
      <w:pPr>
        <w:spacing w:line="360" w:lineRule="auto"/>
        <w:rPr>
          <w:rFonts w:hint="eastAsia" w:ascii="宋体" w:hAnsi="宋体" w:eastAsia="宋体" w:cs="宋体"/>
          <w:sz w:val="24"/>
          <w:szCs w:val="24"/>
        </w:rPr>
      </w:pPr>
      <w:r>
        <w:rPr>
          <w:rFonts w:hint="eastAsia" w:ascii="宋体" w:hAnsi="宋体" w:eastAsia="宋体" w:cs="宋体"/>
          <w:sz w:val="24"/>
          <w:szCs w:val="24"/>
        </w:rPr>
        <w:t>9. 技术资料</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 除招标文件技术规范中另有规定外,中标人应准备与合同设备相符的技术资料，应于交货时一并交给招标人，例如：样本、图纸、操作手册、使用说明、服务热线电话或售后服务电话、维修指南或服务手册等。如本条款所述资料寄送不完整或丢失，中标人应在收到招标人通知后立即免费另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 上述每套完整的资料应包装好随货物一起发运。</w:t>
      </w:r>
    </w:p>
    <w:p>
      <w:pPr>
        <w:spacing w:line="360" w:lineRule="auto"/>
        <w:rPr>
          <w:rFonts w:hint="eastAsia" w:ascii="宋体" w:hAnsi="宋体" w:eastAsia="宋体" w:cs="宋体"/>
          <w:sz w:val="24"/>
          <w:szCs w:val="24"/>
        </w:rPr>
      </w:pPr>
      <w:r>
        <w:rPr>
          <w:rFonts w:hint="eastAsia" w:ascii="宋体" w:hAnsi="宋体" w:eastAsia="宋体" w:cs="宋体"/>
          <w:sz w:val="24"/>
          <w:szCs w:val="24"/>
        </w:rPr>
        <w:t>10. 价格</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 除非合同中另有约定， 中标人为其所供货物和服务而要求招标人支付的合同金额应与其投标报价一致。</w:t>
      </w:r>
    </w:p>
    <w:p>
      <w:pPr>
        <w:spacing w:line="360" w:lineRule="auto"/>
        <w:rPr>
          <w:rFonts w:hint="eastAsia" w:ascii="宋体" w:hAnsi="宋体" w:eastAsia="宋体" w:cs="宋体"/>
          <w:sz w:val="24"/>
          <w:szCs w:val="24"/>
        </w:rPr>
      </w:pPr>
      <w:r>
        <w:rPr>
          <w:rFonts w:hint="eastAsia" w:ascii="宋体" w:hAnsi="宋体" w:eastAsia="宋体" w:cs="宋体"/>
          <w:sz w:val="24"/>
          <w:szCs w:val="24"/>
        </w:rPr>
        <w:t>11. 质量保证</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 中标人应保证其提供的货物是全新的、未使用过的， 采用的是最佳材料和一流的工艺，并在各个方面符合合同规定的质量、规格和性能要求。中标人应保证其货物经过正确安装、合理操作和维护保养，在货物寿命期内运转良好。在规定的质量保证期内，中标人应对由于设计、工艺或材料的缺陷而造成的任何缺陷或故障负责。除合同中另有规定外，出现上述情况，中标人应在收到招标人通知后30天内，免费负责修理或更换有缺陷的零部件或整机。对造成的损失招标人保留索赔的权利。</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11.2质保期：质保期为</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rPr>
        <w:t>年。质保期内所供货物若出现故障无条件换货；若同一货物出现两次质量故障则无条件退货。</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11.3质保期内所供货物若故障率达到10%，则无条件全部退货，并赔偿用户损失。</w:t>
      </w:r>
    </w:p>
    <w:p>
      <w:pPr>
        <w:spacing w:line="360" w:lineRule="auto"/>
        <w:rPr>
          <w:rFonts w:hint="eastAsia" w:ascii="宋体" w:hAnsi="宋体" w:eastAsia="宋体" w:cs="宋体"/>
          <w:sz w:val="24"/>
          <w:szCs w:val="24"/>
        </w:rPr>
      </w:pPr>
      <w:r>
        <w:rPr>
          <w:rFonts w:hint="eastAsia" w:ascii="宋体" w:hAnsi="宋体" w:eastAsia="宋体" w:cs="宋体"/>
          <w:sz w:val="24"/>
          <w:szCs w:val="24"/>
        </w:rPr>
        <w:t>12. 检验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 制造商在发货之前，应对货物的有关内在和外观质量、规格、性能、数量和重量进行准确的和全面的检验，并出具其货物符合合同规定的质量证书。</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在合同规定的质量保证期内， 如果发现货物的质量或规格与合同规定不符，或证明货物有缺陷，包括潜在的缺陷或使用不合适的原材料等，招标人应申请商检局检验，并有权根据商检证书及质量保证条款立即向中标人提出索赔。</w:t>
      </w:r>
    </w:p>
    <w:p>
      <w:pPr>
        <w:spacing w:line="360" w:lineRule="auto"/>
        <w:rPr>
          <w:rFonts w:hint="eastAsia" w:ascii="宋体" w:hAnsi="宋体" w:eastAsia="宋体" w:cs="宋体"/>
          <w:sz w:val="24"/>
          <w:szCs w:val="24"/>
        </w:rPr>
      </w:pPr>
      <w:r>
        <w:rPr>
          <w:rFonts w:hint="eastAsia" w:ascii="宋体" w:hAnsi="宋体" w:eastAsia="宋体" w:cs="宋体"/>
          <w:sz w:val="24"/>
          <w:szCs w:val="24"/>
        </w:rPr>
        <w:t>13. 索赔</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 中标人对货物与合同要求不符负有责任，并且招标人已于规定的检验、安装、调试和验收测试期限内和质量保证期内提出索赔，中标人应按招标人同意的下述一种或多种方法解决索赔事宜。</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13.1.1 中标人同意招标人拒收货物并把被拒收货物的金额以合同规定的同类货币付给招标人，中标人负担发生的一切损失和费用，包括利息、银行费用、运输和保险费、检验费、仓储和装卸费以及为保管和保护被拒绝货物所需要的其它必要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13.1.2根据货物的疵劣和受损程度以及招标人遭受损失的金额，经双方同意降低货物价格。</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13.1.3 更换有缺陷的零件、部件和设备，或修理缺陷部分，以达到合同规定的规格、质量和性能，中标人承担一切费用和风险并负担招标人发生的一切直接费用。同时中标人应相应延长被更换货物的质量保证期。</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 如果招标人提出索赔通知后30天内中标人未能予以答复，该索赔应视为已被中标人接受。若中标人未能在招标人提出索赔通知的30天内或招标人同意的更长一些的时间内，按招标人同意的上述任何一种方式处理索赔事宜，同时保留进一步要求赔偿的权利。</w:t>
      </w:r>
    </w:p>
    <w:p>
      <w:pPr>
        <w:spacing w:line="360" w:lineRule="auto"/>
        <w:rPr>
          <w:rFonts w:hint="eastAsia" w:ascii="宋体" w:hAnsi="宋体" w:eastAsia="宋体" w:cs="宋体"/>
          <w:sz w:val="24"/>
          <w:szCs w:val="24"/>
        </w:rPr>
      </w:pPr>
      <w:r>
        <w:rPr>
          <w:rFonts w:hint="eastAsia" w:ascii="宋体" w:hAnsi="宋体" w:eastAsia="宋体" w:cs="宋体"/>
          <w:sz w:val="24"/>
          <w:szCs w:val="24"/>
        </w:rPr>
        <w:t>14. 延期交货与核定损失额</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 如果中标人未能按合同规定的时间按期交货（本合同第15 款规定的不可抗力除外），在中标人同意支付核定损失额的条件下，招标人如同意延长交货期，核定损失额比率为每迟交7天（一周），按迟交货物金额的1%，不满7天按7天计算，但是，核定损失额的支付不得超过迟交货物部分合同金额的10%。 如果中标人在达到核定损失额的最高限额后仍不能交货，招标人有权因中标人违约终止合同，而中标人仍有义务支付上述迟交核定损失金额。</w:t>
      </w:r>
    </w:p>
    <w:p>
      <w:pPr>
        <w:spacing w:line="360" w:lineRule="auto"/>
        <w:rPr>
          <w:rFonts w:hint="eastAsia" w:ascii="宋体" w:hAnsi="宋体" w:eastAsia="宋体" w:cs="宋体"/>
          <w:sz w:val="24"/>
          <w:szCs w:val="24"/>
        </w:rPr>
      </w:pPr>
      <w:r>
        <w:rPr>
          <w:rFonts w:hint="eastAsia" w:ascii="宋体" w:hAnsi="宋体" w:eastAsia="宋体" w:cs="宋体"/>
          <w:sz w:val="24"/>
          <w:szCs w:val="24"/>
        </w:rPr>
        <w:t>15. 不可抗力</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15.1 签约双方任何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 受阻一方应在不可抗力事件发生后尽快用电报、传真或电传通知对方，并于事件发生后14天内将有关部门出具的证明文件用特快专递或挂号信寄给对方审阅确认。一旦不可抗力事件的影响持续</w:t>
      </w:r>
      <w:r>
        <w:rPr>
          <w:rFonts w:hint="eastAsia" w:ascii="宋体" w:hAnsi="宋体" w:eastAsia="宋体" w:cs="宋体"/>
          <w:sz w:val="24"/>
          <w:szCs w:val="24"/>
          <w:lang w:eastAsia="zh-CN"/>
        </w:rPr>
        <w:t>130</w:t>
      </w:r>
      <w:r>
        <w:rPr>
          <w:rFonts w:hint="eastAsia" w:ascii="宋体" w:hAnsi="宋体" w:eastAsia="宋体" w:cs="宋体"/>
          <w:sz w:val="24"/>
          <w:szCs w:val="24"/>
        </w:rPr>
        <w:t>天以上， 双方应通过友好协商在合理的时间内达成进一步履行合同的协议。</w:t>
      </w:r>
    </w:p>
    <w:p>
      <w:pPr>
        <w:spacing w:line="360" w:lineRule="auto"/>
        <w:rPr>
          <w:rFonts w:hint="eastAsia" w:ascii="宋体" w:hAnsi="宋体" w:eastAsia="宋体" w:cs="宋体"/>
          <w:sz w:val="24"/>
          <w:szCs w:val="24"/>
        </w:rPr>
      </w:pPr>
      <w:r>
        <w:rPr>
          <w:rFonts w:hint="eastAsia" w:ascii="宋体" w:hAnsi="宋体" w:eastAsia="宋体" w:cs="宋体"/>
          <w:sz w:val="24"/>
          <w:szCs w:val="24"/>
        </w:rPr>
        <w:t>16. 税费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16.1现行税法向招标人征收的与履行本合同有关的一切税费由招标人支付。</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16.2现行税法向中标人征收的与履行本合同有关的一切税费由中标人支付。</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16.3如有发生在中国境外的，与履行本合同有关的一切税费，应由中标人承担。</w:t>
      </w:r>
    </w:p>
    <w:p>
      <w:pPr>
        <w:spacing w:line="360" w:lineRule="auto"/>
        <w:rPr>
          <w:rFonts w:hint="eastAsia" w:ascii="宋体" w:hAnsi="宋体" w:eastAsia="宋体" w:cs="宋体"/>
          <w:sz w:val="24"/>
          <w:szCs w:val="24"/>
        </w:rPr>
      </w:pPr>
      <w:r>
        <w:rPr>
          <w:rFonts w:hint="eastAsia" w:ascii="宋体" w:hAnsi="宋体" w:eastAsia="宋体" w:cs="宋体"/>
          <w:sz w:val="24"/>
          <w:szCs w:val="24"/>
        </w:rPr>
        <w:t>17. 仲裁</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 在执行本合同中发生的或与本合同有关的争端，双方应通过友好协商解决，经协商在60天内不能达成协议时，应提交法院裁决。</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 仲裁应在招标人当地法院根据其法律程序和暂行规则进行。</w:t>
      </w:r>
    </w:p>
    <w:p>
      <w:pPr>
        <w:spacing w:line="360" w:lineRule="auto"/>
        <w:rPr>
          <w:rFonts w:hint="eastAsia" w:ascii="宋体" w:hAnsi="宋体" w:eastAsia="宋体" w:cs="宋体"/>
          <w:sz w:val="24"/>
          <w:szCs w:val="24"/>
        </w:rPr>
      </w:pPr>
      <w:r>
        <w:rPr>
          <w:rFonts w:hint="eastAsia" w:ascii="宋体" w:hAnsi="宋体" w:eastAsia="宋体" w:cs="宋体"/>
          <w:sz w:val="24"/>
          <w:szCs w:val="24"/>
        </w:rPr>
        <w:t>18. 违约终止合同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 在补救违约而采取的任何其它措施未能实现的情况下，即在中标人收到招标人发出的违约通知后30天内（或经招标人书面确认的更长时间内）仍未纠正其下述任何一种违约行为，招标人可向中标人发出书面违约通知，终止全部或部分合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18.1.1 如果中标人未能在合同规定的期限内或招标人准许的任何延期内交付部分或全部货物。</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18.1.2 中标人未能履行合同项下的任何其它义务。</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18.2 一旦招标人根据第19.1款终止部分或全部合同，招标人可以按其认为适当的条件和方式采购类似未交付部分的货物。中标人应承担招标人购买类似货物的额外费用。但是，中标人应继续履行合同中未终止的部分。</w:t>
      </w:r>
    </w:p>
    <w:p>
      <w:pPr>
        <w:spacing w:line="360" w:lineRule="auto"/>
        <w:rPr>
          <w:rFonts w:hint="eastAsia" w:ascii="宋体" w:hAnsi="宋体" w:eastAsia="宋体" w:cs="宋体"/>
          <w:sz w:val="24"/>
          <w:szCs w:val="24"/>
        </w:rPr>
      </w:pPr>
      <w:r>
        <w:rPr>
          <w:rFonts w:hint="eastAsia" w:ascii="宋体" w:hAnsi="宋体" w:eastAsia="宋体" w:cs="宋体"/>
          <w:sz w:val="24"/>
          <w:szCs w:val="24"/>
        </w:rPr>
        <w:t>19. 破产终止合同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19.1 当中标人破产或无清偿能力时，招标人可在任何时候以书面形式通知中标人终止合同，该终止合同以不损害或影响招标人已采取或将采取补救措施的任何权利为条件。</w:t>
      </w:r>
    </w:p>
    <w:p>
      <w:pPr>
        <w:spacing w:line="360" w:lineRule="auto"/>
        <w:rPr>
          <w:rFonts w:hint="eastAsia" w:ascii="宋体" w:hAnsi="宋体" w:eastAsia="宋体" w:cs="宋体"/>
          <w:sz w:val="24"/>
          <w:szCs w:val="24"/>
        </w:rPr>
      </w:pPr>
      <w:r>
        <w:rPr>
          <w:rFonts w:hint="eastAsia" w:ascii="宋体" w:hAnsi="宋体" w:eastAsia="宋体" w:cs="宋体"/>
          <w:sz w:val="24"/>
          <w:szCs w:val="24"/>
        </w:rPr>
        <w:t>20.变更指示</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 招标人可以随时向中标人发出书面指示，在合同总体范围内对如下一点或几点提出变更：</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20.1.1 合同项下需为招标人特殊制造的货物的图纸、设计或规格；</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20.1.2 装运方式和包装方式；</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20.1.3 交货地点；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20.1.4中标人须提供的服务。</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 若上述变更导致了中标人履行合同项下任何部分义务的费用或所需时间的增减，应对合同价格或交货进度进行合理的调整，同时相应地修改合同。中标人必须在接到招标人的变更指示后30天内根据本款提出调整的实施意见。</w:t>
      </w:r>
    </w:p>
    <w:p>
      <w:pPr>
        <w:spacing w:line="360" w:lineRule="auto"/>
        <w:rPr>
          <w:rFonts w:hint="eastAsia" w:ascii="宋体" w:hAnsi="宋体" w:eastAsia="宋体" w:cs="宋体"/>
          <w:sz w:val="24"/>
          <w:szCs w:val="24"/>
        </w:rPr>
      </w:pPr>
      <w:r>
        <w:rPr>
          <w:rFonts w:hint="eastAsia" w:ascii="宋体" w:hAnsi="宋体" w:eastAsia="宋体" w:cs="宋体"/>
          <w:sz w:val="24"/>
          <w:szCs w:val="24"/>
        </w:rPr>
        <w:t>21. 合同修改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 欲对合同条款作出任何改动或偏离，均须由买卖双方签署书面的合同修改书。</w:t>
      </w:r>
    </w:p>
    <w:p>
      <w:pPr>
        <w:spacing w:line="360" w:lineRule="auto"/>
        <w:rPr>
          <w:rFonts w:hint="eastAsia" w:ascii="宋体" w:hAnsi="宋体" w:eastAsia="宋体" w:cs="宋体"/>
          <w:sz w:val="24"/>
          <w:szCs w:val="24"/>
        </w:rPr>
      </w:pPr>
      <w:r>
        <w:rPr>
          <w:rFonts w:hint="eastAsia" w:ascii="宋体" w:hAnsi="宋体" w:eastAsia="宋体" w:cs="宋体"/>
          <w:sz w:val="24"/>
          <w:szCs w:val="24"/>
        </w:rPr>
        <w:t>22. 转让与分包</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 除招标人事先同意外，中标人不得部分转让或全部转让其应履行的合同项下的义务。</w:t>
      </w:r>
    </w:p>
    <w:p>
      <w:pPr>
        <w:spacing w:line="360" w:lineRule="auto"/>
        <w:rPr>
          <w:rFonts w:hint="eastAsia" w:ascii="宋体" w:hAnsi="宋体" w:eastAsia="宋体" w:cs="宋体"/>
          <w:sz w:val="24"/>
          <w:szCs w:val="24"/>
        </w:rPr>
      </w:pPr>
      <w:r>
        <w:rPr>
          <w:rFonts w:hint="eastAsia" w:ascii="宋体" w:hAnsi="宋体" w:eastAsia="宋体" w:cs="宋体"/>
          <w:sz w:val="24"/>
          <w:szCs w:val="24"/>
        </w:rPr>
        <w:t>23. 适用法律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 本合同应按中华人民共和国的法律解释。</w:t>
      </w:r>
    </w:p>
    <w:p>
      <w:pPr>
        <w:spacing w:line="360" w:lineRule="auto"/>
        <w:rPr>
          <w:rFonts w:hint="eastAsia" w:ascii="宋体" w:hAnsi="宋体" w:eastAsia="宋体" w:cs="宋体"/>
          <w:sz w:val="24"/>
          <w:szCs w:val="24"/>
        </w:rPr>
      </w:pPr>
      <w:r>
        <w:rPr>
          <w:rFonts w:hint="eastAsia" w:ascii="宋体" w:hAnsi="宋体" w:eastAsia="宋体" w:cs="宋体"/>
          <w:sz w:val="24"/>
          <w:szCs w:val="24"/>
        </w:rPr>
        <w:t>24. 主导语言与计量单位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 合同书写应用中文，买卖双方所有的来往函电以及与合同有关的文件均应中文书写。</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 除技术规格中另有规定外，计量单位均使用中华人民共和国法定计量单位。</w:t>
      </w:r>
    </w:p>
    <w:p>
      <w:pPr>
        <w:spacing w:line="360" w:lineRule="auto"/>
        <w:rPr>
          <w:rFonts w:hint="eastAsia" w:ascii="宋体" w:hAnsi="宋体" w:eastAsia="宋体" w:cs="宋体"/>
          <w:sz w:val="24"/>
          <w:szCs w:val="24"/>
        </w:rPr>
      </w:pPr>
      <w:r>
        <w:rPr>
          <w:rFonts w:hint="eastAsia" w:ascii="宋体" w:hAnsi="宋体" w:eastAsia="宋体" w:cs="宋体"/>
          <w:sz w:val="24"/>
          <w:szCs w:val="24"/>
        </w:rPr>
        <w:t>25. 通知</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25.1 本合同任何一方给另一方的通知都应以书面或电传、电报、传真的形式发送，而另一方应以书面形式确认并发送到对方明确的地址。</w:t>
      </w:r>
    </w:p>
    <w:p>
      <w:pPr>
        <w:spacing w:line="360" w:lineRule="auto"/>
        <w:rPr>
          <w:rFonts w:hint="eastAsia" w:ascii="宋体" w:hAnsi="宋体" w:eastAsia="宋体" w:cs="宋体"/>
          <w:sz w:val="24"/>
          <w:szCs w:val="24"/>
        </w:rPr>
      </w:pPr>
      <w:r>
        <w:rPr>
          <w:rFonts w:hint="eastAsia" w:ascii="宋体" w:hAnsi="宋体" w:eastAsia="宋体" w:cs="宋体"/>
          <w:sz w:val="24"/>
          <w:szCs w:val="24"/>
        </w:rPr>
        <w:t>26. 合同文件及资料的使用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26.1 除了中标人为执行合同所雇人员外，在未经招标人同意的情况下，中标人不得将合同、合同中的规定、有关规格、计划、图纸、式样、样本或招标人为上述内容向中标人提供的资料透露给任何人。中标人须在对外保密的前提下，对其雇用人员提供有关情况，所提供的情况仅限于执行合同必不可少的范围内。</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26.2 除非执行合同需要，在事先未得到招标人同意的情况下，中标人不得使用第26.1款中所列的任何文件和资料。</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26.3 除合同本身以外，26.1款列明的所有资料始终为招标人的财产，若招标人要求，中标人应于其合同义务履行完毕以后将这些资料（包括所有副本）退还招标人。</w:t>
      </w:r>
    </w:p>
    <w:p>
      <w:pPr>
        <w:spacing w:line="360" w:lineRule="auto"/>
        <w:rPr>
          <w:rFonts w:hint="eastAsia" w:ascii="宋体" w:hAnsi="宋体" w:eastAsia="宋体" w:cs="宋体"/>
          <w:sz w:val="24"/>
          <w:szCs w:val="24"/>
        </w:rPr>
      </w:pPr>
      <w:r>
        <w:rPr>
          <w:rFonts w:hint="eastAsia" w:ascii="宋体" w:hAnsi="宋体" w:eastAsia="宋体" w:cs="宋体"/>
          <w:sz w:val="24"/>
          <w:szCs w:val="24"/>
        </w:rPr>
        <w:t>27. 合同生效及其它</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27.1 除非合同中另有说明，本合同经双方签字盖章即开始生效。</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27.2 中标人须按技术规格中的规定，向招标人提供与合同项下货物有关的现场安装调试、技术服务、培训等其它相关服务。</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27.3 商务合同应包括招标人最后确认的价格条款和付款方式。</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27.4其它要求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27.4.1 投标设备如与招标技术文件文本中的要求有差异，需附《偏离表》。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27.4.2 </w:t>
      </w:r>
      <w:r>
        <w:rPr>
          <w:rFonts w:hint="eastAsia" w:ascii="宋体" w:hAnsi="宋体" w:eastAsia="宋体" w:cs="宋体"/>
          <w:sz w:val="24"/>
          <w:szCs w:val="24"/>
          <w:lang w:eastAsia="zh-CN"/>
        </w:rPr>
        <w:t>供应商</w:t>
      </w:r>
      <w:r>
        <w:rPr>
          <w:rFonts w:hint="eastAsia" w:ascii="宋体" w:hAnsi="宋体" w:eastAsia="宋体" w:cs="宋体"/>
          <w:sz w:val="24"/>
          <w:szCs w:val="24"/>
        </w:rPr>
        <w:t>提供的设备必须是先进的、质量可靠的。凡招标技术文本中未提及到的，</w:t>
      </w:r>
      <w:r>
        <w:rPr>
          <w:rFonts w:hint="eastAsia" w:ascii="宋体" w:hAnsi="宋体" w:eastAsia="宋体" w:cs="宋体"/>
          <w:sz w:val="24"/>
          <w:szCs w:val="24"/>
          <w:lang w:eastAsia="zh-CN"/>
        </w:rPr>
        <w:t>供应商</w:t>
      </w:r>
      <w:r>
        <w:rPr>
          <w:rFonts w:hint="eastAsia" w:ascii="宋体" w:hAnsi="宋体" w:eastAsia="宋体" w:cs="宋体"/>
          <w:sz w:val="24"/>
          <w:szCs w:val="24"/>
        </w:rPr>
        <w:t>应对设备的成套性、完整性负责。</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28、技术培训：免费提供设备使用知识培训。</w:t>
      </w:r>
    </w:p>
    <w:p>
      <w:pPr>
        <w:pStyle w:val="7"/>
        <w:keepNext w:val="0"/>
        <w:keepLines w:val="0"/>
        <w:numPr>
          <w:ilvl w:val="0"/>
          <w:numId w:val="0"/>
        </w:numPr>
        <w:snapToGrid w:val="0"/>
        <w:spacing w:before="0" w:after="0" w:line="300" w:lineRule="auto"/>
        <w:ind w:firstLine="480" w:firstLineChars="200"/>
        <w:jc w:val="left"/>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29、招标人和中标人所签订的供货合同与招标文件不符时，以供货合同为准。</w:t>
      </w:r>
    </w:p>
    <w:p>
      <w:pPr>
        <w:spacing w:line="360" w:lineRule="auto"/>
        <w:jc w:val="center"/>
        <w:rPr>
          <w:rFonts w:hint="eastAsia" w:ascii="宋体" w:hAnsi="宋体" w:eastAsia="宋体" w:cs="宋体"/>
          <w:b/>
          <w:sz w:val="32"/>
          <w:szCs w:val="32"/>
          <w:lang w:eastAsia="zh-CN"/>
        </w:rPr>
      </w:pPr>
    </w:p>
    <w:p>
      <w:pPr>
        <w:spacing w:line="360" w:lineRule="auto"/>
        <w:jc w:val="center"/>
        <w:rPr>
          <w:rFonts w:hint="eastAsia" w:ascii="宋体" w:hAnsi="宋体" w:eastAsia="宋体" w:cs="宋体"/>
          <w:b/>
          <w:sz w:val="32"/>
          <w:szCs w:val="32"/>
          <w:lang w:eastAsia="zh-CN"/>
        </w:rPr>
      </w:pPr>
    </w:p>
    <w:p>
      <w:pPr>
        <w:pStyle w:val="2"/>
        <w:rPr>
          <w:rFonts w:hint="eastAsia" w:ascii="宋体" w:hAnsi="宋体" w:eastAsia="宋体" w:cs="宋体"/>
          <w:b/>
          <w:sz w:val="32"/>
          <w:szCs w:val="32"/>
          <w:lang w:eastAsia="zh-CN"/>
        </w:rPr>
      </w:pPr>
    </w:p>
    <w:p>
      <w:pPr>
        <w:rPr>
          <w:rFonts w:hint="eastAsia" w:ascii="宋体" w:hAnsi="宋体" w:eastAsia="宋体" w:cs="宋体"/>
          <w:b/>
          <w:sz w:val="32"/>
          <w:szCs w:val="32"/>
          <w:lang w:eastAsia="zh-CN"/>
        </w:rPr>
      </w:pPr>
    </w:p>
    <w:p>
      <w:pPr>
        <w:pStyle w:val="2"/>
        <w:rPr>
          <w:rFonts w:hint="eastAsia" w:ascii="宋体" w:hAnsi="宋体" w:eastAsia="宋体" w:cs="宋体"/>
          <w:b/>
          <w:sz w:val="32"/>
          <w:szCs w:val="32"/>
          <w:lang w:eastAsia="zh-CN"/>
        </w:rPr>
      </w:pPr>
    </w:p>
    <w:p>
      <w:pPr>
        <w:rPr>
          <w:rFonts w:hint="eastAsia" w:ascii="宋体" w:hAnsi="宋体" w:eastAsia="宋体" w:cs="宋体"/>
          <w:b/>
          <w:sz w:val="32"/>
          <w:szCs w:val="32"/>
          <w:lang w:eastAsia="zh-CN"/>
        </w:rPr>
      </w:pPr>
    </w:p>
    <w:p>
      <w:pPr>
        <w:pStyle w:val="2"/>
        <w:rPr>
          <w:rFonts w:hint="eastAsia" w:ascii="宋体" w:hAnsi="宋体" w:eastAsia="宋体" w:cs="宋体"/>
          <w:b/>
          <w:sz w:val="32"/>
          <w:szCs w:val="32"/>
          <w:lang w:eastAsia="zh-CN"/>
        </w:rPr>
      </w:pPr>
    </w:p>
    <w:p>
      <w:pPr>
        <w:rPr>
          <w:rFonts w:hint="eastAsia" w:ascii="宋体" w:hAnsi="宋体" w:eastAsia="宋体" w:cs="宋体"/>
          <w:b/>
          <w:sz w:val="32"/>
          <w:szCs w:val="32"/>
          <w:lang w:eastAsia="zh-CN"/>
        </w:rPr>
      </w:pPr>
    </w:p>
    <w:p>
      <w:pPr>
        <w:pStyle w:val="2"/>
        <w:rPr>
          <w:rFonts w:hint="eastAsia" w:ascii="宋体" w:hAnsi="宋体" w:eastAsia="宋体" w:cs="宋体"/>
          <w:b/>
          <w:sz w:val="32"/>
          <w:szCs w:val="32"/>
          <w:lang w:eastAsia="zh-CN"/>
        </w:rPr>
      </w:pPr>
    </w:p>
    <w:p>
      <w:pPr>
        <w:rPr>
          <w:rFonts w:hint="eastAsia" w:ascii="宋体" w:hAnsi="宋体" w:eastAsia="宋体" w:cs="宋体"/>
          <w:b/>
          <w:sz w:val="32"/>
          <w:szCs w:val="32"/>
          <w:lang w:eastAsia="zh-CN"/>
        </w:rPr>
      </w:pPr>
    </w:p>
    <w:p>
      <w:pPr>
        <w:pStyle w:val="2"/>
        <w:rPr>
          <w:rFonts w:hint="eastAsia" w:ascii="宋体" w:hAnsi="宋体" w:eastAsia="宋体" w:cs="宋体"/>
          <w:b/>
          <w:sz w:val="32"/>
          <w:szCs w:val="32"/>
          <w:lang w:eastAsia="zh-CN"/>
        </w:rPr>
      </w:pPr>
    </w:p>
    <w:p>
      <w:pPr>
        <w:rPr>
          <w:rFonts w:hint="eastAsia" w:ascii="宋体" w:hAnsi="宋体" w:eastAsia="宋体" w:cs="宋体"/>
          <w:b/>
          <w:sz w:val="32"/>
          <w:szCs w:val="32"/>
          <w:lang w:eastAsia="zh-CN"/>
        </w:rPr>
      </w:pPr>
    </w:p>
    <w:p>
      <w:pPr>
        <w:pStyle w:val="2"/>
        <w:rPr>
          <w:rFonts w:hint="eastAsia"/>
          <w:lang w:eastAsia="zh-CN"/>
        </w:rPr>
      </w:pPr>
      <w:bookmarkStart w:id="0" w:name="_GoBack"/>
      <w:bookmarkEnd w:id="0"/>
    </w:p>
    <w:p>
      <w:pPr>
        <w:spacing w:line="360" w:lineRule="auto"/>
        <w:jc w:val="center"/>
        <w:rPr>
          <w:rFonts w:hint="eastAsia" w:ascii="宋体" w:hAnsi="宋体" w:eastAsia="宋体" w:cs="宋体"/>
        </w:rPr>
      </w:pPr>
      <w:r>
        <w:rPr>
          <w:rFonts w:hint="eastAsia" w:ascii="宋体" w:hAnsi="宋体" w:eastAsia="宋体" w:cs="宋体"/>
        </w:rPr>
        <w:t>（采购项目编号：          ）</w:t>
      </w:r>
    </w:p>
    <w:p>
      <w:pPr>
        <w:spacing w:line="360" w:lineRule="auto"/>
        <w:rPr>
          <w:rFonts w:hint="eastAsia" w:ascii="宋体" w:hAnsi="宋体" w:eastAsia="宋体" w:cs="宋体"/>
        </w:rPr>
      </w:pPr>
      <w:r>
        <w:rPr>
          <w:rFonts w:hint="eastAsia" w:ascii="宋体" w:hAnsi="宋体" w:eastAsia="宋体" w:cs="宋体"/>
        </w:rPr>
        <w:t>甲方（需方）：___________________________      计价单位：____________</w:t>
      </w:r>
    </w:p>
    <w:p>
      <w:pPr>
        <w:spacing w:line="360" w:lineRule="auto"/>
        <w:rPr>
          <w:rFonts w:hint="eastAsia" w:ascii="宋体" w:hAnsi="宋体" w:eastAsia="宋体" w:cs="宋体"/>
        </w:rPr>
      </w:pPr>
      <w:r>
        <w:rPr>
          <w:rFonts w:hint="eastAsia" w:ascii="宋体" w:hAnsi="宋体" w:eastAsia="宋体" w:cs="宋体"/>
        </w:rPr>
        <w:t>乙方（供方）：___________________________      计量单位：_____________</w:t>
      </w:r>
    </w:p>
    <w:p>
      <w:pPr>
        <w:spacing w:line="360" w:lineRule="auto"/>
        <w:rPr>
          <w:rFonts w:hint="eastAsia" w:ascii="宋体" w:hAnsi="宋体" w:eastAsia="宋体" w:cs="宋体"/>
        </w:rPr>
      </w:pPr>
    </w:p>
    <w:p>
      <w:pPr>
        <w:spacing w:line="360" w:lineRule="auto"/>
        <w:rPr>
          <w:rFonts w:hint="eastAsia" w:ascii="宋体" w:hAnsi="宋体" w:eastAsia="宋体" w:cs="宋体"/>
        </w:rPr>
      </w:pPr>
      <w:r>
        <w:rPr>
          <w:rFonts w:hint="eastAsia" w:ascii="宋体" w:hAnsi="宋体" w:eastAsia="宋体" w:cs="宋体"/>
        </w:rPr>
        <w:t>经双方协商一致，达成以下购销合同：</w:t>
      </w:r>
    </w:p>
    <w:tbl>
      <w:tblPr>
        <w:tblStyle w:val="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4"/>
        <w:gridCol w:w="1679"/>
        <w:gridCol w:w="949"/>
        <w:gridCol w:w="732"/>
        <w:gridCol w:w="28"/>
        <w:gridCol w:w="949"/>
        <w:gridCol w:w="1519"/>
        <w:gridCol w:w="2132"/>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noWrap w:val="0"/>
            <w:vAlign w:val="center"/>
          </w:tcPr>
          <w:p>
            <w:pPr>
              <w:spacing w:line="360" w:lineRule="auto"/>
              <w:jc w:val="center"/>
              <w:rPr>
                <w:rFonts w:hint="eastAsia" w:ascii="宋体" w:hAnsi="宋体" w:eastAsia="宋体" w:cs="宋体"/>
              </w:rPr>
            </w:pPr>
            <w:r>
              <w:rPr>
                <w:rFonts w:hint="eastAsia" w:ascii="宋体" w:hAnsi="宋体" w:eastAsia="宋体" w:cs="宋体"/>
              </w:rPr>
              <w:t>商品名称</w:t>
            </w:r>
          </w:p>
        </w:tc>
        <w:tc>
          <w:tcPr>
            <w:tcW w:w="1679" w:type="dxa"/>
            <w:noWrap w:val="0"/>
            <w:vAlign w:val="center"/>
          </w:tcPr>
          <w:p>
            <w:pPr>
              <w:spacing w:line="360" w:lineRule="auto"/>
              <w:jc w:val="center"/>
              <w:rPr>
                <w:rFonts w:hint="eastAsia" w:ascii="宋体" w:hAnsi="宋体" w:eastAsia="宋体" w:cs="宋体"/>
              </w:rPr>
            </w:pPr>
            <w:r>
              <w:rPr>
                <w:rFonts w:hint="eastAsia" w:ascii="宋体" w:hAnsi="宋体" w:eastAsia="宋体" w:cs="宋体"/>
              </w:rPr>
              <w:t>规格型号</w:t>
            </w:r>
          </w:p>
        </w:tc>
        <w:tc>
          <w:tcPr>
            <w:tcW w:w="949" w:type="dxa"/>
            <w:noWrap w:val="0"/>
            <w:vAlign w:val="center"/>
          </w:tcPr>
          <w:p>
            <w:pPr>
              <w:spacing w:line="360" w:lineRule="auto"/>
              <w:jc w:val="center"/>
              <w:rPr>
                <w:rFonts w:hint="eastAsia" w:ascii="宋体" w:hAnsi="宋体" w:eastAsia="宋体" w:cs="宋体"/>
              </w:rPr>
            </w:pPr>
            <w:r>
              <w:rPr>
                <w:rFonts w:hint="eastAsia" w:ascii="宋体" w:hAnsi="宋体" w:eastAsia="宋体" w:cs="宋体"/>
              </w:rPr>
              <w:t>数量</w:t>
            </w:r>
          </w:p>
        </w:tc>
        <w:tc>
          <w:tcPr>
            <w:tcW w:w="760" w:type="dxa"/>
            <w:gridSpan w:val="2"/>
            <w:noWrap w:val="0"/>
            <w:vAlign w:val="center"/>
          </w:tcPr>
          <w:p>
            <w:pPr>
              <w:spacing w:line="360" w:lineRule="auto"/>
              <w:jc w:val="center"/>
              <w:rPr>
                <w:rFonts w:hint="eastAsia" w:ascii="宋体" w:hAnsi="宋体" w:eastAsia="宋体" w:cs="宋体"/>
              </w:rPr>
            </w:pPr>
            <w:r>
              <w:rPr>
                <w:rFonts w:hint="eastAsia" w:ascii="宋体" w:hAnsi="宋体" w:eastAsia="宋体" w:cs="宋体"/>
              </w:rPr>
              <w:t>单价</w:t>
            </w:r>
          </w:p>
        </w:tc>
        <w:tc>
          <w:tcPr>
            <w:tcW w:w="949" w:type="dxa"/>
            <w:noWrap w:val="0"/>
            <w:vAlign w:val="center"/>
          </w:tcPr>
          <w:p>
            <w:pPr>
              <w:spacing w:line="360" w:lineRule="auto"/>
              <w:jc w:val="center"/>
              <w:rPr>
                <w:rFonts w:hint="eastAsia" w:ascii="宋体" w:hAnsi="宋体" w:eastAsia="宋体" w:cs="宋体"/>
              </w:rPr>
            </w:pPr>
            <w:r>
              <w:rPr>
                <w:rFonts w:hint="eastAsia" w:ascii="宋体" w:hAnsi="宋体" w:eastAsia="宋体" w:cs="宋体"/>
              </w:rPr>
              <w:t>总价</w:t>
            </w:r>
          </w:p>
        </w:tc>
        <w:tc>
          <w:tcPr>
            <w:tcW w:w="1519" w:type="dxa"/>
            <w:noWrap w:val="0"/>
            <w:vAlign w:val="center"/>
          </w:tcPr>
          <w:p>
            <w:pPr>
              <w:spacing w:line="360" w:lineRule="auto"/>
              <w:jc w:val="center"/>
              <w:rPr>
                <w:rFonts w:hint="eastAsia" w:ascii="宋体" w:hAnsi="宋体" w:eastAsia="宋体" w:cs="宋体"/>
              </w:rPr>
            </w:pPr>
            <w:r>
              <w:rPr>
                <w:rFonts w:hint="eastAsia" w:ascii="宋体" w:hAnsi="宋体" w:eastAsia="宋体" w:cs="宋体"/>
              </w:rPr>
              <w:t>交货时间</w:t>
            </w:r>
          </w:p>
        </w:tc>
        <w:tc>
          <w:tcPr>
            <w:tcW w:w="2132" w:type="dxa"/>
            <w:noWrap w:val="0"/>
            <w:vAlign w:val="center"/>
          </w:tcPr>
          <w:p>
            <w:pPr>
              <w:spacing w:line="360" w:lineRule="auto"/>
              <w:jc w:val="center"/>
              <w:rPr>
                <w:rFonts w:hint="eastAsia" w:ascii="宋体" w:hAnsi="宋体" w:eastAsia="宋体" w:cs="宋体"/>
              </w:rPr>
            </w:pPr>
            <w:r>
              <w:rPr>
                <w:rFonts w:hint="eastAsia" w:ascii="宋体" w:hAnsi="宋体" w:eastAsia="宋体" w:cs="宋体"/>
              </w:rPr>
              <w:t>交货地点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noWrap w:val="0"/>
            <w:vAlign w:val="center"/>
          </w:tcPr>
          <w:p>
            <w:pPr>
              <w:spacing w:line="360" w:lineRule="auto"/>
              <w:jc w:val="center"/>
              <w:rPr>
                <w:rFonts w:hint="eastAsia" w:ascii="宋体" w:hAnsi="宋体" w:eastAsia="宋体" w:cs="宋体"/>
              </w:rPr>
            </w:pPr>
          </w:p>
        </w:tc>
        <w:tc>
          <w:tcPr>
            <w:tcW w:w="1679" w:type="dxa"/>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760" w:type="dxa"/>
            <w:gridSpan w:val="2"/>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1519" w:type="dxa"/>
            <w:noWrap w:val="0"/>
            <w:vAlign w:val="center"/>
          </w:tcPr>
          <w:p>
            <w:pPr>
              <w:spacing w:line="360" w:lineRule="auto"/>
              <w:jc w:val="center"/>
              <w:rPr>
                <w:rFonts w:hint="eastAsia" w:ascii="宋体" w:hAnsi="宋体" w:eastAsia="宋体" w:cs="宋体"/>
              </w:rPr>
            </w:pPr>
          </w:p>
        </w:tc>
        <w:tc>
          <w:tcPr>
            <w:tcW w:w="2132" w:type="dxa"/>
            <w:noWrap w:val="0"/>
            <w:vAlign w:val="center"/>
          </w:tcPr>
          <w:p>
            <w:pPr>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noWrap w:val="0"/>
            <w:vAlign w:val="center"/>
          </w:tcPr>
          <w:p>
            <w:pPr>
              <w:spacing w:line="360" w:lineRule="auto"/>
              <w:jc w:val="center"/>
              <w:rPr>
                <w:rFonts w:hint="eastAsia" w:ascii="宋体" w:hAnsi="宋体" w:eastAsia="宋体" w:cs="宋体"/>
              </w:rPr>
            </w:pPr>
          </w:p>
        </w:tc>
        <w:tc>
          <w:tcPr>
            <w:tcW w:w="1679" w:type="dxa"/>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760" w:type="dxa"/>
            <w:gridSpan w:val="2"/>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1519" w:type="dxa"/>
            <w:noWrap w:val="0"/>
            <w:vAlign w:val="center"/>
          </w:tcPr>
          <w:p>
            <w:pPr>
              <w:spacing w:line="360" w:lineRule="auto"/>
              <w:jc w:val="center"/>
              <w:rPr>
                <w:rFonts w:hint="eastAsia" w:ascii="宋体" w:hAnsi="宋体" w:eastAsia="宋体" w:cs="宋体"/>
              </w:rPr>
            </w:pPr>
          </w:p>
        </w:tc>
        <w:tc>
          <w:tcPr>
            <w:tcW w:w="2132" w:type="dxa"/>
            <w:noWrap w:val="0"/>
            <w:vAlign w:val="center"/>
          </w:tcPr>
          <w:p>
            <w:pPr>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noWrap w:val="0"/>
            <w:vAlign w:val="center"/>
          </w:tcPr>
          <w:p>
            <w:pPr>
              <w:spacing w:line="360" w:lineRule="auto"/>
              <w:jc w:val="center"/>
              <w:rPr>
                <w:rFonts w:hint="eastAsia" w:ascii="宋体" w:hAnsi="宋体" w:eastAsia="宋体" w:cs="宋体"/>
              </w:rPr>
            </w:pPr>
          </w:p>
        </w:tc>
        <w:tc>
          <w:tcPr>
            <w:tcW w:w="1679" w:type="dxa"/>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760" w:type="dxa"/>
            <w:gridSpan w:val="2"/>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1519" w:type="dxa"/>
            <w:noWrap w:val="0"/>
            <w:vAlign w:val="center"/>
          </w:tcPr>
          <w:p>
            <w:pPr>
              <w:spacing w:line="360" w:lineRule="auto"/>
              <w:jc w:val="center"/>
              <w:rPr>
                <w:rFonts w:hint="eastAsia" w:ascii="宋体" w:hAnsi="宋体" w:eastAsia="宋体" w:cs="宋体"/>
              </w:rPr>
            </w:pPr>
          </w:p>
        </w:tc>
        <w:tc>
          <w:tcPr>
            <w:tcW w:w="2132" w:type="dxa"/>
            <w:noWrap w:val="0"/>
            <w:vAlign w:val="center"/>
          </w:tcPr>
          <w:p>
            <w:pPr>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noWrap w:val="0"/>
            <w:vAlign w:val="center"/>
          </w:tcPr>
          <w:p>
            <w:pPr>
              <w:spacing w:line="360" w:lineRule="auto"/>
              <w:jc w:val="center"/>
              <w:rPr>
                <w:rFonts w:hint="eastAsia" w:ascii="宋体" w:hAnsi="宋体" w:eastAsia="宋体" w:cs="宋体"/>
              </w:rPr>
            </w:pPr>
          </w:p>
        </w:tc>
        <w:tc>
          <w:tcPr>
            <w:tcW w:w="1679" w:type="dxa"/>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760" w:type="dxa"/>
            <w:gridSpan w:val="2"/>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1519" w:type="dxa"/>
            <w:noWrap w:val="0"/>
            <w:vAlign w:val="center"/>
          </w:tcPr>
          <w:p>
            <w:pPr>
              <w:spacing w:line="360" w:lineRule="auto"/>
              <w:jc w:val="center"/>
              <w:rPr>
                <w:rFonts w:hint="eastAsia" w:ascii="宋体" w:hAnsi="宋体" w:eastAsia="宋体" w:cs="宋体"/>
              </w:rPr>
            </w:pPr>
          </w:p>
        </w:tc>
        <w:tc>
          <w:tcPr>
            <w:tcW w:w="2132" w:type="dxa"/>
            <w:noWrap w:val="0"/>
            <w:vAlign w:val="center"/>
          </w:tcPr>
          <w:p>
            <w:pPr>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noWrap w:val="0"/>
            <w:vAlign w:val="center"/>
          </w:tcPr>
          <w:p>
            <w:pPr>
              <w:spacing w:line="360" w:lineRule="auto"/>
              <w:jc w:val="center"/>
              <w:rPr>
                <w:rFonts w:hint="eastAsia" w:ascii="宋体" w:hAnsi="宋体" w:eastAsia="宋体" w:cs="宋体"/>
              </w:rPr>
            </w:pPr>
          </w:p>
        </w:tc>
        <w:tc>
          <w:tcPr>
            <w:tcW w:w="1679" w:type="dxa"/>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760" w:type="dxa"/>
            <w:gridSpan w:val="2"/>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1519" w:type="dxa"/>
            <w:noWrap w:val="0"/>
            <w:vAlign w:val="center"/>
          </w:tcPr>
          <w:p>
            <w:pPr>
              <w:spacing w:line="360" w:lineRule="auto"/>
              <w:jc w:val="center"/>
              <w:rPr>
                <w:rFonts w:hint="eastAsia" w:ascii="宋体" w:hAnsi="宋体" w:eastAsia="宋体" w:cs="宋体"/>
              </w:rPr>
            </w:pPr>
          </w:p>
        </w:tc>
        <w:tc>
          <w:tcPr>
            <w:tcW w:w="2132" w:type="dxa"/>
            <w:noWrap w:val="0"/>
            <w:vAlign w:val="center"/>
          </w:tcPr>
          <w:p>
            <w:pPr>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noWrap w:val="0"/>
            <w:vAlign w:val="center"/>
          </w:tcPr>
          <w:p>
            <w:pPr>
              <w:spacing w:line="360" w:lineRule="auto"/>
              <w:jc w:val="center"/>
              <w:rPr>
                <w:rFonts w:hint="eastAsia" w:ascii="宋体" w:hAnsi="宋体" w:eastAsia="宋体" w:cs="宋体"/>
              </w:rPr>
            </w:pPr>
          </w:p>
        </w:tc>
        <w:tc>
          <w:tcPr>
            <w:tcW w:w="1679" w:type="dxa"/>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760" w:type="dxa"/>
            <w:gridSpan w:val="2"/>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1519" w:type="dxa"/>
            <w:noWrap w:val="0"/>
            <w:vAlign w:val="center"/>
          </w:tcPr>
          <w:p>
            <w:pPr>
              <w:spacing w:line="360" w:lineRule="auto"/>
              <w:jc w:val="center"/>
              <w:rPr>
                <w:rFonts w:hint="eastAsia" w:ascii="宋体" w:hAnsi="宋体" w:eastAsia="宋体" w:cs="宋体"/>
              </w:rPr>
            </w:pPr>
          </w:p>
        </w:tc>
        <w:tc>
          <w:tcPr>
            <w:tcW w:w="2132" w:type="dxa"/>
            <w:noWrap w:val="0"/>
            <w:vAlign w:val="center"/>
          </w:tcPr>
          <w:p>
            <w:pPr>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noWrap w:val="0"/>
            <w:vAlign w:val="center"/>
          </w:tcPr>
          <w:p>
            <w:pPr>
              <w:spacing w:line="360" w:lineRule="auto"/>
              <w:jc w:val="center"/>
              <w:rPr>
                <w:rFonts w:hint="eastAsia" w:ascii="宋体" w:hAnsi="宋体" w:eastAsia="宋体" w:cs="宋体"/>
              </w:rPr>
            </w:pPr>
          </w:p>
        </w:tc>
        <w:tc>
          <w:tcPr>
            <w:tcW w:w="1679" w:type="dxa"/>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760" w:type="dxa"/>
            <w:gridSpan w:val="2"/>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1519" w:type="dxa"/>
            <w:noWrap w:val="0"/>
            <w:vAlign w:val="center"/>
          </w:tcPr>
          <w:p>
            <w:pPr>
              <w:spacing w:line="360" w:lineRule="auto"/>
              <w:jc w:val="center"/>
              <w:rPr>
                <w:rFonts w:hint="eastAsia" w:ascii="宋体" w:hAnsi="宋体" w:eastAsia="宋体" w:cs="宋体"/>
              </w:rPr>
            </w:pPr>
          </w:p>
        </w:tc>
        <w:tc>
          <w:tcPr>
            <w:tcW w:w="2132" w:type="dxa"/>
            <w:noWrap w:val="0"/>
            <w:vAlign w:val="center"/>
          </w:tcPr>
          <w:p>
            <w:pPr>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noWrap w:val="0"/>
            <w:vAlign w:val="center"/>
          </w:tcPr>
          <w:p>
            <w:pPr>
              <w:spacing w:line="360" w:lineRule="auto"/>
              <w:jc w:val="center"/>
              <w:rPr>
                <w:rFonts w:hint="eastAsia" w:ascii="宋体" w:hAnsi="宋体" w:eastAsia="宋体" w:cs="宋体"/>
              </w:rPr>
            </w:pPr>
          </w:p>
        </w:tc>
        <w:tc>
          <w:tcPr>
            <w:tcW w:w="1679" w:type="dxa"/>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760" w:type="dxa"/>
            <w:gridSpan w:val="2"/>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1519" w:type="dxa"/>
            <w:noWrap w:val="0"/>
            <w:vAlign w:val="center"/>
          </w:tcPr>
          <w:p>
            <w:pPr>
              <w:spacing w:line="360" w:lineRule="auto"/>
              <w:jc w:val="center"/>
              <w:rPr>
                <w:rFonts w:hint="eastAsia" w:ascii="宋体" w:hAnsi="宋体" w:eastAsia="宋体" w:cs="宋体"/>
              </w:rPr>
            </w:pPr>
          </w:p>
        </w:tc>
        <w:tc>
          <w:tcPr>
            <w:tcW w:w="2132" w:type="dxa"/>
            <w:noWrap w:val="0"/>
            <w:vAlign w:val="center"/>
          </w:tcPr>
          <w:p>
            <w:pPr>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tcBorders>
              <w:bottom w:val="single" w:color="auto" w:sz="4" w:space="0"/>
            </w:tcBorders>
            <w:noWrap w:val="0"/>
            <w:vAlign w:val="center"/>
          </w:tcPr>
          <w:p>
            <w:pPr>
              <w:spacing w:line="360" w:lineRule="auto"/>
              <w:jc w:val="center"/>
              <w:rPr>
                <w:rFonts w:hint="eastAsia" w:ascii="宋体" w:hAnsi="宋体" w:eastAsia="宋体" w:cs="宋体"/>
              </w:rPr>
            </w:pPr>
          </w:p>
        </w:tc>
        <w:tc>
          <w:tcPr>
            <w:tcW w:w="1679" w:type="dxa"/>
            <w:tcBorders>
              <w:bottom w:val="single" w:color="auto" w:sz="4" w:space="0"/>
            </w:tcBorders>
            <w:noWrap w:val="0"/>
            <w:vAlign w:val="center"/>
          </w:tcPr>
          <w:p>
            <w:pPr>
              <w:spacing w:line="360" w:lineRule="auto"/>
              <w:jc w:val="center"/>
              <w:rPr>
                <w:rFonts w:hint="eastAsia" w:ascii="宋体" w:hAnsi="宋体" w:eastAsia="宋体" w:cs="宋体"/>
              </w:rPr>
            </w:pPr>
          </w:p>
        </w:tc>
        <w:tc>
          <w:tcPr>
            <w:tcW w:w="949" w:type="dxa"/>
            <w:tcBorders>
              <w:bottom w:val="single" w:color="auto" w:sz="4" w:space="0"/>
            </w:tcBorders>
            <w:noWrap w:val="0"/>
            <w:vAlign w:val="center"/>
          </w:tcPr>
          <w:p>
            <w:pPr>
              <w:spacing w:line="360" w:lineRule="auto"/>
              <w:jc w:val="center"/>
              <w:rPr>
                <w:rFonts w:hint="eastAsia" w:ascii="宋体" w:hAnsi="宋体" w:eastAsia="宋体" w:cs="宋体"/>
              </w:rPr>
            </w:pPr>
          </w:p>
        </w:tc>
        <w:tc>
          <w:tcPr>
            <w:tcW w:w="760" w:type="dxa"/>
            <w:gridSpan w:val="2"/>
            <w:tcBorders>
              <w:bottom w:val="single" w:color="auto" w:sz="4" w:space="0"/>
            </w:tcBorders>
            <w:noWrap w:val="0"/>
            <w:vAlign w:val="center"/>
          </w:tcPr>
          <w:p>
            <w:pPr>
              <w:spacing w:line="360" w:lineRule="auto"/>
              <w:jc w:val="center"/>
              <w:rPr>
                <w:rFonts w:hint="eastAsia" w:ascii="宋体" w:hAnsi="宋体" w:eastAsia="宋体" w:cs="宋体"/>
              </w:rPr>
            </w:pPr>
          </w:p>
        </w:tc>
        <w:tc>
          <w:tcPr>
            <w:tcW w:w="949" w:type="dxa"/>
            <w:tcBorders>
              <w:bottom w:val="single" w:color="auto" w:sz="4" w:space="0"/>
            </w:tcBorders>
            <w:noWrap w:val="0"/>
            <w:vAlign w:val="center"/>
          </w:tcPr>
          <w:p>
            <w:pPr>
              <w:spacing w:line="360" w:lineRule="auto"/>
              <w:jc w:val="center"/>
              <w:rPr>
                <w:rFonts w:hint="eastAsia" w:ascii="宋体" w:hAnsi="宋体" w:eastAsia="宋体" w:cs="宋体"/>
              </w:rPr>
            </w:pPr>
          </w:p>
        </w:tc>
        <w:tc>
          <w:tcPr>
            <w:tcW w:w="1519" w:type="dxa"/>
            <w:tcBorders>
              <w:bottom w:val="single" w:color="auto" w:sz="4" w:space="0"/>
            </w:tcBorders>
            <w:noWrap w:val="0"/>
            <w:vAlign w:val="center"/>
          </w:tcPr>
          <w:p>
            <w:pPr>
              <w:spacing w:line="360" w:lineRule="auto"/>
              <w:jc w:val="center"/>
              <w:rPr>
                <w:rFonts w:hint="eastAsia" w:ascii="宋体" w:hAnsi="宋体" w:eastAsia="宋体" w:cs="宋体"/>
              </w:rPr>
            </w:pPr>
          </w:p>
        </w:tc>
        <w:tc>
          <w:tcPr>
            <w:tcW w:w="2132" w:type="dxa"/>
            <w:tcBorders>
              <w:bottom w:val="single" w:color="auto" w:sz="4" w:space="0"/>
            </w:tcBorders>
            <w:noWrap w:val="0"/>
            <w:vAlign w:val="center"/>
          </w:tcPr>
          <w:p>
            <w:pPr>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noWrap w:val="0"/>
            <w:vAlign w:val="center"/>
          </w:tcPr>
          <w:p>
            <w:pPr>
              <w:spacing w:line="360" w:lineRule="auto"/>
              <w:jc w:val="center"/>
              <w:rPr>
                <w:rFonts w:hint="eastAsia" w:ascii="宋体" w:hAnsi="宋体" w:eastAsia="宋体" w:cs="宋体"/>
              </w:rPr>
            </w:pPr>
          </w:p>
        </w:tc>
        <w:tc>
          <w:tcPr>
            <w:tcW w:w="1679" w:type="dxa"/>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760" w:type="dxa"/>
            <w:gridSpan w:val="2"/>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1519" w:type="dxa"/>
            <w:noWrap w:val="0"/>
            <w:vAlign w:val="center"/>
          </w:tcPr>
          <w:p>
            <w:pPr>
              <w:spacing w:line="360" w:lineRule="auto"/>
              <w:jc w:val="center"/>
              <w:rPr>
                <w:rFonts w:hint="eastAsia" w:ascii="宋体" w:hAnsi="宋体" w:eastAsia="宋体" w:cs="宋体"/>
              </w:rPr>
            </w:pPr>
          </w:p>
        </w:tc>
        <w:tc>
          <w:tcPr>
            <w:tcW w:w="2132" w:type="dxa"/>
            <w:noWrap w:val="0"/>
            <w:vAlign w:val="center"/>
          </w:tcPr>
          <w:p>
            <w:pPr>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noWrap w:val="0"/>
            <w:vAlign w:val="center"/>
          </w:tcPr>
          <w:p>
            <w:pPr>
              <w:spacing w:line="360" w:lineRule="auto"/>
              <w:jc w:val="center"/>
              <w:rPr>
                <w:rFonts w:hint="eastAsia" w:ascii="宋体" w:hAnsi="宋体" w:eastAsia="宋体" w:cs="宋体"/>
              </w:rPr>
            </w:pPr>
          </w:p>
        </w:tc>
        <w:tc>
          <w:tcPr>
            <w:tcW w:w="1679" w:type="dxa"/>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760" w:type="dxa"/>
            <w:gridSpan w:val="2"/>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1519" w:type="dxa"/>
            <w:noWrap w:val="0"/>
            <w:vAlign w:val="center"/>
          </w:tcPr>
          <w:p>
            <w:pPr>
              <w:spacing w:line="360" w:lineRule="auto"/>
              <w:jc w:val="center"/>
              <w:rPr>
                <w:rFonts w:hint="eastAsia" w:ascii="宋体" w:hAnsi="宋体" w:eastAsia="宋体" w:cs="宋体"/>
              </w:rPr>
            </w:pPr>
          </w:p>
        </w:tc>
        <w:tc>
          <w:tcPr>
            <w:tcW w:w="2132" w:type="dxa"/>
            <w:noWrap w:val="0"/>
            <w:vAlign w:val="center"/>
          </w:tcPr>
          <w:p>
            <w:pPr>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284" w:type="dxa"/>
            <w:noWrap w:val="0"/>
            <w:vAlign w:val="center"/>
          </w:tcPr>
          <w:p>
            <w:pPr>
              <w:spacing w:line="360" w:lineRule="auto"/>
              <w:jc w:val="center"/>
              <w:rPr>
                <w:rFonts w:hint="eastAsia" w:ascii="宋体" w:hAnsi="宋体" w:eastAsia="宋体" w:cs="宋体"/>
              </w:rPr>
            </w:pPr>
          </w:p>
        </w:tc>
        <w:tc>
          <w:tcPr>
            <w:tcW w:w="1679" w:type="dxa"/>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760" w:type="dxa"/>
            <w:gridSpan w:val="2"/>
            <w:noWrap w:val="0"/>
            <w:vAlign w:val="center"/>
          </w:tcPr>
          <w:p>
            <w:pPr>
              <w:spacing w:line="360" w:lineRule="auto"/>
              <w:jc w:val="center"/>
              <w:rPr>
                <w:rFonts w:hint="eastAsia" w:ascii="宋体" w:hAnsi="宋体" w:eastAsia="宋体" w:cs="宋体"/>
              </w:rPr>
            </w:pPr>
          </w:p>
        </w:tc>
        <w:tc>
          <w:tcPr>
            <w:tcW w:w="949" w:type="dxa"/>
            <w:noWrap w:val="0"/>
            <w:vAlign w:val="center"/>
          </w:tcPr>
          <w:p>
            <w:pPr>
              <w:spacing w:line="360" w:lineRule="auto"/>
              <w:jc w:val="center"/>
              <w:rPr>
                <w:rFonts w:hint="eastAsia" w:ascii="宋体" w:hAnsi="宋体" w:eastAsia="宋体" w:cs="宋体"/>
              </w:rPr>
            </w:pPr>
          </w:p>
        </w:tc>
        <w:tc>
          <w:tcPr>
            <w:tcW w:w="1519" w:type="dxa"/>
            <w:noWrap w:val="0"/>
            <w:vAlign w:val="center"/>
          </w:tcPr>
          <w:p>
            <w:pPr>
              <w:spacing w:line="360" w:lineRule="auto"/>
              <w:jc w:val="center"/>
              <w:rPr>
                <w:rFonts w:hint="eastAsia" w:ascii="宋体" w:hAnsi="宋体" w:eastAsia="宋体" w:cs="宋体"/>
              </w:rPr>
            </w:pPr>
          </w:p>
        </w:tc>
        <w:tc>
          <w:tcPr>
            <w:tcW w:w="2132" w:type="dxa"/>
            <w:noWrap w:val="0"/>
            <w:vAlign w:val="center"/>
          </w:tcPr>
          <w:p>
            <w:pPr>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9272" w:type="dxa"/>
            <w:gridSpan w:val="8"/>
            <w:noWrap w:val="0"/>
            <w:vAlign w:val="center"/>
          </w:tcPr>
          <w:p>
            <w:pPr>
              <w:spacing w:line="360" w:lineRule="auto"/>
              <w:rPr>
                <w:rFonts w:hint="eastAsia" w:ascii="宋体" w:hAnsi="宋体" w:eastAsia="宋体" w:cs="宋体"/>
              </w:rPr>
            </w:pPr>
            <w:r>
              <w:rPr>
                <w:rFonts w:hint="eastAsia" w:ascii="宋体" w:hAnsi="宋体" w:eastAsia="宋体" w:cs="宋体"/>
              </w:rPr>
              <w:t>合计人民币（小写）：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9272" w:type="dxa"/>
            <w:gridSpan w:val="8"/>
            <w:noWrap w:val="0"/>
            <w:vAlign w:val="center"/>
          </w:tcPr>
          <w:p>
            <w:pPr>
              <w:spacing w:line="360" w:lineRule="auto"/>
              <w:rPr>
                <w:rFonts w:hint="eastAsia" w:ascii="宋体" w:hAnsi="宋体" w:eastAsia="宋体" w:cs="宋体"/>
              </w:rPr>
            </w:pPr>
            <w:r>
              <w:rPr>
                <w:rFonts w:hint="eastAsia" w:ascii="宋体" w:hAnsi="宋体" w:eastAsia="宋体" w:cs="宋体"/>
              </w:rPr>
              <w:t>合计人民币（大写）：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9272" w:type="dxa"/>
            <w:gridSpan w:val="8"/>
            <w:noWrap w:val="0"/>
            <w:vAlign w:val="top"/>
          </w:tcPr>
          <w:p>
            <w:pPr>
              <w:spacing w:line="360" w:lineRule="auto"/>
              <w:rPr>
                <w:rFonts w:hint="eastAsia" w:ascii="宋体" w:hAnsi="宋体" w:eastAsia="宋体" w:cs="宋体"/>
              </w:rPr>
            </w:pPr>
            <w:r>
              <w:rPr>
                <w:rFonts w:hint="eastAsia" w:ascii="宋体" w:hAnsi="宋体" w:eastAsia="宋体" w:cs="宋体"/>
              </w:rPr>
              <w:t>质量要求和技术标准。供方提供的商品必须是全新的，完全符合国家有关技术标准，供方的质量保证及售后服务承诺如下：</w:t>
            </w:r>
          </w:p>
          <w:p>
            <w:pPr>
              <w:spacing w:line="360" w:lineRule="auto"/>
              <w:rPr>
                <w:rFonts w:hint="eastAsia" w:ascii="宋体" w:hAnsi="宋体" w:eastAsia="宋体" w:cs="宋体"/>
              </w:rPr>
            </w:pPr>
            <w:r>
              <w:rPr>
                <w:rFonts w:hint="eastAsia" w:ascii="宋体" w:hAnsi="宋体" w:eastAsia="宋体" w:cs="宋体"/>
              </w:rPr>
              <w:t>质保期限：</w:t>
            </w:r>
          </w:p>
          <w:p>
            <w:pPr>
              <w:spacing w:line="360" w:lineRule="auto"/>
              <w:rPr>
                <w:rFonts w:hint="eastAsia" w:ascii="宋体" w:hAnsi="宋体" w:eastAsia="宋体" w:cs="宋体"/>
              </w:rPr>
            </w:pPr>
            <w:r>
              <w:rPr>
                <w:rFonts w:hint="eastAsia" w:ascii="宋体" w:hAnsi="宋体" w:eastAsia="宋体" w:cs="宋体"/>
              </w:rPr>
              <w:t>保修范围：</w:t>
            </w:r>
          </w:p>
          <w:p>
            <w:pPr>
              <w:spacing w:line="360" w:lineRule="auto"/>
              <w:rPr>
                <w:rFonts w:hint="eastAsia" w:ascii="宋体" w:hAnsi="宋体" w:eastAsia="宋体" w:cs="宋体"/>
              </w:rPr>
            </w:pPr>
            <w:r>
              <w:rPr>
                <w:rFonts w:hint="eastAsia" w:ascii="宋体" w:hAnsi="宋体" w:eastAsia="宋体" w:cs="宋体"/>
              </w:rPr>
              <w:t>服务措施：</w:t>
            </w:r>
          </w:p>
          <w:p>
            <w:pPr>
              <w:spacing w:line="360" w:lineRule="auto"/>
              <w:rPr>
                <w:rFonts w:hint="eastAsia" w:ascii="宋体" w:hAnsi="宋体" w:eastAsia="宋体" w:cs="宋体"/>
              </w:rPr>
            </w:pPr>
            <w:r>
              <w:rPr>
                <w:rFonts w:hint="eastAsia" w:ascii="宋体" w:hAnsi="宋体" w:eastAsia="宋体" w:cs="宋体"/>
              </w:rPr>
              <w:t>质保期后服务：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9272" w:type="dxa"/>
            <w:gridSpan w:val="8"/>
            <w:noWrap w:val="0"/>
            <w:vAlign w:val="top"/>
          </w:tcPr>
          <w:p>
            <w:pPr>
              <w:spacing w:line="360" w:lineRule="auto"/>
              <w:rPr>
                <w:rFonts w:hint="eastAsia" w:ascii="宋体" w:hAnsi="宋体" w:eastAsia="宋体" w:cs="宋体"/>
              </w:rPr>
            </w:pPr>
            <w:r>
              <w:rPr>
                <w:rFonts w:hint="eastAsia" w:ascii="宋体" w:hAnsi="宋体" w:eastAsia="宋体" w:cs="宋体"/>
              </w:rPr>
              <w:t>二、随机备品、附件、工具数量及供应方法：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9272" w:type="dxa"/>
            <w:gridSpan w:val="8"/>
            <w:noWrap w:val="0"/>
            <w:vAlign w:val="top"/>
          </w:tcPr>
          <w:p>
            <w:pPr>
              <w:spacing w:line="360" w:lineRule="auto"/>
              <w:rPr>
                <w:rFonts w:hint="eastAsia" w:ascii="宋体" w:hAnsi="宋体" w:eastAsia="宋体" w:cs="宋体"/>
              </w:rPr>
            </w:pPr>
            <w:r>
              <w:rPr>
                <w:rFonts w:hint="eastAsia" w:ascii="宋体" w:hAnsi="宋体" w:eastAsia="宋体" w:cs="宋体"/>
              </w:rPr>
              <w:t>三、交提货方式：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gridSpan w:val="9"/>
            <w:noWrap w:val="0"/>
            <w:vAlign w:val="top"/>
          </w:tcPr>
          <w:p>
            <w:pPr>
              <w:spacing w:line="360" w:lineRule="auto"/>
              <w:rPr>
                <w:rFonts w:hint="eastAsia" w:ascii="宋体" w:hAnsi="宋体" w:eastAsia="宋体" w:cs="宋体"/>
              </w:rPr>
            </w:pPr>
            <w:r>
              <w:rPr>
                <w:rFonts w:hint="eastAsia" w:ascii="宋体" w:hAnsi="宋体" w:eastAsia="宋体" w:cs="宋体"/>
              </w:rPr>
              <w:t>四、验收标准、方法：</w:t>
            </w:r>
          </w:p>
          <w:p>
            <w:pPr>
              <w:spacing w:line="360" w:lineRule="auto"/>
              <w:rPr>
                <w:rFonts w:hint="eastAsia" w:ascii="宋体" w:hAnsi="宋体" w:eastAsia="宋体" w:cs="宋体"/>
              </w:rPr>
            </w:pPr>
            <w:r>
              <w:rPr>
                <w:rFonts w:hint="eastAsia" w:ascii="宋体" w:hAnsi="宋体" w:eastAsia="宋体" w:cs="宋体"/>
              </w:rPr>
              <w:t>如有异议，请于      日内提出。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gridSpan w:val="9"/>
            <w:noWrap w:val="0"/>
            <w:vAlign w:val="top"/>
          </w:tcPr>
          <w:p>
            <w:pPr>
              <w:spacing w:line="360" w:lineRule="auto"/>
              <w:rPr>
                <w:rFonts w:hint="eastAsia" w:ascii="宋体" w:hAnsi="宋体" w:eastAsia="宋体" w:cs="宋体"/>
              </w:rPr>
            </w:pPr>
            <w:r>
              <w:rPr>
                <w:rFonts w:hint="eastAsia" w:ascii="宋体" w:hAnsi="宋体" w:eastAsia="宋体" w:cs="宋体"/>
              </w:rPr>
              <w:t>五、付款方式：</w:t>
            </w:r>
          </w:p>
          <w:p>
            <w:pPr>
              <w:spacing w:line="360" w:lineRule="auto"/>
              <w:rPr>
                <w:rFonts w:hint="eastAsia" w:ascii="宋体" w:hAnsi="宋体" w:eastAsia="宋体" w:cs="宋体"/>
              </w:rPr>
            </w:pPr>
            <w:r>
              <w:rPr>
                <w:rFonts w:hint="eastAsia" w:ascii="宋体" w:hAnsi="宋体" w:eastAsia="宋体" w:cs="宋体"/>
              </w:rPr>
              <w:t>（按财政支付、采购人支付及支付方式等分别填列）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gridSpan w:val="9"/>
            <w:noWrap w:val="0"/>
            <w:vAlign w:val="top"/>
          </w:tcPr>
          <w:p>
            <w:pPr>
              <w:spacing w:line="360" w:lineRule="auto"/>
              <w:rPr>
                <w:rFonts w:hint="eastAsia" w:ascii="宋体" w:hAnsi="宋体" w:eastAsia="宋体" w:cs="宋体"/>
              </w:rPr>
            </w:pPr>
            <w:r>
              <w:rPr>
                <w:rFonts w:hint="eastAsia" w:ascii="宋体" w:hAnsi="宋体" w:eastAsia="宋体" w:cs="宋体"/>
              </w:rPr>
              <w:t>六、违约责任：</w:t>
            </w:r>
          </w:p>
          <w:p>
            <w:pPr>
              <w:spacing w:line="360" w:lineRule="auto"/>
              <w:rPr>
                <w:rFonts w:hint="eastAsia" w:ascii="宋体" w:hAnsi="宋体" w:eastAsia="宋体" w:cs="宋体"/>
              </w:rPr>
            </w:pPr>
            <w:r>
              <w:rPr>
                <w:rFonts w:hint="eastAsia" w:ascii="宋体" w:hAnsi="宋体" w:eastAsia="宋体" w:cs="宋体"/>
              </w:rPr>
              <w:t>按《合同法》、《政府采购法》执行，或按双方约定。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gridSpan w:val="9"/>
            <w:noWrap w:val="0"/>
            <w:vAlign w:val="top"/>
          </w:tcPr>
          <w:p>
            <w:pPr>
              <w:spacing w:line="360" w:lineRule="auto"/>
              <w:rPr>
                <w:rFonts w:hint="eastAsia" w:ascii="宋体" w:hAnsi="宋体" w:eastAsia="宋体" w:cs="宋体"/>
              </w:rPr>
            </w:pPr>
            <w:r>
              <w:rPr>
                <w:rFonts w:hint="eastAsia" w:ascii="宋体" w:hAnsi="宋体" w:eastAsia="宋体" w:cs="宋体"/>
              </w:rPr>
              <w:t>七、其他约定事项：</w:t>
            </w:r>
          </w:p>
          <w:p>
            <w:pPr>
              <w:spacing w:line="360" w:lineRule="auto"/>
              <w:rPr>
                <w:rFonts w:hint="eastAsia" w:ascii="宋体" w:hAnsi="宋体" w:eastAsia="宋体" w:cs="宋体"/>
              </w:rPr>
            </w:pPr>
            <w:r>
              <w:rPr>
                <w:rFonts w:hint="eastAsia" w:ascii="宋体" w:hAnsi="宋体" w:eastAsia="宋体" w:cs="宋体"/>
              </w:rPr>
              <w:t>采购文件及其补遗书、投标（或响应）文件和承诺是本合同不可分割的部分。</w:t>
            </w:r>
          </w:p>
          <w:p>
            <w:pPr>
              <w:spacing w:line="360" w:lineRule="auto"/>
              <w:rPr>
                <w:rFonts w:hint="eastAsia" w:ascii="宋体" w:hAnsi="宋体" w:eastAsia="宋体" w:cs="宋体"/>
              </w:rPr>
            </w:pPr>
            <w:r>
              <w:rPr>
                <w:rFonts w:hint="eastAsia" w:ascii="宋体" w:hAnsi="宋体" w:eastAsia="宋体" w:cs="宋体"/>
              </w:rPr>
              <w:t>本合同如发生争议可申请仲裁或提请诉讼。</w:t>
            </w:r>
          </w:p>
          <w:p>
            <w:pPr>
              <w:spacing w:line="360" w:lineRule="auto"/>
              <w:rPr>
                <w:rFonts w:hint="eastAsia" w:ascii="宋体" w:hAnsi="宋体" w:eastAsia="宋体" w:cs="宋体"/>
              </w:rPr>
            </w:pPr>
            <w:r>
              <w:rPr>
                <w:rFonts w:hint="eastAsia" w:ascii="宋体" w:hAnsi="宋体" w:eastAsia="宋体" w:cs="宋体"/>
              </w:rPr>
              <w:t>本合同一式陆份，甲、乙双方各执贰份，财政主管部门备案壹份，代理机构备案壹份，具同等法律效力。</w:t>
            </w:r>
          </w:p>
          <w:p>
            <w:pPr>
              <w:spacing w:line="360" w:lineRule="auto"/>
              <w:rPr>
                <w:rFonts w:hint="eastAsia" w:ascii="宋体" w:hAnsi="宋体" w:eastAsia="宋体" w:cs="宋体"/>
              </w:rPr>
            </w:pPr>
            <w:r>
              <w:rPr>
                <w:rFonts w:hint="eastAsia" w:ascii="宋体" w:hAnsi="宋体" w:eastAsia="宋体" w:cs="宋体"/>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gridSpan w:val="4"/>
            <w:noWrap w:val="0"/>
            <w:vAlign w:val="top"/>
          </w:tcPr>
          <w:p>
            <w:pPr>
              <w:spacing w:line="360" w:lineRule="auto"/>
              <w:rPr>
                <w:rFonts w:hint="eastAsia" w:ascii="宋体" w:hAnsi="宋体" w:eastAsia="宋体" w:cs="宋体"/>
              </w:rPr>
            </w:pPr>
          </w:p>
          <w:p>
            <w:pPr>
              <w:spacing w:line="360" w:lineRule="auto"/>
              <w:rPr>
                <w:rFonts w:hint="eastAsia" w:ascii="宋体" w:hAnsi="宋体" w:eastAsia="宋体" w:cs="宋体"/>
              </w:rPr>
            </w:pPr>
            <w:r>
              <w:rPr>
                <w:rFonts w:hint="eastAsia" w:ascii="宋体" w:hAnsi="宋体" w:eastAsia="宋体" w:cs="宋体"/>
              </w:rPr>
              <w:t>需方：</w:t>
            </w:r>
          </w:p>
          <w:p>
            <w:pPr>
              <w:spacing w:line="360" w:lineRule="auto"/>
              <w:rPr>
                <w:rFonts w:hint="eastAsia" w:ascii="宋体" w:hAnsi="宋体" w:eastAsia="宋体" w:cs="宋体"/>
              </w:rPr>
            </w:pPr>
            <w:r>
              <w:rPr>
                <w:rFonts w:hint="eastAsia" w:ascii="宋体" w:hAnsi="宋体" w:eastAsia="宋体" w:cs="宋体"/>
              </w:rPr>
              <w:t>地址：</w:t>
            </w:r>
          </w:p>
          <w:p>
            <w:pPr>
              <w:spacing w:line="360" w:lineRule="auto"/>
              <w:rPr>
                <w:rFonts w:hint="eastAsia" w:ascii="宋体" w:hAnsi="宋体" w:eastAsia="宋体" w:cs="宋体"/>
              </w:rPr>
            </w:pPr>
            <w:r>
              <w:rPr>
                <w:rFonts w:hint="eastAsia" w:ascii="宋体" w:hAnsi="宋体" w:eastAsia="宋体" w:cs="宋体"/>
              </w:rPr>
              <w:t>电话：</w:t>
            </w:r>
          </w:p>
          <w:p>
            <w:pPr>
              <w:spacing w:line="360" w:lineRule="auto"/>
              <w:rPr>
                <w:rFonts w:hint="eastAsia" w:ascii="宋体" w:hAnsi="宋体" w:eastAsia="宋体" w:cs="宋体"/>
              </w:rPr>
            </w:pPr>
            <w:r>
              <w:rPr>
                <w:rFonts w:hint="eastAsia" w:ascii="宋体" w:hAnsi="宋体" w:eastAsia="宋体" w:cs="宋体"/>
              </w:rPr>
              <w:t>传真：</w:t>
            </w:r>
          </w:p>
          <w:p>
            <w:pPr>
              <w:spacing w:line="360" w:lineRule="auto"/>
              <w:rPr>
                <w:rFonts w:hint="eastAsia" w:ascii="宋体" w:hAnsi="宋体" w:eastAsia="宋体" w:cs="宋体"/>
              </w:rPr>
            </w:pPr>
            <w:r>
              <w:rPr>
                <w:rFonts w:hint="eastAsia" w:ascii="宋体" w:hAnsi="宋体" w:eastAsia="宋体" w:cs="宋体"/>
              </w:rPr>
              <w:t>授权代表：</w:t>
            </w:r>
          </w:p>
        </w:tc>
        <w:tc>
          <w:tcPr>
            <w:tcW w:w="4643" w:type="dxa"/>
            <w:gridSpan w:val="5"/>
            <w:noWrap w:val="0"/>
            <w:vAlign w:val="top"/>
          </w:tcPr>
          <w:p>
            <w:pPr>
              <w:spacing w:line="360" w:lineRule="auto"/>
              <w:rPr>
                <w:rFonts w:hint="eastAsia" w:ascii="宋体" w:hAnsi="宋体" w:eastAsia="宋体" w:cs="宋体"/>
              </w:rPr>
            </w:pPr>
          </w:p>
          <w:p>
            <w:pPr>
              <w:spacing w:line="360" w:lineRule="auto"/>
              <w:rPr>
                <w:rFonts w:hint="eastAsia" w:ascii="宋体" w:hAnsi="宋体" w:eastAsia="宋体" w:cs="宋体"/>
              </w:rPr>
            </w:pPr>
            <w:r>
              <w:rPr>
                <w:rFonts w:hint="eastAsia" w:ascii="宋体" w:hAnsi="宋体" w:eastAsia="宋体" w:cs="宋体"/>
              </w:rPr>
              <w:t>供方：</w:t>
            </w:r>
          </w:p>
          <w:p>
            <w:pPr>
              <w:spacing w:line="360" w:lineRule="auto"/>
              <w:rPr>
                <w:rFonts w:hint="eastAsia" w:ascii="宋体" w:hAnsi="宋体" w:eastAsia="宋体" w:cs="宋体"/>
              </w:rPr>
            </w:pPr>
            <w:r>
              <w:rPr>
                <w:rFonts w:hint="eastAsia" w:ascii="宋体" w:hAnsi="宋体" w:eastAsia="宋体" w:cs="宋体"/>
              </w:rPr>
              <w:t>地址：</w:t>
            </w:r>
          </w:p>
          <w:p>
            <w:pPr>
              <w:spacing w:line="360" w:lineRule="auto"/>
              <w:rPr>
                <w:rFonts w:hint="eastAsia" w:ascii="宋体" w:hAnsi="宋体" w:eastAsia="宋体" w:cs="宋体"/>
              </w:rPr>
            </w:pPr>
            <w:r>
              <w:rPr>
                <w:rFonts w:hint="eastAsia" w:ascii="宋体" w:hAnsi="宋体" w:eastAsia="宋体" w:cs="宋体"/>
              </w:rPr>
              <w:t>电话：</w:t>
            </w:r>
          </w:p>
          <w:p>
            <w:pPr>
              <w:spacing w:line="360" w:lineRule="auto"/>
              <w:rPr>
                <w:rFonts w:hint="eastAsia" w:ascii="宋体" w:hAnsi="宋体" w:eastAsia="宋体" w:cs="宋体"/>
              </w:rPr>
            </w:pPr>
            <w:r>
              <w:rPr>
                <w:rFonts w:hint="eastAsia" w:ascii="宋体" w:hAnsi="宋体" w:eastAsia="宋体" w:cs="宋体"/>
              </w:rPr>
              <w:t>传真：</w:t>
            </w:r>
          </w:p>
          <w:p>
            <w:pPr>
              <w:spacing w:line="360" w:lineRule="auto"/>
              <w:rPr>
                <w:rFonts w:hint="eastAsia" w:ascii="宋体" w:hAnsi="宋体" w:eastAsia="宋体" w:cs="宋体"/>
              </w:rPr>
            </w:pPr>
            <w:r>
              <w:rPr>
                <w:rFonts w:hint="eastAsia" w:ascii="宋体" w:hAnsi="宋体" w:eastAsia="宋体" w:cs="宋体"/>
              </w:rPr>
              <w:t>开户银行：</w:t>
            </w:r>
          </w:p>
          <w:p>
            <w:pPr>
              <w:spacing w:line="360" w:lineRule="auto"/>
              <w:rPr>
                <w:rFonts w:hint="eastAsia" w:ascii="宋体" w:hAnsi="宋体" w:eastAsia="宋体" w:cs="宋体"/>
              </w:rPr>
            </w:pPr>
            <w:r>
              <w:rPr>
                <w:rFonts w:hint="eastAsia" w:ascii="宋体" w:hAnsi="宋体" w:eastAsia="宋体" w:cs="宋体"/>
              </w:rPr>
              <w:t>账号：</w:t>
            </w:r>
          </w:p>
          <w:p>
            <w:pPr>
              <w:spacing w:line="360" w:lineRule="auto"/>
              <w:rPr>
                <w:rFonts w:hint="eastAsia" w:ascii="宋体" w:hAnsi="宋体" w:eastAsia="宋体" w:cs="宋体"/>
              </w:rPr>
            </w:pPr>
            <w:r>
              <w:rPr>
                <w:rFonts w:hint="eastAsia" w:ascii="宋体" w:hAnsi="宋体" w:eastAsia="宋体" w:cs="宋体"/>
              </w:rPr>
              <w:t>授权代表：</w:t>
            </w:r>
          </w:p>
          <w:p>
            <w:pPr>
              <w:spacing w:line="360" w:lineRule="auto"/>
              <w:rPr>
                <w:rFonts w:hint="eastAsia" w:ascii="宋体" w:hAnsi="宋体" w:eastAsia="宋体" w:cs="宋体"/>
              </w:rPr>
            </w:pPr>
            <w:r>
              <w:rPr>
                <w:rFonts w:hint="eastAsia" w:ascii="宋体" w:hAnsi="宋体" w:eastAsia="宋体" w:cs="宋体"/>
              </w:rPr>
              <w:t>（本栏请用计算机打印以便于准确付款）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2" w:hRule="atLeast"/>
        </w:trPr>
        <w:tc>
          <w:tcPr>
            <w:tcW w:w="9287" w:type="dxa"/>
            <w:gridSpan w:val="9"/>
            <w:noWrap w:val="0"/>
            <w:vAlign w:val="top"/>
          </w:tcPr>
          <w:p>
            <w:pPr>
              <w:rPr>
                <w:rFonts w:hint="eastAsia" w:ascii="宋体" w:hAnsi="宋体" w:eastAsia="宋体" w:cs="宋体"/>
              </w:rPr>
            </w:pPr>
            <w:r>
              <w:rPr>
                <w:rFonts w:hint="eastAsia" w:ascii="宋体" w:hAnsi="宋体" w:eastAsia="宋体" w:cs="宋体"/>
              </w:rPr>
              <w:t>备注：</w:t>
            </w:r>
          </w:p>
          <w:p>
            <w:pPr>
              <w:rPr>
                <w:rFonts w:hint="eastAsia" w:ascii="宋体" w:hAnsi="宋体" w:eastAsia="宋体" w:cs="宋体"/>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Yzg1ZjQ0OWQzOTM4YTk0NjZmNGZkY2E2MjIwMWQifQ=="/>
  </w:docVars>
  <w:rsids>
    <w:rsidRoot w:val="33086DDF"/>
    <w:rsid w:val="33086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jc w:val="center"/>
      <w:outlineLvl w:val="0"/>
    </w:pPr>
    <w:rPr>
      <w:rFonts w:ascii="宋体" w:hAnsi="宋体"/>
      <w:b/>
      <w:sz w:val="36"/>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customStyle="1" w:styleId="6">
    <w:name w:val="正文缩进1"/>
    <w:basedOn w:val="1"/>
    <w:qFormat/>
    <w:uiPriority w:val="0"/>
    <w:pPr>
      <w:ind w:firstLine="420" w:firstLineChars="200"/>
    </w:pPr>
  </w:style>
  <w:style w:type="paragraph" w:customStyle="1" w:styleId="7">
    <w:name w:val="样式 标题 1 + 四号 居中 段前: 12 磅 段后: 12 磅 行距: 单倍行距"/>
    <w:basedOn w:val="3"/>
    <w:qFormat/>
    <w:uiPriority w:val="0"/>
    <w:pPr>
      <w:spacing w:before="240" w:after="240" w:line="240" w:lineRule="auto"/>
      <w:jc w:val="center"/>
    </w:pPr>
    <w:rPr>
      <w:rFonts w:cs="宋体"/>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2023-11-26T04:29:00Z</dcterms:created>
  <dc:creator>闹腾的子</dc:creator>
  <cp:lastModifiedBy>闹腾的子</cp:lastModifiedBy>
  <dcterms:modified xsi:type="dcterms:W3CDTF">2023-11-26T04:30:27Z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182860AD85D54284BD7C7BF2FF49298C_11</vt:lpwstr>
  </property>
</Properties>
</file>