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采购项目编号：</w:t>
      </w:r>
      <w:r>
        <w:rPr>
          <w:rFonts w:hint="eastAsia" w:ascii="仿宋" w:hAnsi="仿宋" w:eastAsia="仿宋" w:cs="仿宋"/>
          <w:b/>
          <w:bCs/>
          <w:sz w:val="30"/>
          <w:szCs w:val="30"/>
          <w:highlight w:val="none"/>
        </w:rPr>
        <w:t>XHZB202</w:t>
      </w:r>
      <w:r>
        <w:rPr>
          <w:rFonts w:hint="eastAsia" w:ascii="仿宋" w:hAnsi="仿宋" w:eastAsia="仿宋" w:cs="仿宋"/>
          <w:b/>
          <w:bCs/>
          <w:sz w:val="30"/>
          <w:szCs w:val="30"/>
          <w:highlight w:val="none"/>
          <w:lang w:val="en-US" w:eastAsia="zh-CN"/>
        </w:rPr>
        <w:t>3</w:t>
      </w:r>
      <w:r>
        <w:rPr>
          <w:rFonts w:hint="eastAsia" w:ascii="仿宋" w:hAnsi="仿宋" w:eastAsia="仿宋" w:cs="仿宋"/>
          <w:b/>
          <w:bCs/>
          <w:sz w:val="30"/>
          <w:szCs w:val="30"/>
          <w:highlight w:val="none"/>
        </w:rPr>
        <w:t>-CS-0</w:t>
      </w:r>
      <w:r>
        <w:rPr>
          <w:rFonts w:hint="eastAsia" w:ascii="仿宋" w:hAnsi="仿宋" w:eastAsia="仿宋" w:cs="仿宋"/>
          <w:b/>
          <w:bCs/>
          <w:sz w:val="30"/>
          <w:szCs w:val="30"/>
          <w:highlight w:val="none"/>
          <w:lang w:val="en-US" w:eastAsia="zh-CN"/>
        </w:rPr>
        <w:t>03</w:t>
      </w:r>
      <w:r>
        <w:rPr>
          <w:rFonts w:hint="eastAsia" w:ascii="仿宋" w:hAnsi="仿宋" w:eastAsia="仿宋" w:cs="仿宋"/>
          <w:b/>
          <w:bCs/>
          <w:sz w:val="30"/>
          <w:szCs w:val="30"/>
          <w:highlight w:val="none"/>
        </w:rPr>
        <w:t>/001</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rPr>
          <w:rFonts w:hint="eastAsia" w:ascii="仿宋" w:hAnsi="仿宋" w:eastAsia="仿宋" w:cs="仿宋"/>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highlight w:val="none"/>
          <w:lang w:eastAsia="zh-CN"/>
        </w:rPr>
      </w:pPr>
      <w:r>
        <w:rPr>
          <w:rFonts w:hint="eastAsia" w:ascii="仿宋" w:hAnsi="仿宋" w:eastAsia="仿宋" w:cs="仿宋"/>
          <w:b/>
          <w:bCs/>
          <w:sz w:val="44"/>
          <w:szCs w:val="44"/>
          <w:highlight w:val="none"/>
          <w:lang w:eastAsia="zh-CN"/>
        </w:rPr>
        <w:t>铜川市耀州区庙湾镇智慧香菇大数据平台</w:t>
      </w: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highlight w:val="none"/>
          <w:lang w:eastAsia="zh-CN"/>
        </w:rPr>
      </w:pPr>
      <w:r>
        <w:rPr>
          <w:rFonts w:hint="eastAsia" w:ascii="仿宋" w:hAnsi="仿宋" w:eastAsia="仿宋" w:cs="仿宋"/>
          <w:b/>
          <w:bCs/>
          <w:sz w:val="44"/>
          <w:szCs w:val="44"/>
          <w:highlight w:val="none"/>
          <w:lang w:eastAsia="zh-CN"/>
        </w:rPr>
        <w:t>服务项目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highlight w:val="none"/>
        </w:rPr>
      </w:pPr>
      <w:r>
        <w:rPr>
          <w:rFonts w:hint="eastAsia" w:ascii="仿宋" w:hAnsi="仿宋" w:eastAsia="仿宋" w:cs="仿宋"/>
          <w:b/>
          <w:bCs/>
          <w:sz w:val="52"/>
          <w:szCs w:val="52"/>
          <w:highlight w:val="none"/>
          <w:lang w:val="zh-CN"/>
        </w:rPr>
        <w:t>竞争性磋商文件</w:t>
      </w:r>
    </w:p>
    <w:p>
      <w:pPr>
        <w:pStyle w:val="2"/>
        <w:rPr>
          <w:rFonts w:hint="eastAsia" w:ascii="仿宋" w:hAnsi="仿宋" w:eastAsia="仿宋" w:cs="仿宋"/>
          <w:bCs/>
          <w:sz w:val="30"/>
          <w:szCs w:val="30"/>
          <w:highlight w:val="none"/>
        </w:rPr>
      </w:pPr>
    </w:p>
    <w:p>
      <w:pPr>
        <w:rPr>
          <w:rFonts w:hint="eastAsia" w:ascii="仿宋" w:hAnsi="仿宋" w:eastAsia="仿宋" w:cs="仿宋"/>
          <w:b/>
          <w:bCs/>
          <w:sz w:val="30"/>
          <w:szCs w:val="30"/>
          <w:highlight w:val="none"/>
        </w:rPr>
      </w:pPr>
    </w:p>
    <w:p>
      <w:pPr>
        <w:pStyle w:val="2"/>
        <w:rPr>
          <w:rFonts w:hint="eastAsia" w:ascii="仿宋" w:hAnsi="仿宋" w:eastAsia="仿宋" w:cs="仿宋"/>
          <w:bCs/>
          <w:sz w:val="30"/>
          <w:szCs w:val="30"/>
          <w:highlight w:val="none"/>
        </w:rPr>
      </w:pPr>
    </w:p>
    <w:p>
      <w:pPr>
        <w:pStyle w:val="2"/>
        <w:rPr>
          <w:rFonts w:hint="eastAsia" w:ascii="仿宋" w:hAnsi="仿宋" w:eastAsia="仿宋" w:cs="仿宋"/>
          <w:bCs/>
          <w:sz w:val="30"/>
          <w:szCs w:val="30"/>
          <w:highlight w:val="none"/>
        </w:rPr>
      </w:pPr>
    </w:p>
    <w:p>
      <w:pPr>
        <w:rPr>
          <w:rFonts w:hint="eastAsia" w:ascii="仿宋" w:hAnsi="仿宋" w:eastAsia="仿宋" w:cs="仿宋"/>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ab/>
      </w: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采</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购</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人：铜川市耀州区庙湾镇人民政府</w:t>
      </w: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highlight w:val="none"/>
          <w:lang w:val="zh-CN"/>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zh-CN"/>
        </w:rPr>
        <w:t>采购代理机构：陕西</w:t>
      </w:r>
      <w:r>
        <w:rPr>
          <w:rFonts w:hint="eastAsia" w:ascii="仿宋" w:hAnsi="仿宋" w:eastAsia="仿宋" w:cs="仿宋"/>
          <w:b/>
          <w:bCs/>
          <w:sz w:val="32"/>
          <w:szCs w:val="32"/>
          <w:highlight w:val="none"/>
        </w:rPr>
        <w:t>星火工程管理有限公司</w:t>
      </w: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highlight w:val="none"/>
          <w:lang w:val="zh-CN"/>
        </w:rPr>
      </w:pP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zh-CN"/>
        </w:rPr>
        <w:t>月</w:t>
      </w:r>
    </w:p>
    <w:p>
      <w:pPr>
        <w:pStyle w:val="6"/>
        <w:ind w:firstLine="0" w:firstLineChars="0"/>
        <w:jc w:val="center"/>
        <w:rPr>
          <w:rFonts w:hint="eastAsia" w:ascii="仿宋" w:hAnsi="仿宋" w:eastAsia="仿宋" w:cs="仿宋"/>
          <w:b/>
          <w:sz w:val="32"/>
          <w:szCs w:val="32"/>
          <w:highlight w:val="none"/>
        </w:rPr>
        <w:sectPr>
          <w:headerReference r:id="rId4" w:type="first"/>
          <w:headerReference r:id="rId3" w:type="default"/>
          <w:footerReference r:id="rId5" w:type="default"/>
          <w:pgSz w:w="11906" w:h="16838"/>
          <w:pgMar w:top="1418" w:right="1418" w:bottom="1418" w:left="1418" w:header="851" w:footer="992" w:gutter="0"/>
          <w:cols w:space="720" w:num="1"/>
          <w:titlePg/>
          <w:docGrid w:linePitch="312" w:charSpace="0"/>
        </w:sectPr>
      </w:pPr>
    </w:p>
    <w:p>
      <w:pPr>
        <w:pStyle w:val="6"/>
        <w:ind w:firstLine="0" w:firstLineChars="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目  录</w:t>
      </w:r>
    </w:p>
    <w:p>
      <w:pPr>
        <w:pStyle w:val="36"/>
        <w:tabs>
          <w:tab w:val="right" w:leader="dot" w:pos="9070"/>
          <w:tab w:val="clear" w:pos="9344"/>
        </w:tabs>
        <w:rPr>
          <w:rFonts w:hint="eastAsia" w:ascii="仿宋" w:hAnsi="仿宋" w:eastAsia="仿宋" w:cs="仿宋"/>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TOC \o "1-2" \h \z \u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"_Toc21145"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磋商公告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_Toc21145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"_Toc18129"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_Toc18129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"_Toc29885"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第三章  评审办法和标准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_Toc29885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"_Toc16124"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第四章  合同草案条款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_Toc16124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"_Toc29488"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第五章 采购内容及要求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_Toc29488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"_Toc483"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第六章  磋商响应文件格式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_Toc483 \h </w:instrText>
      </w:r>
      <w:r>
        <w:rPr>
          <w:rFonts w:hint="eastAsia" w:ascii="仿宋" w:hAnsi="仿宋" w:eastAsia="仿宋" w:cs="仿宋"/>
          <w:highlight w:val="none"/>
        </w:rPr>
        <w:fldChar w:fldCharType="separate"/>
      </w:r>
      <w:r>
        <w:rPr>
          <w:rFonts w:hint="eastAsia" w:ascii="仿宋" w:hAnsi="仿宋" w:eastAsia="仿宋" w:cs="仿宋"/>
          <w:highlight w:val="none"/>
        </w:rPr>
        <w:t>37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tabs>
          <w:tab w:val="center" w:pos="4677"/>
          <w:tab w:val="left" w:pos="5040"/>
        </w:tabs>
        <w:adjustRightInd w:val="0"/>
        <w:snapToGrid w:val="0"/>
        <w:spacing w:line="360" w:lineRule="auto"/>
        <w:jc w:val="left"/>
        <w:rPr>
          <w:rFonts w:hint="eastAsia" w:ascii="仿宋" w:hAnsi="仿宋" w:eastAsia="仿宋" w:cs="仿宋"/>
          <w:szCs w:val="20"/>
          <w:highlight w:val="none"/>
        </w:rPr>
      </w:pPr>
      <w:r>
        <w:rPr>
          <w:rFonts w:hint="eastAsia" w:ascii="仿宋" w:hAnsi="仿宋" w:eastAsia="仿宋" w:cs="仿宋"/>
          <w:szCs w:val="28"/>
          <w:highlight w:val="none"/>
        </w:rPr>
        <w:fldChar w:fldCharType="end"/>
      </w:r>
    </w:p>
    <w:p>
      <w:pPr>
        <w:rPr>
          <w:rFonts w:hint="eastAsia" w:ascii="仿宋" w:hAnsi="仿宋" w:eastAsia="仿宋" w:cs="仿宋"/>
          <w:szCs w:val="20"/>
          <w:highlight w:val="none"/>
        </w:rPr>
      </w:pPr>
      <w:r>
        <w:rPr>
          <w:rFonts w:hint="eastAsia" w:ascii="仿宋" w:hAnsi="仿宋" w:eastAsia="仿宋" w:cs="仿宋"/>
          <w:szCs w:val="20"/>
          <w:highlight w:val="none"/>
        </w:rPr>
        <w:br w:type="page"/>
      </w:r>
    </w:p>
    <w:p>
      <w:pPr>
        <w:pStyle w:val="47"/>
        <w:spacing w:line="360" w:lineRule="auto"/>
        <w:rPr>
          <w:rStyle w:val="206"/>
          <w:rFonts w:hint="eastAsia" w:ascii="仿宋" w:hAnsi="仿宋" w:eastAsia="仿宋" w:cs="仿宋"/>
          <w:sz w:val="36"/>
          <w:szCs w:val="36"/>
          <w:highlight w:val="none"/>
        </w:rPr>
      </w:pPr>
      <w:bookmarkStart w:id="0" w:name="_Toc58504445"/>
      <w:bookmarkStart w:id="1" w:name="_Toc21755"/>
      <w:bookmarkStart w:id="2" w:name="_Toc21145"/>
      <w:bookmarkStart w:id="3" w:name="_Toc415499894"/>
      <w:bookmarkStart w:id="4" w:name="_Toc177995472"/>
      <w:bookmarkStart w:id="5" w:name="_Toc176882541"/>
      <w:bookmarkStart w:id="6" w:name="_Toc500747060"/>
      <w:bookmarkStart w:id="7" w:name="_Toc500746964"/>
      <w:bookmarkStart w:id="8" w:name="_Toc503063420"/>
      <w:bookmarkStart w:id="9" w:name="_Toc70687138"/>
      <w:bookmarkStart w:id="10" w:name="_Toc499711041"/>
      <w:bookmarkStart w:id="11" w:name="_Toc177817333"/>
      <w:bookmarkStart w:id="12" w:name="_Toc496324577"/>
      <w:bookmarkStart w:id="13" w:name="_Toc499711882"/>
      <w:bookmarkStart w:id="14" w:name="_Toc500747187"/>
      <w:bookmarkStart w:id="15" w:name="_Toc177189234"/>
      <w:bookmarkStart w:id="16" w:name="_Toc492955413"/>
      <w:bookmarkStart w:id="17" w:name="_Toc53722839"/>
      <w:bookmarkStart w:id="18" w:name="_Toc385992325"/>
      <w:bookmarkStart w:id="19" w:name="_Toc385992324"/>
      <w:r>
        <w:rPr>
          <w:rStyle w:val="206"/>
          <w:rFonts w:hint="eastAsia" w:ascii="仿宋" w:hAnsi="仿宋" w:eastAsia="仿宋" w:cs="仿宋"/>
          <w:sz w:val="36"/>
          <w:szCs w:val="36"/>
          <w:highlight w:val="none"/>
        </w:rPr>
        <w:t>第一章  磋商公告</w:t>
      </w:r>
      <w:bookmarkEnd w:id="0"/>
      <w:bookmarkEnd w:id="1"/>
      <w:bookmarkEnd w:id="2"/>
      <w:bookmarkEnd w:id="3"/>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铜川市耀州区庙湾镇智慧香菇大数据平台服务项目</w:t>
      </w:r>
      <w:r>
        <w:rPr>
          <w:rFonts w:hint="eastAsia" w:ascii="仿宋" w:hAnsi="仿宋" w:eastAsia="仿宋" w:cs="仿宋"/>
          <w:b/>
          <w:sz w:val="28"/>
          <w:szCs w:val="28"/>
          <w:highlight w:val="none"/>
        </w:rPr>
        <w:t>竞争性磋商公告</w:t>
      </w:r>
    </w:p>
    <w:p>
      <w:pPr>
        <w:widowControl/>
        <w:snapToGrid w:val="0"/>
        <w:spacing w:line="360" w:lineRule="auto"/>
        <w:ind w:right="-197" w:rightChars="-94" w:firstLine="420" w:firstLineChars="200"/>
        <w:jc w:val="both"/>
        <w:rPr>
          <w:rFonts w:hint="eastAsia" w:ascii="仿宋" w:hAnsi="仿宋" w:eastAsia="仿宋" w:cs="仿宋"/>
          <w:kern w:val="0"/>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"mailto:2021年西安市畜禽产品质量监测项目潜在的供应商可在西安市高新区高新路88号尚品国际C幢北12804室或邮箱330730271@qq.com获取采购文件，并于2021-" </w:instrText>
      </w:r>
      <w:r>
        <w:rPr>
          <w:rFonts w:hint="eastAsia" w:ascii="仿宋" w:hAnsi="仿宋" w:eastAsia="仿宋" w:cs="仿宋"/>
          <w:highlight w:val="none"/>
        </w:rPr>
        <w:fldChar w:fldCharType="separate"/>
      </w:r>
      <w:r>
        <w:rPr>
          <w:rFonts w:hint="eastAsia" w:ascii="仿宋" w:hAnsi="仿宋" w:eastAsia="仿宋" w:cs="仿宋"/>
          <w:i w:val="0"/>
          <w:iCs w:val="0"/>
          <w:caps w:val="0"/>
          <w:color w:val="auto"/>
          <w:spacing w:val="0"/>
          <w:sz w:val="24"/>
          <w:szCs w:val="24"/>
          <w:highlight w:val="none"/>
          <w:shd w:val="clear" w:fill="FFFFFF"/>
          <w:lang w:eastAsia="zh-CN"/>
        </w:rPr>
        <w:t>铜川市耀州区庙湾镇智慧香菇大数据平台服务项目</w:t>
      </w:r>
      <w:r>
        <w:rPr>
          <w:rStyle w:val="60"/>
          <w:rFonts w:hint="eastAsia" w:ascii="仿宋" w:hAnsi="仿宋" w:eastAsia="仿宋" w:cs="仿宋"/>
          <w:color w:val="000000" w:themeColor="text1"/>
          <w:kern w:val="0"/>
          <w:sz w:val="24"/>
          <w:highlight w:val="none"/>
          <w:u w:val="none"/>
          <w:lang w:eastAsia="zh-CN"/>
          <w14:textFill>
            <w14:solidFill>
              <w14:schemeClr w14:val="tx1"/>
            </w14:solidFill>
          </w14:textFill>
        </w:rPr>
        <w:t>的</w:t>
      </w:r>
      <w:r>
        <w:rPr>
          <w:rStyle w:val="60"/>
          <w:rFonts w:hint="eastAsia" w:ascii="仿宋" w:hAnsi="仿宋" w:eastAsia="仿宋" w:cs="仿宋"/>
          <w:color w:val="000000" w:themeColor="text1"/>
          <w:kern w:val="0"/>
          <w:sz w:val="24"/>
          <w:highlight w:val="none"/>
          <w:u w:val="none"/>
          <w14:textFill>
            <w14:solidFill>
              <w14:schemeClr w14:val="tx1"/>
            </w14:solidFill>
          </w14:textFill>
        </w:rPr>
        <w:t>潜在的供应商</w:t>
      </w:r>
      <w:r>
        <w:rPr>
          <w:rStyle w:val="60"/>
          <w:rFonts w:hint="eastAsia" w:ascii="仿宋" w:hAnsi="仿宋" w:eastAsia="仿宋" w:cs="仿宋"/>
          <w:color w:val="000000" w:themeColor="text1"/>
          <w:kern w:val="0"/>
          <w:sz w:val="24"/>
          <w:highlight w:val="none"/>
          <w:u w:val="none"/>
          <w:lang w:eastAsia="zh-CN"/>
          <w14:textFill>
            <w14:solidFill>
              <w14:schemeClr w14:val="tx1"/>
            </w14:solidFill>
          </w14:textFill>
        </w:rPr>
        <w:t>应在</w:t>
      </w:r>
      <w:r>
        <w:rPr>
          <w:rStyle w:val="60"/>
          <w:rFonts w:hint="eastAsia" w:ascii="仿宋" w:hAnsi="仿宋" w:eastAsia="仿宋" w:cs="仿宋"/>
          <w:color w:val="000000" w:themeColor="text1"/>
          <w:kern w:val="0"/>
          <w:sz w:val="24"/>
          <w:highlight w:val="none"/>
          <w:u w:val="none"/>
          <w14:textFill>
            <w14:solidFill>
              <w14:schemeClr w14:val="tx1"/>
            </w14:solidFill>
          </w14:textFill>
        </w:rPr>
        <w:t>西安市高新区高新路88号尚品国际C幢北28楼1280</w:t>
      </w:r>
      <w:r>
        <w:rPr>
          <w:rStyle w:val="60"/>
          <w:rFonts w:hint="eastAsia" w:ascii="仿宋" w:hAnsi="仿宋" w:eastAsia="仿宋" w:cs="仿宋"/>
          <w:color w:val="000000" w:themeColor="text1"/>
          <w:kern w:val="0"/>
          <w:sz w:val="24"/>
          <w:highlight w:val="none"/>
          <w:u w:val="none"/>
          <w:lang w:val="en-US" w:eastAsia="zh-CN"/>
          <w14:textFill>
            <w14:solidFill>
              <w14:schemeClr w14:val="tx1"/>
            </w14:solidFill>
          </w14:textFill>
        </w:rPr>
        <w:t>5</w:t>
      </w:r>
      <w:r>
        <w:rPr>
          <w:rStyle w:val="60"/>
          <w:rFonts w:hint="eastAsia" w:ascii="仿宋" w:hAnsi="仿宋" w:eastAsia="仿宋" w:cs="仿宋"/>
          <w:color w:val="000000" w:themeColor="text1"/>
          <w:kern w:val="0"/>
          <w:sz w:val="24"/>
          <w:highlight w:val="none"/>
          <w:u w:val="none"/>
          <w14:textFill>
            <w14:solidFill>
              <w14:schemeClr w14:val="tx1"/>
            </w14:solidFill>
          </w14:textFill>
        </w:rPr>
        <w:t>室或邮箱975240583@qq.com获取采购文件，并于202</w:t>
      </w:r>
      <w:r>
        <w:rPr>
          <w:rStyle w:val="60"/>
          <w:rFonts w:hint="eastAsia" w:ascii="仿宋" w:hAnsi="仿宋" w:eastAsia="仿宋" w:cs="仿宋"/>
          <w:color w:val="000000" w:themeColor="text1"/>
          <w:kern w:val="0"/>
          <w:sz w:val="24"/>
          <w:highlight w:val="none"/>
          <w:u w:val="none"/>
          <w:lang w:val="en-US" w:eastAsia="zh-CN"/>
          <w14:textFill>
            <w14:solidFill>
              <w14:schemeClr w14:val="tx1"/>
            </w14:solidFill>
          </w14:textFill>
        </w:rPr>
        <w:t>3</w:t>
      </w:r>
      <w:r>
        <w:rPr>
          <w:rStyle w:val="60"/>
          <w:rFonts w:hint="eastAsia" w:ascii="仿宋" w:hAnsi="仿宋" w:eastAsia="仿宋" w:cs="仿宋"/>
          <w:color w:val="000000" w:themeColor="text1"/>
          <w:kern w:val="0"/>
          <w:sz w:val="24"/>
          <w:highlight w:val="none"/>
          <w:u w:val="none"/>
          <w:lang w:eastAsia="zh-CN"/>
          <w14:textFill>
            <w14:solidFill>
              <w14:schemeClr w14:val="tx1"/>
            </w14:solidFill>
          </w14:textFill>
        </w:rPr>
        <w:t>年</w:t>
      </w:r>
      <w:r>
        <w:rPr>
          <w:rStyle w:val="60"/>
          <w:rFonts w:hint="eastAsia" w:ascii="仿宋" w:hAnsi="仿宋" w:eastAsia="仿宋" w:cs="仿宋"/>
          <w:color w:val="000000" w:themeColor="text1"/>
          <w:kern w:val="0"/>
          <w:sz w:val="24"/>
          <w:highlight w:val="none"/>
          <w:u w:val="none"/>
          <w14:textFill>
            <w14:solidFill>
              <w14:schemeClr w14:val="tx1"/>
            </w14:solidFill>
          </w14:textFill>
        </w:rPr>
        <w:fldChar w:fldCharType="end"/>
      </w:r>
      <w:r>
        <w:rPr>
          <w:rStyle w:val="60"/>
          <w:rFonts w:hint="eastAsia" w:ascii="仿宋" w:hAnsi="仿宋" w:eastAsia="仿宋" w:cs="仿宋"/>
          <w:color w:val="000000" w:themeColor="text1"/>
          <w:kern w:val="0"/>
          <w:sz w:val="24"/>
          <w:highlight w:val="none"/>
          <w:u w:val="none"/>
          <w:lang w:val="en-US" w:eastAsia="zh-CN"/>
          <w14:textFill>
            <w14:solidFill>
              <w14:schemeClr w14:val="tx1"/>
            </w14:solidFill>
          </w14:textFill>
        </w:rPr>
        <w:t>4</w:t>
      </w:r>
      <w:r>
        <w:rPr>
          <w:rFonts w:hint="eastAsia" w:ascii="仿宋" w:hAnsi="仿宋" w:eastAsia="仿宋" w:cs="仿宋"/>
          <w:color w:val="000000" w:themeColor="text1"/>
          <w:kern w:val="0"/>
          <w:sz w:val="24"/>
          <w:highlight w:val="none"/>
          <w:lang w:val="en-US" w:eastAsia="zh-CN"/>
          <w14:textFill>
            <w14:solidFill>
              <w14:schemeClr w14:val="tx1"/>
            </w14:solidFill>
          </w14:textFill>
        </w:rPr>
        <w:t>月3</w:t>
      </w:r>
      <w:r>
        <w:rPr>
          <w:rFonts w:hint="eastAsia" w:ascii="仿宋" w:hAnsi="仿宋" w:eastAsia="仿宋" w:cs="仿宋"/>
          <w:kern w:val="0"/>
          <w:sz w:val="24"/>
          <w:highlight w:val="none"/>
          <w:lang w:val="en-US" w:eastAsia="zh-CN"/>
        </w:rPr>
        <w:t>日</w:t>
      </w:r>
      <w:r>
        <w:rPr>
          <w:rFonts w:hint="eastAsia" w:ascii="仿宋" w:hAnsi="仿宋" w:eastAsia="仿宋" w:cs="仿宋"/>
          <w:kern w:val="0"/>
          <w:sz w:val="24"/>
          <w:highlight w:val="none"/>
        </w:rPr>
        <w:t>14:30:00</w:t>
      </w:r>
      <w:r>
        <w:rPr>
          <w:rFonts w:hint="eastAsia" w:ascii="仿宋" w:hAnsi="仿宋" w:eastAsia="仿宋" w:cs="仿宋"/>
          <w:kern w:val="0"/>
          <w:sz w:val="24"/>
          <w:highlight w:val="none"/>
          <w:lang w:eastAsia="zh-CN"/>
        </w:rPr>
        <w:t>（北京时间）</w:t>
      </w:r>
      <w:r>
        <w:rPr>
          <w:rFonts w:hint="eastAsia" w:ascii="仿宋" w:hAnsi="仿宋" w:eastAsia="仿宋" w:cs="仿宋"/>
          <w:kern w:val="0"/>
          <w:sz w:val="24"/>
          <w:highlight w:val="none"/>
        </w:rPr>
        <w:t>前</w:t>
      </w:r>
      <w:r>
        <w:rPr>
          <w:rFonts w:hint="eastAsia" w:ascii="仿宋" w:hAnsi="仿宋" w:eastAsia="仿宋" w:cs="仿宋"/>
          <w:kern w:val="0"/>
          <w:sz w:val="24"/>
          <w:highlight w:val="none"/>
          <w:lang w:eastAsia="zh-CN"/>
        </w:rPr>
        <w:t>提</w:t>
      </w:r>
      <w:r>
        <w:rPr>
          <w:rFonts w:hint="eastAsia" w:ascii="仿宋" w:hAnsi="仿宋" w:eastAsia="仿宋" w:cs="仿宋"/>
          <w:kern w:val="0"/>
          <w:sz w:val="24"/>
          <w:highlight w:val="none"/>
        </w:rPr>
        <w:t>交响应文件。</w:t>
      </w:r>
    </w:p>
    <w:p>
      <w:pPr>
        <w:widowControl/>
        <w:snapToGrid w:val="0"/>
        <w:spacing w:line="360" w:lineRule="auto"/>
        <w:ind w:right="-197" w:rightChars="-94" w:firstLine="482" w:firstLineChars="200"/>
        <w:jc w:val="left"/>
        <w:rPr>
          <w:rFonts w:hint="eastAsia" w:ascii="仿宋" w:hAnsi="仿宋" w:eastAsia="仿宋" w:cs="仿宋"/>
          <w:color w:val="222222"/>
          <w:sz w:val="24"/>
          <w:highlight w:val="none"/>
        </w:rPr>
      </w:pPr>
      <w:r>
        <w:rPr>
          <w:rStyle w:val="54"/>
          <w:rFonts w:hint="eastAsia" w:ascii="仿宋" w:hAnsi="仿宋" w:eastAsia="仿宋" w:cs="仿宋"/>
          <w:b/>
          <w:bCs/>
          <w:color w:val="222222"/>
          <w:sz w:val="24"/>
          <w:highlight w:val="none"/>
          <w:shd w:val="clear" w:color="auto" w:fill="FFFFFF"/>
        </w:rPr>
        <w:t>一、项目基本情况</w:t>
      </w:r>
    </w:p>
    <w:p>
      <w:pPr>
        <w:pStyle w:val="45"/>
        <w:shd w:val="clear" w:color="auto" w:fill="FFFFFF"/>
        <w:spacing w:before="0" w:beforeAutospacing="0" w:after="0" w:afterAutospacing="0" w:line="480" w:lineRule="atLeast"/>
        <w:ind w:firstLine="480"/>
        <w:jc w:val="both"/>
        <w:rPr>
          <w:rFonts w:hint="eastAsia" w:ascii="仿宋" w:hAnsi="仿宋" w:eastAsia="仿宋" w:cs="仿宋"/>
          <w:color w:val="222222"/>
          <w:highlight w:val="none"/>
        </w:rPr>
      </w:pPr>
      <w:r>
        <w:rPr>
          <w:rFonts w:hint="eastAsia" w:ascii="仿宋" w:hAnsi="仿宋" w:eastAsia="仿宋" w:cs="仿宋"/>
          <w:color w:val="222222"/>
          <w:highlight w:val="none"/>
          <w:shd w:val="clear" w:color="auto" w:fill="FFFFFF"/>
        </w:rPr>
        <w:t>项目编号：XHZB202</w:t>
      </w:r>
      <w:r>
        <w:rPr>
          <w:rFonts w:hint="eastAsia" w:ascii="仿宋" w:hAnsi="仿宋" w:eastAsia="仿宋" w:cs="仿宋"/>
          <w:color w:val="222222"/>
          <w:highlight w:val="none"/>
          <w:shd w:val="clear" w:color="auto" w:fill="FFFFFF"/>
          <w:lang w:val="en-US" w:eastAsia="zh-CN"/>
        </w:rPr>
        <w:t>3</w:t>
      </w:r>
      <w:r>
        <w:rPr>
          <w:rFonts w:hint="eastAsia" w:ascii="仿宋" w:hAnsi="仿宋" w:eastAsia="仿宋" w:cs="仿宋"/>
          <w:color w:val="222222"/>
          <w:highlight w:val="none"/>
          <w:shd w:val="clear" w:color="auto" w:fill="FFFFFF"/>
        </w:rPr>
        <w:t>-CS-0</w:t>
      </w:r>
      <w:r>
        <w:rPr>
          <w:rFonts w:hint="eastAsia" w:ascii="仿宋" w:hAnsi="仿宋" w:eastAsia="仿宋" w:cs="仿宋"/>
          <w:color w:val="222222"/>
          <w:highlight w:val="none"/>
          <w:shd w:val="clear" w:color="auto" w:fill="FFFFFF"/>
          <w:lang w:val="en-US" w:eastAsia="zh-CN"/>
        </w:rPr>
        <w:t>03</w:t>
      </w:r>
      <w:r>
        <w:rPr>
          <w:rFonts w:hint="eastAsia" w:ascii="仿宋" w:hAnsi="仿宋" w:eastAsia="仿宋" w:cs="仿宋"/>
          <w:color w:val="222222"/>
          <w:highlight w:val="none"/>
          <w:shd w:val="clear" w:color="auto" w:fill="FFFFFF"/>
        </w:rPr>
        <w:t>-001</w:t>
      </w:r>
    </w:p>
    <w:p>
      <w:pPr>
        <w:pStyle w:val="45"/>
        <w:shd w:val="clear" w:color="auto" w:fill="FFFFFF"/>
        <w:spacing w:before="0" w:beforeAutospacing="0" w:after="0" w:afterAutospacing="0" w:line="480" w:lineRule="atLeast"/>
        <w:ind w:firstLine="480"/>
        <w:jc w:val="both"/>
        <w:rPr>
          <w:rFonts w:hint="eastAsia" w:ascii="仿宋" w:hAnsi="仿宋" w:eastAsia="仿宋" w:cs="仿宋"/>
          <w:color w:val="222222"/>
          <w:highlight w:val="none"/>
          <w:lang w:eastAsia="zh-CN"/>
        </w:rPr>
      </w:pPr>
      <w:r>
        <w:rPr>
          <w:rFonts w:hint="eastAsia" w:ascii="仿宋" w:hAnsi="仿宋" w:eastAsia="仿宋" w:cs="仿宋"/>
          <w:color w:val="222222"/>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fill="FFFFFF"/>
          <w:lang w:eastAsia="zh-CN"/>
        </w:rPr>
        <w:t>铜川市耀州区庙湾镇智慧香菇大数据平台服务项目</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color w:val="222222"/>
          <w:highlight w:val="none"/>
          <w:shd w:val="clear" w:color="auto" w:fill="FFFFFF"/>
        </w:rPr>
        <w:t>采购方</w:t>
      </w:r>
      <w:r>
        <w:rPr>
          <w:rFonts w:hint="eastAsia" w:ascii="仿宋" w:hAnsi="仿宋" w:eastAsia="仿宋" w:cs="仿宋"/>
          <w:highlight w:val="none"/>
          <w:shd w:val="clear" w:color="auto" w:fill="FFFFFF"/>
        </w:rPr>
        <w:t>式：竞争性磋商</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预算金额：</w:t>
      </w:r>
      <w:r>
        <w:rPr>
          <w:rFonts w:hint="eastAsia" w:ascii="仿宋" w:hAnsi="仿宋" w:eastAsia="仿宋" w:cs="仿宋"/>
          <w:highlight w:val="none"/>
          <w:shd w:val="clear" w:color="auto" w:fill="FFFFFF"/>
          <w:lang w:val="en-US" w:eastAsia="zh-CN"/>
        </w:rPr>
        <w:t>1200000</w:t>
      </w:r>
      <w:r>
        <w:rPr>
          <w:rFonts w:hint="eastAsia" w:ascii="仿宋" w:hAnsi="仿宋" w:eastAsia="仿宋" w:cs="仿宋"/>
          <w:highlight w:val="none"/>
          <w:shd w:val="clear" w:color="auto" w:fill="FFFFFF"/>
        </w:rPr>
        <w:t>.00元</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采购需求：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智慧香菇大数据平台服务</w:t>
      </w:r>
      <w:r>
        <w:rPr>
          <w:rFonts w:hint="eastAsia" w:ascii="仿宋" w:hAnsi="仿宋" w:eastAsia="仿宋" w:cs="仿宋"/>
          <w:i w:val="0"/>
          <w:iCs w:val="0"/>
          <w:caps w:val="0"/>
          <w:color w:val="auto"/>
          <w:spacing w:val="0"/>
          <w:sz w:val="24"/>
          <w:szCs w:val="24"/>
          <w:highlight w:val="none"/>
          <w:shd w:val="clear" w:fill="FFFFFF"/>
        </w:rPr>
        <w:t>):</w:t>
      </w:r>
    </w:p>
    <w:p>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1200000</w:t>
      </w:r>
      <w:r>
        <w:rPr>
          <w:rFonts w:hint="eastAsia" w:ascii="仿宋" w:hAnsi="仿宋" w:eastAsia="仿宋" w:cs="仿宋"/>
          <w:i w:val="0"/>
          <w:iCs w:val="0"/>
          <w:caps w:val="0"/>
          <w:color w:val="auto"/>
          <w:spacing w:val="0"/>
          <w:sz w:val="24"/>
          <w:szCs w:val="24"/>
          <w:highlight w:val="none"/>
          <w:shd w:val="clear" w:fill="FFFFFF"/>
          <w:lang w:eastAsia="zh-CN"/>
        </w:rPr>
        <w:t>.00</w:t>
      </w:r>
      <w:r>
        <w:rPr>
          <w:rFonts w:hint="eastAsia" w:ascii="仿宋" w:hAnsi="仿宋" w:eastAsia="仿宋" w:cs="仿宋"/>
          <w:i w:val="0"/>
          <w:iCs w:val="0"/>
          <w:caps w:val="0"/>
          <w:color w:val="auto"/>
          <w:spacing w:val="0"/>
          <w:sz w:val="24"/>
          <w:szCs w:val="24"/>
          <w:highlight w:val="none"/>
          <w:shd w:val="clear" w:fill="FFFFFF"/>
        </w:rPr>
        <w:t>元</w:t>
      </w:r>
    </w:p>
    <w:p>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1200000</w:t>
      </w:r>
      <w:r>
        <w:rPr>
          <w:rFonts w:hint="eastAsia" w:ascii="仿宋" w:hAnsi="仿宋" w:eastAsia="仿宋" w:cs="仿宋"/>
          <w:i w:val="0"/>
          <w:iCs w:val="0"/>
          <w:caps w:val="0"/>
          <w:color w:val="auto"/>
          <w:spacing w:val="0"/>
          <w:sz w:val="24"/>
          <w:szCs w:val="24"/>
          <w:highlight w:val="none"/>
          <w:shd w:val="clear" w:fill="FFFFFF"/>
          <w:lang w:eastAsia="zh-CN"/>
        </w:rPr>
        <w:t>.00</w:t>
      </w:r>
      <w:r>
        <w:rPr>
          <w:rFonts w:hint="eastAsia" w:ascii="仿宋" w:hAnsi="仿宋" w:eastAsia="仿宋" w:cs="仿宋"/>
          <w:i w:val="0"/>
          <w:iCs w:val="0"/>
          <w:caps w:val="0"/>
          <w:color w:val="auto"/>
          <w:spacing w:val="0"/>
          <w:sz w:val="24"/>
          <w:szCs w:val="24"/>
          <w:highlight w:val="none"/>
          <w:shd w:val="clear" w:fill="FFFFFF"/>
        </w:rPr>
        <w:t>元</w:t>
      </w:r>
    </w:p>
    <w:tbl>
      <w:tblPr>
        <w:tblStyle w:val="51"/>
        <w:tblW w:w="9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3"/>
        <w:gridCol w:w="1170"/>
        <w:gridCol w:w="1500"/>
        <w:gridCol w:w="1110"/>
        <w:gridCol w:w="1176"/>
        <w:gridCol w:w="1644"/>
        <w:gridCol w:w="24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4" w:hRule="atLeast"/>
          <w:tblHeader/>
        </w:trPr>
        <w:tc>
          <w:tcPr>
            <w:tcW w:w="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1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2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31" w:hRule="atLeast"/>
        </w:trPr>
        <w:tc>
          <w:tcPr>
            <w:tcW w:w="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其他信息技术服务</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lang w:eastAsia="zh-CN"/>
              </w:rPr>
              <w:t>铜川市耀州区庙湾镇智慧香菇大数据平台服务项目</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1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1200000</w:t>
            </w:r>
          </w:p>
        </w:tc>
        <w:tc>
          <w:tcPr>
            <w:tcW w:w="2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1200000</w:t>
            </w:r>
          </w:p>
        </w:tc>
      </w:tr>
    </w:tbl>
    <w:p>
      <w:pPr>
        <w:pStyle w:val="45"/>
        <w:spacing w:before="0" w:beforeAutospacing="0" w:after="0" w:afterAutospacing="0" w:line="480" w:lineRule="atLeast"/>
        <w:ind w:firstLine="630"/>
        <w:jc w:val="both"/>
        <w:rPr>
          <w:rFonts w:hint="eastAsia" w:ascii="仿宋" w:hAnsi="仿宋" w:eastAsia="仿宋" w:cs="仿宋"/>
          <w:highlight w:val="none"/>
        </w:rPr>
      </w:pPr>
      <w:r>
        <w:rPr>
          <w:rFonts w:hint="eastAsia" w:ascii="仿宋" w:hAnsi="仿宋" w:eastAsia="仿宋" w:cs="仿宋"/>
          <w:highlight w:val="none"/>
          <w:shd w:val="clear" w:color="auto" w:fill="FFFFFF"/>
        </w:rPr>
        <w:t>本合同包不接受联合体投标</w:t>
      </w:r>
    </w:p>
    <w:p>
      <w:pPr>
        <w:pStyle w:val="45"/>
        <w:spacing w:before="0" w:beforeAutospacing="0" w:after="0" w:afterAutospacing="0" w:line="480" w:lineRule="atLeast"/>
        <w:ind w:firstLine="630"/>
        <w:jc w:val="both"/>
        <w:rPr>
          <w:rFonts w:hint="eastAsia" w:ascii="仿宋" w:hAnsi="仿宋" w:eastAsia="仿宋" w:cs="仿宋"/>
          <w:highlight w:val="none"/>
          <w:shd w:val="clear" w:color="auto" w:fill="FFFFFF"/>
          <w:lang w:eastAsia="zh-CN"/>
        </w:rPr>
      </w:pPr>
      <w:r>
        <w:rPr>
          <w:rFonts w:hint="eastAsia" w:ascii="仿宋" w:hAnsi="仿宋" w:eastAsia="仿宋" w:cs="仿宋"/>
          <w:highlight w:val="none"/>
          <w:shd w:val="clear" w:color="auto" w:fill="FFFFFF"/>
        </w:rPr>
        <w:t>合同履行期限：合同签订之日</w:t>
      </w:r>
      <w:r>
        <w:rPr>
          <w:rFonts w:hint="eastAsia" w:ascii="仿宋" w:hAnsi="仿宋" w:eastAsia="仿宋" w:cs="仿宋"/>
          <w:highlight w:val="none"/>
          <w:shd w:val="clear" w:color="auto" w:fill="FFFFFF"/>
          <w:lang w:val="en-US" w:eastAsia="zh-CN"/>
        </w:rPr>
        <w:t>起60个工作日</w:t>
      </w:r>
    </w:p>
    <w:p>
      <w:pPr>
        <w:pStyle w:val="45"/>
        <w:spacing w:before="0" w:beforeAutospacing="0" w:after="0" w:afterAutospacing="0" w:line="480" w:lineRule="atLeast"/>
        <w:ind w:firstLine="63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二、申请人的资格要求：</w:t>
      </w:r>
    </w:p>
    <w:p>
      <w:pPr>
        <w:pStyle w:val="45"/>
        <w:spacing w:before="0" w:beforeAutospacing="0" w:after="0" w:afterAutospacing="0" w:line="480" w:lineRule="atLeast"/>
        <w:ind w:firstLine="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1.满足《中华人民共和国政府采购法》第二十二条规定</w:t>
      </w:r>
      <w:r>
        <w:rPr>
          <w:rFonts w:hint="eastAsia" w:ascii="仿宋" w:hAnsi="仿宋" w:eastAsia="仿宋" w:cs="仿宋"/>
          <w:highlight w:val="none"/>
          <w:shd w:val="clear" w:color="auto" w:fill="FFFFFF"/>
          <w:lang w:eastAsia="zh-CN"/>
        </w:rPr>
        <w:t>。</w:t>
      </w:r>
    </w:p>
    <w:p>
      <w:pPr>
        <w:pStyle w:val="45"/>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2.落实政府采购政策需满足的资格要求：</w:t>
      </w:r>
    </w:p>
    <w:p>
      <w:pPr>
        <w:pStyle w:val="45"/>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合同包1(</w:t>
      </w:r>
      <w:r>
        <w:rPr>
          <w:rFonts w:hint="eastAsia" w:ascii="仿宋" w:hAnsi="仿宋" w:eastAsia="仿宋" w:cs="仿宋"/>
          <w:highlight w:val="none"/>
          <w:shd w:val="clear" w:color="auto" w:fill="FFFFFF"/>
          <w:lang w:eastAsia="zh-CN"/>
        </w:rPr>
        <w:t>智慧香菇大数据平台服务</w:t>
      </w:r>
      <w:r>
        <w:rPr>
          <w:rFonts w:hint="eastAsia" w:ascii="仿宋" w:hAnsi="仿宋" w:eastAsia="仿宋" w:cs="仿宋"/>
          <w:highlight w:val="none"/>
          <w:shd w:val="clear" w:color="auto" w:fill="FFFFFF"/>
        </w:rPr>
        <w:t>)落实政府采购政策需满足的资格要求如下:</w:t>
      </w:r>
    </w:p>
    <w:p>
      <w:pPr>
        <w:pStyle w:val="45"/>
        <w:spacing w:before="0" w:beforeAutospacing="0" w:after="0" w:afterAutospacing="0" w:line="480" w:lineRule="atLeast"/>
        <w:ind w:left="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属于专门面向中小企业采购的项目；供应商应为中小微企业、监狱企业、残疾人福利性单位；落实陕西省财政厅关于印发《陕西省中小企业政府采购信用融资办法》（陕财办采〔2018〕23号）等内容</w:t>
      </w:r>
      <w:r>
        <w:rPr>
          <w:rFonts w:hint="eastAsia" w:ascii="仿宋" w:hAnsi="仿宋" w:eastAsia="仿宋" w:cs="仿宋"/>
          <w:highlight w:val="none"/>
          <w:shd w:val="clear" w:color="auto" w:fill="FFFFFF"/>
          <w:lang w:eastAsia="zh-CN"/>
        </w:rPr>
        <w:t>。</w:t>
      </w:r>
    </w:p>
    <w:p>
      <w:pPr>
        <w:pStyle w:val="45"/>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3.本项目的特定资格要求：</w:t>
      </w:r>
    </w:p>
    <w:p>
      <w:pPr>
        <w:pStyle w:val="45"/>
        <w:spacing w:before="0" w:beforeAutospacing="0" w:after="0" w:afterAutospacing="0" w:line="480" w:lineRule="atLeast"/>
        <w:ind w:firstLine="48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合同包1(</w:t>
      </w:r>
      <w:r>
        <w:rPr>
          <w:rFonts w:hint="eastAsia" w:ascii="仿宋" w:hAnsi="仿宋" w:eastAsia="仿宋" w:cs="仿宋"/>
          <w:highlight w:val="none"/>
          <w:shd w:val="clear" w:color="auto" w:fill="FFFFFF"/>
          <w:lang w:eastAsia="zh-CN"/>
        </w:rPr>
        <w:t>智慧香菇大数据平台服务</w:t>
      </w:r>
      <w:r>
        <w:rPr>
          <w:rFonts w:hint="eastAsia" w:ascii="仿宋" w:hAnsi="仿宋" w:eastAsia="仿宋" w:cs="仿宋"/>
          <w:highlight w:val="none"/>
          <w:shd w:val="clear" w:color="auto" w:fill="FFFFFF"/>
        </w:rPr>
        <w:t>)特定资格要求如下:</w:t>
      </w:r>
    </w:p>
    <w:p>
      <w:pPr>
        <w:pStyle w:val="45"/>
        <w:spacing w:before="0" w:beforeAutospacing="0" w:after="0" w:afterAutospacing="0" w:line="480" w:lineRule="atLeast"/>
        <w:ind w:left="480"/>
        <w:jc w:val="both"/>
        <w:rPr>
          <w:rFonts w:hint="eastAsia" w:ascii="仿宋" w:hAnsi="仿宋" w:eastAsia="仿宋" w:cs="仿宋"/>
          <w:highlight w:val="none"/>
          <w:shd w:val="clear" w:color="auto" w:fill="FFFFFF"/>
          <w:lang w:eastAsia="zh-CN"/>
        </w:rPr>
      </w:pPr>
      <w:r>
        <w:rPr>
          <w:rFonts w:hint="eastAsia" w:ascii="仿宋" w:hAnsi="仿宋" w:eastAsia="仿宋" w:cs="仿宋"/>
          <w:highlight w:val="none"/>
          <w:shd w:val="clear" w:color="auto" w:fill="FFFFFF"/>
        </w:rPr>
        <w:t>3.</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rPr>
        <w:t>供应商在递交响应文件截止时间前被信用中国网站（www.creditchina.gov.cn）和中国政府采购网（www.ccgp.gov.cn）上被列入失信被执行人、重大税收违法案件当事人名单、政府采购严重违法失信行为记录名单的，不得参加磋商；</w:t>
      </w:r>
      <w:r>
        <w:rPr>
          <w:rFonts w:hint="eastAsia" w:ascii="仿宋" w:hAnsi="仿宋" w:eastAsia="仿宋" w:cs="仿宋"/>
          <w:highlight w:val="none"/>
          <w:shd w:val="clear" w:color="auto" w:fill="FFFFFF"/>
        </w:rPr>
        <w:br w:type="textWrapping"/>
      </w:r>
      <w:r>
        <w:rPr>
          <w:rFonts w:hint="eastAsia" w:ascii="仿宋" w:hAnsi="仿宋" w:eastAsia="仿宋" w:cs="仿宋"/>
          <w:highlight w:val="none"/>
          <w:shd w:val="clear" w:color="auto" w:fill="FFFFFF"/>
        </w:rPr>
        <w:t>3.</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rPr>
        <w:t>法定代表人直接参加磋商的须出具法人身份证（须与营业执照上信息一致），法定代表人授权代表参加磋商的须出具法定代表人授权书及授权代表本单位身份证明（养老保险缴纳证明或劳动合同）；</w:t>
      </w:r>
      <w:r>
        <w:rPr>
          <w:rFonts w:hint="eastAsia" w:ascii="仿宋" w:hAnsi="仿宋" w:eastAsia="仿宋" w:cs="仿宋"/>
          <w:highlight w:val="none"/>
          <w:shd w:val="clear" w:color="auto" w:fill="FFFFFF"/>
        </w:rPr>
        <w:br w:type="textWrapping"/>
      </w:r>
      <w:r>
        <w:rPr>
          <w:rFonts w:hint="eastAsia" w:ascii="仿宋" w:hAnsi="仿宋" w:eastAsia="仿宋" w:cs="仿宋"/>
          <w:highlight w:val="none"/>
          <w:shd w:val="clear" w:color="auto" w:fill="FFFFFF"/>
        </w:rPr>
        <w:t>3.</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供应商不得存在下列情形之一：</w:t>
      </w:r>
      <w:r>
        <w:rPr>
          <w:rFonts w:hint="eastAsia" w:ascii="仿宋" w:hAnsi="仿宋" w:eastAsia="仿宋" w:cs="仿宋"/>
          <w:highlight w:val="none"/>
          <w:shd w:val="clear" w:color="auto" w:fill="FFFFFF"/>
        </w:rPr>
        <w:br w:type="textWrapping"/>
      </w:r>
      <w:r>
        <w:rPr>
          <w:rFonts w:hint="eastAsia" w:ascii="仿宋" w:hAnsi="仿宋" w:eastAsia="仿宋" w:cs="仿宋"/>
          <w:highlight w:val="none"/>
          <w:shd w:val="clear" w:color="auto" w:fill="FFFFFF"/>
        </w:rPr>
        <w:t>（1）单位负责人为同一人或者存在直接控股、管理关系的不同供应商，不得参加本次采购活动；</w:t>
      </w:r>
      <w:r>
        <w:rPr>
          <w:rFonts w:hint="eastAsia" w:ascii="仿宋" w:hAnsi="仿宋" w:eastAsia="仿宋" w:cs="仿宋"/>
          <w:highlight w:val="none"/>
          <w:shd w:val="clear" w:color="auto" w:fill="FFFFFF"/>
        </w:rPr>
        <w:br w:type="textWrapping"/>
      </w:r>
      <w:r>
        <w:rPr>
          <w:rFonts w:hint="eastAsia" w:ascii="仿宋" w:hAnsi="仿宋" w:eastAsia="仿宋" w:cs="仿宋"/>
          <w:highlight w:val="none"/>
          <w:shd w:val="clear" w:color="auto" w:fill="FFFFFF"/>
        </w:rPr>
        <w:t>（2）为本项目提供整体设计、规范编制或者项目管理、监理、检测等服务的供应商，不得再参加本项目的采购活动</w:t>
      </w:r>
      <w:r>
        <w:rPr>
          <w:rFonts w:hint="eastAsia" w:ascii="仿宋" w:hAnsi="仿宋" w:eastAsia="仿宋" w:cs="仿宋"/>
          <w:highlight w:val="none"/>
          <w:shd w:val="clear" w:color="auto" w:fill="FFFFFF"/>
          <w:lang w:eastAsia="zh-CN"/>
        </w:rPr>
        <w:t>。</w:t>
      </w:r>
    </w:p>
    <w:p>
      <w:pPr>
        <w:pStyle w:val="45"/>
        <w:spacing w:before="0" w:beforeAutospacing="0" w:after="0" w:afterAutospacing="0" w:line="480" w:lineRule="atLeast"/>
        <w:ind w:left="48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三、获取采购文件</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时间： 202</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年</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23</w:t>
      </w:r>
      <w:r>
        <w:rPr>
          <w:rFonts w:hint="eastAsia" w:ascii="仿宋" w:hAnsi="仿宋" w:eastAsia="仿宋" w:cs="仿宋"/>
          <w:highlight w:val="none"/>
          <w:shd w:val="clear" w:color="auto" w:fill="FFFFFF"/>
        </w:rPr>
        <w:t>日 至 202</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年</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29</w:t>
      </w:r>
      <w:r>
        <w:rPr>
          <w:rFonts w:hint="eastAsia" w:ascii="仿宋" w:hAnsi="仿宋" w:eastAsia="仿宋" w:cs="仿宋"/>
          <w:highlight w:val="none"/>
          <w:shd w:val="clear" w:color="auto" w:fill="FFFFFF"/>
        </w:rPr>
        <w:t>日 ，每天上午 08:00:00 至 12:00:00 ，下午 1</w:t>
      </w: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rPr>
        <w:t>:00:00 至 18:00:00 （北京时间,法定节假日除外）</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lang w:val="en-US" w:eastAsia="zh-CN"/>
        </w:rPr>
        <w:t>途径</w:t>
      </w:r>
      <w:r>
        <w:rPr>
          <w:rFonts w:hint="eastAsia" w:ascii="仿宋" w:hAnsi="仿宋" w:eastAsia="仿宋" w:cs="仿宋"/>
          <w:highlight w:val="none"/>
          <w:shd w:val="clear" w:color="auto" w:fill="FFFFFF"/>
        </w:rPr>
        <w:t>：西安市高新区高新路88号尚品国际C幢北</w:t>
      </w:r>
      <w:r>
        <w:rPr>
          <w:rFonts w:hint="eastAsia" w:ascii="仿宋" w:hAnsi="仿宋" w:eastAsia="仿宋" w:cs="仿宋"/>
          <w:highlight w:val="none"/>
          <w:shd w:val="clear" w:color="auto" w:fill="FFFFFF"/>
          <w:lang w:val="en-US" w:eastAsia="zh-CN"/>
        </w:rPr>
        <w:t>28楼</w:t>
      </w:r>
      <w:r>
        <w:rPr>
          <w:rFonts w:hint="eastAsia" w:ascii="仿宋" w:hAnsi="仿宋" w:eastAsia="仿宋" w:cs="仿宋"/>
          <w:highlight w:val="none"/>
          <w:shd w:val="clear" w:color="auto" w:fill="FFFFFF"/>
        </w:rPr>
        <w:t>1280</w:t>
      </w:r>
      <w:r>
        <w:rPr>
          <w:rFonts w:hint="eastAsia" w:ascii="仿宋" w:hAnsi="仿宋" w:eastAsia="仿宋" w:cs="仿宋"/>
          <w:highlight w:val="none"/>
          <w:shd w:val="clear" w:color="auto" w:fill="FFFFFF"/>
          <w:lang w:val="en-US" w:eastAsia="zh-CN"/>
        </w:rPr>
        <w:t>5</w:t>
      </w:r>
      <w:r>
        <w:rPr>
          <w:rFonts w:hint="eastAsia" w:ascii="仿宋" w:hAnsi="仿宋" w:eastAsia="仿宋" w:cs="仿宋"/>
          <w:highlight w:val="none"/>
          <w:shd w:val="clear" w:color="auto" w:fill="FFFFFF"/>
        </w:rPr>
        <w:t>室或邮箱975240583@qq.com</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方式：现场获取</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售价： 免费获取</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四、响应文件</w:t>
      </w:r>
      <w:r>
        <w:rPr>
          <w:rStyle w:val="54"/>
          <w:rFonts w:hint="eastAsia" w:ascii="仿宋" w:hAnsi="仿宋" w:eastAsia="仿宋" w:cs="仿宋"/>
          <w:b/>
          <w:bCs/>
          <w:highlight w:val="none"/>
          <w:shd w:val="clear" w:color="auto" w:fill="FFFFFF"/>
          <w:lang w:eastAsia="zh-CN"/>
        </w:rPr>
        <w:t>提</w:t>
      </w:r>
      <w:r>
        <w:rPr>
          <w:rStyle w:val="54"/>
          <w:rFonts w:hint="eastAsia" w:ascii="仿宋" w:hAnsi="仿宋" w:eastAsia="仿宋" w:cs="仿宋"/>
          <w:b/>
          <w:bCs/>
          <w:highlight w:val="none"/>
          <w:shd w:val="clear" w:color="auto" w:fill="FFFFFF"/>
        </w:rPr>
        <w:t>交</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截止时间： 202</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年</w:t>
      </w: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日 14时30分00秒 （北京时间）</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地点：西安市高新路88号尚品国际C幢北</w:t>
      </w:r>
      <w:r>
        <w:rPr>
          <w:rFonts w:hint="eastAsia" w:ascii="仿宋" w:hAnsi="仿宋" w:eastAsia="仿宋" w:cs="仿宋"/>
          <w:highlight w:val="none"/>
          <w:shd w:val="clear" w:color="auto" w:fill="FFFFFF"/>
          <w:lang w:val="en-US" w:eastAsia="zh-CN"/>
        </w:rPr>
        <w:t>28楼</w:t>
      </w:r>
      <w:r>
        <w:rPr>
          <w:rFonts w:hint="eastAsia" w:ascii="仿宋" w:hAnsi="仿宋" w:eastAsia="仿宋" w:cs="仿宋"/>
          <w:highlight w:val="none"/>
          <w:shd w:val="clear" w:color="auto" w:fill="FFFFFF"/>
        </w:rPr>
        <w:t>12805室</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五、开启</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时间： 202</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年</w:t>
      </w: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日 14时30分00秒 （北京时间）</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地点：西安市高新路88号尚品国际C幢北</w:t>
      </w:r>
      <w:r>
        <w:rPr>
          <w:rFonts w:hint="eastAsia" w:ascii="仿宋" w:hAnsi="仿宋" w:eastAsia="仿宋" w:cs="仿宋"/>
          <w:highlight w:val="none"/>
          <w:shd w:val="clear" w:color="auto" w:fill="FFFFFF"/>
          <w:lang w:val="en-US" w:eastAsia="zh-CN"/>
        </w:rPr>
        <w:t>28楼</w:t>
      </w:r>
      <w:r>
        <w:rPr>
          <w:rFonts w:hint="eastAsia" w:ascii="仿宋" w:hAnsi="仿宋" w:eastAsia="仿宋" w:cs="仿宋"/>
          <w:highlight w:val="none"/>
          <w:shd w:val="clear" w:color="auto" w:fill="FFFFFF"/>
        </w:rPr>
        <w:t>12805室</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六、公告期限</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自本公告发布之日起</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rPr>
        <w:t>个工作日。</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七、其他补充事宜</w:t>
      </w:r>
    </w:p>
    <w:p>
      <w:pPr>
        <w:pStyle w:val="45"/>
        <w:spacing w:before="0" w:beforeAutospacing="0" w:after="0" w:afterAutospacing="0" w:line="480" w:lineRule="atLeas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1、供应商持单位介绍信及身份证原件复印件领取磋商文件。</w:t>
      </w:r>
      <w:r>
        <w:rPr>
          <w:rFonts w:hint="eastAsia" w:ascii="仿宋" w:hAnsi="仿宋" w:eastAsia="仿宋" w:cs="仿宋"/>
          <w:highlight w:val="none"/>
          <w:shd w:val="clear" w:color="auto" w:fill="FFFFFF"/>
          <w:lang w:val="en-US" w:eastAsia="zh-CN"/>
        </w:rPr>
        <w:t>推荐</w:t>
      </w:r>
      <w:r>
        <w:rPr>
          <w:rFonts w:hint="eastAsia" w:ascii="仿宋" w:hAnsi="仿宋" w:eastAsia="仿宋" w:cs="仿宋"/>
          <w:highlight w:val="none"/>
          <w:shd w:val="clear" w:color="auto" w:fill="FFFFFF"/>
        </w:rPr>
        <w:t>供应商可以</w:t>
      </w:r>
      <w:r>
        <w:rPr>
          <w:rFonts w:hint="eastAsia" w:ascii="仿宋" w:hAnsi="仿宋" w:eastAsia="仿宋" w:cs="仿宋"/>
          <w:highlight w:val="none"/>
          <w:shd w:val="clear" w:color="auto" w:fill="FFFFFF"/>
          <w:lang w:val="en-US" w:eastAsia="zh-CN"/>
        </w:rPr>
        <w:t>直接</w:t>
      </w:r>
      <w:r>
        <w:rPr>
          <w:rFonts w:hint="eastAsia" w:ascii="仿宋" w:hAnsi="仿宋" w:eastAsia="仿宋" w:cs="仿宋"/>
          <w:highlight w:val="none"/>
          <w:shd w:val="clear" w:color="auto" w:fill="FFFFFF"/>
        </w:rPr>
        <w:t>将相关资料发至项目负责人邮箱 (975240583@qq.com)并在邮件中注明公司名称、联系人、联系电话及邮箱，并附单位介绍信、加盖公章的被授权人身份证扫描件（邮件发送当日招标代理机构项目负责人若未以邮件形式回复，请及时致电联系）。项目负责人确认信息后，将加盖公章的磋商文件电子版发送至单位邮箱。</w:t>
      </w:r>
    </w:p>
    <w:p>
      <w:pPr>
        <w:pStyle w:val="45"/>
        <w:spacing w:before="0" w:beforeAutospacing="0" w:after="0" w:afterAutospacing="0" w:line="480" w:lineRule="atLeast"/>
        <w:ind w:firstLine="480" w:firstLineChars="20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 xml:space="preserve"> 2、供应商务必按照《陕西省财政厅关于政府采购供应商注册登记有关事项的通知》要求，通过陕西省政府采购网（www.ccgp-shaanxi.gov.cn）进行陕西政府采购统一身份认证注册登记</w:t>
      </w:r>
      <w:r>
        <w:rPr>
          <w:rFonts w:hint="eastAsia" w:ascii="仿宋" w:hAnsi="仿宋" w:eastAsia="仿宋" w:cs="仿宋"/>
          <w:highlight w:val="none"/>
          <w:shd w:val="clear" w:color="auto" w:fill="FFFFFF"/>
          <w:lang w:eastAsia="zh-CN"/>
        </w:rPr>
        <w:t>。</w:t>
      </w:r>
    </w:p>
    <w:p>
      <w:pPr>
        <w:pStyle w:val="45"/>
        <w:spacing w:before="0" w:beforeAutospacing="0" w:after="0" w:afterAutospacing="0" w:line="480" w:lineRule="atLeast"/>
        <w:ind w:firstLine="480" w:firstLineChars="200"/>
        <w:jc w:val="both"/>
        <w:rPr>
          <w:rFonts w:hint="eastAsia" w:ascii="仿宋" w:hAnsi="仿宋" w:eastAsia="仿宋" w:cs="仿宋"/>
          <w:highlight w:val="none"/>
          <w:shd w:val="clear" w:color="auto" w:fill="FFFFFF"/>
          <w:lang w:eastAsia="zh-CN"/>
        </w:rPr>
      </w:pPr>
      <w:r>
        <w:rPr>
          <w:rFonts w:hint="eastAsia" w:ascii="仿宋" w:hAnsi="仿宋" w:eastAsia="仿宋" w:cs="仿宋"/>
          <w:highlight w:val="none"/>
          <w:shd w:val="clear" w:color="auto" w:fill="FFFFFF"/>
        </w:rPr>
        <w:t>  3、本项目执行政府强制、优先采购节能产品，优先采购环境标志产品，支持中小企业，支持监狱和戒毒企业、残疾人企业、扶持不发达地区和少数民族地区、支持脱贫攻坚、乡村振兴等相关政策。详见磋商文件</w:t>
      </w:r>
      <w:r>
        <w:rPr>
          <w:rFonts w:hint="eastAsia" w:ascii="仿宋" w:hAnsi="仿宋" w:eastAsia="仿宋" w:cs="仿宋"/>
          <w:highlight w:val="none"/>
          <w:shd w:val="clear" w:color="auto" w:fill="FFFFFF"/>
          <w:lang w:eastAsia="zh-CN"/>
        </w:rPr>
        <w:t>。</w:t>
      </w:r>
    </w:p>
    <w:p>
      <w:pPr>
        <w:pStyle w:val="45"/>
        <w:spacing w:before="0" w:beforeAutospacing="0" w:after="0" w:afterAutospacing="0" w:line="480" w:lineRule="atLeast"/>
        <w:ind w:firstLine="482" w:firstLineChars="20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八、凡对本次采购提出询问，请按以下方式联系。</w:t>
      </w:r>
    </w:p>
    <w:p>
      <w:pPr>
        <w:pStyle w:val="8"/>
        <w:keepNext w:val="0"/>
        <w:keepLines w:val="0"/>
        <w:widowControl/>
        <w:spacing w:before="0" w:after="0" w:line="440" w:lineRule="exact"/>
        <w:ind w:left="1169" w:leftChars="159" w:hanging="835" w:hangingChars="348"/>
        <w:jc w:val="left"/>
        <w:rPr>
          <w:rFonts w:hint="eastAsia" w:ascii="仿宋" w:hAnsi="仿宋" w:eastAsia="仿宋" w:cs="仿宋"/>
          <w:b w:val="0"/>
          <w:bCs w:val="0"/>
          <w:szCs w:val="24"/>
          <w:highlight w:val="none"/>
        </w:rPr>
      </w:pPr>
      <w:r>
        <w:rPr>
          <w:rFonts w:hint="eastAsia" w:ascii="仿宋" w:hAnsi="仿宋" w:eastAsia="仿宋" w:cs="仿宋"/>
          <w:b w:val="0"/>
          <w:bCs w:val="0"/>
          <w:szCs w:val="24"/>
          <w:highlight w:val="none"/>
          <w:shd w:val="clear" w:color="auto" w:fill="FFFFFF"/>
        </w:rPr>
        <w:t>1.采购人信息</w:t>
      </w:r>
    </w:p>
    <w:p>
      <w:pPr>
        <w:pStyle w:val="45"/>
        <w:spacing w:before="0" w:beforeAutospacing="0" w:after="0" w:afterAutospacing="0" w:line="440" w:lineRule="exact"/>
        <w:ind w:firstLine="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名称：</w:t>
      </w:r>
      <w:r>
        <w:rPr>
          <w:rFonts w:hint="eastAsia" w:ascii="仿宋" w:hAnsi="仿宋" w:eastAsia="仿宋" w:cs="仿宋"/>
          <w:highlight w:val="none"/>
          <w:shd w:val="clear" w:color="auto" w:fill="FFFFFF"/>
          <w:lang w:eastAsia="zh-CN"/>
        </w:rPr>
        <w:t>铜川市耀州区庙湾镇人民政府</w:t>
      </w:r>
    </w:p>
    <w:p>
      <w:pPr>
        <w:pStyle w:val="45"/>
        <w:spacing w:before="0" w:beforeAutospacing="0" w:after="0" w:afterAutospacing="0" w:line="440" w:lineRule="exact"/>
        <w:ind w:firstLine="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地址：陕西省铜川市耀州区庙湾镇街道</w:t>
      </w:r>
    </w:p>
    <w:p>
      <w:pPr>
        <w:pStyle w:val="45"/>
        <w:spacing w:before="0" w:beforeAutospacing="0" w:after="0" w:afterAutospacing="0" w:line="440" w:lineRule="exac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联系方式：0919-6831154</w:t>
      </w:r>
    </w:p>
    <w:p>
      <w:pPr>
        <w:pStyle w:val="8"/>
        <w:keepNext w:val="0"/>
        <w:keepLines w:val="0"/>
        <w:widowControl/>
        <w:spacing w:before="0" w:after="0" w:line="440" w:lineRule="exact"/>
        <w:ind w:left="1314" w:leftChars="114" w:hanging="1075" w:hangingChars="448"/>
        <w:jc w:val="left"/>
        <w:rPr>
          <w:rFonts w:hint="eastAsia" w:ascii="仿宋" w:hAnsi="仿宋" w:eastAsia="仿宋" w:cs="仿宋"/>
          <w:b w:val="0"/>
          <w:bCs w:val="0"/>
          <w:szCs w:val="24"/>
          <w:highlight w:val="none"/>
        </w:rPr>
      </w:pPr>
      <w:r>
        <w:rPr>
          <w:rFonts w:hint="eastAsia" w:ascii="仿宋" w:hAnsi="仿宋" w:eastAsia="仿宋" w:cs="仿宋"/>
          <w:b w:val="0"/>
          <w:bCs w:val="0"/>
          <w:szCs w:val="24"/>
          <w:highlight w:val="none"/>
          <w:shd w:val="clear" w:color="auto" w:fill="FFFFFF"/>
        </w:rPr>
        <w:t>2.采购代理机构信息</w:t>
      </w:r>
    </w:p>
    <w:p>
      <w:pPr>
        <w:pStyle w:val="45"/>
        <w:spacing w:before="0" w:beforeAutospacing="0" w:after="0" w:afterAutospacing="0" w:line="440" w:lineRule="exac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名称：陕西星火工程管理有限公司</w:t>
      </w:r>
    </w:p>
    <w:p>
      <w:pPr>
        <w:pStyle w:val="45"/>
        <w:spacing w:before="0" w:beforeAutospacing="0" w:after="0" w:afterAutospacing="0" w:line="440" w:lineRule="exac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地址：西安市高新区高新路88号尚品国际C幢北12804室</w:t>
      </w:r>
    </w:p>
    <w:p>
      <w:pPr>
        <w:pStyle w:val="45"/>
        <w:spacing w:before="0" w:beforeAutospacing="0" w:after="0" w:afterAutospacing="0" w:line="440" w:lineRule="exac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联系方式：029-88852300</w:t>
      </w:r>
    </w:p>
    <w:p>
      <w:pPr>
        <w:pStyle w:val="8"/>
        <w:keepNext w:val="0"/>
        <w:keepLines w:val="0"/>
        <w:widowControl/>
        <w:spacing w:before="0" w:after="0" w:line="440" w:lineRule="exact"/>
        <w:ind w:left="1314" w:leftChars="114" w:hanging="1075" w:hangingChars="448"/>
        <w:jc w:val="left"/>
        <w:rPr>
          <w:rFonts w:hint="eastAsia" w:ascii="仿宋" w:hAnsi="仿宋" w:eastAsia="仿宋" w:cs="仿宋"/>
          <w:b w:val="0"/>
          <w:bCs w:val="0"/>
          <w:szCs w:val="24"/>
          <w:highlight w:val="none"/>
        </w:rPr>
      </w:pPr>
      <w:r>
        <w:rPr>
          <w:rFonts w:hint="eastAsia" w:ascii="仿宋" w:hAnsi="仿宋" w:eastAsia="仿宋" w:cs="仿宋"/>
          <w:b w:val="0"/>
          <w:bCs w:val="0"/>
          <w:szCs w:val="24"/>
          <w:highlight w:val="none"/>
          <w:shd w:val="clear" w:color="auto" w:fill="FFFFFF"/>
        </w:rPr>
        <w:t>3.项目联系方式</w:t>
      </w:r>
    </w:p>
    <w:p>
      <w:pPr>
        <w:pStyle w:val="45"/>
        <w:spacing w:before="0" w:beforeAutospacing="0" w:after="0" w:afterAutospacing="0" w:line="440" w:lineRule="exac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项目联系人：黄旭</w:t>
      </w:r>
    </w:p>
    <w:p>
      <w:pPr>
        <w:pStyle w:val="45"/>
        <w:spacing w:before="0" w:beforeAutospacing="0" w:after="0" w:afterAutospacing="0" w:line="440" w:lineRule="exact"/>
        <w:ind w:firstLine="480"/>
        <w:jc w:val="both"/>
        <w:rPr>
          <w:rFonts w:hint="eastAsia" w:ascii="仿宋" w:hAnsi="仿宋" w:eastAsia="仿宋" w:cs="仿宋"/>
          <w:highlight w:val="none"/>
        </w:rPr>
      </w:pPr>
      <w:r>
        <w:rPr>
          <w:rFonts w:hint="eastAsia" w:ascii="仿宋" w:hAnsi="仿宋" w:eastAsia="仿宋" w:cs="仿宋"/>
          <w:highlight w:val="none"/>
          <w:shd w:val="clear" w:color="auto" w:fill="FFFFFF"/>
        </w:rPr>
        <w:t>电话：029-88852300</w:t>
      </w:r>
    </w:p>
    <w:p>
      <w:pPr>
        <w:pStyle w:val="47"/>
        <w:spacing w:line="360" w:lineRule="auto"/>
        <w:rPr>
          <w:rStyle w:val="206"/>
          <w:rFonts w:hint="eastAsia" w:ascii="仿宋" w:hAnsi="仿宋" w:eastAsia="仿宋" w:cs="仿宋"/>
          <w:sz w:val="36"/>
          <w:szCs w:val="36"/>
          <w:highlight w:val="none"/>
        </w:rPr>
      </w:pPr>
      <w:r>
        <w:rPr>
          <w:rFonts w:hint="eastAsia" w:ascii="仿宋" w:hAnsi="仿宋" w:eastAsia="仿宋" w:cs="仿宋"/>
          <w:highlight w:val="non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58504446"/>
      <w:bookmarkStart w:id="21" w:name="_Toc230099796"/>
      <w:bookmarkStart w:id="22" w:name="_Toc249515389"/>
      <w:bookmarkStart w:id="23" w:name="_Toc18129"/>
      <w:bookmarkStart w:id="24" w:name="_Toc415499895"/>
      <w:bookmarkStart w:id="25" w:name="_Toc249515277"/>
      <w:bookmarkStart w:id="26" w:name="_Toc256342142"/>
      <w:bookmarkStart w:id="27" w:name="_Toc21126"/>
      <w:bookmarkStart w:id="28" w:name="_Toc230583540"/>
      <w:bookmarkStart w:id="29" w:name="_Toc230013631"/>
      <w:bookmarkStart w:id="30" w:name="_Toc232176271"/>
      <w:bookmarkStart w:id="31" w:name="_Toc249525158"/>
      <w:bookmarkStart w:id="32" w:name="_Toc184043011"/>
      <w:bookmarkStart w:id="33" w:name="_Toc232395211"/>
      <w:bookmarkStart w:id="34" w:name="_Toc249515278"/>
      <w:bookmarkStart w:id="35" w:name="_Toc500747188"/>
      <w:bookmarkStart w:id="36" w:name="_Toc500747061"/>
      <w:bookmarkStart w:id="37" w:name="_Toc232395212"/>
      <w:bookmarkStart w:id="38" w:name="_Toc230583541"/>
      <w:bookmarkStart w:id="39" w:name="_Toc53722840"/>
      <w:bookmarkStart w:id="40" w:name="_Toc249515390"/>
      <w:bookmarkStart w:id="41" w:name="_Toc249525159"/>
      <w:bookmarkStart w:id="42" w:name="_Toc70687139"/>
      <w:bookmarkStart w:id="43" w:name="_Toc503063421"/>
      <w:bookmarkStart w:id="44" w:name="_Toc500746965"/>
      <w:bookmarkStart w:id="45" w:name="_Toc499711883"/>
      <w:bookmarkStart w:id="46" w:name="_Toc230013632"/>
      <w:bookmarkStart w:id="47" w:name="_Toc177817334"/>
      <w:bookmarkStart w:id="48" w:name="_Toc232176272"/>
      <w:bookmarkStart w:id="49" w:name="_Toc492955414"/>
      <w:bookmarkStart w:id="50" w:name="_Toc256342143"/>
      <w:bookmarkStart w:id="51" w:name="_Toc496324578"/>
      <w:bookmarkStart w:id="52" w:name="_Toc176882542"/>
      <w:bookmarkStart w:id="53" w:name="_Toc230099797"/>
      <w:bookmarkStart w:id="54" w:name="_Toc499711042"/>
      <w:bookmarkStart w:id="55" w:name="_Toc177995473"/>
      <w:bookmarkStart w:id="56" w:name="_Toc184043012"/>
      <w:bookmarkStart w:id="57" w:name="_Toc177189235"/>
      <w:r>
        <w:rPr>
          <w:rStyle w:val="206"/>
          <w:rFonts w:hint="eastAsia" w:ascii="仿宋" w:hAnsi="仿宋" w:eastAsia="仿宋" w:cs="仿宋"/>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0"/>
        <w:spacing w:before="240" w:beforeLines="100" w:after="24"/>
        <w:jc w:val="center"/>
        <w:rPr>
          <w:rFonts w:hint="eastAsia" w:ascii="仿宋" w:hAnsi="仿宋" w:eastAsia="仿宋" w:cs="仿宋"/>
          <w:sz w:val="28"/>
          <w:szCs w:val="28"/>
          <w:highlight w:val="none"/>
        </w:rPr>
      </w:pPr>
      <w:bookmarkStart w:id="58" w:name="_Toc19635"/>
      <w:r>
        <w:rPr>
          <w:rFonts w:hint="eastAsia" w:ascii="仿宋" w:hAnsi="仿宋" w:eastAsia="仿宋" w:cs="仿宋"/>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本表是对供应商须知的具体补充和修改，如有矛盾，均以本表为准。</w:t>
      </w:r>
    </w:p>
    <w:p>
      <w:pPr>
        <w:ind w:left="720" w:hanging="720" w:hangingChars="343"/>
        <w:rPr>
          <w:rFonts w:hint="eastAsia" w:ascii="仿宋" w:hAnsi="仿宋" w:eastAsia="仿宋" w:cs="仿宋"/>
          <w:b/>
          <w:sz w:val="20"/>
          <w:szCs w:val="20"/>
          <w:highlight w:val="none"/>
        </w:rPr>
      </w:pPr>
      <w:r>
        <w:rPr>
          <w:rFonts w:hint="eastAsia" w:ascii="仿宋" w:hAnsi="仿宋" w:eastAsia="仿宋" w:cs="仿宋"/>
          <w:szCs w:val="21"/>
          <w:highlight w:val="none"/>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hint="eastAsia" w:ascii="仿宋" w:hAnsi="仿宋" w:eastAsia="仿宋" w:cs="仿宋"/>
                <w:b/>
                <w:sz w:val="24"/>
                <w:szCs w:val="24"/>
                <w:highlight w:val="none"/>
              </w:rPr>
            </w:pPr>
            <w:bookmarkStart w:id="59" w:name="_Hlt14560610"/>
            <w:bookmarkEnd w:id="59"/>
            <w:bookmarkStart w:id="60" w:name="_Toc496324580"/>
            <w:bookmarkStart w:id="61" w:name="_Toc499711885"/>
            <w:bookmarkStart w:id="62" w:name="_Toc499711044"/>
            <w:bookmarkStart w:id="63" w:name="_Toc500746967"/>
            <w:bookmarkStart w:id="64" w:name="_Toc385992326"/>
            <w:bookmarkStart w:id="65" w:name="_Toc389620165"/>
            <w:bookmarkStart w:id="66" w:name="_Toc500747063"/>
            <w:bookmarkStart w:id="67" w:name="_Toc492955416"/>
            <w:bookmarkStart w:id="68" w:name="_Toc500747190"/>
            <w:bookmarkStart w:id="69" w:name="_Toc503063423"/>
            <w:r>
              <w:rPr>
                <w:rFonts w:hint="eastAsia" w:ascii="仿宋" w:hAnsi="仿宋" w:eastAsia="仿宋" w:cs="仿宋"/>
                <w:b/>
                <w:sz w:val="24"/>
                <w:szCs w:val="24"/>
                <w:highlight w:val="none"/>
              </w:rPr>
              <w:t>条款号</w:t>
            </w:r>
          </w:p>
        </w:tc>
        <w:tc>
          <w:tcPr>
            <w:tcW w:w="7650" w:type="dxa"/>
            <w:vAlign w:val="center"/>
          </w:tcPr>
          <w:p>
            <w:pPr>
              <w:pStyle w:val="29"/>
              <w:adjustRightInd w:val="0"/>
              <w:snapToGrid w:val="0"/>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铜川市耀州区庙湾镇智慧香菇大数据平台服务项目</w:t>
            </w:r>
          </w:p>
          <w:p>
            <w:pPr>
              <w:pStyle w:val="29"/>
              <w:adjustRightInd w:val="0"/>
              <w:snapToGrid w:val="0"/>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XHZB2023-CS-003/001</w:t>
            </w:r>
          </w:p>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资金来源：财政资金</w:t>
            </w:r>
          </w:p>
          <w:p>
            <w:pPr>
              <w:pStyle w:val="29"/>
              <w:adjustRightInd w:val="0"/>
              <w:snapToGrid w:val="0"/>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1200000.00</w:t>
            </w:r>
          </w:p>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采购方式：竞争性磋商</w:t>
            </w:r>
          </w:p>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eastAsia="zh-CN"/>
              </w:rPr>
              <w:t>铜川市耀州区庙湾镇人民政府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采购代理机构：陕西星火工程管理有限公司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邀请供应商的方式：</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（1）发布磋商公告</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（2）采购人和评审专家分别书面推荐的方式邀请不少于3 家</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符合相应资格条件的供应商</w:t>
            </w:r>
          </w:p>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7650" w:type="dxa"/>
            <w:vAlign w:val="center"/>
          </w:tcPr>
          <w:p>
            <w:pPr>
              <w:pStyle w:val="14"/>
              <w:spacing w:line="360" w:lineRule="auto"/>
              <w:rPr>
                <w:rFonts w:hint="eastAsia" w:ascii="仿宋" w:hAnsi="仿宋" w:eastAsia="仿宋" w:cs="仿宋"/>
                <w:color w:val="auto"/>
                <w:highlight w:val="none"/>
              </w:rPr>
            </w:pPr>
            <w:r>
              <w:rPr>
                <w:rFonts w:hint="eastAsia" w:ascii="仿宋" w:hAnsi="仿宋" w:eastAsia="仿宋" w:cs="仿宋"/>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3.6</w:t>
            </w:r>
          </w:p>
        </w:tc>
        <w:tc>
          <w:tcPr>
            <w:tcW w:w="7650" w:type="dxa"/>
            <w:vAlign w:val="center"/>
          </w:tcPr>
          <w:p>
            <w:pPr>
              <w:pStyle w:val="14"/>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是否允许采购进口产品：</w:t>
            </w:r>
            <w:r>
              <w:rPr>
                <w:rFonts w:hint="eastAsia" w:ascii="仿宋" w:hAnsi="仿宋" w:eastAsia="仿宋" w:cs="仿宋"/>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7650" w:type="dxa"/>
            <w:vAlign w:val="center"/>
          </w:tcPr>
          <w:p>
            <w:pPr>
              <w:pStyle w:val="14"/>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是否允许联合体磋商：</w:t>
            </w:r>
            <w:r>
              <w:rPr>
                <w:rFonts w:hint="eastAsia" w:ascii="仿宋" w:hAnsi="仿宋" w:eastAsia="仿宋" w:cs="仿宋"/>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3.8</w:t>
            </w:r>
          </w:p>
        </w:tc>
        <w:tc>
          <w:tcPr>
            <w:tcW w:w="7650" w:type="dxa"/>
            <w:vAlign w:val="center"/>
          </w:tcPr>
          <w:p>
            <w:pPr>
              <w:pStyle w:val="14"/>
              <w:spacing w:line="360" w:lineRule="auto"/>
              <w:rPr>
                <w:rFonts w:hint="eastAsia" w:ascii="仿宋" w:hAnsi="仿宋" w:eastAsia="仿宋" w:cs="仿宋"/>
                <w:color w:val="auto"/>
                <w:kern w:val="2"/>
                <w:highlight w:val="none"/>
                <w:lang w:eastAsia="zh-CN"/>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是 </w:t>
            </w:r>
            <w:r>
              <w:rPr>
                <w:rFonts w:hint="eastAsia" w:ascii="仿宋" w:hAnsi="仿宋" w:eastAsia="仿宋" w:cs="仿宋"/>
                <w:color w:val="auto"/>
                <w:highlight w:val="none"/>
                <w:u w:val="none"/>
                <w:lang w:eastAsia="zh-CN"/>
              </w:rPr>
              <w:t>，本项目所属行业为</w:t>
            </w:r>
            <w:r>
              <w:rPr>
                <w:rFonts w:hint="eastAsia" w:ascii="仿宋" w:hAnsi="仿宋" w:eastAsia="仿宋" w:cs="仿宋"/>
                <w:sz w:val="24"/>
                <w:highlight w:val="none"/>
                <w:u w:val="single"/>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7650" w:type="dxa"/>
            <w:vAlign w:val="center"/>
          </w:tcPr>
          <w:p>
            <w:pPr>
              <w:spacing w:line="312" w:lineRule="auto"/>
              <w:rPr>
                <w:rFonts w:hint="eastAsia" w:ascii="仿宋" w:hAnsi="仿宋" w:eastAsia="仿宋" w:cs="仿宋"/>
                <w:i/>
                <w:color w:val="auto"/>
                <w:sz w:val="24"/>
                <w:highlight w:val="none"/>
              </w:rPr>
            </w:pPr>
            <w:r>
              <w:rPr>
                <w:rFonts w:hint="eastAsia" w:ascii="仿宋" w:hAnsi="仿宋" w:eastAsia="仿宋" w:cs="仿宋"/>
                <w:color w:val="auto"/>
                <w:sz w:val="24"/>
                <w:highlight w:val="none"/>
              </w:rPr>
              <w:t>成交响应报价为完成本项目并达到磋商文件要求所需要的全部费用</w:t>
            </w:r>
            <w:r>
              <w:rPr>
                <w:rFonts w:hint="eastAsia" w:ascii="仿宋" w:hAnsi="仿宋" w:eastAsia="仿宋" w:cs="仿宋"/>
                <w:color w:val="auto"/>
                <w:sz w:val="24"/>
                <w:highlight w:val="none"/>
                <w:lang w:eastAsia="zh-CN"/>
              </w:rPr>
              <w:t>，</w:t>
            </w:r>
            <w:r>
              <w:rPr>
                <w:rFonts w:hint="eastAsia" w:ascii="仿宋" w:hAnsi="仿宋" w:eastAsia="仿宋" w:cs="仿宋"/>
                <w:i w:val="0"/>
                <w:iCs/>
                <w:color w:val="auto"/>
                <w:sz w:val="24"/>
                <w:highlight w:val="none"/>
              </w:rPr>
              <w:t>服务响应报价为提供磋商文件要求服务的所有费用，包括但不限于提供项目实施费、自行测试费、培训费、人工费、材料费、管理费、供应商应缴纳的所有税费、规费、保险费（如果有）等全部费用。</w:t>
            </w:r>
          </w:p>
          <w:p>
            <w:pPr>
              <w:pStyle w:val="29"/>
              <w:adjustRightInd w:val="0"/>
              <w:snapToGrid w:val="0"/>
              <w:spacing w:line="240" w:lineRule="auto"/>
              <w:rPr>
                <w:rFonts w:hint="eastAsia" w:ascii="仿宋" w:hAnsi="仿宋" w:eastAsia="仿宋" w:cs="仿宋"/>
                <w:sz w:val="24"/>
                <w:highlight w:val="none"/>
              </w:rPr>
            </w:pPr>
            <w:r>
              <w:rPr>
                <w:rFonts w:hint="eastAsia" w:ascii="仿宋" w:hAnsi="仿宋" w:eastAsia="仿宋" w:cs="仿宋"/>
                <w:sz w:val="24"/>
                <w:highlight w:val="none"/>
              </w:rPr>
              <w:t>（1）报价货币：人民币；</w:t>
            </w:r>
          </w:p>
          <w:p>
            <w:pPr>
              <w:pStyle w:val="29"/>
              <w:adjustRightInd w:val="0"/>
              <w:snapToGrid w:val="0"/>
              <w:spacing w:line="240" w:lineRule="auto"/>
              <w:rPr>
                <w:rFonts w:hint="eastAsia" w:ascii="仿宋" w:hAnsi="仿宋" w:eastAsia="仿宋" w:cs="仿宋"/>
                <w:sz w:val="24"/>
                <w:highlight w:val="none"/>
              </w:rPr>
            </w:pPr>
            <w:r>
              <w:rPr>
                <w:rFonts w:hint="eastAsia" w:ascii="仿宋" w:hAnsi="仿宋" w:eastAsia="仿宋" w:cs="仿宋"/>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p>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p>
            <w:pPr>
              <w:pStyle w:val="29"/>
              <w:adjustRightInd w:val="0"/>
              <w:snapToGrid w:val="0"/>
              <w:spacing w:line="240" w:lineRule="auto"/>
              <w:rPr>
                <w:rFonts w:hint="eastAsia" w:ascii="仿宋" w:hAnsi="仿宋" w:eastAsia="仿宋" w:cs="仿宋"/>
                <w:sz w:val="24"/>
                <w:szCs w:val="24"/>
                <w:highlight w:val="none"/>
              </w:rPr>
            </w:pPr>
          </w:p>
        </w:tc>
        <w:tc>
          <w:tcPr>
            <w:tcW w:w="7650" w:type="dxa"/>
            <w:vAlign w:val="center"/>
          </w:tcPr>
          <w:p>
            <w:pPr>
              <w:pStyle w:val="29"/>
              <w:adjustRightInd w:val="0"/>
              <w:snapToGrid w:val="0"/>
              <w:spacing w:line="240" w:lineRule="auto"/>
              <w:rPr>
                <w:rFonts w:hint="eastAsia" w:ascii="仿宋" w:hAnsi="仿宋" w:eastAsia="仿宋" w:cs="仿宋"/>
                <w:sz w:val="24"/>
                <w:highlight w:val="none"/>
              </w:rPr>
            </w:pPr>
            <w:r>
              <w:rPr>
                <w:rFonts w:hint="eastAsia" w:ascii="仿宋" w:hAnsi="仿宋" w:eastAsia="仿宋" w:cs="仿宋"/>
                <w:sz w:val="24"/>
                <w:highlight w:val="none"/>
              </w:rPr>
              <w:t>本项目收取投标保证金：</w:t>
            </w:r>
            <w:r>
              <w:rPr>
                <w:rFonts w:hint="eastAsia" w:ascii="仿宋" w:hAnsi="仿宋" w:eastAsia="仿宋" w:cs="仿宋"/>
                <w:sz w:val="24"/>
                <w:highlight w:val="none"/>
                <w:u w:val="single"/>
              </w:rPr>
              <w:t xml:space="preserve"> 0 </w:t>
            </w:r>
            <w:r>
              <w:rPr>
                <w:rFonts w:hint="eastAsia" w:ascii="仿宋" w:hAnsi="仿宋" w:eastAsia="仿宋" w:cs="仿宋"/>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磋商有效期：自响应文件递交之日起</w:t>
            </w:r>
            <w:r>
              <w:rPr>
                <w:rFonts w:hint="eastAsia" w:ascii="仿宋" w:hAnsi="仿宋" w:eastAsia="仿宋" w:cs="仿宋"/>
                <w:sz w:val="24"/>
                <w:szCs w:val="24"/>
                <w:highlight w:val="none"/>
                <w:u w:val="single"/>
              </w:rPr>
              <w:t xml:space="preserve">  60  </w:t>
            </w:r>
            <w:r>
              <w:rPr>
                <w:rFonts w:hint="eastAsia" w:ascii="仿宋" w:hAnsi="仿宋" w:eastAsia="仿宋" w:cs="仿宋"/>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16.1</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响应文件的份数：</w:t>
            </w:r>
          </w:p>
          <w:p>
            <w:pPr>
              <w:pStyle w:val="2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正本</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17.2</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rPr>
            </w:pP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密封袋（箱）上须标注：</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（l）采购项目编号：</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（2）项目名称：</w:t>
            </w:r>
          </w:p>
          <w:p>
            <w:pPr>
              <w:pStyle w:val="29"/>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（3）供应商的名称、地址、联系人、电话和传真。</w:t>
            </w:r>
          </w:p>
          <w:p>
            <w:pPr>
              <w:pStyle w:val="29"/>
              <w:adjustRightInd w:val="0"/>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（4）在  ******（北京时间）之前不得启封</w:t>
            </w:r>
          </w:p>
          <w:p>
            <w:pPr>
              <w:pStyle w:val="29"/>
              <w:adjustRightInd w:val="0"/>
              <w:snapToGrid w:val="0"/>
              <w:spacing w:line="24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17.3</w:t>
            </w:r>
          </w:p>
        </w:tc>
        <w:tc>
          <w:tcPr>
            <w:tcW w:w="7650" w:type="dxa"/>
            <w:vAlign w:val="center"/>
          </w:tcPr>
          <w:p>
            <w:pPr>
              <w:pStyle w:val="29"/>
              <w:adjustRightInd w:val="0"/>
              <w:snapToGrid w:val="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 本项目不要求提交样品。</w:t>
            </w:r>
          </w:p>
          <w:p>
            <w:pPr>
              <w:pStyle w:val="29"/>
              <w:adjustRightInd w:val="0"/>
              <w:snapToGrid w:val="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□本项目要求提交样品。样品为响应文件的一部分，随响应文件同时递交。</w:t>
            </w:r>
          </w:p>
          <w:p>
            <w:pPr>
              <w:pStyle w:val="29"/>
              <w:adjustRightInd w:val="0"/>
              <w:snapToGrid w:val="0"/>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（1）样品需标明：项目名称、供应商名称、样品名称等内容。</w:t>
            </w:r>
          </w:p>
          <w:p>
            <w:pPr>
              <w:pStyle w:val="29"/>
              <w:adjustRightInd w:val="0"/>
              <w:snapToGrid w:val="0"/>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7650" w:type="dxa"/>
            <w:vAlign w:val="center"/>
          </w:tcPr>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响应文件递交截止时间：</w:t>
            </w:r>
            <w:r>
              <w:rPr>
                <w:rFonts w:hint="eastAsia" w:ascii="仿宋" w:hAnsi="仿宋" w:eastAsia="仿宋" w:cs="仿宋"/>
                <w:kern w:val="0"/>
                <w:sz w:val="24"/>
                <w:highlight w:val="none"/>
              </w:rPr>
              <w:t>202</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 xml:space="preserve"> 14:30:00</w:t>
            </w:r>
            <w:r>
              <w:rPr>
                <w:rFonts w:hint="eastAsia" w:ascii="仿宋" w:hAnsi="仿宋" w:eastAsia="仿宋" w:cs="仿宋"/>
                <w:kern w:val="24"/>
                <w:sz w:val="24"/>
                <w:szCs w:val="21"/>
                <w:highlight w:val="none"/>
              </w:rPr>
              <w:t>（北京时间）。</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响应文件递交地点：</w:t>
            </w:r>
            <w:r>
              <w:rPr>
                <w:rFonts w:hint="eastAsia" w:ascii="仿宋" w:hAnsi="仿宋" w:eastAsia="仿宋" w:cs="仿宋"/>
                <w:kern w:val="0"/>
                <w:sz w:val="24"/>
                <w:highlight w:val="none"/>
              </w:rPr>
              <w:t>西安市高新路88号尚品国际C幢北28楼12805室</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21.1</w:t>
            </w:r>
          </w:p>
        </w:tc>
        <w:tc>
          <w:tcPr>
            <w:tcW w:w="7650" w:type="dxa"/>
            <w:vAlign w:val="center"/>
          </w:tcPr>
          <w:p>
            <w:pPr>
              <w:spacing w:line="360" w:lineRule="exact"/>
              <w:rPr>
                <w:rFonts w:hint="eastAsia" w:ascii="仿宋" w:hAnsi="仿宋" w:eastAsia="仿宋" w:cs="仿宋"/>
                <w:sz w:val="24"/>
                <w:highlight w:val="none"/>
              </w:rPr>
            </w:pPr>
            <w:r>
              <w:rPr>
                <w:rFonts w:hint="eastAsia" w:ascii="仿宋" w:hAnsi="仿宋" w:eastAsia="仿宋" w:cs="仿宋"/>
                <w:sz w:val="24"/>
                <w:highlight w:val="none"/>
              </w:rPr>
              <w:t>磋商小组由</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28.1</w:t>
            </w:r>
          </w:p>
        </w:tc>
        <w:tc>
          <w:tcPr>
            <w:tcW w:w="7650" w:type="dxa"/>
            <w:vAlign w:val="center"/>
          </w:tcPr>
          <w:p>
            <w:pPr>
              <w:jc w:val="left"/>
              <w:rPr>
                <w:rFonts w:hint="eastAsia" w:ascii="仿宋" w:hAnsi="仿宋" w:eastAsia="仿宋" w:cs="仿宋"/>
                <w:sz w:val="24"/>
                <w:highlight w:val="none"/>
              </w:rPr>
            </w:pPr>
            <w:r>
              <w:rPr>
                <w:rFonts w:hint="eastAsia" w:ascii="仿宋" w:hAnsi="仿宋" w:eastAsia="仿宋" w:cs="仿宋"/>
                <w:sz w:val="24"/>
                <w:highlight w:val="none"/>
              </w:rPr>
              <w:t>□ 本项目要求履约保证金，金额为成交合同金额的</w:t>
            </w:r>
            <w:r>
              <w:rPr>
                <w:rFonts w:hint="eastAsia" w:ascii="仿宋" w:hAnsi="仿宋" w:eastAsia="仿宋" w:cs="仿宋"/>
                <w:b/>
                <w:sz w:val="24"/>
                <w:highlight w:val="none"/>
              </w:rPr>
              <w:t xml:space="preserve">10% </w:t>
            </w:r>
          </w:p>
          <w:p>
            <w:pPr>
              <w:jc w:val="left"/>
              <w:rPr>
                <w:rFonts w:hint="eastAsia" w:ascii="仿宋" w:hAnsi="仿宋" w:eastAsia="仿宋" w:cs="仿宋"/>
                <w:highlight w:val="none"/>
              </w:rPr>
            </w:pPr>
            <w:r>
              <w:rPr>
                <w:rFonts w:hint="eastAsia" w:ascii="仿宋" w:hAnsi="仿宋" w:eastAsia="仿宋" w:cs="仿宋"/>
                <w:sz w:val="24"/>
                <w:highlight w:val="none"/>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jc w:val="center"/>
              <w:rPr>
                <w:rFonts w:hint="eastAsia" w:ascii="仿宋" w:hAnsi="仿宋" w:eastAsia="仿宋" w:cs="仿宋"/>
                <w:sz w:val="24"/>
                <w:highlight w:val="none"/>
              </w:rPr>
            </w:pPr>
            <w:bookmarkStart w:id="70" w:name="_Toc70687140"/>
            <w:bookmarkStart w:id="71" w:name="_Toc249515391"/>
            <w:bookmarkStart w:id="72" w:name="_Toc177817335"/>
            <w:bookmarkStart w:id="73" w:name="_Toc177189236"/>
            <w:bookmarkStart w:id="74" w:name="_Toc177995474"/>
            <w:bookmarkStart w:id="75" w:name="_Toc256342144"/>
            <w:bookmarkStart w:id="76" w:name="_Toc230099798"/>
            <w:bookmarkStart w:id="77" w:name="_Toc230583542"/>
            <w:bookmarkStart w:id="78" w:name="_Toc53722841"/>
            <w:bookmarkStart w:id="79" w:name="_Toc232395213"/>
            <w:bookmarkStart w:id="80" w:name="_Toc249525160"/>
            <w:bookmarkStart w:id="81" w:name="_Toc232176273"/>
            <w:bookmarkStart w:id="82" w:name="_Toc249515279"/>
            <w:bookmarkStart w:id="83" w:name="_Toc230013633"/>
            <w:bookmarkStart w:id="84" w:name="_Toc176882543"/>
            <w:bookmarkStart w:id="85" w:name="_Toc184043013"/>
            <w:r>
              <w:rPr>
                <w:rFonts w:hint="eastAsia" w:ascii="仿宋" w:hAnsi="仿宋" w:eastAsia="仿宋" w:cs="仿宋"/>
                <w:sz w:val="24"/>
                <w:highlight w:val="none"/>
              </w:rPr>
              <w:t>其他</w:t>
            </w:r>
          </w:p>
        </w:tc>
        <w:tc>
          <w:tcPr>
            <w:tcW w:w="7650" w:type="dxa"/>
            <w:vAlign w:val="center"/>
          </w:tcPr>
          <w:p>
            <w:pPr>
              <w:jc w:val="left"/>
              <w:rPr>
                <w:rFonts w:hint="eastAsia" w:ascii="仿宋" w:hAnsi="仿宋" w:eastAsia="仿宋" w:cs="仿宋"/>
                <w:sz w:val="24"/>
                <w:highlight w:val="none"/>
              </w:rPr>
            </w:pPr>
            <w:r>
              <w:rPr>
                <w:rFonts w:hint="eastAsia" w:ascii="仿宋" w:hAnsi="仿宋" w:eastAsia="仿宋" w:cs="仿宋"/>
                <w:b/>
                <w:bCs/>
                <w:sz w:val="24"/>
                <w:highlight w:val="none"/>
              </w:rPr>
              <w:t>供应商如不参与项目投标，应在递交响应文件截止时间前一日以书面形式告知采购代理机构。否则，采购代理机构可以向财政部门反映情况并提供相关的佐证。供应商一年内累计出现三次该情形，将被监管部门记录为失信行为。</w:t>
            </w:r>
          </w:p>
        </w:tc>
      </w:tr>
    </w:tbl>
    <w:p>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80"/>
        <w:spacing w:before="24" w:after="24"/>
        <w:jc w:val="center"/>
        <w:rPr>
          <w:rFonts w:hint="eastAsia" w:ascii="仿宋" w:hAnsi="仿宋" w:eastAsia="仿宋" w:cs="仿宋"/>
          <w:szCs w:val="32"/>
          <w:highlight w:val="none"/>
        </w:rPr>
      </w:pPr>
      <w:bookmarkStart w:id="86" w:name="_Toc17888"/>
      <w:bookmarkStart w:id="87" w:name="_Toc184025279"/>
      <w:bookmarkStart w:id="88" w:name="_Toc230013637"/>
      <w:bookmarkStart w:id="89" w:name="_Toc184114070"/>
      <w:bookmarkStart w:id="90" w:name="_Toc230099802"/>
      <w:r>
        <w:rPr>
          <w:rFonts w:hint="eastAsia" w:ascii="仿宋" w:hAnsi="仿宋" w:eastAsia="仿宋" w:cs="仿宋"/>
          <w:szCs w:val="32"/>
          <w:highlight w:val="none"/>
        </w:rPr>
        <w:t>（二）供应商须知</w:t>
      </w:r>
      <w:bookmarkEnd w:id="86"/>
    </w:p>
    <w:p>
      <w:pPr>
        <w:pStyle w:val="80"/>
        <w:spacing w:before="24" w:after="24"/>
        <w:jc w:val="center"/>
        <w:rPr>
          <w:rFonts w:hint="eastAsia" w:ascii="仿宋" w:hAnsi="仿宋" w:eastAsia="仿宋" w:cs="仿宋"/>
          <w:sz w:val="30"/>
          <w:szCs w:val="30"/>
          <w:highlight w:val="none"/>
        </w:rPr>
      </w:pPr>
      <w:bookmarkStart w:id="91" w:name="_Toc25234"/>
      <w:r>
        <w:rPr>
          <w:rFonts w:hint="eastAsia" w:ascii="仿宋" w:hAnsi="仿宋" w:eastAsia="仿宋" w:cs="仿宋"/>
          <w:sz w:val="30"/>
          <w:szCs w:val="30"/>
          <w:highlight w:val="none"/>
        </w:rPr>
        <w:t>一、总  则</w:t>
      </w:r>
      <w:bookmarkEnd w:id="91"/>
    </w:p>
    <w:p>
      <w:pPr>
        <w:rPr>
          <w:rFonts w:hint="eastAsia" w:ascii="仿宋" w:hAnsi="仿宋" w:eastAsia="仿宋" w:cs="仿宋"/>
          <w:highlight w:val="none"/>
        </w:rPr>
      </w:pPr>
    </w:p>
    <w:p>
      <w:pPr>
        <w:pStyle w:val="5"/>
        <w:rPr>
          <w:rFonts w:hint="eastAsia" w:ascii="仿宋" w:hAnsi="仿宋" w:eastAsia="仿宋" w:cs="仿宋"/>
          <w:b/>
          <w:sz w:val="24"/>
          <w:szCs w:val="21"/>
          <w:highlight w:val="none"/>
        </w:rPr>
      </w:pPr>
      <w:bookmarkStart w:id="92" w:name="_Hlt14560612"/>
      <w:bookmarkEnd w:id="92"/>
      <w:bookmarkStart w:id="93" w:name="_Toc249515392"/>
      <w:bookmarkStart w:id="94" w:name="_Toc184043014"/>
      <w:bookmarkStart w:id="95" w:name="_Toc249515280"/>
      <w:bookmarkStart w:id="96" w:name="_Toc25504"/>
      <w:bookmarkStart w:id="97" w:name="_Toc249525161"/>
      <w:r>
        <w:rPr>
          <w:rFonts w:hint="eastAsia" w:ascii="仿宋" w:hAnsi="仿宋" w:eastAsia="仿宋" w:cs="仿宋"/>
          <w:b/>
          <w:sz w:val="24"/>
          <w:szCs w:val="21"/>
          <w:highlight w:val="none"/>
        </w:rPr>
        <w:t>1.     项目说明</w:t>
      </w:r>
      <w:bookmarkEnd w:id="93"/>
      <w:bookmarkEnd w:id="94"/>
      <w:bookmarkEnd w:id="95"/>
      <w:bookmarkEnd w:id="96"/>
      <w:bookmarkEnd w:id="97"/>
    </w:p>
    <w:p>
      <w:pPr>
        <w:pStyle w:val="66"/>
        <w:widowControl w:val="0"/>
        <w:tabs>
          <w:tab w:val="left" w:pos="588"/>
        </w:tabs>
        <w:spacing w:before="0" w:beforeAutospacing="0" w:after="0" w:afterAutospacing="0"/>
        <w:textAlignment w:val="auto"/>
        <w:rPr>
          <w:rFonts w:hint="eastAsia" w:ascii="仿宋" w:hAnsi="仿宋" w:eastAsia="仿宋" w:cs="仿宋"/>
          <w:kern w:val="24"/>
          <w:szCs w:val="21"/>
          <w:highlight w:val="none"/>
        </w:rPr>
      </w:pPr>
      <w:r>
        <w:rPr>
          <w:rFonts w:hint="eastAsia" w:ascii="仿宋" w:hAnsi="仿宋" w:eastAsia="仿宋" w:cs="仿宋"/>
          <w:kern w:val="24"/>
          <w:szCs w:val="21"/>
          <w:highlight w:val="none"/>
        </w:rPr>
        <w:t>1.1    项目说明：</w:t>
      </w:r>
      <w:r>
        <w:rPr>
          <w:rFonts w:hint="eastAsia" w:ascii="仿宋" w:hAnsi="仿宋" w:eastAsia="仿宋" w:cs="仿宋"/>
          <w:b/>
          <w:kern w:val="24"/>
          <w:szCs w:val="21"/>
          <w:highlight w:val="none"/>
        </w:rPr>
        <w:t>见供应商须知前附表</w:t>
      </w:r>
      <w:r>
        <w:rPr>
          <w:rFonts w:hint="eastAsia" w:ascii="仿宋" w:hAnsi="仿宋" w:eastAsia="仿宋" w:cs="仿宋"/>
          <w:kern w:val="24"/>
          <w:szCs w:val="21"/>
          <w:highlight w:val="none"/>
        </w:rPr>
        <w:t>。</w:t>
      </w:r>
    </w:p>
    <w:p>
      <w:pPr>
        <w:pStyle w:val="5"/>
        <w:rPr>
          <w:rFonts w:hint="eastAsia" w:ascii="仿宋" w:hAnsi="仿宋" w:eastAsia="仿宋" w:cs="仿宋"/>
          <w:b/>
          <w:sz w:val="24"/>
          <w:szCs w:val="21"/>
          <w:highlight w:val="none"/>
        </w:rPr>
      </w:pPr>
      <w:bookmarkStart w:id="98" w:name="_Toc184043015"/>
      <w:bookmarkStart w:id="99" w:name="_Toc31509"/>
      <w:bookmarkStart w:id="100" w:name="_Toc70687142"/>
      <w:bookmarkStart w:id="101" w:name="_Toc249515393"/>
      <w:bookmarkStart w:id="102" w:name="_Toc249525162"/>
      <w:bookmarkStart w:id="103" w:name="_Toc249515281"/>
      <w:r>
        <w:rPr>
          <w:rFonts w:hint="eastAsia" w:ascii="仿宋" w:hAnsi="仿宋" w:eastAsia="仿宋" w:cs="仿宋"/>
          <w:b/>
          <w:sz w:val="24"/>
          <w:szCs w:val="21"/>
          <w:highlight w:val="none"/>
        </w:rPr>
        <w:t>2.     定义</w:t>
      </w:r>
      <w:bookmarkEnd w:id="98"/>
      <w:bookmarkEnd w:id="99"/>
      <w:bookmarkEnd w:id="100"/>
      <w:bookmarkEnd w:id="101"/>
      <w:bookmarkEnd w:id="102"/>
      <w:bookmarkEnd w:id="103"/>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2.1    采购人：</w:t>
      </w:r>
      <w:r>
        <w:rPr>
          <w:rFonts w:hint="eastAsia" w:ascii="仿宋" w:hAnsi="仿宋" w:eastAsia="仿宋" w:cs="仿宋"/>
          <w:b/>
          <w:sz w:val="24"/>
          <w:highlight w:val="none"/>
        </w:rPr>
        <w:t>见供应商须知前附表</w:t>
      </w:r>
      <w:r>
        <w:rPr>
          <w:rFonts w:hint="eastAsia" w:ascii="仿宋" w:hAnsi="仿宋" w:eastAsia="仿宋" w:cs="仿宋"/>
          <w:sz w:val="24"/>
          <w:highlight w:val="none"/>
        </w:rPr>
        <w:t>。</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2.2    采购代理机构：</w:t>
      </w:r>
      <w:r>
        <w:rPr>
          <w:rFonts w:hint="eastAsia" w:ascii="仿宋" w:hAnsi="仿宋" w:eastAsia="仿宋" w:cs="仿宋"/>
          <w:b/>
          <w:kern w:val="24"/>
          <w:sz w:val="24"/>
          <w:szCs w:val="21"/>
          <w:highlight w:val="none"/>
        </w:rPr>
        <w:t>见供应商须知前附表</w:t>
      </w:r>
      <w:r>
        <w:rPr>
          <w:rFonts w:hint="eastAsia" w:ascii="仿宋" w:hAnsi="仿宋" w:eastAsia="仿宋" w:cs="仿宋"/>
          <w:kern w:val="24"/>
          <w:sz w:val="24"/>
          <w:szCs w:val="21"/>
          <w:highlight w:val="none"/>
        </w:rPr>
        <w:t>。</w:t>
      </w:r>
    </w:p>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    供应商：指响应磋商文件要求、参加竞争性磋商采购的法人、其他组织或者自然人。本次政府采购项目邀请供应商方式见</w:t>
      </w:r>
      <w:r>
        <w:rPr>
          <w:rFonts w:hint="eastAsia" w:ascii="仿宋" w:hAnsi="仿宋" w:eastAsia="仿宋" w:cs="仿宋"/>
          <w:b/>
          <w:sz w:val="24"/>
          <w:highlight w:val="none"/>
        </w:rPr>
        <w:t>供应商须知前附表。</w:t>
      </w:r>
    </w:p>
    <w:p>
      <w:pPr>
        <w:pStyle w:val="2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2.4    磋商小组：指参照《中华人民共和国政府采购法》和财政部《政府采购竞争性磋商采购方式管理暂行办法》有关规定组建，依法依规履行其职责和义务的机构。</w:t>
      </w:r>
    </w:p>
    <w:p>
      <w:pPr>
        <w:pStyle w:val="5"/>
        <w:rPr>
          <w:rFonts w:hint="eastAsia" w:ascii="仿宋" w:hAnsi="仿宋" w:eastAsia="仿宋" w:cs="仿宋"/>
          <w:b/>
          <w:sz w:val="24"/>
          <w:szCs w:val="21"/>
          <w:highlight w:val="none"/>
        </w:rPr>
      </w:pPr>
      <w:bookmarkStart w:id="104" w:name="_Toc249525163"/>
      <w:bookmarkStart w:id="105" w:name="_Toc389620168"/>
      <w:bookmarkStart w:id="106" w:name="_Toc249515282"/>
      <w:bookmarkStart w:id="107" w:name="_Toc249515394"/>
      <w:bookmarkStart w:id="108" w:name="_Toc184043016"/>
      <w:bookmarkStart w:id="109" w:name="_Toc70687143"/>
      <w:bookmarkStart w:id="110" w:name="_Toc385992329"/>
      <w:bookmarkStart w:id="111" w:name="_Toc23705"/>
      <w:r>
        <w:rPr>
          <w:rFonts w:hint="eastAsia" w:ascii="仿宋" w:hAnsi="仿宋" w:eastAsia="仿宋" w:cs="仿宋"/>
          <w:b/>
          <w:sz w:val="24"/>
          <w:szCs w:val="21"/>
          <w:highlight w:val="none"/>
        </w:rPr>
        <w:t>3.     合格的供应商</w:t>
      </w:r>
      <w:bookmarkEnd w:id="104"/>
      <w:bookmarkEnd w:id="105"/>
      <w:bookmarkEnd w:id="106"/>
      <w:bookmarkEnd w:id="107"/>
      <w:bookmarkEnd w:id="108"/>
      <w:bookmarkEnd w:id="109"/>
      <w:bookmarkEnd w:id="110"/>
      <w:bookmarkEnd w:id="111"/>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3.1    供应商基本资质要求详见</w:t>
      </w:r>
      <w:r>
        <w:rPr>
          <w:rFonts w:hint="eastAsia" w:ascii="仿宋" w:hAnsi="仿宋" w:eastAsia="仿宋" w:cs="仿宋"/>
          <w:b/>
          <w:kern w:val="24"/>
          <w:sz w:val="24"/>
          <w:szCs w:val="21"/>
          <w:highlight w:val="none"/>
        </w:rPr>
        <w:t>供应商须知前附表</w:t>
      </w:r>
      <w:r>
        <w:rPr>
          <w:rFonts w:hint="eastAsia" w:ascii="仿宋" w:hAnsi="仿宋" w:eastAsia="仿宋" w:cs="仿宋"/>
          <w:kern w:val="24"/>
          <w:sz w:val="24"/>
          <w:szCs w:val="21"/>
          <w:highlight w:val="none"/>
        </w:rPr>
        <w:t>。</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    本项目将执行在政府采购活动中查询及使用信用记录的规定，具体要求为：</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3.2.1  供应商应当未被列入失信被执行人、重大税收违法案件当事人名单、政府采购</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       严重违法失信行为记录名单，否则不得参与政府采购活动。</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3.2.2  信用信息查询的时间：响应文件递交截止时间之后至磋商</w:t>
      </w:r>
      <w:r>
        <w:rPr>
          <w:rFonts w:hint="eastAsia" w:ascii="仿宋" w:hAnsi="仿宋" w:eastAsia="仿宋" w:cs="仿宋"/>
          <w:sz w:val="24"/>
          <w:highlight w:val="none"/>
        </w:rPr>
        <w:t>资格性检查结束</w:t>
      </w:r>
      <w:r>
        <w:rPr>
          <w:rFonts w:hint="eastAsia" w:ascii="仿宋" w:hAnsi="仿宋" w:eastAsia="仿宋" w:cs="仿宋"/>
          <w:kern w:val="24"/>
          <w:sz w:val="24"/>
          <w:szCs w:val="21"/>
          <w:highlight w:val="none"/>
        </w:rPr>
        <w:t xml:space="preserve">。 </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3.5    供应商应遵守《中华人民共和国政府采购法》及其它有关的中国法律和法规。</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    若前附表中写明允许采购进口产品，供应商应保证所投产品可履行合法报通关手续进入中国关境内。</w:t>
      </w:r>
    </w:p>
    <w:p>
      <w:pPr>
        <w:pStyle w:val="22"/>
        <w:ind w:firstLine="480" w:firstLineChars="20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若前附表中不允许采购进口产品，如供应商所投产品为进口产品，其响应文件将被认定为无效。</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    如须知前附表中允许联合体投标，对联合体规定如下：</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3.7.1  两个及以上供应商可以组成一个投标联合体，以一个供应商的身份投标。</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3.7.2  联合体各方均应符合本须知规定。</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3.7.3  采购人根据采购项目对供应商的特殊要求，联合体中至少应当有一方符合相关规定。</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3.7.4  联合体各方应签订共同磋商响应协议，明确约定联合体各方承担的工作和相应的责任，并将共同响应协议作为响应文件的内容提交。</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3.7.6  以联合体形式参加政府采购活动的，联合体各方不得再单独参加或者与其他供应商另外组成联合体参加本项目同一合同项下的磋商，否则相关响应文件将被认定为无效。</w:t>
      </w:r>
    </w:p>
    <w:p>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3.7.7  对联合体磋商的其他资格要求见须知前附表。</w:t>
      </w:r>
    </w:p>
    <w:p>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3.8    </w:t>
      </w:r>
      <w:r>
        <w:rPr>
          <w:rFonts w:hint="eastAsia" w:ascii="仿宋" w:hAnsi="仿宋" w:eastAsia="仿宋" w:cs="仿宋"/>
          <w:sz w:val="24"/>
          <w:highlight w:val="none"/>
        </w:rPr>
        <w:t>若前附表中写明专门面向中小企业采购的，如供应商为非中小企业或所投产品为非中小企业产品，其响应文件将被认定为无效。</w:t>
      </w:r>
    </w:p>
    <w:p>
      <w:pPr>
        <w:pStyle w:val="5"/>
        <w:rPr>
          <w:rFonts w:hint="eastAsia" w:ascii="仿宋" w:hAnsi="仿宋" w:eastAsia="仿宋" w:cs="仿宋"/>
          <w:b/>
          <w:sz w:val="24"/>
          <w:szCs w:val="21"/>
          <w:highlight w:val="none"/>
        </w:rPr>
      </w:pPr>
      <w:bookmarkStart w:id="112" w:name="_Toc385992330"/>
      <w:bookmarkStart w:id="113" w:name="_Toc184043017"/>
      <w:bookmarkStart w:id="114" w:name="_Toc26580"/>
      <w:bookmarkStart w:id="115" w:name="_Toc249515395"/>
      <w:bookmarkStart w:id="116" w:name="_Toc70687144"/>
      <w:bookmarkStart w:id="117" w:name="_Toc249525164"/>
      <w:bookmarkStart w:id="118" w:name="_Toc249515283"/>
      <w:bookmarkStart w:id="119" w:name="_Toc389620169"/>
      <w:r>
        <w:rPr>
          <w:rFonts w:hint="eastAsia" w:ascii="仿宋" w:hAnsi="仿宋" w:eastAsia="仿宋" w:cs="仿宋"/>
          <w:b/>
          <w:sz w:val="24"/>
          <w:szCs w:val="21"/>
          <w:highlight w:val="none"/>
        </w:rPr>
        <w:t>4.     磋商费用</w:t>
      </w:r>
      <w:bookmarkEnd w:id="112"/>
      <w:bookmarkEnd w:id="113"/>
      <w:bookmarkEnd w:id="114"/>
      <w:bookmarkEnd w:id="115"/>
      <w:bookmarkEnd w:id="116"/>
      <w:bookmarkEnd w:id="117"/>
      <w:bookmarkEnd w:id="118"/>
      <w:bookmarkEnd w:id="119"/>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4.1    供应商应承担所有与编写和提交响应文件有关的费用，无论磋商过程和结果如何，采购人在任何情况下均无义务和责任承担这些费用。</w:t>
      </w:r>
    </w:p>
    <w:p>
      <w:pPr>
        <w:pStyle w:val="22"/>
        <w:rPr>
          <w:rFonts w:hint="eastAsia" w:ascii="仿宋" w:hAnsi="仿宋" w:eastAsia="仿宋" w:cs="仿宋"/>
          <w:highlight w:val="none"/>
        </w:rPr>
      </w:pPr>
    </w:p>
    <w:p>
      <w:pPr>
        <w:pStyle w:val="80"/>
        <w:spacing w:before="24" w:after="24"/>
        <w:ind w:left="3313"/>
        <w:rPr>
          <w:rFonts w:hint="eastAsia" w:ascii="仿宋" w:hAnsi="仿宋" w:eastAsia="仿宋" w:cs="仿宋"/>
          <w:sz w:val="30"/>
          <w:szCs w:val="30"/>
          <w:highlight w:val="none"/>
        </w:rPr>
      </w:pPr>
      <w:bookmarkStart w:id="120" w:name="_Toc14785"/>
      <w:r>
        <w:rPr>
          <w:rFonts w:hint="eastAsia" w:ascii="仿宋" w:hAnsi="仿宋" w:eastAsia="仿宋" w:cs="仿宋"/>
          <w:sz w:val="30"/>
          <w:szCs w:val="30"/>
          <w:highlight w:val="none"/>
        </w:rPr>
        <w:t>二、磋商文件说明</w:t>
      </w:r>
      <w:bookmarkEnd w:id="120"/>
    </w:p>
    <w:p>
      <w:pPr>
        <w:rPr>
          <w:rFonts w:hint="eastAsia" w:ascii="仿宋" w:hAnsi="仿宋" w:eastAsia="仿宋" w:cs="仿宋"/>
          <w:highlight w:val="none"/>
        </w:rPr>
      </w:pPr>
    </w:p>
    <w:p>
      <w:pPr>
        <w:pStyle w:val="5"/>
        <w:numPr>
          <w:ilvl w:val="0"/>
          <w:numId w:val="5"/>
        </w:numPr>
        <w:rPr>
          <w:rFonts w:hint="eastAsia" w:ascii="仿宋" w:hAnsi="仿宋" w:eastAsia="仿宋" w:cs="仿宋"/>
          <w:b/>
          <w:sz w:val="24"/>
          <w:szCs w:val="21"/>
          <w:highlight w:val="none"/>
        </w:rPr>
      </w:pPr>
      <w:bookmarkStart w:id="121" w:name="_Toc128"/>
      <w:bookmarkStart w:id="122" w:name="_Toc70687146"/>
      <w:bookmarkStart w:id="123" w:name="_Toc249515285"/>
      <w:bookmarkStart w:id="124" w:name="_Toc184043019"/>
      <w:bookmarkStart w:id="125" w:name="_Toc389620171"/>
      <w:bookmarkStart w:id="126" w:name="_Toc385992332"/>
      <w:bookmarkStart w:id="127" w:name="_Toc249525166"/>
      <w:bookmarkStart w:id="128" w:name="_Toc249515397"/>
      <w:r>
        <w:rPr>
          <w:rFonts w:hint="eastAsia" w:ascii="仿宋" w:hAnsi="仿宋" w:eastAsia="仿宋" w:cs="仿宋"/>
          <w:b/>
          <w:sz w:val="24"/>
          <w:szCs w:val="21"/>
          <w:highlight w:val="none"/>
        </w:rPr>
        <w:t xml:space="preserve">    通知</w:t>
      </w:r>
      <w:bookmarkEnd w:id="121"/>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hint="eastAsia" w:ascii="仿宋" w:hAnsi="仿宋" w:eastAsia="仿宋" w:cs="仿宋"/>
          <w:b/>
          <w:sz w:val="24"/>
          <w:szCs w:val="21"/>
          <w:highlight w:val="none"/>
        </w:rPr>
      </w:pPr>
      <w:bookmarkStart w:id="129" w:name="_Toc27223"/>
      <w:r>
        <w:rPr>
          <w:rFonts w:hint="eastAsia" w:ascii="仿宋" w:hAnsi="仿宋" w:eastAsia="仿宋" w:cs="仿宋"/>
          <w:b/>
          <w:sz w:val="24"/>
          <w:szCs w:val="21"/>
          <w:highlight w:val="none"/>
        </w:rPr>
        <w:t>6.     磋商文件的构成</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6.1    磋商文件用以阐明供应商所需提供的服务、工程或货物以及其它类似的义务、采购响应程序和合同条款。磋商文件包括如下五章内容：</w:t>
      </w:r>
    </w:p>
    <w:p>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第一章</w:t>
      </w:r>
      <w:r>
        <w:rPr>
          <w:rFonts w:hint="eastAsia" w:ascii="仿宋" w:hAnsi="仿宋" w:eastAsia="仿宋" w:cs="仿宋"/>
          <w:sz w:val="24"/>
          <w:highlight w:val="none"/>
        </w:rPr>
        <w:tab/>
      </w:r>
      <w:r>
        <w:rPr>
          <w:rFonts w:hint="eastAsia" w:ascii="仿宋" w:hAnsi="仿宋" w:eastAsia="仿宋" w:cs="仿宋"/>
          <w:sz w:val="24"/>
          <w:highlight w:val="none"/>
        </w:rPr>
        <w:t>磋商公告</w:t>
      </w:r>
    </w:p>
    <w:p>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第二章</w:t>
      </w:r>
      <w:r>
        <w:rPr>
          <w:rFonts w:hint="eastAsia" w:ascii="仿宋" w:hAnsi="仿宋" w:eastAsia="仿宋" w:cs="仿宋"/>
          <w:sz w:val="24"/>
          <w:highlight w:val="none"/>
        </w:rPr>
        <w:tab/>
      </w:r>
      <w:r>
        <w:rPr>
          <w:rFonts w:hint="eastAsia" w:ascii="仿宋" w:hAnsi="仿宋" w:eastAsia="仿宋" w:cs="仿宋"/>
          <w:sz w:val="24"/>
          <w:highlight w:val="none"/>
        </w:rPr>
        <w:t>供应商须知</w:t>
      </w:r>
    </w:p>
    <w:p>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第三章</w:t>
      </w:r>
      <w:r>
        <w:rPr>
          <w:rFonts w:hint="eastAsia" w:ascii="仿宋" w:hAnsi="仿宋" w:eastAsia="仿宋" w:cs="仿宋"/>
          <w:sz w:val="24"/>
          <w:highlight w:val="none"/>
        </w:rPr>
        <w:tab/>
      </w:r>
      <w:r>
        <w:rPr>
          <w:rFonts w:hint="eastAsia" w:ascii="仿宋" w:hAnsi="仿宋" w:eastAsia="仿宋" w:cs="仿宋"/>
          <w:sz w:val="24"/>
          <w:highlight w:val="none"/>
        </w:rPr>
        <w:t>评审办法和标准</w:t>
      </w:r>
    </w:p>
    <w:p>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第四章</w:t>
      </w:r>
      <w:r>
        <w:rPr>
          <w:rFonts w:hint="eastAsia" w:ascii="仿宋" w:hAnsi="仿宋" w:eastAsia="仿宋" w:cs="仿宋"/>
          <w:sz w:val="24"/>
          <w:highlight w:val="none"/>
        </w:rPr>
        <w:tab/>
      </w:r>
      <w:r>
        <w:rPr>
          <w:rFonts w:hint="eastAsia" w:ascii="仿宋" w:hAnsi="仿宋" w:eastAsia="仿宋" w:cs="仿宋"/>
          <w:sz w:val="24"/>
          <w:highlight w:val="none"/>
        </w:rPr>
        <w:t>合同草案条款</w:t>
      </w:r>
    </w:p>
    <w:p>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第五章</w:t>
      </w:r>
      <w:r>
        <w:rPr>
          <w:rFonts w:hint="eastAsia" w:ascii="仿宋" w:hAnsi="仿宋" w:eastAsia="仿宋" w:cs="仿宋"/>
          <w:sz w:val="24"/>
          <w:highlight w:val="none"/>
        </w:rPr>
        <w:tab/>
      </w:r>
      <w:r>
        <w:rPr>
          <w:rFonts w:hint="eastAsia" w:ascii="仿宋" w:hAnsi="仿宋" w:eastAsia="仿宋" w:cs="仿宋"/>
          <w:sz w:val="24"/>
          <w:highlight w:val="none"/>
        </w:rPr>
        <w:t>采购内容及要求</w:t>
      </w:r>
    </w:p>
    <w:p>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第六章</w:t>
      </w:r>
      <w:r>
        <w:rPr>
          <w:rFonts w:hint="eastAsia" w:ascii="仿宋" w:hAnsi="仿宋" w:eastAsia="仿宋" w:cs="仿宋"/>
          <w:sz w:val="24"/>
          <w:highlight w:val="none"/>
        </w:rPr>
        <w:tab/>
      </w:r>
      <w:r>
        <w:rPr>
          <w:rFonts w:hint="eastAsia" w:ascii="仿宋" w:hAnsi="仿宋" w:eastAsia="仿宋" w:cs="仿宋"/>
          <w:sz w:val="24"/>
          <w:highlight w:val="none"/>
        </w:rPr>
        <w:t>磋商响应文件格式</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hint="eastAsia" w:ascii="仿宋" w:hAnsi="仿宋" w:eastAsia="仿宋" w:cs="仿宋"/>
          <w:b/>
          <w:sz w:val="24"/>
          <w:szCs w:val="21"/>
          <w:highlight w:val="none"/>
        </w:rPr>
      </w:pPr>
      <w:bookmarkStart w:id="130" w:name="_Toc184043020"/>
      <w:bookmarkStart w:id="131" w:name="_Toc389620172"/>
      <w:bookmarkStart w:id="132" w:name="_Toc385992333"/>
      <w:bookmarkStart w:id="133" w:name="_Toc249515398"/>
      <w:bookmarkStart w:id="134" w:name="_Toc249525167"/>
      <w:bookmarkStart w:id="135" w:name="_Toc70687147"/>
      <w:bookmarkStart w:id="136" w:name="_Toc249515286"/>
      <w:bookmarkStart w:id="137" w:name="_Toc10350"/>
      <w:r>
        <w:rPr>
          <w:rFonts w:hint="eastAsia" w:ascii="仿宋" w:hAnsi="仿宋" w:eastAsia="仿宋" w:cs="仿宋"/>
          <w:b/>
          <w:sz w:val="24"/>
          <w:szCs w:val="21"/>
          <w:highlight w:val="none"/>
        </w:rPr>
        <w:t>7.     磋商文件的澄清</w:t>
      </w:r>
      <w:bookmarkEnd w:id="130"/>
      <w:bookmarkEnd w:id="131"/>
      <w:bookmarkEnd w:id="132"/>
      <w:bookmarkEnd w:id="133"/>
      <w:bookmarkEnd w:id="134"/>
      <w:bookmarkEnd w:id="135"/>
      <w:bookmarkEnd w:id="136"/>
      <w:r>
        <w:rPr>
          <w:rFonts w:hint="eastAsia" w:ascii="仿宋" w:hAnsi="仿宋" w:eastAsia="仿宋" w:cs="仿宋"/>
          <w:b/>
          <w:sz w:val="24"/>
          <w:szCs w:val="21"/>
          <w:highlight w:val="none"/>
        </w:rPr>
        <w:t>和修改</w:t>
      </w:r>
      <w:bookmarkEnd w:id="137"/>
    </w:p>
    <w:p>
      <w:pPr>
        <w:tabs>
          <w:tab w:val="left" w:pos="588"/>
        </w:tabs>
        <w:spacing w:line="360" w:lineRule="auto"/>
        <w:ind w:left="840" w:hanging="840" w:hangingChars="350"/>
        <w:rPr>
          <w:rFonts w:hint="eastAsia" w:ascii="仿宋" w:hAnsi="仿宋" w:eastAsia="仿宋" w:cs="仿宋"/>
          <w:sz w:val="24"/>
          <w:highlight w:val="none"/>
        </w:rPr>
      </w:pPr>
      <w:bookmarkStart w:id="138" w:name="_Toc70687148"/>
      <w:bookmarkStart w:id="139" w:name="_Toc389620173"/>
      <w:bookmarkStart w:id="140" w:name="_Toc385992334"/>
      <w:r>
        <w:rPr>
          <w:rFonts w:hint="eastAsia" w:ascii="仿宋" w:hAnsi="仿宋" w:eastAsia="仿宋" w:cs="仿宋"/>
          <w:sz w:val="24"/>
          <w:highlight w:val="none"/>
        </w:rPr>
        <w:t xml:space="preserve">7.1    </w:t>
      </w:r>
      <w:bookmarkEnd w:id="138"/>
      <w:bookmarkEnd w:id="139"/>
      <w:bookmarkEnd w:id="140"/>
      <w:bookmarkStart w:id="141" w:name="_Toc385992335"/>
      <w:bookmarkStart w:id="142" w:name="_Toc70687149"/>
      <w:bookmarkStart w:id="143" w:name="_Toc499711887"/>
      <w:bookmarkStart w:id="144" w:name="_Toc499711046"/>
      <w:bookmarkStart w:id="145" w:name="_Toc492955418"/>
      <w:bookmarkStart w:id="146" w:name="_Toc500747192"/>
      <w:bookmarkStart w:id="147" w:name="_Toc389620174"/>
      <w:bookmarkStart w:id="148" w:name="_Toc500746969"/>
      <w:bookmarkStart w:id="149" w:name="_Toc503063425"/>
      <w:bookmarkStart w:id="150" w:name="_Toc496324582"/>
      <w:bookmarkStart w:id="151" w:name="_Toc53722843"/>
      <w:bookmarkStart w:id="152" w:name="_Toc500747065"/>
      <w:r>
        <w:rPr>
          <w:rFonts w:hint="eastAsia" w:ascii="仿宋" w:hAnsi="仿宋" w:eastAsia="仿宋" w:cs="仿宋"/>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7.3    澄清或修改的内容可能影响响应文件编制的，采购人或采购代理机构可适当延长首次响应文件递交截止时间，并以书面形式通知所有领取磋商文件的供应商。</w:t>
      </w:r>
    </w:p>
    <w:p>
      <w:pPr>
        <w:pStyle w:val="80"/>
        <w:spacing w:before="24" w:after="24"/>
        <w:ind w:left="3313"/>
        <w:rPr>
          <w:rFonts w:hint="eastAsia" w:ascii="仿宋" w:hAnsi="仿宋" w:eastAsia="仿宋" w:cs="仿宋"/>
          <w:sz w:val="30"/>
          <w:szCs w:val="30"/>
          <w:highlight w:val="none"/>
        </w:rPr>
      </w:pPr>
      <w:bookmarkStart w:id="153" w:name="_Toc6801"/>
      <w:bookmarkStart w:id="154" w:name="_Toc177189238"/>
      <w:bookmarkStart w:id="155" w:name="_Toc249515400"/>
      <w:bookmarkStart w:id="156" w:name="_Toc249515288"/>
      <w:bookmarkStart w:id="157" w:name="_Toc256342146"/>
      <w:bookmarkStart w:id="158" w:name="_Toc184043022"/>
      <w:bookmarkStart w:id="159" w:name="_Toc177995476"/>
      <w:bookmarkStart w:id="160" w:name="_Toc232395215"/>
      <w:bookmarkStart w:id="161" w:name="_Toc176882545"/>
      <w:bookmarkStart w:id="162" w:name="_Toc232176275"/>
      <w:bookmarkStart w:id="163" w:name="_Toc230099800"/>
      <w:bookmarkStart w:id="164" w:name="_Toc177817337"/>
      <w:bookmarkStart w:id="165" w:name="_Toc249525169"/>
      <w:bookmarkStart w:id="166" w:name="_Toc230583544"/>
      <w:bookmarkStart w:id="167" w:name="_Toc230013635"/>
      <w:r>
        <w:rPr>
          <w:rFonts w:hint="eastAsia" w:ascii="仿宋" w:hAnsi="仿宋" w:eastAsia="仿宋" w:cs="仿宋"/>
          <w:sz w:val="30"/>
          <w:szCs w:val="30"/>
          <w:highlight w:val="none"/>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5"/>
        <w:rPr>
          <w:rFonts w:hint="eastAsia" w:ascii="仿宋" w:hAnsi="仿宋" w:eastAsia="仿宋" w:cs="仿宋"/>
          <w:b/>
          <w:sz w:val="24"/>
          <w:szCs w:val="21"/>
          <w:highlight w:val="none"/>
        </w:rPr>
      </w:pPr>
      <w:bookmarkStart w:id="168" w:name="_Toc70687150"/>
      <w:bookmarkStart w:id="169" w:name="_Toc249515289"/>
      <w:bookmarkStart w:id="170" w:name="_Toc249515401"/>
      <w:bookmarkStart w:id="171" w:name="_Toc184043023"/>
      <w:bookmarkStart w:id="172" w:name="_Toc30150"/>
      <w:bookmarkStart w:id="173" w:name="_Toc249525170"/>
      <w:bookmarkStart w:id="174" w:name="_Toc385992337"/>
      <w:bookmarkStart w:id="175" w:name="_Toc389620176"/>
      <w:r>
        <w:rPr>
          <w:rFonts w:hint="eastAsia" w:ascii="仿宋" w:hAnsi="仿宋" w:eastAsia="仿宋" w:cs="仿宋"/>
          <w:b/>
          <w:sz w:val="24"/>
          <w:szCs w:val="21"/>
          <w:highlight w:val="none"/>
        </w:rPr>
        <w:t>8.     响应文件语言</w:t>
      </w:r>
      <w:bookmarkEnd w:id="168"/>
      <w:bookmarkEnd w:id="169"/>
      <w:bookmarkEnd w:id="170"/>
      <w:bookmarkEnd w:id="171"/>
      <w:bookmarkEnd w:id="172"/>
      <w:bookmarkEnd w:id="173"/>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8.1    响应文件及与响应相关的所有文件均应以中文书写。</w:t>
      </w:r>
    </w:p>
    <w:p>
      <w:pPr>
        <w:pStyle w:val="5"/>
        <w:rPr>
          <w:rFonts w:hint="eastAsia" w:ascii="仿宋" w:hAnsi="仿宋" w:eastAsia="仿宋" w:cs="仿宋"/>
          <w:b/>
          <w:sz w:val="24"/>
          <w:szCs w:val="21"/>
          <w:highlight w:val="none"/>
        </w:rPr>
      </w:pPr>
      <w:bookmarkStart w:id="176" w:name="_Toc70687151"/>
      <w:bookmarkStart w:id="177" w:name="_Toc249525171"/>
      <w:bookmarkStart w:id="178" w:name="_Toc18327"/>
      <w:bookmarkStart w:id="179" w:name="_Toc184043024"/>
      <w:bookmarkStart w:id="180" w:name="_Toc249515290"/>
      <w:bookmarkStart w:id="181" w:name="_Toc249515402"/>
      <w:r>
        <w:rPr>
          <w:rFonts w:hint="eastAsia" w:ascii="仿宋" w:hAnsi="仿宋" w:eastAsia="仿宋" w:cs="仿宋"/>
          <w:b/>
          <w:sz w:val="24"/>
          <w:szCs w:val="21"/>
          <w:highlight w:val="none"/>
        </w:rPr>
        <w:t>9.     计量单位</w:t>
      </w:r>
      <w:bookmarkEnd w:id="174"/>
      <w:bookmarkEnd w:id="175"/>
      <w:bookmarkEnd w:id="176"/>
      <w:bookmarkEnd w:id="177"/>
      <w:bookmarkEnd w:id="178"/>
      <w:bookmarkEnd w:id="179"/>
      <w:bookmarkEnd w:id="180"/>
      <w:bookmarkEnd w:id="181"/>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9.1    除在磋商文件的技术规格中另有规定外，计量单位应使用中华人民共和国法定计量单位。</w:t>
      </w:r>
    </w:p>
    <w:p>
      <w:pPr>
        <w:pStyle w:val="5"/>
        <w:rPr>
          <w:rFonts w:hint="eastAsia" w:ascii="仿宋" w:hAnsi="仿宋" w:eastAsia="仿宋" w:cs="仿宋"/>
          <w:b/>
          <w:sz w:val="24"/>
          <w:szCs w:val="21"/>
          <w:highlight w:val="none"/>
        </w:rPr>
      </w:pPr>
      <w:bookmarkStart w:id="182" w:name="_Toc70687152"/>
      <w:bookmarkStart w:id="183" w:name="_Toc385992338"/>
      <w:bookmarkStart w:id="184" w:name="_Toc389620177"/>
      <w:bookmarkStart w:id="185" w:name="_Toc249525172"/>
      <w:bookmarkStart w:id="186" w:name="_Toc249515403"/>
      <w:bookmarkStart w:id="187" w:name="_Toc184043025"/>
      <w:bookmarkStart w:id="188" w:name="_Toc29318"/>
      <w:bookmarkStart w:id="189" w:name="_Toc249515291"/>
      <w:r>
        <w:rPr>
          <w:rFonts w:hint="eastAsia" w:ascii="仿宋" w:hAnsi="仿宋" w:eastAsia="仿宋" w:cs="仿宋"/>
          <w:b/>
          <w:sz w:val="24"/>
          <w:szCs w:val="21"/>
          <w:highlight w:val="none"/>
        </w:rPr>
        <w:t>10.    响应文件的组成</w:t>
      </w:r>
      <w:bookmarkEnd w:id="182"/>
      <w:bookmarkEnd w:id="183"/>
      <w:bookmarkEnd w:id="184"/>
      <w:bookmarkEnd w:id="185"/>
      <w:bookmarkEnd w:id="186"/>
      <w:bookmarkEnd w:id="187"/>
      <w:bookmarkEnd w:id="188"/>
      <w:bookmarkEnd w:id="189"/>
    </w:p>
    <w:p>
      <w:pPr>
        <w:tabs>
          <w:tab w:val="left" w:pos="588"/>
        </w:tabs>
        <w:spacing w:line="360" w:lineRule="auto"/>
        <w:rPr>
          <w:rFonts w:hint="eastAsia" w:ascii="仿宋" w:hAnsi="仿宋" w:eastAsia="仿宋" w:cs="仿宋"/>
          <w:i/>
          <w:sz w:val="24"/>
          <w:highlight w:val="none"/>
        </w:rPr>
      </w:pPr>
      <w:r>
        <w:rPr>
          <w:rFonts w:hint="eastAsia" w:ascii="仿宋" w:hAnsi="仿宋" w:eastAsia="仿宋" w:cs="仿宋"/>
          <w:sz w:val="24"/>
          <w:highlight w:val="none"/>
        </w:rPr>
        <w:t>10.1   供应商编写的响应文件</w:t>
      </w:r>
      <w:r>
        <w:rPr>
          <w:rFonts w:hint="eastAsia" w:ascii="仿宋" w:hAnsi="仿宋" w:eastAsia="仿宋" w:cs="仿宋"/>
          <w:b/>
          <w:sz w:val="24"/>
          <w:highlight w:val="none"/>
        </w:rPr>
        <w:t>由《资格证明文件》、《商务及技术文件》两部分</w:t>
      </w:r>
      <w:r>
        <w:rPr>
          <w:rFonts w:hint="eastAsia" w:ascii="仿宋" w:hAnsi="仿宋" w:eastAsia="仿宋" w:cs="仿宋"/>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10.2   供应商提供的以上材料必须真实有效，任何一项的虚假将导致其响应被拒绝。</w:t>
      </w:r>
    </w:p>
    <w:p>
      <w:pPr>
        <w:pStyle w:val="5"/>
        <w:rPr>
          <w:rFonts w:hint="eastAsia" w:ascii="仿宋" w:hAnsi="仿宋" w:eastAsia="仿宋" w:cs="仿宋"/>
          <w:b/>
          <w:sz w:val="24"/>
          <w:szCs w:val="21"/>
          <w:highlight w:val="none"/>
        </w:rPr>
      </w:pPr>
      <w:bookmarkStart w:id="190" w:name="_Toc26312"/>
      <w:bookmarkStart w:id="191" w:name="_Toc385992339"/>
      <w:bookmarkStart w:id="192" w:name="_Toc249515404"/>
      <w:bookmarkStart w:id="193" w:name="_Toc249525173"/>
      <w:bookmarkStart w:id="194" w:name="_Toc249515292"/>
      <w:bookmarkStart w:id="195" w:name="_Toc184043026"/>
      <w:bookmarkStart w:id="196" w:name="_Toc389620178"/>
      <w:bookmarkStart w:id="197" w:name="_Toc70687153"/>
      <w:r>
        <w:rPr>
          <w:rFonts w:hint="eastAsia" w:ascii="仿宋" w:hAnsi="仿宋" w:eastAsia="仿宋" w:cs="仿宋"/>
          <w:b/>
          <w:sz w:val="24"/>
          <w:highlight w:val="none"/>
        </w:rPr>
        <w:t>11.    响应文件格式</w:t>
      </w:r>
      <w:bookmarkEnd w:id="190"/>
      <w:bookmarkEnd w:id="191"/>
      <w:bookmarkEnd w:id="192"/>
      <w:bookmarkEnd w:id="193"/>
      <w:bookmarkEnd w:id="194"/>
      <w:bookmarkEnd w:id="195"/>
      <w:bookmarkEnd w:id="196"/>
      <w:bookmarkEnd w:id="197"/>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11.1   对于磋商文件第六章中已经提供了格式的响应文件内容，供应商必须按提供的响应文件格式进行填写和编制，没有提供格式的可自行设计。</w:t>
      </w:r>
    </w:p>
    <w:p>
      <w:pPr>
        <w:pStyle w:val="5"/>
        <w:rPr>
          <w:rFonts w:hint="eastAsia" w:ascii="仿宋" w:hAnsi="仿宋" w:eastAsia="仿宋" w:cs="仿宋"/>
          <w:b/>
          <w:sz w:val="24"/>
          <w:szCs w:val="21"/>
          <w:highlight w:val="none"/>
        </w:rPr>
      </w:pPr>
      <w:bookmarkStart w:id="198" w:name="_Toc26688"/>
      <w:r>
        <w:rPr>
          <w:rFonts w:hint="eastAsia" w:ascii="仿宋" w:hAnsi="仿宋" w:eastAsia="仿宋" w:cs="仿宋"/>
          <w:b/>
          <w:sz w:val="24"/>
          <w:szCs w:val="21"/>
          <w:highlight w:val="none"/>
        </w:rPr>
        <w:t>12.    响应报价</w:t>
      </w:r>
      <w:bookmarkEnd w:id="198"/>
    </w:p>
    <w:p>
      <w:pPr>
        <w:tabs>
          <w:tab w:val="left" w:pos="0"/>
          <w:tab w:val="left" w:pos="540"/>
          <w:tab w:val="left" w:pos="720"/>
        </w:tabs>
        <w:spacing w:line="360" w:lineRule="auto"/>
        <w:ind w:left="840" w:hanging="840" w:hangingChars="350"/>
        <w:rPr>
          <w:rFonts w:hint="eastAsia" w:ascii="仿宋" w:hAnsi="仿宋" w:eastAsia="仿宋" w:cs="仿宋"/>
          <w:highlight w:val="none"/>
        </w:rPr>
      </w:pPr>
      <w:r>
        <w:rPr>
          <w:rFonts w:hint="eastAsia" w:ascii="仿宋" w:hAnsi="仿宋" w:eastAsia="仿宋" w:cs="仿宋"/>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highlight w:val="none"/>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12.2   供应商应在响应分项报价表中详细列出所报货物和</w:t>
      </w:r>
      <w:r>
        <w:rPr>
          <w:rFonts w:hint="eastAsia" w:ascii="仿宋" w:hAnsi="仿宋" w:eastAsia="仿宋" w:cs="仿宋"/>
          <w:sz w:val="24"/>
          <w:highlight w:val="none"/>
        </w:rPr>
        <w:t>服务</w:t>
      </w:r>
      <w:r>
        <w:rPr>
          <w:rFonts w:hint="eastAsia" w:ascii="仿宋" w:hAnsi="仿宋" w:eastAsia="仿宋" w:cs="仿宋"/>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12.5   供应商每次对每种</w:t>
      </w:r>
      <w:r>
        <w:rPr>
          <w:rFonts w:hint="eastAsia" w:ascii="仿宋" w:hAnsi="仿宋" w:eastAsia="仿宋" w:cs="仿宋"/>
          <w:kern w:val="24"/>
          <w:sz w:val="24"/>
          <w:szCs w:val="21"/>
          <w:highlight w:val="none"/>
          <w:u w:val="single"/>
        </w:rPr>
        <w:t xml:space="preserve"> 报价类型 </w:t>
      </w:r>
      <w:r>
        <w:rPr>
          <w:rFonts w:hint="eastAsia" w:ascii="仿宋" w:hAnsi="仿宋" w:eastAsia="仿宋" w:cs="仿宋"/>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sz w:val="24"/>
          <w:highlight w:val="none"/>
        </w:rPr>
        <w:t>12.6   供应商根据本须知12.2条规定将响应报价分成几部分并按</w:t>
      </w:r>
      <w:r>
        <w:rPr>
          <w:rFonts w:hint="eastAsia" w:ascii="仿宋" w:hAnsi="仿宋" w:eastAsia="仿宋" w:cs="仿宋"/>
          <w:kern w:val="24"/>
          <w:sz w:val="24"/>
          <w:szCs w:val="21"/>
          <w:highlight w:val="none"/>
        </w:rPr>
        <w:t>磋商文件第六章提供的格式填写“响应分项报价表”，只是为了方便采购人对响应文件进行比较，并不限制采购人以其它方式签订合同的权力。</w:t>
      </w:r>
    </w:p>
    <w:p>
      <w:pPr>
        <w:pStyle w:val="5"/>
        <w:rPr>
          <w:rFonts w:hint="eastAsia" w:ascii="仿宋" w:hAnsi="仿宋" w:eastAsia="仿宋" w:cs="仿宋"/>
          <w:b/>
          <w:sz w:val="24"/>
          <w:szCs w:val="21"/>
          <w:highlight w:val="none"/>
        </w:rPr>
      </w:pPr>
      <w:bookmarkStart w:id="199" w:name="_Toc70687155"/>
      <w:bookmarkStart w:id="200" w:name="_Toc385992341"/>
      <w:bookmarkStart w:id="201" w:name="_Toc249525175"/>
      <w:bookmarkStart w:id="202" w:name="_Toc20687"/>
      <w:bookmarkStart w:id="203" w:name="_Toc249515294"/>
      <w:bookmarkStart w:id="204" w:name="_Toc184043028"/>
      <w:bookmarkStart w:id="205" w:name="_Toc249515406"/>
      <w:bookmarkStart w:id="206" w:name="_Toc389620180"/>
      <w:r>
        <w:rPr>
          <w:rFonts w:hint="eastAsia" w:ascii="仿宋" w:hAnsi="仿宋" w:eastAsia="仿宋" w:cs="仿宋"/>
          <w:b/>
          <w:sz w:val="24"/>
          <w:szCs w:val="21"/>
          <w:highlight w:val="none"/>
        </w:rPr>
        <w:t>13.    报价货币</w:t>
      </w:r>
      <w:bookmarkEnd w:id="199"/>
      <w:bookmarkEnd w:id="200"/>
      <w:bookmarkEnd w:id="201"/>
      <w:bookmarkEnd w:id="202"/>
      <w:bookmarkEnd w:id="203"/>
      <w:bookmarkEnd w:id="204"/>
      <w:bookmarkEnd w:id="205"/>
      <w:bookmarkEnd w:id="206"/>
    </w:p>
    <w:p>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12.3   磋商响应函、响应报价一览表、响应分项报价表、最后报价表等所有报价一律用人民币填报。采购人不接受任何非人民币币种的报价。</w:t>
      </w:r>
      <w:bookmarkStart w:id="207" w:name="_Toc389620181"/>
      <w:bookmarkStart w:id="208" w:name="_Toc385992342"/>
    </w:p>
    <w:bookmarkEnd w:id="207"/>
    <w:bookmarkEnd w:id="208"/>
    <w:p>
      <w:pPr>
        <w:pStyle w:val="5"/>
        <w:rPr>
          <w:rFonts w:hint="eastAsia" w:ascii="仿宋" w:hAnsi="仿宋" w:eastAsia="仿宋" w:cs="仿宋"/>
          <w:b/>
          <w:kern w:val="24"/>
          <w:sz w:val="24"/>
          <w:szCs w:val="21"/>
          <w:highlight w:val="none"/>
        </w:rPr>
      </w:pPr>
      <w:bookmarkStart w:id="209" w:name="止观"/>
      <w:bookmarkEnd w:id="209"/>
      <w:r>
        <w:rPr>
          <w:rFonts w:hint="eastAsia" w:ascii="仿宋" w:hAnsi="仿宋" w:eastAsia="仿宋" w:cs="仿宋"/>
          <w:b/>
          <w:sz w:val="24"/>
          <w:szCs w:val="21"/>
          <w:highlight w:val="none"/>
        </w:rPr>
        <w:t>14.    磋商保证金</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sz w:val="24"/>
          <w:szCs w:val="21"/>
          <w:highlight w:val="none"/>
        </w:rPr>
        <w:t>14.1   本项目须在磋商前向采购代理机构提供</w:t>
      </w:r>
      <w:r>
        <w:rPr>
          <w:rFonts w:hint="eastAsia" w:ascii="仿宋" w:hAnsi="仿宋" w:eastAsia="仿宋" w:cs="仿宋"/>
          <w:b/>
          <w:sz w:val="24"/>
          <w:szCs w:val="21"/>
          <w:highlight w:val="none"/>
        </w:rPr>
        <w:t>供应商须知前附表</w:t>
      </w:r>
      <w:r>
        <w:rPr>
          <w:rFonts w:hint="eastAsia" w:ascii="仿宋" w:hAnsi="仿宋" w:eastAsia="仿宋" w:cs="仿宋"/>
          <w:sz w:val="24"/>
          <w:szCs w:val="21"/>
          <w:highlight w:val="none"/>
        </w:rPr>
        <w:t>规定金额的保证金，并作为其响应文件的一部分。</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14.2   保证金的货币为人民币，并采用下列任何一种非现金形式向采购代理机构递交：</w:t>
      </w:r>
    </w:p>
    <w:p>
      <w:pPr>
        <w:numPr>
          <w:ilvl w:val="0"/>
          <w:numId w:val="6"/>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电汇；</w:t>
      </w:r>
    </w:p>
    <w:p>
      <w:pPr>
        <w:numPr>
          <w:ilvl w:val="0"/>
          <w:numId w:val="6"/>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银行转账；</w:t>
      </w:r>
    </w:p>
    <w:p>
      <w:pPr>
        <w:numPr>
          <w:ilvl w:val="0"/>
          <w:numId w:val="6"/>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14.5   未成交供应商的保证金, 采购代理机构将在成交通知书发出后5个工作日内退还。</w:t>
      </w:r>
    </w:p>
    <w:p>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供应商在提交响应文件截止时间后撤销响应文件的；</w:t>
      </w:r>
    </w:p>
    <w:p>
      <w:pPr>
        <w:numPr>
          <w:ilvl w:val="0"/>
          <w:numId w:val="7"/>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供应商在响应文件中提供虚假材料的；</w:t>
      </w:r>
    </w:p>
    <w:p>
      <w:pPr>
        <w:numPr>
          <w:ilvl w:val="0"/>
          <w:numId w:val="7"/>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除因不可抗力外，成交供应商在规定期限内未能根据本须知第26条规定签订合同； </w:t>
      </w:r>
    </w:p>
    <w:p>
      <w:pPr>
        <w:numPr>
          <w:ilvl w:val="0"/>
          <w:numId w:val="7"/>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供应商与采购人、其他供应商或者采购代理机构恶意串通的；</w:t>
      </w:r>
    </w:p>
    <w:p>
      <w:pPr>
        <w:numPr>
          <w:ilvl w:val="0"/>
          <w:numId w:val="7"/>
        </w:numPr>
        <w:tabs>
          <w:tab w:val="left" w:pos="588"/>
        </w:tabs>
        <w:spacing w:line="360" w:lineRule="auto"/>
        <w:ind w:hanging="5"/>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成交供应商未按本须知第29条规定缴纳服务费。</w:t>
      </w:r>
    </w:p>
    <w:p>
      <w:pPr>
        <w:pStyle w:val="5"/>
        <w:rPr>
          <w:rFonts w:hint="eastAsia" w:ascii="仿宋" w:hAnsi="仿宋" w:eastAsia="仿宋" w:cs="仿宋"/>
          <w:b/>
          <w:sz w:val="24"/>
          <w:szCs w:val="21"/>
          <w:highlight w:val="none"/>
        </w:rPr>
      </w:pPr>
      <w:bookmarkStart w:id="210" w:name="_Toc249525177"/>
      <w:bookmarkStart w:id="211" w:name="_Toc249515408"/>
      <w:bookmarkStart w:id="212" w:name="_Toc7949"/>
      <w:bookmarkStart w:id="213" w:name="_Toc249515296"/>
      <w:r>
        <w:rPr>
          <w:rFonts w:hint="eastAsia" w:ascii="仿宋" w:hAnsi="仿宋" w:eastAsia="仿宋" w:cs="仿宋"/>
          <w:b/>
          <w:sz w:val="24"/>
          <w:szCs w:val="21"/>
          <w:highlight w:val="none"/>
        </w:rPr>
        <w:t>15.    磋商有效期</w:t>
      </w:r>
      <w:bookmarkEnd w:id="210"/>
      <w:bookmarkEnd w:id="211"/>
      <w:bookmarkEnd w:id="212"/>
      <w:bookmarkEnd w:id="213"/>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15.1   磋商有效期见</w:t>
      </w:r>
      <w:r>
        <w:rPr>
          <w:rFonts w:hint="eastAsia" w:ascii="仿宋" w:hAnsi="仿宋" w:eastAsia="仿宋" w:cs="仿宋"/>
          <w:b/>
          <w:sz w:val="24"/>
          <w:highlight w:val="none"/>
        </w:rPr>
        <w:t>本须知前附表</w:t>
      </w:r>
      <w:r>
        <w:rPr>
          <w:rFonts w:hint="eastAsia" w:ascii="仿宋" w:hAnsi="仿宋" w:eastAsia="仿宋" w:cs="仿宋"/>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hint="eastAsia" w:ascii="仿宋" w:hAnsi="仿宋" w:eastAsia="仿宋" w:cs="仿宋"/>
          <w:b/>
          <w:sz w:val="24"/>
          <w:szCs w:val="21"/>
          <w:highlight w:val="none"/>
        </w:rPr>
      </w:pPr>
      <w:bookmarkStart w:id="214" w:name="_Toc249515409"/>
      <w:bookmarkStart w:id="215" w:name="_Toc16612"/>
      <w:bookmarkStart w:id="216" w:name="_Toc184043033"/>
      <w:bookmarkStart w:id="217" w:name="_Toc389620185"/>
      <w:bookmarkStart w:id="218" w:name="_Toc70687160"/>
      <w:bookmarkStart w:id="219" w:name="_Toc249525178"/>
      <w:bookmarkStart w:id="220" w:name="_Toc385992346"/>
      <w:bookmarkStart w:id="221" w:name="_Toc249515297"/>
      <w:r>
        <w:rPr>
          <w:rFonts w:hint="eastAsia" w:ascii="仿宋" w:hAnsi="仿宋" w:eastAsia="仿宋" w:cs="仿宋"/>
          <w:b/>
          <w:sz w:val="24"/>
          <w:szCs w:val="21"/>
          <w:highlight w:val="none"/>
        </w:rPr>
        <w:t>16.    响应文件的制作和签署</w:t>
      </w:r>
      <w:bookmarkEnd w:id="214"/>
      <w:bookmarkEnd w:id="215"/>
      <w:bookmarkEnd w:id="216"/>
      <w:bookmarkEnd w:id="217"/>
      <w:bookmarkEnd w:id="218"/>
      <w:bookmarkEnd w:id="219"/>
      <w:bookmarkEnd w:id="220"/>
      <w:bookmarkEnd w:id="221"/>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16.1   供应商应准备一份响应文件正本和“</w:t>
      </w:r>
      <w:r>
        <w:rPr>
          <w:rFonts w:hint="eastAsia" w:ascii="仿宋" w:hAnsi="仿宋" w:eastAsia="仿宋" w:cs="仿宋"/>
          <w:b/>
          <w:sz w:val="24"/>
          <w:highlight w:val="none"/>
        </w:rPr>
        <w:t>供应商须知前附表</w:t>
      </w:r>
      <w:r>
        <w:rPr>
          <w:rFonts w:hint="eastAsia" w:ascii="仿宋" w:hAnsi="仿宋" w:eastAsia="仿宋" w:cs="仿宋"/>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16.4   任何行间插字、涂改或增删，必须由响应文件签字人将姓或首字母在旁边签字才有效。</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16.5   采购人不接受以电报、电话、传真、电子邮件形式递交的响应文件。</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highlight w:val="none"/>
        </w:rPr>
      </w:pPr>
      <w:bookmarkStart w:id="222" w:name="_Hlt491765640"/>
      <w:bookmarkEnd w:id="222"/>
      <w:bookmarkStart w:id="223" w:name="_Toc500746970"/>
      <w:bookmarkStart w:id="224" w:name="_Toc232176276"/>
      <w:bookmarkStart w:id="225" w:name="_Toc176882546"/>
      <w:bookmarkStart w:id="226" w:name="_Toc389620186"/>
      <w:bookmarkStart w:id="227" w:name="_Toc53722844"/>
      <w:bookmarkStart w:id="228" w:name="_Toc496324583"/>
      <w:bookmarkStart w:id="229" w:name="_Toc249515410"/>
      <w:bookmarkStart w:id="230" w:name="_Toc503063426"/>
      <w:bookmarkStart w:id="231" w:name="_Toc500747193"/>
      <w:bookmarkStart w:id="232" w:name="_Toc385992347"/>
      <w:bookmarkStart w:id="233" w:name="_Toc492955419"/>
      <w:bookmarkStart w:id="234" w:name="_Toc177995477"/>
      <w:bookmarkStart w:id="235" w:name="_Toc232395216"/>
      <w:bookmarkStart w:id="236" w:name="_Toc230099801"/>
      <w:bookmarkStart w:id="237" w:name="_Toc177189239"/>
      <w:bookmarkStart w:id="238" w:name="_Toc499711888"/>
      <w:bookmarkStart w:id="239" w:name="_Toc249515298"/>
      <w:bookmarkStart w:id="240" w:name="_Toc230583545"/>
      <w:bookmarkStart w:id="241" w:name="_Toc249525179"/>
      <w:bookmarkStart w:id="242" w:name="_Toc230013636"/>
      <w:bookmarkStart w:id="243" w:name="_Toc500747066"/>
      <w:bookmarkStart w:id="244" w:name="_Toc499711047"/>
      <w:bookmarkStart w:id="245" w:name="_Toc256342147"/>
      <w:bookmarkStart w:id="246" w:name="_Toc177817338"/>
      <w:bookmarkStart w:id="247" w:name="_Toc184043034"/>
      <w:bookmarkStart w:id="248" w:name="_Toc70687161"/>
      <w:r>
        <w:rPr>
          <w:rFonts w:hint="eastAsia" w:ascii="仿宋" w:hAnsi="仿宋" w:eastAsia="仿宋" w:cs="仿宋"/>
          <w:sz w:val="24"/>
          <w:highlight w:val="none"/>
        </w:rPr>
        <w:t>16.7   响应文件应按照“资格证明文件”和“商务及技术文件”分成两部分，并用不可拆装的方式分别装订成册。</w:t>
      </w:r>
    </w:p>
    <w:p>
      <w:pPr>
        <w:pStyle w:val="80"/>
        <w:spacing w:before="24" w:after="24"/>
        <w:jc w:val="center"/>
        <w:rPr>
          <w:rFonts w:hint="eastAsia" w:ascii="仿宋" w:hAnsi="仿宋" w:eastAsia="仿宋" w:cs="仿宋"/>
          <w:sz w:val="30"/>
          <w:szCs w:val="30"/>
          <w:highlight w:val="none"/>
        </w:rPr>
      </w:pPr>
      <w:bookmarkStart w:id="249" w:name="_Toc14965"/>
      <w:r>
        <w:rPr>
          <w:rFonts w:hint="eastAsia" w:ascii="仿宋" w:hAnsi="仿宋" w:eastAsia="仿宋" w:cs="仿宋"/>
          <w:sz w:val="30"/>
          <w:szCs w:val="30"/>
          <w:highlight w:val="none"/>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rPr>
          <w:rFonts w:hint="eastAsia" w:ascii="仿宋" w:hAnsi="仿宋" w:eastAsia="仿宋" w:cs="仿宋"/>
          <w:highlight w:val="none"/>
        </w:rPr>
      </w:pPr>
    </w:p>
    <w:p>
      <w:pPr>
        <w:pStyle w:val="5"/>
        <w:rPr>
          <w:rFonts w:hint="eastAsia" w:ascii="仿宋" w:hAnsi="仿宋" w:eastAsia="仿宋" w:cs="仿宋"/>
          <w:b/>
          <w:sz w:val="24"/>
          <w:szCs w:val="21"/>
          <w:highlight w:val="none"/>
        </w:rPr>
      </w:pPr>
      <w:bookmarkStart w:id="250" w:name="_Toc4042"/>
      <w:bookmarkStart w:id="251" w:name="_Toc249515411"/>
      <w:bookmarkStart w:id="252" w:name="_Toc385992348"/>
      <w:bookmarkStart w:id="253" w:name="_Toc70687162"/>
      <w:bookmarkStart w:id="254" w:name="_Toc249515299"/>
      <w:bookmarkStart w:id="255" w:name="_Toc184043035"/>
      <w:bookmarkStart w:id="256" w:name="_Toc249525180"/>
      <w:bookmarkStart w:id="257" w:name="_Toc389620187"/>
      <w:r>
        <w:rPr>
          <w:rFonts w:hint="eastAsia" w:ascii="仿宋" w:hAnsi="仿宋" w:eastAsia="仿宋" w:cs="仿宋"/>
          <w:b/>
          <w:sz w:val="24"/>
          <w:szCs w:val="21"/>
          <w:highlight w:val="none"/>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hint="eastAsia" w:ascii="仿宋" w:hAnsi="仿宋" w:eastAsia="仿宋" w:cs="仿宋"/>
          <w:sz w:val="24"/>
          <w:highlight w:val="none"/>
        </w:rPr>
      </w:pPr>
      <w:bookmarkStart w:id="258" w:name="_Toc385992349"/>
      <w:bookmarkStart w:id="259" w:name="_Toc389620188"/>
      <w:bookmarkStart w:id="260" w:name="_Toc184043036"/>
      <w:bookmarkStart w:id="261" w:name="_Toc70687163"/>
      <w:r>
        <w:rPr>
          <w:rFonts w:hint="eastAsia" w:ascii="仿宋" w:hAnsi="仿宋" w:eastAsia="仿宋" w:cs="仿宋"/>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hint="eastAsia" w:ascii="仿宋" w:hAnsi="仿宋" w:eastAsia="仿宋" w:cs="仿宋"/>
          <w:sz w:val="24"/>
          <w:szCs w:val="21"/>
          <w:highlight w:val="none"/>
        </w:rPr>
      </w:pPr>
      <w:r>
        <w:rPr>
          <w:rFonts w:hint="eastAsia" w:ascii="仿宋" w:hAnsi="仿宋" w:eastAsia="仿宋" w:cs="仿宋"/>
          <w:kern w:val="0"/>
          <w:sz w:val="24"/>
          <w:szCs w:val="21"/>
          <w:highlight w:val="none"/>
        </w:rPr>
        <w:t>17.2   密封袋（箱）上标识的内容见</w:t>
      </w:r>
      <w:r>
        <w:rPr>
          <w:rFonts w:hint="eastAsia" w:ascii="仿宋" w:hAnsi="仿宋" w:eastAsia="仿宋" w:cs="仿宋"/>
          <w:b/>
          <w:sz w:val="24"/>
          <w:highlight w:val="none"/>
        </w:rPr>
        <w:t>供应商须知前附表。</w:t>
      </w:r>
      <w:r>
        <w:rPr>
          <w:rFonts w:hint="eastAsia" w:ascii="仿宋" w:hAnsi="仿宋" w:eastAsia="仿宋" w:cs="仿宋"/>
          <w:sz w:val="24"/>
          <w:szCs w:val="21"/>
          <w:highlight w:val="none"/>
        </w:rPr>
        <w:t>响应文件</w:t>
      </w:r>
      <w:r>
        <w:rPr>
          <w:rFonts w:hint="eastAsia" w:ascii="仿宋" w:hAnsi="仿宋" w:eastAsia="仿宋" w:cs="仿宋"/>
          <w:kern w:val="0"/>
          <w:sz w:val="24"/>
          <w:szCs w:val="21"/>
          <w:highlight w:val="none"/>
        </w:rPr>
        <w:t>如果</w:t>
      </w:r>
      <w:r>
        <w:rPr>
          <w:rFonts w:hint="eastAsia" w:ascii="仿宋" w:hAnsi="仿宋" w:eastAsia="仿宋" w:cs="仿宋"/>
          <w:sz w:val="24"/>
          <w:szCs w:val="21"/>
          <w:highlight w:val="none"/>
        </w:rPr>
        <w:t>未按上述规定密封和标记，采购代理机构应当拒绝接收。</w:t>
      </w:r>
    </w:p>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bookmarkEnd w:id="258"/>
    <w:bookmarkEnd w:id="259"/>
    <w:p>
      <w:pPr>
        <w:pStyle w:val="5"/>
        <w:rPr>
          <w:rFonts w:hint="eastAsia" w:ascii="仿宋" w:hAnsi="仿宋" w:eastAsia="仿宋" w:cs="仿宋"/>
          <w:b/>
          <w:sz w:val="24"/>
          <w:szCs w:val="21"/>
          <w:highlight w:val="none"/>
        </w:rPr>
      </w:pPr>
      <w:bookmarkStart w:id="262" w:name="_Toc249515412"/>
      <w:bookmarkStart w:id="263" w:name="_Toc249515300"/>
      <w:bookmarkStart w:id="264" w:name="_Toc31171"/>
      <w:bookmarkStart w:id="265" w:name="_Toc249525181"/>
      <w:r>
        <w:rPr>
          <w:rFonts w:hint="eastAsia" w:ascii="仿宋" w:hAnsi="仿宋" w:eastAsia="仿宋" w:cs="仿宋"/>
          <w:b/>
          <w:sz w:val="24"/>
          <w:szCs w:val="21"/>
          <w:highlight w:val="none"/>
        </w:rPr>
        <w:t>18.    响应文件递交截止时间</w:t>
      </w:r>
      <w:bookmarkEnd w:id="260"/>
      <w:bookmarkEnd w:id="261"/>
      <w:bookmarkEnd w:id="262"/>
      <w:bookmarkEnd w:id="263"/>
      <w:bookmarkEnd w:id="264"/>
      <w:bookmarkEnd w:id="265"/>
    </w:p>
    <w:p>
      <w:pPr>
        <w:tabs>
          <w:tab w:val="left" w:pos="588"/>
        </w:tabs>
        <w:spacing w:line="360" w:lineRule="auto"/>
        <w:rPr>
          <w:rFonts w:hint="eastAsia" w:ascii="仿宋" w:hAnsi="仿宋" w:eastAsia="仿宋" w:cs="仿宋"/>
          <w:sz w:val="24"/>
          <w:highlight w:val="none"/>
        </w:rPr>
      </w:pPr>
      <w:bookmarkStart w:id="266" w:name="_Toc184043037"/>
      <w:bookmarkStart w:id="267" w:name="_Toc389620189"/>
      <w:bookmarkStart w:id="268" w:name="_Toc70687164"/>
      <w:bookmarkStart w:id="269" w:name="_Toc385992350"/>
      <w:r>
        <w:rPr>
          <w:rFonts w:hint="eastAsia" w:ascii="仿宋" w:hAnsi="仿宋" w:eastAsia="仿宋" w:cs="仿宋"/>
          <w:sz w:val="24"/>
          <w:highlight w:val="none"/>
        </w:rPr>
        <w:t>18.1   响应文件递交截止时间和地点见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hint="eastAsia" w:ascii="仿宋" w:hAnsi="仿宋" w:eastAsia="仿宋" w:cs="仿宋"/>
          <w:b/>
          <w:sz w:val="24"/>
          <w:szCs w:val="21"/>
          <w:highlight w:val="none"/>
        </w:rPr>
      </w:pPr>
      <w:bookmarkStart w:id="270" w:name="_Toc249515301"/>
      <w:bookmarkStart w:id="271" w:name="_Toc249515413"/>
      <w:bookmarkStart w:id="272" w:name="_Toc249525182"/>
      <w:bookmarkStart w:id="273" w:name="_Toc7175"/>
      <w:r>
        <w:rPr>
          <w:rFonts w:hint="eastAsia" w:ascii="仿宋" w:hAnsi="仿宋" w:eastAsia="仿宋" w:cs="仿宋"/>
          <w:b/>
          <w:sz w:val="24"/>
          <w:szCs w:val="21"/>
          <w:highlight w:val="none"/>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19.1   采购人将拒绝接收第18条规定的响应文件递交截止时间后递交的任何响应文件。</w:t>
      </w:r>
    </w:p>
    <w:p>
      <w:pPr>
        <w:pStyle w:val="5"/>
        <w:rPr>
          <w:rFonts w:hint="eastAsia" w:ascii="仿宋" w:hAnsi="仿宋" w:eastAsia="仿宋" w:cs="仿宋"/>
          <w:b/>
          <w:sz w:val="24"/>
          <w:szCs w:val="21"/>
          <w:highlight w:val="none"/>
        </w:rPr>
      </w:pPr>
      <w:bookmarkStart w:id="274" w:name="_Toc184043038"/>
      <w:bookmarkStart w:id="275" w:name="_Toc389620190"/>
      <w:bookmarkStart w:id="276" w:name="_Toc249525183"/>
      <w:bookmarkStart w:id="277" w:name="_Toc249515414"/>
      <w:bookmarkStart w:id="278" w:name="_Toc10272"/>
      <w:bookmarkStart w:id="279" w:name="_Toc249515302"/>
      <w:bookmarkStart w:id="280" w:name="_Toc70687165"/>
      <w:bookmarkStart w:id="281" w:name="_Toc385992351"/>
      <w:r>
        <w:rPr>
          <w:rFonts w:hint="eastAsia" w:ascii="仿宋" w:hAnsi="仿宋" w:eastAsia="仿宋" w:cs="仿宋"/>
          <w:b/>
          <w:sz w:val="24"/>
          <w:szCs w:val="21"/>
          <w:highlight w:val="none"/>
        </w:rPr>
        <w:t>20.    响应文件的修改和撤</w:t>
      </w:r>
      <w:bookmarkEnd w:id="274"/>
      <w:bookmarkEnd w:id="275"/>
      <w:bookmarkEnd w:id="276"/>
      <w:bookmarkEnd w:id="277"/>
      <w:bookmarkEnd w:id="278"/>
      <w:bookmarkEnd w:id="279"/>
      <w:bookmarkEnd w:id="280"/>
      <w:bookmarkEnd w:id="281"/>
      <w:r>
        <w:rPr>
          <w:rFonts w:hint="eastAsia" w:ascii="仿宋" w:hAnsi="仿宋" w:eastAsia="仿宋" w:cs="仿宋"/>
          <w:b/>
          <w:sz w:val="24"/>
          <w:szCs w:val="21"/>
          <w:highlight w:val="none"/>
        </w:rPr>
        <w:t>回</w:t>
      </w:r>
    </w:p>
    <w:p>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20.2   在响应文件递交截止时间之后，供应商不得对其响应文件做任何修改。</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20.3   供应商不得在响应文件递交截止时间起至响应文件有效期期满前撤销其响应文件。</w:t>
      </w:r>
    </w:p>
    <w:p>
      <w:pPr>
        <w:pStyle w:val="80"/>
        <w:spacing w:before="24" w:after="24"/>
        <w:ind w:left="3313"/>
        <w:rPr>
          <w:rFonts w:hint="eastAsia" w:ascii="仿宋" w:hAnsi="仿宋" w:eastAsia="仿宋" w:cs="仿宋"/>
          <w:sz w:val="30"/>
          <w:szCs w:val="30"/>
          <w:highlight w:val="none"/>
        </w:rPr>
      </w:pPr>
      <w:bookmarkStart w:id="282" w:name="_Hlt497729441"/>
      <w:bookmarkEnd w:id="282"/>
      <w:bookmarkStart w:id="283" w:name="_Hlt491765712"/>
      <w:bookmarkEnd w:id="283"/>
      <w:bookmarkStart w:id="284" w:name="_Toc249515415"/>
      <w:bookmarkStart w:id="285" w:name="_Toc249515303"/>
      <w:bookmarkStart w:id="286" w:name="_Toc256342148"/>
      <w:bookmarkStart w:id="287" w:name="_Toc249525184"/>
      <w:bookmarkStart w:id="288" w:name="_Toc29566"/>
      <w:bookmarkStart w:id="289" w:name="_Toc184043039"/>
      <w:bookmarkStart w:id="290" w:name="_Toc500746971"/>
      <w:bookmarkStart w:id="291" w:name="_Toc70687166"/>
      <w:bookmarkStart w:id="292" w:name="_Toc503063427"/>
      <w:bookmarkStart w:id="293" w:name="_Toc499711048"/>
      <w:bookmarkStart w:id="294" w:name="_Toc176882547"/>
      <w:bookmarkStart w:id="295" w:name="_Toc389620191"/>
      <w:bookmarkStart w:id="296" w:name="_Toc492955420"/>
      <w:bookmarkStart w:id="297" w:name="_Toc177189240"/>
      <w:bookmarkStart w:id="298" w:name="_Toc500747067"/>
      <w:bookmarkStart w:id="299" w:name="_Toc499711889"/>
      <w:bookmarkStart w:id="300" w:name="_Toc385992352"/>
      <w:bookmarkStart w:id="301" w:name="_Toc177995478"/>
      <w:bookmarkStart w:id="302" w:name="_Toc496324584"/>
      <w:bookmarkStart w:id="303" w:name="_Toc53722845"/>
      <w:bookmarkStart w:id="304" w:name="_Toc177817339"/>
      <w:bookmarkStart w:id="305" w:name="_Toc500747194"/>
      <w:r>
        <w:rPr>
          <w:rFonts w:hint="eastAsia" w:ascii="仿宋" w:hAnsi="仿宋" w:eastAsia="仿宋" w:cs="仿宋"/>
          <w:sz w:val="30"/>
          <w:szCs w:val="30"/>
          <w:highlight w:val="none"/>
        </w:rPr>
        <w:t>五、评审与</w:t>
      </w:r>
      <w:bookmarkEnd w:id="284"/>
      <w:bookmarkEnd w:id="285"/>
      <w:bookmarkEnd w:id="286"/>
      <w:bookmarkEnd w:id="287"/>
      <w:r>
        <w:rPr>
          <w:rFonts w:hint="eastAsia" w:ascii="仿宋" w:hAnsi="仿宋" w:eastAsia="仿宋" w:cs="仿宋"/>
          <w:sz w:val="30"/>
          <w:szCs w:val="30"/>
          <w:highlight w:val="none"/>
        </w:rPr>
        <w:t>磋商</w:t>
      </w:r>
      <w:bookmarkEnd w:id="288"/>
    </w:p>
    <w:p>
      <w:pPr>
        <w:pStyle w:val="5"/>
        <w:numPr>
          <w:ilvl w:val="0"/>
          <w:numId w:val="8"/>
        </w:numPr>
        <w:rPr>
          <w:rFonts w:hint="eastAsia" w:ascii="仿宋" w:hAnsi="仿宋" w:eastAsia="仿宋" w:cs="仿宋"/>
          <w:b/>
          <w:sz w:val="24"/>
          <w:highlight w:val="none"/>
        </w:rPr>
      </w:pPr>
      <w:bookmarkStart w:id="306" w:name="_Toc16042"/>
      <w:bookmarkStart w:id="307" w:name="_Toc249515417"/>
      <w:bookmarkStart w:id="308" w:name="_Toc249525186"/>
      <w:bookmarkStart w:id="309" w:name="_Toc249515305"/>
      <w:r>
        <w:rPr>
          <w:rFonts w:hint="eastAsia" w:ascii="仿宋" w:hAnsi="仿宋" w:eastAsia="仿宋" w:cs="仿宋"/>
          <w:b/>
          <w:sz w:val="24"/>
          <w:highlight w:val="none"/>
        </w:rPr>
        <w:t xml:space="preserve">   磋商小组</w:t>
      </w:r>
      <w:bookmarkEnd w:id="306"/>
      <w:bookmarkEnd w:id="307"/>
      <w:bookmarkEnd w:id="308"/>
      <w:bookmarkEnd w:id="309"/>
    </w:p>
    <w:p>
      <w:pPr>
        <w:pStyle w:val="29"/>
        <w:adjustRightInd w:val="0"/>
        <w:snapToGrid w:val="0"/>
        <w:ind w:left="840" w:hanging="840" w:hangingChars="350"/>
        <w:rPr>
          <w:rFonts w:hint="eastAsia" w:ascii="仿宋" w:hAnsi="仿宋" w:eastAsia="仿宋" w:cs="仿宋"/>
          <w:b/>
          <w:sz w:val="24"/>
          <w:highlight w:val="none"/>
        </w:rPr>
      </w:pPr>
      <w:r>
        <w:rPr>
          <w:rFonts w:hint="eastAsia" w:ascii="仿宋" w:hAnsi="仿宋" w:eastAsia="仿宋" w:cs="仿宋"/>
          <w:sz w:val="24"/>
          <w:szCs w:val="24"/>
          <w:highlight w:val="none"/>
        </w:rPr>
        <w:t>21.1   在磋商开始前组建磋商小组，磋商小组由采购人代表和有关专家组成。</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21.2   磋商小组职责</w:t>
      </w:r>
    </w:p>
    <w:p>
      <w:pPr>
        <w:pStyle w:val="29"/>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（1）确认竞争性磋商文件；</w:t>
      </w:r>
    </w:p>
    <w:p>
      <w:pPr>
        <w:pStyle w:val="29"/>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（2）审查通过了资格审查的供应商响应文件并做出评价；</w:t>
      </w:r>
    </w:p>
    <w:p>
      <w:pPr>
        <w:pStyle w:val="29"/>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（3）要求供应商解释或者澄清其响应文件；</w:t>
      </w:r>
    </w:p>
    <w:p>
      <w:pPr>
        <w:pStyle w:val="29"/>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（4）编写评审报告；</w:t>
      </w:r>
    </w:p>
    <w:p>
      <w:pPr>
        <w:pStyle w:val="29"/>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（5）告知采购人、采购代理机构在评审过程中发现的供应商的违法违规行为。</w:t>
      </w:r>
    </w:p>
    <w:p>
      <w:pPr>
        <w:pStyle w:val="2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21.3   磋商小组义务</w:t>
      </w:r>
    </w:p>
    <w:p>
      <w:pPr>
        <w:pStyle w:val="29"/>
        <w:adjustRightInd w:val="0"/>
        <w:snapToGrid w:val="0"/>
        <w:ind w:left="838" w:leftChars="399"/>
        <w:rPr>
          <w:rFonts w:hint="eastAsia" w:ascii="仿宋" w:hAnsi="仿宋" w:eastAsia="仿宋" w:cs="仿宋"/>
          <w:sz w:val="24"/>
          <w:szCs w:val="24"/>
          <w:highlight w:val="none"/>
        </w:rPr>
      </w:pPr>
      <w:r>
        <w:rPr>
          <w:rFonts w:hint="eastAsia" w:ascii="仿宋" w:hAnsi="仿宋" w:eastAsia="仿宋" w:cs="仿宋"/>
          <w:sz w:val="24"/>
          <w:szCs w:val="24"/>
          <w:highlight w:val="none"/>
        </w:rPr>
        <w:t>（1）遵纪客观、公正、审慎的原则；</w:t>
      </w:r>
    </w:p>
    <w:p>
      <w:pPr>
        <w:pStyle w:val="29"/>
        <w:adjustRightInd w:val="0"/>
        <w:snapToGrid w:val="0"/>
        <w:ind w:left="838" w:leftChars="399"/>
        <w:rPr>
          <w:rFonts w:hint="eastAsia" w:ascii="仿宋" w:hAnsi="仿宋" w:eastAsia="仿宋" w:cs="仿宋"/>
          <w:sz w:val="24"/>
          <w:szCs w:val="24"/>
          <w:highlight w:val="none"/>
        </w:rPr>
      </w:pPr>
      <w:r>
        <w:rPr>
          <w:rFonts w:hint="eastAsia" w:ascii="仿宋" w:hAnsi="仿宋" w:eastAsia="仿宋" w:cs="仿宋"/>
          <w:sz w:val="24"/>
          <w:szCs w:val="24"/>
          <w:highlight w:val="none"/>
        </w:rPr>
        <w:t>（2）根据磋商文件的规定评审程序、评审方法和评审标准独立进行评审，对个人的评审意见承担法律责任；</w:t>
      </w:r>
    </w:p>
    <w:p>
      <w:pPr>
        <w:pStyle w:val="29"/>
        <w:adjustRightInd w:val="0"/>
        <w:snapToGrid w:val="0"/>
        <w:ind w:left="838" w:leftChars="399"/>
        <w:rPr>
          <w:rFonts w:hint="eastAsia" w:ascii="仿宋" w:hAnsi="仿宋" w:eastAsia="仿宋" w:cs="仿宋"/>
          <w:sz w:val="24"/>
          <w:szCs w:val="24"/>
          <w:highlight w:val="none"/>
        </w:rPr>
      </w:pPr>
      <w:r>
        <w:rPr>
          <w:rFonts w:hint="eastAsia" w:ascii="仿宋" w:hAnsi="仿宋" w:eastAsia="仿宋" w:cs="仿宋"/>
          <w:sz w:val="24"/>
          <w:szCs w:val="24"/>
          <w:highlight w:val="none"/>
        </w:rPr>
        <w:t>（3）参与评审报告的起草；</w:t>
      </w:r>
    </w:p>
    <w:p>
      <w:pPr>
        <w:pStyle w:val="29"/>
        <w:adjustRightInd w:val="0"/>
        <w:snapToGrid w:val="0"/>
        <w:ind w:left="838" w:leftChars="399"/>
        <w:rPr>
          <w:rFonts w:hint="eastAsia" w:ascii="仿宋" w:hAnsi="仿宋" w:eastAsia="仿宋" w:cs="仿宋"/>
          <w:sz w:val="24"/>
          <w:szCs w:val="24"/>
          <w:highlight w:val="none"/>
        </w:rPr>
      </w:pPr>
      <w:r>
        <w:rPr>
          <w:rFonts w:hint="eastAsia" w:ascii="仿宋" w:hAnsi="仿宋" w:eastAsia="仿宋" w:cs="仿宋"/>
          <w:sz w:val="24"/>
          <w:szCs w:val="24"/>
          <w:highlight w:val="none"/>
        </w:rPr>
        <w:t>（4）配合采购人、采购代理机构答复供应商提出的质疑；</w:t>
      </w:r>
    </w:p>
    <w:p>
      <w:pPr>
        <w:pStyle w:val="29"/>
        <w:adjustRightInd w:val="0"/>
        <w:snapToGrid w:val="0"/>
        <w:ind w:left="840" w:hanging="840" w:hangingChars="350"/>
        <w:rPr>
          <w:rFonts w:hint="eastAsia" w:ascii="仿宋" w:hAnsi="仿宋" w:eastAsia="仿宋" w:cs="仿宋"/>
          <w:sz w:val="24"/>
          <w:szCs w:val="24"/>
          <w:highlight w:val="none"/>
        </w:rPr>
      </w:pPr>
      <w:r>
        <w:rPr>
          <w:rFonts w:hint="eastAsia" w:ascii="仿宋" w:hAnsi="仿宋" w:eastAsia="仿宋" w:cs="仿宋"/>
          <w:sz w:val="24"/>
          <w:szCs w:val="24"/>
          <w:highlight w:val="none"/>
        </w:rPr>
        <w:t>21.4   确认磋商文件：磋商小组对磋商文件进行审阅，无修改进行签字确认，有修改，修改内容经采购人确认后，磋商小组以书面形式通知所有供应商。</w:t>
      </w:r>
    </w:p>
    <w:p>
      <w:pPr>
        <w:pStyle w:val="5"/>
        <w:rPr>
          <w:rFonts w:hint="eastAsia" w:ascii="仿宋" w:hAnsi="仿宋" w:eastAsia="仿宋" w:cs="仿宋"/>
          <w:b/>
          <w:sz w:val="24"/>
          <w:szCs w:val="21"/>
          <w:highlight w:val="none"/>
        </w:rPr>
      </w:pPr>
      <w:r>
        <w:rPr>
          <w:rFonts w:hint="eastAsia" w:ascii="仿宋" w:hAnsi="仿宋" w:eastAsia="仿宋" w:cs="仿宋"/>
          <w:b/>
          <w:sz w:val="24"/>
          <w:szCs w:val="21"/>
          <w:highlight w:val="none"/>
        </w:rPr>
        <w:t>22.    磋商小组成员有下列情形之一的，应当回避：</w:t>
      </w:r>
    </w:p>
    <w:p>
      <w:pPr>
        <w:pStyle w:val="5"/>
        <w:tabs>
          <w:tab w:val="left" w:pos="360"/>
        </w:tabs>
        <w:rPr>
          <w:rFonts w:hint="eastAsia" w:ascii="仿宋" w:hAnsi="仿宋" w:eastAsia="仿宋" w:cs="仿宋"/>
          <w:sz w:val="24"/>
          <w:szCs w:val="21"/>
          <w:highlight w:val="none"/>
        </w:rPr>
      </w:pPr>
      <w:r>
        <w:rPr>
          <w:rFonts w:hint="eastAsia" w:ascii="仿宋" w:hAnsi="仿宋" w:eastAsia="仿宋" w:cs="仿宋"/>
          <w:sz w:val="24"/>
          <w:szCs w:val="21"/>
          <w:highlight w:val="none"/>
        </w:rPr>
        <w:t>22.1   参加采购活动前3年内与供应商存在劳动关系；</w:t>
      </w:r>
    </w:p>
    <w:p>
      <w:pPr>
        <w:pStyle w:val="5"/>
        <w:tabs>
          <w:tab w:val="left" w:pos="360"/>
        </w:tabs>
        <w:rPr>
          <w:rFonts w:hint="eastAsia" w:ascii="仿宋" w:hAnsi="仿宋" w:eastAsia="仿宋" w:cs="仿宋"/>
          <w:sz w:val="24"/>
          <w:szCs w:val="21"/>
          <w:highlight w:val="none"/>
        </w:rPr>
      </w:pPr>
      <w:r>
        <w:rPr>
          <w:rFonts w:hint="eastAsia" w:ascii="仿宋" w:hAnsi="仿宋" w:eastAsia="仿宋" w:cs="仿宋"/>
          <w:sz w:val="24"/>
          <w:szCs w:val="21"/>
          <w:highlight w:val="none"/>
        </w:rPr>
        <w:t>22.2   参加采购活动前3年内担任供应商的董事、监事；</w:t>
      </w:r>
    </w:p>
    <w:p>
      <w:pPr>
        <w:pStyle w:val="5"/>
        <w:tabs>
          <w:tab w:val="left" w:pos="360"/>
        </w:tabs>
        <w:rPr>
          <w:rFonts w:hint="eastAsia" w:ascii="仿宋" w:hAnsi="仿宋" w:eastAsia="仿宋" w:cs="仿宋"/>
          <w:sz w:val="24"/>
          <w:szCs w:val="21"/>
          <w:highlight w:val="none"/>
        </w:rPr>
      </w:pPr>
      <w:r>
        <w:rPr>
          <w:rFonts w:hint="eastAsia" w:ascii="仿宋" w:hAnsi="仿宋" w:eastAsia="仿宋" w:cs="仿宋"/>
          <w:sz w:val="24"/>
          <w:szCs w:val="21"/>
          <w:highlight w:val="none"/>
        </w:rPr>
        <w:t>22.3   参加采购活动前3年内是供应商的控股股东或者实际控制人；</w:t>
      </w:r>
    </w:p>
    <w:p>
      <w:pPr>
        <w:pStyle w:val="5"/>
        <w:tabs>
          <w:tab w:val="left" w:pos="360"/>
        </w:tabs>
        <w:ind w:left="840" w:hanging="840" w:hangingChars="350"/>
        <w:rPr>
          <w:rFonts w:hint="eastAsia" w:ascii="仿宋" w:hAnsi="仿宋" w:eastAsia="仿宋" w:cs="仿宋"/>
          <w:sz w:val="24"/>
          <w:szCs w:val="21"/>
          <w:highlight w:val="none"/>
        </w:rPr>
      </w:pPr>
      <w:r>
        <w:rPr>
          <w:rFonts w:hint="eastAsia" w:ascii="仿宋" w:hAnsi="仿宋" w:eastAsia="仿宋" w:cs="仿宋"/>
          <w:sz w:val="24"/>
          <w:szCs w:val="21"/>
          <w:highlight w:val="none"/>
        </w:rPr>
        <w:t>22.4   与供应商的法定代表人或者负责人有夫妻、直系血亲、三代以内旁系血亲或者近姻亲关系；</w:t>
      </w:r>
    </w:p>
    <w:p>
      <w:pPr>
        <w:pStyle w:val="5"/>
        <w:tabs>
          <w:tab w:val="left" w:pos="360"/>
        </w:tabs>
        <w:rPr>
          <w:rFonts w:hint="eastAsia" w:ascii="仿宋" w:hAnsi="仿宋" w:eastAsia="仿宋" w:cs="仿宋"/>
          <w:sz w:val="24"/>
          <w:szCs w:val="21"/>
          <w:highlight w:val="none"/>
        </w:rPr>
      </w:pPr>
      <w:r>
        <w:rPr>
          <w:rFonts w:hint="eastAsia" w:ascii="仿宋" w:hAnsi="仿宋" w:eastAsia="仿宋" w:cs="仿宋"/>
          <w:sz w:val="24"/>
          <w:szCs w:val="21"/>
          <w:highlight w:val="none"/>
        </w:rPr>
        <w:t>22.5   与供应商有其他可能影响政府采购活动公平、公正进行的关系。</w:t>
      </w:r>
    </w:p>
    <w:p>
      <w:pPr>
        <w:pStyle w:val="5"/>
        <w:rPr>
          <w:rFonts w:hint="eastAsia" w:ascii="仿宋" w:hAnsi="仿宋" w:eastAsia="仿宋" w:cs="仿宋"/>
          <w:b/>
          <w:sz w:val="24"/>
          <w:szCs w:val="21"/>
          <w:highlight w:val="none"/>
        </w:rPr>
      </w:pPr>
      <w:bookmarkStart w:id="310" w:name="_Toc249515418"/>
      <w:bookmarkStart w:id="311" w:name="_Toc20608"/>
      <w:bookmarkStart w:id="312" w:name="_Toc249525187"/>
      <w:bookmarkStart w:id="313" w:name="_Toc83547667"/>
      <w:bookmarkStart w:id="314" w:name="_Toc249515306"/>
      <w:r>
        <w:rPr>
          <w:rFonts w:hint="eastAsia" w:ascii="仿宋" w:hAnsi="仿宋" w:eastAsia="仿宋" w:cs="仿宋"/>
          <w:b/>
          <w:sz w:val="24"/>
          <w:szCs w:val="21"/>
          <w:highlight w:val="none"/>
        </w:rPr>
        <w:t>23.    磋商程序</w:t>
      </w:r>
    </w:p>
    <w:p>
      <w:pPr>
        <w:pStyle w:val="5"/>
        <w:tabs>
          <w:tab w:val="left" w:pos="360"/>
        </w:tabs>
        <w:rPr>
          <w:rFonts w:hint="eastAsia" w:ascii="仿宋" w:hAnsi="仿宋" w:eastAsia="仿宋" w:cs="仿宋"/>
          <w:b/>
          <w:sz w:val="24"/>
          <w:szCs w:val="21"/>
          <w:highlight w:val="none"/>
        </w:rPr>
      </w:pPr>
      <w:bookmarkStart w:id="315" w:name="_Toc58504507"/>
      <w:r>
        <w:rPr>
          <w:rFonts w:hint="eastAsia" w:ascii="仿宋" w:hAnsi="仿宋" w:eastAsia="仿宋" w:cs="仿宋"/>
          <w:b/>
          <w:sz w:val="24"/>
          <w:szCs w:val="21"/>
          <w:highlight w:val="none"/>
        </w:rPr>
        <w:t>23.1   磋商会议</w:t>
      </w:r>
      <w:bookmarkEnd w:id="315"/>
    </w:p>
    <w:p>
      <w:pPr>
        <w:pStyle w:val="22"/>
        <w:ind w:left="840" w:leftChars="400"/>
        <w:rPr>
          <w:rFonts w:hint="eastAsia" w:ascii="仿宋" w:hAnsi="仿宋" w:eastAsia="仿宋" w:cs="仿宋"/>
          <w:sz w:val="24"/>
          <w:szCs w:val="32"/>
          <w:highlight w:val="none"/>
        </w:rPr>
      </w:pPr>
      <w:bookmarkStart w:id="316" w:name="_Toc58504508"/>
      <w:r>
        <w:rPr>
          <w:rFonts w:hint="eastAsia" w:ascii="仿宋" w:hAnsi="仿宋" w:eastAsia="仿宋" w:cs="仿宋"/>
          <w:sz w:val="24"/>
          <w:szCs w:val="32"/>
          <w:highlight w:val="none"/>
        </w:rPr>
        <w:t>（1）在磋商文件规定的时间和地点，由采购代理机构组织磋商工作，供应商须委派代表参加，签名以证明其出席。</w:t>
      </w:r>
      <w:bookmarkEnd w:id="316"/>
    </w:p>
    <w:p>
      <w:pPr>
        <w:pStyle w:val="22"/>
        <w:ind w:left="840" w:leftChars="400"/>
        <w:rPr>
          <w:rFonts w:hint="eastAsia" w:ascii="仿宋" w:hAnsi="仿宋" w:eastAsia="仿宋" w:cs="仿宋"/>
          <w:sz w:val="24"/>
          <w:szCs w:val="32"/>
          <w:highlight w:val="none"/>
        </w:rPr>
      </w:pPr>
      <w:bookmarkStart w:id="317" w:name="_Toc58504509"/>
      <w:r>
        <w:rPr>
          <w:rFonts w:hint="eastAsia" w:ascii="仿宋" w:hAnsi="仿宋" w:eastAsia="仿宋" w:cs="仿宋"/>
          <w:sz w:val="24"/>
          <w:szCs w:val="32"/>
          <w:highlight w:val="none"/>
        </w:rPr>
        <w:t>（2）各供应商或其推荐的代表与采购监督人共同检查响应文件的密封情况，经检查无误后，签字确认。</w:t>
      </w:r>
      <w:bookmarkEnd w:id="317"/>
    </w:p>
    <w:p>
      <w:pPr>
        <w:pStyle w:val="22"/>
        <w:ind w:left="840" w:leftChars="400"/>
        <w:rPr>
          <w:rFonts w:hint="eastAsia" w:ascii="仿宋" w:hAnsi="仿宋" w:eastAsia="仿宋" w:cs="仿宋"/>
          <w:sz w:val="24"/>
          <w:szCs w:val="32"/>
          <w:highlight w:val="none"/>
        </w:rPr>
      </w:pPr>
      <w:bookmarkStart w:id="318" w:name="_Toc58504510"/>
      <w:r>
        <w:rPr>
          <w:rFonts w:hint="eastAsia" w:ascii="仿宋" w:hAnsi="仿宋" w:eastAsia="仿宋" w:cs="仿宋"/>
          <w:sz w:val="24"/>
          <w:szCs w:val="32"/>
          <w:highlight w:val="none"/>
        </w:rPr>
        <w:t>（3）采购代理机构工作人员按照顺序，将各供应商首次响应文件的份数等内容公布，无异议后，由供应商法定代表人（或授权代表人）和监督人签字确认。</w:t>
      </w:r>
      <w:bookmarkEnd w:id="318"/>
    </w:p>
    <w:p>
      <w:pPr>
        <w:pStyle w:val="5"/>
        <w:tabs>
          <w:tab w:val="left" w:pos="360"/>
        </w:tabs>
        <w:rPr>
          <w:rFonts w:hint="eastAsia" w:ascii="仿宋" w:hAnsi="仿宋" w:eastAsia="仿宋" w:cs="仿宋"/>
          <w:b/>
          <w:sz w:val="24"/>
          <w:szCs w:val="21"/>
          <w:highlight w:val="none"/>
        </w:rPr>
      </w:pPr>
      <w:bookmarkStart w:id="319" w:name="_Toc58504511"/>
      <w:r>
        <w:rPr>
          <w:rFonts w:hint="eastAsia" w:ascii="仿宋" w:hAnsi="仿宋" w:eastAsia="仿宋" w:cs="仿宋"/>
          <w:b/>
          <w:sz w:val="24"/>
          <w:szCs w:val="21"/>
          <w:highlight w:val="none"/>
        </w:rPr>
        <w:t>23.2   响应文件</w:t>
      </w:r>
      <w:bookmarkEnd w:id="310"/>
      <w:bookmarkEnd w:id="311"/>
      <w:bookmarkEnd w:id="312"/>
      <w:bookmarkEnd w:id="313"/>
      <w:bookmarkEnd w:id="314"/>
      <w:r>
        <w:rPr>
          <w:rFonts w:hint="eastAsia" w:ascii="仿宋" w:hAnsi="仿宋" w:eastAsia="仿宋" w:cs="仿宋"/>
          <w:b/>
          <w:sz w:val="24"/>
          <w:szCs w:val="21"/>
          <w:highlight w:val="none"/>
        </w:rPr>
        <w:t>评审</w:t>
      </w:r>
      <w:bookmarkEnd w:id="319"/>
    </w:p>
    <w:p>
      <w:pPr>
        <w:tabs>
          <w:tab w:val="left" w:pos="360"/>
          <w:tab w:val="left" w:pos="588"/>
        </w:tabs>
        <w:spacing w:line="360" w:lineRule="auto"/>
        <w:ind w:left="843" w:hanging="843" w:hangingChars="350"/>
        <w:rPr>
          <w:rFonts w:hint="eastAsia" w:ascii="仿宋" w:hAnsi="仿宋" w:eastAsia="仿宋" w:cs="仿宋"/>
          <w:sz w:val="24"/>
          <w:highlight w:val="none"/>
        </w:rPr>
      </w:pPr>
      <w:bookmarkStart w:id="320" w:name="_Toc83547671"/>
      <w:r>
        <w:rPr>
          <w:rFonts w:hint="eastAsia" w:ascii="仿宋" w:hAnsi="仿宋" w:eastAsia="仿宋" w:cs="仿宋"/>
          <w:b/>
          <w:sz w:val="24"/>
          <w:highlight w:val="none"/>
        </w:rPr>
        <w:t>23.2.1</w:t>
      </w:r>
      <w:r>
        <w:rPr>
          <w:rFonts w:hint="eastAsia" w:ascii="仿宋" w:hAnsi="仿宋" w:eastAsia="仿宋" w:cs="仿宋"/>
          <w:b/>
          <w:i/>
          <w:sz w:val="24"/>
          <w:highlight w:val="none"/>
        </w:rPr>
        <w:t xml:space="preserve"> </w:t>
      </w:r>
      <w:r>
        <w:rPr>
          <w:rFonts w:hint="eastAsia" w:ascii="仿宋" w:hAnsi="仿宋" w:eastAsia="仿宋" w:cs="仿宋"/>
          <w:b/>
          <w:sz w:val="24"/>
          <w:highlight w:val="none"/>
        </w:rPr>
        <w:t>响应文件的资格性审查</w:t>
      </w:r>
      <w:r>
        <w:rPr>
          <w:rFonts w:hint="eastAsia" w:ascii="仿宋" w:hAnsi="仿宋" w:eastAsia="仿宋" w:cs="仿宋"/>
          <w:sz w:val="24"/>
          <w:highlight w:val="none"/>
        </w:rPr>
        <w:t>。参照《政府采购法》第二十二条和磋商文件的规定，</w:t>
      </w:r>
      <w:r>
        <w:rPr>
          <w:rFonts w:hint="eastAsia" w:ascii="仿宋" w:hAnsi="仿宋" w:eastAsia="仿宋" w:cs="仿宋"/>
          <w:b/>
          <w:sz w:val="24"/>
          <w:highlight w:val="none"/>
        </w:rPr>
        <w:t>采购人或采购代理机构负责</w:t>
      </w:r>
      <w:r>
        <w:rPr>
          <w:rFonts w:hint="eastAsia" w:ascii="仿宋" w:hAnsi="仿宋" w:eastAsia="仿宋" w:cs="仿宋"/>
          <w:sz w:val="24"/>
          <w:highlight w:val="none"/>
        </w:rPr>
        <w:t>对响应文件中的资格证明文件、信用查询记录等进行审查，以确认供应商具备相应资格。资格性审查出现下列情况者（但不限于），按无效文件处理：</w:t>
      </w:r>
    </w:p>
    <w:p>
      <w:pPr>
        <w:pStyle w:val="22"/>
        <w:ind w:left="840" w:leftChars="400"/>
        <w:rPr>
          <w:rFonts w:hint="eastAsia" w:ascii="仿宋" w:hAnsi="仿宋" w:eastAsia="仿宋" w:cs="仿宋"/>
          <w:sz w:val="24"/>
          <w:highlight w:val="none"/>
        </w:rPr>
      </w:pPr>
      <w:r>
        <w:rPr>
          <w:rFonts w:hint="eastAsia" w:ascii="仿宋" w:hAnsi="仿宋" w:eastAsia="仿宋" w:cs="仿宋"/>
          <w:highlight w:val="none"/>
        </w:rPr>
        <w:t>（</w:t>
      </w:r>
      <w:r>
        <w:rPr>
          <w:rFonts w:hint="eastAsia" w:ascii="仿宋" w:hAnsi="仿宋" w:eastAsia="仿宋" w:cs="仿宋"/>
          <w:sz w:val="24"/>
          <w:highlight w:val="none"/>
        </w:rPr>
        <w:t>1）供应商不符合《中华人民共和国政府采购法》第二十二条的规定和特定资格条件要求的。</w:t>
      </w:r>
    </w:p>
    <w:p>
      <w:pPr>
        <w:pStyle w:val="22"/>
        <w:ind w:left="840" w:leftChars="400"/>
        <w:rPr>
          <w:rFonts w:hint="eastAsia"/>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专门面向中小企业采购的项目，供应商应为中小微企业、监狱企业、残疾人福利性单位并提供相应声明函</w:t>
      </w:r>
      <w:r>
        <w:rPr>
          <w:rFonts w:hint="eastAsia" w:ascii="仿宋" w:hAnsi="仿宋" w:eastAsia="仿宋" w:cs="仿宋"/>
          <w:sz w:val="24"/>
          <w:highlight w:val="none"/>
        </w:rPr>
        <w:t>。</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）供应商没有经过正常渠道购买或免费领取磋商文件或供应商的名称与登记领取磋商文件单位的名称不符。</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）信用查询中列入失信被执行人、重大税收违法案件当事人名单、政府采购严重违法失信行为记录名单及其他不符合《中华人民共和国政府采购法》第二十二条规定条件的供应商。</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）采购人或采购代理机构通过“信用中国”网站(www.creditchina.gov.cn)、中国政府采购网(www.ccgp.gov.cn) 等查询相关主体信用记录，并将查询网页打印、存档备查。</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）查询时间为磋商文件发售期至评审截止时间前，此段时间段外，网站信息发生的任何变更均不作为资格审查依据。</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供应商不良信用记录以采购人或采购代理机构查询结果为准。供应商自行提供的与网站信息不一致的其他证明材料亦不作为资格审查依据。</w:t>
      </w:r>
    </w:p>
    <w:p>
      <w:pPr>
        <w:pStyle w:val="22"/>
        <w:numPr>
          <w:ilvl w:val="0"/>
          <w:numId w:val="0"/>
        </w:numPr>
        <w:ind w:firstLine="720" w:firstLineChars="300"/>
        <w:rPr>
          <w:rFonts w:hint="eastAsia" w:ascii="仿宋" w:hAnsi="仿宋" w:eastAsia="仿宋" w:cs="仿宋"/>
          <w:i/>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eastAsia="zh-CN"/>
        </w:rPr>
        <w:t>）</w:t>
      </w:r>
      <w:r>
        <w:rPr>
          <w:rFonts w:hint="eastAsia" w:ascii="仿宋" w:hAnsi="仿宋" w:eastAsia="仿宋" w:cs="仿宋"/>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i/>
          <w:sz w:val="24"/>
          <w:highlight w:val="none"/>
        </w:rPr>
        <w:t>)</w:t>
      </w:r>
    </w:p>
    <w:p>
      <w:pPr>
        <w:pStyle w:val="22"/>
        <w:ind w:left="843" w:hanging="843" w:hangingChars="350"/>
        <w:rPr>
          <w:rFonts w:hint="eastAsia" w:ascii="仿宋" w:hAnsi="仿宋" w:eastAsia="仿宋" w:cs="仿宋"/>
          <w:sz w:val="24"/>
          <w:highlight w:val="none"/>
        </w:rPr>
      </w:pPr>
      <w:r>
        <w:rPr>
          <w:rFonts w:hint="eastAsia" w:ascii="仿宋" w:hAnsi="仿宋" w:eastAsia="仿宋" w:cs="仿宋"/>
          <w:b/>
          <w:sz w:val="24"/>
          <w:highlight w:val="none"/>
        </w:rPr>
        <w:t>23.2.2 磋商响应文件有效性、完整性和响应程度审查：磋商小组</w:t>
      </w:r>
      <w:r>
        <w:rPr>
          <w:rFonts w:hint="eastAsia" w:ascii="仿宋" w:hAnsi="仿宋" w:eastAsia="仿宋" w:cs="仿宋"/>
          <w:sz w:val="24"/>
          <w:highlight w:val="none"/>
        </w:rPr>
        <w:t>负责对通过资格审查的响应文件的有效性、完整性和响应性进行审查，以确定是否满足磋商文件要求，出现下列情况者（但不限于），按无效文件处理。</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（1）供应商未按磋商文件要求加盖单位公章；</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（2）磋商响应文件未按磋商文件要求进行法定代表人或其授权代表签字；</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（3）无有效期或有效期达不到磋商文件的要求。</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（4）供应商首次磋商报价出现选择性报价。</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（5）首次磋商报价超出采购预算；</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（6）响应文件中对合同草案条款附加了采购人难以接受的条件。</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（7）磋商内容出现漏项或数量与要求不符，出现重大负偏差。</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（8）响应文件中技术指标达不到采购要求，降低了产品档次或影响产品性能、功能。</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（9）响应报价与市场价偏离较大，低于成本，形成不正当竞争。</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（10）供应商提供虚假证明，开具虚假资质，出现虚假应答或故意隐瞒行为。</w:t>
      </w:r>
    </w:p>
    <w:p>
      <w:pPr>
        <w:pStyle w:val="5"/>
        <w:tabs>
          <w:tab w:val="left" w:pos="360"/>
        </w:tabs>
        <w:rPr>
          <w:rFonts w:hint="eastAsia" w:ascii="仿宋" w:hAnsi="仿宋" w:eastAsia="仿宋" w:cs="仿宋"/>
          <w:b/>
          <w:sz w:val="24"/>
          <w:szCs w:val="21"/>
          <w:highlight w:val="none"/>
        </w:rPr>
      </w:pPr>
      <w:bookmarkStart w:id="321" w:name="_Toc58504512"/>
      <w:r>
        <w:rPr>
          <w:rFonts w:hint="eastAsia" w:ascii="仿宋" w:hAnsi="仿宋" w:eastAsia="仿宋" w:cs="仿宋"/>
          <w:b/>
          <w:sz w:val="24"/>
          <w:szCs w:val="21"/>
          <w:highlight w:val="none"/>
        </w:rPr>
        <w:t>23.3   磋商</w:t>
      </w:r>
      <w:bookmarkEnd w:id="321"/>
    </w:p>
    <w:p>
      <w:pPr>
        <w:pStyle w:val="22"/>
        <w:ind w:left="840" w:hanging="840" w:hangingChars="350"/>
        <w:rPr>
          <w:rFonts w:hint="eastAsia" w:ascii="仿宋" w:hAnsi="仿宋" w:eastAsia="仿宋" w:cs="仿宋"/>
          <w:sz w:val="24"/>
          <w:highlight w:val="none"/>
        </w:rPr>
      </w:pPr>
      <w:bookmarkStart w:id="322" w:name="_Toc58504513"/>
      <w:r>
        <w:rPr>
          <w:rFonts w:hint="eastAsia" w:ascii="仿宋" w:hAnsi="仿宋" w:eastAsia="仿宋" w:cs="仿宋"/>
          <w:sz w:val="24"/>
          <w:highlight w:val="none"/>
        </w:rPr>
        <w:t>23.3.1 磋商小组集中与各供应商分别进行磋商，并给所有参加磋商供应商平等的磋商机会。</w:t>
      </w:r>
      <w:bookmarkEnd w:id="322"/>
    </w:p>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23.3.2 磋商小组在对响应文件的有效性、完整性和响应程度进行审核时，以</w:t>
      </w:r>
      <w:r>
        <w:rPr>
          <w:rFonts w:hint="eastAsia" w:ascii="仿宋" w:hAnsi="仿宋" w:eastAsia="仿宋" w:cs="仿宋"/>
          <w:b/>
          <w:sz w:val="24"/>
          <w:highlight w:val="none"/>
        </w:rPr>
        <w:t>书面形式</w:t>
      </w:r>
      <w:r>
        <w:rPr>
          <w:rFonts w:hint="eastAsia" w:ascii="仿宋" w:hAnsi="仿宋" w:eastAsia="仿宋" w:cs="仿宋"/>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2"/>
        <w:rPr>
          <w:rFonts w:hint="eastAsia" w:ascii="仿宋" w:hAnsi="仿宋" w:eastAsia="仿宋" w:cs="仿宋"/>
          <w:sz w:val="24"/>
          <w:highlight w:val="none"/>
        </w:rPr>
      </w:pPr>
      <w:r>
        <w:rPr>
          <w:rFonts w:hint="eastAsia" w:ascii="仿宋" w:hAnsi="仿宋" w:eastAsia="仿宋" w:cs="仿宋"/>
          <w:sz w:val="24"/>
          <w:highlight w:val="none"/>
        </w:rPr>
        <w:t>23.3.4 如出现下述情形之一的，视为供应商主动退出磋商，其响应将被拒绝：</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（1）供应商未按要求确认磋商小组确定的本项目最终技术需求的；</w:t>
      </w:r>
    </w:p>
    <w:p>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（2）最后报价未实质性响应磋商小组确定的本项目最终技术需求的，或附有采购人无法接受的条件的。</w:t>
      </w:r>
    </w:p>
    <w:p>
      <w:pPr>
        <w:pStyle w:val="22"/>
        <w:rPr>
          <w:rFonts w:hint="eastAsia" w:ascii="仿宋" w:hAnsi="仿宋" w:eastAsia="仿宋" w:cs="仿宋"/>
          <w:b/>
          <w:sz w:val="24"/>
          <w:szCs w:val="21"/>
          <w:highlight w:val="none"/>
        </w:rPr>
      </w:pPr>
      <w:r>
        <w:rPr>
          <w:rFonts w:hint="eastAsia" w:ascii="仿宋" w:hAnsi="仿宋" w:eastAsia="仿宋" w:cs="仿宋"/>
          <w:b/>
          <w:sz w:val="24"/>
          <w:szCs w:val="21"/>
          <w:highlight w:val="none"/>
        </w:rPr>
        <w:t>23.4   最后报价</w:t>
      </w:r>
    </w:p>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23.4.1 磋商结束后，磋商小组要求所有实质性响应的供应商在规定时间内提交最后报价，提交最后报价的供应商不少于3家。最后报价是供应商响应文件的有效组成部分。</w:t>
      </w:r>
    </w:p>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5"/>
        <w:rPr>
          <w:rFonts w:hint="eastAsia" w:ascii="仿宋" w:hAnsi="仿宋" w:eastAsia="仿宋" w:cs="仿宋"/>
          <w:b/>
          <w:bCs/>
          <w:sz w:val="24"/>
          <w:szCs w:val="21"/>
          <w:highlight w:val="none"/>
        </w:rPr>
      </w:pPr>
      <w:bookmarkStart w:id="323" w:name="_Ref467307010"/>
      <w:bookmarkStart w:id="324" w:name="_Toc150774751"/>
      <w:bookmarkStart w:id="325" w:name="_Toc127151747"/>
      <w:bookmarkStart w:id="326" w:name="_Toc164608815"/>
      <w:bookmarkStart w:id="327" w:name="_Toc151193788"/>
      <w:bookmarkStart w:id="328" w:name="_Toc127161460"/>
      <w:bookmarkStart w:id="329" w:name="_Toc151193716"/>
      <w:bookmarkStart w:id="330" w:name="_Toc520356170"/>
      <w:bookmarkStart w:id="331" w:name="_Toc150509297"/>
      <w:bookmarkStart w:id="332" w:name="_Toc127151546"/>
      <w:bookmarkStart w:id="333" w:name="_Toc249515310"/>
      <w:bookmarkStart w:id="334" w:name="_Toc150480784"/>
      <w:bookmarkStart w:id="335" w:name="_Toc164608660"/>
      <w:bookmarkStart w:id="336" w:name="_Toc150774646"/>
      <w:bookmarkStart w:id="337" w:name="_Toc164351640"/>
      <w:bookmarkStart w:id="338" w:name="_Toc249515422"/>
      <w:bookmarkStart w:id="339" w:name="_Toc164229241"/>
      <w:bookmarkStart w:id="340" w:name="_Toc142311048"/>
      <w:bookmarkStart w:id="341" w:name="_Toc151193860"/>
      <w:bookmarkStart w:id="342" w:name="_Toc249525191"/>
      <w:bookmarkStart w:id="343" w:name="_Toc164229387"/>
      <w:bookmarkStart w:id="344" w:name="_Toc151190173"/>
      <w:bookmarkStart w:id="345" w:name="_Toc149720839"/>
      <w:bookmarkStart w:id="346" w:name="_Toc151193934"/>
      <w:bookmarkStart w:id="347" w:name="_Toc195842911"/>
      <w:bookmarkStart w:id="348" w:name="_Toc151193644"/>
      <w:bookmarkStart w:id="349" w:name="_Toc13753"/>
      <w:r>
        <w:rPr>
          <w:rFonts w:hint="eastAsia" w:ascii="仿宋" w:hAnsi="仿宋" w:eastAsia="仿宋" w:cs="仿宋"/>
          <w:b/>
          <w:bCs/>
          <w:sz w:val="24"/>
          <w:szCs w:val="21"/>
          <w:highlight w:val="none"/>
        </w:rPr>
        <w:t xml:space="preserve">24.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仿宋" w:hAnsi="仿宋" w:eastAsia="仿宋" w:cs="仿宋"/>
          <w:b/>
          <w:bCs/>
          <w:sz w:val="24"/>
          <w:szCs w:val="21"/>
          <w:highlight w:val="none"/>
        </w:rPr>
        <w:t>评审办法及落实政府采购政策，详见第三章。</w:t>
      </w:r>
    </w:p>
    <w:p>
      <w:pPr>
        <w:rPr>
          <w:rFonts w:hint="eastAsia" w:ascii="仿宋" w:hAnsi="仿宋" w:eastAsia="仿宋" w:cs="仿宋"/>
          <w:highlight w:val="none"/>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80"/>
        <w:spacing w:before="24" w:after="24"/>
        <w:jc w:val="center"/>
        <w:rPr>
          <w:rFonts w:hint="eastAsia" w:ascii="仿宋" w:hAnsi="仿宋" w:eastAsia="仿宋" w:cs="仿宋"/>
          <w:sz w:val="30"/>
          <w:szCs w:val="30"/>
          <w:highlight w:val="none"/>
        </w:rPr>
      </w:pPr>
      <w:bookmarkStart w:id="350" w:name="_Hlt491765714"/>
      <w:bookmarkEnd w:id="350"/>
      <w:bookmarkStart w:id="351" w:name="_Hlt497729446"/>
      <w:bookmarkEnd w:id="351"/>
      <w:bookmarkStart w:id="352" w:name="_Toc256342149"/>
      <w:bookmarkStart w:id="353" w:name="_Toc7991"/>
      <w:bookmarkStart w:id="354" w:name="_Toc249515311"/>
      <w:bookmarkStart w:id="355" w:name="_Toc232395218"/>
      <w:bookmarkStart w:id="356" w:name="_Toc232176278"/>
      <w:bookmarkStart w:id="357" w:name="_Toc249525192"/>
      <w:bookmarkStart w:id="358" w:name="_Toc249515423"/>
      <w:bookmarkStart w:id="359" w:name="_Toc500747195"/>
      <w:bookmarkStart w:id="360" w:name="_Toc389620199"/>
      <w:bookmarkStart w:id="361" w:name="_Toc184043047"/>
      <w:bookmarkStart w:id="362" w:name="_Toc500747068"/>
      <w:bookmarkStart w:id="363" w:name="_Toc177817340"/>
      <w:bookmarkStart w:id="364" w:name="_Toc492955421"/>
      <w:bookmarkStart w:id="365" w:name="_Toc499711049"/>
      <w:bookmarkStart w:id="366" w:name="_Toc385992360"/>
      <w:bookmarkStart w:id="367" w:name="_Toc176882548"/>
      <w:bookmarkStart w:id="368" w:name="_Toc496324585"/>
      <w:bookmarkStart w:id="369" w:name="_Toc177189241"/>
      <w:bookmarkStart w:id="370" w:name="_Toc53722846"/>
      <w:bookmarkStart w:id="371" w:name="_Toc503063428"/>
      <w:bookmarkStart w:id="372" w:name="_Toc499711890"/>
      <w:bookmarkStart w:id="373" w:name="_Toc500746972"/>
      <w:bookmarkStart w:id="374" w:name="_Toc70687174"/>
      <w:bookmarkStart w:id="375" w:name="_Toc177995479"/>
      <w:r>
        <w:rPr>
          <w:rFonts w:hint="eastAsia" w:ascii="仿宋" w:hAnsi="仿宋" w:eastAsia="仿宋" w:cs="仿宋"/>
          <w:sz w:val="30"/>
          <w:szCs w:val="30"/>
          <w:highlight w:val="none"/>
        </w:rPr>
        <w:t>六、确定成交单位、授予合同</w:t>
      </w:r>
      <w:bookmarkEnd w:id="352"/>
      <w:bookmarkEnd w:id="353"/>
      <w:bookmarkEnd w:id="354"/>
      <w:bookmarkEnd w:id="355"/>
      <w:bookmarkEnd w:id="356"/>
      <w:bookmarkEnd w:id="357"/>
      <w:bookmarkEnd w:id="358"/>
    </w:p>
    <w:p>
      <w:pPr>
        <w:rPr>
          <w:rFonts w:hint="eastAsia" w:ascii="仿宋" w:hAnsi="仿宋" w:eastAsia="仿宋" w:cs="仿宋"/>
          <w:highlight w:val="none"/>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5"/>
        <w:numPr>
          <w:ilvl w:val="0"/>
          <w:numId w:val="9"/>
        </w:numPr>
        <w:rPr>
          <w:rFonts w:hint="eastAsia" w:ascii="仿宋" w:hAnsi="仿宋" w:eastAsia="仿宋" w:cs="仿宋"/>
          <w:b/>
          <w:bCs/>
          <w:sz w:val="24"/>
          <w:szCs w:val="21"/>
          <w:highlight w:val="none"/>
        </w:rPr>
      </w:pPr>
      <w:bookmarkStart w:id="376" w:name="_Toc249525193"/>
      <w:bookmarkStart w:id="377" w:name="_Toc385992361"/>
      <w:bookmarkStart w:id="378" w:name="_Toc70687175"/>
      <w:bookmarkStart w:id="379" w:name="_Toc184043048"/>
      <w:bookmarkStart w:id="380" w:name="_Toc249515424"/>
      <w:bookmarkStart w:id="381" w:name="_Toc389620200"/>
      <w:bookmarkStart w:id="382" w:name="_Toc27151"/>
      <w:bookmarkStart w:id="383" w:name="_Toc249515312"/>
      <w:r>
        <w:rPr>
          <w:rFonts w:hint="eastAsia" w:ascii="仿宋" w:hAnsi="仿宋" w:eastAsia="仿宋" w:cs="仿宋"/>
          <w:b/>
          <w:bCs/>
          <w:sz w:val="24"/>
          <w:szCs w:val="21"/>
          <w:highlight w:val="none"/>
        </w:rPr>
        <w:t xml:space="preserve">   确定成交</w:t>
      </w:r>
      <w:bookmarkEnd w:id="376"/>
      <w:bookmarkEnd w:id="377"/>
      <w:bookmarkEnd w:id="378"/>
      <w:bookmarkEnd w:id="379"/>
      <w:bookmarkEnd w:id="380"/>
      <w:bookmarkEnd w:id="381"/>
      <w:bookmarkEnd w:id="382"/>
      <w:bookmarkEnd w:id="383"/>
      <w:r>
        <w:rPr>
          <w:rFonts w:hint="eastAsia" w:ascii="仿宋" w:hAnsi="仿宋" w:eastAsia="仿宋" w:cs="仿宋"/>
          <w:b/>
          <w:bCs/>
          <w:sz w:val="24"/>
          <w:szCs w:val="21"/>
          <w:highlight w:val="none"/>
        </w:rPr>
        <w:t>单位</w:t>
      </w:r>
    </w:p>
    <w:p>
      <w:pPr>
        <w:tabs>
          <w:tab w:val="left" w:pos="588"/>
        </w:tabs>
        <w:spacing w:line="360" w:lineRule="auto"/>
        <w:rPr>
          <w:rFonts w:hint="eastAsia" w:ascii="仿宋" w:hAnsi="仿宋" w:eastAsia="仿宋" w:cs="仿宋"/>
          <w:sz w:val="24"/>
          <w:highlight w:val="none"/>
        </w:rPr>
      </w:pPr>
      <w:bookmarkStart w:id="384" w:name="_Toc389620204"/>
      <w:bookmarkStart w:id="385" w:name="_Toc385992365"/>
      <w:r>
        <w:rPr>
          <w:rFonts w:hint="eastAsia" w:ascii="仿宋" w:hAnsi="仿宋" w:eastAsia="仿宋" w:cs="仿宋"/>
          <w:sz w:val="24"/>
          <w:highlight w:val="none"/>
        </w:rPr>
        <w:t>25.1   采购代理机构应在评审结束后两个工作日内，将评审报告送采购人。</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25.3   采购代理机构在接到采购人的成交复函后，发布公告，公告期限为一个工作日，并向成交供应商发出成交通知书。成交通知书是合同文件的组成部分。</w:t>
      </w:r>
    </w:p>
    <w:p>
      <w:pPr>
        <w:pStyle w:val="5"/>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26.    合同</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pStyle w:val="5"/>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27.    询问与质疑 </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27.1   供应商对政府采购活动事项有疑问的，可以向采购人提出询问。</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27.3   质疑供应商在法定质疑期内须一次性提出针对同一采购程序环节的质疑。</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27.4   供应商提出质疑应当提交质疑函和必要的证明材料。质疑函应当包括下列内容：</w:t>
      </w:r>
    </w:p>
    <w:p>
      <w:pPr>
        <w:pStyle w:val="70"/>
        <w:numPr>
          <w:ilvl w:val="0"/>
          <w:numId w:val="10"/>
        </w:numPr>
        <w:tabs>
          <w:tab w:val="left" w:pos="588"/>
        </w:tabs>
        <w:spacing w:line="360" w:lineRule="auto"/>
        <w:ind w:left="846" w:hanging="6" w:firstLineChars="0"/>
        <w:jc w:val="left"/>
        <w:rPr>
          <w:rFonts w:hint="eastAsia"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pPr>
        <w:pStyle w:val="70"/>
        <w:numPr>
          <w:ilvl w:val="0"/>
          <w:numId w:val="10"/>
        </w:numPr>
        <w:tabs>
          <w:tab w:val="left" w:pos="588"/>
        </w:tabs>
        <w:spacing w:line="360" w:lineRule="auto"/>
        <w:ind w:left="846" w:hanging="6" w:firstLineChars="0"/>
        <w:jc w:val="left"/>
        <w:rPr>
          <w:rFonts w:hint="eastAsia" w:ascii="仿宋" w:hAnsi="仿宋" w:eastAsia="仿宋" w:cs="仿宋"/>
          <w:sz w:val="24"/>
          <w:highlight w:val="none"/>
        </w:rPr>
      </w:pPr>
      <w:r>
        <w:rPr>
          <w:rFonts w:hint="eastAsia" w:ascii="仿宋" w:hAnsi="仿宋" w:eastAsia="仿宋" w:cs="仿宋"/>
          <w:sz w:val="24"/>
          <w:highlight w:val="none"/>
        </w:rPr>
        <w:t>质疑项目的名称、编号；</w:t>
      </w:r>
    </w:p>
    <w:p>
      <w:pPr>
        <w:pStyle w:val="70"/>
        <w:numPr>
          <w:ilvl w:val="0"/>
          <w:numId w:val="10"/>
        </w:numPr>
        <w:tabs>
          <w:tab w:val="left" w:pos="588"/>
        </w:tabs>
        <w:spacing w:line="360" w:lineRule="auto"/>
        <w:ind w:left="846" w:hanging="6" w:firstLineChars="0"/>
        <w:jc w:val="left"/>
        <w:rPr>
          <w:rFonts w:hint="eastAsia"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pPr>
        <w:pStyle w:val="70"/>
        <w:numPr>
          <w:ilvl w:val="0"/>
          <w:numId w:val="10"/>
        </w:numPr>
        <w:tabs>
          <w:tab w:val="left" w:pos="588"/>
        </w:tabs>
        <w:spacing w:line="360" w:lineRule="auto"/>
        <w:ind w:left="846" w:hanging="6" w:firstLineChars="0"/>
        <w:jc w:val="left"/>
        <w:rPr>
          <w:rFonts w:hint="eastAsia" w:ascii="仿宋" w:hAnsi="仿宋" w:eastAsia="仿宋" w:cs="仿宋"/>
          <w:sz w:val="24"/>
          <w:highlight w:val="none"/>
        </w:rPr>
      </w:pPr>
      <w:r>
        <w:rPr>
          <w:rFonts w:hint="eastAsia" w:ascii="仿宋" w:hAnsi="仿宋" w:eastAsia="仿宋" w:cs="仿宋"/>
          <w:sz w:val="24"/>
          <w:highlight w:val="none"/>
        </w:rPr>
        <w:t>事实依据；</w:t>
      </w:r>
    </w:p>
    <w:p>
      <w:pPr>
        <w:pStyle w:val="70"/>
        <w:numPr>
          <w:ilvl w:val="0"/>
          <w:numId w:val="10"/>
        </w:numPr>
        <w:tabs>
          <w:tab w:val="left" w:pos="588"/>
        </w:tabs>
        <w:spacing w:line="360" w:lineRule="auto"/>
        <w:ind w:left="846" w:hanging="6" w:firstLineChars="0"/>
        <w:jc w:val="left"/>
        <w:rPr>
          <w:rFonts w:hint="eastAsia" w:ascii="仿宋" w:hAnsi="仿宋" w:eastAsia="仿宋" w:cs="仿宋"/>
          <w:sz w:val="24"/>
          <w:highlight w:val="none"/>
        </w:rPr>
      </w:pPr>
      <w:r>
        <w:rPr>
          <w:rFonts w:hint="eastAsia" w:ascii="仿宋" w:hAnsi="仿宋" w:eastAsia="仿宋" w:cs="仿宋"/>
          <w:sz w:val="24"/>
          <w:highlight w:val="none"/>
        </w:rPr>
        <w:t>必要的法律依据；</w:t>
      </w:r>
    </w:p>
    <w:p>
      <w:pPr>
        <w:pStyle w:val="70"/>
        <w:numPr>
          <w:ilvl w:val="0"/>
          <w:numId w:val="10"/>
        </w:numPr>
        <w:tabs>
          <w:tab w:val="left" w:pos="588"/>
        </w:tabs>
        <w:spacing w:line="360" w:lineRule="auto"/>
        <w:ind w:left="846" w:hanging="6" w:firstLineChars="0"/>
        <w:jc w:val="left"/>
        <w:rPr>
          <w:rFonts w:hint="eastAsia" w:ascii="仿宋" w:hAnsi="仿宋" w:eastAsia="仿宋" w:cs="仿宋"/>
          <w:sz w:val="24"/>
          <w:highlight w:val="none"/>
        </w:rPr>
      </w:pPr>
      <w:r>
        <w:rPr>
          <w:rFonts w:hint="eastAsia" w:ascii="仿宋" w:hAnsi="仿宋" w:eastAsia="仿宋" w:cs="仿宋"/>
          <w:sz w:val="24"/>
          <w:highlight w:val="none"/>
        </w:rPr>
        <w:t>提出质疑的日期。</w:t>
      </w:r>
    </w:p>
    <w:p>
      <w:pPr>
        <w:pStyle w:val="70"/>
        <w:tabs>
          <w:tab w:val="left" w:pos="588"/>
        </w:tabs>
        <w:spacing w:line="360" w:lineRule="auto"/>
        <w:ind w:left="838" w:leftChars="399" w:firstLine="0" w:firstLineChars="0"/>
        <w:rPr>
          <w:rFonts w:hint="eastAsia" w:ascii="仿宋" w:hAnsi="仿宋" w:eastAsia="仿宋" w:cs="仿宋"/>
          <w:sz w:val="24"/>
          <w:highlight w:val="none"/>
        </w:rPr>
      </w:pPr>
      <w:r>
        <w:rPr>
          <w:rFonts w:hint="eastAsia" w:ascii="仿宋" w:hAnsi="仿宋" w:eastAsia="仿宋" w:cs="仿宋"/>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eastAsia" w:ascii="仿宋" w:hAnsi="仿宋" w:eastAsia="仿宋" w:cs="仿宋"/>
          <w:sz w:val="24"/>
          <w:highlight w:val="none"/>
        </w:rPr>
      </w:pPr>
      <w:r>
        <w:rPr>
          <w:rFonts w:hint="eastAsia" w:ascii="仿宋" w:hAnsi="仿宋" w:eastAsia="仿宋" w:cs="仿宋"/>
          <w:sz w:val="24"/>
          <w:highlight w:val="none"/>
        </w:rPr>
        <w:t>27.5   符合要求的质疑，采购代理机构将予以受理并答复。</w:t>
      </w:r>
    </w:p>
    <w:p>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联系人：宋培嘉，联系电话：029-88852300</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27.6   供应商进行虚假和恶意质疑的，采购代理机构将提供相关资料报监督机构，按其情况进行相应处理。</w:t>
      </w:r>
    </w:p>
    <w:bookmarkEnd w:id="384"/>
    <w:bookmarkEnd w:id="385"/>
    <w:p>
      <w:pPr>
        <w:pStyle w:val="5"/>
        <w:rPr>
          <w:rFonts w:hint="eastAsia" w:ascii="仿宋" w:hAnsi="仿宋" w:eastAsia="仿宋" w:cs="仿宋"/>
          <w:b/>
          <w:bCs/>
          <w:sz w:val="24"/>
          <w:szCs w:val="21"/>
          <w:highlight w:val="none"/>
        </w:rPr>
      </w:pPr>
      <w:bookmarkStart w:id="386" w:name="_Toc25547"/>
      <w:r>
        <w:rPr>
          <w:rFonts w:hint="eastAsia" w:ascii="仿宋" w:hAnsi="仿宋" w:eastAsia="仿宋" w:cs="仿宋"/>
          <w:b/>
          <w:bCs/>
          <w:sz w:val="24"/>
          <w:szCs w:val="21"/>
          <w:highlight w:val="none"/>
        </w:rPr>
        <w:t>28.    履约保证金</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28.1   履约保证金金额见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28.2   履约保证金缴纳时间：合同签订前必须交纳至（采购人）。</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28.3   履约保证金缴纳形式：成交供应商应当以支票、汇票、本票、保函（格式见附件2）等非现金形式缴纳。</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28.4   履约保证金收取单位名称：</w:t>
      </w:r>
    </w:p>
    <w:p>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开户银行：</w:t>
      </w:r>
    </w:p>
    <w:p>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账号：</w:t>
      </w:r>
    </w:p>
    <w:p>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联系人：               联系电话：</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28.5   履约保证金退还的方式、时间、条件：*****</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28.6   履约保证金不予退还的情况：****</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28.7   逾期退还履约保证金的违约责任：****</w:t>
      </w:r>
    </w:p>
    <w:p>
      <w:pPr>
        <w:pStyle w:val="5"/>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29.    成交服务费</w:t>
      </w:r>
      <w:bookmarkEnd w:id="386"/>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29.1   成交供应商在领取成交通知书前，须向采购代理机构支付成交服务费，服务费由采购人与采购代理机构约定：</w:t>
      </w:r>
    </w:p>
    <w:p>
      <w:pPr>
        <w:snapToGrid w:val="0"/>
        <w:spacing w:line="360" w:lineRule="auto"/>
        <w:ind w:left="840" w:leftChars="400"/>
        <w:rPr>
          <w:rFonts w:hint="eastAsia" w:ascii="仿宋" w:hAnsi="仿宋" w:eastAsia="仿宋" w:cs="仿宋"/>
          <w:i/>
          <w:sz w:val="24"/>
          <w:highlight w:val="none"/>
        </w:rPr>
      </w:pPr>
      <w:r>
        <w:rPr>
          <w:rFonts w:hint="eastAsia" w:ascii="仿宋" w:hAnsi="仿宋" w:eastAsia="仿宋" w:cs="仿宋"/>
          <w:sz w:val="24"/>
          <w:highlight w:val="none"/>
        </w:rPr>
        <w:t>参照原国家计委计价格【2002】1980号文和国家发改委发改办价格【2003】857号文的计算方法收取，</w:t>
      </w:r>
      <w:r>
        <w:rPr>
          <w:rFonts w:hint="eastAsia" w:ascii="仿宋" w:hAnsi="仿宋" w:eastAsia="仿宋" w:cs="仿宋"/>
          <w:sz w:val="24"/>
          <w:highlight w:val="none"/>
          <w:lang w:val="en-US" w:eastAsia="zh-CN"/>
        </w:rPr>
        <w:t>不足8000元则按8000元收取。</w:t>
      </w:r>
      <w:r>
        <w:rPr>
          <w:rFonts w:hint="eastAsia" w:ascii="仿宋" w:hAnsi="仿宋" w:eastAsia="仿宋" w:cs="仿宋"/>
          <w:sz w:val="24"/>
          <w:highlight w:val="none"/>
        </w:rPr>
        <w:t>由成交人在领取成交通知书前向招标代理机构一次性支付。</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29.2   成交单位的代理服务费交纳信息</w:t>
      </w:r>
    </w:p>
    <w:p>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银行户名：陕西星火工程管理有限公司</w:t>
      </w:r>
    </w:p>
    <w:p>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开户银行：中国银行股份有限公司西安逸翠园支行</w:t>
      </w:r>
    </w:p>
    <w:p>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账    号：102490819083</w:t>
      </w:r>
    </w:p>
    <w:p>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联系人：王晨琳   联系电话：029-88852300</w:t>
      </w:r>
    </w:p>
    <w:p>
      <w:pPr>
        <w:pStyle w:val="5"/>
        <w:numPr>
          <w:ilvl w:val="0"/>
          <w:numId w:val="11"/>
        </w:numPr>
        <w:rPr>
          <w:rFonts w:hint="eastAsia" w:ascii="仿宋" w:hAnsi="仿宋" w:eastAsia="仿宋" w:cs="仿宋"/>
          <w:b/>
          <w:bCs/>
          <w:sz w:val="24"/>
          <w:szCs w:val="21"/>
          <w:highlight w:val="none"/>
        </w:rPr>
      </w:pPr>
      <w:bookmarkStart w:id="387" w:name="_Toc1585"/>
      <w:r>
        <w:rPr>
          <w:rFonts w:hint="eastAsia" w:ascii="仿宋" w:hAnsi="仿宋" w:eastAsia="仿宋" w:cs="仿宋"/>
          <w:b/>
          <w:bCs/>
          <w:sz w:val="24"/>
          <w:szCs w:val="21"/>
          <w:highlight w:val="none"/>
        </w:rPr>
        <w:t xml:space="preserve">  采购人追加采购数量的权力</w:t>
      </w:r>
      <w:bookmarkEnd w:id="387"/>
    </w:p>
    <w:p>
      <w:pPr>
        <w:tabs>
          <w:tab w:val="left" w:pos="588"/>
        </w:tabs>
        <w:spacing w:line="360" w:lineRule="auto"/>
        <w:ind w:left="840" w:leftChars="400"/>
        <w:rPr>
          <w:rFonts w:hint="eastAsia" w:ascii="仿宋" w:hAnsi="仿宋" w:eastAsia="仿宋" w:cs="仿宋"/>
          <w:sz w:val="24"/>
          <w:highlight w:val="none"/>
        </w:rPr>
      </w:pPr>
      <w:bookmarkStart w:id="388" w:name="_Toc389620205"/>
      <w:bookmarkStart w:id="389" w:name="_Toc385992366"/>
      <w:r>
        <w:rPr>
          <w:rFonts w:hint="eastAsia" w:ascii="仿宋" w:hAnsi="仿宋" w:eastAsia="仿宋" w:cs="仿宋"/>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bookmarkEnd w:id="388"/>
    <w:bookmarkEnd w:id="389"/>
    <w:p>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br w:type="page"/>
      </w:r>
    </w:p>
    <w:bookmarkEnd w:id="87"/>
    <w:bookmarkEnd w:id="88"/>
    <w:bookmarkEnd w:id="89"/>
    <w:bookmarkEnd w:id="90"/>
    <w:p>
      <w:pPr>
        <w:pStyle w:val="47"/>
        <w:spacing w:line="360" w:lineRule="auto"/>
        <w:rPr>
          <w:rStyle w:val="206"/>
          <w:rFonts w:hint="eastAsia" w:ascii="仿宋" w:hAnsi="仿宋" w:eastAsia="仿宋" w:cs="仿宋"/>
          <w:sz w:val="36"/>
          <w:szCs w:val="36"/>
          <w:highlight w:val="none"/>
        </w:rPr>
      </w:pPr>
      <w:bookmarkStart w:id="390" w:name="_Toc29885"/>
      <w:bookmarkStart w:id="391" w:name="_Toc17469"/>
      <w:bookmarkStart w:id="392" w:name="_Toc58504447"/>
      <w:r>
        <w:rPr>
          <w:rStyle w:val="206"/>
          <w:rFonts w:hint="eastAsia" w:ascii="仿宋" w:hAnsi="仿宋" w:eastAsia="仿宋" w:cs="仿宋"/>
          <w:sz w:val="36"/>
          <w:szCs w:val="36"/>
          <w:highlight w:val="none"/>
        </w:rPr>
        <w:t>第三章  评审办法和标准</w:t>
      </w:r>
      <w:bookmarkEnd w:id="390"/>
    </w:p>
    <w:p>
      <w:pPr>
        <w:tabs>
          <w:tab w:val="left" w:pos="360"/>
          <w:tab w:val="left" w:pos="588"/>
        </w:tabs>
        <w:spacing w:line="360" w:lineRule="auto"/>
        <w:ind w:left="840"/>
        <w:rPr>
          <w:rFonts w:hint="eastAsia" w:ascii="仿宋" w:hAnsi="仿宋" w:eastAsia="仿宋" w:cs="仿宋"/>
          <w:sz w:val="24"/>
          <w:highlight w:val="none"/>
        </w:rPr>
      </w:pPr>
    </w:p>
    <w:p>
      <w:pPr>
        <w:pStyle w:val="80"/>
        <w:spacing w:before="24" w:after="24"/>
        <w:rPr>
          <w:rFonts w:hint="eastAsia" w:ascii="仿宋" w:hAnsi="仿宋" w:eastAsia="仿宋" w:cs="仿宋"/>
          <w:sz w:val="28"/>
          <w:szCs w:val="28"/>
          <w:highlight w:val="none"/>
        </w:rPr>
      </w:pPr>
      <w:bookmarkStart w:id="393" w:name="_Toc7005040"/>
      <w:bookmarkStart w:id="394" w:name="_Toc4748"/>
      <w:r>
        <w:rPr>
          <w:rFonts w:hint="eastAsia" w:ascii="仿宋" w:hAnsi="仿宋" w:eastAsia="仿宋" w:cs="仿宋"/>
          <w:sz w:val="28"/>
          <w:szCs w:val="28"/>
          <w:highlight w:val="none"/>
        </w:rPr>
        <w:t>1.评审方法</w:t>
      </w:r>
      <w:bookmarkEnd w:id="393"/>
      <w:bookmarkEnd w:id="394"/>
    </w:p>
    <w:p>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0"/>
        <w:spacing w:before="24" w:after="24"/>
        <w:rPr>
          <w:rFonts w:hint="eastAsia" w:ascii="仿宋" w:hAnsi="仿宋" w:eastAsia="仿宋" w:cs="仿宋"/>
          <w:sz w:val="28"/>
          <w:szCs w:val="28"/>
          <w:highlight w:val="none"/>
        </w:rPr>
      </w:pPr>
      <w:bookmarkStart w:id="395" w:name="_Toc7005041"/>
      <w:bookmarkStart w:id="396" w:name="_Toc9386"/>
      <w:r>
        <w:rPr>
          <w:rFonts w:hint="eastAsia" w:ascii="仿宋" w:hAnsi="仿宋" w:eastAsia="仿宋" w:cs="仿宋"/>
          <w:sz w:val="28"/>
          <w:szCs w:val="28"/>
          <w:highlight w:val="none"/>
        </w:rPr>
        <w:t>2.评审标准</w:t>
      </w:r>
      <w:bookmarkEnd w:id="395"/>
      <w:bookmarkEnd w:id="396"/>
    </w:p>
    <w:p>
      <w:pPr>
        <w:pStyle w:val="22"/>
        <w:rPr>
          <w:rFonts w:hint="eastAsia" w:ascii="仿宋" w:hAnsi="仿宋" w:eastAsia="仿宋" w:cs="仿宋"/>
          <w:sz w:val="24"/>
          <w:highlight w:val="none"/>
        </w:rPr>
      </w:pPr>
      <w:r>
        <w:rPr>
          <w:rFonts w:hint="eastAsia" w:ascii="仿宋" w:hAnsi="仿宋" w:eastAsia="仿宋" w:cs="仿宋"/>
          <w:sz w:val="24"/>
          <w:highlight w:val="none"/>
        </w:rPr>
        <w:t>2.1 资格审查和符合性评审标准：见附表一和附表二。</w:t>
      </w:r>
    </w:p>
    <w:p>
      <w:pPr>
        <w:pStyle w:val="22"/>
        <w:rPr>
          <w:rFonts w:hint="eastAsia" w:ascii="仿宋" w:hAnsi="仿宋" w:eastAsia="仿宋" w:cs="仿宋"/>
          <w:sz w:val="24"/>
          <w:highlight w:val="none"/>
        </w:rPr>
      </w:pPr>
      <w:r>
        <w:rPr>
          <w:rFonts w:hint="eastAsia" w:ascii="仿宋" w:hAnsi="仿宋" w:eastAsia="仿宋" w:cs="仿宋"/>
          <w:sz w:val="24"/>
          <w:highlight w:val="none"/>
        </w:rPr>
        <w:t>2.2 分值构成：总分100分。</w:t>
      </w:r>
    </w:p>
    <w:p>
      <w:pPr>
        <w:pStyle w:val="22"/>
        <w:rPr>
          <w:rFonts w:hint="eastAsia" w:ascii="仿宋" w:hAnsi="仿宋" w:eastAsia="仿宋" w:cs="仿宋"/>
          <w:sz w:val="24"/>
          <w:highlight w:val="none"/>
        </w:rPr>
      </w:pPr>
      <w:bookmarkStart w:id="397" w:name="_Ref426362114"/>
      <w:r>
        <w:rPr>
          <w:rFonts w:hint="eastAsia" w:ascii="仿宋" w:hAnsi="仿宋" w:eastAsia="仿宋" w:cs="仿宋"/>
          <w:sz w:val="24"/>
          <w:highlight w:val="none"/>
        </w:rPr>
        <w:t>2.3 商务和技术评审标准</w:t>
      </w:r>
      <w:bookmarkEnd w:id="397"/>
    </w:p>
    <w:p>
      <w:pPr>
        <w:pStyle w:val="22"/>
        <w:rPr>
          <w:rFonts w:hint="eastAsia" w:ascii="仿宋" w:hAnsi="仿宋" w:eastAsia="仿宋" w:cs="仿宋"/>
          <w:sz w:val="24"/>
          <w:highlight w:val="none"/>
        </w:rPr>
      </w:pPr>
      <w:bookmarkStart w:id="398" w:name="_Ref426362140"/>
      <w:r>
        <w:rPr>
          <w:rFonts w:hint="eastAsia" w:ascii="仿宋" w:hAnsi="仿宋" w:eastAsia="仿宋" w:cs="仿宋"/>
          <w:sz w:val="24"/>
          <w:highlight w:val="none"/>
        </w:rPr>
        <w:t>2.3.1商务部分评分标准：见附表</w:t>
      </w:r>
      <w:bookmarkEnd w:id="398"/>
      <w:r>
        <w:rPr>
          <w:rFonts w:hint="eastAsia" w:ascii="仿宋" w:hAnsi="仿宋" w:eastAsia="仿宋" w:cs="仿宋"/>
          <w:sz w:val="24"/>
          <w:highlight w:val="none"/>
        </w:rPr>
        <w:t>三</w:t>
      </w:r>
    </w:p>
    <w:p>
      <w:pPr>
        <w:pStyle w:val="22"/>
        <w:rPr>
          <w:rFonts w:hint="eastAsia" w:ascii="仿宋" w:hAnsi="仿宋" w:eastAsia="仿宋" w:cs="仿宋"/>
          <w:sz w:val="24"/>
          <w:highlight w:val="none"/>
        </w:rPr>
      </w:pPr>
      <w:bookmarkStart w:id="399" w:name="_Ref426362158"/>
      <w:r>
        <w:rPr>
          <w:rFonts w:hint="eastAsia" w:ascii="仿宋" w:hAnsi="仿宋" w:eastAsia="仿宋" w:cs="仿宋"/>
          <w:sz w:val="24"/>
          <w:highlight w:val="none"/>
        </w:rPr>
        <w:t>2.3.2技术部分评分标准：见附表</w:t>
      </w:r>
      <w:bookmarkEnd w:id="399"/>
      <w:r>
        <w:rPr>
          <w:rFonts w:hint="eastAsia" w:ascii="仿宋" w:hAnsi="仿宋" w:eastAsia="仿宋" w:cs="仿宋"/>
          <w:sz w:val="24"/>
          <w:highlight w:val="none"/>
        </w:rPr>
        <w:t>四</w:t>
      </w:r>
    </w:p>
    <w:p>
      <w:pPr>
        <w:pStyle w:val="22"/>
        <w:rPr>
          <w:rFonts w:hint="eastAsia" w:ascii="仿宋" w:hAnsi="仿宋" w:eastAsia="仿宋" w:cs="仿宋"/>
          <w:sz w:val="24"/>
          <w:highlight w:val="none"/>
        </w:rPr>
      </w:pPr>
      <w:bookmarkStart w:id="400" w:name="_Ref426362176"/>
      <w:r>
        <w:rPr>
          <w:rFonts w:hint="eastAsia" w:ascii="仿宋" w:hAnsi="仿宋" w:eastAsia="仿宋" w:cs="仿宋"/>
          <w:sz w:val="24"/>
          <w:highlight w:val="none"/>
        </w:rPr>
        <w:t>2.3.3报价评分标准：</w:t>
      </w:r>
      <w:bookmarkEnd w:id="400"/>
      <w:r>
        <w:rPr>
          <w:rFonts w:hint="eastAsia" w:ascii="仿宋" w:hAnsi="仿宋" w:eastAsia="仿宋" w:cs="仿宋"/>
          <w:sz w:val="24"/>
          <w:highlight w:val="none"/>
        </w:rPr>
        <w:t>见附表五</w:t>
      </w:r>
    </w:p>
    <w:p>
      <w:pPr>
        <w:pStyle w:val="22"/>
        <w:rPr>
          <w:rFonts w:hint="eastAsia" w:ascii="仿宋" w:hAnsi="仿宋" w:eastAsia="仿宋" w:cs="仿宋"/>
          <w:sz w:val="24"/>
          <w:highlight w:val="none"/>
        </w:rPr>
      </w:pPr>
      <w:r>
        <w:rPr>
          <w:rFonts w:hint="eastAsia" w:ascii="仿宋" w:hAnsi="仿宋" w:eastAsia="仿宋" w:cs="仿宋"/>
          <w:sz w:val="24"/>
          <w:highlight w:val="none"/>
        </w:rPr>
        <w:t>（1）根据《政府采购促进中小企业发展管理办法》（财库〔2020〕46号）、《财政部关于进一步加大政府采购支持中小企业力度的通知》（财库[2022]19号）调整供应商参与评审的价格。对小型和微型企业产品的价格给予10%（</w:t>
      </w:r>
      <w:r>
        <w:rPr>
          <w:rFonts w:hint="eastAsia" w:ascii="仿宋" w:hAnsi="仿宋" w:eastAsia="仿宋" w:cs="仿宋"/>
          <w:i/>
          <w:sz w:val="24"/>
          <w:highlight w:val="none"/>
        </w:rPr>
        <w:t>工程项目为3%</w:t>
      </w:r>
      <w:r>
        <w:rPr>
          <w:rFonts w:hint="eastAsia" w:ascii="仿宋" w:hAnsi="仿宋" w:eastAsia="仿宋" w:cs="仿宋"/>
          <w:sz w:val="24"/>
          <w:highlight w:val="none"/>
        </w:rPr>
        <w:t>）的扣除。如允许与小微企业组成联合体或向其分包的，且合同额占总金额30%以上的，给予4%（工程为1%）的扣除。</w:t>
      </w:r>
    </w:p>
    <w:p>
      <w:pPr>
        <w:pStyle w:val="22"/>
        <w:rPr>
          <w:rFonts w:hint="eastAsia" w:ascii="仿宋" w:hAnsi="仿宋" w:eastAsia="仿宋" w:cs="仿宋"/>
          <w:sz w:val="24"/>
          <w:highlight w:val="none"/>
        </w:rPr>
      </w:pPr>
      <w:r>
        <w:rPr>
          <w:rFonts w:hint="eastAsia" w:ascii="仿宋" w:hAnsi="仿宋" w:eastAsia="仿宋" w:cs="仿宋"/>
          <w:sz w:val="24"/>
          <w:highlight w:val="none"/>
        </w:rPr>
        <w:t>注：监狱企业、残疾人福利性单位视同小微企业；残疾人福利性单位属于小型、微型企业的，不重复享受政策。</w:t>
      </w:r>
    </w:p>
    <w:p>
      <w:pPr>
        <w:pStyle w:val="22"/>
        <w:rPr>
          <w:rFonts w:hint="eastAsia" w:ascii="仿宋" w:hAnsi="仿宋" w:eastAsia="仿宋" w:cs="仿宋"/>
          <w:highlight w:val="none"/>
        </w:rPr>
      </w:pPr>
      <w:r>
        <w:rPr>
          <w:rFonts w:hint="eastAsia" w:ascii="仿宋" w:hAnsi="仿宋" w:eastAsia="仿宋" w:cs="仿宋"/>
          <w:sz w:val="24"/>
          <w:highlight w:val="none"/>
        </w:rPr>
        <w:t>（2）本项目为专门面向中小企业采购、对中小企业参加磋商的不再进行价格扣除优惠。</w:t>
      </w:r>
    </w:p>
    <w:p>
      <w:pPr>
        <w:pStyle w:val="22"/>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）评审基准价。有效响应文件中的最后报价并按本款（1）和（2）进行调整的最低报价为评审基准价。</w:t>
      </w:r>
    </w:p>
    <w:p>
      <w:pPr>
        <w:pStyle w:val="22"/>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）供应商报价（按本款（1）和（2）进行调整后价格）得分=(评审基准价／最后报价)×价格权值。</w:t>
      </w:r>
    </w:p>
    <w:p>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2.3.4 响应文件出现下列情况之一者，磋商小组在评审过程中按以下原则修正：</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（1）大写金额与小写金额不一致的，以大写金额为准；</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（2）总价金额与按单价汇总金额不一致的，以单价金额计算结果为准；</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（3）单价金额小数点有明显错位的，应以总价为准，并修改单价；</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（4）对不同文字文本响应文件的解释发生异议的，以中文文本为准；</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（5）文字与图表不一致的，以文字为准；</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（6）正本与副本不一致的，以正本为准；</w:t>
      </w:r>
    </w:p>
    <w:p>
      <w:pPr>
        <w:tabs>
          <w:tab w:val="left" w:pos="588"/>
        </w:tabs>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（7）响应文件的文字叙述与制造厂商的产品样本/检测报告不符时，以产品样本/检测报告为准。</w:t>
      </w:r>
    </w:p>
    <w:p>
      <w:pPr>
        <w:pStyle w:val="80"/>
        <w:spacing w:before="24" w:after="24"/>
        <w:rPr>
          <w:rFonts w:hint="eastAsia" w:ascii="仿宋" w:hAnsi="仿宋" w:eastAsia="仿宋" w:cs="仿宋"/>
          <w:sz w:val="28"/>
          <w:szCs w:val="28"/>
          <w:highlight w:val="none"/>
        </w:rPr>
      </w:pPr>
      <w:bookmarkStart w:id="401" w:name="_Toc6048"/>
      <w:bookmarkStart w:id="402" w:name="_Toc7005042"/>
      <w:r>
        <w:rPr>
          <w:rFonts w:hint="eastAsia" w:ascii="仿宋" w:hAnsi="仿宋" w:eastAsia="仿宋" w:cs="仿宋"/>
          <w:sz w:val="28"/>
          <w:szCs w:val="28"/>
          <w:highlight w:val="none"/>
        </w:rPr>
        <w:t>3.评审程序</w:t>
      </w:r>
      <w:bookmarkEnd w:id="401"/>
      <w:bookmarkEnd w:id="402"/>
    </w:p>
    <w:p>
      <w:pPr>
        <w:pStyle w:val="22"/>
        <w:rPr>
          <w:rFonts w:hint="eastAsia" w:ascii="仿宋" w:hAnsi="仿宋" w:eastAsia="仿宋" w:cs="仿宋"/>
          <w:b/>
          <w:sz w:val="24"/>
          <w:highlight w:val="none"/>
        </w:rPr>
      </w:pPr>
      <w:bookmarkStart w:id="403" w:name="_Toc7005043"/>
      <w:r>
        <w:rPr>
          <w:rFonts w:hint="eastAsia" w:ascii="仿宋" w:hAnsi="仿宋" w:eastAsia="仿宋" w:cs="仿宋"/>
          <w:b/>
          <w:sz w:val="24"/>
          <w:highlight w:val="none"/>
        </w:rPr>
        <w:t>3.1资格审查及符合性审查</w:t>
      </w:r>
      <w:bookmarkEnd w:id="403"/>
    </w:p>
    <w:p>
      <w:pPr>
        <w:pStyle w:val="22"/>
        <w:rPr>
          <w:rFonts w:hint="eastAsia" w:ascii="仿宋" w:hAnsi="仿宋" w:eastAsia="仿宋" w:cs="仿宋"/>
          <w:sz w:val="24"/>
          <w:highlight w:val="none"/>
        </w:rPr>
      </w:pPr>
      <w:r>
        <w:rPr>
          <w:rFonts w:hint="eastAsia" w:ascii="仿宋" w:hAnsi="仿宋" w:eastAsia="仿宋" w:cs="仿宋"/>
          <w:sz w:val="24"/>
          <w:highlight w:val="none"/>
        </w:rPr>
        <w:t>3.1.1 采购人或采购代理机构按附表一所列审查标准对供应商资格进行审查，以确定供应商是否具备磋商资格。</w:t>
      </w:r>
    </w:p>
    <w:p>
      <w:pPr>
        <w:pStyle w:val="22"/>
        <w:rPr>
          <w:rFonts w:hint="eastAsia" w:ascii="仿宋" w:hAnsi="仿宋" w:eastAsia="仿宋" w:cs="仿宋"/>
          <w:sz w:val="24"/>
          <w:highlight w:val="none"/>
        </w:rPr>
      </w:pPr>
      <w:r>
        <w:rPr>
          <w:rFonts w:hint="eastAsia" w:ascii="仿宋" w:hAnsi="仿宋" w:eastAsia="仿宋" w:cs="仿宋"/>
          <w:sz w:val="24"/>
          <w:highlight w:val="none"/>
        </w:rPr>
        <w:t>3.1.2 磋商小组对符合资格要求的响应文件按附表二进行符合性审查，以确定其是否满足磋商文件的实质性要求（见本章内的符合性审查表）。</w:t>
      </w:r>
    </w:p>
    <w:p>
      <w:pPr>
        <w:pStyle w:val="22"/>
        <w:rPr>
          <w:rFonts w:hint="eastAsia" w:ascii="仿宋" w:hAnsi="仿宋" w:eastAsia="仿宋" w:cs="仿宋"/>
          <w:sz w:val="24"/>
          <w:highlight w:val="none"/>
        </w:rPr>
      </w:pPr>
      <w:r>
        <w:rPr>
          <w:rFonts w:hint="eastAsia" w:ascii="仿宋" w:hAnsi="仿宋" w:eastAsia="仿宋" w:cs="仿宋"/>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2"/>
        <w:rPr>
          <w:rFonts w:hint="eastAsia" w:ascii="仿宋" w:hAnsi="仿宋" w:eastAsia="仿宋" w:cs="仿宋"/>
          <w:sz w:val="24"/>
          <w:highlight w:val="none"/>
        </w:rPr>
      </w:pPr>
      <w:r>
        <w:rPr>
          <w:rFonts w:hint="eastAsia" w:ascii="仿宋" w:hAnsi="仿宋" w:eastAsia="仿宋" w:cs="仿宋"/>
          <w:sz w:val="24"/>
          <w:highlight w:val="none"/>
        </w:rPr>
        <w:t>磋商小组不接受供应商主动提出的澄清、说明或补正。</w:t>
      </w:r>
    </w:p>
    <w:p>
      <w:pPr>
        <w:pStyle w:val="22"/>
        <w:rPr>
          <w:rFonts w:hint="eastAsia" w:ascii="仿宋" w:hAnsi="仿宋" w:eastAsia="仿宋" w:cs="仿宋"/>
          <w:sz w:val="24"/>
          <w:highlight w:val="none"/>
        </w:rPr>
      </w:pPr>
      <w:r>
        <w:rPr>
          <w:rFonts w:hint="eastAsia" w:ascii="仿宋" w:hAnsi="仿宋" w:eastAsia="仿宋" w:cs="仿宋"/>
          <w:sz w:val="24"/>
          <w:highlight w:val="none"/>
        </w:rPr>
        <w:t>供应商的书面澄清、说明和补正属于响应文件的组成部分。</w:t>
      </w:r>
    </w:p>
    <w:p>
      <w:pPr>
        <w:pStyle w:val="22"/>
        <w:rPr>
          <w:rFonts w:hint="eastAsia" w:ascii="仿宋" w:hAnsi="仿宋" w:eastAsia="仿宋" w:cs="仿宋"/>
          <w:sz w:val="24"/>
          <w:highlight w:val="none"/>
        </w:rPr>
      </w:pPr>
      <w:r>
        <w:rPr>
          <w:rFonts w:hint="eastAsia" w:ascii="仿宋" w:hAnsi="仿宋" w:eastAsia="仿宋" w:cs="仿宋"/>
          <w:sz w:val="24"/>
          <w:highlight w:val="none"/>
        </w:rPr>
        <w:t>磋商小组对供应商提交的澄清、说明或补正有疑问的，可以要求供应商进一步澄清、说明或补正，直至满足评审小组的要求。</w:t>
      </w:r>
    </w:p>
    <w:p>
      <w:pPr>
        <w:pStyle w:val="22"/>
        <w:rPr>
          <w:rFonts w:hint="eastAsia" w:ascii="仿宋" w:hAnsi="仿宋" w:eastAsia="仿宋" w:cs="仿宋"/>
          <w:sz w:val="24"/>
          <w:highlight w:val="none"/>
        </w:rPr>
      </w:pPr>
      <w:r>
        <w:rPr>
          <w:rFonts w:hint="eastAsia" w:ascii="仿宋" w:hAnsi="仿宋" w:eastAsia="仿宋" w:cs="仿宋"/>
          <w:sz w:val="24"/>
          <w:highlight w:val="none"/>
        </w:rPr>
        <w:t>3.1.4 不具备磋商文件要求的资格或未通过符合性审查的供应商，不参与磋商，由磋商小组告知该供应商。</w:t>
      </w:r>
    </w:p>
    <w:p>
      <w:pPr>
        <w:pStyle w:val="22"/>
        <w:rPr>
          <w:rFonts w:hint="eastAsia" w:ascii="仿宋" w:hAnsi="仿宋" w:eastAsia="仿宋" w:cs="仿宋"/>
          <w:sz w:val="24"/>
          <w:highlight w:val="none"/>
        </w:rPr>
      </w:pPr>
      <w:r>
        <w:rPr>
          <w:rFonts w:hint="eastAsia" w:ascii="仿宋" w:hAnsi="仿宋" w:eastAsia="仿宋" w:cs="仿宋"/>
          <w:sz w:val="24"/>
          <w:highlight w:val="none"/>
        </w:rPr>
        <w:t>3.1.5 通过资格审查和符合性审查的合格供应商不足3家的，不再进行评审和磋商。</w:t>
      </w:r>
    </w:p>
    <w:p>
      <w:pPr>
        <w:pStyle w:val="22"/>
        <w:rPr>
          <w:rFonts w:hint="eastAsia" w:ascii="仿宋" w:hAnsi="仿宋" w:eastAsia="仿宋" w:cs="仿宋"/>
          <w:b/>
          <w:sz w:val="24"/>
          <w:highlight w:val="none"/>
        </w:rPr>
      </w:pPr>
      <w:bookmarkStart w:id="404" w:name="_Toc7005044"/>
      <w:r>
        <w:rPr>
          <w:rFonts w:hint="eastAsia" w:ascii="仿宋" w:hAnsi="仿宋" w:eastAsia="仿宋" w:cs="仿宋"/>
          <w:b/>
          <w:sz w:val="24"/>
          <w:highlight w:val="none"/>
        </w:rPr>
        <w:t>3.2 磋商</w:t>
      </w:r>
      <w:bookmarkEnd w:id="404"/>
    </w:p>
    <w:p>
      <w:pPr>
        <w:pStyle w:val="22"/>
        <w:rPr>
          <w:rFonts w:hint="eastAsia" w:ascii="仿宋" w:hAnsi="仿宋" w:eastAsia="仿宋" w:cs="仿宋"/>
          <w:sz w:val="24"/>
          <w:highlight w:val="none"/>
        </w:rPr>
      </w:pPr>
      <w:r>
        <w:rPr>
          <w:rFonts w:hint="eastAsia" w:ascii="仿宋" w:hAnsi="仿宋" w:eastAsia="仿宋" w:cs="仿宋"/>
          <w:sz w:val="24"/>
          <w:highlight w:val="none"/>
        </w:rPr>
        <w:t>3.2.1按“供应商须知”第五条规定，由磋商小组与供应商进行磋商。</w:t>
      </w:r>
    </w:p>
    <w:p>
      <w:pPr>
        <w:pStyle w:val="22"/>
        <w:rPr>
          <w:rFonts w:hint="eastAsia" w:ascii="仿宋" w:hAnsi="仿宋" w:eastAsia="仿宋" w:cs="仿宋"/>
          <w:sz w:val="24"/>
          <w:highlight w:val="none"/>
        </w:rPr>
      </w:pPr>
      <w:r>
        <w:rPr>
          <w:rFonts w:hint="eastAsia" w:ascii="仿宋" w:hAnsi="仿宋" w:eastAsia="仿宋" w:cs="仿宋"/>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2"/>
        <w:rPr>
          <w:rFonts w:hint="eastAsia" w:ascii="仿宋" w:hAnsi="仿宋" w:eastAsia="仿宋" w:cs="仿宋"/>
          <w:sz w:val="24"/>
          <w:highlight w:val="none"/>
        </w:rPr>
      </w:pPr>
      <w:r>
        <w:rPr>
          <w:rFonts w:hint="eastAsia" w:ascii="仿宋" w:hAnsi="仿宋" w:eastAsia="仿宋" w:cs="仿宋"/>
          <w:sz w:val="24"/>
          <w:highlight w:val="none"/>
        </w:rPr>
        <w:t>3.2.3 磋商结束后，磋商小组可以要求所有继续参加磋商的供应商在规定时间内提交最后报价函，提交最后报价函的供应商不得少于3家。</w:t>
      </w:r>
    </w:p>
    <w:p>
      <w:pPr>
        <w:pStyle w:val="22"/>
        <w:rPr>
          <w:rFonts w:hint="eastAsia" w:ascii="仿宋" w:hAnsi="仿宋" w:eastAsia="仿宋" w:cs="仿宋"/>
          <w:b/>
          <w:sz w:val="24"/>
          <w:highlight w:val="none"/>
        </w:rPr>
      </w:pPr>
      <w:bookmarkStart w:id="405" w:name="_Toc7005045"/>
      <w:r>
        <w:rPr>
          <w:rFonts w:hint="eastAsia" w:ascii="仿宋" w:hAnsi="仿宋" w:eastAsia="仿宋" w:cs="仿宋"/>
          <w:b/>
          <w:sz w:val="24"/>
          <w:highlight w:val="none"/>
        </w:rPr>
        <w:t>3.3评审</w:t>
      </w:r>
      <w:bookmarkEnd w:id="405"/>
    </w:p>
    <w:p>
      <w:pPr>
        <w:pStyle w:val="22"/>
        <w:rPr>
          <w:rFonts w:hint="eastAsia" w:ascii="仿宋" w:hAnsi="仿宋" w:eastAsia="仿宋" w:cs="仿宋"/>
          <w:sz w:val="24"/>
          <w:highlight w:val="none"/>
        </w:rPr>
      </w:pPr>
      <w:r>
        <w:rPr>
          <w:rFonts w:hint="eastAsia" w:ascii="仿宋" w:hAnsi="仿宋" w:eastAsia="仿宋" w:cs="仿宋"/>
          <w:sz w:val="24"/>
          <w:highlight w:val="none"/>
        </w:rPr>
        <w:t>3.3.1 比较与评价</w:t>
      </w:r>
    </w:p>
    <w:p>
      <w:pPr>
        <w:pStyle w:val="22"/>
        <w:rPr>
          <w:rFonts w:hint="eastAsia" w:ascii="仿宋" w:hAnsi="仿宋" w:eastAsia="仿宋" w:cs="仿宋"/>
          <w:sz w:val="24"/>
          <w:highlight w:val="none"/>
        </w:rPr>
      </w:pPr>
      <w:r>
        <w:rPr>
          <w:rFonts w:hint="eastAsia" w:ascii="仿宋" w:hAnsi="仿宋" w:eastAsia="仿宋" w:cs="仿宋"/>
          <w:sz w:val="24"/>
          <w:highlight w:val="none"/>
        </w:rPr>
        <w:t>磋商小组按本章第2.3款[商务和技术评审标准]对供应商提交的响应文件（包括最后报价函）进行商务和技术评估，综合比较与评价。</w:t>
      </w:r>
    </w:p>
    <w:p>
      <w:pPr>
        <w:pStyle w:val="22"/>
        <w:rPr>
          <w:rFonts w:hint="eastAsia" w:ascii="仿宋" w:hAnsi="仿宋" w:eastAsia="仿宋" w:cs="仿宋"/>
          <w:sz w:val="24"/>
          <w:highlight w:val="none"/>
        </w:rPr>
      </w:pPr>
      <w:r>
        <w:rPr>
          <w:rFonts w:hint="eastAsia" w:ascii="仿宋" w:hAnsi="仿宋" w:eastAsia="仿宋" w:cs="仿宋"/>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2"/>
        <w:rPr>
          <w:rFonts w:hint="eastAsia" w:ascii="仿宋" w:hAnsi="仿宋" w:eastAsia="仿宋" w:cs="仿宋"/>
          <w:sz w:val="24"/>
          <w:highlight w:val="none"/>
        </w:rPr>
      </w:pPr>
      <w:r>
        <w:rPr>
          <w:rFonts w:hint="eastAsia" w:ascii="仿宋" w:hAnsi="仿宋" w:eastAsia="仿宋" w:cs="仿宋"/>
          <w:sz w:val="24"/>
          <w:highlight w:val="none"/>
        </w:rPr>
        <w:t>3.3.2 磋商小组按本章第2.3款规定的量化因素和分值进行打分，并计算出综合评估得分。</w:t>
      </w:r>
    </w:p>
    <w:p>
      <w:pPr>
        <w:pStyle w:val="22"/>
        <w:rPr>
          <w:rFonts w:hint="eastAsia" w:ascii="仿宋" w:hAnsi="仿宋" w:eastAsia="仿宋" w:cs="仿宋"/>
          <w:sz w:val="24"/>
          <w:highlight w:val="none"/>
        </w:rPr>
      </w:pPr>
      <w:r>
        <w:rPr>
          <w:rFonts w:hint="eastAsia" w:ascii="仿宋" w:hAnsi="仿宋" w:eastAsia="仿宋" w:cs="仿宋"/>
          <w:sz w:val="24"/>
          <w:highlight w:val="none"/>
        </w:rPr>
        <w:t>（1）按本章第2.3.1项规定的评审因素和分值对商务部分计算出得分A；</w:t>
      </w:r>
    </w:p>
    <w:p>
      <w:pPr>
        <w:pStyle w:val="22"/>
        <w:rPr>
          <w:rFonts w:hint="eastAsia" w:ascii="仿宋" w:hAnsi="仿宋" w:eastAsia="仿宋" w:cs="仿宋"/>
          <w:sz w:val="24"/>
          <w:highlight w:val="none"/>
        </w:rPr>
      </w:pPr>
      <w:r>
        <w:rPr>
          <w:rFonts w:hint="eastAsia" w:ascii="仿宋" w:hAnsi="仿宋" w:eastAsia="仿宋" w:cs="仿宋"/>
          <w:sz w:val="24"/>
          <w:highlight w:val="none"/>
        </w:rPr>
        <w:t>（2）按本章第2.3.2项规定的评审因素和分值对技术部分计算出得分B；</w:t>
      </w:r>
    </w:p>
    <w:p>
      <w:pPr>
        <w:pStyle w:val="22"/>
        <w:rPr>
          <w:rFonts w:hint="eastAsia" w:ascii="仿宋" w:hAnsi="仿宋" w:eastAsia="仿宋" w:cs="仿宋"/>
          <w:sz w:val="24"/>
          <w:highlight w:val="none"/>
        </w:rPr>
      </w:pPr>
      <w:r>
        <w:rPr>
          <w:rFonts w:hint="eastAsia" w:ascii="仿宋" w:hAnsi="仿宋" w:eastAsia="仿宋" w:cs="仿宋"/>
          <w:sz w:val="24"/>
          <w:highlight w:val="none"/>
        </w:rPr>
        <w:t>（3）按本章第2.3.3项规定的评审因素和分值对报价部分计算出得分C。</w:t>
      </w:r>
    </w:p>
    <w:p>
      <w:pPr>
        <w:pStyle w:val="22"/>
        <w:rPr>
          <w:rFonts w:hint="eastAsia" w:ascii="仿宋" w:hAnsi="仿宋" w:eastAsia="仿宋" w:cs="仿宋"/>
          <w:sz w:val="24"/>
          <w:highlight w:val="none"/>
        </w:rPr>
      </w:pPr>
      <w:r>
        <w:rPr>
          <w:rFonts w:hint="eastAsia" w:ascii="仿宋" w:hAnsi="仿宋" w:eastAsia="仿宋" w:cs="仿宋"/>
          <w:sz w:val="24"/>
          <w:highlight w:val="none"/>
        </w:rPr>
        <w:t>3.3.3评分分值计算保留小数点后两位，小数点后第三位“四舍五入”。</w:t>
      </w:r>
    </w:p>
    <w:p>
      <w:pPr>
        <w:pStyle w:val="22"/>
        <w:rPr>
          <w:rFonts w:hint="eastAsia" w:ascii="仿宋" w:hAnsi="仿宋" w:eastAsia="仿宋" w:cs="仿宋"/>
          <w:sz w:val="24"/>
          <w:highlight w:val="none"/>
        </w:rPr>
      </w:pPr>
      <w:r>
        <w:rPr>
          <w:rFonts w:hint="eastAsia" w:ascii="仿宋" w:hAnsi="仿宋" w:eastAsia="仿宋" w:cs="仿宋"/>
          <w:sz w:val="24"/>
          <w:highlight w:val="none"/>
        </w:rPr>
        <w:t>3.3.4供应商得分=A＋B＋C</w:t>
      </w:r>
    </w:p>
    <w:p>
      <w:pPr>
        <w:pStyle w:val="22"/>
        <w:rPr>
          <w:rFonts w:hint="eastAsia" w:ascii="仿宋" w:hAnsi="仿宋" w:eastAsia="仿宋" w:cs="仿宋"/>
          <w:b/>
          <w:sz w:val="24"/>
          <w:highlight w:val="none"/>
        </w:rPr>
      </w:pPr>
      <w:r>
        <w:rPr>
          <w:rFonts w:hint="eastAsia" w:ascii="仿宋" w:hAnsi="仿宋" w:eastAsia="仿宋" w:cs="仿宋"/>
          <w:b/>
          <w:sz w:val="24"/>
          <w:highlight w:val="none"/>
        </w:rPr>
        <w:t>3.4 评审结果</w:t>
      </w:r>
    </w:p>
    <w:p>
      <w:pPr>
        <w:pStyle w:val="22"/>
        <w:rPr>
          <w:rFonts w:hint="eastAsia" w:ascii="仿宋" w:hAnsi="仿宋" w:eastAsia="仿宋" w:cs="仿宋"/>
          <w:sz w:val="24"/>
          <w:highlight w:val="none"/>
        </w:rPr>
      </w:pPr>
      <w:r>
        <w:rPr>
          <w:rFonts w:hint="eastAsia" w:ascii="仿宋" w:hAnsi="仿宋" w:eastAsia="仿宋" w:cs="仿宋"/>
          <w:sz w:val="24"/>
          <w:highlight w:val="none"/>
        </w:rPr>
        <w:t>3.4.1 除第二章“供应商须知”前附表授权直接确定成交供应商外，磋商小组按照得分由高到低的顺序推荐3名成交候选人。</w:t>
      </w:r>
    </w:p>
    <w:p>
      <w:pPr>
        <w:pStyle w:val="22"/>
        <w:rPr>
          <w:rFonts w:hint="eastAsia" w:ascii="仿宋" w:hAnsi="仿宋" w:eastAsia="仿宋" w:cs="仿宋"/>
          <w:sz w:val="24"/>
          <w:highlight w:val="none"/>
        </w:rPr>
      </w:pPr>
      <w:r>
        <w:rPr>
          <w:rFonts w:hint="eastAsia" w:ascii="仿宋" w:hAnsi="仿宋" w:eastAsia="仿宋" w:cs="仿宋"/>
          <w:sz w:val="24"/>
          <w:highlight w:val="none"/>
        </w:rPr>
        <w:t>3.4.2 磋商小组完成评审后，应当向采购人提交书面评审报告。</w:t>
      </w:r>
    </w:p>
    <w:p>
      <w:pPr>
        <w:pStyle w:val="22"/>
        <w:rPr>
          <w:rFonts w:hint="eastAsia" w:ascii="仿宋" w:hAnsi="仿宋" w:eastAsia="仿宋" w:cs="仿宋"/>
          <w:sz w:val="24"/>
          <w:highlight w:val="none"/>
        </w:rPr>
      </w:pPr>
      <w:r>
        <w:rPr>
          <w:rFonts w:hint="eastAsia" w:ascii="仿宋" w:hAnsi="仿宋" w:eastAsia="仿宋" w:cs="仿宋"/>
          <w:sz w:val="24"/>
          <w:highlight w:val="none"/>
        </w:rPr>
        <w:br w:type="page"/>
      </w:r>
    </w:p>
    <w:p>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eastAsia" w:ascii="仿宋" w:hAnsi="仿宋" w:eastAsia="仿宋" w:cs="仿宋"/>
                <w:b/>
                <w:szCs w:val="21"/>
                <w:highlight w:val="none"/>
              </w:rPr>
            </w:pPr>
            <w:r>
              <w:rPr>
                <w:rFonts w:hint="eastAsia" w:ascii="仿宋" w:hAnsi="仿宋" w:eastAsia="仿宋" w:cs="仿宋"/>
                <w:b/>
                <w:szCs w:val="21"/>
                <w:highlight w:val="none"/>
              </w:rPr>
              <w:t>序号</w:t>
            </w:r>
          </w:p>
        </w:tc>
        <w:tc>
          <w:tcPr>
            <w:tcW w:w="2655" w:type="dxa"/>
            <w:vAlign w:val="center"/>
          </w:tcPr>
          <w:p>
            <w:pPr>
              <w:snapToGrid w:val="0"/>
              <w:jc w:val="center"/>
              <w:rPr>
                <w:rFonts w:hint="eastAsia" w:ascii="仿宋" w:hAnsi="仿宋" w:eastAsia="仿宋" w:cs="仿宋"/>
                <w:b/>
                <w:szCs w:val="21"/>
                <w:highlight w:val="none"/>
              </w:rPr>
            </w:pPr>
            <w:r>
              <w:rPr>
                <w:rFonts w:hint="eastAsia" w:ascii="仿宋" w:hAnsi="仿宋" w:eastAsia="仿宋" w:cs="仿宋"/>
                <w:b/>
                <w:szCs w:val="21"/>
                <w:highlight w:val="none"/>
              </w:rPr>
              <w:t>评审内容</w:t>
            </w:r>
          </w:p>
        </w:tc>
        <w:tc>
          <w:tcPr>
            <w:tcW w:w="4677" w:type="dxa"/>
            <w:vAlign w:val="center"/>
          </w:tcPr>
          <w:p>
            <w:pPr>
              <w:snapToGrid w:val="0"/>
              <w:jc w:val="center"/>
              <w:rPr>
                <w:rFonts w:hint="eastAsia" w:ascii="仿宋" w:hAnsi="仿宋" w:eastAsia="仿宋" w:cs="仿宋"/>
                <w:b/>
                <w:szCs w:val="21"/>
                <w:highlight w:val="none"/>
              </w:rPr>
            </w:pPr>
            <w:r>
              <w:rPr>
                <w:rFonts w:hint="eastAsia" w:ascii="仿宋" w:hAnsi="仿宋" w:eastAsia="仿宋" w:cs="仿宋"/>
                <w:b/>
                <w:szCs w:val="21"/>
                <w:highlight w:val="none"/>
              </w:rPr>
              <w:t>评审合格标准</w:t>
            </w:r>
          </w:p>
        </w:tc>
        <w:tc>
          <w:tcPr>
            <w:tcW w:w="1178"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highlight w:val="none"/>
              </w:rPr>
            </w:pPr>
            <w:r>
              <w:rPr>
                <w:rFonts w:hint="eastAsia" w:ascii="仿宋" w:hAnsi="仿宋" w:eastAsia="仿宋" w:cs="仿宋"/>
                <w:b/>
                <w:caps/>
                <w:szCs w:val="21"/>
                <w:highlight w:val="none"/>
              </w:rPr>
              <w:t>审查结果</w:t>
            </w:r>
          </w:p>
          <w:p>
            <w:pPr>
              <w:snapToGrid w:val="0"/>
              <w:jc w:val="center"/>
              <w:rPr>
                <w:rFonts w:hint="eastAsia" w:ascii="仿宋" w:hAnsi="仿宋" w:eastAsia="仿宋" w:cs="仿宋"/>
                <w:b/>
                <w:szCs w:val="21"/>
                <w:highlight w:val="none"/>
              </w:rPr>
            </w:pP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b/>
                <w:szCs w:val="21"/>
                <w:highlight w:val="none"/>
              </w:rPr>
            </w:pPr>
            <w:r>
              <w:rPr>
                <w:rFonts w:hint="eastAsia" w:ascii="仿宋" w:hAnsi="仿宋" w:eastAsia="仿宋" w:cs="仿宋"/>
                <w:szCs w:val="21"/>
                <w:highlight w:val="none"/>
              </w:rPr>
              <w:t>1</w:t>
            </w:r>
          </w:p>
        </w:tc>
        <w:tc>
          <w:tcPr>
            <w:tcW w:w="2655" w:type="dxa"/>
            <w:vAlign w:val="center"/>
          </w:tcPr>
          <w:p>
            <w:pPr>
              <w:snapToGrid w:val="0"/>
              <w:jc w:val="left"/>
              <w:rPr>
                <w:rFonts w:hint="eastAsia" w:ascii="仿宋" w:hAnsi="仿宋" w:eastAsia="仿宋" w:cs="仿宋"/>
                <w:b/>
                <w:szCs w:val="21"/>
                <w:highlight w:val="none"/>
              </w:rPr>
            </w:pPr>
            <w:r>
              <w:rPr>
                <w:rFonts w:hint="eastAsia" w:ascii="仿宋" w:hAnsi="仿宋" w:eastAsia="仿宋" w:cs="仿宋"/>
                <w:szCs w:val="21"/>
                <w:highlight w:val="none"/>
              </w:rPr>
              <w:t>供应商名称</w:t>
            </w:r>
          </w:p>
        </w:tc>
        <w:tc>
          <w:tcPr>
            <w:tcW w:w="4677" w:type="dxa"/>
            <w:vAlign w:val="center"/>
          </w:tcPr>
          <w:p>
            <w:pPr>
              <w:snapToGrid w:val="0"/>
              <w:jc w:val="left"/>
              <w:rPr>
                <w:rFonts w:hint="eastAsia" w:ascii="仿宋" w:hAnsi="仿宋" w:eastAsia="仿宋" w:cs="仿宋"/>
                <w:b/>
                <w:szCs w:val="21"/>
                <w:highlight w:val="none"/>
              </w:rPr>
            </w:pPr>
            <w:r>
              <w:rPr>
                <w:rFonts w:hint="eastAsia" w:ascii="仿宋" w:hAnsi="仿宋" w:eastAsia="仿宋" w:cs="仿宋"/>
                <w:szCs w:val="21"/>
                <w:highlight w:val="none"/>
              </w:rPr>
              <w:t>与磋商登记备案、营业执照一致（符合法定工商变更程序除外）；</w:t>
            </w:r>
          </w:p>
        </w:tc>
        <w:tc>
          <w:tcPr>
            <w:tcW w:w="1178" w:type="dxa"/>
            <w:vAlign w:val="center"/>
          </w:tcPr>
          <w:p>
            <w:pPr>
              <w:snapToGrid w:val="0"/>
              <w:jc w:val="center"/>
              <w:rPr>
                <w:rFonts w:hint="eastAsia" w:ascii="仿宋" w:hAnsi="仿宋" w:eastAsia="仿宋" w:cs="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具有独立承担民事责任的能力</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提供了有效的法人或者其他组织的营业执照等证明文件，自然人的身份证明</w:t>
            </w:r>
          </w:p>
        </w:tc>
        <w:tc>
          <w:tcPr>
            <w:tcW w:w="1178" w:type="dxa"/>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具有健全的财务会计制度</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提供上一年度（2021年度</w:t>
            </w:r>
            <w:r>
              <w:rPr>
                <w:rFonts w:hint="eastAsia" w:ascii="仿宋" w:hAnsi="仿宋" w:eastAsia="仿宋" w:cs="仿宋"/>
                <w:szCs w:val="21"/>
                <w:highlight w:val="none"/>
                <w:lang w:val="en-US" w:eastAsia="zh-CN"/>
              </w:rPr>
              <w:t>或2022年度</w:t>
            </w:r>
            <w:r>
              <w:rPr>
                <w:rFonts w:hint="eastAsia" w:ascii="仿宋" w:hAnsi="仿宋" w:eastAsia="仿宋" w:cs="仿宋"/>
                <w:szCs w:val="21"/>
                <w:highlight w:val="none"/>
              </w:rPr>
              <w:t>）的经审计的财务报告、或上一年度（202</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年度）任意一个月单位内部财务报表、或本年度基本开户银行出具的资信证明</w:t>
            </w:r>
          </w:p>
        </w:tc>
        <w:tc>
          <w:tcPr>
            <w:tcW w:w="1178" w:type="dxa"/>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具有履行合同所必需的设备和专业技术能力</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提供了可充分满足履行合同所需设备和专业技术能力的证明材料或承诺</w:t>
            </w:r>
          </w:p>
        </w:tc>
        <w:tc>
          <w:tcPr>
            <w:tcW w:w="1178" w:type="dxa"/>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有依法缴纳税收和社会保障资金的良好记录</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近半年（2022年10月1日至今）</w:t>
            </w:r>
            <w:r>
              <w:rPr>
                <w:rFonts w:hint="eastAsia" w:ascii="仿宋" w:hAnsi="仿宋" w:eastAsia="仿宋" w:cs="仿宋"/>
                <w:szCs w:val="21"/>
                <w:highlight w:val="none"/>
              </w:rPr>
              <w:t>任意一个月缴税凭证或免税证明（复印件加盖公章）。</w:t>
            </w:r>
          </w:p>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 xml:space="preserve">2. </w:t>
            </w:r>
            <w:r>
              <w:rPr>
                <w:rFonts w:hint="eastAsia" w:ascii="仿宋" w:hAnsi="仿宋" w:eastAsia="仿宋" w:cs="仿宋"/>
                <w:szCs w:val="21"/>
                <w:highlight w:val="none"/>
                <w:lang w:val="en-US" w:eastAsia="zh-CN"/>
              </w:rPr>
              <w:t>近半年（2022年10月1日至今）</w:t>
            </w:r>
            <w:r>
              <w:rPr>
                <w:rFonts w:hint="eastAsia" w:ascii="仿宋" w:hAnsi="仿宋" w:eastAsia="仿宋" w:cs="仿宋"/>
                <w:szCs w:val="21"/>
                <w:highlight w:val="none"/>
              </w:rPr>
              <w:t>任意一个月社会保障资金缴纳证明或免缴纳证明（复印件加盖公章）</w:t>
            </w:r>
          </w:p>
        </w:tc>
        <w:tc>
          <w:tcPr>
            <w:tcW w:w="1178" w:type="dxa"/>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参加政府采购活动前三年内，在经营活动中没有重大违法记录</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提供了有效的参加政府采购活动前3年内在经营活动中没有重大违法记录的书面声明</w:t>
            </w:r>
          </w:p>
        </w:tc>
        <w:tc>
          <w:tcPr>
            <w:tcW w:w="1178" w:type="dxa"/>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法律、行政法规规定的其他条件</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不存在违反法律、法规的情况</w:t>
            </w:r>
          </w:p>
        </w:tc>
        <w:tc>
          <w:tcPr>
            <w:tcW w:w="1178" w:type="dxa"/>
            <w:vAlign w:val="center"/>
          </w:tcPr>
          <w:p>
            <w:pPr>
              <w:snapToGrid w:val="0"/>
              <w:ind w:left="425"/>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非联合体</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供应商为非联合体投标</w:t>
            </w:r>
          </w:p>
        </w:tc>
        <w:tc>
          <w:tcPr>
            <w:tcW w:w="1178" w:type="dxa"/>
            <w:vAlign w:val="center"/>
          </w:tcPr>
          <w:p>
            <w:pPr>
              <w:snapToGrid w:val="0"/>
              <w:ind w:left="425"/>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9</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落实政府采购政策需满足的资格要求</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供应商应为中小微企业、监狱企业、残疾人福利性单位</w:t>
            </w:r>
          </w:p>
        </w:tc>
        <w:tc>
          <w:tcPr>
            <w:tcW w:w="1178" w:type="dxa"/>
            <w:vAlign w:val="center"/>
          </w:tcPr>
          <w:p>
            <w:pPr>
              <w:snapToGrid w:val="0"/>
              <w:ind w:left="425"/>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52" w:type="dxa"/>
            <w:vMerge w:val="restart"/>
            <w:vAlign w:val="center"/>
          </w:tcPr>
          <w:p>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10</w:t>
            </w:r>
          </w:p>
        </w:tc>
        <w:tc>
          <w:tcPr>
            <w:tcW w:w="2655" w:type="dxa"/>
            <w:vMerge w:val="restart"/>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供应商特定资格条件</w:t>
            </w: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Align w:val="center"/>
          </w:tcPr>
          <w:p>
            <w:pPr>
              <w:snapToGrid w:val="0"/>
              <w:ind w:left="425"/>
              <w:jc w:val="center"/>
              <w:rPr>
                <w:rFonts w:hint="eastAsia" w:ascii="仿宋" w:hAnsi="仿宋" w:eastAsia="仿宋" w:cs="仿宋"/>
                <w:highlight w:val="none"/>
              </w:rPr>
            </w:pPr>
          </w:p>
          <w:p>
            <w:pPr>
              <w:pStyle w:val="65"/>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hint="eastAsia" w:ascii="仿宋" w:hAnsi="仿宋" w:eastAsia="仿宋" w:cs="仿宋"/>
                <w:szCs w:val="21"/>
                <w:highlight w:val="none"/>
              </w:rPr>
            </w:pPr>
          </w:p>
        </w:tc>
        <w:tc>
          <w:tcPr>
            <w:tcW w:w="2655" w:type="dxa"/>
            <w:vMerge w:val="continue"/>
            <w:vAlign w:val="center"/>
          </w:tcPr>
          <w:p>
            <w:pPr>
              <w:snapToGrid w:val="0"/>
              <w:jc w:val="left"/>
              <w:rPr>
                <w:rFonts w:hint="eastAsia" w:ascii="仿宋" w:hAnsi="仿宋" w:eastAsia="仿宋" w:cs="仿宋"/>
                <w:szCs w:val="21"/>
                <w:highlight w:val="none"/>
              </w:rPr>
            </w:pP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、未被“信用中国”网站（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"http://www.creditchina.gov.cn）中列入失信被执行人和/" </w:instrText>
            </w:r>
            <w:r>
              <w:rPr>
                <w:rFonts w:hint="eastAsia" w:ascii="仿宋" w:hAnsi="仿宋" w:eastAsia="仿宋" w:cs="仿宋"/>
                <w:highlight w:val="none"/>
              </w:rPr>
              <w:fldChar w:fldCharType="separate"/>
            </w:r>
            <w:r>
              <w:rPr>
                <w:rFonts w:hint="eastAsia" w:ascii="仿宋" w:hAnsi="仿宋" w:eastAsia="仿宋" w:cs="仿宋"/>
                <w:szCs w:val="21"/>
                <w:highlight w:val="none"/>
              </w:rPr>
              <w:t>www.creditchina.gov.cn）中列入失信被执行人和</w:t>
            </w:r>
            <w:r>
              <w:rPr>
                <w:rFonts w:hint="eastAsia" w:ascii="仿宋" w:hAnsi="仿宋" w:eastAsia="仿宋" w:cs="仿宋"/>
                <w:szCs w:val="21"/>
                <w:highlight w:val="none"/>
              </w:rPr>
              <w:fldChar w:fldCharType="end"/>
            </w:r>
            <w:r>
              <w:rPr>
                <w:rFonts w:hint="eastAsia" w:ascii="仿宋" w:hAnsi="仿宋" w:eastAsia="仿宋" w:cs="仿宋"/>
                <w:szCs w:val="21"/>
                <w:highlight w:val="none"/>
              </w:rPr>
              <w:t>重大税收违法案件当事人名单的供应商、未被中国政府采购网（www.ccgp.gov.cn）列入政府采购严重违法失信行为记录名单中被财政部门禁止参加政府采购活动的供应商</w:t>
            </w:r>
          </w:p>
        </w:tc>
        <w:tc>
          <w:tcPr>
            <w:tcW w:w="1178" w:type="dxa"/>
            <w:vAlign w:val="center"/>
          </w:tcPr>
          <w:p>
            <w:pPr>
              <w:snapToGrid w:val="0"/>
              <w:ind w:left="425"/>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continue"/>
            <w:vAlign w:val="center"/>
          </w:tcPr>
          <w:p>
            <w:pPr>
              <w:snapToGrid w:val="0"/>
              <w:jc w:val="center"/>
              <w:rPr>
                <w:rFonts w:hint="eastAsia" w:ascii="仿宋" w:hAnsi="仿宋" w:eastAsia="仿宋" w:cs="仿宋"/>
                <w:szCs w:val="21"/>
                <w:highlight w:val="none"/>
              </w:rPr>
            </w:pPr>
          </w:p>
        </w:tc>
        <w:tc>
          <w:tcPr>
            <w:tcW w:w="2655" w:type="dxa"/>
            <w:vMerge w:val="continue"/>
            <w:vAlign w:val="center"/>
          </w:tcPr>
          <w:p>
            <w:pPr>
              <w:snapToGrid w:val="0"/>
              <w:jc w:val="left"/>
              <w:rPr>
                <w:rFonts w:hint="eastAsia" w:ascii="仿宋" w:hAnsi="仿宋" w:eastAsia="仿宋" w:cs="仿宋"/>
                <w:szCs w:val="21"/>
                <w:highlight w:val="none"/>
              </w:rPr>
            </w:pPr>
          </w:p>
        </w:tc>
        <w:tc>
          <w:tcPr>
            <w:tcW w:w="4677" w:type="dxa"/>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、供应商不得存在下列情形之一：</w:t>
            </w:r>
          </w:p>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（1）单位负责人为同一人或者存在直接控股、管理关系的不同供应商，不得参加本次采购活动；</w:t>
            </w:r>
          </w:p>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（2）为本项目提供整体设计、规范编制或者项目管理、监理、检测等服务的供应商，不得再参加本项目的采购活动；</w:t>
            </w:r>
          </w:p>
          <w:p>
            <w:pPr>
              <w:snapToGrid w:val="0"/>
              <w:jc w:val="left"/>
              <w:rPr>
                <w:rFonts w:hint="eastAsia" w:ascii="仿宋" w:hAnsi="仿宋" w:eastAsia="仿宋" w:cs="仿宋"/>
                <w:szCs w:val="21"/>
                <w:highlight w:val="none"/>
              </w:rPr>
            </w:pPr>
          </w:p>
        </w:tc>
        <w:tc>
          <w:tcPr>
            <w:tcW w:w="1178" w:type="dxa"/>
            <w:vAlign w:val="center"/>
          </w:tcPr>
          <w:p>
            <w:pPr>
              <w:snapToGrid w:val="0"/>
              <w:ind w:left="425"/>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07" w:type="dxa"/>
            <w:gridSpan w:val="2"/>
            <w:vAlign w:val="center"/>
          </w:tcPr>
          <w:p>
            <w:pPr>
              <w:tabs>
                <w:tab w:val="left" w:pos="1260"/>
                <w:tab w:val="left" w:pos="1620"/>
              </w:tabs>
              <w:adjustRightInd w:val="0"/>
              <w:snapToGrid w:val="0"/>
              <w:jc w:val="center"/>
              <w:textAlignment w:val="baseline"/>
              <w:rPr>
                <w:rFonts w:hint="eastAsia" w:ascii="仿宋" w:hAnsi="仿宋" w:eastAsia="仿宋" w:cs="仿宋"/>
                <w:szCs w:val="21"/>
                <w:highlight w:val="none"/>
              </w:rPr>
            </w:pPr>
            <w:r>
              <w:rPr>
                <w:rFonts w:hint="eastAsia" w:ascii="仿宋" w:hAnsi="仿宋" w:eastAsia="仿宋" w:cs="仿宋"/>
                <w:b/>
                <w:szCs w:val="21"/>
                <w:highlight w:val="none"/>
              </w:rPr>
              <w:t>结论（通过或未通过）</w:t>
            </w:r>
          </w:p>
        </w:tc>
        <w:tc>
          <w:tcPr>
            <w:tcW w:w="4677" w:type="dxa"/>
          </w:tcPr>
          <w:p>
            <w:pPr>
              <w:snapToGrid w:val="0"/>
              <w:jc w:val="center"/>
              <w:rPr>
                <w:rFonts w:hint="eastAsia" w:ascii="仿宋" w:hAnsi="仿宋" w:eastAsia="仿宋" w:cs="仿宋"/>
                <w:szCs w:val="21"/>
                <w:highlight w:val="none"/>
              </w:rPr>
            </w:pPr>
          </w:p>
        </w:tc>
        <w:tc>
          <w:tcPr>
            <w:tcW w:w="1178" w:type="dxa"/>
            <w:vAlign w:val="center"/>
          </w:tcPr>
          <w:p>
            <w:pPr>
              <w:snapToGrid w:val="0"/>
              <w:ind w:left="425"/>
              <w:jc w:val="center"/>
              <w:rPr>
                <w:rFonts w:hint="eastAsia" w:ascii="仿宋" w:hAnsi="仿宋" w:eastAsia="仿宋" w:cs="仿宋"/>
                <w:szCs w:val="21"/>
                <w:highlight w:val="none"/>
              </w:rPr>
            </w:pPr>
          </w:p>
        </w:tc>
      </w:tr>
    </w:tbl>
    <w:p>
      <w:pPr>
        <w:spacing w:line="0" w:lineRule="atLeast"/>
        <w:ind w:left="425"/>
        <w:rPr>
          <w:rFonts w:hint="eastAsia" w:ascii="仿宋" w:hAnsi="仿宋" w:eastAsia="仿宋" w:cs="仿宋"/>
          <w:szCs w:val="21"/>
          <w:highlight w:val="none"/>
        </w:rPr>
      </w:pPr>
    </w:p>
    <w:p>
      <w:pPr>
        <w:spacing w:line="0" w:lineRule="atLeast"/>
        <w:ind w:left="425"/>
        <w:rPr>
          <w:rFonts w:hint="eastAsia" w:ascii="仿宋" w:hAnsi="仿宋" w:eastAsia="仿宋" w:cs="仿宋"/>
          <w:b/>
          <w:sz w:val="30"/>
          <w:szCs w:val="30"/>
          <w:highlight w:val="none"/>
        </w:rPr>
      </w:pPr>
      <w:r>
        <w:rPr>
          <w:rFonts w:hint="eastAsia" w:ascii="仿宋" w:hAnsi="仿宋" w:eastAsia="仿宋" w:cs="仿宋"/>
          <w:szCs w:val="21"/>
          <w:highlight w:val="none"/>
        </w:rPr>
        <w:t>注：符合要求用“√”表示，不符合用“×”表示。有一项不符合要求，结论为不合格。</w:t>
      </w:r>
    </w:p>
    <w:p>
      <w:pP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p>
    <w:p>
      <w:pPr>
        <w:tabs>
          <w:tab w:val="left" w:pos="2300"/>
          <w:tab w:val="center" w:pos="4595"/>
        </w:tabs>
        <w:spacing w:line="360" w:lineRule="auto"/>
        <w:jc w:val="center"/>
        <w:rPr>
          <w:rFonts w:hint="eastAsia" w:ascii="仿宋" w:hAnsi="仿宋" w:eastAsia="仿宋" w:cs="仿宋"/>
          <w:b/>
          <w:sz w:val="28"/>
          <w:szCs w:val="28"/>
          <w:highlight w:val="none"/>
        </w:rPr>
      </w:pPr>
      <w:r>
        <w:rPr>
          <w:rFonts w:hint="eastAsia" w:ascii="仿宋" w:hAnsi="仿宋" w:eastAsia="仿宋" w:cs="仿宋"/>
          <w:b/>
          <w:sz w:val="30"/>
          <w:szCs w:val="30"/>
          <w:highlight w:val="none"/>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957"/>
        <w:gridCol w:w="516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highlight w:val="none"/>
              </w:rPr>
            </w:pPr>
            <w:r>
              <w:rPr>
                <w:rFonts w:hint="eastAsia" w:ascii="仿宋" w:hAnsi="仿宋" w:eastAsia="仿宋" w:cs="仿宋"/>
                <w:b/>
                <w:caps/>
                <w:szCs w:val="21"/>
                <w:highlight w:val="none"/>
              </w:rPr>
              <w:t>序号</w:t>
            </w:r>
          </w:p>
        </w:tc>
        <w:tc>
          <w:tcPr>
            <w:tcW w:w="1957"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highlight w:val="none"/>
              </w:rPr>
            </w:pPr>
            <w:r>
              <w:rPr>
                <w:rFonts w:hint="eastAsia" w:ascii="仿宋" w:hAnsi="仿宋" w:eastAsia="仿宋" w:cs="仿宋"/>
                <w:b/>
                <w:caps/>
                <w:szCs w:val="21"/>
                <w:highlight w:val="none"/>
              </w:rPr>
              <w:t>评审项目</w:t>
            </w:r>
          </w:p>
        </w:tc>
        <w:tc>
          <w:tcPr>
            <w:tcW w:w="5167"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highlight w:val="none"/>
              </w:rPr>
            </w:pPr>
            <w:r>
              <w:rPr>
                <w:rFonts w:hint="eastAsia" w:ascii="仿宋" w:hAnsi="仿宋" w:eastAsia="仿宋" w:cs="仿宋"/>
                <w:b/>
                <w:caps/>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highlight w:val="none"/>
              </w:rPr>
            </w:pPr>
            <w:r>
              <w:rPr>
                <w:rFonts w:hint="eastAsia" w:ascii="仿宋" w:hAnsi="仿宋" w:eastAsia="仿宋" w:cs="仿宋"/>
                <w:b/>
                <w:caps/>
                <w:szCs w:val="21"/>
                <w:highlight w:val="none"/>
              </w:rPr>
              <w:t>评审结论</w:t>
            </w:r>
          </w:p>
          <w:p>
            <w:pPr>
              <w:tabs>
                <w:tab w:val="left" w:pos="1260"/>
                <w:tab w:val="left" w:pos="1620"/>
              </w:tabs>
              <w:adjustRightInd w:val="0"/>
              <w:snapToGrid w:val="0"/>
              <w:jc w:val="center"/>
              <w:textAlignment w:val="baseline"/>
              <w:rPr>
                <w:rFonts w:hint="eastAsia" w:ascii="仿宋" w:hAnsi="仿宋" w:eastAsia="仿宋" w:cs="仿宋"/>
                <w:b/>
                <w:caps/>
                <w:szCs w:val="21"/>
                <w:highlight w:val="none"/>
              </w:rPr>
            </w:pP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响应文件签署盖章</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报价</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附加条件</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公平竞争</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其他无效情形</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响应文件有效期</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响应文件格式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备选方案</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trike/>
                <w:szCs w:val="21"/>
                <w:highlight w:val="none"/>
              </w:rPr>
            </w:pPr>
            <w:r>
              <w:rPr>
                <w:rFonts w:hint="eastAsia" w:ascii="仿宋" w:hAnsi="仿宋" w:eastAsia="仿宋" w:cs="仿宋"/>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响应文件内容</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highlight w:val="none"/>
              </w:rPr>
            </w:pPr>
            <w:r>
              <w:rPr>
                <w:rFonts w:hint="eastAsia" w:ascii="仿宋" w:hAnsi="仿宋" w:eastAsia="仿宋" w:cs="仿宋"/>
                <w:iCs/>
                <w:szCs w:val="21"/>
                <w:highlight w:val="none"/>
              </w:rPr>
              <w:t>供应商提供的货物/服务无实质性遗漏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szCs w:val="21"/>
                <w:highlight w:val="none"/>
              </w:rPr>
              <w:t>技术响应</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highlight w:val="none"/>
              </w:rPr>
            </w:pPr>
            <w:r>
              <w:rPr>
                <w:rFonts w:hint="eastAsia" w:ascii="仿宋" w:hAnsi="仿宋" w:eastAsia="仿宋" w:cs="仿宋"/>
                <w:iCs/>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iCs/>
                <w:szCs w:val="21"/>
                <w:highlight w:val="none"/>
              </w:rPr>
            </w:pPr>
            <w:r>
              <w:rPr>
                <w:rFonts w:hint="eastAsia" w:ascii="仿宋" w:hAnsi="仿宋" w:eastAsia="仿宋" w:cs="仿宋"/>
                <w:iCs/>
                <w:szCs w:val="21"/>
                <w:highlight w:val="none"/>
              </w:rPr>
              <w:t>服务期和服务地点</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highlight w:val="none"/>
              </w:rPr>
            </w:pPr>
            <w:r>
              <w:rPr>
                <w:rFonts w:hint="eastAsia" w:ascii="仿宋" w:hAnsi="仿宋" w:eastAsia="仿宋" w:cs="仿宋"/>
                <w:iCs/>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iCs/>
                <w:szCs w:val="21"/>
                <w:highlight w:val="none"/>
              </w:rPr>
            </w:pPr>
            <w:r>
              <w:rPr>
                <w:rFonts w:hint="eastAsia" w:ascii="仿宋" w:hAnsi="仿宋" w:eastAsia="仿宋" w:cs="仿宋"/>
                <w:iCs/>
                <w:szCs w:val="21"/>
                <w:highlight w:val="none"/>
              </w:rPr>
              <w:t>付款方式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highlight w:val="none"/>
              </w:rPr>
            </w:pPr>
            <w:r>
              <w:rPr>
                <w:rFonts w:hint="eastAsia" w:ascii="仿宋" w:hAnsi="仿宋" w:eastAsia="仿宋" w:cs="仿宋"/>
                <w:iCs/>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798" w:type="dxa"/>
            <w:gridSpan w:val="2"/>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r>
              <w:rPr>
                <w:rFonts w:hint="eastAsia" w:ascii="仿宋" w:hAnsi="仿宋" w:eastAsia="仿宋" w:cs="仿宋"/>
                <w:b/>
                <w:szCs w:val="21"/>
                <w:highlight w:val="none"/>
              </w:rPr>
              <w:t>结论（通过或未通过）</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rPr>
            </w:pPr>
          </w:p>
        </w:tc>
      </w:tr>
    </w:tbl>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2、有下列情形之一的，视为供应商相互串通：</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（5）不同供应商的响应文件相互混装；</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（1）使用伪造、变造的许可证件；</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（2）提供虚假的财务状况或者业绩；</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（4）提供虚假的信用状况；</w:t>
      </w:r>
    </w:p>
    <w:p>
      <w:pPr>
        <w:tabs>
          <w:tab w:val="left" w:pos="1260"/>
          <w:tab w:val="left" w:pos="1620"/>
        </w:tabs>
        <w:adjustRightInd w:val="0"/>
        <w:spacing w:line="360" w:lineRule="auto"/>
        <w:jc w:val="left"/>
        <w:textAlignment w:val="baseline"/>
        <w:rPr>
          <w:rFonts w:hint="eastAsia" w:ascii="仿宋" w:hAnsi="仿宋" w:eastAsia="仿宋" w:cs="仿宋"/>
          <w:szCs w:val="21"/>
          <w:highlight w:val="none"/>
        </w:rPr>
      </w:pPr>
      <w:r>
        <w:rPr>
          <w:rFonts w:hint="eastAsia" w:ascii="仿宋" w:hAnsi="仿宋" w:eastAsia="仿宋" w:cs="仿宋"/>
          <w:szCs w:val="21"/>
          <w:highlight w:val="none"/>
        </w:rPr>
        <w:t>（5）其他弄虚作假的行为。</w:t>
      </w:r>
    </w:p>
    <w:p>
      <w:pPr>
        <w:tabs>
          <w:tab w:val="left" w:pos="1260"/>
          <w:tab w:val="left" w:pos="1620"/>
        </w:tabs>
        <w:adjustRightInd w:val="0"/>
        <w:spacing w:line="360" w:lineRule="auto"/>
        <w:jc w:val="left"/>
        <w:textAlignment w:val="baseline"/>
        <w:rPr>
          <w:rFonts w:hint="eastAsia" w:ascii="仿宋" w:hAnsi="仿宋" w:eastAsia="仿宋" w:cs="仿宋"/>
          <w:b/>
          <w:szCs w:val="21"/>
          <w:highlight w:val="none"/>
        </w:rPr>
      </w:pPr>
    </w:p>
    <w:p>
      <w:pPr>
        <w:tabs>
          <w:tab w:val="left" w:pos="1260"/>
          <w:tab w:val="left" w:pos="1620"/>
        </w:tabs>
        <w:adjustRightInd w:val="0"/>
        <w:spacing w:line="360" w:lineRule="auto"/>
        <w:jc w:val="left"/>
        <w:textAlignment w:val="baseline"/>
        <w:rPr>
          <w:rFonts w:hint="eastAsia" w:ascii="仿宋" w:hAnsi="仿宋" w:eastAsia="仿宋" w:cs="仿宋"/>
          <w:b/>
          <w:szCs w:val="21"/>
          <w:highlight w:val="none"/>
        </w:rPr>
      </w:pPr>
      <w:r>
        <w:rPr>
          <w:rFonts w:hint="eastAsia" w:ascii="仿宋" w:hAnsi="仿宋" w:eastAsia="仿宋" w:cs="仿宋"/>
          <w:b/>
          <w:szCs w:val="21"/>
          <w:highlight w:val="none"/>
        </w:rPr>
        <w:br w:type="page"/>
      </w:r>
    </w:p>
    <w:p>
      <w:pPr>
        <w:jc w:val="center"/>
        <w:rPr>
          <w:rFonts w:hint="eastAsia" w:ascii="仿宋" w:hAnsi="仿宋" w:eastAsia="仿宋" w:cs="仿宋"/>
          <w:b/>
          <w:sz w:val="30"/>
          <w:szCs w:val="30"/>
          <w:highlight w:val="none"/>
        </w:rPr>
      </w:pPr>
      <w:bookmarkStart w:id="406" w:name="_Toc410631198"/>
      <w:bookmarkStart w:id="407" w:name="_Toc414446034"/>
      <w:bookmarkStart w:id="408" w:name="_Toc7005048"/>
      <w:r>
        <w:rPr>
          <w:rFonts w:hint="eastAsia" w:ascii="仿宋" w:hAnsi="仿宋" w:eastAsia="仿宋" w:cs="仿宋"/>
          <w:b/>
          <w:sz w:val="30"/>
          <w:szCs w:val="30"/>
          <w:highlight w:val="none"/>
        </w:rPr>
        <w:t>附表三 商务评审因素及分值分配表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highlight w:val="none"/>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highlight w:val="none"/>
        </w:rPr>
      </w:pPr>
      <w:r>
        <w:rPr>
          <w:rFonts w:hint="eastAsia" w:ascii="仿宋" w:hAnsi="仿宋" w:eastAsia="仿宋" w:cs="仿宋"/>
          <w:b/>
          <w:szCs w:val="21"/>
          <w:highlight w:val="none"/>
        </w:rPr>
        <w:t>（满分</w:t>
      </w:r>
      <w:r>
        <w:rPr>
          <w:rFonts w:hint="eastAsia" w:ascii="仿宋" w:hAnsi="仿宋" w:eastAsia="仿宋" w:cs="仿宋"/>
          <w:b/>
          <w:szCs w:val="21"/>
          <w:highlight w:val="none"/>
          <w:lang w:val="en-US" w:eastAsia="zh-CN"/>
        </w:rPr>
        <w:t>20</w:t>
      </w:r>
      <w:r>
        <w:rPr>
          <w:rFonts w:hint="eastAsia" w:ascii="仿宋" w:hAnsi="仿宋" w:eastAsia="仿宋" w:cs="仿宋"/>
          <w:b/>
          <w:szCs w:val="21"/>
          <w:highlight w:val="none"/>
        </w:rPr>
        <w:t>分）</w:t>
      </w:r>
    </w:p>
    <w:tbl>
      <w:tblPr>
        <w:tblStyle w:val="5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69"/>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9"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rPr>
              <w:t>序号</w:t>
            </w:r>
          </w:p>
        </w:tc>
        <w:tc>
          <w:tcPr>
            <w:tcW w:w="1569"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rPr>
              <w:t>评审内容</w:t>
            </w:r>
          </w:p>
        </w:tc>
        <w:tc>
          <w:tcPr>
            <w:tcW w:w="5306"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rPr>
              <w:t>评  审  标  准</w:t>
            </w:r>
          </w:p>
        </w:tc>
        <w:tc>
          <w:tcPr>
            <w:tcW w:w="1061"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9"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rPr>
              <w:t>1</w:t>
            </w:r>
          </w:p>
        </w:tc>
        <w:tc>
          <w:tcPr>
            <w:tcW w:w="1569" w:type="dxa"/>
            <w:vAlign w:val="center"/>
          </w:tcPr>
          <w:p>
            <w:pPr>
              <w:jc w:val="center"/>
              <w:rPr>
                <w:rFonts w:hint="eastAsia" w:ascii="仿宋" w:hAnsi="仿宋" w:eastAsia="仿宋" w:cs="仿宋"/>
                <w:bCs/>
                <w:highlight w:val="none"/>
              </w:rPr>
            </w:pPr>
            <w:r>
              <w:rPr>
                <w:rFonts w:hint="eastAsia" w:ascii="仿宋" w:hAnsi="仿宋" w:eastAsia="仿宋" w:cs="仿宋"/>
                <w:bCs/>
                <w:color w:val="auto"/>
                <w:highlight w:val="none"/>
              </w:rPr>
              <w:t>合同主要条款</w:t>
            </w:r>
          </w:p>
        </w:tc>
        <w:tc>
          <w:tcPr>
            <w:tcW w:w="5306" w:type="dxa"/>
            <w:vAlign w:val="center"/>
          </w:tcPr>
          <w:p>
            <w:pPr>
              <w:jc w:val="left"/>
              <w:rPr>
                <w:rFonts w:hint="eastAsia" w:ascii="仿宋" w:hAnsi="仿宋" w:eastAsia="仿宋" w:cs="仿宋"/>
                <w:highlight w:val="none"/>
              </w:rPr>
            </w:pPr>
            <w:r>
              <w:rPr>
                <w:rFonts w:hint="eastAsia" w:ascii="仿宋" w:hAnsi="仿宋" w:eastAsia="仿宋" w:cs="仿宋"/>
                <w:color w:val="auto"/>
                <w:highlight w:val="none"/>
              </w:rPr>
              <w:t>经过资格审查合格的供应商，响应文件中对付款、交付内容、服务等方面进行响应说明，按其响应程度计0～5分。无响应说明的不计分。</w:t>
            </w:r>
          </w:p>
        </w:tc>
        <w:tc>
          <w:tcPr>
            <w:tcW w:w="1061"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lang w:val="en-US" w:eastAsia="zh-CN"/>
              </w:rPr>
              <w:t>2</w:t>
            </w:r>
          </w:p>
        </w:tc>
        <w:tc>
          <w:tcPr>
            <w:tcW w:w="1569" w:type="dxa"/>
            <w:vAlign w:val="center"/>
          </w:tcPr>
          <w:p>
            <w:pPr>
              <w:snapToGrid w:val="0"/>
              <w:jc w:val="center"/>
              <w:rPr>
                <w:rFonts w:hint="eastAsia" w:ascii="仿宋" w:hAnsi="仿宋" w:eastAsia="仿宋" w:cs="仿宋"/>
                <w:bCs/>
                <w:highlight w:val="none"/>
              </w:rPr>
            </w:pPr>
            <w:r>
              <w:rPr>
                <w:rFonts w:hint="eastAsia" w:ascii="仿宋" w:hAnsi="仿宋" w:eastAsia="仿宋" w:cs="仿宋"/>
                <w:color w:val="auto"/>
                <w:kern w:val="0"/>
                <w:szCs w:val="21"/>
                <w:highlight w:val="none"/>
                <w:lang w:val="en-US" w:eastAsia="zh-CN"/>
              </w:rPr>
              <w:t>业绩</w:t>
            </w:r>
          </w:p>
        </w:tc>
        <w:tc>
          <w:tcPr>
            <w:tcW w:w="5306" w:type="dxa"/>
            <w:vAlign w:val="center"/>
          </w:tcPr>
          <w:p>
            <w:pPr>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需具有近三年（20</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月至今，以合同签订</w:t>
            </w:r>
            <w:r>
              <w:rPr>
                <w:rFonts w:hint="eastAsia" w:ascii="仿宋" w:hAnsi="仿宋" w:eastAsia="仿宋" w:cs="仿宋"/>
                <w:color w:val="auto"/>
                <w:szCs w:val="21"/>
                <w:highlight w:val="none"/>
                <w:lang w:eastAsia="zh-CN"/>
              </w:rPr>
              <w:t>或中标通知书</w:t>
            </w:r>
            <w:r>
              <w:rPr>
                <w:rFonts w:hint="eastAsia" w:ascii="仿宋" w:hAnsi="仿宋" w:eastAsia="仿宋" w:cs="仿宋"/>
                <w:color w:val="auto"/>
                <w:szCs w:val="21"/>
                <w:highlight w:val="none"/>
              </w:rPr>
              <w:t>为准）的同类项目业绩，每提供一个计</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分，满分</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snapToGrid w:val="0"/>
              <w:rPr>
                <w:rFonts w:hint="eastAsia" w:ascii="仿宋" w:hAnsi="仿宋" w:eastAsia="仿宋" w:cs="仿宋"/>
                <w:highlight w:val="none"/>
              </w:rPr>
            </w:pPr>
            <w:r>
              <w:rPr>
                <w:rFonts w:hint="eastAsia" w:ascii="仿宋" w:hAnsi="仿宋" w:eastAsia="仿宋" w:cs="仿宋"/>
                <w:color w:val="auto"/>
                <w:szCs w:val="21"/>
                <w:highlight w:val="none"/>
              </w:rPr>
              <w:t>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文件中提供合同复印件</w:t>
            </w:r>
            <w:r>
              <w:rPr>
                <w:rFonts w:hint="eastAsia" w:ascii="仿宋" w:hAnsi="仿宋" w:eastAsia="仿宋" w:cs="仿宋"/>
                <w:color w:val="auto"/>
                <w:szCs w:val="21"/>
                <w:highlight w:val="none"/>
                <w:lang w:eastAsia="zh-CN"/>
              </w:rPr>
              <w:t>或中标通知书复印件</w:t>
            </w:r>
            <w:r>
              <w:rPr>
                <w:rFonts w:hint="eastAsia" w:ascii="仿宋" w:hAnsi="仿宋" w:eastAsia="仿宋" w:cs="仿宋"/>
                <w:color w:val="auto"/>
                <w:szCs w:val="21"/>
                <w:highlight w:val="none"/>
              </w:rPr>
              <w:t>加盖公章。</w:t>
            </w:r>
          </w:p>
        </w:tc>
        <w:tc>
          <w:tcPr>
            <w:tcW w:w="1061" w:type="dxa"/>
            <w:vAlign w:val="center"/>
          </w:tcPr>
          <w:p>
            <w:pPr>
              <w:jc w:val="center"/>
              <w:rPr>
                <w:rFonts w:hint="eastAsia" w:ascii="仿宋" w:hAnsi="仿宋" w:eastAsia="仿宋" w:cs="仿宋"/>
                <w:highlight w:val="none"/>
              </w:rPr>
            </w:pPr>
            <w:r>
              <w:rPr>
                <w:rFonts w:hint="eastAsia" w:ascii="仿宋" w:hAnsi="仿宋" w:eastAsia="仿宋" w:cs="仿宋"/>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 w:hAnsi="仿宋" w:eastAsia="仿宋" w:cs="仿宋"/>
                <w:highlight w:val="none"/>
              </w:rPr>
            </w:pPr>
            <w:bookmarkStart w:id="409" w:name="_Toc410631199"/>
            <w:bookmarkStart w:id="410" w:name="_Toc414446035"/>
            <w:bookmarkStart w:id="411" w:name="_Toc7005063"/>
            <w:r>
              <w:rPr>
                <w:rFonts w:hint="eastAsia" w:ascii="仿宋" w:hAnsi="仿宋" w:eastAsia="仿宋" w:cs="仿宋"/>
                <w:color w:val="auto"/>
                <w:highlight w:val="none"/>
                <w:lang w:val="en-US" w:eastAsia="zh-CN"/>
              </w:rPr>
              <w:t>4</w:t>
            </w:r>
          </w:p>
        </w:tc>
        <w:tc>
          <w:tcPr>
            <w:tcW w:w="1569" w:type="dxa"/>
            <w:vAlign w:val="center"/>
          </w:tcPr>
          <w:p>
            <w:pPr>
              <w:snapToGrid w:val="0"/>
              <w:jc w:val="center"/>
              <w:rPr>
                <w:rFonts w:hint="eastAsia" w:ascii="仿宋" w:hAnsi="仿宋" w:eastAsia="仿宋" w:cs="仿宋"/>
                <w:kern w:val="0"/>
                <w:szCs w:val="21"/>
                <w:highlight w:val="none"/>
              </w:rPr>
            </w:pPr>
            <w:r>
              <w:rPr>
                <w:rFonts w:hint="eastAsia" w:ascii="仿宋" w:hAnsi="仿宋" w:eastAsia="仿宋" w:cs="仿宋"/>
                <w:color w:val="auto"/>
                <w:kern w:val="0"/>
                <w:szCs w:val="21"/>
                <w:highlight w:val="none"/>
                <w:lang w:val="en-US" w:eastAsia="zh-CN"/>
              </w:rPr>
              <w:t>售后服务及承诺</w:t>
            </w:r>
          </w:p>
        </w:tc>
        <w:tc>
          <w:tcPr>
            <w:tcW w:w="5306" w:type="dxa"/>
            <w:vAlign w:val="center"/>
          </w:tcPr>
          <w:p>
            <w:pPr>
              <w:numPr>
                <w:ilvl w:val="0"/>
                <w:numId w:val="14"/>
              </w:numPr>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供应商提供的售后服务方案详细、具体、科学合理，根据响应程度计 0-</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分</w:t>
            </w:r>
          </w:p>
          <w:p>
            <w:pPr>
              <w:numPr>
                <w:ilvl w:val="0"/>
                <w:numId w:val="0"/>
              </w:numPr>
              <w:snapToGrid w:val="0"/>
              <w:ind w:left="0" w:leftChars="0" w:firstLine="0" w:firstLineChars="0"/>
              <w:rPr>
                <w:rFonts w:hint="eastAsia" w:ascii="仿宋" w:hAnsi="仿宋" w:eastAsia="仿宋" w:cs="仿宋"/>
                <w:szCs w:val="21"/>
                <w:highlight w:val="none"/>
              </w:rPr>
            </w:pPr>
            <w:r>
              <w:rPr>
                <w:rFonts w:hint="eastAsia" w:ascii="仿宋" w:hAnsi="仿宋" w:eastAsia="仿宋" w:cs="仿宋"/>
                <w:color w:val="auto"/>
                <w:szCs w:val="21"/>
                <w:highlight w:val="none"/>
                <w:lang w:val="en-US" w:eastAsia="zh-CN"/>
              </w:rPr>
              <w:t>2、针对采购人的要求，提出合理化建议的</w:t>
            </w:r>
            <w:r>
              <w:rPr>
                <w:rFonts w:hint="eastAsia" w:ascii="仿宋" w:hAnsi="仿宋" w:eastAsia="仿宋" w:cs="仿宋"/>
                <w:color w:val="auto"/>
                <w:szCs w:val="21"/>
                <w:highlight w:val="none"/>
              </w:rPr>
              <w:t>，根据响应程度计 0-</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分</w:t>
            </w:r>
          </w:p>
        </w:tc>
        <w:tc>
          <w:tcPr>
            <w:tcW w:w="1061" w:type="dxa"/>
            <w:vAlign w:val="center"/>
          </w:tcPr>
          <w:p>
            <w:pPr>
              <w:jc w:val="center"/>
              <w:rPr>
                <w:rFonts w:hint="eastAsia" w:ascii="仿宋" w:hAnsi="仿宋" w:eastAsia="仿宋" w:cs="仿宋"/>
                <w:highlight w:val="none"/>
                <w:lang w:val="en-US"/>
              </w:rPr>
            </w:pPr>
            <w:r>
              <w:rPr>
                <w:rFonts w:hint="eastAsia" w:ascii="仿宋" w:hAnsi="仿宋" w:eastAsia="仿宋" w:cs="仿宋"/>
                <w:color w:val="auto"/>
                <w:highlight w:val="none"/>
                <w:lang w:val="en-US" w:eastAsia="zh-CN"/>
              </w:rPr>
              <w:t>10</w:t>
            </w:r>
          </w:p>
        </w:tc>
      </w:tr>
    </w:tbl>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jc w:val="center"/>
        <w:rPr>
          <w:rFonts w:hint="eastAsia" w:ascii="仿宋" w:hAnsi="仿宋" w:eastAsia="仿宋" w:cs="仿宋"/>
          <w:b/>
          <w:sz w:val="30"/>
          <w:szCs w:val="30"/>
          <w:highlight w:val="none"/>
        </w:rPr>
      </w:pPr>
    </w:p>
    <w:p>
      <w:pP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p>
    <w:p>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附件四 技术评审因素及分值分配</w:t>
      </w:r>
      <w:bookmarkEnd w:id="409"/>
      <w:bookmarkEnd w:id="410"/>
      <w:bookmarkEnd w:id="411"/>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highlight w:val="none"/>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highlight w:val="none"/>
        </w:rPr>
      </w:pPr>
      <w:r>
        <w:rPr>
          <w:rFonts w:hint="eastAsia" w:ascii="仿宋" w:hAnsi="仿宋" w:eastAsia="仿宋" w:cs="仿宋"/>
          <w:b/>
          <w:szCs w:val="21"/>
          <w:highlight w:val="none"/>
        </w:rPr>
        <w:t>（总分</w:t>
      </w:r>
      <w:r>
        <w:rPr>
          <w:rFonts w:hint="eastAsia" w:ascii="仿宋" w:hAnsi="仿宋" w:eastAsia="仿宋" w:cs="仿宋"/>
          <w:b/>
          <w:szCs w:val="21"/>
          <w:highlight w:val="none"/>
          <w:lang w:val="en-US" w:eastAsia="zh-CN"/>
        </w:rPr>
        <w:t>70</w:t>
      </w:r>
      <w:r>
        <w:rPr>
          <w:rFonts w:hint="eastAsia" w:ascii="仿宋" w:hAnsi="仿宋" w:eastAsia="仿宋" w:cs="仿宋"/>
          <w:b/>
          <w:szCs w:val="21"/>
          <w:highlight w:val="none"/>
        </w:rPr>
        <w:t>分）</w:t>
      </w:r>
    </w:p>
    <w:tbl>
      <w:tblPr>
        <w:tblStyle w:val="5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216"/>
        <w:gridCol w:w="473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blHeader/>
          <w:jc w:val="center"/>
        </w:trPr>
        <w:tc>
          <w:tcPr>
            <w:tcW w:w="501" w:type="dxa"/>
            <w:vAlign w:val="center"/>
          </w:tcPr>
          <w:p>
            <w:pPr>
              <w:widowControl/>
              <w:snapToGrid w:val="0"/>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序号</w:t>
            </w:r>
          </w:p>
        </w:tc>
        <w:tc>
          <w:tcPr>
            <w:tcW w:w="2216" w:type="dxa"/>
            <w:vAlign w:val="center"/>
          </w:tcPr>
          <w:p>
            <w:pPr>
              <w:widowControl/>
              <w:snapToGrid w:val="0"/>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项目</w:t>
            </w:r>
          </w:p>
        </w:tc>
        <w:tc>
          <w:tcPr>
            <w:tcW w:w="4733" w:type="dxa"/>
            <w:vAlign w:val="center"/>
          </w:tcPr>
          <w:p>
            <w:pPr>
              <w:widowControl/>
              <w:snapToGrid w:val="0"/>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评分参考标准</w:t>
            </w:r>
          </w:p>
        </w:tc>
        <w:tc>
          <w:tcPr>
            <w:tcW w:w="1427" w:type="dxa"/>
            <w:vAlign w:val="center"/>
          </w:tcPr>
          <w:p>
            <w:pPr>
              <w:widowControl/>
              <w:snapToGrid w:val="0"/>
              <w:jc w:val="center"/>
              <w:rPr>
                <w:rFonts w:hint="eastAsia" w:ascii="仿宋" w:hAnsi="仿宋" w:eastAsia="仿宋" w:cs="仿宋"/>
                <w:b/>
                <w:kern w:val="0"/>
                <w:sz w:val="22"/>
                <w:szCs w:val="22"/>
                <w:highlight w:val="none"/>
              </w:rPr>
            </w:pPr>
            <w:r>
              <w:rPr>
                <w:rFonts w:hint="eastAsia" w:ascii="仿宋" w:hAnsi="仿宋" w:eastAsia="仿宋" w:cs="仿宋"/>
                <w:b/>
                <w:kern w:val="0"/>
                <w:sz w:val="22"/>
                <w:szCs w:val="22"/>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blHeader/>
          <w:jc w:val="center"/>
        </w:trPr>
        <w:tc>
          <w:tcPr>
            <w:tcW w:w="501" w:type="dxa"/>
            <w:vAlign w:val="center"/>
          </w:tcPr>
          <w:p>
            <w:pPr>
              <w:widowControl/>
              <w:snapToGrid w:val="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w:t>
            </w:r>
          </w:p>
        </w:tc>
        <w:tc>
          <w:tcPr>
            <w:tcW w:w="2216" w:type="dxa"/>
            <w:vAlign w:val="center"/>
          </w:tcPr>
          <w:p>
            <w:pPr>
              <w:widowControl/>
              <w:snapToGrid w:val="0"/>
              <w:jc w:val="center"/>
              <w:rPr>
                <w:rFonts w:hint="eastAsia" w:ascii="仿宋" w:hAnsi="仿宋" w:eastAsia="仿宋" w:cs="仿宋"/>
                <w:kern w:val="0"/>
                <w:sz w:val="22"/>
                <w:szCs w:val="22"/>
                <w:highlight w:val="none"/>
              </w:rPr>
            </w:pPr>
            <w:r>
              <w:rPr>
                <w:rFonts w:hint="eastAsia" w:ascii="仿宋" w:hAnsi="仿宋" w:eastAsia="仿宋" w:cs="仿宋"/>
                <w:color w:val="auto"/>
                <w:kern w:val="0"/>
                <w:sz w:val="22"/>
                <w:szCs w:val="22"/>
                <w:highlight w:val="none"/>
                <w:lang w:eastAsia="zh-CN"/>
              </w:rPr>
              <w:t>技术</w:t>
            </w:r>
            <w:r>
              <w:rPr>
                <w:rFonts w:hint="eastAsia" w:ascii="仿宋" w:hAnsi="仿宋" w:eastAsia="仿宋" w:cs="仿宋"/>
                <w:color w:val="auto"/>
                <w:kern w:val="0"/>
                <w:sz w:val="22"/>
                <w:szCs w:val="22"/>
                <w:highlight w:val="none"/>
              </w:rPr>
              <w:t>方案</w:t>
            </w:r>
          </w:p>
        </w:tc>
        <w:tc>
          <w:tcPr>
            <w:tcW w:w="4733" w:type="dxa"/>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1、对本项目的认识和理解程度：结合项目概况和内容，由评标委员会自主赋分，0-5分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2、技术方案内容完整、详实可行、可操作性强，按其响应性计0～5分；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3、供应商具备良好的系统搭建能力，按其响应性计0～5分；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4、确保系统具有较长的生命力和扩展能力。保证先进性的同时还要保证技术的稳定、安全性，按其响应性计0～5分；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kern w:val="0"/>
                <w:sz w:val="22"/>
                <w:szCs w:val="22"/>
                <w:highlight w:val="none"/>
              </w:rPr>
            </w:pPr>
          </w:p>
        </w:tc>
        <w:tc>
          <w:tcPr>
            <w:tcW w:w="1427" w:type="dxa"/>
            <w:vAlign w:val="center"/>
          </w:tcPr>
          <w:p>
            <w:pPr>
              <w:snapToGrid w:val="0"/>
              <w:jc w:val="center"/>
              <w:rPr>
                <w:rFonts w:hint="eastAsia" w:ascii="仿宋" w:hAnsi="仿宋" w:eastAsia="仿宋" w:cs="仿宋"/>
                <w:sz w:val="22"/>
                <w:szCs w:val="22"/>
                <w:highlight w:val="none"/>
                <w:lang w:val="en-US"/>
              </w:rPr>
            </w:pPr>
            <w:r>
              <w:rPr>
                <w:rFonts w:hint="eastAsia" w:ascii="仿宋" w:hAnsi="仿宋" w:eastAsia="仿宋" w:cs="仿宋"/>
                <w:color w:val="auto"/>
                <w:sz w:val="22"/>
                <w:szCs w:val="2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5" w:hRule="atLeast"/>
          <w:tblHeader/>
          <w:jc w:val="center"/>
        </w:trPr>
        <w:tc>
          <w:tcPr>
            <w:tcW w:w="501" w:type="dxa"/>
            <w:vAlign w:val="center"/>
          </w:tcPr>
          <w:p>
            <w:pPr>
              <w:widowControl/>
              <w:snapToGrid w:val="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w:t>
            </w:r>
          </w:p>
        </w:tc>
        <w:tc>
          <w:tcPr>
            <w:tcW w:w="2216" w:type="dxa"/>
            <w:vAlign w:val="center"/>
          </w:tcPr>
          <w:p>
            <w:pPr>
              <w:widowControl/>
              <w:snapToGrid w:val="0"/>
              <w:jc w:val="center"/>
              <w:rPr>
                <w:rFonts w:hint="eastAsia" w:ascii="仿宋" w:hAnsi="仿宋" w:eastAsia="仿宋" w:cs="仿宋"/>
                <w:kern w:val="0"/>
                <w:sz w:val="22"/>
                <w:szCs w:val="22"/>
                <w:highlight w:val="none"/>
              </w:rPr>
            </w:pPr>
            <w:r>
              <w:rPr>
                <w:rFonts w:hint="eastAsia" w:ascii="仿宋" w:hAnsi="仿宋" w:eastAsia="仿宋" w:cs="仿宋"/>
                <w:color w:val="auto"/>
                <w:kern w:val="0"/>
                <w:sz w:val="22"/>
                <w:szCs w:val="22"/>
                <w:highlight w:val="none"/>
                <w:lang w:eastAsia="zh-CN"/>
              </w:rPr>
              <w:t>服务方案</w:t>
            </w:r>
          </w:p>
        </w:tc>
        <w:tc>
          <w:tcPr>
            <w:tcW w:w="4733" w:type="dxa"/>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1、制定完整的团队人员服务方案，方案内容完整、工作计划详实可行，按其响应性计0～5分；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2、质量控制目标及措施，按其响应性计0～5分；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3、进度控制目标及措施，按其响应程度计0～5分；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4、安全管理控制措施及手段，按其响应程度计0～5分；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5、对紧急项目具有应急方案，按其响应程度计0～5分；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6、根据供应商提供针对本项目具有可行的技术培训方案，培训采购人指定的技术人员和管理人员，按其响应程度计0～5分；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 w:hAnsi="仿宋" w:eastAsia="仿宋" w:cs="仿宋"/>
                <w:kern w:val="0"/>
                <w:sz w:val="22"/>
                <w:szCs w:val="22"/>
                <w:highlight w:val="none"/>
              </w:rPr>
            </w:pPr>
            <w:r>
              <w:rPr>
                <w:rFonts w:hint="eastAsia" w:ascii="仿宋" w:hAnsi="仿宋" w:eastAsia="仿宋" w:cs="仿宋"/>
                <w:color w:val="auto"/>
                <w:kern w:val="0"/>
                <w:sz w:val="22"/>
                <w:szCs w:val="22"/>
                <w:highlight w:val="none"/>
                <w:lang w:val="en-US" w:eastAsia="zh-CN"/>
              </w:rPr>
              <w:t>7、针对系统故障的处理方案，按其响应程度计0～5分；</w:t>
            </w:r>
          </w:p>
        </w:tc>
        <w:tc>
          <w:tcPr>
            <w:tcW w:w="1427" w:type="dxa"/>
            <w:vAlign w:val="center"/>
          </w:tcPr>
          <w:p>
            <w:pPr>
              <w:snapToGrid w:val="0"/>
              <w:jc w:val="center"/>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blHeader/>
          <w:jc w:val="center"/>
        </w:trPr>
        <w:tc>
          <w:tcPr>
            <w:tcW w:w="501" w:type="dxa"/>
            <w:vAlign w:val="center"/>
          </w:tcPr>
          <w:p>
            <w:pPr>
              <w:widowControl/>
              <w:snapToGrid w:val="0"/>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val="en-US" w:eastAsia="zh-CN"/>
              </w:rPr>
              <w:t>3</w:t>
            </w:r>
          </w:p>
        </w:tc>
        <w:tc>
          <w:tcPr>
            <w:tcW w:w="2216" w:type="dxa"/>
            <w:vAlign w:val="center"/>
          </w:tcPr>
          <w:p>
            <w:pPr>
              <w:widowControl/>
              <w:snapToGrid w:val="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服务团队</w:t>
            </w:r>
          </w:p>
        </w:tc>
        <w:tc>
          <w:tcPr>
            <w:tcW w:w="4733" w:type="dxa"/>
            <w:vAlign w:val="center"/>
          </w:tcPr>
          <w:p>
            <w:pPr>
              <w:widowControl/>
              <w:snapToGrid w:val="0"/>
              <w:spacing w:line="300" w:lineRule="exact"/>
              <w:jc w:val="left"/>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1、</w:t>
            </w:r>
            <w:r>
              <w:rPr>
                <w:rFonts w:hint="eastAsia" w:ascii="仿宋" w:hAnsi="仿宋" w:eastAsia="仿宋" w:cs="仿宋"/>
                <w:color w:val="auto"/>
                <w:kern w:val="0"/>
                <w:sz w:val="22"/>
                <w:szCs w:val="22"/>
                <w:highlight w:val="none"/>
                <w:lang w:val="en-US" w:eastAsia="zh-CN"/>
              </w:rPr>
              <w:t>组织机构：供应商公司的组织机构和管理机构，能满足本项目工作需要、有能力完成项目，按其响应程度计0～5分；</w:t>
            </w:r>
          </w:p>
          <w:p>
            <w:pPr>
              <w:widowControl/>
              <w:snapToGrid w:val="0"/>
              <w:spacing w:line="300" w:lineRule="exact"/>
              <w:jc w:val="left"/>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val="en-US" w:eastAsia="zh-CN"/>
              </w:rPr>
              <w:t>2</w:t>
            </w:r>
            <w:r>
              <w:rPr>
                <w:rFonts w:hint="eastAsia" w:ascii="仿宋" w:hAnsi="仿宋" w:eastAsia="仿宋" w:cs="仿宋"/>
                <w:kern w:val="0"/>
                <w:sz w:val="22"/>
                <w:szCs w:val="22"/>
                <w:highlight w:val="none"/>
              </w:rPr>
              <w:t>、对项目负责人履历，从业资格，类似业绩情况进行综合评审比较，按其程度赋分0～5分</w:t>
            </w:r>
            <w:r>
              <w:rPr>
                <w:rFonts w:hint="eastAsia" w:ascii="仿宋" w:hAnsi="仿宋" w:eastAsia="仿宋" w:cs="仿宋"/>
                <w:kern w:val="0"/>
                <w:sz w:val="22"/>
                <w:szCs w:val="22"/>
                <w:highlight w:val="none"/>
                <w:lang w:eastAsia="zh-CN"/>
              </w:rPr>
              <w:t>；</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3</w:t>
            </w:r>
            <w:r>
              <w:rPr>
                <w:rFonts w:hint="eastAsia" w:ascii="仿宋" w:hAnsi="仿宋" w:eastAsia="仿宋" w:cs="仿宋"/>
                <w:kern w:val="0"/>
                <w:sz w:val="22"/>
                <w:szCs w:val="22"/>
                <w:highlight w:val="none"/>
              </w:rPr>
              <w:t>、项目人员配备、分工，组织结构设置的健全程度和合理性进行评审，按其程度赋分0～5分。</w:t>
            </w:r>
          </w:p>
        </w:tc>
        <w:tc>
          <w:tcPr>
            <w:tcW w:w="1427" w:type="dxa"/>
            <w:vAlign w:val="center"/>
          </w:tcPr>
          <w:p>
            <w:pPr>
              <w:jc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15</w:t>
            </w:r>
          </w:p>
        </w:tc>
      </w:tr>
    </w:tbl>
    <w:p>
      <w:pP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p>
    <w:p>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附件五 报价评审因素及分值分配表</w:t>
      </w:r>
    </w:p>
    <w:p>
      <w:pPr>
        <w:rPr>
          <w:rFonts w:hint="eastAsia" w:ascii="仿宋" w:hAnsi="仿宋" w:eastAsia="仿宋" w:cs="仿宋"/>
          <w:b/>
          <w:sz w:val="28"/>
          <w:szCs w:val="28"/>
          <w:highlight w:val="none"/>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highlight w:val="none"/>
        </w:rPr>
      </w:pPr>
      <w:r>
        <w:rPr>
          <w:rFonts w:hint="eastAsia" w:ascii="仿宋" w:hAnsi="仿宋" w:eastAsia="仿宋" w:cs="仿宋"/>
          <w:b/>
          <w:szCs w:val="21"/>
          <w:highlight w:val="none"/>
        </w:rPr>
        <w:t>（总分</w:t>
      </w:r>
      <w:r>
        <w:rPr>
          <w:rFonts w:hint="eastAsia" w:ascii="仿宋" w:hAnsi="仿宋" w:eastAsia="仿宋" w:cs="仿宋"/>
          <w:b/>
          <w:szCs w:val="21"/>
          <w:highlight w:val="none"/>
          <w:lang w:val="en-US" w:eastAsia="zh-CN"/>
        </w:rPr>
        <w:t>1</w:t>
      </w:r>
      <w:r>
        <w:rPr>
          <w:rFonts w:hint="eastAsia" w:ascii="仿宋" w:hAnsi="仿宋" w:eastAsia="仿宋" w:cs="仿宋"/>
          <w:b/>
          <w:szCs w:val="21"/>
          <w:highlight w:val="none"/>
        </w:rPr>
        <w:t>0分）</w:t>
      </w:r>
    </w:p>
    <w:p>
      <w:pPr>
        <w:rPr>
          <w:rFonts w:hint="eastAsia" w:ascii="仿宋" w:hAnsi="仿宋" w:eastAsia="仿宋" w:cs="仿宋"/>
          <w:highlight w:val="none"/>
        </w:rPr>
      </w:pPr>
    </w:p>
    <w:tbl>
      <w:tblPr>
        <w:tblStyle w:val="51"/>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64"/>
        <w:gridCol w:w="47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4" w:type="dxa"/>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2264" w:type="dxa"/>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评审内容</w:t>
            </w:r>
          </w:p>
        </w:tc>
        <w:tc>
          <w:tcPr>
            <w:tcW w:w="4791" w:type="dxa"/>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评审标准</w:t>
            </w:r>
          </w:p>
        </w:tc>
        <w:tc>
          <w:tcPr>
            <w:tcW w:w="1449" w:type="dxa"/>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34" w:type="dxa"/>
            <w:vAlign w:val="center"/>
          </w:tcPr>
          <w:p>
            <w:pPr>
              <w:jc w:val="center"/>
              <w:rPr>
                <w:rFonts w:hint="eastAsia" w:ascii="仿宋" w:hAnsi="仿宋" w:eastAsia="仿宋" w:cs="仿宋"/>
                <w:highlight w:val="none"/>
              </w:rPr>
            </w:pPr>
            <w:r>
              <w:rPr>
                <w:rFonts w:hint="eastAsia" w:ascii="仿宋" w:hAnsi="仿宋" w:eastAsia="仿宋" w:cs="仿宋"/>
                <w:highlight w:val="none"/>
              </w:rPr>
              <w:t>1</w:t>
            </w:r>
          </w:p>
        </w:tc>
        <w:tc>
          <w:tcPr>
            <w:tcW w:w="2264" w:type="dxa"/>
            <w:vAlign w:val="center"/>
          </w:tcPr>
          <w:p>
            <w:pPr>
              <w:jc w:val="center"/>
              <w:rPr>
                <w:rFonts w:hint="eastAsia" w:ascii="仿宋" w:hAnsi="仿宋" w:eastAsia="仿宋" w:cs="仿宋"/>
                <w:highlight w:val="none"/>
              </w:rPr>
            </w:pPr>
            <w:r>
              <w:rPr>
                <w:rFonts w:hint="eastAsia" w:ascii="仿宋" w:hAnsi="仿宋" w:eastAsia="仿宋" w:cs="仿宋"/>
                <w:highlight w:val="none"/>
              </w:rPr>
              <w:t>报价得分</w:t>
            </w:r>
          </w:p>
        </w:tc>
        <w:tc>
          <w:tcPr>
            <w:tcW w:w="4791" w:type="dxa"/>
            <w:vAlign w:val="center"/>
          </w:tcPr>
          <w:p>
            <w:pPr>
              <w:ind w:firstLine="420" w:firstLineChars="200"/>
              <w:jc w:val="left"/>
              <w:rPr>
                <w:rFonts w:hint="eastAsia" w:ascii="仿宋" w:hAnsi="仿宋" w:eastAsia="仿宋" w:cs="仿宋"/>
                <w:highlight w:val="none"/>
              </w:rPr>
            </w:pPr>
            <w:r>
              <w:rPr>
                <w:rFonts w:hint="eastAsia" w:ascii="仿宋" w:hAnsi="仿宋" w:eastAsia="仿宋" w:cs="仿宋"/>
                <w:highlight w:val="none"/>
              </w:rPr>
              <w:t>满足磋商文件要求且最后报价最低的供应商的价格为磋商基准价，其价格分为满分。其他供应商的价格分统一按照下列公式计算：磋商报价得分=（磋商基准价/最后磋商报价）×价格权值；</w:t>
            </w:r>
          </w:p>
          <w:p>
            <w:pPr>
              <w:ind w:firstLine="420" w:firstLineChars="200"/>
              <w:jc w:val="left"/>
              <w:rPr>
                <w:rFonts w:hint="eastAsia" w:ascii="仿宋" w:hAnsi="仿宋" w:eastAsia="仿宋" w:cs="仿宋"/>
                <w:highlight w:val="none"/>
              </w:rPr>
            </w:pPr>
            <w:r>
              <w:rPr>
                <w:rFonts w:hint="eastAsia" w:ascii="仿宋" w:hAnsi="仿宋" w:eastAsia="仿宋" w:cs="仿宋"/>
                <w:highlight w:val="none"/>
              </w:rPr>
              <w:t>本项目专门面向中小企业采购、不再给予价格优惠。</w:t>
            </w:r>
          </w:p>
        </w:tc>
        <w:tc>
          <w:tcPr>
            <w:tcW w:w="1449" w:type="dxa"/>
            <w:vAlign w:val="center"/>
          </w:tcPr>
          <w:p>
            <w:pPr>
              <w:jc w:val="center"/>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0</w:t>
            </w:r>
          </w:p>
        </w:tc>
      </w:tr>
    </w:tbl>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br w:type="page"/>
      </w:r>
    </w:p>
    <w:p>
      <w:pPr>
        <w:pStyle w:val="47"/>
        <w:spacing w:line="360" w:lineRule="auto"/>
        <w:rPr>
          <w:rStyle w:val="206"/>
          <w:rFonts w:hint="eastAsia" w:ascii="仿宋" w:hAnsi="仿宋" w:eastAsia="仿宋" w:cs="仿宋"/>
          <w:sz w:val="36"/>
          <w:szCs w:val="36"/>
          <w:highlight w:val="none"/>
        </w:rPr>
        <w:sectPr>
          <w:footerReference r:id="rId7" w:type="first"/>
          <w:footerReference r:id="rId6" w:type="default"/>
          <w:pgSz w:w="11906" w:h="16838"/>
          <w:pgMar w:top="1418" w:right="1418" w:bottom="1418" w:left="1418" w:header="851" w:footer="992" w:gutter="0"/>
          <w:pgNumType w:fmt="decimal" w:start="1"/>
          <w:cols w:space="720" w:num="1"/>
          <w:titlePg/>
          <w:docGrid w:linePitch="312" w:charSpace="0"/>
        </w:sectPr>
      </w:pPr>
    </w:p>
    <w:p>
      <w:pPr>
        <w:pStyle w:val="47"/>
        <w:spacing w:line="360" w:lineRule="auto"/>
        <w:rPr>
          <w:rStyle w:val="206"/>
          <w:rFonts w:hint="eastAsia" w:ascii="仿宋" w:hAnsi="仿宋" w:eastAsia="仿宋" w:cs="仿宋"/>
          <w:sz w:val="36"/>
          <w:szCs w:val="36"/>
          <w:highlight w:val="none"/>
        </w:rPr>
      </w:pPr>
      <w:bookmarkStart w:id="412" w:name="_Toc16124"/>
      <w:r>
        <w:rPr>
          <w:rStyle w:val="206"/>
          <w:rFonts w:hint="eastAsia" w:ascii="仿宋" w:hAnsi="仿宋" w:eastAsia="仿宋" w:cs="仿宋"/>
          <w:sz w:val="36"/>
          <w:szCs w:val="36"/>
          <w:highlight w:val="none"/>
        </w:rPr>
        <w:t>第四章  合同草案条款</w:t>
      </w:r>
      <w:bookmarkEnd w:id="19"/>
      <w:bookmarkEnd w:id="391"/>
      <w:bookmarkEnd w:id="392"/>
      <w:bookmarkEnd w:id="412"/>
      <w:bookmarkStart w:id="413" w:name="_Toc499711928"/>
      <w:bookmarkStart w:id="414" w:name="_Toc232395222"/>
      <w:bookmarkStart w:id="415" w:name="_Toc177995483"/>
      <w:bookmarkStart w:id="416" w:name="_Toc249515369"/>
      <w:bookmarkStart w:id="417" w:name="_Toc503063458"/>
      <w:bookmarkStart w:id="418" w:name="_Toc230583552"/>
      <w:bookmarkStart w:id="419" w:name="_Toc28450"/>
      <w:bookmarkStart w:id="420" w:name="_Toc53722865"/>
      <w:bookmarkStart w:id="421" w:name="_Toc177817344"/>
      <w:bookmarkStart w:id="422" w:name="_Toc249515482"/>
      <w:bookmarkStart w:id="423" w:name="_Toc256342152"/>
      <w:bookmarkStart w:id="424" w:name="_Toc415499897"/>
      <w:bookmarkStart w:id="425" w:name="_Toc500747106"/>
      <w:bookmarkStart w:id="426" w:name="_Toc499711087"/>
      <w:bookmarkStart w:id="427" w:name="_Toc500747233"/>
      <w:bookmarkStart w:id="428" w:name="_Toc176882552"/>
      <w:bookmarkStart w:id="429" w:name="_Toc232176282"/>
      <w:bookmarkStart w:id="430" w:name="_Toc230099803"/>
      <w:bookmarkStart w:id="431" w:name="_Toc500747010"/>
      <w:bookmarkStart w:id="432" w:name="_Toc177189245"/>
      <w:bookmarkStart w:id="433" w:name="_Toc184043058"/>
      <w:bookmarkStart w:id="434" w:name="_Toc492955459"/>
      <w:bookmarkStart w:id="435" w:name="_Toc70687202"/>
      <w:bookmarkStart w:id="436" w:name="_Toc230013638"/>
      <w:bookmarkStart w:id="437" w:name="_Toc249525250"/>
      <w:bookmarkStart w:id="438" w:name="_Toc496324623"/>
    </w:p>
    <w:p>
      <w:pPr>
        <w:pStyle w:val="24"/>
        <w:ind w:left="840" w:hanging="420"/>
        <w:rPr>
          <w:rFonts w:hint="eastAsia" w:ascii="仿宋" w:hAnsi="仿宋" w:eastAsia="仿宋" w:cs="仿宋"/>
          <w:highlight w:val="none"/>
        </w:rPr>
      </w:pPr>
    </w:p>
    <w:p>
      <w:pPr>
        <w:tabs>
          <w:tab w:val="left" w:pos="6228"/>
        </w:tabs>
        <w:spacing w:before="54"/>
        <w:ind w:left="447"/>
        <w:jc w:val="left"/>
        <w:rPr>
          <w:rFonts w:hint="eastAsia" w:ascii="仿宋" w:hAnsi="仿宋" w:eastAsia="仿宋" w:cs="仿宋"/>
          <w:b/>
          <w:sz w:val="32"/>
          <w:highlight w:val="none"/>
        </w:rPr>
      </w:pPr>
      <w:r>
        <w:rPr>
          <w:rFonts w:hint="eastAsia" w:ascii="仿宋" w:hAnsi="仿宋" w:eastAsia="仿宋" w:cs="仿宋"/>
          <w:b/>
          <w:sz w:val="32"/>
          <w:highlight w:val="none"/>
        </w:rPr>
        <w:t>政府采购合同</w:t>
      </w:r>
      <w:r>
        <w:rPr>
          <w:rFonts w:hint="eastAsia" w:ascii="仿宋" w:hAnsi="仿宋" w:eastAsia="仿宋" w:cs="仿宋"/>
          <w:b/>
          <w:sz w:val="32"/>
          <w:highlight w:val="none"/>
        </w:rPr>
        <w:tab/>
      </w:r>
      <w:r>
        <w:rPr>
          <w:rFonts w:hint="eastAsia" w:ascii="仿宋" w:hAnsi="仿宋" w:eastAsia="仿宋" w:cs="仿宋"/>
          <w:b/>
          <w:w w:val="95"/>
          <w:sz w:val="32"/>
          <w:highlight w:val="none"/>
        </w:rPr>
        <w:t>合同编号：</w:t>
      </w:r>
    </w:p>
    <w:p>
      <w:pPr>
        <w:pStyle w:val="22"/>
        <w:rPr>
          <w:rFonts w:hint="eastAsia" w:ascii="仿宋" w:hAnsi="仿宋" w:eastAsia="仿宋" w:cs="仿宋"/>
          <w:b/>
          <w:sz w:val="20"/>
          <w:highlight w:val="none"/>
        </w:rPr>
      </w:pPr>
    </w:p>
    <w:p>
      <w:pPr>
        <w:pStyle w:val="22"/>
        <w:rPr>
          <w:rFonts w:hint="eastAsia" w:ascii="仿宋" w:hAnsi="仿宋" w:eastAsia="仿宋" w:cs="仿宋"/>
          <w:b/>
          <w:sz w:val="20"/>
          <w:highlight w:val="none"/>
        </w:rPr>
      </w:pPr>
    </w:p>
    <w:p>
      <w:pPr>
        <w:pStyle w:val="22"/>
        <w:rPr>
          <w:rFonts w:hint="eastAsia" w:ascii="仿宋" w:hAnsi="仿宋" w:eastAsia="仿宋" w:cs="仿宋"/>
          <w:b/>
          <w:sz w:val="20"/>
          <w:highlight w:val="none"/>
        </w:rPr>
      </w:pPr>
    </w:p>
    <w:p>
      <w:pPr>
        <w:pStyle w:val="22"/>
        <w:rPr>
          <w:rFonts w:hint="eastAsia" w:ascii="仿宋" w:hAnsi="仿宋" w:eastAsia="仿宋" w:cs="仿宋"/>
          <w:b/>
          <w:sz w:val="20"/>
          <w:highlight w:val="none"/>
        </w:rPr>
      </w:pPr>
    </w:p>
    <w:p>
      <w:pPr>
        <w:pStyle w:val="22"/>
        <w:rPr>
          <w:rFonts w:hint="eastAsia" w:ascii="仿宋" w:hAnsi="仿宋" w:eastAsia="仿宋" w:cs="仿宋"/>
          <w:b/>
          <w:sz w:val="20"/>
          <w:highlight w:val="none"/>
        </w:rPr>
      </w:pPr>
    </w:p>
    <w:p>
      <w:pPr>
        <w:pStyle w:val="22"/>
        <w:rPr>
          <w:rFonts w:hint="eastAsia" w:ascii="仿宋" w:hAnsi="仿宋" w:eastAsia="仿宋" w:cs="仿宋"/>
          <w:b/>
          <w:sz w:val="20"/>
          <w:highlight w:val="none"/>
        </w:rPr>
      </w:pPr>
    </w:p>
    <w:p>
      <w:pPr>
        <w:pStyle w:val="22"/>
        <w:rPr>
          <w:rFonts w:hint="eastAsia" w:ascii="仿宋" w:hAnsi="仿宋" w:eastAsia="仿宋" w:cs="仿宋"/>
          <w:b/>
          <w:sz w:val="20"/>
          <w:highlight w:val="none"/>
        </w:rPr>
      </w:pPr>
    </w:p>
    <w:p>
      <w:pPr>
        <w:tabs>
          <w:tab w:val="left" w:pos="6228"/>
        </w:tabs>
        <w:spacing w:before="54"/>
        <w:ind w:left="447"/>
        <w:jc w:val="center"/>
        <w:rPr>
          <w:rFonts w:hint="eastAsia" w:ascii="仿宋" w:hAnsi="仿宋" w:eastAsia="仿宋" w:cs="仿宋"/>
          <w:b/>
          <w:sz w:val="32"/>
          <w:highlight w:val="none"/>
        </w:rPr>
      </w:pPr>
      <w:r>
        <w:rPr>
          <w:rFonts w:hint="eastAsia" w:ascii="仿宋" w:hAnsi="仿宋" w:eastAsia="仿宋" w:cs="仿宋"/>
          <w:b/>
          <w:sz w:val="32"/>
          <w:highlight w:val="none"/>
          <w:u w:val="single"/>
          <w:lang w:eastAsia="zh-CN"/>
        </w:rPr>
        <w:t>铜川市耀州区庙湾镇智慧香菇大数据平台服务项目</w:t>
      </w:r>
      <w:r>
        <w:rPr>
          <w:rFonts w:hint="eastAsia" w:ascii="仿宋" w:hAnsi="仿宋" w:eastAsia="仿宋" w:cs="仿宋"/>
          <w:b/>
          <w:sz w:val="32"/>
          <w:highlight w:val="none"/>
        </w:rPr>
        <w:t>采购项目</w:t>
      </w:r>
    </w:p>
    <w:p>
      <w:pPr>
        <w:spacing w:before="385"/>
        <w:ind w:left="920" w:right="754"/>
        <w:jc w:val="center"/>
        <w:rPr>
          <w:rFonts w:hint="eastAsia" w:ascii="仿宋" w:hAnsi="仿宋" w:eastAsia="仿宋" w:cs="仿宋"/>
          <w:b/>
          <w:sz w:val="40"/>
          <w:highlight w:val="none"/>
        </w:rPr>
      </w:pPr>
    </w:p>
    <w:p>
      <w:pPr>
        <w:pStyle w:val="22"/>
        <w:rPr>
          <w:rFonts w:hint="eastAsia" w:ascii="仿宋" w:hAnsi="仿宋" w:eastAsia="仿宋" w:cs="仿宋"/>
          <w:b/>
          <w:sz w:val="40"/>
          <w:highlight w:val="none"/>
        </w:rPr>
      </w:pPr>
    </w:p>
    <w:p>
      <w:pPr>
        <w:pStyle w:val="22"/>
        <w:rPr>
          <w:rFonts w:hint="eastAsia" w:ascii="仿宋" w:hAnsi="仿宋" w:eastAsia="仿宋" w:cs="仿宋"/>
          <w:b/>
          <w:sz w:val="40"/>
          <w:highlight w:val="none"/>
        </w:rPr>
      </w:pPr>
    </w:p>
    <w:p>
      <w:pPr>
        <w:pStyle w:val="22"/>
        <w:rPr>
          <w:rFonts w:hint="eastAsia" w:ascii="仿宋" w:hAnsi="仿宋" w:eastAsia="仿宋" w:cs="仿宋"/>
          <w:b/>
          <w:sz w:val="40"/>
          <w:highlight w:val="none"/>
        </w:rPr>
      </w:pPr>
    </w:p>
    <w:p>
      <w:pPr>
        <w:pStyle w:val="22"/>
        <w:rPr>
          <w:rFonts w:hint="eastAsia" w:ascii="仿宋" w:hAnsi="仿宋" w:eastAsia="仿宋" w:cs="仿宋"/>
          <w:b/>
          <w:sz w:val="40"/>
          <w:highlight w:val="none"/>
        </w:rPr>
      </w:pPr>
    </w:p>
    <w:p>
      <w:pPr>
        <w:pStyle w:val="22"/>
        <w:rPr>
          <w:rFonts w:hint="eastAsia" w:ascii="仿宋" w:hAnsi="仿宋" w:eastAsia="仿宋" w:cs="仿宋"/>
          <w:b/>
          <w:sz w:val="40"/>
          <w:highlight w:val="none"/>
        </w:rPr>
      </w:pPr>
    </w:p>
    <w:p>
      <w:pPr>
        <w:rPr>
          <w:rFonts w:hint="eastAsia" w:ascii="仿宋" w:hAnsi="仿宋" w:eastAsia="仿宋" w:cs="仿宋"/>
          <w:b/>
          <w:sz w:val="40"/>
          <w:highlight w:val="none"/>
        </w:rPr>
      </w:pPr>
    </w:p>
    <w:p>
      <w:pPr>
        <w:pStyle w:val="44"/>
        <w:rPr>
          <w:rFonts w:hint="eastAsia" w:ascii="仿宋" w:hAnsi="仿宋" w:eastAsia="仿宋" w:cs="仿宋"/>
          <w:highlight w:val="none"/>
        </w:rPr>
      </w:pPr>
    </w:p>
    <w:p>
      <w:pPr>
        <w:pStyle w:val="22"/>
        <w:spacing w:before="7"/>
        <w:rPr>
          <w:rFonts w:hint="eastAsia" w:ascii="仿宋" w:hAnsi="仿宋" w:eastAsia="仿宋" w:cs="仿宋"/>
          <w:b/>
          <w:sz w:val="28"/>
          <w:highlight w:val="none"/>
        </w:rPr>
      </w:pPr>
    </w:p>
    <w:p>
      <w:pPr>
        <w:pStyle w:val="4"/>
        <w:tabs>
          <w:tab w:val="left" w:pos="5316"/>
        </w:tabs>
        <w:spacing w:before="0"/>
        <w:ind w:right="425" w:firstLine="2432" w:firstLineChars="800"/>
        <w:rPr>
          <w:rFonts w:hint="eastAsia" w:ascii="仿宋" w:hAnsi="仿宋" w:eastAsia="仿宋" w:cs="仿宋"/>
          <w:highlight w:val="none"/>
        </w:rPr>
      </w:pPr>
      <w:bookmarkStart w:id="439" w:name="_Toc5027"/>
      <w:r>
        <w:rPr>
          <w:rFonts w:hint="eastAsia" w:ascii="仿宋" w:hAnsi="仿宋" w:eastAsia="仿宋" w:cs="仿宋"/>
          <w:w w:val="95"/>
          <w:highlight w:val="none"/>
        </w:rPr>
        <w:t>采购人：</w:t>
      </w:r>
      <w:bookmarkEnd w:id="439"/>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u w:val="single"/>
        </w:rPr>
        <w:t xml:space="preserve">       </w:t>
      </w:r>
    </w:p>
    <w:p>
      <w:pPr>
        <w:pStyle w:val="22"/>
        <w:spacing w:before="5"/>
        <w:rPr>
          <w:rFonts w:hint="eastAsia" w:ascii="仿宋" w:hAnsi="仿宋" w:eastAsia="仿宋" w:cs="仿宋"/>
          <w:b/>
          <w:highlight w:val="none"/>
        </w:rPr>
      </w:pPr>
    </w:p>
    <w:p>
      <w:pPr>
        <w:pStyle w:val="4"/>
        <w:tabs>
          <w:tab w:val="left" w:pos="5316"/>
        </w:tabs>
        <w:spacing w:before="0"/>
        <w:ind w:right="425" w:firstLine="2432" w:firstLineChars="800"/>
        <w:rPr>
          <w:rFonts w:hint="eastAsia" w:ascii="仿宋" w:hAnsi="仿宋" w:eastAsia="仿宋" w:cs="仿宋"/>
          <w:w w:val="95"/>
          <w:highlight w:val="none"/>
        </w:rPr>
      </w:pPr>
      <w:bookmarkStart w:id="440" w:name="_Toc4907"/>
      <w:r>
        <w:rPr>
          <w:rFonts w:hint="eastAsia" w:ascii="仿宋" w:hAnsi="仿宋" w:eastAsia="仿宋" w:cs="仿宋"/>
          <w:w w:val="95"/>
          <w:highlight w:val="none"/>
        </w:rPr>
        <w:t>供应商：</w:t>
      </w:r>
      <w:bookmarkEnd w:id="440"/>
      <w:r>
        <w:rPr>
          <w:rFonts w:hint="eastAsia" w:ascii="仿宋" w:hAnsi="仿宋" w:eastAsia="仿宋" w:cs="仿宋"/>
          <w:w w:val="95"/>
          <w:highlight w:val="none"/>
          <w:u w:val="single"/>
        </w:rPr>
        <w:t xml:space="preserve"> </w:t>
      </w:r>
      <w:r>
        <w:rPr>
          <w:rFonts w:hint="eastAsia" w:ascii="仿宋" w:hAnsi="仿宋" w:eastAsia="仿宋" w:cs="仿宋"/>
          <w:w w:val="95"/>
          <w:highlight w:val="none"/>
          <w:u w:val="single"/>
        </w:rPr>
        <w:tab/>
      </w:r>
      <w:r>
        <w:rPr>
          <w:rFonts w:hint="eastAsia" w:ascii="仿宋" w:hAnsi="仿宋" w:eastAsia="仿宋" w:cs="仿宋"/>
          <w:w w:val="95"/>
          <w:highlight w:val="none"/>
          <w:u w:val="single"/>
        </w:rPr>
        <w:t xml:space="preserve">        </w:t>
      </w:r>
    </w:p>
    <w:p>
      <w:pPr>
        <w:pStyle w:val="4"/>
        <w:spacing w:before="172"/>
        <w:ind w:right="751"/>
        <w:jc w:val="center"/>
        <w:rPr>
          <w:rFonts w:hint="eastAsia" w:ascii="仿宋" w:hAnsi="仿宋" w:eastAsia="仿宋" w:cs="仿宋"/>
          <w:sz w:val="28"/>
          <w:szCs w:val="28"/>
          <w:highlight w:val="none"/>
        </w:rPr>
      </w:pPr>
      <w:bookmarkStart w:id="441" w:name="_Toc17163"/>
      <w:r>
        <w:rPr>
          <w:rFonts w:hint="eastAsia" w:ascii="仿宋" w:hAnsi="仿宋" w:eastAsia="仿宋" w:cs="仿宋"/>
          <w:sz w:val="28"/>
          <w:szCs w:val="28"/>
          <w:highlight w:val="none"/>
        </w:rPr>
        <w:t>二〇二</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年  月</w:t>
      </w:r>
      <w:bookmarkEnd w:id="441"/>
    </w:p>
    <w:p>
      <w:pPr>
        <w:rPr>
          <w:rFonts w:hint="eastAsia" w:ascii="仿宋" w:hAnsi="仿宋" w:eastAsia="仿宋" w:cs="仿宋"/>
          <w:highlight w:val="none"/>
        </w:rPr>
        <w:sectPr>
          <w:pgSz w:w="11910" w:h="16840"/>
          <w:pgMar w:top="1380" w:right="780" w:bottom="1380" w:left="940" w:header="882" w:footer="1181" w:gutter="0"/>
          <w:pgNumType w:fmt="decimal"/>
          <w:cols w:space="720" w:num="1"/>
        </w:sectPr>
      </w:pPr>
    </w:p>
    <w:p>
      <w:pPr>
        <w:pStyle w:val="22"/>
        <w:spacing w:before="11"/>
        <w:rPr>
          <w:rFonts w:hint="eastAsia" w:ascii="仿宋" w:hAnsi="仿宋" w:eastAsia="仿宋" w:cs="仿宋"/>
          <w:b/>
          <w:sz w:val="7"/>
          <w:highlight w:val="none"/>
        </w:rPr>
      </w:pPr>
    </w:p>
    <w:p>
      <w:pPr>
        <w:pStyle w:val="22"/>
        <w:tabs>
          <w:tab w:val="left" w:pos="5546"/>
        </w:tabs>
        <w:spacing w:line="307" w:lineRule="exact"/>
        <w:ind w:left="927"/>
        <w:rPr>
          <w:rFonts w:hint="eastAsia" w:ascii="仿宋" w:hAnsi="仿宋" w:eastAsia="仿宋" w:cs="仿宋"/>
          <w:sz w:val="24"/>
          <w:highlight w:val="none"/>
        </w:rPr>
      </w:pPr>
    </w:p>
    <w:p>
      <w:pPr>
        <w:tabs>
          <w:tab w:val="left" w:pos="735"/>
        </w:tabs>
        <w:autoSpaceDE w:val="0"/>
        <w:autoSpaceDN w:val="0"/>
        <w:adjustRightInd w:val="0"/>
        <w:snapToGrid w:val="0"/>
        <w:spacing w:before="240" w:beforeLines="100" w:line="360" w:lineRule="auto"/>
        <w:ind w:firstLine="629"/>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甲方：</w:t>
      </w:r>
      <w:r>
        <w:rPr>
          <w:rFonts w:hint="eastAsia" w:ascii="仿宋" w:hAnsi="仿宋" w:eastAsia="仿宋" w:cs="仿宋"/>
          <w:bCs/>
          <w:sz w:val="28"/>
          <w:szCs w:val="28"/>
          <w:highlight w:val="none"/>
          <w:lang w:val="zh-CN"/>
        </w:rPr>
        <w:t>（前款所称采购人）     住所：</w:t>
      </w:r>
    </w:p>
    <w:p>
      <w:pPr>
        <w:tabs>
          <w:tab w:val="left" w:pos="735"/>
        </w:tabs>
        <w:autoSpaceDE w:val="0"/>
        <w:autoSpaceDN w:val="0"/>
        <w:adjustRightInd w:val="0"/>
        <w:snapToGrid w:val="0"/>
        <w:spacing w:line="360" w:lineRule="auto"/>
        <w:ind w:firstLine="631"/>
        <w:rPr>
          <w:rFonts w:hint="eastAsia" w:ascii="仿宋" w:hAnsi="仿宋" w:eastAsia="仿宋" w:cs="仿宋"/>
          <w:bCs/>
          <w:sz w:val="28"/>
          <w:szCs w:val="28"/>
          <w:highlight w:val="none"/>
          <w:lang w:val="zh-CN"/>
        </w:rPr>
      </w:pPr>
      <w:r>
        <w:rPr>
          <w:rFonts w:hint="eastAsia" w:ascii="仿宋" w:hAnsi="仿宋" w:eastAsia="仿宋" w:cs="仿宋"/>
          <w:b/>
          <w:bCs/>
          <w:sz w:val="28"/>
          <w:szCs w:val="28"/>
          <w:highlight w:val="none"/>
          <w:lang w:val="zh-CN"/>
        </w:rPr>
        <w:t>乙方：</w:t>
      </w:r>
      <w:r>
        <w:rPr>
          <w:rFonts w:hint="eastAsia" w:ascii="仿宋" w:hAnsi="仿宋" w:eastAsia="仿宋" w:cs="仿宋"/>
          <w:bCs/>
          <w:sz w:val="28"/>
          <w:szCs w:val="28"/>
          <w:highlight w:val="none"/>
          <w:lang w:val="zh-CN"/>
        </w:rPr>
        <w:t>（前款所称中标人）     住所：</w:t>
      </w:r>
    </w:p>
    <w:p>
      <w:pPr>
        <w:keepNext w:val="0"/>
        <w:keepLines w:val="0"/>
        <w:pageBreakBefore w:val="0"/>
        <w:tabs>
          <w:tab w:val="left" w:pos="735"/>
        </w:tabs>
        <w:kinsoku/>
        <w:wordWrap/>
        <w:overflowPunct/>
        <w:topLinePunct w:val="0"/>
        <w:autoSpaceDE w:val="0"/>
        <w:autoSpaceDN w:val="0"/>
        <w:bidi w:val="0"/>
        <w:adjustRightInd w:val="0"/>
        <w:snapToGrid w:val="0"/>
        <w:spacing w:line="600" w:lineRule="exact"/>
        <w:ind w:firstLine="631"/>
        <w:jc w:val="both"/>
        <w:outlineLvl w:val="9"/>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一、合同内容:</w:t>
      </w:r>
      <w:r>
        <w:rPr>
          <w:rFonts w:hint="eastAsia" w:ascii="仿宋" w:hAnsi="仿宋" w:eastAsia="仿宋" w:cs="仿宋"/>
          <w:b w:val="0"/>
          <w:bCs w:val="0"/>
          <w:sz w:val="28"/>
          <w:szCs w:val="28"/>
          <w:highlight w:val="none"/>
          <w:lang w:val="zh-CN"/>
        </w:rPr>
        <w:t>铜川市耀州区庙湾镇智慧香菇大数据平台服务项目</w:t>
      </w:r>
    </w:p>
    <w:p>
      <w:pPr>
        <w:keepNext w:val="0"/>
        <w:keepLines w:val="0"/>
        <w:pageBreakBefore w:val="0"/>
        <w:tabs>
          <w:tab w:val="left" w:pos="735"/>
        </w:tabs>
        <w:kinsoku/>
        <w:wordWrap/>
        <w:overflowPunct/>
        <w:topLinePunct w:val="0"/>
        <w:bidi w:val="0"/>
        <w:adjustRightInd w:val="0"/>
        <w:snapToGrid w:val="0"/>
        <w:spacing w:line="600" w:lineRule="exact"/>
        <w:ind w:firstLine="590" w:firstLineChars="210"/>
        <w:jc w:val="both"/>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rPr>
        <w:t>二、合同价款</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1、合同总价：</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2、合同总价包括：包括但不限于提供项目实施费、自行测试费、培训费、人工费、材料费、管理费、供应商应缴纳的所有税费、规费、保险费（如果有）等全部费用。</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3、合同总价一次包死，不受市场价变化的影响。</w:t>
      </w:r>
    </w:p>
    <w:p>
      <w:pPr>
        <w:keepNext w:val="0"/>
        <w:keepLines w:val="0"/>
        <w:pageBreakBefore w:val="0"/>
        <w:tabs>
          <w:tab w:val="left" w:pos="735"/>
        </w:tabs>
        <w:kinsoku/>
        <w:wordWrap/>
        <w:overflowPunct/>
        <w:topLinePunct w:val="0"/>
        <w:bidi w:val="0"/>
        <w:adjustRightInd w:val="0"/>
        <w:snapToGrid w:val="0"/>
        <w:spacing w:line="600" w:lineRule="exact"/>
        <w:ind w:firstLine="590" w:firstLineChars="210"/>
        <w:jc w:val="both"/>
        <w:outlineLvl w:val="9"/>
        <w:rPr>
          <w:rFonts w:hint="eastAsia" w:ascii="仿宋" w:hAnsi="仿宋" w:eastAsia="仿宋" w:cs="仿宋"/>
          <w:sz w:val="28"/>
          <w:szCs w:val="28"/>
          <w:highlight w:val="none"/>
        </w:rPr>
      </w:pPr>
      <w:r>
        <w:rPr>
          <w:rFonts w:hint="eastAsia" w:ascii="仿宋" w:hAnsi="仿宋" w:eastAsia="仿宋" w:cs="仿宋"/>
          <w:b/>
          <w:sz w:val="28"/>
          <w:szCs w:val="28"/>
          <w:highlight w:val="none"/>
        </w:rPr>
        <w:t>三、合同结算</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1、付款比例：</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1-1、合同签订生效后甲方向乙方支付合同总价款的 50 %</w:t>
      </w:r>
      <w:r>
        <w:rPr>
          <w:rFonts w:hint="eastAsia" w:ascii="仿宋" w:hAnsi="仿宋" w:eastAsia="仿宋" w:cs="仿宋"/>
          <w:color w:val="auto"/>
          <w:sz w:val="28"/>
          <w:szCs w:val="28"/>
          <w:highlight w:val="none"/>
          <w:lang w:val="en-US" w:eastAsia="zh-CN"/>
        </w:rPr>
        <w:t>;</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1-2、项目完成并通过甲方的验收后支付剩余50%合同总价款</w:t>
      </w:r>
      <w:r>
        <w:rPr>
          <w:rFonts w:hint="eastAsia" w:ascii="仿宋" w:hAnsi="仿宋" w:eastAsia="仿宋" w:cs="仿宋"/>
          <w:color w:val="auto"/>
          <w:sz w:val="28"/>
          <w:szCs w:val="28"/>
          <w:highlight w:val="none"/>
          <w:lang w:val="en-US" w:eastAsia="zh-CN"/>
        </w:rPr>
        <w:t>;</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2、结算方式：银行转账。</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3、结算单位：由</w:t>
      </w:r>
      <w:r>
        <w:rPr>
          <w:rFonts w:hint="eastAsia" w:ascii="仿宋" w:hAnsi="仿宋" w:eastAsia="仿宋" w:cs="仿宋"/>
          <w:sz w:val="28"/>
          <w:szCs w:val="28"/>
          <w:highlight w:val="none"/>
          <w:u w:val="single"/>
        </w:rPr>
        <w:t>采购人</w:t>
      </w:r>
      <w:r>
        <w:rPr>
          <w:rFonts w:hint="eastAsia" w:ascii="仿宋" w:hAnsi="仿宋" w:eastAsia="仿宋" w:cs="仿宋"/>
          <w:sz w:val="28"/>
          <w:szCs w:val="28"/>
          <w:highlight w:val="none"/>
        </w:rPr>
        <w:t>负责结算，乙方开具合同总价数的全额发票交采购人。</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四、验收</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验收依据：</w:t>
      </w:r>
    </w:p>
    <w:p>
      <w:pPr>
        <w:keepNext w:val="0"/>
        <w:keepLines w:val="0"/>
        <w:pageBreakBefore w:val="0"/>
        <w:kinsoku/>
        <w:wordWrap/>
        <w:overflowPunct/>
        <w:topLinePunct w:val="0"/>
        <w:bidi w:val="0"/>
        <w:adjustRightInd w:val="0"/>
        <w:snapToGrid w:val="0"/>
        <w:spacing w:line="600" w:lineRule="exact"/>
        <w:ind w:firstLine="560" w:firstLineChars="20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1、合同文本、合同附件、</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val="en-US" w:eastAsia="zh-CN"/>
        </w:rPr>
        <w:t>竞争性磋商响应</w:t>
      </w:r>
      <w:r>
        <w:rPr>
          <w:rFonts w:hint="eastAsia" w:ascii="仿宋" w:hAnsi="仿宋" w:eastAsia="仿宋" w:cs="仿宋"/>
          <w:sz w:val="28"/>
          <w:szCs w:val="28"/>
          <w:highlight w:val="none"/>
        </w:rPr>
        <w:t>文件。</w:t>
      </w:r>
    </w:p>
    <w:p>
      <w:pPr>
        <w:keepNext w:val="0"/>
        <w:keepLines w:val="0"/>
        <w:pageBreakBefore w:val="0"/>
        <w:kinsoku/>
        <w:wordWrap/>
        <w:overflowPunct/>
        <w:topLinePunct w:val="0"/>
        <w:bidi w:val="0"/>
        <w:snapToGrid w:val="0"/>
        <w:spacing w:line="600" w:lineRule="exact"/>
        <w:ind w:right="893" w:firstLine="560" w:firstLineChars="20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2、国内相应的标准、规范。</w:t>
      </w:r>
    </w:p>
    <w:p>
      <w:pPr>
        <w:keepNext w:val="0"/>
        <w:keepLines w:val="0"/>
        <w:pageBreakBefore w:val="0"/>
        <w:kinsoku/>
        <w:wordWrap/>
        <w:overflowPunct/>
        <w:topLinePunct w:val="0"/>
        <w:bidi w:val="0"/>
        <w:adjustRightInd w:val="0"/>
        <w:snapToGrid w:val="0"/>
        <w:spacing w:line="600" w:lineRule="exact"/>
        <w:ind w:left="645"/>
        <w:jc w:val="both"/>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五、违约责任</w:t>
      </w:r>
    </w:p>
    <w:p>
      <w:pPr>
        <w:keepNext w:val="0"/>
        <w:keepLines w:val="0"/>
        <w:pageBreakBefore w:val="0"/>
        <w:numPr>
          <w:ilvl w:val="0"/>
          <w:numId w:val="15"/>
        </w:numPr>
        <w:kinsoku/>
        <w:wordWrap/>
        <w:overflowPunct/>
        <w:topLinePunct w:val="0"/>
        <w:bidi w:val="0"/>
        <w:adjustRightInd w:val="0"/>
        <w:snapToGrid w:val="0"/>
        <w:spacing w:line="600" w:lineRule="exact"/>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按《</w:t>
      </w:r>
      <w:r>
        <w:rPr>
          <w:rFonts w:hint="eastAsia" w:ascii="仿宋" w:hAnsi="仿宋" w:eastAsia="仿宋" w:cs="仿宋"/>
          <w:sz w:val="28"/>
          <w:szCs w:val="28"/>
          <w:highlight w:val="none"/>
          <w:lang w:eastAsia="zh-CN"/>
        </w:rPr>
        <w:t>中华人民共和国民法典</w:t>
      </w:r>
      <w:r>
        <w:rPr>
          <w:rFonts w:hint="eastAsia" w:ascii="仿宋" w:hAnsi="仿宋" w:eastAsia="仿宋" w:cs="仿宋"/>
          <w:sz w:val="28"/>
          <w:szCs w:val="28"/>
          <w:highlight w:val="none"/>
        </w:rPr>
        <w:t>》中的相关条款执行。</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2、乙方履约延误</w:t>
      </w:r>
    </w:p>
    <w:p>
      <w:pPr>
        <w:keepNext w:val="0"/>
        <w:keepLines w:val="0"/>
        <w:pageBreakBefore w:val="0"/>
        <w:kinsoku/>
        <w:wordWrap/>
        <w:overflowPunct/>
        <w:topLinePunct w:val="0"/>
        <w:bidi w:val="0"/>
        <w:adjustRightInd w:val="0"/>
        <w:snapToGrid w:val="0"/>
        <w:spacing w:line="600" w:lineRule="exact"/>
        <w:ind w:firstLine="560" w:firstLineChars="20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2-1、如乙方事先未征得甲方同意并得到甲方的谅解而单方面延迟</w:t>
      </w:r>
      <w:r>
        <w:rPr>
          <w:rFonts w:hint="eastAsia" w:ascii="仿宋" w:hAnsi="仿宋" w:eastAsia="仿宋" w:cs="仿宋"/>
          <w:sz w:val="28"/>
          <w:szCs w:val="28"/>
          <w:highlight w:val="none"/>
          <w:lang w:val="en-US" w:eastAsia="zh-CN"/>
        </w:rPr>
        <w:t>完成服务内容</w:t>
      </w:r>
      <w:r>
        <w:rPr>
          <w:rFonts w:hint="eastAsia" w:ascii="仿宋" w:hAnsi="仿宋" w:eastAsia="仿宋" w:cs="仿宋"/>
          <w:sz w:val="28"/>
          <w:szCs w:val="28"/>
          <w:highlight w:val="none"/>
        </w:rPr>
        <w:t>，将按违约终止合同。</w:t>
      </w:r>
    </w:p>
    <w:p>
      <w:pPr>
        <w:keepNext w:val="0"/>
        <w:keepLines w:val="0"/>
        <w:pageBreakBefore w:val="0"/>
        <w:kinsoku/>
        <w:wordWrap/>
        <w:overflowPunct/>
        <w:topLinePunct w:val="0"/>
        <w:bidi w:val="0"/>
        <w:adjustRightInd w:val="0"/>
        <w:snapToGrid w:val="0"/>
        <w:spacing w:line="600" w:lineRule="exact"/>
        <w:ind w:firstLine="560" w:firstLineChars="200"/>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3、违约终止合同：未按合同要求提供货物或质量不能满足技术要求，甲方会同监督机构有权终止合同，对乙方违约行为进行追究，同时按政府采购法的有关规定进行相应的处罚。</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六、合同组成</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通知书</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2、合同文件</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3、国家相关规范及标准</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竞争性磋商</w:t>
      </w:r>
      <w:r>
        <w:rPr>
          <w:rFonts w:hint="eastAsia" w:ascii="仿宋" w:hAnsi="仿宋" w:eastAsia="仿宋" w:cs="仿宋"/>
          <w:sz w:val="28"/>
          <w:szCs w:val="28"/>
          <w:highlight w:val="none"/>
        </w:rPr>
        <w:t>文件</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竞争性磋商响应</w:t>
      </w:r>
      <w:r>
        <w:rPr>
          <w:rFonts w:hint="eastAsia" w:ascii="仿宋" w:hAnsi="仿宋" w:eastAsia="仿宋" w:cs="仿宋"/>
          <w:sz w:val="28"/>
          <w:szCs w:val="28"/>
          <w:highlight w:val="none"/>
        </w:rPr>
        <w:t>文件</w:t>
      </w:r>
    </w:p>
    <w:p>
      <w:pPr>
        <w:keepNext w:val="0"/>
        <w:keepLines w:val="0"/>
        <w:pageBreakBefore w:val="0"/>
        <w:widowControl/>
        <w:kinsoku/>
        <w:wordWrap/>
        <w:overflowPunct/>
        <w:topLinePunct w:val="0"/>
        <w:autoSpaceDE w:val="0"/>
        <w:autoSpaceDN w:val="0"/>
        <w:bidi w:val="0"/>
        <w:snapToGrid w:val="0"/>
        <w:spacing w:line="600" w:lineRule="exact"/>
        <w:ind w:right="893" w:firstLine="551" w:firstLineChars="196"/>
        <w:jc w:val="both"/>
        <w:textAlignment w:val="bottom"/>
        <w:outlineLvl w:val="9"/>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七、合同生效及其它</w:t>
      </w:r>
    </w:p>
    <w:p>
      <w:pPr>
        <w:keepNext w:val="0"/>
        <w:keepLines w:val="0"/>
        <w:pageBreakBefore w:val="0"/>
        <w:widowControl/>
        <w:kinsoku/>
        <w:wordWrap/>
        <w:overflowPunct/>
        <w:topLinePunct w:val="0"/>
        <w:autoSpaceDE w:val="0"/>
        <w:autoSpaceDN w:val="0"/>
        <w:bidi w:val="0"/>
        <w:snapToGrid w:val="0"/>
        <w:spacing w:line="600" w:lineRule="exact"/>
        <w:ind w:right="-110" w:firstLine="560" w:firstLineChars="200"/>
        <w:jc w:val="both"/>
        <w:textAlignment w:val="bottom"/>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560" w:firstLineChars="200"/>
        <w:jc w:val="both"/>
        <w:textAlignment w:val="bottom"/>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 本合同正本一式</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份，甲方执</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份、乙方执</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份。</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560" w:firstLineChars="200"/>
        <w:jc w:val="both"/>
        <w:textAlignment w:val="bottom"/>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3、合同经甲乙双方盖章、签字后生效，合同签订地点为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560" w:firstLineChars="200"/>
        <w:jc w:val="both"/>
        <w:textAlignment w:val="bottom"/>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4、生效时间：    年  月  日</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980" w:firstLineChars="350"/>
        <w:jc w:val="both"/>
        <w:textAlignment w:val="bottom"/>
        <w:outlineLvl w:val="9"/>
        <w:rPr>
          <w:rFonts w:hint="eastAsia" w:ascii="仿宋" w:hAnsi="仿宋" w:eastAsia="仿宋" w:cs="仿宋"/>
          <w:kern w:val="0"/>
          <w:sz w:val="28"/>
          <w:szCs w:val="28"/>
          <w:highlight w:val="none"/>
        </w:rPr>
      </w:pPr>
    </w:p>
    <w:tbl>
      <w:tblPr>
        <w:tblStyle w:val="51"/>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甲方名称</w:t>
            </w:r>
            <w:r>
              <w:rPr>
                <w:rFonts w:hint="eastAsia" w:ascii="仿宋" w:hAnsi="仿宋" w:eastAsia="仿宋" w:cs="仿宋"/>
                <w:spacing w:val="-20"/>
                <w:kern w:val="0"/>
                <w:sz w:val="24"/>
                <w:szCs w:val="24"/>
                <w:highlight w:val="none"/>
              </w:rPr>
              <w:t>（盖章）</w:t>
            </w:r>
            <w:r>
              <w:rPr>
                <w:rFonts w:hint="eastAsia" w:ascii="仿宋" w:hAnsi="仿宋" w:eastAsia="仿宋" w:cs="仿宋"/>
                <w:kern w:val="0"/>
                <w:sz w:val="24"/>
                <w:szCs w:val="24"/>
                <w:highlight w:val="none"/>
              </w:rPr>
              <w:t>:</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代表人（签字）：</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帐号：</w:t>
            </w:r>
          </w:p>
        </w:tc>
        <w:tc>
          <w:tcPr>
            <w:tcW w:w="4643" w:type="dxa"/>
            <w:noWrap w:val="0"/>
            <w:vAlign w:val="top"/>
          </w:tcPr>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乙方名称</w:t>
            </w:r>
            <w:r>
              <w:rPr>
                <w:rFonts w:hint="eastAsia" w:ascii="仿宋" w:hAnsi="仿宋" w:eastAsia="仿宋" w:cs="仿宋"/>
                <w:spacing w:val="-20"/>
                <w:kern w:val="0"/>
                <w:sz w:val="24"/>
                <w:szCs w:val="24"/>
                <w:highlight w:val="none"/>
              </w:rPr>
              <w:t>（盖章）</w:t>
            </w:r>
            <w:r>
              <w:rPr>
                <w:rFonts w:hint="eastAsia" w:ascii="仿宋" w:hAnsi="仿宋" w:eastAsia="仿宋" w:cs="仿宋"/>
                <w:kern w:val="0"/>
                <w:sz w:val="24"/>
                <w:szCs w:val="24"/>
                <w:highlight w:val="none"/>
              </w:rPr>
              <w:t>:</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代表人（签字）：</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帐号：</w:t>
            </w:r>
          </w:p>
        </w:tc>
      </w:tr>
    </w:tbl>
    <w:p>
      <w:pPr>
        <w:pStyle w:val="24"/>
        <w:rPr>
          <w:rFonts w:hint="eastAsia" w:ascii="仿宋" w:hAnsi="仿宋" w:eastAsia="仿宋" w:cs="仿宋"/>
          <w:highlight w:val="none"/>
          <w:lang w:eastAsia="zh-CN"/>
        </w:rPr>
      </w:pPr>
    </w:p>
    <w:p>
      <w:pPr>
        <w:pStyle w:val="44"/>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pStyle w:val="24"/>
        <w:ind w:left="840" w:hanging="420"/>
        <w:rPr>
          <w:rFonts w:hint="eastAsia" w:ascii="仿宋" w:hAnsi="仿宋" w:eastAsia="仿宋" w:cs="仿宋"/>
          <w:highlight w:val="none"/>
        </w:rPr>
      </w:pPr>
    </w:p>
    <w:p>
      <w:pPr>
        <w:adjustRightInd w:val="0"/>
        <w:snapToGrid w:val="0"/>
        <w:spacing w:line="360" w:lineRule="auto"/>
        <w:rPr>
          <w:rFonts w:hint="eastAsia" w:ascii="仿宋" w:hAnsi="仿宋" w:eastAsia="仿宋" w:cs="仿宋"/>
          <w:sz w:val="24"/>
          <w:highlight w:val="none"/>
        </w:rPr>
        <w:sectPr>
          <w:pgSz w:w="11906" w:h="16838"/>
          <w:pgMar w:top="1418" w:right="1418" w:bottom="1418" w:left="1418" w:header="851" w:footer="992" w:gutter="0"/>
          <w:pgNumType w:fmt="decimal"/>
          <w:cols w:space="720" w:num="1"/>
          <w:docGrid w:linePitch="312" w:charSpace="0"/>
        </w:sectPr>
      </w:pPr>
    </w:p>
    <w:p>
      <w:pPr>
        <w:pStyle w:val="47"/>
        <w:numPr>
          <w:ilvl w:val="0"/>
          <w:numId w:val="16"/>
        </w:numPr>
        <w:spacing w:line="360" w:lineRule="auto"/>
        <w:rPr>
          <w:rStyle w:val="206"/>
          <w:rFonts w:hint="eastAsia" w:ascii="仿宋" w:hAnsi="仿宋" w:eastAsia="仿宋" w:cs="仿宋"/>
          <w:sz w:val="36"/>
          <w:szCs w:val="36"/>
          <w:highlight w:val="none"/>
        </w:rPr>
      </w:pPr>
      <w:bookmarkStart w:id="442" w:name="_Toc58504448"/>
      <w:r>
        <w:rPr>
          <w:rStyle w:val="206"/>
          <w:rFonts w:hint="eastAsia" w:ascii="仿宋" w:hAnsi="仿宋" w:eastAsia="仿宋" w:cs="仿宋"/>
          <w:sz w:val="36"/>
          <w:szCs w:val="36"/>
          <w:highlight w:val="none"/>
        </w:rPr>
        <w:t xml:space="preserve"> </w:t>
      </w:r>
      <w:bookmarkStart w:id="443" w:name="_Toc29488"/>
      <w:r>
        <w:rPr>
          <w:rStyle w:val="206"/>
          <w:rFonts w:hint="eastAsia" w:ascii="仿宋" w:hAnsi="仿宋" w:eastAsia="仿宋" w:cs="仿宋"/>
          <w:sz w:val="36"/>
          <w:szCs w:val="36"/>
          <w:highlight w:val="none"/>
        </w:rPr>
        <w:t>采购内容及要求</w:t>
      </w:r>
      <w:bookmarkEnd w:id="442"/>
      <w:bookmarkEnd w:id="443"/>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highlight w:val="none"/>
        </w:rPr>
      </w:pPr>
      <w:bookmarkStart w:id="444" w:name="_Toc58504449"/>
      <w:bookmarkStart w:id="445" w:name="_Toc385992401"/>
      <w:bookmarkStart w:id="446" w:name="_Toc389620241"/>
      <w:bookmarkStart w:id="447" w:name="_Toc31008"/>
      <w:bookmarkStart w:id="448" w:name="_Toc415499899"/>
      <w:bookmarkStart w:id="536" w:name="_GoBack"/>
      <w:r>
        <w:rPr>
          <w:rFonts w:hint="eastAsia" w:ascii="仿宋" w:hAnsi="仿宋" w:eastAsia="仿宋" w:cs="仿宋"/>
          <w:b/>
          <w:bCs/>
          <w:color w:val="000000"/>
          <w:kern w:val="0"/>
          <w:sz w:val="32"/>
          <w:szCs w:val="32"/>
          <w:highlight w:val="none"/>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i w:val="0"/>
          <w:iCs w:val="0"/>
          <w:color w:val="000000"/>
          <w:kern w:val="0"/>
          <w:sz w:val="28"/>
          <w:szCs w:val="28"/>
          <w:highlight w:val="none"/>
          <w:lang w:val="en-US" w:eastAsia="zh-CN" w:bidi="ar"/>
        </w:rPr>
      </w:pPr>
      <w:r>
        <w:rPr>
          <w:rFonts w:hint="eastAsia" w:ascii="仿宋" w:hAnsi="仿宋" w:eastAsia="仿宋" w:cs="仿宋"/>
          <w:b w:val="0"/>
          <w:bCs/>
          <w:i w:val="0"/>
          <w:iCs w:val="0"/>
          <w:sz w:val="28"/>
          <w:szCs w:val="28"/>
          <w:highlight w:val="none"/>
        </w:rPr>
        <w:t>铜</w:t>
      </w:r>
      <w:r>
        <w:rPr>
          <w:rFonts w:hint="eastAsia" w:ascii="仿宋" w:hAnsi="仿宋" w:eastAsia="仿宋" w:cs="仿宋"/>
          <w:b w:val="0"/>
          <w:bCs/>
          <w:i w:val="0"/>
          <w:iCs w:val="0"/>
          <w:color w:val="000000"/>
          <w:kern w:val="0"/>
          <w:sz w:val="28"/>
          <w:szCs w:val="28"/>
          <w:highlight w:val="none"/>
          <w:lang w:val="en-US" w:eastAsia="zh-CN" w:bidi="ar"/>
        </w:rPr>
        <w:t xml:space="preserve">川市耀州区庙湾镇智慧香菇大数据平台服务项目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 xml:space="preserve">2、建设要求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bCs w:val="0"/>
          <w:i w:val="0"/>
          <w:iCs w:val="0"/>
          <w:sz w:val="28"/>
          <w:szCs w:val="28"/>
          <w:highlight w:val="none"/>
        </w:rPr>
        <w:t xml:space="preserve">2.1 系统架构要求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val="0"/>
          <w:bCs/>
          <w:i w:val="0"/>
          <w:iCs w:val="0"/>
          <w:sz w:val="28"/>
          <w:szCs w:val="28"/>
          <w:highlight w:val="none"/>
          <w:lang w:val="en-US" w:eastAsia="zh-CN"/>
        </w:rPr>
        <w:t>整个</w:t>
      </w:r>
      <w:r>
        <w:rPr>
          <w:rFonts w:hint="eastAsia" w:ascii="仿宋" w:hAnsi="仿宋" w:eastAsia="仿宋" w:cs="仿宋"/>
          <w:b w:val="0"/>
          <w:bCs/>
          <w:i w:val="0"/>
          <w:iCs w:val="0"/>
          <w:sz w:val="28"/>
          <w:szCs w:val="28"/>
          <w:highlight w:val="none"/>
        </w:rPr>
        <w:t>项目基于大数据技术的综合应用服务平台，充分发挥大数据技术在数据分析、采集和决策方面的优势，旨在实现建设耀州区香菇数据可视化、智能化，以协助相关涉农政府机构、企业以及农户做好政策决策、商业策略和农业生产方面的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val="0"/>
          <w:bCs/>
          <w:i w:val="0"/>
          <w:iCs w:val="0"/>
          <w:sz w:val="28"/>
          <w:szCs w:val="28"/>
          <w:highlight w:val="none"/>
          <w:lang w:val="en-US" w:eastAsia="zh-CN"/>
        </w:rPr>
        <w:t>本</w:t>
      </w:r>
      <w:r>
        <w:rPr>
          <w:rFonts w:hint="eastAsia" w:ascii="仿宋" w:hAnsi="仿宋" w:eastAsia="仿宋" w:cs="仿宋"/>
          <w:b w:val="0"/>
          <w:bCs/>
          <w:i w:val="0"/>
          <w:iCs w:val="0"/>
          <w:sz w:val="28"/>
          <w:szCs w:val="28"/>
          <w:highlight w:val="none"/>
        </w:rPr>
        <w:t>架构依托大数据、互联网、移动互联网和地理信息等技术，并具有高可靠性和可扩展性等优势。</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val="0"/>
          <w:bCs/>
          <w:i w:val="0"/>
          <w:iCs w:val="0"/>
          <w:sz w:val="28"/>
          <w:szCs w:val="28"/>
          <w:highlight w:val="none"/>
          <w:lang w:val="en-US" w:eastAsia="zh-CN"/>
        </w:rPr>
        <w:t>数据源</w:t>
      </w:r>
      <w:r>
        <w:rPr>
          <w:rFonts w:hint="eastAsia" w:ascii="仿宋" w:hAnsi="仿宋" w:eastAsia="仿宋" w:cs="仿宋"/>
          <w:b w:val="0"/>
          <w:bCs/>
          <w:i w:val="0"/>
          <w:iCs w:val="0"/>
          <w:sz w:val="28"/>
          <w:szCs w:val="28"/>
          <w:highlight w:val="none"/>
        </w:rPr>
        <w:t>：通过互联网采集、第三方数据平台</w:t>
      </w:r>
      <w:r>
        <w:rPr>
          <w:rFonts w:hint="eastAsia" w:ascii="仿宋" w:hAnsi="仿宋" w:eastAsia="仿宋" w:cs="仿宋"/>
          <w:b w:val="0"/>
          <w:bCs/>
          <w:i w:val="0"/>
          <w:iCs w:val="0"/>
          <w:sz w:val="28"/>
          <w:szCs w:val="28"/>
          <w:highlight w:val="none"/>
          <w:lang w:eastAsia="zh-CN"/>
        </w:rPr>
        <w:t>、</w:t>
      </w:r>
      <w:r>
        <w:rPr>
          <w:rFonts w:hint="eastAsia" w:ascii="仿宋" w:hAnsi="仿宋" w:eastAsia="仿宋" w:cs="仿宋"/>
          <w:b w:val="0"/>
          <w:bCs/>
          <w:i w:val="0"/>
          <w:iCs w:val="0"/>
          <w:sz w:val="28"/>
          <w:szCs w:val="28"/>
          <w:highlight w:val="none"/>
          <w:lang w:val="en-US" w:eastAsia="zh-CN"/>
        </w:rPr>
        <w:t>企业及农户销售、商超、出口</w:t>
      </w:r>
      <w:r>
        <w:rPr>
          <w:rFonts w:hint="eastAsia" w:ascii="仿宋" w:hAnsi="仿宋" w:eastAsia="仿宋" w:cs="仿宋"/>
          <w:b w:val="0"/>
          <w:bCs/>
          <w:i w:val="0"/>
          <w:iCs w:val="0"/>
          <w:sz w:val="28"/>
          <w:szCs w:val="28"/>
          <w:highlight w:val="none"/>
        </w:rPr>
        <w:t>等多种数据渠道全方位的</w:t>
      </w:r>
      <w:r>
        <w:rPr>
          <w:rFonts w:hint="eastAsia" w:ascii="仿宋" w:hAnsi="仿宋" w:eastAsia="仿宋" w:cs="仿宋"/>
          <w:b w:val="0"/>
          <w:bCs/>
          <w:i w:val="0"/>
          <w:iCs w:val="0"/>
          <w:sz w:val="28"/>
          <w:szCs w:val="28"/>
          <w:highlight w:val="none"/>
          <w:lang w:val="en-US" w:eastAsia="zh-CN"/>
        </w:rPr>
        <w:t>获取香菇价格</w:t>
      </w:r>
      <w:r>
        <w:rPr>
          <w:rFonts w:hint="eastAsia" w:ascii="仿宋" w:hAnsi="仿宋" w:eastAsia="仿宋" w:cs="仿宋"/>
          <w:b w:val="0"/>
          <w:bCs/>
          <w:i w:val="0"/>
          <w:iCs w:val="0"/>
          <w:sz w:val="28"/>
          <w:szCs w:val="28"/>
          <w:highlight w:val="none"/>
        </w:rPr>
        <w:t xml:space="preserve">。 </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val="0"/>
          <w:bCs/>
          <w:i w:val="0"/>
          <w:iCs w:val="0"/>
          <w:sz w:val="28"/>
          <w:szCs w:val="28"/>
          <w:highlight w:val="none"/>
          <w:lang w:val="en-US" w:eastAsia="zh-CN"/>
        </w:rPr>
        <w:t>数据处理：获取香菇价格后，充分利用数据，做好对数据的清洗去重、数据整合归类，对整理好的数据进行统计分析和挖掘，基于相关数据构建合适的模型，对未来香菇价格进行预测，以便更准确地制定价格策略，生产计划，应对市场变化。</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val="0"/>
          <w:bCs/>
          <w:i w:val="0"/>
          <w:iCs w:val="0"/>
          <w:sz w:val="28"/>
          <w:szCs w:val="28"/>
          <w:highlight w:val="none"/>
          <w:lang w:val="en-US" w:eastAsia="zh-CN"/>
        </w:rPr>
        <w:t>数据服务：建立主题数据库，即香菇价格各渠道价格，主流衍生品价格，原产地信息等。提供统一平台级的分类数据接口服务。</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rPr>
        <w:t xml:space="preserve">应用层： </w:t>
      </w:r>
      <w:r>
        <w:rPr>
          <w:rFonts w:hint="eastAsia" w:ascii="仿宋" w:hAnsi="仿宋" w:eastAsia="仿宋" w:cs="仿宋"/>
          <w:b w:val="0"/>
          <w:bCs/>
          <w:i w:val="0"/>
          <w:iCs w:val="0"/>
          <w:sz w:val="28"/>
          <w:szCs w:val="28"/>
          <w:highlight w:val="none"/>
          <w:lang w:val="en-US" w:eastAsia="zh-CN"/>
        </w:rPr>
        <w:t>本层依据业务需求提供定制化服务，包括香菇全国价格数字系统，</w:t>
      </w:r>
      <w:r>
        <w:rPr>
          <w:rFonts w:hint="eastAsia" w:ascii="仿宋" w:hAnsi="仿宋" w:eastAsia="仿宋" w:cs="仿宋"/>
          <w:b w:val="0"/>
          <w:bCs/>
          <w:i w:val="0"/>
          <w:iCs w:val="0"/>
          <w:sz w:val="28"/>
          <w:szCs w:val="28"/>
          <w:highlight w:val="none"/>
        </w:rPr>
        <w:t>销售价格决策系统</w:t>
      </w:r>
      <w:r>
        <w:rPr>
          <w:rFonts w:hint="eastAsia" w:ascii="仿宋" w:hAnsi="仿宋" w:eastAsia="仿宋" w:cs="仿宋"/>
          <w:b w:val="0"/>
          <w:bCs/>
          <w:i w:val="0"/>
          <w:iCs w:val="0"/>
          <w:sz w:val="28"/>
          <w:szCs w:val="28"/>
          <w:highlight w:val="none"/>
          <w:lang w:eastAsia="zh-CN"/>
        </w:rPr>
        <w:t>。</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可视化服务</w:t>
      </w:r>
      <w:r>
        <w:rPr>
          <w:rFonts w:hint="eastAsia" w:ascii="仿宋" w:hAnsi="仿宋" w:eastAsia="仿宋" w:cs="仿宋"/>
          <w:b w:val="0"/>
          <w:bCs/>
          <w:i w:val="0"/>
          <w:iCs w:val="0"/>
          <w:sz w:val="28"/>
          <w:szCs w:val="28"/>
          <w:highlight w:val="none"/>
        </w:rPr>
        <w:t>： 将</w:t>
      </w:r>
      <w:r>
        <w:rPr>
          <w:rFonts w:hint="eastAsia" w:ascii="仿宋" w:hAnsi="仿宋" w:eastAsia="仿宋" w:cs="仿宋"/>
          <w:b w:val="0"/>
          <w:bCs/>
          <w:i w:val="0"/>
          <w:iCs w:val="0"/>
          <w:sz w:val="28"/>
          <w:szCs w:val="28"/>
          <w:highlight w:val="none"/>
          <w:lang w:val="en-US" w:eastAsia="zh-CN"/>
        </w:rPr>
        <w:t>香菇相关信息</w:t>
      </w:r>
      <w:r>
        <w:rPr>
          <w:rFonts w:hint="eastAsia" w:ascii="仿宋" w:hAnsi="仿宋" w:eastAsia="仿宋" w:cs="仿宋"/>
          <w:b w:val="0"/>
          <w:bCs/>
          <w:i w:val="0"/>
          <w:iCs w:val="0"/>
          <w:sz w:val="28"/>
          <w:szCs w:val="28"/>
          <w:highlight w:val="none"/>
        </w:rPr>
        <w:t>以图表、报表、地图等形式进行可视化展示，以便用户更直观地理解和分析数据。</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i w:val="0"/>
          <w:iCs w:val="0"/>
          <w:sz w:val="28"/>
          <w:szCs w:val="28"/>
          <w:highlight w:val="none"/>
        </w:rPr>
      </w:pPr>
      <w:r>
        <w:rPr>
          <w:rFonts w:hint="eastAsia" w:ascii="仿宋" w:hAnsi="仿宋" w:eastAsia="仿宋" w:cs="仿宋"/>
          <w:b w:val="0"/>
          <w:bCs/>
          <w:i w:val="0"/>
          <w:iCs w:val="0"/>
          <w:sz w:val="28"/>
          <w:szCs w:val="28"/>
          <w:highlight w:val="none"/>
        </w:rPr>
        <w:t>访问层： 本层实现统一用户、跨平台应用，用户可以通过 Web、移动终端、大屏、平板访问本平台，便捷用户最快获取有效信息</w:t>
      </w:r>
      <w:r>
        <w:rPr>
          <w:rFonts w:hint="eastAsia" w:ascii="仿宋" w:hAnsi="仿宋" w:eastAsia="仿宋" w:cs="仿宋"/>
          <w:b w:val="0"/>
          <w:bCs/>
          <w:i w:val="0"/>
          <w:iCs w:val="0"/>
          <w:sz w:val="28"/>
          <w:szCs w:val="28"/>
          <w:highlight w:val="none"/>
          <w:lang w:eastAsia="zh-CN"/>
        </w:rPr>
        <w:t>。</w:t>
      </w:r>
    </w:p>
    <w:p>
      <w:pPr>
        <w:pStyle w:val="6"/>
        <w:rPr>
          <w:rFonts w:hint="eastAsia" w:ascii="仿宋" w:hAnsi="仿宋" w:eastAsia="仿宋" w:cs="仿宋"/>
          <w:b/>
          <w:bCs w:val="0"/>
          <w:i w:val="0"/>
          <w:iCs w:val="0"/>
          <w:sz w:val="28"/>
          <w:szCs w:val="28"/>
          <w:highlight w:val="none"/>
          <w:lang w:val="en-US" w:eastAsia="zh-CN"/>
        </w:rPr>
      </w:pPr>
      <w:r>
        <w:rPr>
          <w:rFonts w:hint="eastAsia" w:ascii="仿宋" w:hAnsi="仿宋" w:eastAsia="仿宋" w:cs="仿宋"/>
          <w:b/>
          <w:bCs w:val="0"/>
          <w:i w:val="0"/>
          <w:iCs w:val="0"/>
          <w:sz w:val="28"/>
          <w:szCs w:val="28"/>
          <w:highlight w:val="none"/>
          <w:lang w:val="en-US" w:eastAsia="zh-CN"/>
        </w:rPr>
        <w:t>2.2 业务需求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通过采集汇香菇产业链的数据资源，打通数据资源壁垒，形成数据共享汇聚通道，形成功能强大、目录清晰、服务共享的</w:t>
      </w:r>
      <w:r>
        <w:rPr>
          <w:rFonts w:hint="eastAsia" w:ascii="仿宋" w:hAnsi="仿宋" w:eastAsia="仿宋" w:cs="仿宋"/>
          <w:b w:val="0"/>
          <w:bCs/>
          <w:i w:val="0"/>
          <w:iCs w:val="0"/>
          <w:color w:val="000000"/>
          <w:kern w:val="0"/>
          <w:sz w:val="28"/>
          <w:szCs w:val="28"/>
          <w:highlight w:val="none"/>
          <w:lang w:val="en-US" w:eastAsia="zh-CN" w:bidi="ar"/>
        </w:rPr>
        <w:t>耀州区庙湾镇智慧香菇大数据平</w:t>
      </w:r>
      <w:r>
        <w:rPr>
          <w:rFonts w:hint="eastAsia" w:ascii="仿宋" w:hAnsi="仿宋" w:eastAsia="仿宋" w:cs="仿宋"/>
          <w:b w:val="0"/>
          <w:bCs/>
          <w:i w:val="0"/>
          <w:iCs w:val="0"/>
          <w:sz w:val="28"/>
          <w:szCs w:val="28"/>
          <w:highlight w:val="none"/>
          <w:lang w:val="en-US" w:eastAsia="zh-CN"/>
        </w:rPr>
        <w:t>台，提升涉农数据资源治理能力，建立香菇价格的监测、价格趋势的数据分析模型，挖掘香菇价格数据资源价值，辅助政府指导以及农业各行业管理部门工作决策，同时也为产业链相关企业、社会大众提供相关的数据服务。其用户主要是政府、生产主体。</w:t>
      </w:r>
    </w:p>
    <w:p>
      <w:pPr>
        <w:pStyle w:val="6"/>
        <w:numPr>
          <w:ilvl w:val="0"/>
          <w:numId w:val="18"/>
        </w:numPr>
        <w:ind w:left="700" w:leftChars="0" w:firstLine="0" w:firstLineChars="0"/>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政府需求</w:t>
      </w:r>
    </w:p>
    <w:p>
      <w:pPr>
        <w:pStyle w:val="6"/>
        <w:numPr>
          <w:ilvl w:val="0"/>
          <w:numId w:val="0"/>
        </w:numPr>
        <w:ind w:left="700" w:leftChars="0" w:firstLine="560"/>
        <w:rPr>
          <w:rFonts w:hint="eastAsia" w:ascii="仿宋" w:hAnsi="仿宋" w:eastAsia="仿宋" w:cs="仿宋"/>
          <w:b w:val="0"/>
          <w:bCs/>
          <w:i w:val="0"/>
          <w:iCs w:val="0"/>
          <w:kern w:val="2"/>
          <w:sz w:val="28"/>
          <w:szCs w:val="28"/>
          <w:highlight w:val="none"/>
          <w:lang w:val="en-US" w:eastAsia="zh-CN" w:bidi="ar-SA"/>
        </w:rPr>
      </w:pPr>
      <w:r>
        <w:rPr>
          <w:rFonts w:hint="eastAsia" w:ascii="仿宋" w:hAnsi="仿宋" w:eastAsia="仿宋" w:cs="仿宋"/>
          <w:b w:val="0"/>
          <w:bCs/>
          <w:i w:val="0"/>
          <w:iCs w:val="0"/>
          <w:kern w:val="2"/>
          <w:sz w:val="28"/>
          <w:szCs w:val="28"/>
          <w:highlight w:val="none"/>
          <w:lang w:val="en-US" w:eastAsia="zh-CN" w:bidi="ar-SA"/>
        </w:rPr>
        <w:t>提升对耀州区香菇产业监测监管的指导能力，由于香菇产业受自然资源，天气，市场需求等多因素影响，而价格是最好的体现，对全国香菇产业价格的了解，能够助力政府和农业部门，实现对香菇产业 发展的和市场价格实施精准调控，避免香菇供求周期性失衡和波动。</w:t>
      </w:r>
    </w:p>
    <w:p>
      <w:pPr>
        <w:pStyle w:val="6"/>
        <w:numPr>
          <w:ilvl w:val="0"/>
          <w:numId w:val="18"/>
        </w:numPr>
        <w:ind w:left="700" w:leftChars="0" w:firstLine="0" w:firstLineChars="0"/>
        <w:rPr>
          <w:rFonts w:hint="eastAsia" w:ascii="仿宋" w:hAnsi="仿宋" w:eastAsia="仿宋" w:cs="仿宋"/>
          <w:b w:val="0"/>
          <w:bCs/>
          <w:i w:val="0"/>
          <w:iCs w:val="0"/>
          <w:kern w:val="2"/>
          <w:sz w:val="28"/>
          <w:szCs w:val="28"/>
          <w:highlight w:val="none"/>
          <w:lang w:val="en-US" w:eastAsia="zh-CN" w:bidi="ar-SA"/>
        </w:rPr>
      </w:pPr>
      <w:r>
        <w:rPr>
          <w:rFonts w:hint="eastAsia" w:ascii="仿宋" w:hAnsi="仿宋" w:eastAsia="仿宋" w:cs="仿宋"/>
          <w:b w:val="0"/>
          <w:bCs/>
          <w:i w:val="0"/>
          <w:iCs w:val="0"/>
          <w:kern w:val="2"/>
          <w:sz w:val="28"/>
          <w:szCs w:val="28"/>
          <w:highlight w:val="none"/>
          <w:lang w:val="en-US" w:eastAsia="zh-CN" w:bidi="ar-SA"/>
        </w:rPr>
        <w:t>生产主体需求</w:t>
      </w:r>
    </w:p>
    <w:p>
      <w:pPr>
        <w:pStyle w:val="6"/>
        <w:numPr>
          <w:ilvl w:val="0"/>
          <w:numId w:val="0"/>
        </w:numPr>
        <w:ind w:left="700" w:leftChars="0" w:firstLine="560"/>
        <w:rPr>
          <w:rFonts w:hint="eastAsia" w:ascii="仿宋" w:hAnsi="仿宋" w:eastAsia="仿宋" w:cs="仿宋"/>
          <w:b w:val="0"/>
          <w:bCs/>
          <w:i w:val="0"/>
          <w:iCs w:val="0"/>
          <w:kern w:val="2"/>
          <w:sz w:val="28"/>
          <w:szCs w:val="28"/>
          <w:highlight w:val="none"/>
          <w:lang w:val="en-US" w:eastAsia="zh-CN" w:bidi="ar-SA"/>
        </w:rPr>
      </w:pPr>
      <w:r>
        <w:rPr>
          <w:rFonts w:hint="eastAsia" w:ascii="仿宋" w:hAnsi="仿宋" w:eastAsia="仿宋" w:cs="仿宋"/>
          <w:b w:val="0"/>
          <w:bCs/>
          <w:i w:val="0"/>
          <w:iCs w:val="0"/>
          <w:kern w:val="2"/>
          <w:sz w:val="28"/>
          <w:szCs w:val="28"/>
          <w:highlight w:val="none"/>
          <w:lang w:val="en-US" w:eastAsia="zh-CN" w:bidi="ar-SA"/>
        </w:rPr>
        <w:t xml:space="preserve">①指导种植户调整生产计划通过大数据技术对香菇价格周期波动规律研究，一方面为全区农民和种植企业提供较为精准的预测与预警信息，并根据这些信息指导种植调整生产计划，在市场价格波动中减损增效，降低种植风险。 </w:t>
      </w:r>
    </w:p>
    <w:p>
      <w:pPr>
        <w:pStyle w:val="6"/>
        <w:numPr>
          <w:ilvl w:val="0"/>
          <w:numId w:val="0"/>
        </w:numPr>
        <w:ind w:left="700" w:leftChars="0" w:firstLine="560"/>
        <w:rPr>
          <w:rFonts w:hint="eastAsia" w:ascii="仿宋" w:hAnsi="仿宋" w:eastAsia="仿宋" w:cs="仿宋"/>
          <w:b w:val="0"/>
          <w:bCs/>
          <w:i w:val="0"/>
          <w:iCs w:val="0"/>
          <w:kern w:val="2"/>
          <w:sz w:val="28"/>
          <w:szCs w:val="28"/>
          <w:highlight w:val="none"/>
          <w:lang w:val="en-US" w:eastAsia="zh-CN" w:bidi="ar-SA"/>
        </w:rPr>
      </w:pPr>
      <w:r>
        <w:rPr>
          <w:rFonts w:hint="eastAsia" w:ascii="仿宋" w:hAnsi="仿宋" w:eastAsia="仿宋" w:cs="仿宋"/>
          <w:b w:val="0"/>
          <w:bCs/>
          <w:i w:val="0"/>
          <w:iCs w:val="0"/>
          <w:kern w:val="2"/>
          <w:sz w:val="28"/>
          <w:szCs w:val="28"/>
          <w:highlight w:val="none"/>
          <w:lang w:val="en-US" w:eastAsia="zh-CN" w:bidi="ar-SA"/>
        </w:rPr>
        <w:t>②助力企业提高生产效率和流通效率，海量数据积累探寻香菇产业发展的规律和与相关产业的关联性，为香菇产业链上下游相关企业提供预警预测，帮助整条产业链企业提前获取有价值的信息，对资源进行合理配置调整和规划，利用此类数据服务产生收益，助力农业供给侧结构性改革；此外，数据的分析不仅能够促进香菇的精准营销，还能够促进产品和服务的创新能力。</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bCs w:val="0"/>
          <w:i w:val="0"/>
          <w:iCs w:val="0"/>
          <w:sz w:val="28"/>
          <w:szCs w:val="28"/>
          <w:highlight w:val="none"/>
          <w:lang w:val="en-US" w:eastAsia="zh-CN"/>
        </w:rPr>
        <w:t>2.3 系统功能要求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（1）多种采集方式：支持多种数据采集方式，包括手动录入、自动抓取、传感器采集等，能够满足不同的网络环境和数据类型。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（2）</w:t>
      </w:r>
      <w:r>
        <w:rPr>
          <w:rFonts w:hint="default" w:ascii="仿宋" w:hAnsi="仿宋" w:eastAsia="仿宋" w:cs="仿宋"/>
          <w:b w:val="0"/>
          <w:bCs/>
          <w:i w:val="0"/>
          <w:iCs w:val="0"/>
          <w:sz w:val="28"/>
          <w:szCs w:val="28"/>
          <w:highlight w:val="none"/>
          <w:lang w:val="en-US" w:eastAsia="zh-CN"/>
        </w:rPr>
        <w:t>数据格式支持：支持多种数据格式，包括结构化数据、非结构化数据、半结构化数据等，能够适应不同类型的数据。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（2）</w:t>
      </w:r>
      <w:r>
        <w:rPr>
          <w:rFonts w:hint="default" w:ascii="仿宋" w:hAnsi="仿宋" w:eastAsia="仿宋" w:cs="仿宋"/>
          <w:b w:val="0"/>
          <w:bCs/>
          <w:i w:val="0"/>
          <w:iCs w:val="0"/>
          <w:sz w:val="28"/>
          <w:szCs w:val="28"/>
          <w:highlight w:val="none"/>
          <w:lang w:val="en-US" w:eastAsia="zh-CN"/>
        </w:rPr>
        <w:t>数据清洗和处理：采集到的数据需要进行清洗和处理，以保证数据的质量和一致性。可以通过数据清洗、数据去重、数据标准化、数据转换等方法对数据进行处理。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（3）</w:t>
      </w:r>
      <w:r>
        <w:rPr>
          <w:rFonts w:hint="default" w:ascii="仿宋" w:hAnsi="仿宋" w:eastAsia="仿宋" w:cs="仿宋"/>
          <w:b w:val="0"/>
          <w:bCs/>
          <w:i w:val="0"/>
          <w:iCs w:val="0"/>
          <w:sz w:val="28"/>
          <w:szCs w:val="28"/>
          <w:highlight w:val="none"/>
          <w:lang w:val="en-US" w:eastAsia="zh-CN"/>
        </w:rPr>
        <w:t>数据交换：支持数据交换，包括不同系统之间的数据交换、不同数据库之间的数据交换等。可以通过接口、文件传输等方式进行数据交换。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（4）</w:t>
      </w:r>
      <w:r>
        <w:rPr>
          <w:rFonts w:hint="default" w:ascii="仿宋" w:hAnsi="仿宋" w:eastAsia="仿宋" w:cs="仿宋"/>
          <w:b w:val="0"/>
          <w:bCs/>
          <w:i w:val="0"/>
          <w:iCs w:val="0"/>
          <w:sz w:val="28"/>
          <w:szCs w:val="28"/>
          <w:highlight w:val="none"/>
          <w:lang w:val="en-US" w:eastAsia="zh-CN"/>
        </w:rPr>
        <w:t>安全性：需要确保数据的安全性，包括数据传输过程中的加密、数据存储的加密和备份等。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（5）</w:t>
      </w:r>
      <w:r>
        <w:rPr>
          <w:rFonts w:hint="default" w:ascii="仿宋" w:hAnsi="仿宋" w:eastAsia="仿宋" w:cs="仿宋"/>
          <w:b w:val="0"/>
          <w:bCs/>
          <w:i w:val="0"/>
          <w:iCs w:val="0"/>
          <w:sz w:val="28"/>
          <w:szCs w:val="28"/>
          <w:highlight w:val="none"/>
          <w:lang w:val="en-US" w:eastAsia="zh-CN"/>
        </w:rPr>
        <w:t>可扩展性：需要具备良好的可扩展性，能够随着业务发展和数据增长进行扩展和升级。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（6）</w:t>
      </w:r>
      <w:r>
        <w:rPr>
          <w:rFonts w:hint="default" w:ascii="仿宋" w:hAnsi="仿宋" w:eastAsia="仿宋" w:cs="仿宋"/>
          <w:b w:val="0"/>
          <w:bCs/>
          <w:i w:val="0"/>
          <w:iCs w:val="0"/>
          <w:sz w:val="28"/>
          <w:szCs w:val="28"/>
          <w:highlight w:val="none"/>
          <w:lang w:val="en-US" w:eastAsia="zh-CN"/>
        </w:rPr>
        <w:t>数据处理速度：需要保证数据处理的速度和效率，能够在数据增长和数据交换的压力下稳定运行，以保证数据的及时性和准确性。</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i w:val="0"/>
          <w:iCs w:val="0"/>
          <w:sz w:val="28"/>
          <w:szCs w:val="28"/>
          <w:highlight w:val="none"/>
        </w:rPr>
      </w:pPr>
      <w:r>
        <w:rPr>
          <w:rFonts w:hint="eastAsia" w:ascii="仿宋" w:hAnsi="仿宋" w:eastAsia="仿宋" w:cs="仿宋"/>
          <w:b/>
          <w:bCs w:val="0"/>
          <w:i w:val="0"/>
          <w:iCs w:val="0"/>
          <w:sz w:val="28"/>
          <w:szCs w:val="28"/>
          <w:highlight w:val="none"/>
        </w:rPr>
        <w:t>2.</w:t>
      </w:r>
      <w:r>
        <w:rPr>
          <w:rFonts w:hint="eastAsia" w:ascii="仿宋" w:hAnsi="仿宋" w:eastAsia="仿宋" w:cs="仿宋"/>
          <w:b/>
          <w:bCs w:val="0"/>
          <w:i w:val="0"/>
          <w:iCs w:val="0"/>
          <w:sz w:val="28"/>
          <w:szCs w:val="28"/>
          <w:highlight w:val="none"/>
          <w:lang w:val="en-US" w:eastAsia="zh-CN"/>
        </w:rPr>
        <w:t>4</w:t>
      </w:r>
      <w:r>
        <w:rPr>
          <w:rFonts w:hint="eastAsia" w:ascii="仿宋" w:hAnsi="仿宋" w:eastAsia="仿宋" w:cs="仿宋"/>
          <w:b/>
          <w:bCs w:val="0"/>
          <w:i w:val="0"/>
          <w:iCs w:val="0"/>
          <w:sz w:val="28"/>
          <w:szCs w:val="28"/>
          <w:highlight w:val="none"/>
        </w:rPr>
        <w:t xml:space="preserve"> 系统性能要求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 xml:space="preserve">结合对上述业务需求及系统用户的分析，为了使平台能顺利运行，对大量数据进行处理，系统需要有足够的性能指标要求来满足和支撑业务。平台能够保证海量数据的高并发读写性能和网络吞吐性能在合理范围内，有效保证业务系统的高效性，对关键业务提供快速的响应，使得业务能够正常、顺利、高效的开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 xml:space="preserve">主要性能指标如下：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w:t>
      </w:r>
      <w:r>
        <w:rPr>
          <w:rFonts w:hint="default" w:ascii="仿宋" w:hAnsi="仿宋" w:eastAsia="仿宋" w:cs="仿宋"/>
          <w:b w:val="0"/>
          <w:bCs/>
          <w:i w:val="0"/>
          <w:iCs w:val="0"/>
          <w:sz w:val="28"/>
          <w:szCs w:val="28"/>
          <w:highlight w:val="none"/>
          <w:lang w:val="en-US" w:eastAsia="zh-CN"/>
        </w:rPr>
        <w:t>并发能力：系统需要支持</w:t>
      </w:r>
      <w:r>
        <w:rPr>
          <w:rFonts w:hint="eastAsia" w:ascii="仿宋" w:hAnsi="仿宋" w:eastAsia="仿宋" w:cs="仿宋"/>
          <w:b w:val="0"/>
          <w:bCs/>
          <w:i w:val="0"/>
          <w:iCs w:val="0"/>
          <w:sz w:val="28"/>
          <w:szCs w:val="28"/>
          <w:highlight w:val="none"/>
          <w:lang w:val="en-US" w:eastAsia="zh-CN"/>
        </w:rPr>
        <w:t>1</w:t>
      </w:r>
      <w:r>
        <w:rPr>
          <w:rFonts w:hint="default" w:ascii="仿宋" w:hAnsi="仿宋" w:eastAsia="仿宋" w:cs="仿宋"/>
          <w:b w:val="0"/>
          <w:bCs/>
          <w:i w:val="0"/>
          <w:iCs w:val="0"/>
          <w:sz w:val="28"/>
          <w:szCs w:val="28"/>
          <w:highlight w:val="none"/>
          <w:lang w:val="en-US" w:eastAsia="zh-CN"/>
        </w:rPr>
        <w:t>000个并发用户，并且响应速度要求小于等于3秒。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（2）</w:t>
      </w:r>
      <w:r>
        <w:rPr>
          <w:rFonts w:hint="default" w:ascii="仿宋" w:hAnsi="仿宋" w:eastAsia="仿宋" w:cs="仿宋"/>
          <w:b w:val="0"/>
          <w:bCs/>
          <w:i w:val="0"/>
          <w:iCs w:val="0"/>
          <w:sz w:val="28"/>
          <w:szCs w:val="28"/>
          <w:highlight w:val="none"/>
          <w:lang w:val="en-US" w:eastAsia="zh-CN"/>
        </w:rPr>
        <w:t>在线人数：系统需要支持</w:t>
      </w:r>
      <w:r>
        <w:rPr>
          <w:rFonts w:hint="eastAsia" w:ascii="仿宋" w:hAnsi="仿宋" w:eastAsia="仿宋" w:cs="仿宋"/>
          <w:b w:val="0"/>
          <w:bCs/>
          <w:i w:val="0"/>
          <w:iCs w:val="0"/>
          <w:sz w:val="28"/>
          <w:szCs w:val="28"/>
          <w:highlight w:val="none"/>
          <w:lang w:val="en-US" w:eastAsia="zh-CN"/>
        </w:rPr>
        <w:t>1</w:t>
      </w:r>
      <w:r>
        <w:rPr>
          <w:rFonts w:hint="default" w:ascii="仿宋" w:hAnsi="仿宋" w:eastAsia="仿宋" w:cs="仿宋"/>
          <w:b w:val="0"/>
          <w:bCs/>
          <w:i w:val="0"/>
          <w:iCs w:val="0"/>
          <w:sz w:val="28"/>
          <w:szCs w:val="28"/>
          <w:highlight w:val="none"/>
          <w:lang w:val="en-US" w:eastAsia="zh-CN"/>
        </w:rPr>
        <w:t>0000人以上的最大在线数。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（3）</w:t>
      </w:r>
      <w:r>
        <w:rPr>
          <w:rFonts w:hint="default" w:ascii="仿宋" w:hAnsi="仿宋" w:eastAsia="仿宋" w:cs="仿宋"/>
          <w:b w:val="0"/>
          <w:bCs/>
          <w:i w:val="0"/>
          <w:iCs w:val="0"/>
          <w:sz w:val="28"/>
          <w:szCs w:val="28"/>
          <w:highlight w:val="none"/>
          <w:lang w:val="en-US" w:eastAsia="zh-CN"/>
        </w:rPr>
        <w:t>最大并发数：系统需要支持</w:t>
      </w:r>
      <w:r>
        <w:rPr>
          <w:rFonts w:hint="eastAsia" w:ascii="仿宋" w:hAnsi="仿宋" w:eastAsia="仿宋" w:cs="仿宋"/>
          <w:b w:val="0"/>
          <w:bCs/>
          <w:i w:val="0"/>
          <w:iCs w:val="0"/>
          <w:sz w:val="28"/>
          <w:szCs w:val="28"/>
          <w:highlight w:val="none"/>
          <w:lang w:val="en-US" w:eastAsia="zh-CN"/>
        </w:rPr>
        <w:t>1</w:t>
      </w:r>
      <w:r>
        <w:rPr>
          <w:rFonts w:hint="default" w:ascii="仿宋" w:hAnsi="仿宋" w:eastAsia="仿宋" w:cs="仿宋"/>
          <w:b w:val="0"/>
          <w:bCs/>
          <w:i w:val="0"/>
          <w:iCs w:val="0"/>
          <w:sz w:val="28"/>
          <w:szCs w:val="28"/>
          <w:highlight w:val="none"/>
          <w:lang w:val="en-US" w:eastAsia="zh-CN"/>
        </w:rPr>
        <w:t>000人以上的最大并发数。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（4）</w:t>
      </w:r>
      <w:r>
        <w:rPr>
          <w:rFonts w:hint="default" w:ascii="仿宋" w:hAnsi="仿宋" w:eastAsia="仿宋" w:cs="仿宋"/>
          <w:b w:val="0"/>
          <w:bCs/>
          <w:i w:val="0"/>
          <w:iCs w:val="0"/>
          <w:sz w:val="28"/>
          <w:szCs w:val="28"/>
          <w:highlight w:val="none"/>
          <w:lang w:val="en-US" w:eastAsia="zh-CN"/>
        </w:rPr>
        <w:t>响应时间：系统的执行动作相应时间需要维持在秒级以内。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highlight w:val="none"/>
          <w:lang w:val="en-US" w:eastAsia="zh-CN"/>
        </w:rPr>
      </w:pPr>
      <w:r>
        <w:rPr>
          <w:rFonts w:hint="eastAsia" w:ascii="仿宋" w:hAnsi="仿宋" w:eastAsia="仿宋" w:cs="仿宋"/>
          <w:b w:val="0"/>
          <w:bCs/>
          <w:i w:val="0"/>
          <w:iCs w:val="0"/>
          <w:sz w:val="28"/>
          <w:szCs w:val="28"/>
          <w:highlight w:val="none"/>
          <w:lang w:val="en-US" w:eastAsia="zh-CN"/>
        </w:rPr>
        <w:t>（5）</w:t>
      </w:r>
      <w:r>
        <w:rPr>
          <w:rFonts w:hint="default" w:ascii="仿宋" w:hAnsi="仿宋" w:eastAsia="仿宋" w:cs="仿宋"/>
          <w:b w:val="0"/>
          <w:bCs/>
          <w:i w:val="0"/>
          <w:iCs w:val="0"/>
          <w:sz w:val="28"/>
          <w:szCs w:val="28"/>
          <w:highlight w:val="none"/>
          <w:lang w:val="en-US" w:eastAsia="zh-CN"/>
        </w:rPr>
        <w:t>更新处理时间：报告等任务状态同步时间需要控制在2秒以内。</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i w:val="0"/>
          <w:iCs w:val="0"/>
          <w:sz w:val="28"/>
          <w:szCs w:val="28"/>
          <w:highlight w:val="none"/>
        </w:rPr>
      </w:pPr>
      <w:r>
        <w:rPr>
          <w:rFonts w:hint="eastAsia" w:ascii="仿宋" w:hAnsi="仿宋" w:eastAsia="仿宋" w:cs="仿宋"/>
          <w:b/>
          <w:bCs w:val="0"/>
          <w:i w:val="0"/>
          <w:iCs w:val="0"/>
          <w:sz w:val="28"/>
          <w:szCs w:val="28"/>
          <w:highlight w:val="none"/>
        </w:rPr>
        <w:t xml:space="preserve"> 2.</w:t>
      </w:r>
      <w:r>
        <w:rPr>
          <w:rFonts w:hint="eastAsia" w:ascii="仿宋" w:hAnsi="仿宋" w:eastAsia="仿宋" w:cs="仿宋"/>
          <w:b/>
          <w:bCs w:val="0"/>
          <w:i w:val="0"/>
          <w:iCs w:val="0"/>
          <w:sz w:val="28"/>
          <w:szCs w:val="28"/>
          <w:highlight w:val="none"/>
          <w:lang w:val="en-US" w:eastAsia="zh-CN"/>
        </w:rPr>
        <w:t>5</w:t>
      </w:r>
      <w:r>
        <w:rPr>
          <w:rFonts w:hint="eastAsia" w:ascii="仿宋" w:hAnsi="仿宋" w:eastAsia="仿宋" w:cs="仿宋"/>
          <w:b/>
          <w:bCs w:val="0"/>
          <w:i w:val="0"/>
          <w:iCs w:val="0"/>
          <w:sz w:val="28"/>
          <w:szCs w:val="28"/>
          <w:highlight w:val="none"/>
        </w:rPr>
        <w:t xml:space="preserve"> 信息标准和接口规范要求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（1）数据存储符合信息编码标准：系统的数据存储必须符合信息编码标准，以保证数据的规范性和可读性。</w:t>
      </w:r>
      <w:r>
        <w:rPr>
          <w:rFonts w:hint="eastAsia" w:ascii="仿宋" w:hAnsi="仿宋" w:eastAsia="仿宋" w:cs="仿宋"/>
          <w:b w:val="0"/>
          <w:bCs/>
          <w:i w:val="0"/>
          <w:iCs w:val="0"/>
          <w:sz w:val="28"/>
          <w:szCs w:val="28"/>
          <w:highlight w:val="none"/>
          <w:lang w:val="en-US" w:eastAsia="zh-CN"/>
        </w:rPr>
        <w:br w:type="textWrapping"/>
      </w:r>
      <w:r>
        <w:rPr>
          <w:rFonts w:hint="eastAsia" w:ascii="仿宋" w:hAnsi="仿宋" w:eastAsia="仿宋" w:cs="仿宋"/>
          <w:b w:val="0"/>
          <w:bCs/>
          <w:i w:val="0"/>
          <w:iCs w:val="0"/>
          <w:sz w:val="28"/>
          <w:szCs w:val="28"/>
          <w:highlight w:val="none"/>
          <w:lang w:val="en-US" w:eastAsia="zh-CN"/>
        </w:rPr>
        <w:t xml:space="preserve">    （2）</w:t>
      </w:r>
      <w:r>
        <w:rPr>
          <w:rFonts w:hint="default" w:ascii="仿宋" w:hAnsi="仿宋" w:eastAsia="仿宋" w:cs="仿宋"/>
          <w:b w:val="0"/>
          <w:bCs/>
          <w:i w:val="0"/>
          <w:iCs w:val="0"/>
          <w:sz w:val="28"/>
          <w:szCs w:val="28"/>
          <w:highlight w:val="none"/>
          <w:lang w:val="en-US" w:eastAsia="zh-CN"/>
        </w:rPr>
        <w:t>数据处理功能完整：系统需要具备完整的数据处理功能，包括数据导入和导出的功能模块。所有数据需支持常见格式的导入导出操作，至少支持 TXT 和 EXCEL 文件其中一种格式，并且能够根据统计项设计各类查询和统计报表。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（3）</w:t>
      </w:r>
      <w:r>
        <w:rPr>
          <w:rFonts w:hint="default" w:ascii="仿宋" w:hAnsi="仿宋" w:eastAsia="仿宋" w:cs="仿宋"/>
          <w:b w:val="0"/>
          <w:bCs/>
          <w:i w:val="0"/>
          <w:iCs w:val="0"/>
          <w:sz w:val="28"/>
          <w:szCs w:val="28"/>
          <w:highlight w:val="none"/>
          <w:lang w:val="en-US" w:eastAsia="zh-CN"/>
        </w:rPr>
        <w:t>软件开发方需配合完成数据清洗和导入：软件开发方需要与项目组配合完成现有统计数据的清洗、过滤和数据导入工作，以确保数据的准确性和完整性。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（4）</w:t>
      </w:r>
      <w:r>
        <w:rPr>
          <w:rFonts w:hint="default" w:ascii="仿宋" w:hAnsi="仿宋" w:eastAsia="仿宋" w:cs="仿宋"/>
          <w:b w:val="0"/>
          <w:bCs/>
          <w:i w:val="0"/>
          <w:iCs w:val="0"/>
          <w:sz w:val="28"/>
          <w:szCs w:val="28"/>
          <w:highlight w:val="none"/>
          <w:lang w:val="en-US" w:eastAsia="zh-CN"/>
        </w:rPr>
        <w:t>负载均衡部署支持：系统能够支持负载均衡部署，可以根据业务量进行灵活的水平扩展部署，以满足系统的高并发处理需求。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eastAsia" w:ascii="仿宋" w:hAnsi="仿宋" w:eastAsia="仿宋" w:cs="仿宋"/>
          <w:b w:val="0"/>
          <w:bCs/>
          <w:i w:val="0"/>
          <w:iCs w:val="0"/>
          <w:sz w:val="28"/>
          <w:szCs w:val="28"/>
          <w:highlight w:val="none"/>
          <w:lang w:val="en-US" w:eastAsia="zh-CN"/>
        </w:rPr>
        <w:t>（5）</w:t>
      </w:r>
      <w:r>
        <w:rPr>
          <w:rFonts w:hint="default" w:ascii="仿宋" w:hAnsi="仿宋" w:eastAsia="仿宋" w:cs="仿宋"/>
          <w:b w:val="0"/>
          <w:bCs/>
          <w:i w:val="0"/>
          <w:iCs w:val="0"/>
          <w:sz w:val="28"/>
          <w:szCs w:val="28"/>
          <w:highlight w:val="none"/>
          <w:lang w:val="en-US" w:eastAsia="zh-CN"/>
        </w:rPr>
        <w:t>提供多种接口方式：系统开发应严格遵照国家软件工程规范，根据项目具体需求提供相应接口，包括但不限于 Web Service、XML、JSON 方式等，以便于第三方系统的集成和对接。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i w:val="0"/>
          <w:iCs w:val="0"/>
          <w:sz w:val="28"/>
          <w:szCs w:val="28"/>
          <w:highlight w:val="none"/>
        </w:rPr>
      </w:pPr>
      <w:r>
        <w:rPr>
          <w:rFonts w:hint="eastAsia" w:ascii="仿宋" w:hAnsi="仿宋" w:eastAsia="仿宋" w:cs="仿宋"/>
          <w:b/>
          <w:bCs w:val="0"/>
          <w:i w:val="0"/>
          <w:iCs w:val="0"/>
          <w:sz w:val="28"/>
          <w:szCs w:val="28"/>
          <w:highlight w:val="none"/>
        </w:rPr>
        <w:t xml:space="preserve"> 2.</w:t>
      </w:r>
      <w:r>
        <w:rPr>
          <w:rFonts w:hint="eastAsia" w:ascii="仿宋" w:hAnsi="仿宋" w:eastAsia="仿宋" w:cs="仿宋"/>
          <w:b/>
          <w:bCs w:val="0"/>
          <w:i w:val="0"/>
          <w:iCs w:val="0"/>
          <w:sz w:val="28"/>
          <w:szCs w:val="28"/>
          <w:highlight w:val="none"/>
          <w:lang w:val="en-US" w:eastAsia="zh-CN"/>
        </w:rPr>
        <w:t>6</w:t>
      </w:r>
      <w:r>
        <w:rPr>
          <w:rFonts w:hint="eastAsia" w:ascii="仿宋" w:hAnsi="仿宋" w:eastAsia="仿宋" w:cs="仿宋"/>
          <w:b/>
          <w:bCs w:val="0"/>
          <w:i w:val="0"/>
          <w:iCs w:val="0"/>
          <w:sz w:val="28"/>
          <w:szCs w:val="28"/>
          <w:highlight w:val="none"/>
        </w:rPr>
        <w:t xml:space="preserve"> 系统安全要求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1）为了确保系统的安全性，建议对系统进行安全评估，对系统进行针对性的加固，包括但不限于网络隔离、安全漏洞修复、强化认证授权机制、安全日志记录等措施，以提高系统的抗攻击能力和自主安全保护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（2）建议对系统的应用服务器进行防火墙设置，实现对系统的安全防护。同时，建议采用安全软件，如入侵检测系统、木马查杀系统、防病毒软件等，加强系统的安全性。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（3）为保证关键数据的安全性，建议采用加密技术对数据进行加密处理，同时合理设置密钥和密文存储策略，保证密钥和密文的安全性。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（4）为确保系统的可用性和可靠性，建议对系统进行完整的应急措施、自动数据备份和灾难恢复机制的设计和实现。同时，应定期进行数据备份和恢复测试，以确保备份的可靠性和恢复的有效性。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i w:val="0"/>
          <w:iCs w:val="0"/>
          <w:sz w:val="28"/>
          <w:szCs w:val="28"/>
          <w:highlight w:val="none"/>
          <w:lang w:val="en-US" w:eastAsia="zh-CN"/>
        </w:rPr>
      </w:pPr>
      <w:r>
        <w:rPr>
          <w:rFonts w:hint="default" w:ascii="仿宋" w:hAnsi="仿宋" w:eastAsia="仿宋" w:cs="仿宋"/>
          <w:b w:val="0"/>
          <w:bCs/>
          <w:i w:val="0"/>
          <w:iCs w:val="0"/>
          <w:sz w:val="28"/>
          <w:szCs w:val="28"/>
          <w:highlight w:val="none"/>
          <w:lang w:val="en-US" w:eastAsia="zh-CN"/>
        </w:rPr>
        <w:t>（5）在系统上线前进行漏洞检测、系统压力测试和系统功能测试，并提供相应报告。根据报告结果，对系统进行优化和修改，以提高系统的性能和安全性。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bCs/>
          <w:color w:val="000000"/>
          <w:kern w:val="0"/>
          <w:sz w:val="32"/>
          <w:szCs w:val="32"/>
          <w:highlight w:val="none"/>
          <w:lang w:val="en-US" w:eastAsia="zh-CN" w:bidi="ar"/>
        </w:rPr>
      </w:pPr>
      <w:r>
        <w:rPr>
          <w:rFonts w:hint="default" w:ascii="仿宋" w:hAnsi="仿宋" w:eastAsia="仿宋" w:cs="仿宋"/>
          <w:b w:val="0"/>
          <w:bCs/>
          <w:i w:val="0"/>
          <w:iCs w:val="0"/>
          <w:sz w:val="28"/>
          <w:szCs w:val="28"/>
          <w:highlight w:val="none"/>
          <w:lang w:val="en-US" w:eastAsia="zh-CN"/>
        </w:rPr>
        <w:t>（</w:t>
      </w:r>
      <w:r>
        <w:rPr>
          <w:rFonts w:hint="eastAsia" w:ascii="仿宋" w:hAnsi="仿宋" w:eastAsia="仿宋" w:cs="仿宋"/>
          <w:b w:val="0"/>
          <w:bCs/>
          <w:i w:val="0"/>
          <w:iCs w:val="0"/>
          <w:sz w:val="28"/>
          <w:szCs w:val="28"/>
          <w:highlight w:val="none"/>
          <w:lang w:val="en-US" w:eastAsia="zh-CN"/>
        </w:rPr>
        <w:t>6</w:t>
      </w:r>
      <w:r>
        <w:rPr>
          <w:rFonts w:hint="default" w:ascii="仿宋" w:hAnsi="仿宋" w:eastAsia="仿宋" w:cs="仿宋"/>
          <w:b w:val="0"/>
          <w:bCs/>
          <w:i w:val="0"/>
          <w:iCs w:val="0"/>
          <w:sz w:val="28"/>
          <w:szCs w:val="28"/>
          <w:highlight w:val="none"/>
          <w:lang w:val="en-US" w:eastAsia="zh-CN"/>
        </w:rPr>
        <w:t>）为保留管理操作日志、用户操作日志、统计报表输出日志等，建议在系统中实现留痕功能。同时，应建立合理的日志管理和审计机制，对系统的日志进行收集、存储和分析，以实现对系统安全的监控和检测。</w:t>
      </w:r>
    </w:p>
    <w:p>
      <w:pPr>
        <w:pStyle w:val="6"/>
        <w:numPr>
          <w:ilvl w:val="0"/>
          <w:numId w:val="0"/>
        </w:numPr>
        <w:rPr>
          <w:rFonts w:ascii="宋体" w:hAnsi="宋体" w:eastAsia="宋体" w:cs="宋体"/>
          <w:sz w:val="24"/>
          <w:szCs w:val="24"/>
          <w:highlight w:val="none"/>
        </w:rPr>
      </w:pPr>
      <w:r>
        <w:rPr>
          <w:rFonts w:hint="eastAsia" w:ascii="仿宋" w:hAnsi="仿宋" w:eastAsia="仿宋" w:cs="仿宋"/>
          <w:b/>
          <w:bCs/>
          <w:color w:val="000000"/>
          <w:kern w:val="0"/>
          <w:sz w:val="32"/>
          <w:szCs w:val="32"/>
          <w:highlight w:val="none"/>
          <w:lang w:val="en-US" w:eastAsia="zh-CN" w:bidi="ar"/>
        </w:rPr>
        <w:t xml:space="preserve">3、建设内容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本项目通过建设</w:t>
      </w:r>
      <w:r>
        <w:rPr>
          <w:rFonts w:hint="eastAsia" w:ascii="仿宋" w:hAnsi="仿宋" w:eastAsia="仿宋" w:cs="仿宋"/>
          <w:b w:val="0"/>
          <w:bCs/>
          <w:i w:val="0"/>
          <w:iCs w:val="0"/>
          <w:kern w:val="2"/>
          <w:sz w:val="28"/>
          <w:szCs w:val="28"/>
          <w:highlight w:val="none"/>
          <w:lang w:val="en-US" w:eastAsia="zh-CN" w:bidi="ar-SA"/>
        </w:rPr>
        <w:t>铜川市耀州区庙湾镇智慧香菇大数据平台，</w:t>
      </w:r>
      <w:r>
        <w:rPr>
          <w:rFonts w:hint="eastAsia" w:ascii="仿宋" w:hAnsi="仿宋" w:eastAsia="仿宋" w:cs="仿宋"/>
          <w:color w:val="000000"/>
          <w:kern w:val="0"/>
          <w:sz w:val="28"/>
          <w:szCs w:val="28"/>
          <w:highlight w:val="none"/>
          <w:lang w:val="en-US" w:eastAsia="zh-CN" w:bidi="ar"/>
        </w:rPr>
        <w:t>推进庙湾镇香菇智慧化发展与提升，将数字技术成果与香菇生产、销售过程相结合，加速电商销售渠道的打通。通过实现数字化指导向市场应用转化、促进农业结构的调整和转型升级、建设铜川市智慧香菇提升试点等目标，通过项目实施，建设香菇全国重点超市销售价格数字系统、销售价格决策系统，实现“大数据服务销售化、农业管理数字化和可视化、渠道销售电商化。以促进农户生产和销售与大数据相契合，引领耀州区农业现代化建设。</w:t>
      </w:r>
      <w:bookmarkEnd w:id="536"/>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4</w:t>
      </w:r>
      <w:r>
        <w:rPr>
          <w:rFonts w:hint="eastAsia" w:ascii="仿宋" w:hAnsi="仿宋" w:eastAsia="仿宋" w:cs="仿宋"/>
          <w:b/>
          <w:bCs/>
          <w:color w:val="000000"/>
          <w:kern w:val="0"/>
          <w:sz w:val="28"/>
          <w:szCs w:val="28"/>
          <w:highlight w:val="none"/>
          <w:lang w:bidi="ar"/>
        </w:rPr>
        <w:t>、商务要求：</w:t>
      </w:r>
    </w:p>
    <w:p>
      <w:pPr>
        <w:adjustRightInd w:val="0"/>
        <w:snapToGrid w:val="0"/>
        <w:spacing w:line="56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4.1</w:t>
      </w:r>
      <w:r>
        <w:rPr>
          <w:rFonts w:hint="eastAsia" w:ascii="仿宋" w:hAnsi="仿宋" w:eastAsia="仿宋" w:cs="仿宋"/>
          <w:b/>
          <w:sz w:val="28"/>
          <w:szCs w:val="28"/>
          <w:highlight w:val="none"/>
        </w:rPr>
        <w:t>.款项结算</w:t>
      </w:r>
    </w:p>
    <w:p>
      <w:pPr>
        <w:tabs>
          <w:tab w:val="left" w:pos="735"/>
        </w:tabs>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1、合同签订生效后甲方向乙方支付合同总价款的 50 %；项目完成并通过甲方的验收后支付剩余50%合同总价款。</w:t>
      </w:r>
    </w:p>
    <w:p>
      <w:pPr>
        <w:tabs>
          <w:tab w:val="left" w:pos="735"/>
        </w:tabs>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2、支付方式：银行转账。</w:t>
      </w:r>
    </w:p>
    <w:p>
      <w:pPr>
        <w:tabs>
          <w:tab w:val="left" w:pos="735"/>
        </w:tabs>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3、结算方式：乙方持验收书，发票（按合同总金额开给甲方）。</w:t>
      </w:r>
    </w:p>
    <w:p>
      <w:pPr>
        <w:tabs>
          <w:tab w:val="left" w:pos="735"/>
        </w:tabs>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1.2、结算方式：银行转账。</w:t>
      </w:r>
    </w:p>
    <w:p>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1.3、结算单位：由</w:t>
      </w:r>
      <w:r>
        <w:rPr>
          <w:rFonts w:hint="eastAsia" w:ascii="仿宋" w:hAnsi="仿宋" w:eastAsia="仿宋" w:cs="仿宋"/>
          <w:sz w:val="28"/>
          <w:szCs w:val="28"/>
          <w:highlight w:val="none"/>
          <w:u w:val="single"/>
        </w:rPr>
        <w:t>采购人</w:t>
      </w:r>
      <w:r>
        <w:rPr>
          <w:rFonts w:hint="eastAsia" w:ascii="仿宋" w:hAnsi="仿宋" w:eastAsia="仿宋" w:cs="仿宋"/>
          <w:sz w:val="28"/>
          <w:szCs w:val="28"/>
          <w:highlight w:val="none"/>
        </w:rPr>
        <w:t>负责结算，乙方开具合同总价数的全额发票交采购人。</w:t>
      </w:r>
    </w:p>
    <w:p>
      <w:pPr>
        <w:adjustRightInd w:val="0"/>
        <w:snapToGrid w:val="0"/>
        <w:spacing w:line="56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2.履行期限、地点及方式：</w:t>
      </w:r>
    </w:p>
    <w:p>
      <w:pPr>
        <w:adjustRightInd w:val="0"/>
        <w:snapToGrid w:val="0"/>
        <w:spacing w:line="560" w:lineRule="exac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2.1履行期限：合同签订之日起</w:t>
      </w:r>
      <w:r>
        <w:rPr>
          <w:rFonts w:hint="eastAsia" w:ascii="仿宋" w:hAnsi="仿宋" w:eastAsia="仿宋" w:cs="仿宋"/>
          <w:kern w:val="0"/>
          <w:sz w:val="28"/>
          <w:szCs w:val="28"/>
          <w:highlight w:val="none"/>
          <w:lang w:val="en-US" w:eastAsia="zh-CN"/>
        </w:rPr>
        <w:t>60个工作日</w:t>
      </w:r>
    </w:p>
    <w:p>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2.2方式：采购人指定方式。</w:t>
      </w:r>
    </w:p>
    <w:p>
      <w:pPr>
        <w:pStyle w:val="47"/>
        <w:spacing w:line="360" w:lineRule="auto"/>
        <w:rPr>
          <w:rStyle w:val="206"/>
          <w:rFonts w:hint="eastAsia" w:ascii="仿宋" w:hAnsi="仿宋" w:eastAsia="仿宋" w:cs="仿宋"/>
          <w:sz w:val="36"/>
          <w:szCs w:val="36"/>
          <w:highlight w:val="none"/>
        </w:rPr>
      </w:pPr>
    </w:p>
    <w:p>
      <w:pPr>
        <w:rPr>
          <w:rStyle w:val="206"/>
          <w:rFonts w:hint="eastAsia" w:ascii="仿宋" w:hAnsi="仿宋" w:eastAsia="仿宋" w:cs="仿宋"/>
          <w:sz w:val="36"/>
          <w:szCs w:val="36"/>
          <w:highlight w:val="none"/>
        </w:rPr>
      </w:pPr>
      <w:r>
        <w:rPr>
          <w:rStyle w:val="206"/>
          <w:rFonts w:hint="eastAsia" w:ascii="仿宋" w:hAnsi="仿宋" w:eastAsia="仿宋" w:cs="仿宋"/>
          <w:sz w:val="36"/>
          <w:szCs w:val="36"/>
          <w:highlight w:val="none"/>
        </w:rPr>
        <w:br w:type="page"/>
      </w:r>
    </w:p>
    <w:p>
      <w:pPr>
        <w:pStyle w:val="47"/>
        <w:spacing w:line="360" w:lineRule="auto"/>
        <w:rPr>
          <w:rFonts w:hint="eastAsia" w:ascii="仿宋" w:hAnsi="仿宋" w:eastAsia="仿宋" w:cs="仿宋"/>
          <w:highlight w:val="none"/>
        </w:rPr>
      </w:pPr>
      <w:bookmarkStart w:id="449" w:name="_Toc483"/>
      <w:r>
        <w:rPr>
          <w:rStyle w:val="206"/>
          <w:rFonts w:hint="eastAsia" w:ascii="仿宋" w:hAnsi="仿宋" w:eastAsia="仿宋" w:cs="仿宋"/>
          <w:sz w:val="36"/>
          <w:szCs w:val="36"/>
          <w:highlight w:val="none"/>
        </w:rPr>
        <w:t>第六章  磋商响应文件格式</w:t>
      </w:r>
      <w:bookmarkEnd w:id="444"/>
      <w:bookmarkEnd w:id="445"/>
      <w:bookmarkEnd w:id="446"/>
      <w:bookmarkEnd w:id="447"/>
      <w:bookmarkEnd w:id="448"/>
      <w:bookmarkEnd w:id="449"/>
      <w:r>
        <w:rPr>
          <w:rFonts w:hint="eastAsia" w:ascii="仿宋" w:hAnsi="仿宋" w:eastAsia="仿宋" w:cs="仿宋"/>
          <w:highlight w:val="none"/>
        </w:rPr>
        <w:t xml:space="preserve"> </w:t>
      </w:r>
    </w:p>
    <w:p>
      <w:pPr>
        <w:pStyle w:val="47"/>
        <w:spacing w:line="360" w:lineRule="auto"/>
        <w:rPr>
          <w:rFonts w:hint="eastAsia" w:ascii="仿宋" w:hAnsi="仿宋" w:eastAsia="仿宋" w:cs="仿宋"/>
          <w:highlight w:val="none"/>
        </w:rPr>
      </w:pPr>
      <w:r>
        <w:rPr>
          <w:rFonts w:hint="eastAsia" w:ascii="仿宋" w:hAnsi="仿宋" w:eastAsia="仿宋" w:cs="仿宋"/>
          <w:highlight w:val="none"/>
        </w:rPr>
        <w:t xml:space="preserve">                                </w:t>
      </w:r>
    </w:p>
    <w:p>
      <w:pPr>
        <w:pStyle w:val="161"/>
        <w:ind w:firstLine="6586" w:firstLineChars="2050"/>
        <w:rPr>
          <w:rFonts w:hint="eastAsia" w:ascii="仿宋" w:hAnsi="仿宋" w:eastAsia="仿宋" w:cs="仿宋"/>
          <w:bCs/>
          <w:highlight w:val="none"/>
          <w:lang w:val="zh-CN"/>
        </w:rPr>
      </w:pPr>
      <w:bookmarkStart w:id="450" w:name="_Toc62196433"/>
      <w:r>
        <w:rPr>
          <w:rFonts w:hint="eastAsia" w:ascii="仿宋" w:hAnsi="仿宋" w:eastAsia="仿宋" w:cs="仿宋"/>
          <w:highlight w:val="none"/>
          <w:lang w:val="zh-CN"/>
        </w:rPr>
        <w:t>正本/副本</w:t>
      </w:r>
      <w:bookmarkEnd w:id="450"/>
    </w:p>
    <w:p>
      <w:pPr>
        <w:autoSpaceDE w:val="0"/>
        <w:autoSpaceDN w:val="0"/>
        <w:adjustRightInd w:val="0"/>
        <w:snapToGrid w:val="0"/>
        <w:spacing w:line="360" w:lineRule="auto"/>
        <w:jc w:val="left"/>
        <w:rPr>
          <w:rFonts w:hint="eastAsia" w:ascii="仿宋" w:hAnsi="仿宋" w:eastAsia="仿宋" w:cs="仿宋"/>
          <w:b/>
          <w:bCs/>
          <w:sz w:val="32"/>
          <w:szCs w:val="32"/>
          <w:highlight w:val="none"/>
          <w:lang w:val="zh-CN"/>
        </w:rPr>
      </w:pPr>
    </w:p>
    <w:p>
      <w:pPr>
        <w:autoSpaceDE w:val="0"/>
        <w:autoSpaceDN w:val="0"/>
        <w:adjustRightInd w:val="0"/>
        <w:snapToGrid w:val="0"/>
        <w:spacing w:line="360" w:lineRule="auto"/>
        <w:jc w:val="left"/>
        <w:rPr>
          <w:rFonts w:hint="eastAsia" w:ascii="仿宋" w:hAnsi="仿宋" w:eastAsia="仿宋" w:cs="仿宋"/>
          <w:b/>
          <w:bCs/>
          <w:sz w:val="32"/>
          <w:szCs w:val="32"/>
          <w:highlight w:val="none"/>
          <w:lang w:val="zh-CN" w:eastAsia="zh-CN"/>
        </w:rPr>
      </w:pPr>
      <w:r>
        <w:rPr>
          <w:rFonts w:hint="eastAsia" w:ascii="仿宋" w:hAnsi="仿宋" w:eastAsia="仿宋" w:cs="仿宋"/>
          <w:b/>
          <w:bCs/>
          <w:sz w:val="32"/>
          <w:szCs w:val="32"/>
          <w:highlight w:val="none"/>
          <w:lang w:val="zh-CN"/>
        </w:rPr>
        <w:t>采购项目编号：</w:t>
      </w:r>
      <w:r>
        <w:rPr>
          <w:rFonts w:hint="eastAsia" w:ascii="仿宋" w:hAnsi="仿宋" w:eastAsia="仿宋" w:cs="仿宋"/>
          <w:b/>
          <w:bCs/>
          <w:sz w:val="30"/>
          <w:szCs w:val="30"/>
          <w:highlight w:val="none"/>
          <w:lang w:eastAsia="zh-CN"/>
        </w:rPr>
        <w:t>XHZB2023-CS-003/001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pPr>
        <w:autoSpaceDE w:val="0"/>
        <w:autoSpaceDN w:val="0"/>
        <w:adjustRightInd w:val="0"/>
        <w:snapToGrid w:val="0"/>
        <w:spacing w:line="360" w:lineRule="auto"/>
        <w:jc w:val="center"/>
        <w:rPr>
          <w:rFonts w:hint="eastAsia"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highlight w:val="none"/>
          <w:lang w:val="zh-CN" w:eastAsia="zh-CN"/>
        </w:rPr>
      </w:pPr>
      <w:r>
        <w:rPr>
          <w:rFonts w:hint="eastAsia" w:ascii="仿宋" w:hAnsi="仿宋" w:eastAsia="仿宋" w:cs="仿宋"/>
          <w:b/>
          <w:bCs/>
          <w:sz w:val="44"/>
          <w:szCs w:val="44"/>
          <w:highlight w:val="none"/>
          <w:lang w:eastAsia="zh-CN"/>
        </w:rPr>
        <w:t>铜川市耀州区庙湾镇智慧香菇大数据平台服务项目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磋商响应文件</w:t>
      </w:r>
    </w:p>
    <w:p>
      <w:pPr>
        <w:pStyle w:val="198"/>
        <w:ind w:firstLine="2891" w:firstLineChars="1200"/>
        <w:rPr>
          <w:rFonts w:hint="eastAsia" w:ascii="仿宋" w:hAnsi="仿宋" w:eastAsia="仿宋" w:cs="仿宋"/>
          <w:b/>
          <w:sz w:val="30"/>
          <w:szCs w:val="30"/>
          <w:highlight w:val="none"/>
        </w:rPr>
      </w:pPr>
      <w:r>
        <w:rPr>
          <w:rFonts w:hint="eastAsia" w:ascii="仿宋" w:hAnsi="仿宋" w:eastAsia="仿宋" w:cs="仿宋"/>
          <w:b/>
          <w:bCs/>
          <w:highlight w:val="none"/>
          <w:lang w:val="zh-CN"/>
        </w:rPr>
        <w:t xml:space="preserve"> </w:t>
      </w:r>
      <w:r>
        <w:rPr>
          <w:rFonts w:hint="eastAsia" w:ascii="仿宋" w:hAnsi="仿宋" w:eastAsia="仿宋" w:cs="仿宋"/>
          <w:b/>
          <w:sz w:val="30"/>
          <w:szCs w:val="30"/>
          <w:highlight w:val="none"/>
        </w:rPr>
        <w:t>（资格证明文件）</w:t>
      </w:r>
    </w:p>
    <w:p>
      <w:pPr>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autoSpaceDE w:val="0"/>
        <w:autoSpaceDN w:val="0"/>
        <w:adjustRightInd w:val="0"/>
        <w:snapToGrid w:val="0"/>
        <w:spacing w:line="360" w:lineRule="auto"/>
        <w:rPr>
          <w:rFonts w:hint="eastAsia" w:ascii="仿宋" w:hAnsi="仿宋" w:eastAsia="仿宋" w:cs="仿宋"/>
          <w:b/>
          <w:bCs/>
          <w:sz w:val="32"/>
          <w:szCs w:val="32"/>
          <w:highlight w:val="none"/>
          <w:lang w:val="zh-CN"/>
        </w:rPr>
      </w:pPr>
    </w:p>
    <w:p>
      <w:pPr>
        <w:autoSpaceDE w:val="0"/>
        <w:autoSpaceDN w:val="0"/>
        <w:adjustRightInd w:val="0"/>
        <w:snapToGrid w:val="0"/>
        <w:spacing w:line="360" w:lineRule="auto"/>
        <w:rPr>
          <w:rFonts w:hint="eastAsia" w:ascii="仿宋" w:hAnsi="仿宋" w:eastAsia="仿宋" w:cs="仿宋"/>
          <w:sz w:val="30"/>
          <w:szCs w:val="30"/>
          <w:highlight w:val="none"/>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供应商：</w:t>
      </w:r>
      <w:r>
        <w:rPr>
          <w:rFonts w:hint="eastAsia" w:ascii="仿宋" w:hAnsi="仿宋" w:eastAsia="仿宋" w:cs="仿宋"/>
          <w:b/>
          <w:bCs/>
          <w:sz w:val="32"/>
          <w:szCs w:val="32"/>
          <w:highlight w:val="none"/>
          <w:u w:val="single"/>
          <w:lang w:val="zh-CN"/>
        </w:rPr>
        <w:t xml:space="preserve">                  </w:t>
      </w:r>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rPr>
          <w:rFonts w:hint="eastAsia" w:ascii="仿宋" w:hAnsi="仿宋" w:eastAsia="仿宋" w:cs="仿宋"/>
          <w:b/>
          <w:bCs/>
          <w:sz w:val="32"/>
          <w:szCs w:val="32"/>
          <w:highlight w:val="none"/>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r>
        <w:rPr>
          <w:rFonts w:hint="eastAsia" w:ascii="仿宋" w:hAnsi="仿宋" w:eastAsia="仿宋" w:cs="仿宋"/>
          <w:b/>
          <w:bCs/>
          <w:sz w:val="32"/>
          <w:szCs w:val="32"/>
          <w:highlight w:val="none"/>
          <w:u w:val="single"/>
        </w:rPr>
        <w:t xml:space="preserve">                      </w:t>
      </w:r>
    </w:p>
    <w:p>
      <w:pPr>
        <w:pStyle w:val="22"/>
        <w:rPr>
          <w:rFonts w:hint="eastAsia" w:ascii="仿宋" w:hAnsi="仿宋" w:eastAsia="仿宋" w:cs="仿宋"/>
          <w:highlight w:val="none"/>
        </w:rPr>
      </w:pPr>
      <w:r>
        <w:rPr>
          <w:rFonts w:hint="eastAsia" w:ascii="仿宋" w:hAnsi="仿宋" w:eastAsia="仿宋" w:cs="仿宋"/>
          <w:highlight w:val="none"/>
        </w:rPr>
        <w:br w:type="page"/>
      </w:r>
    </w:p>
    <w:p>
      <w:pPr>
        <w:pStyle w:val="198"/>
        <w:ind w:firstLine="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第一部分  身份证明文件</w:t>
      </w:r>
    </w:p>
    <w:p>
      <w:pPr>
        <w:spacing w:after="120"/>
        <w:rPr>
          <w:rFonts w:hint="eastAsia" w:ascii="仿宋" w:hAnsi="仿宋" w:eastAsia="仿宋" w:cs="仿宋"/>
          <w:highlight w:val="none"/>
        </w:rPr>
      </w:pPr>
    </w:p>
    <w:p>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zh-CN"/>
        </w:rPr>
        <w:t>1、法定代表人授权书</w:t>
      </w:r>
    </w:p>
    <w:p>
      <w:pPr>
        <w:autoSpaceDE w:val="0"/>
        <w:autoSpaceDN w:val="0"/>
        <w:adjustRightInd w:val="0"/>
        <w:spacing w:line="348" w:lineRule="auto"/>
        <w:ind w:firstLine="400"/>
        <w:rPr>
          <w:rFonts w:hint="eastAsia" w:ascii="仿宋" w:hAnsi="仿宋" w:eastAsia="仿宋" w:cs="仿宋"/>
          <w:b/>
          <w:bCs/>
          <w:sz w:val="20"/>
          <w:highlight w:val="none"/>
        </w:rPr>
      </w:pPr>
    </w:p>
    <w:p>
      <w:pPr>
        <w:autoSpaceDE w:val="0"/>
        <w:autoSpaceDN w:val="0"/>
        <w:adjustRightInd w:val="0"/>
        <w:spacing w:line="348" w:lineRule="auto"/>
        <w:rPr>
          <w:rFonts w:hint="eastAsia" w:ascii="仿宋" w:hAnsi="仿宋" w:eastAsia="仿宋" w:cs="仿宋"/>
          <w:sz w:val="24"/>
          <w:highlight w:val="none"/>
        </w:rPr>
      </w:pPr>
      <w:r>
        <w:rPr>
          <w:rFonts w:hint="eastAsia" w:ascii="仿宋" w:hAnsi="仿宋" w:eastAsia="仿宋" w:cs="仿宋"/>
          <w:sz w:val="24"/>
          <w:highlight w:val="none"/>
          <w:lang w:val="zh-CN"/>
        </w:rPr>
        <w:t>陕西星火工程管理有限公司：</w:t>
      </w:r>
    </w:p>
    <w:p>
      <w:pPr>
        <w:autoSpaceDE w:val="0"/>
        <w:autoSpaceDN w:val="0"/>
        <w:adjustRightInd w:val="0"/>
        <w:spacing w:line="348" w:lineRule="auto"/>
        <w:ind w:firstLine="640"/>
        <w:rPr>
          <w:rFonts w:hint="eastAsia" w:ascii="仿宋" w:hAnsi="仿宋" w:eastAsia="仿宋" w:cs="仿宋"/>
          <w:sz w:val="24"/>
          <w:highlight w:val="none"/>
        </w:rPr>
      </w:pPr>
      <w:r>
        <w:rPr>
          <w:rFonts w:hint="eastAsia" w:ascii="仿宋" w:hAnsi="仿宋" w:eastAsia="仿宋" w:cs="仿宋"/>
          <w:sz w:val="24"/>
          <w:highlight w:val="none"/>
          <w:lang w:val="zh-CN"/>
        </w:rPr>
        <w:t>注册于</w:t>
      </w:r>
      <w:r>
        <w:rPr>
          <w:rFonts w:hint="eastAsia" w:ascii="仿宋" w:hAnsi="仿宋" w:eastAsia="仿宋" w:cs="仿宋"/>
          <w:sz w:val="24"/>
          <w:highlight w:val="none"/>
          <w:u w:val="single"/>
          <w:lang w:val="zh-CN"/>
        </w:rPr>
        <w:t>（工商行政管理局名称）</w:t>
      </w:r>
      <w:r>
        <w:rPr>
          <w:rFonts w:hint="eastAsia" w:ascii="仿宋" w:hAnsi="仿宋" w:eastAsia="仿宋" w:cs="仿宋"/>
          <w:sz w:val="24"/>
          <w:highlight w:val="none"/>
          <w:lang w:val="zh-CN"/>
        </w:rPr>
        <w:t>之</w:t>
      </w:r>
      <w:r>
        <w:rPr>
          <w:rFonts w:hint="eastAsia" w:ascii="仿宋" w:hAnsi="仿宋" w:eastAsia="仿宋" w:cs="仿宋"/>
          <w:sz w:val="24"/>
          <w:highlight w:val="none"/>
          <w:u w:val="single"/>
          <w:lang w:val="zh-CN"/>
        </w:rPr>
        <w:t>（供应商全称）</w:t>
      </w:r>
      <w:r>
        <w:rPr>
          <w:rFonts w:hint="eastAsia" w:ascii="仿宋" w:hAnsi="仿宋" w:eastAsia="仿宋" w:cs="仿宋"/>
          <w:sz w:val="24"/>
          <w:highlight w:val="none"/>
          <w:lang w:val="zh-CN"/>
        </w:rPr>
        <w:t>法人代表</w:t>
      </w:r>
      <w:r>
        <w:rPr>
          <w:rFonts w:hint="eastAsia" w:ascii="仿宋" w:hAnsi="仿宋" w:eastAsia="仿宋" w:cs="仿宋"/>
          <w:sz w:val="24"/>
          <w:highlight w:val="none"/>
          <w:u w:val="single"/>
          <w:lang w:val="zh-CN"/>
        </w:rPr>
        <w:t>（姓名、职务）</w:t>
      </w:r>
      <w:r>
        <w:rPr>
          <w:rFonts w:hint="eastAsia" w:ascii="仿宋" w:hAnsi="仿宋" w:eastAsia="仿宋" w:cs="仿宋"/>
          <w:sz w:val="24"/>
          <w:highlight w:val="none"/>
          <w:lang w:val="zh-CN"/>
        </w:rPr>
        <w:t>授权</w:t>
      </w:r>
      <w:r>
        <w:rPr>
          <w:rFonts w:hint="eastAsia" w:ascii="仿宋" w:hAnsi="仿宋" w:eastAsia="仿宋" w:cs="仿宋"/>
          <w:sz w:val="24"/>
          <w:highlight w:val="none"/>
          <w:u w:val="single"/>
          <w:lang w:val="zh-CN"/>
        </w:rPr>
        <w:t>（被授权人姓名、职务）</w:t>
      </w:r>
      <w:r>
        <w:rPr>
          <w:rFonts w:hint="eastAsia" w:ascii="仿宋" w:hAnsi="仿宋" w:eastAsia="仿宋" w:cs="仿宋"/>
          <w:sz w:val="24"/>
          <w:highlight w:val="none"/>
          <w:lang w:val="zh-CN"/>
        </w:rPr>
        <w:t>为本公司的合法代理人，就</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的磋商及合同的执行和完成，以本公司的名义处理一切与之有关的事宜。</w:t>
      </w:r>
    </w:p>
    <w:p>
      <w:pPr>
        <w:snapToGrid w:val="0"/>
        <w:spacing w:line="360" w:lineRule="auto"/>
        <w:ind w:firstLine="480" w:firstLineChars="200"/>
        <w:rPr>
          <w:rFonts w:hint="default" w:ascii="仿宋" w:hAnsi="仿宋" w:eastAsia="仿宋" w:cs="仿宋"/>
          <w:b/>
          <w:bCs/>
          <w:sz w:val="24"/>
          <w:highlight w:val="none"/>
          <w:lang w:val="en-US" w:eastAsia="zh-CN"/>
        </w:rPr>
      </w:pPr>
      <w:r>
        <w:rPr>
          <w:rFonts w:hint="eastAsia" w:ascii="仿宋" w:hAnsi="仿宋" w:eastAsia="仿宋" w:cs="仿宋"/>
          <w:sz w:val="24"/>
          <w:highlight w:val="none"/>
          <w:lang w:val="zh-CN"/>
        </w:rPr>
        <w:t>本授权</w:t>
      </w:r>
      <w:r>
        <w:rPr>
          <w:rFonts w:hint="eastAsia" w:ascii="仿宋" w:hAnsi="仿宋" w:eastAsia="仿宋" w:cs="仿宋"/>
          <w:sz w:val="24"/>
          <w:highlight w:val="none"/>
          <w:lang w:val="en-US" w:eastAsia="zh-CN"/>
        </w:rPr>
        <w:t>有效期自开标之日起60日历天。</w:t>
      </w:r>
    </w:p>
    <w:p>
      <w:pPr>
        <w:autoSpaceDE w:val="0"/>
        <w:autoSpaceDN w:val="0"/>
        <w:adjustRightInd w:val="0"/>
        <w:spacing w:line="348" w:lineRule="auto"/>
        <w:rPr>
          <w:rFonts w:hint="eastAsia" w:ascii="仿宋" w:hAnsi="仿宋" w:eastAsia="仿宋" w:cs="仿宋"/>
          <w:sz w:val="24"/>
          <w:highlight w:val="none"/>
        </w:rPr>
      </w:pPr>
    </w:p>
    <w:p>
      <w:pPr>
        <w:autoSpaceDE w:val="0"/>
        <w:autoSpaceDN w:val="0"/>
        <w:adjustRightInd w:val="0"/>
        <w:spacing w:line="348" w:lineRule="auto"/>
        <w:rPr>
          <w:rFonts w:hint="eastAsia" w:ascii="仿宋" w:hAnsi="仿宋" w:eastAsia="仿宋" w:cs="仿宋"/>
          <w:sz w:val="24"/>
          <w:highlight w:val="none"/>
          <w:u w:val="single"/>
        </w:rPr>
      </w:pPr>
      <w:r>
        <w:rPr>
          <w:rFonts w:hint="eastAsia" w:ascii="仿宋" w:hAnsi="仿宋" w:eastAsia="仿宋" w:cs="仿宋"/>
          <w:sz w:val="24"/>
          <w:highlight w:val="none"/>
          <w:lang w:val="zh-CN"/>
        </w:rPr>
        <w:t>附：被授权人姓名：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zh-CN"/>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年龄：</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职</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身份证号码：</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hint="eastAsia" w:ascii="仿宋" w:hAnsi="仿宋" w:eastAsia="仿宋" w:cs="仿宋"/>
          <w:sz w:val="24"/>
          <w:highlight w:val="none"/>
          <w:u w:val="single"/>
        </w:rPr>
      </w:pPr>
      <w:r>
        <w:rPr>
          <w:rFonts w:hint="eastAsia" w:ascii="仿宋" w:hAnsi="仿宋" w:eastAsia="仿宋" w:cs="仿宋"/>
          <w:sz w:val="24"/>
          <w:highlight w:val="none"/>
          <w:lang w:val="zh-CN"/>
        </w:rPr>
        <w:t>通讯地址：</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hint="eastAsia" w:ascii="仿宋" w:hAnsi="仿宋" w:eastAsia="仿宋" w:cs="仿宋"/>
          <w:sz w:val="24"/>
          <w:highlight w:val="none"/>
          <w:u w:val="single"/>
        </w:rPr>
      </w:pPr>
      <w:r>
        <w:rPr>
          <w:rFonts w:hint="eastAsia" w:ascii="仿宋" w:hAnsi="仿宋" w:eastAsia="仿宋" w:cs="仿宋"/>
          <w:sz w:val="24"/>
          <w:highlight w:val="none"/>
          <w:lang w:val="zh-CN"/>
        </w:rPr>
        <w:t>邮政编码：</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hint="eastAsia" w:ascii="仿宋" w:hAnsi="仿宋" w:eastAsia="仿宋" w:cs="仿宋"/>
          <w:sz w:val="24"/>
          <w:highlight w:val="none"/>
          <w:u w:val="singl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传真：</w:t>
      </w:r>
      <w:r>
        <w:rPr>
          <w:rFonts w:hint="eastAsia" w:ascii="仿宋" w:hAnsi="仿宋" w:eastAsia="仿宋" w:cs="仿宋"/>
          <w:sz w:val="24"/>
          <w:highlight w:val="none"/>
          <w:u w:val="single"/>
        </w:rPr>
        <w:t xml:space="preserve">           </w:t>
      </w:r>
    </w:p>
    <w:p>
      <w:pPr>
        <w:autoSpaceDE w:val="0"/>
        <w:autoSpaceDN w:val="0"/>
        <w:adjustRightInd w:val="0"/>
        <w:spacing w:line="348" w:lineRule="auto"/>
        <w:rPr>
          <w:rFonts w:hint="eastAsia" w:ascii="仿宋" w:hAnsi="仿宋" w:eastAsia="仿宋" w:cs="仿宋"/>
          <w:sz w:val="24"/>
          <w:highlight w:val="none"/>
        </w:rPr>
      </w:pPr>
    </w:p>
    <w:p>
      <w:pPr>
        <w:autoSpaceDE w:val="0"/>
        <w:autoSpaceDN w:val="0"/>
        <w:adjustRightInd w:val="0"/>
        <w:spacing w:line="34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rPr>
        <w:t>及</w:t>
      </w:r>
      <w:r>
        <w:rPr>
          <w:rFonts w:hint="eastAsia" w:ascii="仿宋" w:hAnsi="仿宋" w:eastAsia="仿宋" w:cs="仿宋"/>
          <w:sz w:val="24"/>
          <w:highlight w:val="none"/>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法定代表人身份证复印件</w:t>
            </w:r>
          </w:p>
          <w:p>
            <w:pPr>
              <w:autoSpaceDE w:val="0"/>
              <w:autoSpaceDN w:val="0"/>
              <w:adjustRightInd w:val="0"/>
              <w:spacing w:line="348" w:lineRule="auto"/>
              <w:jc w:val="center"/>
              <w:rPr>
                <w:rFonts w:hint="eastAsia" w:ascii="仿宋" w:hAnsi="仿宋" w:eastAsia="仿宋" w:cs="仿宋"/>
                <w:sz w:val="24"/>
                <w:highlight w:val="none"/>
                <w:u w:val="single"/>
              </w:rPr>
            </w:pPr>
            <w:r>
              <w:rPr>
                <w:rFonts w:hint="eastAsia" w:ascii="仿宋" w:hAnsi="仿宋" w:eastAsia="仿宋" w:cs="仿宋"/>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授权代表身份证复印件</w:t>
            </w:r>
          </w:p>
          <w:p>
            <w:pPr>
              <w:autoSpaceDE w:val="0"/>
              <w:autoSpaceDN w:val="0"/>
              <w:adjustRightInd w:val="0"/>
              <w:spacing w:line="348" w:lineRule="auto"/>
              <w:jc w:val="center"/>
              <w:rPr>
                <w:rFonts w:hint="eastAsia" w:ascii="仿宋" w:hAnsi="仿宋" w:eastAsia="仿宋" w:cs="仿宋"/>
                <w:sz w:val="24"/>
                <w:highlight w:val="none"/>
                <w:u w:val="single"/>
              </w:rPr>
            </w:pPr>
            <w:r>
              <w:rPr>
                <w:rFonts w:hint="eastAsia" w:ascii="仿宋" w:hAnsi="仿宋" w:eastAsia="仿宋" w:cs="仿宋"/>
                <w:sz w:val="24"/>
                <w:highlight w:val="none"/>
                <w:lang w:val="zh-CN"/>
              </w:rPr>
              <w:t>（正反面）</w:t>
            </w:r>
          </w:p>
        </w:tc>
      </w:tr>
    </w:tbl>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pPr>
        <w:adjustRightInd w:val="0"/>
        <w:snapToGrid w:val="0"/>
        <w:spacing w:line="360" w:lineRule="auto"/>
        <w:ind w:firstLine="1320" w:firstLineChars="550"/>
        <w:rPr>
          <w:rFonts w:hint="eastAsia" w:ascii="仿宋" w:hAnsi="仿宋" w:eastAsia="仿宋" w:cs="仿宋"/>
          <w:sz w:val="24"/>
          <w:highlight w:val="none"/>
        </w:rPr>
      </w:pPr>
      <w:r>
        <w:rPr>
          <w:rFonts w:hint="eastAsia" w:ascii="仿宋" w:hAnsi="仿宋" w:eastAsia="仿宋" w:cs="仿宋"/>
          <w:sz w:val="24"/>
          <w:highlight w:val="none"/>
        </w:rPr>
        <w:t>供应商                                 法定代表人</w:t>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（公章）：                              （签字）：</w:t>
      </w:r>
    </w:p>
    <w:p>
      <w:pPr>
        <w:spacing w:after="120"/>
        <w:rPr>
          <w:rFonts w:hint="eastAsia" w:ascii="仿宋" w:hAnsi="仿宋" w:eastAsia="仿宋" w:cs="仿宋"/>
          <w:highlight w:val="none"/>
        </w:rPr>
      </w:pPr>
      <w:r>
        <w:rPr>
          <w:rFonts w:hint="eastAsia" w:ascii="仿宋" w:hAnsi="仿宋" w:eastAsia="仿宋" w:cs="仿宋"/>
          <w:highlight w:val="none"/>
        </w:rPr>
        <w:br w:type="page"/>
      </w:r>
    </w:p>
    <w:p>
      <w:pPr>
        <w:autoSpaceDE w:val="0"/>
        <w:autoSpaceDN w:val="0"/>
        <w:adjustRightInd w:val="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2、法定代表人身份证明</w:t>
      </w: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单位性质：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地    址： </w:t>
      </w:r>
      <w:r>
        <w:rPr>
          <w:rFonts w:hint="eastAsia" w:ascii="仿宋" w:hAnsi="仿宋" w:eastAsia="仿宋" w:cs="仿宋"/>
          <w:kern w:val="0"/>
          <w:sz w:val="24"/>
          <w:highlight w:val="none"/>
          <w:u w:val="single"/>
        </w:rPr>
        <w:t xml:space="preserve">                       </w:t>
      </w: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经营期限：</w:t>
      </w: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性别：</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职务：</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系</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（供应商名称）的法定代表人。</w:t>
      </w:r>
    </w:p>
    <w:p>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特此证明。</w:t>
      </w: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jc w:val="left"/>
        <w:rPr>
          <w:rFonts w:hint="eastAsia" w:ascii="仿宋" w:hAnsi="仿宋" w:eastAsia="仿宋" w:cs="仿宋"/>
          <w:kern w:val="0"/>
          <w:sz w:val="24"/>
          <w:highlight w:val="none"/>
        </w:rPr>
      </w:pPr>
    </w:p>
    <w:p>
      <w:pPr>
        <w:autoSpaceDE w:val="0"/>
        <w:autoSpaceDN w:val="0"/>
        <w:adjustRightInd w:val="0"/>
        <w:spacing w:line="360" w:lineRule="auto"/>
        <w:ind w:left="5399" w:leftChars="2571"/>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           （公章）</w:t>
      </w:r>
    </w:p>
    <w:p>
      <w:pPr>
        <w:autoSpaceDE w:val="0"/>
        <w:autoSpaceDN w:val="0"/>
        <w:adjustRightInd w:val="0"/>
        <w:spacing w:line="360" w:lineRule="auto"/>
        <w:ind w:left="5399" w:leftChars="2571"/>
        <w:jc w:val="left"/>
        <w:rPr>
          <w:rFonts w:hint="eastAsia" w:ascii="仿宋" w:hAnsi="仿宋" w:eastAsia="仿宋" w:cs="仿宋"/>
          <w:kern w:val="0"/>
          <w:sz w:val="24"/>
          <w:highlight w:val="none"/>
        </w:rPr>
      </w:pPr>
    </w:p>
    <w:p>
      <w:pPr>
        <w:autoSpaceDE w:val="0"/>
        <w:autoSpaceDN w:val="0"/>
        <w:adjustRightInd w:val="0"/>
        <w:spacing w:line="360" w:lineRule="auto"/>
        <w:ind w:left="6659" w:leftChars="3171"/>
        <w:jc w:val="left"/>
        <w:rPr>
          <w:rFonts w:hint="eastAsia" w:ascii="仿宋" w:hAnsi="仿宋" w:eastAsia="仿宋" w:cs="仿宋"/>
          <w:kern w:val="0"/>
          <w:sz w:val="24"/>
          <w:highlight w:val="none"/>
        </w:rPr>
      </w:pPr>
      <w:r>
        <w:rPr>
          <w:rFonts w:hint="eastAsia" w:ascii="仿宋" w:hAnsi="仿宋" w:eastAsia="仿宋" w:cs="仿宋"/>
          <w:kern w:val="0"/>
          <w:sz w:val="24"/>
          <w:highlight w:val="none"/>
        </w:rPr>
        <w:t>年  月  日</w:t>
      </w:r>
    </w:p>
    <w:p>
      <w:pPr>
        <w:spacing w:after="120"/>
        <w:rPr>
          <w:rFonts w:hint="eastAsia" w:ascii="仿宋" w:hAnsi="仿宋" w:eastAsia="仿宋" w:cs="仿宋"/>
          <w:highlight w:val="none"/>
        </w:rPr>
      </w:pPr>
      <w:r>
        <w:rPr>
          <w:rFonts w:hint="eastAsia" w:ascii="仿宋" w:hAnsi="仿宋" w:eastAsia="仿宋" w:cs="仿宋"/>
          <w:highlight w:val="none"/>
        </w:rPr>
        <w:br w:type="page"/>
      </w:r>
    </w:p>
    <w:p>
      <w:pPr>
        <w:widowControl/>
        <w:ind w:firstLine="141" w:firstLineChars="5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3、授权代表本单位证明</w:t>
      </w:r>
    </w:p>
    <w:p>
      <w:pPr>
        <w:spacing w:after="120"/>
        <w:rPr>
          <w:rFonts w:hint="eastAsia" w:ascii="仿宋" w:hAnsi="仿宋" w:eastAsia="仿宋" w:cs="仿宋"/>
          <w:highlight w:val="none"/>
        </w:rPr>
      </w:pPr>
    </w:p>
    <w:p>
      <w:pPr>
        <w:autoSpaceDE w:val="0"/>
        <w:autoSpaceDN w:val="0"/>
        <w:adjustRightInd w:val="0"/>
        <w:spacing w:line="348"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养老保险缴纳证明或劳动合同复印件</w:t>
      </w:r>
      <w:r>
        <w:rPr>
          <w:rFonts w:hint="eastAsia" w:ascii="仿宋" w:hAnsi="仿宋" w:eastAsia="仿宋" w:cs="仿宋"/>
          <w:sz w:val="28"/>
          <w:szCs w:val="28"/>
          <w:highlight w:val="none"/>
          <w:lang w:val="zh-CN"/>
        </w:rPr>
        <w:t>）</w:t>
      </w: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p>
    <w:p>
      <w:pPr>
        <w:spacing w:after="120"/>
        <w:rPr>
          <w:rFonts w:hint="eastAsia" w:ascii="仿宋" w:hAnsi="仿宋" w:eastAsia="仿宋" w:cs="仿宋"/>
          <w:highlight w:val="none"/>
          <w:lang w:val="zh-CN"/>
        </w:rPr>
      </w:pPr>
      <w:r>
        <w:rPr>
          <w:rFonts w:hint="eastAsia" w:ascii="仿宋" w:hAnsi="仿宋" w:eastAsia="仿宋" w:cs="仿宋"/>
          <w:highlight w:val="none"/>
          <w:lang w:val="zh-CN"/>
        </w:rPr>
        <w:br w:type="page"/>
      </w:r>
    </w:p>
    <w:p>
      <w:pPr>
        <w:pStyle w:val="198"/>
        <w:ind w:firstLine="2570" w:firstLineChars="800"/>
        <w:rPr>
          <w:rFonts w:hint="eastAsia" w:ascii="仿宋" w:hAnsi="仿宋" w:eastAsia="仿宋" w:cs="仿宋"/>
          <w:b/>
          <w:sz w:val="32"/>
          <w:szCs w:val="32"/>
          <w:highlight w:val="none"/>
        </w:rPr>
      </w:pPr>
      <w:r>
        <w:rPr>
          <w:rFonts w:hint="eastAsia" w:ascii="仿宋" w:hAnsi="仿宋" w:eastAsia="仿宋" w:cs="仿宋"/>
          <w:b/>
          <w:sz w:val="32"/>
          <w:szCs w:val="32"/>
          <w:highlight w:val="none"/>
        </w:rPr>
        <w:t>第二部分  资格证明文件</w:t>
      </w:r>
    </w:p>
    <w:p>
      <w:pPr>
        <w:spacing w:after="120"/>
        <w:rPr>
          <w:rFonts w:hint="eastAsia" w:ascii="仿宋" w:hAnsi="仿宋" w:eastAsia="仿宋" w:cs="仿宋"/>
          <w:highlight w:val="none"/>
        </w:rPr>
      </w:pPr>
    </w:p>
    <w:p>
      <w:pPr>
        <w:numPr>
          <w:ilvl w:val="1"/>
          <w:numId w:val="19"/>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sz w:val="24"/>
          <w:highlight w:val="none"/>
        </w:rPr>
      </w:pPr>
      <w:r>
        <w:rPr>
          <w:rFonts w:hint="eastAsia" w:ascii="仿宋" w:hAnsi="仿宋" w:eastAsia="仿宋" w:cs="仿宋"/>
          <w:sz w:val="24"/>
          <w:highlight w:val="none"/>
        </w:rPr>
        <w:t>供应商的企业法人营业执照副本复印件（格式要求见附件6-1）；</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rPr>
        <w:t>供应商上一年度（2021年度</w:t>
      </w:r>
      <w:r>
        <w:rPr>
          <w:rFonts w:hint="eastAsia" w:ascii="仿宋" w:hAnsi="仿宋" w:eastAsia="仿宋" w:cs="仿宋"/>
          <w:sz w:val="24"/>
          <w:highlight w:val="none"/>
          <w:lang w:val="en-US" w:eastAsia="zh-CN"/>
        </w:rPr>
        <w:t>或2022年度</w:t>
      </w:r>
      <w:r>
        <w:rPr>
          <w:rFonts w:hint="eastAsia" w:ascii="仿宋" w:hAnsi="仿宋" w:eastAsia="仿宋" w:cs="仿宋"/>
          <w:sz w:val="24"/>
          <w:highlight w:val="none"/>
        </w:rPr>
        <w:t>）的经审计的财务报告、或上一年度（202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年度）任意一个月单位内部财务报表、或本年度基本开户银行出具的资信证明（格式要求见附件6-2）；</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近半年（2022年10月1日至今）</w:t>
      </w:r>
      <w:r>
        <w:rPr>
          <w:rFonts w:hint="eastAsia" w:ascii="仿宋" w:hAnsi="仿宋" w:eastAsia="仿宋" w:cs="仿宋"/>
          <w:sz w:val="24"/>
          <w:highlight w:val="none"/>
        </w:rPr>
        <w:t>任意一个月的依法缴纳税收和社会保障资金的证明材料复印件（格式见附件6-3、6-4）</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rPr>
        <w:t>具备履行合同所必需的设备和专业技术能力的承诺（格式见附件6-5）；</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rPr>
        <w:t>供应商参加政府采购活动前3年内在经营活动中没有重大违法记录的书面声明（格式见附件6-6）</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rPr>
        <w:t>供应商控股股东名称、控股公司的名称和存在管理、被管理关系的单位名称说明（格式见附件6-7)</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rPr>
        <w:t>供应商是否属于为本项目提供整体设计、规范编制或者项目管理、监理、检测等服务的供应商声明（格式见附件6-8)</w:t>
      </w:r>
    </w:p>
    <w:p>
      <w:pPr>
        <w:numPr>
          <w:ilvl w:val="1"/>
          <w:numId w:val="19"/>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highlight w:val="none"/>
        </w:rPr>
      </w:pPr>
      <w:r>
        <w:rPr>
          <w:rFonts w:hint="eastAsia" w:ascii="仿宋" w:hAnsi="仿宋" w:eastAsia="仿宋" w:cs="仿宋"/>
          <w:sz w:val="24"/>
          <w:highlight w:val="none"/>
        </w:rPr>
        <w:t>证明供应商符合特定资格要求的证明材料（格式见附件6-9)</w:t>
      </w:r>
    </w:p>
    <w:p>
      <w:pPr>
        <w:pStyle w:val="64"/>
        <w:rPr>
          <w:rFonts w:hint="eastAsia" w:ascii="仿宋" w:hAnsi="仿宋" w:eastAsia="仿宋" w:cs="仿宋"/>
          <w:highlight w:val="none"/>
        </w:rPr>
      </w:pPr>
    </w:p>
    <w:p>
      <w:pPr>
        <w:pStyle w:val="64"/>
        <w:rPr>
          <w:rFonts w:hint="eastAsia" w:ascii="仿宋" w:hAnsi="仿宋" w:eastAsia="仿宋" w:cs="仿宋"/>
          <w:highlight w:val="none"/>
        </w:rPr>
      </w:pPr>
    </w:p>
    <w:p>
      <w:pPr>
        <w:spacing w:after="120"/>
        <w:ind w:left="780"/>
        <w:rPr>
          <w:rFonts w:hint="eastAsia" w:ascii="仿宋" w:hAnsi="仿宋" w:eastAsia="仿宋" w:cs="仿宋"/>
          <w:highlight w:val="none"/>
        </w:rPr>
      </w:pPr>
    </w:p>
    <w:p>
      <w:pPr>
        <w:adjustRightInd w:val="0"/>
        <w:spacing w:line="360" w:lineRule="auto"/>
        <w:ind w:firstLine="482" w:firstLineChars="200"/>
        <w:jc w:val="left"/>
        <w:textAlignment w:val="baseline"/>
        <w:rPr>
          <w:rFonts w:hint="eastAsia" w:ascii="仿宋" w:hAnsi="仿宋" w:eastAsia="仿宋" w:cs="仿宋"/>
          <w:b/>
          <w:sz w:val="24"/>
          <w:highlight w:val="none"/>
        </w:rPr>
      </w:pPr>
      <w:r>
        <w:rPr>
          <w:rFonts w:hint="eastAsia" w:ascii="仿宋" w:hAnsi="仿宋" w:eastAsia="仿宋" w:cs="仿宋"/>
          <w:b/>
          <w:sz w:val="24"/>
          <w:highlight w:val="none"/>
        </w:rPr>
        <w:t>以上提供的扫描件、复印件必须加盖供应商公章。</w:t>
      </w:r>
    </w:p>
    <w:p>
      <w:pPr>
        <w:spacing w:after="120"/>
        <w:rPr>
          <w:rFonts w:hint="eastAsia" w:ascii="仿宋" w:hAnsi="仿宋" w:eastAsia="仿宋" w:cs="仿宋"/>
          <w:highlight w:val="none"/>
        </w:rPr>
      </w:pPr>
      <w:r>
        <w:rPr>
          <w:rFonts w:hint="eastAsia" w:ascii="仿宋" w:hAnsi="仿宋" w:eastAsia="仿宋" w:cs="仿宋"/>
          <w:highlight w:val="none"/>
        </w:rPr>
        <w:br w:type="page"/>
      </w:r>
    </w:p>
    <w:p>
      <w:pPr>
        <w:jc w:val="left"/>
        <w:outlineLvl w:val="2"/>
        <w:rPr>
          <w:rFonts w:hint="eastAsia" w:ascii="仿宋" w:hAnsi="仿宋" w:eastAsia="仿宋" w:cs="仿宋"/>
          <w:b/>
          <w:sz w:val="24"/>
          <w:highlight w:val="none"/>
        </w:rPr>
      </w:pPr>
      <w:bookmarkStart w:id="451" w:name="_Toc7005120"/>
      <w:r>
        <w:rPr>
          <w:rFonts w:hint="eastAsia" w:ascii="仿宋" w:hAnsi="仿宋" w:eastAsia="仿宋" w:cs="仿宋"/>
          <w:b/>
          <w:sz w:val="24"/>
          <w:highlight w:val="none"/>
        </w:rPr>
        <w:t>6-1  供应商的企业法人营业执照副本复印件（加盖公章）</w:t>
      </w:r>
      <w:bookmarkEnd w:id="451"/>
    </w:p>
    <w:p>
      <w:pPr>
        <w:jc w:val="left"/>
        <w:rPr>
          <w:rFonts w:hint="eastAsia" w:ascii="仿宋" w:hAnsi="仿宋" w:eastAsia="仿宋" w:cs="仿宋"/>
          <w:sz w:val="24"/>
          <w:highlight w:val="none"/>
        </w:rPr>
      </w:pPr>
    </w:p>
    <w:p>
      <w:pPr>
        <w:tabs>
          <w:tab w:val="left" w:pos="993"/>
          <w:tab w:val="left" w:pos="1030"/>
          <w:tab w:val="left" w:pos="8364"/>
        </w:tabs>
        <w:snapToGrid w:val="0"/>
        <w:spacing w:after="120" w:afterLines="50"/>
        <w:ind w:right="-57" w:rightChars="-27"/>
        <w:rPr>
          <w:rFonts w:hint="eastAsia" w:ascii="仿宋" w:hAnsi="仿宋" w:eastAsia="仿宋" w:cs="仿宋"/>
          <w:sz w:val="24"/>
          <w:highlight w:val="none"/>
        </w:rPr>
      </w:pPr>
      <w:r>
        <w:rPr>
          <w:rFonts w:hint="eastAsia" w:ascii="仿宋" w:hAnsi="仿宋" w:eastAsia="仿宋" w:cs="仿宋"/>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highlight w:val="none"/>
        </w:rPr>
      </w:pPr>
    </w:p>
    <w:p>
      <w:pPr>
        <w:adjustRightInd w:val="0"/>
        <w:spacing w:line="360" w:lineRule="atLeast"/>
        <w:jc w:val="left"/>
        <w:textAlignment w:val="baseline"/>
        <w:rPr>
          <w:rFonts w:hint="eastAsia" w:ascii="仿宋" w:hAnsi="仿宋" w:eastAsia="仿宋" w:cs="仿宋"/>
          <w:b/>
          <w:sz w:val="28"/>
          <w:highlight w:val="none"/>
        </w:rPr>
      </w:pPr>
      <w:r>
        <w:rPr>
          <w:rFonts w:hint="eastAsia" w:ascii="仿宋" w:hAnsi="仿宋" w:eastAsia="仿宋" w:cs="仿宋"/>
          <w:b/>
          <w:sz w:val="28"/>
          <w:highlight w:val="none"/>
        </w:rPr>
        <w:t xml:space="preserve"> </w:t>
      </w:r>
    </w:p>
    <w:p>
      <w:pPr>
        <w:jc w:val="left"/>
        <w:outlineLvl w:val="2"/>
        <w:rPr>
          <w:rFonts w:hint="eastAsia" w:ascii="仿宋" w:hAnsi="仿宋" w:eastAsia="仿宋" w:cs="仿宋"/>
          <w:b/>
          <w:sz w:val="24"/>
          <w:highlight w:val="none"/>
        </w:rPr>
      </w:pPr>
      <w:bookmarkStart w:id="452" w:name="_Toc7005121"/>
      <w:bookmarkStart w:id="453" w:name="_Ref527015333"/>
      <w:r>
        <w:rPr>
          <w:rFonts w:hint="eastAsia" w:ascii="仿宋" w:hAnsi="仿宋" w:eastAsia="仿宋" w:cs="仿宋"/>
          <w:b/>
          <w:sz w:val="24"/>
          <w:highlight w:val="none"/>
        </w:rPr>
        <w:t xml:space="preserve">6-2  </w:t>
      </w:r>
      <w:bookmarkEnd w:id="452"/>
      <w:bookmarkEnd w:id="453"/>
      <w:r>
        <w:rPr>
          <w:rFonts w:hint="eastAsia" w:ascii="仿宋" w:hAnsi="仿宋" w:eastAsia="仿宋" w:cs="仿宋"/>
          <w:b/>
          <w:sz w:val="24"/>
          <w:highlight w:val="none"/>
        </w:rPr>
        <w:t>健全的财务会计制度</w:t>
      </w:r>
    </w:p>
    <w:p>
      <w:pPr>
        <w:spacing w:line="360" w:lineRule="auto"/>
        <w:rPr>
          <w:rFonts w:hint="eastAsia" w:ascii="仿宋" w:hAnsi="仿宋" w:eastAsia="仿宋" w:cs="仿宋"/>
          <w:szCs w:val="21"/>
          <w:highlight w:val="none"/>
        </w:rPr>
      </w:pPr>
    </w:p>
    <w:p>
      <w:pPr>
        <w:tabs>
          <w:tab w:val="left" w:pos="993"/>
          <w:tab w:val="left" w:pos="1030"/>
          <w:tab w:val="left" w:pos="8364"/>
        </w:tabs>
        <w:snapToGrid w:val="0"/>
        <w:spacing w:after="120" w:afterLines="50"/>
        <w:ind w:right="-57" w:rightChars="-27"/>
        <w:rPr>
          <w:rFonts w:hint="eastAsia" w:ascii="仿宋" w:hAnsi="仿宋" w:eastAsia="仿宋" w:cs="仿宋"/>
          <w:szCs w:val="21"/>
          <w:highlight w:val="none"/>
        </w:rPr>
      </w:pPr>
      <w:r>
        <w:rPr>
          <w:rFonts w:hint="eastAsia" w:ascii="仿宋" w:hAnsi="仿宋" w:eastAsia="仿宋" w:cs="仿宋"/>
          <w:sz w:val="24"/>
          <w:highlight w:val="none"/>
        </w:rPr>
        <w:t>提供上一年度（2021年度</w:t>
      </w:r>
      <w:r>
        <w:rPr>
          <w:rFonts w:hint="eastAsia" w:ascii="仿宋" w:hAnsi="仿宋" w:eastAsia="仿宋" w:cs="仿宋"/>
          <w:sz w:val="24"/>
          <w:highlight w:val="none"/>
          <w:lang w:val="en-US" w:eastAsia="zh-CN"/>
        </w:rPr>
        <w:t>或2022年度</w:t>
      </w:r>
      <w:r>
        <w:rPr>
          <w:rFonts w:hint="eastAsia" w:ascii="仿宋" w:hAnsi="仿宋" w:eastAsia="仿宋" w:cs="仿宋"/>
          <w:sz w:val="24"/>
          <w:highlight w:val="none"/>
        </w:rPr>
        <w:t>）的经审计的财务报告、或上一年度（202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年度）任意一个月单位内部财务报表、或本年度基本开户银行出具的资信证明复印件或扫描件、所有复印件或扫描件需加盖单位公章。</w:t>
      </w:r>
    </w:p>
    <w:p>
      <w:pPr>
        <w:widowControl/>
        <w:jc w:val="left"/>
        <w:rPr>
          <w:rFonts w:hint="eastAsia" w:ascii="仿宋" w:hAnsi="仿宋" w:eastAsia="仿宋" w:cs="仿宋"/>
          <w:b/>
          <w:spacing w:val="20"/>
          <w:sz w:val="24"/>
          <w:highlight w:val="none"/>
        </w:rPr>
      </w:pPr>
    </w:p>
    <w:p>
      <w:pPr>
        <w:tabs>
          <w:tab w:val="left" w:pos="5580"/>
        </w:tabs>
        <w:spacing w:before="120" w:line="360" w:lineRule="auto"/>
        <w:ind w:firstLine="480" w:firstLineChars="200"/>
        <w:rPr>
          <w:rFonts w:hint="eastAsia" w:ascii="仿宋" w:hAnsi="仿宋" w:eastAsia="仿宋" w:cs="仿宋"/>
          <w:sz w:val="24"/>
          <w:highlight w:val="none"/>
        </w:rPr>
      </w:pPr>
    </w:p>
    <w:p>
      <w:pPr>
        <w:jc w:val="left"/>
        <w:outlineLvl w:val="2"/>
        <w:rPr>
          <w:rFonts w:hint="eastAsia" w:ascii="仿宋" w:hAnsi="仿宋" w:eastAsia="仿宋" w:cs="仿宋"/>
          <w:b/>
          <w:sz w:val="24"/>
          <w:highlight w:val="none"/>
        </w:rPr>
      </w:pPr>
      <w:bookmarkStart w:id="454" w:name="_Toc7005123"/>
      <w:r>
        <w:rPr>
          <w:rFonts w:hint="eastAsia" w:ascii="仿宋" w:hAnsi="仿宋" w:eastAsia="仿宋" w:cs="仿宋"/>
          <w:b/>
          <w:sz w:val="24"/>
          <w:highlight w:val="none"/>
        </w:rPr>
        <w:t>6-3 依法缴纳税收的证明</w:t>
      </w:r>
      <w:bookmarkEnd w:id="454"/>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highlight w:val="none"/>
        </w:rPr>
      </w:pPr>
    </w:p>
    <w:p>
      <w:pPr>
        <w:tabs>
          <w:tab w:val="left" w:pos="993"/>
          <w:tab w:val="left" w:pos="1030"/>
          <w:tab w:val="left" w:pos="8364"/>
        </w:tabs>
        <w:snapToGrid w:val="0"/>
        <w:spacing w:after="120" w:afterLines="50"/>
        <w:ind w:right="-57" w:rightChars="-27"/>
        <w:jc w:val="left"/>
        <w:rPr>
          <w:rFonts w:hint="eastAsia" w:ascii="仿宋" w:hAnsi="仿宋" w:eastAsia="仿宋" w:cs="仿宋"/>
          <w:sz w:val="24"/>
          <w:highlight w:val="none"/>
        </w:rPr>
      </w:pPr>
      <w:r>
        <w:rPr>
          <w:rFonts w:hint="eastAsia" w:ascii="仿宋" w:hAnsi="仿宋" w:eastAsia="仿宋" w:cs="仿宋"/>
          <w:sz w:val="24"/>
          <w:highlight w:val="none"/>
        </w:rPr>
        <w:t>说明：</w:t>
      </w:r>
    </w:p>
    <w:p>
      <w:pPr>
        <w:tabs>
          <w:tab w:val="left" w:pos="993"/>
          <w:tab w:val="left" w:pos="1030"/>
          <w:tab w:val="left" w:pos="8364"/>
        </w:tabs>
        <w:snapToGrid w:val="0"/>
        <w:spacing w:after="120" w:afterLines="50"/>
        <w:ind w:right="-57" w:rightChars="-27"/>
        <w:jc w:val="left"/>
        <w:rPr>
          <w:rFonts w:hint="eastAsia" w:ascii="仿宋" w:hAnsi="仿宋" w:eastAsia="仿宋" w:cs="仿宋"/>
          <w:sz w:val="24"/>
          <w:highlight w:val="none"/>
        </w:rPr>
      </w:pPr>
      <w:r>
        <w:rPr>
          <w:rFonts w:hint="eastAsia" w:ascii="仿宋" w:hAnsi="仿宋" w:eastAsia="仿宋" w:cs="仿宋"/>
          <w:sz w:val="24"/>
          <w:highlight w:val="none"/>
        </w:rPr>
        <w:t>1、供应商应提供</w:t>
      </w:r>
      <w:r>
        <w:rPr>
          <w:rFonts w:hint="eastAsia" w:ascii="仿宋" w:hAnsi="仿宋" w:eastAsia="仿宋" w:cs="仿宋"/>
          <w:sz w:val="24"/>
          <w:highlight w:val="none"/>
          <w:lang w:val="en-US" w:eastAsia="zh-CN"/>
        </w:rPr>
        <w:t>近半年（2022年10月1日至今）</w:t>
      </w:r>
      <w:r>
        <w:rPr>
          <w:rFonts w:hint="eastAsia" w:ascii="仿宋" w:hAnsi="仿宋" w:eastAsia="仿宋" w:cs="仿宋"/>
          <w:sz w:val="24"/>
          <w:highlight w:val="none"/>
        </w:rPr>
        <w:t>任意一个月缴税的凭证；</w:t>
      </w:r>
    </w:p>
    <w:p>
      <w:pPr>
        <w:tabs>
          <w:tab w:val="left" w:pos="993"/>
          <w:tab w:val="left" w:pos="1030"/>
          <w:tab w:val="left" w:pos="8364"/>
        </w:tabs>
        <w:snapToGrid w:val="0"/>
        <w:spacing w:after="120" w:afterLines="50"/>
        <w:ind w:right="-57" w:rightChars="-27"/>
        <w:jc w:val="left"/>
        <w:rPr>
          <w:rFonts w:hint="eastAsia" w:ascii="仿宋" w:hAnsi="仿宋" w:eastAsia="仿宋" w:cs="仿宋"/>
          <w:sz w:val="24"/>
          <w:highlight w:val="none"/>
        </w:rPr>
      </w:pPr>
      <w:r>
        <w:rPr>
          <w:rFonts w:hint="eastAsia" w:ascii="仿宋" w:hAnsi="仿宋" w:eastAsia="仿宋" w:cs="仿宋"/>
          <w:sz w:val="24"/>
          <w:highlight w:val="none"/>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highlight w:val="none"/>
        </w:rPr>
      </w:pPr>
    </w:p>
    <w:p>
      <w:pPr>
        <w:spacing w:after="120"/>
        <w:rPr>
          <w:rFonts w:hint="eastAsia" w:ascii="仿宋" w:hAnsi="仿宋" w:eastAsia="仿宋" w:cs="仿宋"/>
          <w:highlight w:val="none"/>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highlight w:val="none"/>
        </w:rPr>
      </w:pPr>
    </w:p>
    <w:p>
      <w:pPr>
        <w:jc w:val="left"/>
        <w:outlineLvl w:val="2"/>
        <w:rPr>
          <w:rFonts w:hint="eastAsia" w:ascii="仿宋" w:hAnsi="仿宋" w:eastAsia="仿宋" w:cs="仿宋"/>
          <w:b/>
          <w:sz w:val="24"/>
          <w:highlight w:val="none"/>
        </w:rPr>
      </w:pPr>
      <w:bookmarkStart w:id="455" w:name="_Toc7005124"/>
      <w:r>
        <w:rPr>
          <w:rFonts w:hint="eastAsia" w:ascii="仿宋" w:hAnsi="仿宋" w:eastAsia="仿宋" w:cs="仿宋"/>
          <w:b/>
          <w:sz w:val="24"/>
          <w:highlight w:val="none"/>
        </w:rPr>
        <w:t>6-4社会保障资金缴纳记录</w:t>
      </w:r>
      <w:bookmarkEnd w:id="455"/>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t>说明：</w:t>
      </w:r>
    </w:p>
    <w:p>
      <w:pPr>
        <w:numPr>
          <w:ilvl w:val="0"/>
          <w:numId w:val="20"/>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t>供应商应提供</w:t>
      </w:r>
      <w:r>
        <w:rPr>
          <w:rFonts w:hint="eastAsia" w:ascii="仿宋" w:hAnsi="仿宋" w:eastAsia="仿宋" w:cs="仿宋"/>
          <w:sz w:val="24"/>
          <w:highlight w:val="none"/>
          <w:lang w:val="en-US" w:eastAsia="zh-CN"/>
        </w:rPr>
        <w:t>近半年（2022年10月1日至今）</w:t>
      </w:r>
      <w:r>
        <w:rPr>
          <w:rFonts w:hint="eastAsia" w:ascii="仿宋" w:hAnsi="仿宋" w:eastAsia="仿宋" w:cs="仿宋"/>
          <w:sz w:val="24"/>
          <w:highlight w:val="none"/>
        </w:rPr>
        <w:t>任意一个月缴纳社会保险的凭证。</w:t>
      </w:r>
    </w:p>
    <w:p>
      <w:pPr>
        <w:numPr>
          <w:ilvl w:val="0"/>
          <w:numId w:val="20"/>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highlight w:val="none"/>
        </w:rPr>
      </w:pPr>
    </w:p>
    <w:p>
      <w:pPr>
        <w:tabs>
          <w:tab w:val="left" w:pos="5580"/>
        </w:tabs>
        <w:spacing w:before="120" w:line="360" w:lineRule="auto"/>
        <w:ind w:firstLine="480" w:firstLineChars="200"/>
        <w:rPr>
          <w:rFonts w:hint="eastAsia" w:ascii="仿宋" w:hAnsi="仿宋" w:eastAsia="仿宋" w:cs="仿宋"/>
          <w:sz w:val="24"/>
          <w:highlight w:val="none"/>
        </w:rPr>
      </w:pPr>
    </w:p>
    <w:p>
      <w:pPr>
        <w:tabs>
          <w:tab w:val="left" w:pos="5580"/>
        </w:tabs>
        <w:spacing w:before="120" w:line="360" w:lineRule="auto"/>
        <w:ind w:firstLine="480" w:firstLineChars="200"/>
        <w:rPr>
          <w:rFonts w:hint="eastAsia" w:ascii="仿宋" w:hAnsi="仿宋" w:eastAsia="仿宋" w:cs="仿宋"/>
          <w:sz w:val="24"/>
          <w:highlight w:val="none"/>
        </w:rPr>
      </w:pPr>
    </w:p>
    <w:p>
      <w:pPr>
        <w:pStyle w:val="22"/>
        <w:rPr>
          <w:rFonts w:hint="eastAsia" w:ascii="仿宋" w:hAnsi="仿宋" w:eastAsia="仿宋" w:cs="仿宋"/>
          <w:highlight w:val="none"/>
        </w:rPr>
      </w:pPr>
    </w:p>
    <w:p>
      <w:pPr>
        <w:widowControl/>
        <w:jc w:val="left"/>
        <w:rPr>
          <w:rFonts w:hint="eastAsia" w:ascii="仿宋" w:hAnsi="仿宋" w:eastAsia="仿宋" w:cs="仿宋"/>
          <w:sz w:val="24"/>
          <w:highlight w:val="none"/>
        </w:rPr>
      </w:pPr>
      <w:bookmarkStart w:id="456" w:name="_Toc7005125"/>
      <w:r>
        <w:rPr>
          <w:rFonts w:hint="eastAsia" w:ascii="仿宋" w:hAnsi="仿宋" w:eastAsia="仿宋" w:cs="仿宋"/>
          <w:sz w:val="24"/>
          <w:highlight w:val="none"/>
        </w:rPr>
        <w:br w:type="page"/>
      </w:r>
    </w:p>
    <w:p>
      <w:pPr>
        <w:jc w:val="left"/>
        <w:outlineLvl w:val="2"/>
        <w:rPr>
          <w:rFonts w:hint="eastAsia" w:ascii="仿宋" w:hAnsi="仿宋" w:eastAsia="仿宋" w:cs="仿宋"/>
          <w:b/>
          <w:sz w:val="24"/>
          <w:highlight w:val="none"/>
        </w:rPr>
      </w:pPr>
      <w:r>
        <w:rPr>
          <w:rFonts w:hint="eastAsia" w:ascii="仿宋" w:hAnsi="仿宋" w:eastAsia="仿宋" w:cs="仿宋"/>
          <w:sz w:val="24"/>
          <w:highlight w:val="none"/>
        </w:rPr>
        <w:t xml:space="preserve">6-5 </w:t>
      </w:r>
      <w:r>
        <w:rPr>
          <w:rFonts w:hint="eastAsia" w:ascii="仿宋" w:hAnsi="仿宋" w:eastAsia="仿宋" w:cs="仿宋"/>
          <w:b/>
          <w:sz w:val="24"/>
          <w:highlight w:val="none"/>
        </w:rPr>
        <w:t>具备履行合同所必需的设备和专业技术能力承诺书</w:t>
      </w:r>
      <w:bookmarkEnd w:id="456"/>
      <w:r>
        <w:rPr>
          <w:rFonts w:hint="eastAsia" w:ascii="仿宋" w:hAnsi="仿宋" w:eastAsia="仿宋" w:cs="仿宋"/>
          <w:b/>
          <w:sz w:val="24"/>
          <w:highlight w:val="none"/>
        </w:rPr>
        <w:t xml:space="preserve">                                                                                                                                                                                                                                                                                                                                                                                                                                                                                                                                                                                                                                                                                                      </w:t>
      </w:r>
    </w:p>
    <w:p>
      <w:pPr>
        <w:ind w:firstLine="480"/>
        <w:rPr>
          <w:rFonts w:hint="eastAsia" w:ascii="仿宋" w:hAnsi="仿宋" w:eastAsia="仿宋" w:cs="仿宋"/>
          <w:kern w:val="0"/>
          <w:sz w:val="24"/>
          <w:highlight w:val="none"/>
        </w:rPr>
      </w:pPr>
    </w:p>
    <w:p>
      <w:pPr>
        <w:ind w:firstLine="480"/>
        <w:rPr>
          <w:rFonts w:hint="eastAsia" w:ascii="仿宋" w:hAnsi="仿宋" w:eastAsia="仿宋" w:cs="仿宋"/>
          <w:kern w:val="0"/>
          <w:sz w:val="24"/>
          <w:highlight w:val="none"/>
        </w:rPr>
      </w:pPr>
    </w:p>
    <w:p>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t xml:space="preserve">陕西星火工程管理有限公司：   </w:t>
      </w:r>
    </w:p>
    <w:p>
      <w:pPr>
        <w:ind w:firstLine="480"/>
        <w:rPr>
          <w:rFonts w:hint="eastAsia" w:ascii="仿宋" w:hAnsi="仿宋" w:eastAsia="仿宋" w:cs="仿宋"/>
          <w:kern w:val="0"/>
          <w:sz w:val="24"/>
          <w:highlight w:val="none"/>
        </w:rPr>
      </w:pPr>
    </w:p>
    <w:p>
      <w:pPr>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我公司承诺</w:t>
      </w:r>
      <w:r>
        <w:rPr>
          <w:rFonts w:hint="eastAsia" w:ascii="仿宋" w:hAnsi="仿宋" w:eastAsia="仿宋" w:cs="仿宋"/>
          <w:sz w:val="24"/>
          <w:highlight w:val="none"/>
        </w:rPr>
        <w:t>具备履行合同所必需的设备和专业技术能力</w:t>
      </w:r>
      <w:r>
        <w:rPr>
          <w:rFonts w:hint="eastAsia" w:ascii="仿宋" w:hAnsi="仿宋" w:eastAsia="仿宋" w:cs="仿宋"/>
          <w:kern w:val="0"/>
          <w:sz w:val="24"/>
          <w:highlight w:val="none"/>
        </w:rPr>
        <w:t>。</w:t>
      </w:r>
    </w:p>
    <w:p>
      <w:pPr>
        <w:ind w:firstLine="480"/>
        <w:rPr>
          <w:rFonts w:hint="eastAsia" w:ascii="仿宋" w:hAnsi="仿宋" w:eastAsia="仿宋" w:cs="仿宋"/>
          <w:b/>
          <w:sz w:val="24"/>
          <w:highlight w:val="none"/>
        </w:rPr>
      </w:pPr>
    </w:p>
    <w:p>
      <w:pPr>
        <w:ind w:firstLine="480"/>
        <w:rPr>
          <w:rFonts w:hint="eastAsia" w:ascii="仿宋" w:hAnsi="仿宋" w:eastAsia="仿宋" w:cs="仿宋"/>
          <w:b/>
          <w:sz w:val="24"/>
          <w:highlight w:val="none"/>
        </w:rPr>
      </w:pPr>
    </w:p>
    <w:p>
      <w:pPr>
        <w:ind w:firstLine="480"/>
        <w:rPr>
          <w:rFonts w:hint="eastAsia" w:ascii="仿宋" w:hAnsi="仿宋" w:eastAsia="仿宋" w:cs="仿宋"/>
          <w:b/>
          <w:sz w:val="24"/>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ind w:right="280"/>
        <w:rPr>
          <w:rFonts w:hint="eastAsia" w:ascii="仿宋" w:hAnsi="仿宋" w:eastAsia="仿宋" w:cs="仿宋"/>
          <w:sz w:val="24"/>
          <w:highlight w:val="none"/>
        </w:rPr>
      </w:pPr>
    </w:p>
    <w:p>
      <w:pPr>
        <w:tabs>
          <w:tab w:val="left" w:pos="5580"/>
        </w:tabs>
        <w:spacing w:before="120" w:line="360" w:lineRule="auto"/>
        <w:ind w:firstLine="480" w:firstLineChars="200"/>
        <w:rPr>
          <w:rFonts w:hint="eastAsia" w:ascii="仿宋" w:hAnsi="仿宋" w:eastAsia="仿宋" w:cs="仿宋"/>
          <w:sz w:val="24"/>
          <w:highlight w:val="none"/>
        </w:rPr>
      </w:pPr>
    </w:p>
    <w:p>
      <w:pPr>
        <w:widowControl/>
        <w:jc w:val="left"/>
        <w:rPr>
          <w:rFonts w:hint="eastAsia" w:ascii="仿宋" w:hAnsi="仿宋" w:eastAsia="仿宋" w:cs="仿宋"/>
          <w:b/>
          <w:sz w:val="24"/>
          <w:highlight w:val="none"/>
        </w:rPr>
      </w:pPr>
    </w:p>
    <w:p>
      <w:pPr>
        <w:numPr>
          <w:ilvl w:val="1"/>
          <w:numId w:val="21"/>
        </w:numPr>
        <w:jc w:val="left"/>
        <w:outlineLvl w:val="2"/>
        <w:rPr>
          <w:rFonts w:hint="eastAsia" w:ascii="仿宋" w:hAnsi="仿宋" w:eastAsia="仿宋" w:cs="仿宋"/>
          <w:b/>
          <w:sz w:val="24"/>
          <w:szCs w:val="22"/>
          <w:highlight w:val="none"/>
        </w:rPr>
      </w:pPr>
      <w:bookmarkStart w:id="457" w:name="_Toc7005126"/>
      <w:r>
        <w:rPr>
          <w:rFonts w:hint="eastAsia" w:ascii="仿宋" w:hAnsi="仿宋" w:eastAsia="仿宋" w:cs="仿宋"/>
          <w:b/>
          <w:sz w:val="24"/>
          <w:szCs w:val="22"/>
          <w:highlight w:val="none"/>
        </w:rPr>
        <w:t>供应商参加政府采购活动前3年内在经营活动中没有重大违法记录的书面声明（格式）</w:t>
      </w:r>
      <w:bookmarkEnd w:id="457"/>
    </w:p>
    <w:p>
      <w:pPr>
        <w:jc w:val="center"/>
        <w:rPr>
          <w:rFonts w:hint="eastAsia" w:ascii="仿宋" w:hAnsi="仿宋" w:eastAsia="仿宋" w:cs="仿宋"/>
          <w:sz w:val="24"/>
          <w:highlight w:val="none"/>
        </w:rPr>
      </w:pPr>
    </w:p>
    <w:p>
      <w:pPr>
        <w:jc w:val="center"/>
        <w:rPr>
          <w:rFonts w:hint="eastAsia" w:ascii="仿宋" w:hAnsi="仿宋" w:eastAsia="仿宋" w:cs="仿宋"/>
          <w:b/>
          <w:sz w:val="24"/>
          <w:highlight w:val="none"/>
        </w:rPr>
      </w:pPr>
      <w:r>
        <w:rPr>
          <w:rFonts w:hint="eastAsia" w:ascii="仿宋" w:hAnsi="仿宋" w:eastAsia="仿宋" w:cs="仿宋"/>
          <w:b/>
          <w:sz w:val="24"/>
          <w:highlight w:val="none"/>
        </w:rPr>
        <w:t>声明函</w:t>
      </w:r>
    </w:p>
    <w:p>
      <w:pPr>
        <w:jc w:val="center"/>
        <w:rPr>
          <w:rFonts w:hint="eastAsia" w:ascii="仿宋" w:hAnsi="仿宋" w:eastAsia="仿宋" w:cs="仿宋"/>
          <w:sz w:val="24"/>
          <w:highlight w:val="none"/>
        </w:rPr>
      </w:pPr>
    </w:p>
    <w:p>
      <w:pPr>
        <w:tabs>
          <w:tab w:val="left" w:pos="5580"/>
        </w:tabs>
        <w:spacing w:before="120" w:line="360" w:lineRule="auto"/>
        <w:rPr>
          <w:rFonts w:hint="eastAsia" w:ascii="仿宋" w:hAnsi="仿宋" w:eastAsia="仿宋" w:cs="仿宋"/>
          <w:sz w:val="24"/>
          <w:highlight w:val="none"/>
        </w:rPr>
      </w:pPr>
      <w:r>
        <w:rPr>
          <w:rFonts w:hint="eastAsia" w:ascii="仿宋" w:hAnsi="仿宋" w:eastAsia="仿宋" w:cs="仿宋"/>
          <w:sz w:val="24"/>
          <w:highlight w:val="none"/>
        </w:rPr>
        <w:t>至：</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u w:val="single"/>
        </w:rPr>
        <w:t>陕西星火工程管理有限公司</w:t>
      </w:r>
      <w:r>
        <w:rPr>
          <w:rFonts w:hint="eastAsia" w:ascii="仿宋" w:hAnsi="仿宋" w:eastAsia="仿宋" w:cs="仿宋"/>
          <w:sz w:val="24"/>
          <w:highlight w:val="none"/>
          <w:u w:val="single"/>
        </w:rPr>
        <w:t xml:space="preserve">  </w:t>
      </w:r>
    </w:p>
    <w:p>
      <w:pPr>
        <w:tabs>
          <w:tab w:val="left" w:pos="5580"/>
        </w:tabs>
        <w:spacing w:before="120" w:line="360" w:lineRule="auto"/>
        <w:ind w:firstLine="480" w:firstLineChars="200"/>
        <w:rPr>
          <w:rFonts w:hint="eastAsia" w:ascii="仿宋" w:hAnsi="仿宋" w:eastAsia="仿宋" w:cs="仿宋"/>
          <w:sz w:val="24"/>
          <w:highlight w:val="none"/>
        </w:rPr>
      </w:pPr>
    </w:p>
    <w:p>
      <w:pPr>
        <w:tabs>
          <w:tab w:val="left" w:pos="5580"/>
        </w:tabs>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pPr>
        <w:tabs>
          <w:tab w:val="left" w:pos="5580"/>
        </w:tabs>
        <w:spacing w:before="120" w:line="360" w:lineRule="auto"/>
        <w:ind w:firstLine="480" w:firstLineChars="200"/>
        <w:rPr>
          <w:rFonts w:hint="eastAsia" w:ascii="仿宋" w:hAnsi="仿宋" w:eastAsia="仿宋" w:cs="仿宋"/>
          <w:sz w:val="24"/>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after="120"/>
        <w:rPr>
          <w:rFonts w:hint="eastAsia" w:ascii="仿宋" w:hAnsi="仿宋" w:eastAsia="仿宋" w:cs="仿宋"/>
          <w:highlight w:val="none"/>
        </w:rPr>
      </w:pPr>
    </w:p>
    <w:p>
      <w:pPr>
        <w:spacing w:after="120"/>
        <w:rPr>
          <w:rFonts w:hint="eastAsia" w:ascii="仿宋" w:hAnsi="仿宋" w:eastAsia="仿宋" w:cs="仿宋"/>
          <w:highlight w:val="none"/>
        </w:rPr>
      </w:pPr>
    </w:p>
    <w:p>
      <w:pPr>
        <w:numPr>
          <w:ilvl w:val="1"/>
          <w:numId w:val="22"/>
        </w:numPr>
        <w:jc w:val="left"/>
        <w:outlineLvl w:val="2"/>
        <w:rPr>
          <w:rFonts w:hint="eastAsia" w:ascii="仿宋" w:hAnsi="仿宋" w:eastAsia="仿宋" w:cs="仿宋"/>
          <w:b/>
          <w:sz w:val="24"/>
          <w:szCs w:val="22"/>
          <w:highlight w:val="none"/>
        </w:rPr>
      </w:pPr>
      <w:bookmarkStart w:id="458" w:name="_Toc7005127"/>
      <w:r>
        <w:rPr>
          <w:rFonts w:hint="eastAsia" w:ascii="仿宋" w:hAnsi="仿宋" w:eastAsia="仿宋" w:cs="仿宋"/>
          <w:b/>
          <w:sz w:val="24"/>
          <w:szCs w:val="22"/>
          <w:highlight w:val="none"/>
        </w:rPr>
        <w:t>供应商控股股东名称、控股公司的名称和存在管理、被管理关系的单位名称说明</w:t>
      </w:r>
      <w:bookmarkEnd w:id="458"/>
    </w:p>
    <w:p>
      <w:pPr>
        <w:ind w:firstLine="420"/>
        <w:rPr>
          <w:rFonts w:hint="eastAsia" w:ascii="仿宋" w:hAnsi="仿宋" w:eastAsia="仿宋" w:cs="仿宋"/>
          <w:szCs w:val="21"/>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致：陕西星火工程管理有限公司</w:t>
      </w:r>
    </w:p>
    <w:p>
      <w:pPr>
        <w:spacing w:after="120"/>
        <w:rPr>
          <w:rFonts w:hint="eastAsia" w:ascii="仿宋" w:hAnsi="仿宋" w:eastAsia="仿宋" w:cs="仿宋"/>
          <w:highlight w:val="none"/>
        </w:rPr>
      </w:pPr>
    </w:p>
    <w:p>
      <w:pPr>
        <w:ind w:firstLine="426"/>
        <w:rPr>
          <w:rFonts w:hint="eastAsia" w:ascii="仿宋" w:hAnsi="仿宋" w:eastAsia="仿宋" w:cs="仿宋"/>
          <w:sz w:val="24"/>
          <w:highlight w:val="none"/>
        </w:rPr>
      </w:pPr>
      <w:r>
        <w:rPr>
          <w:rFonts w:hint="eastAsia" w:ascii="仿宋" w:hAnsi="仿宋" w:eastAsia="仿宋" w:cs="仿宋"/>
          <w:sz w:val="24"/>
          <w:highlight w:val="none"/>
        </w:rPr>
        <w:t>与我方的法定代表人（单位负责人）为同一人的企业如下：</w:t>
      </w:r>
    </w:p>
    <w:p>
      <w:pPr>
        <w:ind w:firstLine="426"/>
        <w:rPr>
          <w:rFonts w:hint="eastAsia" w:ascii="仿宋" w:hAnsi="仿宋" w:eastAsia="仿宋" w:cs="仿宋"/>
          <w:sz w:val="24"/>
          <w:highlight w:val="none"/>
        </w:rPr>
      </w:pPr>
    </w:p>
    <w:p>
      <w:pPr>
        <w:ind w:firstLine="426"/>
        <w:rPr>
          <w:rFonts w:hint="eastAsia" w:ascii="仿宋" w:hAnsi="仿宋" w:eastAsia="仿宋" w:cs="仿宋"/>
          <w:sz w:val="24"/>
          <w:highlight w:val="none"/>
        </w:rPr>
      </w:pPr>
      <w:r>
        <w:rPr>
          <w:rFonts w:hint="eastAsia" w:ascii="仿宋" w:hAnsi="仿宋" w:eastAsia="仿宋" w:cs="仿宋"/>
          <w:sz w:val="24"/>
          <w:highlight w:val="none"/>
        </w:rPr>
        <w:t>我方的控股股东如下：</w:t>
      </w:r>
    </w:p>
    <w:p>
      <w:pPr>
        <w:ind w:firstLine="426"/>
        <w:rPr>
          <w:rFonts w:hint="eastAsia" w:ascii="仿宋" w:hAnsi="仿宋" w:eastAsia="仿宋" w:cs="仿宋"/>
          <w:sz w:val="24"/>
          <w:highlight w:val="none"/>
        </w:rPr>
      </w:pPr>
    </w:p>
    <w:p>
      <w:pPr>
        <w:ind w:firstLine="426"/>
        <w:rPr>
          <w:rFonts w:hint="eastAsia" w:ascii="仿宋" w:hAnsi="仿宋" w:eastAsia="仿宋" w:cs="仿宋"/>
          <w:sz w:val="24"/>
          <w:highlight w:val="none"/>
        </w:rPr>
      </w:pPr>
      <w:r>
        <w:rPr>
          <w:rFonts w:hint="eastAsia" w:ascii="仿宋" w:hAnsi="仿宋" w:eastAsia="仿宋" w:cs="仿宋"/>
          <w:sz w:val="24"/>
          <w:highlight w:val="none"/>
        </w:rPr>
        <w:t>我方直接控股的企业如下：</w:t>
      </w:r>
    </w:p>
    <w:p>
      <w:pPr>
        <w:ind w:firstLine="426"/>
        <w:rPr>
          <w:rFonts w:hint="eastAsia" w:ascii="仿宋" w:hAnsi="仿宋" w:eastAsia="仿宋" w:cs="仿宋"/>
          <w:sz w:val="24"/>
          <w:highlight w:val="none"/>
        </w:rPr>
      </w:pPr>
    </w:p>
    <w:p>
      <w:pPr>
        <w:ind w:firstLine="426"/>
        <w:rPr>
          <w:rFonts w:hint="eastAsia" w:ascii="仿宋" w:hAnsi="仿宋" w:eastAsia="仿宋" w:cs="仿宋"/>
          <w:sz w:val="24"/>
          <w:highlight w:val="none"/>
        </w:rPr>
      </w:pPr>
      <w:r>
        <w:rPr>
          <w:rFonts w:hint="eastAsia" w:ascii="仿宋" w:hAnsi="仿宋" w:eastAsia="仿宋" w:cs="仿宋"/>
          <w:sz w:val="24"/>
          <w:highlight w:val="none"/>
        </w:rPr>
        <w:t>与我方存在管理、被管理关系的单位名称如下：</w:t>
      </w:r>
    </w:p>
    <w:p>
      <w:pPr>
        <w:ind w:firstLine="426"/>
        <w:rPr>
          <w:rFonts w:hint="eastAsia" w:ascii="仿宋" w:hAnsi="仿宋" w:eastAsia="仿宋" w:cs="仿宋"/>
          <w:sz w:val="24"/>
          <w:highlight w:val="none"/>
        </w:rPr>
      </w:pPr>
    </w:p>
    <w:p>
      <w:pPr>
        <w:ind w:firstLine="426"/>
        <w:rPr>
          <w:rFonts w:hint="eastAsia" w:ascii="仿宋" w:hAnsi="仿宋" w:eastAsia="仿宋" w:cs="仿宋"/>
          <w:szCs w:val="21"/>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ind w:firstLine="420" w:firstLineChars="200"/>
        <w:rPr>
          <w:rFonts w:hint="eastAsia" w:ascii="仿宋" w:hAnsi="仿宋" w:eastAsia="仿宋" w:cs="仿宋"/>
          <w:szCs w:val="21"/>
          <w:highlight w:val="none"/>
        </w:rPr>
      </w:pPr>
    </w:p>
    <w:p>
      <w:pPr>
        <w:ind w:firstLine="420" w:firstLineChars="200"/>
        <w:rPr>
          <w:rFonts w:hint="eastAsia" w:ascii="仿宋" w:hAnsi="仿宋" w:eastAsia="仿宋" w:cs="仿宋"/>
          <w:szCs w:val="21"/>
          <w:highlight w:val="none"/>
        </w:rPr>
      </w:pPr>
    </w:p>
    <w:p>
      <w:pPr>
        <w:ind w:firstLine="420" w:firstLineChars="200"/>
        <w:rPr>
          <w:rFonts w:hint="eastAsia" w:ascii="仿宋" w:hAnsi="仿宋" w:eastAsia="仿宋" w:cs="仿宋"/>
          <w:szCs w:val="21"/>
          <w:highlight w:val="none"/>
        </w:rPr>
      </w:pPr>
    </w:p>
    <w:p>
      <w:pPr>
        <w:ind w:firstLine="420" w:firstLineChars="200"/>
        <w:rPr>
          <w:rFonts w:hint="eastAsia" w:ascii="仿宋" w:hAnsi="仿宋" w:eastAsia="仿宋" w:cs="仿宋"/>
          <w:szCs w:val="21"/>
          <w:highlight w:val="none"/>
        </w:rPr>
      </w:pPr>
    </w:p>
    <w:p>
      <w:pPr>
        <w:numPr>
          <w:ilvl w:val="1"/>
          <w:numId w:val="22"/>
        </w:numPr>
        <w:jc w:val="left"/>
        <w:outlineLvl w:val="2"/>
        <w:rPr>
          <w:rFonts w:hint="eastAsia" w:ascii="仿宋" w:hAnsi="仿宋" w:eastAsia="仿宋" w:cs="仿宋"/>
          <w:b/>
          <w:sz w:val="24"/>
          <w:szCs w:val="22"/>
          <w:highlight w:val="none"/>
        </w:rPr>
      </w:pPr>
      <w:bookmarkStart w:id="459" w:name="_Toc7005128"/>
      <w:r>
        <w:rPr>
          <w:rFonts w:hint="eastAsia" w:ascii="仿宋" w:hAnsi="仿宋" w:eastAsia="仿宋" w:cs="仿宋"/>
          <w:b/>
          <w:sz w:val="24"/>
          <w:szCs w:val="22"/>
          <w:highlight w:val="none"/>
        </w:rPr>
        <w:t>供应商是否属于为本项目提供整体设计、规范编制或者项目管理、监理、检测等服务的供应商声明</w:t>
      </w:r>
      <w:bookmarkEnd w:id="459"/>
    </w:p>
    <w:p>
      <w:pPr>
        <w:ind w:firstLine="420"/>
        <w:rPr>
          <w:rFonts w:hint="eastAsia" w:ascii="仿宋" w:hAnsi="仿宋" w:eastAsia="仿宋" w:cs="仿宋"/>
          <w:szCs w:val="21"/>
          <w:highlight w:val="none"/>
        </w:rPr>
      </w:pPr>
    </w:p>
    <w:p>
      <w:pPr>
        <w:spacing w:line="360" w:lineRule="auto"/>
        <w:rPr>
          <w:rFonts w:hint="eastAsia" w:ascii="仿宋" w:hAnsi="仿宋" w:eastAsia="仿宋" w:cs="仿宋"/>
          <w:szCs w:val="21"/>
          <w:highlight w:val="none"/>
        </w:rPr>
      </w:pPr>
    </w:p>
    <w:p>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致：陕西星火工程管理有限公司</w:t>
      </w:r>
    </w:p>
    <w:p>
      <w:pPr>
        <w:ind w:firstLine="426"/>
        <w:rPr>
          <w:rFonts w:hint="eastAsia" w:ascii="仿宋" w:hAnsi="仿宋" w:eastAsia="仿宋" w:cs="仿宋"/>
          <w:sz w:val="24"/>
          <w:highlight w:val="none"/>
        </w:rPr>
      </w:pPr>
      <w:r>
        <w:rPr>
          <w:rFonts w:hint="eastAsia" w:ascii="仿宋" w:hAnsi="仿宋" w:eastAsia="仿宋" w:cs="仿宋"/>
          <w:sz w:val="24"/>
          <w:highlight w:val="none"/>
        </w:rPr>
        <w:t xml:space="preserve">我方 </w:t>
      </w:r>
      <w:r>
        <w:rPr>
          <w:rFonts w:hint="eastAsia" w:ascii="仿宋" w:hAnsi="仿宋" w:eastAsia="仿宋" w:cs="仿宋"/>
          <w:i/>
          <w:iCs/>
          <w:sz w:val="24"/>
          <w:highlight w:val="none"/>
        </w:rPr>
        <w:t>属于/不属于</w:t>
      </w:r>
      <w:r>
        <w:rPr>
          <w:rFonts w:hint="eastAsia" w:ascii="仿宋" w:hAnsi="仿宋" w:eastAsia="仿宋" w:cs="仿宋"/>
          <w:sz w:val="24"/>
          <w:highlight w:val="none"/>
        </w:rPr>
        <w:t xml:space="preserve"> 为本项目提供整体设计、规范编制或者项目管理、监理、检测等服务的供应商。</w:t>
      </w:r>
    </w:p>
    <w:p>
      <w:pPr>
        <w:ind w:firstLine="426"/>
        <w:rPr>
          <w:rFonts w:hint="eastAsia" w:ascii="仿宋" w:hAnsi="仿宋" w:eastAsia="仿宋" w:cs="仿宋"/>
          <w:sz w:val="24"/>
          <w:highlight w:val="none"/>
        </w:rPr>
      </w:pPr>
    </w:p>
    <w:p>
      <w:pPr>
        <w:ind w:firstLine="426"/>
        <w:rPr>
          <w:rFonts w:hint="eastAsia" w:ascii="仿宋" w:hAnsi="仿宋" w:eastAsia="仿宋" w:cs="仿宋"/>
          <w:szCs w:val="21"/>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after="120"/>
        <w:rPr>
          <w:rFonts w:hint="eastAsia" w:ascii="仿宋" w:hAnsi="仿宋" w:eastAsia="仿宋" w:cs="仿宋"/>
          <w:highlight w:val="none"/>
        </w:rPr>
      </w:pPr>
    </w:p>
    <w:p>
      <w:pPr>
        <w:spacing w:after="120" w:line="480" w:lineRule="auto"/>
        <w:rPr>
          <w:rFonts w:hint="eastAsia" w:ascii="仿宋" w:hAnsi="仿宋" w:eastAsia="仿宋" w:cs="仿宋"/>
          <w:b/>
          <w:sz w:val="24"/>
          <w:highlight w:val="none"/>
        </w:rPr>
      </w:pPr>
      <w:bookmarkStart w:id="460" w:name="_Toc7005129"/>
      <w:r>
        <w:rPr>
          <w:rFonts w:hint="eastAsia" w:ascii="仿宋" w:hAnsi="仿宋" w:eastAsia="仿宋" w:cs="仿宋"/>
          <w:b/>
          <w:sz w:val="24"/>
          <w:highlight w:val="none"/>
        </w:rPr>
        <w:t>6-9证明供应商符合特定资格条件的证明材料</w:t>
      </w:r>
      <w:bookmarkEnd w:id="460"/>
      <w:r>
        <w:rPr>
          <w:rFonts w:hint="eastAsia" w:ascii="仿宋" w:hAnsi="仿宋" w:eastAsia="仿宋" w:cs="仿宋"/>
          <w:b/>
          <w:sz w:val="24"/>
          <w:highlight w:val="none"/>
        </w:rPr>
        <w:t>（根据磋商文件要求，自行提供）：</w:t>
      </w:r>
    </w:p>
    <w:p>
      <w:pPr>
        <w:spacing w:line="480" w:lineRule="auto"/>
        <w:ind w:firstLine="425"/>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供应商在递交响应文件截止时间前被信用中国网站（www.creditchina.gov.cn）和中国政府采购网（www.ccgp.gov.cn）上被列入失信被执行人、重大税收违法案件当事人名单、政府采购严重违法失信行为记录名单的，不得参加磋商；  </w:t>
      </w:r>
    </w:p>
    <w:p>
      <w:pPr>
        <w:spacing w:line="480" w:lineRule="auto"/>
        <w:ind w:firstLine="425"/>
        <w:rPr>
          <w:rFonts w:hint="eastAsia" w:ascii="仿宋" w:hAnsi="仿宋" w:eastAsia="仿宋" w:cs="仿宋"/>
          <w:color w:val="222222"/>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color w:val="222222"/>
          <w:sz w:val="24"/>
          <w:highlight w:val="none"/>
        </w:rPr>
        <w:t>属于专门面向中小企业采购的项目，供应商应为中小微企业、监狱企业、残疾人福利性单位。</w:t>
      </w:r>
    </w:p>
    <w:p>
      <w:pPr>
        <w:rPr>
          <w:rFonts w:hint="eastAsia" w:ascii="仿宋" w:hAnsi="仿宋" w:eastAsia="仿宋" w:cs="仿宋"/>
          <w:color w:val="222222"/>
          <w:sz w:val="24"/>
          <w:highlight w:val="none"/>
        </w:rPr>
      </w:pPr>
      <w:r>
        <w:rPr>
          <w:rFonts w:hint="eastAsia" w:ascii="仿宋" w:hAnsi="仿宋" w:eastAsia="仿宋" w:cs="仿宋"/>
          <w:color w:val="222222"/>
          <w:sz w:val="24"/>
          <w:highlight w:val="none"/>
        </w:rPr>
        <w:br w:type="page"/>
      </w:r>
    </w:p>
    <w:p>
      <w:pPr>
        <w:pStyle w:val="5"/>
        <w:jc w:val="center"/>
        <w:rPr>
          <w:rFonts w:hint="eastAsia" w:ascii="仿宋" w:hAnsi="仿宋" w:eastAsia="仿宋" w:cs="仿宋"/>
          <w:sz w:val="32"/>
          <w:szCs w:val="32"/>
          <w:highlight w:val="none"/>
        </w:rPr>
      </w:pPr>
      <w:bookmarkStart w:id="461" w:name="_Toc28421"/>
      <w:bookmarkStart w:id="462" w:name="_Toc62194355"/>
    </w:p>
    <w:p>
      <w:pPr>
        <w:pStyle w:val="5"/>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中小企业声明函(</w:t>
      </w:r>
      <w:r>
        <w:rPr>
          <w:rFonts w:hint="eastAsia" w:ascii="仿宋" w:hAnsi="仿宋" w:eastAsia="仿宋" w:cs="仿宋"/>
          <w:sz w:val="32"/>
          <w:szCs w:val="32"/>
          <w:highlight w:val="none"/>
          <w:lang w:val="en-US" w:eastAsia="zh-CN"/>
        </w:rPr>
        <w:t>工程、</w:t>
      </w:r>
      <w:r>
        <w:rPr>
          <w:rFonts w:hint="eastAsia" w:ascii="仿宋" w:hAnsi="仿宋" w:eastAsia="仿宋" w:cs="仿宋"/>
          <w:sz w:val="32"/>
          <w:szCs w:val="32"/>
          <w:highlight w:val="none"/>
        </w:rPr>
        <w:t>服务)</w:t>
      </w:r>
      <w:bookmarkEnd w:id="461"/>
      <w:bookmarkEnd w:id="462"/>
    </w:p>
    <w:p>
      <w:pPr>
        <w:rPr>
          <w:rFonts w:hint="eastAsia" w:ascii="仿宋" w:hAnsi="仿宋" w:eastAsia="仿宋" w:cs="仿宋"/>
          <w:color w:val="333333"/>
          <w:kern w:val="0"/>
          <w:sz w:val="30"/>
          <w:szCs w:val="30"/>
          <w:highlight w:val="none"/>
        </w:rPr>
      </w:pPr>
    </w:p>
    <w:p>
      <w:pPr>
        <w:spacing w:line="56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w:t>
      </w:r>
      <w:r>
        <w:rPr>
          <w:rFonts w:hint="eastAsia" w:ascii="仿宋" w:hAnsi="仿宋" w:eastAsia="仿宋" w:cs="仿宋"/>
          <w:i/>
          <w:kern w:val="0"/>
          <w:sz w:val="24"/>
          <w:highlight w:val="none"/>
          <w:u w:val="single"/>
        </w:rPr>
        <w:t>(单位名称)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w:t>
      </w:r>
      <w:r>
        <w:rPr>
          <w:rFonts w:hint="eastAsia" w:ascii="仿宋" w:hAnsi="仿宋" w:eastAsia="仿宋" w:cs="仿宋"/>
          <w:i/>
          <w:kern w:val="0"/>
          <w:sz w:val="24"/>
          <w:highlight w:val="none"/>
          <w:u w:val="single"/>
        </w:rPr>
        <w:t>(项目名称)</w:t>
      </w:r>
      <w:r>
        <w:rPr>
          <w:rFonts w:hint="eastAsia" w:ascii="仿宋" w:hAnsi="仿宋" w:eastAsia="仿宋" w:cs="仿宋"/>
          <w:kern w:val="0"/>
          <w:sz w:val="24"/>
          <w:highlight w:val="none"/>
          <w:u w:val="single"/>
        </w:rPr>
        <w:t xml:space="preserve"> 采购</w:t>
      </w:r>
      <w:r>
        <w:rPr>
          <w:rFonts w:hint="eastAsia" w:ascii="仿宋" w:hAnsi="仿宋" w:eastAsia="仿宋" w:cs="仿宋"/>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numPr>
          <w:ilvl w:val="0"/>
          <w:numId w:val="23"/>
        </w:numPr>
        <w:spacing w:line="560" w:lineRule="exact"/>
        <w:rPr>
          <w:rFonts w:hint="eastAsia" w:ascii="仿宋" w:hAnsi="仿宋" w:eastAsia="仿宋" w:cs="仿宋"/>
          <w:color w:val="333333"/>
          <w:kern w:val="0"/>
          <w:sz w:val="24"/>
          <w:highlight w:val="none"/>
        </w:rPr>
      </w:pPr>
      <w:r>
        <w:rPr>
          <w:rFonts w:hint="eastAsia" w:ascii="仿宋" w:hAnsi="仿宋" w:eastAsia="仿宋" w:cs="仿宋"/>
          <w:i/>
          <w:color w:val="333333"/>
          <w:kern w:val="0"/>
          <w:sz w:val="24"/>
          <w:highlight w:val="none"/>
          <w:u w:val="single"/>
        </w:rPr>
        <w:t xml:space="preserve"> (标的名称) </w:t>
      </w:r>
      <w:r>
        <w:rPr>
          <w:rFonts w:hint="eastAsia" w:ascii="仿宋" w:hAnsi="仿宋" w:eastAsia="仿宋" w:cs="仿宋"/>
          <w:color w:val="333333"/>
          <w:kern w:val="0"/>
          <w:sz w:val="24"/>
          <w:highlight w:val="none"/>
        </w:rPr>
        <w:t>，属于</w:t>
      </w:r>
      <w:r>
        <w:rPr>
          <w:rFonts w:hint="eastAsia" w:ascii="仿宋" w:hAnsi="仿宋" w:eastAsia="仿宋" w:cs="仿宋"/>
          <w:color w:val="333333"/>
          <w:kern w:val="0"/>
          <w:sz w:val="24"/>
          <w:highlight w:val="none"/>
          <w:u w:val="single"/>
        </w:rPr>
        <w:t xml:space="preserve"> 软件和信息技术服务业 </w:t>
      </w:r>
      <w:r>
        <w:rPr>
          <w:rFonts w:hint="eastAsia" w:ascii="仿宋" w:hAnsi="仿宋" w:eastAsia="仿宋" w:cs="仿宋"/>
          <w:color w:val="333333"/>
          <w:kern w:val="0"/>
          <w:sz w:val="24"/>
          <w:highlight w:val="none"/>
        </w:rPr>
        <w:t>；承建(承接)企业为</w:t>
      </w:r>
      <w:r>
        <w:rPr>
          <w:rFonts w:hint="eastAsia" w:ascii="仿宋" w:hAnsi="仿宋" w:eastAsia="仿宋" w:cs="仿宋"/>
          <w:i/>
          <w:color w:val="333333"/>
          <w:kern w:val="0"/>
          <w:sz w:val="24"/>
          <w:highlight w:val="none"/>
          <w:u w:val="single"/>
        </w:rPr>
        <w:t xml:space="preserve"> (企业名称) </w:t>
      </w:r>
      <w:r>
        <w:rPr>
          <w:rFonts w:hint="eastAsia" w:ascii="仿宋" w:hAnsi="仿宋" w:eastAsia="仿宋" w:cs="仿宋"/>
          <w:color w:val="333333"/>
          <w:kern w:val="0"/>
          <w:sz w:val="24"/>
          <w:highlight w:val="none"/>
        </w:rPr>
        <w:t>，从业人员</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人，营业收入为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万元，资产总额为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万元，属于</w:t>
      </w:r>
      <w:r>
        <w:rPr>
          <w:rFonts w:hint="eastAsia" w:ascii="仿宋" w:hAnsi="仿宋" w:eastAsia="仿宋" w:cs="仿宋"/>
          <w:i/>
          <w:color w:val="333333"/>
          <w:kern w:val="0"/>
          <w:sz w:val="24"/>
          <w:highlight w:val="none"/>
          <w:u w:val="single"/>
        </w:rPr>
        <w:t xml:space="preserve"> (中型企必、小型企业、微型企业) </w:t>
      </w:r>
      <w:r>
        <w:rPr>
          <w:rFonts w:hint="eastAsia" w:ascii="仿宋" w:hAnsi="仿宋" w:eastAsia="仿宋" w:cs="仿宋"/>
          <w:color w:val="333333"/>
          <w:kern w:val="0"/>
          <w:sz w:val="24"/>
          <w:highlight w:val="none"/>
        </w:rPr>
        <w:t>；</w:t>
      </w:r>
    </w:p>
    <w:p>
      <w:pPr>
        <w:spacing w:line="560" w:lineRule="exact"/>
        <w:ind w:firstLine="480" w:firstLineChars="200"/>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 xml:space="preserve">2. </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(标的名称) </w:t>
      </w:r>
      <w:r>
        <w:rPr>
          <w:rFonts w:hint="eastAsia" w:ascii="仿宋" w:hAnsi="仿宋" w:eastAsia="仿宋" w:cs="仿宋"/>
          <w:color w:val="333333"/>
          <w:kern w:val="0"/>
          <w:sz w:val="24"/>
          <w:highlight w:val="none"/>
        </w:rPr>
        <w:t>，属于</w:t>
      </w:r>
      <w:r>
        <w:rPr>
          <w:rFonts w:hint="eastAsia" w:ascii="仿宋" w:hAnsi="仿宋" w:eastAsia="仿宋" w:cs="仿宋"/>
          <w:color w:val="333333"/>
          <w:kern w:val="0"/>
          <w:sz w:val="24"/>
          <w:highlight w:val="none"/>
          <w:u w:val="single"/>
        </w:rPr>
        <w:t xml:space="preserve"> 软件和信息技术服务业 </w:t>
      </w:r>
      <w:r>
        <w:rPr>
          <w:rFonts w:hint="eastAsia" w:ascii="仿宋" w:hAnsi="仿宋" w:eastAsia="仿宋" w:cs="仿宋"/>
          <w:color w:val="333333"/>
          <w:kern w:val="0"/>
          <w:sz w:val="24"/>
          <w:highlight w:val="none"/>
        </w:rPr>
        <w:t>；承建(承接)企业为</w:t>
      </w:r>
      <w:r>
        <w:rPr>
          <w:rFonts w:hint="eastAsia" w:ascii="仿宋" w:hAnsi="仿宋" w:eastAsia="仿宋" w:cs="仿宋"/>
          <w:i/>
          <w:color w:val="333333"/>
          <w:kern w:val="0"/>
          <w:sz w:val="24"/>
          <w:highlight w:val="none"/>
          <w:u w:val="single"/>
        </w:rPr>
        <w:t xml:space="preserve"> (企业名称) </w:t>
      </w:r>
      <w:r>
        <w:rPr>
          <w:rFonts w:hint="eastAsia" w:ascii="仿宋" w:hAnsi="仿宋" w:eastAsia="仿宋" w:cs="仿宋"/>
          <w:color w:val="333333"/>
          <w:kern w:val="0"/>
          <w:sz w:val="24"/>
          <w:highlight w:val="none"/>
        </w:rPr>
        <w:t>，从业人员</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人，营业收入为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万元，资产总额为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万元，属于</w:t>
      </w:r>
      <w:r>
        <w:rPr>
          <w:rFonts w:hint="eastAsia" w:ascii="仿宋" w:hAnsi="仿宋" w:eastAsia="仿宋" w:cs="仿宋"/>
          <w:i/>
          <w:color w:val="333333"/>
          <w:kern w:val="0"/>
          <w:sz w:val="24"/>
          <w:highlight w:val="none"/>
          <w:u w:val="single"/>
        </w:rPr>
        <w:t xml:space="preserve"> (中型企必、小型企业、微型企业) </w:t>
      </w:r>
      <w:r>
        <w:rPr>
          <w:rFonts w:hint="eastAsia" w:ascii="仿宋" w:hAnsi="仿宋" w:eastAsia="仿宋" w:cs="仿宋"/>
          <w:color w:val="333333"/>
          <w:kern w:val="0"/>
          <w:sz w:val="24"/>
          <w:highlight w:val="none"/>
        </w:rPr>
        <w:t>；</w:t>
      </w:r>
    </w:p>
    <w:p>
      <w:pPr>
        <w:spacing w:line="560" w:lineRule="exact"/>
        <w:ind w:firstLine="480" w:firstLineChars="200"/>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w:t>
      </w:r>
    </w:p>
    <w:p>
      <w:pPr>
        <w:spacing w:line="560" w:lineRule="exact"/>
        <w:ind w:firstLine="480" w:firstLineChars="200"/>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本企业对上述声明内容的真实性负责。如有虚假，将依法承担相应责任。</w:t>
      </w:r>
    </w:p>
    <w:p>
      <w:pPr>
        <w:spacing w:line="560" w:lineRule="exact"/>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 xml:space="preserve">                                  </w:t>
      </w:r>
    </w:p>
    <w:p>
      <w:pPr>
        <w:spacing w:line="560" w:lineRule="exact"/>
        <w:ind w:firstLine="4200" w:firstLineChars="1750"/>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企业名称(盖章):</w:t>
      </w:r>
    </w:p>
    <w:p>
      <w:pPr>
        <w:spacing w:line="560" w:lineRule="exact"/>
        <w:ind w:firstLine="4320" w:firstLineChars="1800"/>
        <w:rPr>
          <w:rFonts w:hint="eastAsia" w:ascii="仿宋" w:hAnsi="仿宋" w:eastAsia="仿宋" w:cs="仿宋"/>
          <w:color w:val="333333"/>
          <w:kern w:val="0"/>
          <w:sz w:val="24"/>
          <w:highlight w:val="none"/>
        </w:rPr>
      </w:pPr>
      <w:r>
        <w:rPr>
          <w:rFonts w:hint="eastAsia" w:ascii="仿宋" w:hAnsi="仿宋" w:eastAsia="仿宋" w:cs="仿宋"/>
          <w:color w:val="333333"/>
          <w:kern w:val="0"/>
          <w:sz w:val="24"/>
          <w:highlight w:val="none"/>
        </w:rPr>
        <w:t>日期：</w:t>
      </w:r>
    </w:p>
    <w:p>
      <w:pPr>
        <w:spacing w:line="560" w:lineRule="exact"/>
        <w:ind w:firstLine="5400" w:firstLineChars="1800"/>
        <w:rPr>
          <w:rFonts w:hint="eastAsia" w:ascii="仿宋" w:hAnsi="仿宋" w:eastAsia="仿宋" w:cs="仿宋"/>
          <w:color w:val="333333"/>
          <w:kern w:val="0"/>
          <w:sz w:val="30"/>
          <w:szCs w:val="30"/>
          <w:highlight w:val="none"/>
        </w:rPr>
      </w:pPr>
    </w:p>
    <w:p>
      <w:pPr>
        <w:rPr>
          <w:rFonts w:hint="eastAsia" w:ascii="仿宋" w:hAnsi="仿宋" w:eastAsia="仿宋" w:cs="仿宋"/>
          <w:color w:val="333333"/>
          <w:kern w:val="0"/>
          <w:sz w:val="30"/>
          <w:szCs w:val="30"/>
          <w:highlight w:val="none"/>
          <w:u w:val="single"/>
        </w:rPr>
      </w:pPr>
      <w:r>
        <w:rPr>
          <w:rFonts w:hint="eastAsia" w:ascii="仿宋" w:hAnsi="仿宋" w:eastAsia="仿宋" w:cs="仿宋"/>
          <w:color w:val="333333"/>
          <w:kern w:val="0"/>
          <w:sz w:val="30"/>
          <w:szCs w:val="30"/>
          <w:highlight w:val="none"/>
        </w:rPr>
        <w:t xml:space="preserve"> </w:t>
      </w:r>
      <w:r>
        <w:rPr>
          <w:rFonts w:hint="eastAsia" w:ascii="仿宋" w:hAnsi="仿宋" w:eastAsia="仿宋" w:cs="仿宋"/>
          <w:color w:val="333333"/>
          <w:kern w:val="0"/>
          <w:sz w:val="30"/>
          <w:szCs w:val="30"/>
          <w:highlight w:val="none"/>
          <w:u w:val="single"/>
        </w:rPr>
        <w:t xml:space="preserve">                                                    </w:t>
      </w:r>
    </w:p>
    <w:p>
      <w:pPr>
        <w:ind w:firstLine="90" w:firstLineChars="50"/>
        <w:rPr>
          <w:rFonts w:hint="eastAsia" w:ascii="仿宋" w:hAnsi="仿宋" w:eastAsia="仿宋" w:cs="仿宋"/>
          <w:color w:val="333333"/>
          <w:kern w:val="0"/>
          <w:sz w:val="18"/>
          <w:szCs w:val="18"/>
          <w:highlight w:val="none"/>
        </w:rPr>
      </w:pPr>
      <w:r>
        <w:rPr>
          <w:rFonts w:hint="eastAsia" w:ascii="仿宋" w:hAnsi="仿宋" w:eastAsia="仿宋" w:cs="仿宋"/>
          <w:color w:val="333333"/>
          <w:kern w:val="0"/>
          <w:sz w:val="18"/>
          <w:szCs w:val="18"/>
          <w:highlight w:val="none"/>
        </w:rPr>
        <w:t xml:space="preserve">（从业人员、营业收入、资产总额填报上一年度数据，无上一年度数据的新成立企业可不填报）  </w:t>
      </w:r>
    </w:p>
    <w:p>
      <w:pPr>
        <w:pStyle w:val="6"/>
        <w:ind w:firstLine="480"/>
        <w:rPr>
          <w:rFonts w:hint="eastAsia" w:ascii="仿宋" w:hAnsi="仿宋" w:eastAsia="仿宋" w:cs="仿宋"/>
          <w:highlight w:val="none"/>
        </w:rPr>
      </w:pPr>
    </w:p>
    <w:p>
      <w:pPr>
        <w:pStyle w:val="6"/>
        <w:ind w:firstLine="480"/>
        <w:rPr>
          <w:rFonts w:hint="eastAsia" w:ascii="仿宋" w:hAnsi="仿宋" w:eastAsia="仿宋" w:cs="仿宋"/>
          <w:highlight w:val="none"/>
        </w:rPr>
      </w:pPr>
    </w:p>
    <w:p>
      <w:pPr>
        <w:pStyle w:val="6"/>
        <w:ind w:firstLine="480"/>
        <w:rPr>
          <w:rFonts w:hint="eastAsia" w:ascii="仿宋" w:hAnsi="仿宋" w:eastAsia="仿宋" w:cs="仿宋"/>
          <w:highlight w:val="none"/>
        </w:rPr>
      </w:pPr>
    </w:p>
    <w:p>
      <w:pPr>
        <w:pStyle w:val="5"/>
        <w:jc w:val="center"/>
        <w:rPr>
          <w:rFonts w:hint="eastAsia" w:ascii="仿宋" w:hAnsi="仿宋" w:eastAsia="仿宋" w:cs="仿宋"/>
          <w:b/>
          <w:sz w:val="32"/>
          <w:szCs w:val="32"/>
          <w:highlight w:val="none"/>
        </w:rPr>
      </w:pPr>
      <w:bookmarkStart w:id="463" w:name="_Toc11670"/>
      <w:bookmarkStart w:id="464" w:name="_Toc11940"/>
      <w:bookmarkStart w:id="465" w:name="_Toc60928911"/>
      <w:bookmarkStart w:id="466" w:name="_Toc60929143"/>
      <w:bookmarkStart w:id="467" w:name="_Toc532473512"/>
    </w:p>
    <w:p>
      <w:pPr>
        <w:pStyle w:val="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投标人监狱企业声明函</w:t>
      </w:r>
      <w:bookmarkEnd w:id="463"/>
      <w:bookmarkEnd w:id="464"/>
      <w:bookmarkEnd w:id="465"/>
      <w:bookmarkEnd w:id="466"/>
    </w:p>
    <w:bookmarkEnd w:id="467"/>
    <w:p>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（注：符合监狱企业的企业请提供本函，不符合的不提供本函）</w:t>
      </w:r>
    </w:p>
    <w:p>
      <w:pPr>
        <w:spacing w:line="360" w:lineRule="auto"/>
        <w:ind w:left="1080" w:leftChars="257" w:hanging="540"/>
        <w:jc w:val="center"/>
        <w:rPr>
          <w:rFonts w:hint="eastAsia" w:ascii="仿宋" w:hAnsi="仿宋" w:eastAsia="仿宋" w:cs="仿宋"/>
          <w:b/>
          <w:kern w:val="0"/>
          <w:sz w:val="24"/>
          <w:szCs w:val="20"/>
          <w:highlight w:val="none"/>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本单位为直接投标人提供本单位制造的货物。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p>
      <w:pPr>
        <w:spacing w:line="360" w:lineRule="auto"/>
        <w:ind w:left="1080" w:leftChars="257" w:hanging="540"/>
        <w:jc w:val="center"/>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投标人（盖公章）：</w:t>
      </w:r>
      <w:r>
        <w:rPr>
          <w:rFonts w:hint="eastAsia" w:ascii="仿宋" w:hAnsi="仿宋" w:eastAsia="仿宋" w:cs="仿宋"/>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日　期：</w:t>
      </w:r>
      <w:r>
        <w:rPr>
          <w:rFonts w:hint="eastAsia" w:ascii="仿宋" w:hAnsi="仿宋" w:eastAsia="仿宋" w:cs="仿宋"/>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t>注：符合《关于政府采购支持监狱企业发展有关问题的通知》价格扣减条件的供应商须提交。</w:t>
      </w:r>
    </w:p>
    <w:p>
      <w:pPr>
        <w:spacing w:line="360" w:lineRule="auto"/>
        <w:rPr>
          <w:rFonts w:hint="eastAsia" w:ascii="仿宋" w:hAnsi="仿宋" w:eastAsia="仿宋" w:cs="仿宋"/>
          <w:kern w:val="0"/>
          <w:sz w:val="24"/>
          <w:szCs w:val="20"/>
          <w:highlight w:val="none"/>
        </w:rPr>
      </w:pPr>
      <w:r>
        <w:rPr>
          <w:rFonts w:hint="eastAsia" w:ascii="仿宋" w:hAnsi="仿宋" w:eastAsia="仿宋" w:cs="仿宋"/>
          <w:sz w:val="24"/>
          <w:highlight w:val="none"/>
        </w:rPr>
        <w:br w:type="page"/>
      </w:r>
    </w:p>
    <w:p>
      <w:pPr>
        <w:pStyle w:val="5"/>
        <w:jc w:val="center"/>
        <w:rPr>
          <w:rFonts w:hint="eastAsia" w:ascii="仿宋" w:hAnsi="仿宋" w:eastAsia="仿宋" w:cs="仿宋"/>
          <w:b/>
          <w:sz w:val="32"/>
          <w:szCs w:val="32"/>
          <w:highlight w:val="none"/>
        </w:rPr>
      </w:pPr>
      <w:bookmarkStart w:id="468" w:name="_Toc6409"/>
      <w:bookmarkStart w:id="469" w:name="_Toc9828"/>
      <w:bookmarkStart w:id="470" w:name="_Toc60929144"/>
      <w:bookmarkStart w:id="471" w:name="_Toc60928912"/>
      <w:bookmarkStart w:id="472" w:name="_Toc532473513"/>
    </w:p>
    <w:p>
      <w:pPr>
        <w:pStyle w:val="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残疾人福利性单位声明函</w:t>
      </w:r>
      <w:bookmarkEnd w:id="468"/>
      <w:bookmarkEnd w:id="469"/>
      <w:bookmarkEnd w:id="470"/>
      <w:bookmarkEnd w:id="471"/>
    </w:p>
    <w:bookmarkEnd w:id="472"/>
    <w:p>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（注：符合残疾人福利性单位的企业请提供本函，不符合的不提供本函）</w:t>
      </w: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firstLine="567"/>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highlight w:val="none"/>
        </w:rPr>
        <w:t>（由本单位承担提供服务）</w:t>
      </w:r>
      <w:r>
        <w:rPr>
          <w:rFonts w:hint="eastAsia" w:ascii="仿宋" w:hAnsi="仿宋" w:eastAsia="仿宋" w:cs="仿宋"/>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left="1080" w:leftChars="257" w:hanging="54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r>
        <w:rPr>
          <w:rFonts w:hint="eastAsia" w:ascii="仿宋" w:hAnsi="仿宋" w:eastAsia="仿宋" w:cs="仿宋"/>
          <w:kern w:val="0"/>
          <w:sz w:val="24"/>
          <w:szCs w:val="20"/>
          <w:highlight w:val="none"/>
          <w:u w:val="single"/>
        </w:rPr>
        <w:t xml:space="preserve">                  </w:t>
      </w:r>
    </w:p>
    <w:p>
      <w:pPr>
        <w:spacing w:line="360" w:lineRule="auto"/>
        <w:ind w:left="1080" w:leftChars="257" w:hanging="540"/>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highlight w:val="none"/>
        </w:rPr>
        <w:t xml:space="preserve">         </w:t>
      </w:r>
    </w:p>
    <w:p>
      <w:pPr>
        <w:spacing w:line="360" w:lineRule="auto"/>
        <w:ind w:firstLine="600" w:firstLineChars="25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r>
        <w:rPr>
          <w:rFonts w:hint="eastAsia" w:ascii="仿宋" w:hAnsi="仿宋" w:eastAsia="仿宋" w:cs="仿宋"/>
          <w:kern w:val="0"/>
          <w:sz w:val="24"/>
          <w:szCs w:val="20"/>
          <w:highlight w:val="none"/>
          <w:u w:val="single"/>
        </w:rPr>
        <w:t xml:space="preserve">                             </w:t>
      </w: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480" w:lineRule="auto"/>
        <w:ind w:firstLine="425"/>
        <w:rPr>
          <w:rFonts w:hint="eastAsia" w:ascii="仿宋" w:hAnsi="仿宋" w:eastAsia="仿宋" w:cs="仿宋"/>
          <w:sz w:val="24"/>
          <w:highlight w:val="none"/>
        </w:rPr>
      </w:pPr>
      <w:r>
        <w:rPr>
          <w:rFonts w:hint="eastAsia" w:ascii="仿宋" w:hAnsi="仿宋" w:eastAsia="仿宋" w:cs="仿宋"/>
          <w:kern w:val="0"/>
          <w:sz w:val="24"/>
          <w:szCs w:val="20"/>
          <w:highlight w:val="none"/>
          <w:u w:val="single"/>
        </w:rPr>
        <w:t>注：符合《三部门联合发布关于促进残疾人就业政府采购政策的通知》价格扣减条件的供应商须提交。</w:t>
      </w:r>
      <w:r>
        <w:rPr>
          <w:rFonts w:hint="eastAsia" w:ascii="仿宋" w:hAnsi="仿宋" w:eastAsia="仿宋" w:cs="仿宋"/>
          <w:sz w:val="24"/>
          <w:highlight w:val="none"/>
        </w:rPr>
        <w:br w:type="textWrapping"/>
      </w:r>
    </w:p>
    <w:p>
      <w:pPr>
        <w:rPr>
          <w:rFonts w:hint="eastAsia" w:ascii="仿宋" w:hAnsi="仿宋" w:eastAsia="仿宋" w:cs="仿宋"/>
          <w:b/>
          <w:sz w:val="30"/>
          <w:szCs w:val="30"/>
          <w:highlight w:val="none"/>
          <w:lang w:val="zh-CN"/>
        </w:rPr>
      </w:pPr>
      <w:r>
        <w:rPr>
          <w:rFonts w:hint="eastAsia" w:ascii="仿宋" w:hAnsi="仿宋" w:eastAsia="仿宋" w:cs="仿宋"/>
          <w:b/>
          <w:sz w:val="30"/>
          <w:szCs w:val="30"/>
          <w:highlight w:val="none"/>
          <w:lang w:val="zh-CN"/>
        </w:rPr>
        <w:br w:type="page"/>
      </w:r>
    </w:p>
    <w:p>
      <w:pPr>
        <w:pStyle w:val="198"/>
        <w:ind w:firstLine="6927" w:firstLineChars="2300"/>
        <w:rPr>
          <w:rFonts w:hint="eastAsia" w:ascii="仿宋" w:hAnsi="仿宋" w:eastAsia="仿宋" w:cs="仿宋"/>
          <w:b/>
          <w:sz w:val="30"/>
          <w:szCs w:val="30"/>
          <w:highlight w:val="none"/>
          <w:lang w:val="zh-CN"/>
        </w:rPr>
      </w:pPr>
      <w:r>
        <w:rPr>
          <w:rFonts w:hint="eastAsia" w:ascii="仿宋" w:hAnsi="仿宋" w:eastAsia="仿宋" w:cs="仿宋"/>
          <w:b/>
          <w:sz w:val="30"/>
          <w:szCs w:val="30"/>
          <w:highlight w:val="none"/>
          <w:lang w:val="zh-CN"/>
        </w:rPr>
        <w:t>正本/副本</w:t>
      </w:r>
    </w:p>
    <w:p>
      <w:pPr>
        <w:autoSpaceDE w:val="0"/>
        <w:autoSpaceDN w:val="0"/>
        <w:adjustRightInd w:val="0"/>
        <w:snapToGrid w:val="0"/>
        <w:spacing w:line="360" w:lineRule="auto"/>
        <w:jc w:val="left"/>
        <w:rPr>
          <w:rFonts w:hint="eastAsia" w:ascii="仿宋" w:hAnsi="仿宋" w:eastAsia="仿宋" w:cs="仿宋"/>
          <w:b/>
          <w:bCs/>
          <w:sz w:val="32"/>
          <w:szCs w:val="32"/>
          <w:highlight w:val="none"/>
          <w:lang w:val="zh-CN"/>
        </w:rPr>
      </w:pPr>
    </w:p>
    <w:p>
      <w:pPr>
        <w:autoSpaceDE w:val="0"/>
        <w:autoSpaceDN w:val="0"/>
        <w:adjustRightInd w:val="0"/>
        <w:snapToGrid w:val="0"/>
        <w:spacing w:line="360" w:lineRule="auto"/>
        <w:jc w:val="left"/>
        <w:rPr>
          <w:rFonts w:hint="eastAsia" w:ascii="仿宋" w:hAnsi="仿宋" w:eastAsia="仿宋" w:cs="仿宋"/>
          <w:b/>
          <w:bCs/>
          <w:sz w:val="32"/>
          <w:szCs w:val="32"/>
          <w:highlight w:val="none"/>
          <w:lang w:val="zh-CN" w:eastAsia="zh-CN"/>
        </w:rPr>
      </w:pPr>
      <w:r>
        <w:rPr>
          <w:rFonts w:hint="eastAsia" w:ascii="仿宋" w:hAnsi="仿宋" w:eastAsia="仿宋" w:cs="仿宋"/>
          <w:b/>
          <w:bCs/>
          <w:sz w:val="32"/>
          <w:szCs w:val="32"/>
          <w:highlight w:val="none"/>
          <w:lang w:val="zh-CN"/>
        </w:rPr>
        <w:t>采购项目编号：</w:t>
      </w:r>
      <w:r>
        <w:rPr>
          <w:rFonts w:hint="eastAsia" w:ascii="仿宋" w:hAnsi="仿宋" w:eastAsia="仿宋" w:cs="仿宋"/>
          <w:b/>
          <w:bCs/>
          <w:sz w:val="30"/>
          <w:szCs w:val="30"/>
          <w:highlight w:val="none"/>
          <w:lang w:eastAsia="zh-CN"/>
        </w:rPr>
        <w:t>XHZB2023-CS-003/001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pPr>
        <w:autoSpaceDE w:val="0"/>
        <w:autoSpaceDN w:val="0"/>
        <w:adjustRightInd w:val="0"/>
        <w:snapToGrid w:val="0"/>
        <w:spacing w:line="360" w:lineRule="auto"/>
        <w:jc w:val="center"/>
        <w:rPr>
          <w:rFonts w:hint="eastAsia"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lang w:val="zh-CN" w:eastAsia="zh-CN"/>
        </w:rPr>
      </w:pPr>
      <w:r>
        <w:rPr>
          <w:rFonts w:hint="eastAsia" w:ascii="仿宋" w:hAnsi="仿宋" w:eastAsia="仿宋" w:cs="仿宋"/>
          <w:b/>
          <w:bCs/>
          <w:sz w:val="44"/>
          <w:szCs w:val="44"/>
          <w:highlight w:val="none"/>
          <w:lang w:eastAsia="zh-CN"/>
        </w:rPr>
        <w:t>铜川市耀州区庙湾镇智慧香菇大数据平台服务项目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磋商响应文件</w:t>
      </w:r>
    </w:p>
    <w:p>
      <w:pPr>
        <w:autoSpaceDE w:val="0"/>
        <w:autoSpaceDN w:val="0"/>
        <w:adjustRightInd w:val="0"/>
        <w:snapToGrid w:val="0"/>
        <w:spacing w:line="360" w:lineRule="auto"/>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 xml:space="preserve">                    （</w:t>
      </w:r>
      <w:r>
        <w:rPr>
          <w:rStyle w:val="97"/>
          <w:rFonts w:hint="eastAsia" w:ascii="仿宋" w:hAnsi="仿宋" w:eastAsia="仿宋" w:cs="仿宋"/>
          <w:highlight w:val="none"/>
        </w:rPr>
        <w:t>商务及技术文件</w:t>
      </w:r>
      <w:r>
        <w:rPr>
          <w:rFonts w:hint="eastAsia" w:ascii="仿宋" w:hAnsi="仿宋" w:eastAsia="仿宋" w:cs="仿宋"/>
          <w:b/>
          <w:bCs/>
          <w:sz w:val="32"/>
          <w:szCs w:val="32"/>
          <w:highlight w:val="none"/>
          <w:lang w:val="zh-CN"/>
        </w:rPr>
        <w:t>）</w:t>
      </w:r>
    </w:p>
    <w:p>
      <w:pPr>
        <w:autoSpaceDE w:val="0"/>
        <w:autoSpaceDN w:val="0"/>
        <w:adjustRightInd w:val="0"/>
        <w:snapToGrid w:val="0"/>
        <w:spacing w:line="360" w:lineRule="auto"/>
        <w:rPr>
          <w:rFonts w:hint="eastAsia" w:ascii="仿宋" w:hAnsi="仿宋" w:eastAsia="仿宋" w:cs="仿宋"/>
          <w:b/>
          <w:bCs/>
          <w:sz w:val="32"/>
          <w:szCs w:val="32"/>
          <w:highlight w:val="none"/>
          <w:lang w:val="zh-CN"/>
        </w:rPr>
      </w:pPr>
    </w:p>
    <w:p>
      <w:pPr>
        <w:autoSpaceDE w:val="0"/>
        <w:autoSpaceDN w:val="0"/>
        <w:adjustRightInd w:val="0"/>
        <w:snapToGrid w:val="0"/>
        <w:spacing w:line="360" w:lineRule="auto"/>
        <w:rPr>
          <w:rFonts w:hint="eastAsia" w:ascii="仿宋" w:hAnsi="仿宋" w:eastAsia="仿宋" w:cs="仿宋"/>
          <w:b/>
          <w:bCs/>
          <w:sz w:val="32"/>
          <w:szCs w:val="32"/>
          <w:highlight w:val="none"/>
          <w:lang w:val="zh-CN"/>
        </w:rPr>
      </w:pPr>
    </w:p>
    <w:p>
      <w:pPr>
        <w:autoSpaceDE w:val="0"/>
        <w:autoSpaceDN w:val="0"/>
        <w:adjustRightInd w:val="0"/>
        <w:snapToGrid w:val="0"/>
        <w:spacing w:line="360" w:lineRule="auto"/>
        <w:rPr>
          <w:rFonts w:hint="eastAsia" w:ascii="仿宋" w:hAnsi="仿宋" w:eastAsia="仿宋" w:cs="仿宋"/>
          <w:b/>
          <w:bCs/>
          <w:sz w:val="32"/>
          <w:szCs w:val="32"/>
          <w:highlight w:val="none"/>
          <w:lang w:val="zh-CN"/>
        </w:rPr>
      </w:pPr>
    </w:p>
    <w:p>
      <w:pPr>
        <w:autoSpaceDE w:val="0"/>
        <w:autoSpaceDN w:val="0"/>
        <w:adjustRightInd w:val="0"/>
        <w:snapToGrid w:val="0"/>
        <w:spacing w:line="360" w:lineRule="auto"/>
        <w:rPr>
          <w:rFonts w:hint="eastAsia" w:ascii="仿宋" w:hAnsi="仿宋" w:eastAsia="仿宋" w:cs="仿宋"/>
          <w:sz w:val="30"/>
          <w:szCs w:val="30"/>
          <w:highlight w:val="none"/>
        </w:rPr>
      </w:pPr>
    </w:p>
    <w:p>
      <w:pPr>
        <w:pStyle w:val="2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2"/>
        <w:rPr>
          <w:rFonts w:hint="eastAsia" w:ascii="仿宋" w:hAnsi="仿宋" w:eastAsia="仿宋" w:cs="仿宋"/>
          <w:highlight w:val="none"/>
        </w:rPr>
      </w:pPr>
    </w:p>
    <w:p>
      <w:pPr>
        <w:autoSpaceDE w:val="0"/>
        <w:autoSpaceDN w:val="0"/>
        <w:adjustRightInd w:val="0"/>
        <w:snapToGrid w:val="0"/>
        <w:spacing w:line="360" w:lineRule="auto"/>
        <w:ind w:firstLine="1800" w:firstLineChars="600"/>
        <w:rPr>
          <w:rFonts w:hint="eastAsia" w:ascii="仿宋" w:hAnsi="仿宋" w:eastAsia="仿宋" w:cs="仿宋"/>
          <w:b/>
          <w:bCs/>
          <w:sz w:val="32"/>
          <w:szCs w:val="32"/>
          <w:highlight w:val="none"/>
          <w:u w:val="single"/>
        </w:rPr>
      </w:pPr>
      <w:r>
        <w:rPr>
          <w:rFonts w:hint="eastAsia" w:ascii="仿宋" w:hAnsi="仿宋" w:eastAsia="仿宋" w:cs="仿宋"/>
          <w:sz w:val="30"/>
          <w:szCs w:val="30"/>
          <w:highlight w:val="none"/>
        </w:rPr>
        <w:t xml:space="preserve"> </w:t>
      </w:r>
      <w:r>
        <w:rPr>
          <w:rFonts w:hint="eastAsia" w:ascii="仿宋" w:hAnsi="仿宋" w:eastAsia="仿宋" w:cs="仿宋"/>
          <w:b/>
          <w:bCs/>
          <w:sz w:val="32"/>
          <w:szCs w:val="32"/>
          <w:highlight w:val="none"/>
          <w:lang w:val="zh-CN"/>
        </w:rPr>
        <w:t>供应商：</w:t>
      </w:r>
      <w:r>
        <w:rPr>
          <w:rFonts w:hint="eastAsia" w:ascii="仿宋" w:hAnsi="仿宋" w:eastAsia="仿宋" w:cs="仿宋"/>
          <w:b/>
          <w:bCs/>
          <w:sz w:val="32"/>
          <w:szCs w:val="32"/>
          <w:highlight w:val="none"/>
          <w:u w:val="single"/>
          <w:lang w:val="zh-CN"/>
        </w:rPr>
        <w:t xml:space="preserve">                  </w:t>
      </w:r>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rPr>
          <w:rFonts w:hint="eastAsia" w:ascii="仿宋" w:hAnsi="仿宋" w:eastAsia="仿宋" w:cs="仿宋"/>
          <w:b/>
          <w:bCs/>
          <w:sz w:val="32"/>
          <w:szCs w:val="32"/>
          <w:highlight w:val="none"/>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ind w:firstLine="2088" w:firstLineChars="650"/>
        <w:rPr>
          <w:rFonts w:hint="eastAsia" w:ascii="仿宋" w:hAnsi="仿宋" w:eastAsia="仿宋" w:cs="仿宋"/>
          <w:b/>
          <w:bCs/>
          <w:sz w:val="32"/>
          <w:szCs w:val="32"/>
          <w:highlight w:val="none"/>
          <w:u w:val="single"/>
        </w:rPr>
      </w:pPr>
    </w:p>
    <w:p>
      <w:pPr>
        <w:pStyle w:val="22"/>
        <w:rPr>
          <w:rFonts w:hint="eastAsia" w:ascii="仿宋" w:hAnsi="仿宋" w:eastAsia="仿宋" w:cs="仿宋"/>
          <w:highlight w:val="none"/>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highlight w:val="none"/>
          <w:u w:val="single"/>
        </w:rPr>
      </w:pPr>
    </w:p>
    <w:p>
      <w:pPr>
        <w:pStyle w:val="22"/>
        <w:rPr>
          <w:rFonts w:hint="eastAsia" w:ascii="仿宋" w:hAnsi="仿宋" w:eastAsia="仿宋" w:cs="仿宋"/>
          <w:highlight w:val="none"/>
        </w:rPr>
      </w:pPr>
    </w:p>
    <w:p>
      <w:pPr>
        <w:autoSpaceDE w:val="0"/>
        <w:autoSpaceDN w:val="0"/>
        <w:adjustRightInd w:val="0"/>
        <w:snapToGrid w:val="0"/>
        <w:spacing w:line="360" w:lineRule="auto"/>
        <w:ind w:firstLine="3534" w:firstLineChars="11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目  录</w:t>
      </w:r>
    </w:p>
    <w:p>
      <w:pPr>
        <w:spacing w:after="120"/>
        <w:ind w:firstLine="315" w:firstLineChars="150"/>
        <w:rPr>
          <w:rFonts w:hint="eastAsia" w:ascii="仿宋" w:hAnsi="仿宋" w:eastAsia="仿宋" w:cs="仿宋"/>
          <w:highlight w:val="none"/>
        </w:rPr>
      </w:pPr>
    </w:p>
    <w:p>
      <w:pPr>
        <w:spacing w:after="120"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第一部分   磋商响应函</w:t>
      </w:r>
    </w:p>
    <w:p>
      <w:pPr>
        <w:spacing w:after="120"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第二部分   磋商响应报价表 </w:t>
      </w:r>
    </w:p>
    <w:p>
      <w:pPr>
        <w:spacing w:after="120"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第三部分   偏离表</w:t>
      </w:r>
    </w:p>
    <w:p>
      <w:pPr>
        <w:spacing w:after="120"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第四部分   响应方案说明</w:t>
      </w:r>
    </w:p>
    <w:p>
      <w:pPr>
        <w:spacing w:after="120"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第五部分   小微企业、监狱企业、残疾人福利单位声明函或证明</w:t>
      </w:r>
    </w:p>
    <w:p>
      <w:pPr>
        <w:spacing w:after="120"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第六部分   保证金支付凭证或担保函（复印件）</w:t>
      </w:r>
    </w:p>
    <w:p>
      <w:pPr>
        <w:pStyle w:val="22"/>
        <w:ind w:firstLine="480"/>
        <w:rPr>
          <w:rFonts w:hint="eastAsia" w:ascii="仿宋" w:hAnsi="仿宋" w:eastAsia="仿宋" w:cs="仿宋"/>
          <w:sz w:val="24"/>
          <w:highlight w:val="none"/>
        </w:rPr>
      </w:pPr>
    </w:p>
    <w:p>
      <w:pPr>
        <w:pStyle w:val="22"/>
        <w:ind w:firstLine="480"/>
        <w:rPr>
          <w:rFonts w:hint="eastAsia" w:ascii="仿宋" w:hAnsi="仿宋" w:eastAsia="仿宋" w:cs="仿宋"/>
          <w:sz w:val="24"/>
          <w:highlight w:val="none"/>
        </w:rPr>
      </w:pPr>
    </w:p>
    <w:p>
      <w:pPr>
        <w:widowControl/>
        <w:jc w:val="left"/>
        <w:rPr>
          <w:rFonts w:hint="eastAsia" w:ascii="仿宋" w:hAnsi="仿宋" w:eastAsia="仿宋" w:cs="仿宋"/>
          <w:highlight w:val="none"/>
        </w:rPr>
      </w:pPr>
      <w:r>
        <w:rPr>
          <w:rFonts w:hint="eastAsia" w:ascii="仿宋" w:hAnsi="仿宋" w:eastAsia="仿宋" w:cs="仿宋"/>
          <w:highlight w:val="none"/>
        </w:rPr>
        <w:br w:type="page"/>
      </w:r>
    </w:p>
    <w:p>
      <w:pPr>
        <w:pStyle w:val="198"/>
        <w:ind w:firstLine="2731" w:firstLineChars="850"/>
        <w:rPr>
          <w:rFonts w:hint="eastAsia" w:ascii="仿宋" w:hAnsi="仿宋" w:eastAsia="仿宋" w:cs="仿宋"/>
          <w:b/>
          <w:sz w:val="32"/>
          <w:szCs w:val="32"/>
          <w:highlight w:val="none"/>
        </w:rPr>
      </w:pPr>
      <w:r>
        <w:rPr>
          <w:rFonts w:hint="eastAsia" w:ascii="仿宋" w:hAnsi="仿宋" w:eastAsia="仿宋" w:cs="仿宋"/>
          <w:b/>
          <w:sz w:val="32"/>
          <w:szCs w:val="32"/>
          <w:highlight w:val="none"/>
          <w:lang w:val="zh-CN"/>
        </w:rPr>
        <w:t>第一部分</w:t>
      </w:r>
      <w:r>
        <w:rPr>
          <w:rFonts w:hint="eastAsia" w:ascii="仿宋" w:hAnsi="仿宋" w:eastAsia="仿宋" w:cs="仿宋"/>
          <w:b/>
          <w:sz w:val="32"/>
          <w:szCs w:val="32"/>
          <w:highlight w:val="none"/>
        </w:rPr>
        <w:t xml:space="preserve">  </w:t>
      </w:r>
      <w:r>
        <w:rPr>
          <w:rFonts w:hint="eastAsia" w:ascii="仿宋" w:hAnsi="仿宋" w:eastAsia="仿宋" w:cs="仿宋"/>
          <w:b/>
          <w:sz w:val="32"/>
          <w:szCs w:val="32"/>
          <w:highlight w:val="none"/>
          <w:lang w:val="zh-CN"/>
        </w:rPr>
        <w:t>磋商响应函</w:t>
      </w:r>
    </w:p>
    <w:p>
      <w:pPr>
        <w:autoSpaceDE w:val="0"/>
        <w:autoSpaceDN w:val="0"/>
        <w:adjustRightInd w:val="0"/>
        <w:snapToGrid w:val="0"/>
        <w:spacing w:line="312" w:lineRule="auto"/>
        <w:rPr>
          <w:rFonts w:hint="eastAsia" w:ascii="仿宋" w:hAnsi="仿宋" w:eastAsia="仿宋" w:cs="仿宋"/>
          <w:b/>
          <w:bCs/>
          <w:sz w:val="24"/>
          <w:highlight w:val="none"/>
          <w:lang w:val="zh-CN"/>
        </w:rPr>
      </w:pPr>
    </w:p>
    <w:p>
      <w:pPr>
        <w:autoSpaceDE w:val="0"/>
        <w:autoSpaceDN w:val="0"/>
        <w:adjustRightInd w:val="0"/>
        <w:snapToGrid w:val="0"/>
        <w:spacing w:line="312" w:lineRule="auto"/>
        <w:rPr>
          <w:rFonts w:hint="eastAsia" w:ascii="仿宋" w:hAnsi="仿宋" w:eastAsia="仿宋" w:cs="仿宋"/>
          <w:b/>
          <w:bCs/>
          <w:sz w:val="24"/>
          <w:highlight w:val="none"/>
        </w:rPr>
      </w:pPr>
      <w:r>
        <w:rPr>
          <w:rFonts w:hint="eastAsia" w:ascii="仿宋" w:hAnsi="仿宋" w:eastAsia="仿宋" w:cs="仿宋"/>
          <w:b/>
          <w:bCs/>
          <w:sz w:val="24"/>
          <w:highlight w:val="none"/>
          <w:lang w:val="zh-CN"/>
        </w:rPr>
        <w:t>陕西星火工程管理有限公司：</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val="zh-CN"/>
        </w:rPr>
        <w:t>、按竞争性磋商文件的规定，我公司的首次磋商响应合计报价为人民币（大写：</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zh-CN"/>
        </w:rPr>
        <w:t>），并对其后的磋商报价负法律责任。</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highlight w:val="none"/>
          <w:lang w:val="zh-CN"/>
        </w:rPr>
        <w:t>、我方提交的响应文件正本</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份、副本</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四</w:t>
      </w:r>
      <w:r>
        <w:rPr>
          <w:rFonts w:hint="eastAsia" w:ascii="仿宋" w:hAnsi="仿宋" w:eastAsia="仿宋" w:cs="仿宋"/>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六</w:t>
      </w:r>
      <w:r>
        <w:rPr>
          <w:rFonts w:hint="eastAsia" w:ascii="仿宋" w:hAnsi="仿宋" w:eastAsia="仿宋" w:cs="仿宋"/>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七、我方的响应文件有效期为自磋商之日起</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60 </w:t>
      </w:r>
      <w:r>
        <w:rPr>
          <w:rFonts w:hint="eastAsia" w:ascii="仿宋" w:hAnsi="仿宋" w:eastAsia="仿宋" w:cs="仿宋"/>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八</w:t>
      </w:r>
      <w:r>
        <w:rPr>
          <w:rFonts w:hint="eastAsia" w:ascii="仿宋" w:hAnsi="仿宋" w:eastAsia="仿宋" w:cs="仿宋"/>
          <w:sz w:val="24"/>
          <w:highlight w:val="none"/>
          <w:lang w:val="zh-CN"/>
        </w:rPr>
        <w:t>、如我方成交：</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地</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址：</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开户银行：</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帐</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rPr>
        <w:t>_____________________</w:t>
      </w:r>
      <w:r>
        <w:rPr>
          <w:rFonts w:hint="eastAsia" w:ascii="仿宋" w:hAnsi="仿宋" w:eastAsia="仿宋" w:cs="仿宋"/>
          <w:sz w:val="24"/>
          <w:highlight w:val="none"/>
          <w:lang w:val="zh-CN"/>
        </w:rPr>
        <w:t>传</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真：</w:t>
      </w:r>
      <w:r>
        <w:rPr>
          <w:rFonts w:hint="eastAsia" w:ascii="仿宋" w:hAnsi="仿宋" w:eastAsia="仿宋" w:cs="仿宋"/>
          <w:sz w:val="24"/>
          <w:highlight w:val="none"/>
        </w:rPr>
        <w:t>________________</w:t>
      </w:r>
    </w:p>
    <w:p>
      <w:pPr>
        <w:pStyle w:val="22"/>
        <w:rPr>
          <w:rFonts w:hint="eastAsia" w:ascii="仿宋" w:hAnsi="仿宋" w:eastAsia="仿宋" w:cs="仿宋"/>
          <w:highlight w:val="none"/>
        </w:rPr>
      </w:pPr>
    </w:p>
    <w:p>
      <w:pPr>
        <w:autoSpaceDE w:val="0"/>
        <w:autoSpaceDN w:val="0"/>
        <w:adjustRightInd w:val="0"/>
        <w:snapToGrid w:val="0"/>
        <w:spacing w:line="312"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供应商全称（公章）：</w:t>
      </w:r>
    </w:p>
    <w:p>
      <w:pPr>
        <w:pStyle w:val="22"/>
        <w:rPr>
          <w:rFonts w:hint="eastAsia" w:ascii="仿宋" w:hAnsi="仿宋" w:eastAsia="仿宋" w:cs="仿宋"/>
          <w:highlight w:val="none"/>
          <w:lang w:val="zh-CN"/>
        </w:rPr>
      </w:pP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法定代表人或授权代表（签字）：</w:t>
      </w:r>
      <w:r>
        <w:rPr>
          <w:rFonts w:hint="eastAsia" w:ascii="仿宋" w:hAnsi="仿宋" w:eastAsia="仿宋" w:cs="仿宋"/>
          <w:sz w:val="24"/>
          <w:highlight w:val="none"/>
        </w:rPr>
        <w:t>______________________________</w:t>
      </w:r>
    </w:p>
    <w:p>
      <w:pPr>
        <w:pStyle w:val="22"/>
        <w:rPr>
          <w:rFonts w:hint="eastAsia" w:ascii="仿宋" w:hAnsi="仿宋" w:eastAsia="仿宋" w:cs="仿宋"/>
          <w:sz w:val="24"/>
          <w:highlight w:val="none"/>
        </w:rPr>
      </w:pPr>
      <w:r>
        <w:rPr>
          <w:rFonts w:hint="eastAsia" w:ascii="仿宋" w:hAnsi="仿宋" w:eastAsia="仿宋" w:cs="仿宋"/>
          <w:sz w:val="24"/>
          <w:highlight w:val="none"/>
        </w:rPr>
        <w:t xml:space="preserve">                 _____</w:t>
      </w:r>
      <w:r>
        <w:rPr>
          <w:rFonts w:hint="eastAsia" w:ascii="仿宋" w:hAnsi="仿宋" w:eastAsia="仿宋" w:cs="仿宋"/>
          <w:sz w:val="24"/>
          <w:highlight w:val="none"/>
          <w:lang w:val="zh-CN"/>
        </w:rPr>
        <w:t>年</w:t>
      </w:r>
      <w:r>
        <w:rPr>
          <w:rFonts w:hint="eastAsia" w:ascii="仿宋" w:hAnsi="仿宋" w:eastAsia="仿宋" w:cs="仿宋"/>
          <w:sz w:val="24"/>
          <w:highlight w:val="none"/>
        </w:rPr>
        <w:t>_____</w:t>
      </w:r>
      <w:r>
        <w:rPr>
          <w:rFonts w:hint="eastAsia" w:ascii="仿宋" w:hAnsi="仿宋" w:eastAsia="仿宋" w:cs="仿宋"/>
          <w:sz w:val="24"/>
          <w:highlight w:val="none"/>
          <w:lang w:val="zh-CN"/>
        </w:rPr>
        <w:t>月</w:t>
      </w:r>
      <w:r>
        <w:rPr>
          <w:rFonts w:hint="eastAsia" w:ascii="仿宋" w:hAnsi="仿宋" w:eastAsia="仿宋" w:cs="仿宋"/>
          <w:sz w:val="24"/>
          <w:highlight w:val="none"/>
        </w:rPr>
        <w:t>_____</w:t>
      </w:r>
      <w:r>
        <w:rPr>
          <w:rFonts w:hint="eastAsia" w:ascii="仿宋" w:hAnsi="仿宋" w:eastAsia="仿宋" w:cs="仿宋"/>
          <w:sz w:val="24"/>
          <w:highlight w:val="none"/>
          <w:lang w:val="zh-CN"/>
        </w:rPr>
        <w:t>日</w:t>
      </w:r>
    </w:p>
    <w:p>
      <w:pPr>
        <w:pStyle w:val="22"/>
        <w:rPr>
          <w:rFonts w:hint="eastAsia" w:ascii="仿宋" w:hAnsi="仿宋" w:eastAsia="仿宋" w:cs="仿宋"/>
          <w:highlight w:val="none"/>
        </w:rPr>
      </w:pPr>
    </w:p>
    <w:p>
      <w:pPr>
        <w:pStyle w:val="198"/>
        <w:ind w:firstLine="2640" w:firstLineChars="1100"/>
        <w:rPr>
          <w:rFonts w:hint="eastAsia" w:ascii="仿宋" w:hAnsi="仿宋" w:eastAsia="仿宋" w:cs="仿宋"/>
          <w:b/>
          <w:bCs/>
          <w:sz w:val="32"/>
          <w:szCs w:val="32"/>
          <w:highlight w:val="none"/>
        </w:rPr>
      </w:pPr>
      <w:bookmarkStart w:id="473" w:name="_Hlt520356241"/>
      <w:bookmarkEnd w:id="473"/>
      <w:r>
        <w:rPr>
          <w:rFonts w:hint="eastAsia" w:ascii="仿宋" w:hAnsi="仿宋" w:eastAsia="仿宋" w:cs="仿宋"/>
          <w:highlight w:val="none"/>
        </w:rPr>
        <w:br w:type="page"/>
      </w:r>
      <w:bookmarkStart w:id="474" w:name="_Toc249525252"/>
      <w:bookmarkStart w:id="475" w:name="_Toc230583554"/>
      <w:bookmarkStart w:id="476" w:name="_Toc256342154"/>
      <w:bookmarkStart w:id="477" w:name="_Toc230099805"/>
      <w:bookmarkStart w:id="478" w:name="_Toc232395224"/>
      <w:bookmarkStart w:id="479" w:name="_Toc249515371"/>
      <w:bookmarkStart w:id="480" w:name="_Toc230013640"/>
      <w:bookmarkStart w:id="481" w:name="_Toc8496"/>
      <w:bookmarkStart w:id="482" w:name="_Toc232176284"/>
      <w:bookmarkStart w:id="483" w:name="_Toc415499901"/>
      <w:r>
        <w:rPr>
          <w:rFonts w:hint="eastAsia" w:ascii="仿宋" w:hAnsi="仿宋" w:eastAsia="仿宋" w:cs="仿宋"/>
          <w:b/>
          <w:sz w:val="32"/>
          <w:szCs w:val="32"/>
          <w:highlight w:val="none"/>
          <w:lang w:val="zh-CN"/>
        </w:rPr>
        <w:t>第二部分  磋商响应报价表</w:t>
      </w:r>
    </w:p>
    <w:p>
      <w:pPr>
        <w:autoSpaceDE w:val="0"/>
        <w:autoSpaceDN w:val="0"/>
        <w:adjustRightInd w:val="0"/>
        <w:snapToGrid w:val="0"/>
        <w:spacing w:line="360" w:lineRule="auto"/>
        <w:jc w:val="center"/>
        <w:rPr>
          <w:rFonts w:hint="eastAsia" w:ascii="仿宋" w:hAnsi="仿宋" w:eastAsia="仿宋" w:cs="仿宋"/>
          <w:b/>
          <w:bCs/>
          <w:sz w:val="32"/>
          <w:szCs w:val="32"/>
          <w:highlight w:val="none"/>
        </w:rPr>
      </w:pPr>
    </w:p>
    <w:p>
      <w:pPr>
        <w:autoSpaceDE w:val="0"/>
        <w:autoSpaceDN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首次响应</w:t>
      </w:r>
      <w:r>
        <w:rPr>
          <w:rFonts w:hint="eastAsia" w:ascii="仿宋" w:hAnsi="仿宋" w:eastAsia="仿宋" w:cs="仿宋"/>
          <w:b/>
          <w:bCs/>
          <w:sz w:val="28"/>
          <w:szCs w:val="28"/>
          <w:highlight w:val="none"/>
          <w:lang w:val="zh-CN"/>
        </w:rPr>
        <w:t>报价表</w:t>
      </w:r>
    </w:p>
    <w:p>
      <w:pPr>
        <w:autoSpaceDE w:val="0"/>
        <w:autoSpaceDN w:val="0"/>
        <w:adjustRightInd w:val="0"/>
        <w:snapToGrid w:val="0"/>
        <w:spacing w:line="360" w:lineRule="auto"/>
        <w:jc w:val="right"/>
        <w:rPr>
          <w:rFonts w:hint="eastAsia" w:ascii="仿宋" w:hAnsi="仿宋" w:eastAsia="仿宋" w:cs="仿宋"/>
          <w:sz w:val="24"/>
          <w:highlight w:val="none"/>
          <w:lang w:val="zh-CN"/>
        </w:rPr>
      </w:pPr>
      <w:r>
        <w:rPr>
          <w:rFonts w:hint="eastAsia" w:ascii="仿宋" w:hAnsi="仿宋" w:eastAsia="仿宋" w:cs="仿宋"/>
          <w:sz w:val="32"/>
          <w:szCs w:val="32"/>
          <w:highlight w:val="none"/>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3"/>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182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w:t>
            </w:r>
          </w:p>
          <w:p>
            <w:pPr>
              <w:pStyle w:val="22"/>
              <w:jc w:val="center"/>
              <w:rPr>
                <w:rFonts w:hint="eastAsia" w:ascii="仿宋" w:hAnsi="仿宋" w:eastAsia="仿宋" w:cs="仿宋"/>
                <w:b/>
                <w:sz w:val="24"/>
                <w:highlight w:val="none"/>
              </w:rPr>
            </w:pPr>
            <w:r>
              <w:rPr>
                <w:rFonts w:hint="eastAsia" w:ascii="仿宋" w:hAnsi="仿宋" w:eastAsia="仿宋" w:cs="仿宋"/>
                <w:b/>
                <w:sz w:val="24"/>
                <w:highlight w:val="none"/>
              </w:rPr>
              <w:t>项目名称</w:t>
            </w:r>
          </w:p>
        </w:tc>
        <w:tc>
          <w:tcPr>
            <w:tcW w:w="6756" w:type="dxa"/>
            <w:vAlign w:val="center"/>
          </w:tcPr>
          <w:p>
            <w:pPr>
              <w:pStyle w:val="22"/>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pStyle w:val="22"/>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2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color w:val="auto"/>
                <w:sz w:val="24"/>
                <w:highlight w:val="none"/>
              </w:rPr>
              <w:t>响应</w:t>
            </w:r>
            <w:r>
              <w:rPr>
                <w:rFonts w:hint="eastAsia" w:ascii="仿宋" w:hAnsi="仿宋" w:eastAsia="仿宋" w:cs="仿宋"/>
                <w:b/>
                <w:color w:val="auto"/>
                <w:sz w:val="24"/>
                <w:highlight w:val="none"/>
                <w:lang w:eastAsia="zh-CN"/>
              </w:rPr>
              <w:t>合计报价</w:t>
            </w:r>
          </w:p>
        </w:tc>
        <w:tc>
          <w:tcPr>
            <w:tcW w:w="6756" w:type="dxa"/>
            <w:vAlign w:val="center"/>
          </w:tcPr>
          <w:p>
            <w:pPr>
              <w:pStyle w:val="22"/>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人民币        </w:t>
            </w:r>
            <w:r>
              <w:rPr>
                <w:rFonts w:hint="eastAsia" w:ascii="仿宋" w:hAnsi="仿宋" w:eastAsia="仿宋" w:cs="仿宋"/>
                <w:color w:val="auto"/>
                <w:sz w:val="24"/>
                <w:highlight w:val="none"/>
                <w:u w:val="single"/>
                <w:lang w:eastAsia="zh-CN"/>
              </w:rPr>
              <w:t>元</w:t>
            </w:r>
            <w:r>
              <w:rPr>
                <w:rFonts w:hint="eastAsia" w:ascii="仿宋" w:hAnsi="仿宋" w:eastAsia="仿宋" w:cs="仿宋"/>
                <w:color w:val="auto"/>
                <w:sz w:val="24"/>
                <w:highlight w:val="none"/>
              </w:rPr>
              <w:t xml:space="preserve"> </w:t>
            </w:r>
          </w:p>
          <w:p>
            <w:pPr>
              <w:pStyle w:val="22"/>
              <w:ind w:firstLine="720" w:firstLineChars="300"/>
              <w:rPr>
                <w:rFonts w:hint="eastAsia" w:ascii="仿宋" w:hAnsi="仿宋" w:eastAsia="仿宋" w:cs="仿宋"/>
                <w:i/>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2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color w:val="auto"/>
                <w:sz w:val="24"/>
                <w:highlight w:val="none"/>
              </w:rPr>
              <w:t>服务</w:t>
            </w:r>
            <w:r>
              <w:rPr>
                <w:rFonts w:hint="eastAsia" w:ascii="仿宋" w:hAnsi="仿宋" w:eastAsia="仿宋" w:cs="仿宋"/>
                <w:b/>
                <w:color w:val="auto"/>
                <w:sz w:val="24"/>
                <w:highlight w:val="none"/>
                <w:lang w:eastAsia="zh-CN"/>
              </w:rPr>
              <w:t>期限</w:t>
            </w:r>
          </w:p>
        </w:tc>
        <w:tc>
          <w:tcPr>
            <w:tcW w:w="6756" w:type="dxa"/>
            <w:vAlign w:val="center"/>
          </w:tcPr>
          <w:p>
            <w:pPr>
              <w:pStyle w:val="22"/>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23" w:type="dxa"/>
            <w:vAlign w:val="center"/>
          </w:tcPr>
          <w:p>
            <w:pPr>
              <w:pStyle w:val="22"/>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服务地点</w:t>
            </w:r>
          </w:p>
        </w:tc>
        <w:tc>
          <w:tcPr>
            <w:tcW w:w="6756" w:type="dxa"/>
            <w:vAlign w:val="center"/>
          </w:tcPr>
          <w:p>
            <w:pPr>
              <w:pStyle w:val="22"/>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2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c>
          <w:tcPr>
            <w:tcW w:w="6756" w:type="dxa"/>
            <w:vAlign w:val="center"/>
          </w:tcPr>
          <w:p>
            <w:pPr>
              <w:pStyle w:val="22"/>
              <w:rPr>
                <w:rFonts w:hint="eastAsia" w:ascii="仿宋" w:hAnsi="仿宋" w:eastAsia="仿宋" w:cs="仿宋"/>
                <w:sz w:val="24"/>
                <w:highlight w:val="none"/>
              </w:rPr>
            </w:pPr>
          </w:p>
        </w:tc>
      </w:tr>
    </w:tbl>
    <w:p>
      <w:pPr>
        <w:pStyle w:val="22"/>
        <w:rPr>
          <w:rFonts w:hint="eastAsia" w:ascii="仿宋" w:hAnsi="仿宋" w:eastAsia="仿宋" w:cs="仿宋"/>
          <w:highlight w:val="none"/>
          <w:lang w:val="zh-CN"/>
        </w:rPr>
      </w:pPr>
    </w:p>
    <w:p>
      <w:pPr>
        <w:autoSpaceDE w:val="0"/>
        <w:autoSpaceDN w:val="0"/>
        <w:adjustRightInd w:val="0"/>
        <w:snapToGrid w:val="0"/>
        <w:spacing w:line="360" w:lineRule="auto"/>
        <w:ind w:firstLine="1080" w:firstLineChars="45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法定代表人</w:t>
      </w:r>
      <w:r>
        <w:rPr>
          <w:rFonts w:hint="eastAsia" w:ascii="仿宋" w:hAnsi="仿宋" w:eastAsia="仿宋" w:cs="仿宋"/>
          <w:sz w:val="24"/>
          <w:highlight w:val="none"/>
        </w:rPr>
        <w:t>或</w:t>
      </w:r>
      <w:r>
        <w:rPr>
          <w:rFonts w:hint="eastAsia" w:ascii="仿宋" w:hAnsi="仿宋" w:eastAsia="仿宋" w:cs="仿宋"/>
          <w:sz w:val="24"/>
          <w:highlight w:val="none"/>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zh-CN"/>
        </w:rPr>
        <w:t>（公章）：                            （</w:t>
      </w:r>
      <w:r>
        <w:rPr>
          <w:rFonts w:hint="eastAsia" w:ascii="仿宋" w:hAnsi="仿宋" w:eastAsia="仿宋" w:cs="仿宋"/>
          <w:b/>
          <w:sz w:val="24"/>
          <w:highlight w:val="none"/>
          <w:lang w:val="zh-CN"/>
        </w:rPr>
        <w:t>签字</w:t>
      </w:r>
      <w:r>
        <w:rPr>
          <w:rFonts w:hint="eastAsia" w:ascii="仿宋" w:hAnsi="仿宋" w:eastAsia="仿宋" w:cs="仿宋"/>
          <w:sz w:val="24"/>
          <w:highlight w:val="none"/>
          <w:lang w:val="zh-CN"/>
        </w:rPr>
        <w:t>）：</w:t>
      </w:r>
    </w:p>
    <w:p>
      <w:pPr>
        <w:autoSpaceDE w:val="0"/>
        <w:autoSpaceDN w:val="0"/>
        <w:adjustRightInd w:val="0"/>
        <w:snapToGrid w:val="0"/>
        <w:spacing w:line="360" w:lineRule="auto"/>
        <w:rPr>
          <w:rFonts w:hint="eastAsia" w:ascii="仿宋" w:hAnsi="仿宋" w:eastAsia="仿宋" w:cs="仿宋"/>
          <w:sz w:val="24"/>
          <w:highlight w:val="none"/>
          <w:lang w:val="zh-CN"/>
        </w:rPr>
      </w:pPr>
    </w:p>
    <w:p>
      <w:pPr>
        <w:autoSpaceDE w:val="0"/>
        <w:autoSpaceDN w:val="0"/>
        <w:adjustRightInd w:val="0"/>
        <w:snapToGrid w:val="0"/>
        <w:spacing w:line="360" w:lineRule="auto"/>
        <w:ind w:firstLine="240" w:firstLineChars="100"/>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年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adjustRightInd w:val="0"/>
        <w:snapToGrid w:val="0"/>
        <w:spacing w:line="360" w:lineRule="auto"/>
        <w:jc w:val="center"/>
        <w:rPr>
          <w:rFonts w:hint="eastAsia" w:ascii="仿宋" w:hAnsi="仿宋" w:eastAsia="仿宋" w:cs="仿宋"/>
          <w:b/>
          <w:sz w:val="42"/>
          <w:highlight w:val="none"/>
        </w:rPr>
      </w:pPr>
    </w:p>
    <w:p>
      <w:pPr>
        <w:adjustRightInd w:val="0"/>
        <w:snapToGrid w:val="0"/>
        <w:spacing w:line="360" w:lineRule="auto"/>
        <w:jc w:val="center"/>
        <w:rPr>
          <w:rFonts w:hint="eastAsia" w:ascii="仿宋" w:hAnsi="仿宋" w:eastAsia="仿宋" w:cs="仿宋"/>
          <w:b/>
          <w:sz w:val="42"/>
          <w:highlight w:val="none"/>
        </w:rPr>
      </w:pPr>
    </w:p>
    <w:p>
      <w:pPr>
        <w:adjustRightInd w:val="0"/>
        <w:snapToGrid w:val="0"/>
        <w:spacing w:line="360" w:lineRule="auto"/>
        <w:jc w:val="center"/>
        <w:rPr>
          <w:rFonts w:hint="eastAsia" w:ascii="仿宋" w:hAnsi="仿宋" w:eastAsia="仿宋" w:cs="仿宋"/>
          <w:b/>
          <w:sz w:val="42"/>
          <w:highlight w:val="none"/>
        </w:rPr>
        <w:sectPr>
          <w:pgSz w:w="11906" w:h="16838"/>
          <w:pgMar w:top="1418" w:right="1418" w:bottom="1418" w:left="1418" w:header="851" w:footer="992" w:gutter="0"/>
          <w:pgNumType w:fmt="decimal"/>
          <w:cols w:space="720" w:num="1"/>
          <w:docGrid w:linePitch="312" w:charSpace="0"/>
        </w:sect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（首次）分项报价表</w:t>
      </w:r>
    </w:p>
    <w:p>
      <w:pPr>
        <w:pStyle w:val="22"/>
        <w:rPr>
          <w:rFonts w:hint="eastAsia" w:ascii="仿宋" w:hAnsi="仿宋" w:eastAsia="仿宋" w:cs="仿宋"/>
          <w:highlight w:val="none"/>
        </w:rPr>
      </w:pPr>
    </w:p>
    <w:tbl>
      <w:tblPr>
        <w:tblStyle w:val="51"/>
        <w:tblpPr w:leftFromText="180" w:rightFromText="180" w:vertAnchor="text" w:horzAnchor="page" w:tblpX="1548" w:tblpY="35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716"/>
        <w:gridCol w:w="1812"/>
        <w:gridCol w:w="1800"/>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noWrap w:val="0"/>
            <w:vAlign w:val="center"/>
          </w:tcPr>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716" w:type="dxa"/>
            <w:noWrap w:val="0"/>
            <w:vAlign w:val="center"/>
          </w:tcPr>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服务名称</w:t>
            </w:r>
          </w:p>
        </w:tc>
        <w:tc>
          <w:tcPr>
            <w:tcW w:w="1812" w:type="dxa"/>
            <w:noWrap w:val="0"/>
            <w:vAlign w:val="center"/>
          </w:tcPr>
          <w:p>
            <w:pPr>
              <w:adjustRightInd w:val="0"/>
              <w:snapToGrid w:val="0"/>
              <w:spacing w:line="360"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服务内容</w:t>
            </w:r>
          </w:p>
        </w:tc>
        <w:tc>
          <w:tcPr>
            <w:tcW w:w="1800" w:type="dxa"/>
            <w:noWrap w:val="0"/>
            <w:vAlign w:val="center"/>
          </w:tcPr>
          <w:p>
            <w:pPr>
              <w:adjustRightInd w:val="0"/>
              <w:snapToGrid w:val="0"/>
              <w:spacing w:line="360" w:lineRule="auto"/>
              <w:jc w:val="center"/>
              <w:rPr>
                <w:rFonts w:hint="eastAsia" w:ascii="仿宋" w:hAnsi="仿宋" w:eastAsia="仿宋" w:cs="仿宋"/>
                <w:b/>
                <w:sz w:val="24"/>
                <w:szCs w:val="24"/>
                <w:highlight w:val="none"/>
                <w:lang w:val="en-US" w:eastAsia="zh-CN"/>
              </w:rPr>
            </w:pPr>
          </w:p>
          <w:p>
            <w:pPr>
              <w:adjustRightInd w:val="0"/>
              <w:snapToGrid w:val="0"/>
              <w:spacing w:line="36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价格 （元）</w:t>
            </w:r>
          </w:p>
          <w:p>
            <w:pPr>
              <w:pStyle w:val="22"/>
              <w:rPr>
                <w:rFonts w:hint="eastAsia" w:ascii="仿宋" w:hAnsi="仿宋" w:eastAsia="仿宋" w:cs="仿宋"/>
                <w:highlight w:val="none"/>
                <w:lang w:val="en-US" w:eastAsia="zh-CN"/>
              </w:rPr>
            </w:pPr>
          </w:p>
        </w:tc>
        <w:tc>
          <w:tcPr>
            <w:tcW w:w="2004" w:type="dxa"/>
            <w:noWrap w:val="0"/>
            <w:vAlign w:val="center"/>
          </w:tcPr>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716" w:type="dxa"/>
            <w:noWrap w:val="0"/>
            <w:vAlign w:val="center"/>
          </w:tcPr>
          <w:p>
            <w:pPr>
              <w:widowControl/>
              <w:spacing w:line="360" w:lineRule="auto"/>
              <w:jc w:val="both"/>
              <w:rPr>
                <w:rFonts w:hint="eastAsia" w:ascii="仿宋" w:hAnsi="仿宋" w:eastAsia="仿宋" w:cs="仿宋"/>
                <w:sz w:val="24"/>
                <w:szCs w:val="24"/>
                <w:highlight w:val="none"/>
                <w:lang w:val="en-US" w:eastAsia="zh-CN"/>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716" w:type="dxa"/>
            <w:noWrap w:val="0"/>
            <w:vAlign w:val="center"/>
          </w:tcPr>
          <w:p>
            <w:pPr>
              <w:widowControl/>
              <w:spacing w:line="360" w:lineRule="auto"/>
              <w:jc w:val="both"/>
              <w:rPr>
                <w:rFonts w:hint="eastAsia" w:ascii="仿宋" w:hAnsi="仿宋" w:eastAsia="仿宋" w:cs="仿宋"/>
                <w:sz w:val="24"/>
                <w:szCs w:val="24"/>
                <w:highlight w:val="none"/>
                <w:lang w:val="en-US" w:eastAsia="zh-CN"/>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716" w:type="dxa"/>
            <w:noWrap w:val="0"/>
            <w:vAlign w:val="center"/>
          </w:tcPr>
          <w:p>
            <w:pPr>
              <w:widowControl/>
              <w:spacing w:line="360" w:lineRule="auto"/>
              <w:jc w:val="center"/>
              <w:rPr>
                <w:rFonts w:hint="eastAsia" w:ascii="仿宋" w:hAnsi="仿宋" w:eastAsia="仿宋" w:cs="仿宋"/>
                <w:sz w:val="24"/>
                <w:szCs w:val="24"/>
                <w:highlight w:val="none"/>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716" w:type="dxa"/>
            <w:noWrap w:val="0"/>
            <w:vAlign w:val="center"/>
          </w:tcPr>
          <w:p>
            <w:pPr>
              <w:widowControl/>
              <w:spacing w:line="360" w:lineRule="auto"/>
              <w:jc w:val="center"/>
              <w:rPr>
                <w:rFonts w:hint="eastAsia" w:ascii="仿宋" w:hAnsi="仿宋" w:eastAsia="仿宋" w:cs="仿宋"/>
                <w:sz w:val="24"/>
                <w:szCs w:val="24"/>
                <w:highlight w:val="none"/>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716" w:type="dxa"/>
            <w:noWrap w:val="0"/>
            <w:vAlign w:val="center"/>
          </w:tcPr>
          <w:p>
            <w:pPr>
              <w:widowControl/>
              <w:spacing w:line="360" w:lineRule="auto"/>
              <w:jc w:val="center"/>
              <w:rPr>
                <w:rFonts w:hint="eastAsia" w:ascii="仿宋" w:hAnsi="仿宋" w:eastAsia="仿宋" w:cs="仿宋"/>
                <w:sz w:val="24"/>
                <w:szCs w:val="24"/>
                <w:highlight w:val="none"/>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64" w:type="dxa"/>
            <w:gridSpan w:val="4"/>
            <w:noWrap w:val="0"/>
            <w:vAlign w:val="center"/>
          </w:tcPr>
          <w:p>
            <w:pPr>
              <w:widowControl/>
              <w:spacing w:line="360" w:lineRule="auto"/>
              <w:ind w:firstLine="1440" w:firstLineChars="6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合计</w:t>
            </w: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p>
        </w:tc>
      </w:tr>
    </w:tbl>
    <w:p>
      <w:pPr>
        <w:adjustRightInd w:val="0"/>
        <w:snapToGrid w:val="0"/>
        <w:spacing w:before="175" w:beforeLines="50" w:line="360" w:lineRule="auto"/>
        <w:ind w:left="-88" w:leftChars="-42"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adjustRightInd w:val="0"/>
        <w:snapToGrid w:val="0"/>
        <w:spacing w:line="360" w:lineRule="auto"/>
        <w:ind w:left="-88" w:leftChars="-42"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1、供应商必须按本</w:t>
      </w:r>
      <w:r>
        <w:rPr>
          <w:rFonts w:hint="eastAsia" w:ascii="仿宋" w:hAnsi="仿宋" w:eastAsia="仿宋" w:cs="仿宋"/>
          <w:bCs/>
          <w:sz w:val="24"/>
          <w:szCs w:val="24"/>
          <w:highlight w:val="none"/>
        </w:rPr>
        <w:t>表的格式</w:t>
      </w:r>
      <w:r>
        <w:rPr>
          <w:rFonts w:hint="eastAsia" w:ascii="仿宋" w:hAnsi="仿宋" w:eastAsia="仿宋" w:cs="仿宋"/>
          <w:sz w:val="24"/>
          <w:szCs w:val="24"/>
          <w:highlight w:val="none"/>
        </w:rPr>
        <w:t>详细报出总报价的各个组成部分的报价，否则作无效响应文件处理；报价精确到小数点后两位；</w:t>
      </w:r>
    </w:p>
    <w:p>
      <w:pPr>
        <w:adjustRightInd w:val="0"/>
        <w:snapToGrid w:val="0"/>
        <w:spacing w:line="360" w:lineRule="auto"/>
        <w:ind w:left="-88" w:leftChars="-42"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2、本</w:t>
      </w:r>
      <w:r>
        <w:rPr>
          <w:rFonts w:hint="eastAsia" w:ascii="仿宋" w:hAnsi="仿宋" w:eastAsia="仿宋" w:cs="仿宋"/>
          <w:bCs/>
          <w:sz w:val="24"/>
          <w:szCs w:val="24"/>
          <w:highlight w:val="none"/>
        </w:rPr>
        <w:t>表各分项报价合计应当与“磋商响应函”</w:t>
      </w:r>
      <w:r>
        <w:rPr>
          <w:rFonts w:hint="eastAsia" w:ascii="仿宋" w:hAnsi="仿宋" w:eastAsia="仿宋" w:cs="仿宋"/>
          <w:bCs/>
          <w:sz w:val="24"/>
          <w:szCs w:val="24"/>
          <w:highlight w:val="none"/>
          <w:lang w:eastAsia="zh-CN"/>
        </w:rPr>
        <w:t>及“首次响应报价表”</w:t>
      </w:r>
      <w:r>
        <w:rPr>
          <w:rFonts w:hint="eastAsia" w:ascii="仿宋" w:hAnsi="仿宋" w:eastAsia="仿宋" w:cs="仿宋"/>
          <w:bCs/>
          <w:sz w:val="24"/>
          <w:szCs w:val="24"/>
          <w:highlight w:val="none"/>
        </w:rPr>
        <w:t>报价相等；</w:t>
      </w:r>
      <w:r>
        <w:rPr>
          <w:rFonts w:hint="eastAsia" w:ascii="仿宋" w:hAnsi="仿宋" w:eastAsia="仿宋" w:cs="仿宋"/>
          <w:sz w:val="24"/>
          <w:szCs w:val="24"/>
          <w:highlight w:val="none"/>
        </w:rPr>
        <w:t>如果按单价计算的结果与报价不一致时，以单价为准修正报价与合计报价；</w:t>
      </w:r>
    </w:p>
    <w:p>
      <w:pPr>
        <w:adjustRightInd w:val="0"/>
        <w:snapToGrid w:val="0"/>
        <w:spacing w:line="36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bookmarkStart w:id="484" w:name="_Toc29396_WPSOffice_Level2"/>
      <w:bookmarkStart w:id="485" w:name="_Toc1898_WPSOffice_Level2"/>
      <w:bookmarkStart w:id="486" w:name="_Toc1556_WPSOffice_Level2"/>
      <w:r>
        <w:rPr>
          <w:rFonts w:hint="eastAsia" w:ascii="仿宋" w:hAnsi="仿宋" w:eastAsia="仿宋" w:cs="仿宋"/>
          <w:sz w:val="24"/>
          <w:szCs w:val="24"/>
          <w:highlight w:val="none"/>
        </w:rPr>
        <w:t>供 应 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bookmarkEnd w:id="484"/>
      <w:bookmarkEnd w:id="485"/>
      <w:bookmarkEnd w:id="486"/>
    </w:p>
    <w:p>
      <w:pPr>
        <w:adjustRightInd w:val="0"/>
        <w:snapToGrid w:val="0"/>
        <w:spacing w:line="36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bookmarkStart w:id="487" w:name="_Toc28742_WPSOffice_Level2"/>
      <w:bookmarkStart w:id="488" w:name="_Toc7507_WPSOffice_Level2"/>
      <w:bookmarkStart w:id="489" w:name="_Toc23101_WPSOffice_Level2"/>
      <w:r>
        <w:rPr>
          <w:rFonts w:hint="eastAsia" w:ascii="仿宋" w:hAnsi="仿宋" w:eastAsia="仿宋" w:cs="仿宋"/>
          <w:sz w:val="24"/>
          <w:szCs w:val="24"/>
          <w:highlight w:val="none"/>
        </w:rPr>
        <w:t>法定代表人或授权代表: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w:t>
      </w:r>
      <w:bookmarkEnd w:id="487"/>
      <w:bookmarkEnd w:id="488"/>
      <w:bookmarkEnd w:id="489"/>
    </w:p>
    <w:p>
      <w:pPr>
        <w:pStyle w:val="22"/>
        <w:rPr>
          <w:rFonts w:hint="eastAsia" w:ascii="仿宋" w:hAnsi="仿宋" w:eastAsia="仿宋" w:cs="仿宋"/>
          <w:highlight w:val="none"/>
        </w:rPr>
      </w:pPr>
      <w:r>
        <w:rPr>
          <w:rFonts w:hint="eastAsia" w:ascii="仿宋" w:hAnsi="仿宋" w:eastAsia="仿宋" w:cs="仿宋"/>
          <w:sz w:val="24"/>
          <w:szCs w:val="24"/>
          <w:highlight w:val="none"/>
          <w:lang w:val="en-US" w:eastAsia="zh-CN"/>
        </w:rPr>
        <w:t xml:space="preserve">                                  </w:t>
      </w:r>
      <w:bookmarkStart w:id="490" w:name="_Toc20998_WPSOffice_Level2"/>
      <w:bookmarkStart w:id="491" w:name="_Toc5341_WPSOffice_Level2"/>
      <w:bookmarkStart w:id="492" w:name="_Toc435_WPSOffice_Level2"/>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日</w:t>
      </w:r>
      <w:bookmarkEnd w:id="490"/>
      <w:bookmarkEnd w:id="491"/>
      <w:bookmarkEnd w:id="492"/>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spacing w:line="288" w:lineRule="auto"/>
        <w:ind w:left="424" w:leftChars="202"/>
        <w:rPr>
          <w:rFonts w:hint="eastAsia" w:ascii="仿宋" w:hAnsi="仿宋" w:eastAsia="仿宋" w:cs="仿宋"/>
          <w:bCs/>
          <w:sz w:val="24"/>
          <w:highlight w:val="none"/>
        </w:rPr>
      </w:pP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74"/>
    <w:bookmarkEnd w:id="475"/>
    <w:bookmarkEnd w:id="476"/>
    <w:bookmarkEnd w:id="477"/>
    <w:bookmarkEnd w:id="478"/>
    <w:bookmarkEnd w:id="479"/>
    <w:bookmarkEnd w:id="480"/>
    <w:bookmarkEnd w:id="481"/>
    <w:bookmarkEnd w:id="482"/>
    <w:bookmarkEnd w:id="483"/>
    <w:p>
      <w:pPr>
        <w:pStyle w:val="198"/>
        <w:ind w:firstLine="3052" w:firstLineChars="950"/>
        <w:rPr>
          <w:rFonts w:hint="eastAsia" w:ascii="仿宋" w:hAnsi="仿宋" w:eastAsia="仿宋" w:cs="仿宋"/>
          <w:b/>
          <w:sz w:val="32"/>
          <w:szCs w:val="32"/>
          <w:highlight w:val="none"/>
        </w:rPr>
      </w:pPr>
      <w:bookmarkStart w:id="493" w:name="_Toc70687203"/>
      <w:bookmarkStart w:id="494" w:name="_Toc256342155"/>
      <w:bookmarkStart w:id="495" w:name="_Toc500747234"/>
      <w:bookmarkStart w:id="496" w:name="_Toc249525253"/>
      <w:bookmarkStart w:id="497" w:name="_Toc496324624"/>
      <w:bookmarkStart w:id="498" w:name="_Toc503063459"/>
      <w:bookmarkStart w:id="499" w:name="_Toc83547687"/>
      <w:bookmarkStart w:id="500" w:name="_Toc225933091"/>
      <w:bookmarkStart w:id="501" w:name="_Toc385992402"/>
      <w:bookmarkStart w:id="502" w:name="_Toc177995484"/>
      <w:bookmarkStart w:id="503" w:name="_Toc389620242"/>
      <w:bookmarkStart w:id="504" w:name="_Toc230013641"/>
      <w:bookmarkStart w:id="505" w:name="_Toc177189246"/>
      <w:bookmarkStart w:id="506" w:name="_Toc176882553"/>
      <w:bookmarkStart w:id="507" w:name="_Toc53722866"/>
      <w:bookmarkStart w:id="508" w:name="_Toc499711929"/>
      <w:bookmarkStart w:id="509" w:name="_Toc230099806"/>
      <w:bookmarkStart w:id="510" w:name="_Toc230583555"/>
      <w:bookmarkStart w:id="511" w:name="_Toc492955460"/>
      <w:bookmarkStart w:id="512" w:name="_Toc184043059"/>
      <w:bookmarkStart w:id="513" w:name="_Toc500747107"/>
      <w:bookmarkStart w:id="514" w:name="_Toc232395225"/>
      <w:bookmarkStart w:id="515" w:name="_Toc499711088"/>
      <w:bookmarkStart w:id="516" w:name="_Toc232176285"/>
      <w:bookmarkStart w:id="517" w:name="_Toc249515372"/>
      <w:bookmarkStart w:id="518" w:name="_Toc500747011"/>
      <w:bookmarkStart w:id="519" w:name="_Toc415499902"/>
      <w:bookmarkStart w:id="520" w:name="_Toc177817345"/>
      <w:r>
        <w:rPr>
          <w:rFonts w:hint="eastAsia" w:ascii="仿宋" w:hAnsi="仿宋" w:eastAsia="仿宋" w:cs="仿宋"/>
          <w:b/>
          <w:sz w:val="32"/>
          <w:szCs w:val="32"/>
          <w:highlight w:val="none"/>
        </w:rPr>
        <w:t>第三部分  偏离表</w:t>
      </w:r>
    </w:p>
    <w:p>
      <w:pPr>
        <w:rPr>
          <w:rFonts w:hint="eastAsia" w:ascii="仿宋" w:hAnsi="仿宋" w:eastAsia="仿宋" w:cs="仿宋"/>
          <w:highlight w:val="none"/>
        </w:rPr>
      </w:pPr>
    </w:p>
    <w:p>
      <w:pPr>
        <w:autoSpaceDE w:val="0"/>
        <w:autoSpaceDN w:val="0"/>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一、商务、合同条款偏离表</w:t>
      </w:r>
    </w:p>
    <w:p>
      <w:pPr>
        <w:pStyle w:val="29"/>
        <w:ind w:left="645" w:leftChars="307" w:right="560"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835" w:type="dxa"/>
          </w:tcPr>
          <w:p>
            <w:pPr>
              <w:pStyle w:val="2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磋商文件商务、合同条款</w:t>
            </w:r>
          </w:p>
        </w:tc>
        <w:tc>
          <w:tcPr>
            <w:tcW w:w="1701" w:type="dxa"/>
          </w:tcPr>
          <w:p>
            <w:pPr>
              <w:pStyle w:val="2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完全响应</w:t>
            </w:r>
          </w:p>
        </w:tc>
        <w:tc>
          <w:tcPr>
            <w:tcW w:w="1417" w:type="dxa"/>
          </w:tcPr>
          <w:p>
            <w:pPr>
              <w:pStyle w:val="2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有偏离</w:t>
            </w:r>
          </w:p>
        </w:tc>
        <w:tc>
          <w:tcPr>
            <w:tcW w:w="2195" w:type="dxa"/>
          </w:tcPr>
          <w:p>
            <w:pPr>
              <w:pStyle w:val="2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hint="eastAsia" w:ascii="仿宋" w:hAnsi="仿宋" w:eastAsia="仿宋" w:cs="仿宋"/>
                <w:sz w:val="24"/>
                <w:szCs w:val="24"/>
                <w:highlight w:val="none"/>
              </w:rPr>
            </w:pPr>
          </w:p>
        </w:tc>
        <w:tc>
          <w:tcPr>
            <w:tcW w:w="2835" w:type="dxa"/>
          </w:tcPr>
          <w:p>
            <w:pPr>
              <w:pStyle w:val="2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(交货/服务地点)</w:t>
            </w:r>
          </w:p>
        </w:tc>
        <w:tc>
          <w:tcPr>
            <w:tcW w:w="1701" w:type="dxa"/>
          </w:tcPr>
          <w:p>
            <w:pPr>
              <w:pStyle w:val="29"/>
              <w:jc w:val="center"/>
              <w:rPr>
                <w:rFonts w:hint="eastAsia" w:ascii="仿宋" w:hAnsi="仿宋" w:eastAsia="仿宋" w:cs="仿宋"/>
                <w:sz w:val="24"/>
                <w:szCs w:val="24"/>
                <w:highlight w:val="none"/>
              </w:rPr>
            </w:pPr>
          </w:p>
        </w:tc>
        <w:tc>
          <w:tcPr>
            <w:tcW w:w="1417" w:type="dxa"/>
          </w:tcPr>
          <w:p>
            <w:pPr>
              <w:pStyle w:val="29"/>
              <w:jc w:val="center"/>
              <w:rPr>
                <w:rFonts w:hint="eastAsia" w:ascii="仿宋" w:hAnsi="仿宋" w:eastAsia="仿宋" w:cs="仿宋"/>
                <w:sz w:val="24"/>
                <w:szCs w:val="24"/>
                <w:highlight w:val="none"/>
              </w:rPr>
            </w:pPr>
          </w:p>
        </w:tc>
        <w:tc>
          <w:tcPr>
            <w:tcW w:w="2195" w:type="dxa"/>
          </w:tcPr>
          <w:p>
            <w:pPr>
              <w:pStyle w:val="29"/>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vAlign w:val="center"/>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sz w:val="24"/>
                <w:highlight w:val="none"/>
              </w:rPr>
              <w:t>交货/服务</w:t>
            </w:r>
            <w:r>
              <w:rPr>
                <w:rFonts w:hint="eastAsia" w:ascii="仿宋" w:hAnsi="仿宋" w:eastAsia="仿宋" w:cs="仿宋"/>
                <w:bCs/>
                <w:sz w:val="24"/>
                <w:highlight w:val="none"/>
              </w:rPr>
              <w:t>期)</w:t>
            </w:r>
          </w:p>
        </w:tc>
        <w:tc>
          <w:tcPr>
            <w:tcW w:w="1701" w:type="dxa"/>
          </w:tcPr>
          <w:p>
            <w:pPr>
              <w:pStyle w:val="29"/>
              <w:ind w:left="1080" w:leftChars="257" w:hanging="540"/>
              <w:jc w:val="center"/>
              <w:rPr>
                <w:rFonts w:hint="eastAsia" w:ascii="仿宋" w:hAnsi="仿宋" w:eastAsia="仿宋" w:cs="仿宋"/>
                <w:sz w:val="24"/>
                <w:szCs w:val="24"/>
                <w:highlight w:val="none"/>
              </w:rPr>
            </w:pPr>
          </w:p>
        </w:tc>
        <w:tc>
          <w:tcPr>
            <w:tcW w:w="1417" w:type="dxa"/>
          </w:tcPr>
          <w:p>
            <w:pPr>
              <w:pStyle w:val="29"/>
              <w:ind w:left="1080" w:leftChars="257" w:hanging="540"/>
              <w:jc w:val="center"/>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vAlign w:val="center"/>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(付款方式)</w:t>
            </w: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vAlign w:val="center"/>
          </w:tcPr>
          <w:p>
            <w:pPr>
              <w:spacing w:line="360" w:lineRule="auto"/>
              <w:jc w:val="center"/>
              <w:rPr>
                <w:rFonts w:hint="eastAsia" w:ascii="仿宋" w:hAnsi="仿宋" w:eastAsia="仿宋" w:cs="仿宋"/>
                <w:bCs/>
                <w:sz w:val="24"/>
                <w:highlight w:val="none"/>
              </w:rPr>
            </w:pPr>
            <w:r>
              <w:rPr>
                <w:rFonts w:hint="eastAsia" w:ascii="仿宋" w:hAnsi="仿宋" w:eastAsia="仿宋" w:cs="仿宋"/>
                <w:sz w:val="24"/>
                <w:highlight w:val="none"/>
              </w:rPr>
              <w:t>…</w:t>
            </w: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vAlign w:val="center"/>
          </w:tcPr>
          <w:p>
            <w:pPr>
              <w:spacing w:line="360" w:lineRule="auto"/>
              <w:jc w:val="center"/>
              <w:rPr>
                <w:rFonts w:hint="eastAsia" w:ascii="仿宋" w:hAnsi="仿宋" w:eastAsia="仿宋" w:cs="仿宋"/>
                <w:bCs/>
                <w:sz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vAlign w:val="center"/>
          </w:tcPr>
          <w:p>
            <w:pPr>
              <w:spacing w:line="360" w:lineRule="auto"/>
              <w:jc w:val="center"/>
              <w:rPr>
                <w:rFonts w:hint="eastAsia" w:ascii="仿宋" w:hAnsi="仿宋" w:eastAsia="仿宋" w:cs="仿宋"/>
                <w:bCs/>
                <w:sz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vAlign w:val="center"/>
          </w:tcPr>
          <w:p>
            <w:pPr>
              <w:spacing w:line="360" w:lineRule="auto"/>
              <w:jc w:val="center"/>
              <w:rPr>
                <w:rFonts w:hint="eastAsia" w:ascii="仿宋" w:hAnsi="仿宋" w:eastAsia="仿宋" w:cs="仿宋"/>
                <w:bCs/>
                <w:sz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tcPr>
          <w:p>
            <w:pPr>
              <w:pStyle w:val="29"/>
              <w:ind w:left="1080" w:leftChars="257" w:hanging="540"/>
              <w:rPr>
                <w:rFonts w:hint="eastAsia" w:ascii="仿宋" w:hAnsi="仿宋" w:eastAsia="仿宋" w:cs="仿宋"/>
                <w:sz w:val="24"/>
                <w:szCs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tcPr>
          <w:p>
            <w:pPr>
              <w:pStyle w:val="29"/>
              <w:ind w:left="1080" w:leftChars="257" w:hanging="540"/>
              <w:rPr>
                <w:rFonts w:hint="eastAsia" w:ascii="仿宋" w:hAnsi="仿宋" w:eastAsia="仿宋" w:cs="仿宋"/>
                <w:sz w:val="24"/>
                <w:szCs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tcPr>
          <w:p>
            <w:pPr>
              <w:pStyle w:val="29"/>
              <w:ind w:left="1080" w:leftChars="257" w:hanging="540"/>
              <w:rPr>
                <w:rFonts w:hint="eastAsia" w:ascii="仿宋" w:hAnsi="仿宋" w:eastAsia="仿宋" w:cs="仿宋"/>
                <w:sz w:val="24"/>
                <w:szCs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highlight w:val="none"/>
              </w:rPr>
            </w:pPr>
          </w:p>
        </w:tc>
        <w:tc>
          <w:tcPr>
            <w:tcW w:w="2835" w:type="dxa"/>
          </w:tcPr>
          <w:p>
            <w:pPr>
              <w:pStyle w:val="29"/>
              <w:ind w:left="1080" w:leftChars="257" w:hanging="540"/>
              <w:rPr>
                <w:rFonts w:hint="eastAsia" w:ascii="仿宋" w:hAnsi="仿宋" w:eastAsia="仿宋" w:cs="仿宋"/>
                <w:sz w:val="24"/>
                <w:szCs w:val="24"/>
                <w:highlight w:val="none"/>
              </w:rPr>
            </w:pPr>
          </w:p>
        </w:tc>
        <w:tc>
          <w:tcPr>
            <w:tcW w:w="1701" w:type="dxa"/>
          </w:tcPr>
          <w:p>
            <w:pPr>
              <w:pStyle w:val="29"/>
              <w:ind w:left="1080" w:leftChars="257" w:hanging="540"/>
              <w:rPr>
                <w:rFonts w:hint="eastAsia" w:ascii="仿宋" w:hAnsi="仿宋" w:eastAsia="仿宋" w:cs="仿宋"/>
                <w:sz w:val="24"/>
                <w:szCs w:val="24"/>
                <w:highlight w:val="none"/>
              </w:rPr>
            </w:pPr>
          </w:p>
        </w:tc>
        <w:tc>
          <w:tcPr>
            <w:tcW w:w="1417" w:type="dxa"/>
          </w:tcPr>
          <w:p>
            <w:pPr>
              <w:pStyle w:val="29"/>
              <w:ind w:left="1080" w:leftChars="257" w:hanging="540"/>
              <w:rPr>
                <w:rFonts w:hint="eastAsia" w:ascii="仿宋" w:hAnsi="仿宋" w:eastAsia="仿宋" w:cs="仿宋"/>
                <w:sz w:val="24"/>
                <w:szCs w:val="24"/>
                <w:highlight w:val="none"/>
              </w:rPr>
            </w:pPr>
          </w:p>
        </w:tc>
        <w:tc>
          <w:tcPr>
            <w:tcW w:w="2195" w:type="dxa"/>
          </w:tcPr>
          <w:p>
            <w:pPr>
              <w:pStyle w:val="29"/>
              <w:ind w:left="1080" w:leftChars="257" w:hanging="540"/>
              <w:rPr>
                <w:rFonts w:hint="eastAsia" w:ascii="仿宋" w:hAnsi="仿宋" w:eastAsia="仿宋" w:cs="仿宋"/>
                <w:sz w:val="24"/>
                <w:szCs w:val="24"/>
                <w:highlight w:val="none"/>
              </w:rPr>
            </w:pPr>
          </w:p>
        </w:tc>
      </w:tr>
    </w:tbl>
    <w:p>
      <w:pPr>
        <w:pStyle w:val="29"/>
        <w:ind w:left="1080" w:leftChars="257" w:hanging="540"/>
        <w:rPr>
          <w:rFonts w:hint="eastAsia" w:ascii="仿宋" w:hAnsi="仿宋" w:eastAsia="仿宋" w:cs="仿宋"/>
          <w:sz w:val="24"/>
          <w:szCs w:val="24"/>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pPr>
        <w:spacing w:before="120" w:after="120" w:line="360"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napToGrid w:val="0"/>
        <w:spacing w:after="120" w:afterLines="50"/>
        <w:ind w:left="910" w:leftChars="203" w:hanging="484" w:hangingChars="202"/>
        <w:rPr>
          <w:rFonts w:hint="eastAsia" w:ascii="仿宋" w:hAnsi="仿宋" w:eastAsia="仿宋" w:cs="仿宋"/>
          <w:highlight w:val="none"/>
        </w:rPr>
      </w:pPr>
      <w:r>
        <w:rPr>
          <w:rFonts w:hint="eastAsia" w:ascii="仿宋" w:hAnsi="仿宋" w:eastAsia="仿宋" w:cs="仿宋"/>
          <w:sz w:val="24"/>
          <w:highlight w:val="none"/>
        </w:rPr>
        <w:t>注：</w:t>
      </w:r>
      <w:r>
        <w:rPr>
          <w:rFonts w:hint="eastAsia" w:ascii="仿宋" w:hAnsi="仿宋" w:eastAsia="仿宋" w:cs="仿宋"/>
          <w:highlight w:val="none"/>
        </w:rPr>
        <w:tab/>
      </w:r>
      <w:r>
        <w:rPr>
          <w:rFonts w:hint="eastAsia" w:ascii="仿宋" w:hAnsi="仿宋" w:eastAsia="仿宋" w:cs="仿宋"/>
          <w:highlight w:val="none"/>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rPr>
        <w:tab/>
      </w:r>
      <w:r>
        <w:rPr>
          <w:rFonts w:hint="eastAsia" w:ascii="仿宋" w:hAnsi="仿宋" w:eastAsia="仿宋" w:cs="仿宋"/>
          <w:highlight w:val="none"/>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rPr>
        <w:tab/>
      </w:r>
      <w:r>
        <w:rPr>
          <w:rFonts w:hint="eastAsia" w:ascii="仿宋" w:hAnsi="仿宋" w:eastAsia="仿宋" w:cs="仿宋"/>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hint="eastAsia" w:ascii="仿宋" w:hAnsi="仿宋" w:eastAsia="仿宋" w:cs="仿宋"/>
          <w:sz w:val="24"/>
          <w:szCs w:val="24"/>
          <w:highlight w:val="none"/>
        </w:rPr>
      </w:pPr>
    </w:p>
    <w:p>
      <w:pPr>
        <w:rPr>
          <w:rFonts w:hint="eastAsia" w:ascii="仿宋" w:hAnsi="仿宋" w:eastAsia="仿宋" w:cs="仿宋"/>
          <w:b/>
          <w:sz w:val="28"/>
          <w:szCs w:val="28"/>
          <w:highlight w:val="none"/>
        </w:rPr>
      </w:pPr>
      <w:bookmarkStart w:id="521" w:name="_Toc7005136"/>
      <w:bookmarkStart w:id="522" w:name="_Toc414445775"/>
      <w:bookmarkStart w:id="523" w:name="_Toc410631184"/>
      <w:bookmarkStart w:id="524" w:name="_Toc416103825"/>
      <w:r>
        <w:rPr>
          <w:rFonts w:hint="eastAsia" w:ascii="仿宋" w:hAnsi="仿宋" w:eastAsia="仿宋" w:cs="仿宋"/>
          <w:b/>
          <w:sz w:val="28"/>
          <w:szCs w:val="28"/>
          <w:highlight w:val="none"/>
        </w:rPr>
        <w:br w:type="page"/>
      </w: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二、技术偏离表</w:t>
      </w:r>
      <w:bookmarkEnd w:id="521"/>
      <w:bookmarkEnd w:id="522"/>
      <w:bookmarkEnd w:id="523"/>
      <w:bookmarkEnd w:id="524"/>
    </w:p>
    <w:p>
      <w:pPr>
        <w:spacing w:after="240"/>
        <w:ind w:hanging="119"/>
        <w:rPr>
          <w:rFonts w:hint="eastAsia" w:ascii="仿宋" w:hAnsi="仿宋" w:eastAsia="仿宋" w:cs="仿宋"/>
          <w:highlight w:val="none"/>
        </w:rPr>
      </w:pPr>
    </w:p>
    <w:p>
      <w:pPr>
        <w:spacing w:after="240"/>
        <w:ind w:left="105" w:leftChars="50" w:firstLine="360" w:firstLineChars="150"/>
        <w:rPr>
          <w:rFonts w:hint="eastAsia" w:ascii="仿宋" w:hAnsi="仿宋" w:eastAsia="仿宋" w:cs="仿宋"/>
          <w:sz w:val="24"/>
          <w:highlight w:val="none"/>
        </w:rPr>
      </w:pPr>
      <w:r>
        <w:rPr>
          <w:rFonts w:hint="eastAsia" w:ascii="仿宋" w:hAnsi="仿宋" w:eastAsia="仿宋" w:cs="仿宋"/>
          <w:sz w:val="24"/>
          <w:highlight w:val="none"/>
        </w:rPr>
        <w:t>项目编号:</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磋商文件条目号</w:t>
            </w:r>
          </w:p>
        </w:tc>
        <w:tc>
          <w:tcPr>
            <w:tcW w:w="1932" w:type="dxa"/>
          </w:tcPr>
          <w:p>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技术条款要求</w:t>
            </w:r>
          </w:p>
        </w:tc>
        <w:tc>
          <w:tcPr>
            <w:tcW w:w="1236" w:type="dxa"/>
          </w:tcPr>
          <w:p>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完全响应</w:t>
            </w:r>
          </w:p>
        </w:tc>
        <w:tc>
          <w:tcPr>
            <w:tcW w:w="1236" w:type="dxa"/>
          </w:tcPr>
          <w:p>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有偏离</w:t>
            </w:r>
          </w:p>
        </w:tc>
        <w:tc>
          <w:tcPr>
            <w:tcW w:w="2394" w:type="dxa"/>
          </w:tcPr>
          <w:p>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bCs/>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highlight w:val="none"/>
              </w:rPr>
            </w:pPr>
          </w:p>
        </w:tc>
        <w:tc>
          <w:tcPr>
            <w:tcW w:w="1932" w:type="dxa"/>
          </w:tcPr>
          <w:p>
            <w:pPr>
              <w:spacing w:line="400" w:lineRule="exact"/>
              <w:rPr>
                <w:rFonts w:hint="eastAsia" w:ascii="仿宋" w:hAnsi="仿宋" w:eastAsia="仿宋" w:cs="仿宋"/>
                <w:bCs/>
                <w:sz w:val="24"/>
                <w:highlight w:val="none"/>
              </w:rPr>
            </w:pPr>
          </w:p>
        </w:tc>
        <w:tc>
          <w:tcPr>
            <w:tcW w:w="1236" w:type="dxa"/>
          </w:tcPr>
          <w:p>
            <w:pPr>
              <w:spacing w:line="400" w:lineRule="exact"/>
              <w:rPr>
                <w:rFonts w:hint="eastAsia" w:ascii="仿宋" w:hAnsi="仿宋" w:eastAsia="仿宋" w:cs="仿宋"/>
                <w:sz w:val="24"/>
                <w:highlight w:val="none"/>
              </w:rPr>
            </w:pPr>
          </w:p>
        </w:tc>
        <w:tc>
          <w:tcPr>
            <w:tcW w:w="1236" w:type="dxa"/>
          </w:tcPr>
          <w:p>
            <w:pPr>
              <w:spacing w:line="400" w:lineRule="exact"/>
              <w:rPr>
                <w:rFonts w:hint="eastAsia" w:ascii="仿宋" w:hAnsi="仿宋" w:eastAsia="仿宋" w:cs="仿宋"/>
                <w:sz w:val="24"/>
                <w:highlight w:val="none"/>
              </w:rPr>
            </w:pPr>
          </w:p>
        </w:tc>
        <w:tc>
          <w:tcPr>
            <w:tcW w:w="2394" w:type="dxa"/>
          </w:tcPr>
          <w:p>
            <w:pPr>
              <w:spacing w:line="400" w:lineRule="exact"/>
              <w:rPr>
                <w:rFonts w:hint="eastAsia" w:ascii="仿宋" w:hAnsi="仿宋" w:eastAsia="仿宋" w:cs="仿宋"/>
                <w:sz w:val="24"/>
                <w:highlight w:val="none"/>
              </w:rPr>
            </w:pPr>
          </w:p>
        </w:tc>
      </w:tr>
    </w:tbl>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rPr>
          <w:rFonts w:hint="eastAsia" w:ascii="仿宋" w:hAnsi="仿宋" w:eastAsia="仿宋" w:cs="仿宋"/>
          <w:highlight w:val="none"/>
        </w:rPr>
      </w:pPr>
    </w:p>
    <w:p>
      <w:pPr>
        <w:snapToGrid w:val="0"/>
        <w:spacing w:after="120" w:afterLines="50"/>
        <w:ind w:left="850" w:hanging="850" w:hangingChars="405"/>
        <w:rPr>
          <w:rFonts w:hint="eastAsia" w:ascii="仿宋" w:hAnsi="仿宋" w:eastAsia="仿宋" w:cs="仿宋"/>
          <w:highlight w:val="none"/>
        </w:rPr>
      </w:pPr>
      <w:r>
        <w:rPr>
          <w:rFonts w:hint="eastAsia" w:ascii="仿宋" w:hAnsi="仿宋" w:eastAsia="仿宋" w:cs="仿宋"/>
          <w:highlight w:val="none"/>
        </w:rPr>
        <w:t>注：1.</w:t>
      </w:r>
      <w:r>
        <w:rPr>
          <w:rFonts w:hint="eastAsia" w:ascii="仿宋" w:hAnsi="仿宋" w:eastAsia="仿宋" w:cs="仿宋"/>
          <w:highlight w:val="none"/>
        </w:rPr>
        <w:tab/>
      </w:r>
      <w:r>
        <w:rPr>
          <w:rFonts w:hint="eastAsia" w:ascii="仿宋" w:hAnsi="仿宋" w:eastAsia="仿宋" w:cs="仿宋"/>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rPr>
        <w:tab/>
      </w:r>
      <w:r>
        <w:rPr>
          <w:rFonts w:hint="eastAsia" w:ascii="仿宋" w:hAnsi="仿宋" w:eastAsia="仿宋" w:cs="仿宋"/>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rPr>
        <w:tab/>
      </w:r>
      <w:r>
        <w:rPr>
          <w:rFonts w:hint="eastAsia" w:ascii="仿宋" w:hAnsi="仿宋" w:eastAsia="仿宋" w:cs="仿宋"/>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highlight w:val="none"/>
        </w:rPr>
      </w:pPr>
    </w:p>
    <w:p>
      <w:pPr>
        <w:autoSpaceDE w:val="0"/>
        <w:autoSpaceDN w:val="0"/>
        <w:adjustRightInd w:val="0"/>
        <w:snapToGrid w:val="0"/>
        <w:spacing w:line="360" w:lineRule="auto"/>
        <w:jc w:val="center"/>
        <w:rPr>
          <w:rFonts w:hint="eastAsia" w:ascii="仿宋" w:hAnsi="仿宋" w:eastAsia="仿宋" w:cs="仿宋"/>
          <w:b/>
          <w:bCs/>
          <w:sz w:val="24"/>
          <w:highlight w:val="none"/>
        </w:rPr>
      </w:pPr>
      <w:r>
        <w:rPr>
          <w:rFonts w:hint="eastAsia" w:ascii="仿宋" w:hAnsi="仿宋" w:eastAsia="仿宋" w:cs="仿宋"/>
          <w:highlight w:val="none"/>
        </w:rPr>
        <w:br w:type="page"/>
      </w:r>
    </w:p>
    <w:p>
      <w:pPr>
        <w:pStyle w:val="198"/>
        <w:ind w:firstLine="2570" w:firstLineChars="800"/>
        <w:rPr>
          <w:rFonts w:hint="eastAsia" w:ascii="仿宋" w:hAnsi="仿宋" w:eastAsia="仿宋" w:cs="仿宋"/>
          <w:b/>
          <w:sz w:val="32"/>
          <w:szCs w:val="32"/>
          <w:highlight w:val="none"/>
        </w:rPr>
      </w:pPr>
      <w:r>
        <w:rPr>
          <w:rFonts w:hint="eastAsia" w:ascii="仿宋" w:hAnsi="仿宋" w:eastAsia="仿宋" w:cs="仿宋"/>
          <w:b/>
          <w:sz w:val="32"/>
          <w:szCs w:val="32"/>
          <w:highlight w:val="none"/>
        </w:rPr>
        <w:t>第四部分  响应方案说明</w:t>
      </w:r>
    </w:p>
    <w:p>
      <w:pPr>
        <w:pStyle w:val="22"/>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（格式自拟，内容需符合评审办法中要求的内容要求）</w:t>
      </w:r>
    </w:p>
    <w:p>
      <w:pPr>
        <w:pStyle w:val="22"/>
        <w:rPr>
          <w:rFonts w:hint="eastAsia" w:ascii="仿宋" w:hAnsi="仿宋" w:eastAsia="仿宋" w:cs="仿宋"/>
          <w:highlight w:val="none"/>
          <w:lang w:val="zh-CN"/>
        </w:rPr>
      </w:pPr>
      <w:r>
        <w:rPr>
          <w:rFonts w:hint="eastAsia" w:ascii="仿宋" w:hAnsi="仿宋" w:eastAsia="仿宋" w:cs="仿宋"/>
          <w:highlight w:val="none"/>
          <w:lang w:val="zh-CN"/>
        </w:rPr>
        <w:br w:type="page"/>
      </w:r>
    </w:p>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Pr>
        <w:pStyle w:val="198"/>
        <w:ind w:firstLine="0"/>
        <w:rPr>
          <w:rFonts w:hint="eastAsia" w:ascii="仿宋" w:hAnsi="仿宋" w:eastAsia="仿宋" w:cs="仿宋"/>
          <w:b/>
          <w:sz w:val="32"/>
          <w:szCs w:val="32"/>
          <w:highlight w:val="none"/>
        </w:rPr>
      </w:pPr>
      <w:r>
        <w:rPr>
          <w:rFonts w:hint="eastAsia" w:ascii="仿宋" w:hAnsi="仿宋" w:eastAsia="仿宋" w:cs="仿宋"/>
          <w:b/>
          <w:sz w:val="32"/>
          <w:szCs w:val="32"/>
          <w:highlight w:val="none"/>
        </w:rPr>
        <w:t>第五部分 小微企业、监狱企业、残疾人福利单位声明函或证明</w:t>
      </w:r>
    </w:p>
    <w:p>
      <w:pPr>
        <w:pStyle w:val="198"/>
        <w:rPr>
          <w:rFonts w:hint="eastAsia" w:ascii="仿宋" w:hAnsi="仿宋" w:eastAsia="仿宋" w:cs="仿宋"/>
          <w:b/>
          <w:bCs/>
          <w:sz w:val="32"/>
          <w:szCs w:val="32"/>
          <w:highlight w:val="none"/>
        </w:rPr>
      </w:pPr>
    </w:p>
    <w:p>
      <w:pPr>
        <w:jc w:val="center"/>
        <w:rPr>
          <w:rFonts w:hint="eastAsia" w:ascii="仿宋" w:hAnsi="仿宋" w:eastAsia="仿宋" w:cs="仿宋"/>
          <w:b/>
          <w:kern w:val="0"/>
          <w:sz w:val="28"/>
          <w:szCs w:val="28"/>
          <w:highlight w:val="none"/>
        </w:rPr>
      </w:pPr>
      <w:bookmarkStart w:id="525" w:name="_Toc7005133"/>
      <w:r>
        <w:rPr>
          <w:rFonts w:hint="eastAsia" w:ascii="仿宋" w:hAnsi="仿宋" w:eastAsia="仿宋" w:cs="仿宋"/>
          <w:b/>
          <w:kern w:val="0"/>
          <w:sz w:val="28"/>
          <w:szCs w:val="28"/>
          <w:highlight w:val="none"/>
        </w:rPr>
        <w:t>一、中小企业声明函(工程、服务)</w:t>
      </w:r>
    </w:p>
    <w:p>
      <w:pPr>
        <w:rPr>
          <w:rFonts w:hint="eastAsia" w:ascii="仿宋" w:hAnsi="仿宋" w:eastAsia="仿宋" w:cs="仿宋"/>
          <w:kern w:val="0"/>
          <w:sz w:val="30"/>
          <w:szCs w:val="30"/>
          <w:highlight w:val="none"/>
        </w:rPr>
      </w:pP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w:t>
      </w:r>
      <w:r>
        <w:rPr>
          <w:rFonts w:hint="eastAsia" w:ascii="仿宋" w:hAnsi="仿宋" w:eastAsia="仿宋" w:cs="仿宋"/>
          <w:i/>
          <w:kern w:val="0"/>
          <w:sz w:val="24"/>
          <w:highlight w:val="none"/>
          <w:u w:val="single"/>
        </w:rPr>
        <w:t>(单位名称)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w:t>
      </w:r>
      <w:r>
        <w:rPr>
          <w:rFonts w:hint="eastAsia" w:ascii="仿宋" w:hAnsi="仿宋" w:eastAsia="仿宋" w:cs="仿宋"/>
          <w:i/>
          <w:kern w:val="0"/>
          <w:sz w:val="24"/>
          <w:highlight w:val="none"/>
          <w:u w:val="single"/>
        </w:rPr>
        <w:t>(项目名称)</w:t>
      </w:r>
      <w:r>
        <w:rPr>
          <w:rFonts w:hint="eastAsia" w:ascii="仿宋" w:hAnsi="仿宋" w:eastAsia="仿宋" w:cs="仿宋"/>
          <w:kern w:val="0"/>
          <w:sz w:val="24"/>
          <w:highlight w:val="none"/>
          <w:u w:val="single"/>
        </w:rPr>
        <w:t xml:space="preserve"> 采购</w:t>
      </w:r>
      <w:r>
        <w:rPr>
          <w:rFonts w:hint="eastAsia" w:ascii="仿宋" w:hAnsi="仿宋" w:eastAsia="仿宋" w:cs="仿宋"/>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pStyle w:val="70"/>
        <w:numPr>
          <w:ilvl w:val="0"/>
          <w:numId w:val="0"/>
        </w:numPr>
        <w:spacing w:line="560" w:lineRule="exact"/>
        <w:ind w:left="600" w:left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SA"/>
        </w:rPr>
        <w:t>1.</w:t>
      </w:r>
      <w:r>
        <w:rPr>
          <w:rFonts w:hint="eastAsia" w:ascii="仿宋" w:hAnsi="仿宋" w:eastAsia="仿宋" w:cs="仿宋"/>
          <w:i/>
          <w:kern w:val="0"/>
          <w:sz w:val="24"/>
          <w:szCs w:val="24"/>
          <w:highlight w:val="none"/>
          <w:u w:val="single"/>
        </w:rPr>
        <w:t xml:space="preserve"> (标的名称) </w:t>
      </w:r>
      <w:r>
        <w:rPr>
          <w:rFonts w:hint="eastAsia" w:ascii="仿宋" w:hAnsi="仿宋" w:eastAsia="仿宋" w:cs="仿宋"/>
          <w:kern w:val="0"/>
          <w:sz w:val="24"/>
          <w:szCs w:val="24"/>
          <w:highlight w:val="none"/>
        </w:rPr>
        <w:t>，属于</w:t>
      </w:r>
      <w:r>
        <w:rPr>
          <w:rFonts w:hint="eastAsia" w:ascii="仿宋" w:hAnsi="仿宋" w:eastAsia="仿宋" w:cs="仿宋"/>
          <w:kern w:val="0"/>
          <w:sz w:val="24"/>
          <w:szCs w:val="24"/>
          <w:highlight w:val="none"/>
          <w:u w:val="single"/>
        </w:rPr>
        <w:t xml:space="preserve"> </w:t>
      </w:r>
      <w:r>
        <w:rPr>
          <w:rFonts w:hint="eastAsia" w:ascii="仿宋_GB2312" w:hAnsi="仿宋_GB2312" w:eastAsia="仿宋_GB2312" w:cs="仿宋_GB2312"/>
          <w:i/>
          <w:kern w:val="0"/>
          <w:sz w:val="24"/>
          <w:szCs w:val="24"/>
          <w:highlight w:val="none"/>
          <w:u w:val="single"/>
          <w:lang w:val="en-US" w:eastAsia="zh-CN"/>
        </w:rPr>
        <w:t>软件和信息技术服务业</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；承建(承接)企业为</w:t>
      </w:r>
      <w:r>
        <w:rPr>
          <w:rFonts w:hint="eastAsia" w:ascii="仿宋" w:hAnsi="仿宋" w:eastAsia="仿宋" w:cs="仿宋"/>
          <w:i/>
          <w:kern w:val="0"/>
          <w:sz w:val="24"/>
          <w:szCs w:val="24"/>
          <w:highlight w:val="none"/>
          <w:u w:val="single"/>
        </w:rPr>
        <w:t xml:space="preserve"> (企业名称) </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i/>
          <w:kern w:val="0"/>
          <w:sz w:val="24"/>
          <w:szCs w:val="24"/>
          <w:highlight w:val="none"/>
          <w:u w:val="single"/>
        </w:rPr>
        <w:t xml:space="preserve"> (中型企必、小型企业、微型企业) </w:t>
      </w:r>
      <w:r>
        <w:rPr>
          <w:rFonts w:hint="eastAsia" w:ascii="仿宋" w:hAnsi="仿宋" w:eastAsia="仿宋" w:cs="仿宋"/>
          <w:kern w:val="0"/>
          <w:sz w:val="24"/>
          <w:szCs w:val="24"/>
          <w:highlight w:val="none"/>
        </w:rPr>
        <w:t>；</w:t>
      </w: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w:t>
      </w:r>
      <w:r>
        <w:rPr>
          <w:rFonts w:hint="eastAsia" w:ascii="仿宋" w:hAnsi="仿宋" w:eastAsia="仿宋" w:cs="仿宋"/>
          <w:i/>
          <w:kern w:val="0"/>
          <w:sz w:val="24"/>
          <w:highlight w:val="none"/>
          <w:u w:val="single"/>
        </w:rPr>
        <w:t xml:space="preserve">(标的名称)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w:t>
      </w:r>
      <w:r>
        <w:rPr>
          <w:rFonts w:hint="eastAsia" w:ascii="仿宋_GB2312" w:hAnsi="仿宋_GB2312" w:eastAsia="仿宋_GB2312" w:cs="仿宋_GB2312"/>
          <w:i/>
          <w:kern w:val="0"/>
          <w:sz w:val="24"/>
          <w:szCs w:val="24"/>
          <w:highlight w:val="none"/>
          <w:u w:val="single"/>
          <w:lang w:val="en-US" w:eastAsia="zh-CN"/>
        </w:rPr>
        <w:t>软件和信息技术服务业</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；承建(承接)企业为</w:t>
      </w:r>
      <w:r>
        <w:rPr>
          <w:rFonts w:hint="eastAsia" w:ascii="仿宋" w:hAnsi="仿宋" w:eastAsia="仿宋" w:cs="仿宋"/>
          <w:i/>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i/>
          <w:kern w:val="0"/>
          <w:sz w:val="24"/>
          <w:highlight w:val="none"/>
          <w:u w:val="single"/>
        </w:rPr>
        <w:t xml:space="preserve"> (中型企必、小型企业、微型企业) </w:t>
      </w:r>
      <w:r>
        <w:rPr>
          <w:rFonts w:hint="eastAsia" w:ascii="仿宋" w:hAnsi="仿宋" w:eastAsia="仿宋" w:cs="仿宋"/>
          <w:kern w:val="0"/>
          <w:sz w:val="24"/>
          <w:highlight w:val="none"/>
        </w:rPr>
        <w:t>；</w:t>
      </w: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pPr>
        <w:spacing w:line="56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企业名称(盖章):</w:t>
      </w:r>
    </w:p>
    <w:p>
      <w:pPr>
        <w:spacing w:line="560" w:lineRule="exact"/>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pPr>
        <w:spacing w:line="560" w:lineRule="exact"/>
        <w:ind w:firstLine="5400" w:firstLineChars="1800"/>
        <w:rPr>
          <w:rFonts w:hint="eastAsia" w:ascii="仿宋" w:hAnsi="仿宋" w:eastAsia="仿宋" w:cs="仿宋"/>
          <w:kern w:val="0"/>
          <w:sz w:val="30"/>
          <w:szCs w:val="30"/>
          <w:highlight w:val="none"/>
        </w:rPr>
      </w:pPr>
    </w:p>
    <w:p>
      <w:pPr>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rPr>
        <w:t xml:space="preserve"> </w:t>
      </w:r>
      <w:r>
        <w:rPr>
          <w:rFonts w:hint="eastAsia" w:ascii="仿宋" w:hAnsi="仿宋" w:eastAsia="仿宋" w:cs="仿宋"/>
          <w:kern w:val="0"/>
          <w:sz w:val="30"/>
          <w:szCs w:val="30"/>
          <w:highlight w:val="none"/>
          <w:u w:val="single"/>
        </w:rPr>
        <w:t xml:space="preserve">                                                   </w:t>
      </w:r>
    </w:p>
    <w:p>
      <w:pPr>
        <w:ind w:firstLine="105" w:firstLineChars="50"/>
        <w:rPr>
          <w:rFonts w:hint="eastAsia" w:ascii="仿宋" w:hAnsi="仿宋" w:eastAsia="仿宋" w:cs="仿宋"/>
          <w:kern w:val="0"/>
          <w:szCs w:val="21"/>
          <w:highlight w:val="none"/>
        </w:rPr>
      </w:pPr>
      <w:r>
        <w:rPr>
          <w:rFonts w:hint="eastAsia" w:ascii="仿宋" w:hAnsi="仿宋" w:eastAsia="仿宋" w:cs="仿宋"/>
          <w:kern w:val="0"/>
          <w:szCs w:val="21"/>
          <w:highlight w:val="none"/>
        </w:rPr>
        <w:t>（从业人员、营业收入、资产总额填报上一年度数据，无上一年度数据的新成立企业可不填报）</w:t>
      </w:r>
    </w:p>
    <w:p>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jc w:val="center"/>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rPr>
        <w:t>二、监狱企业</w:t>
      </w:r>
      <w:bookmarkEnd w:id="525"/>
      <w:r>
        <w:rPr>
          <w:rFonts w:hint="eastAsia" w:ascii="仿宋" w:hAnsi="仿宋" w:eastAsia="仿宋" w:cs="仿宋"/>
          <w:b/>
          <w:sz w:val="28"/>
          <w:szCs w:val="28"/>
          <w:highlight w:val="none"/>
        </w:rPr>
        <w:t>声明函</w:t>
      </w:r>
    </w:p>
    <w:p>
      <w:pPr>
        <w:spacing w:after="120"/>
        <w:rPr>
          <w:rFonts w:hint="eastAsia" w:ascii="仿宋" w:hAnsi="仿宋" w:eastAsia="仿宋" w:cs="仿宋"/>
          <w:highlight w:val="none"/>
        </w:rPr>
      </w:pPr>
    </w:p>
    <w:p>
      <w:pPr>
        <w:jc w:val="center"/>
        <w:rPr>
          <w:rFonts w:hint="eastAsia" w:ascii="仿宋" w:hAnsi="仿宋" w:eastAsia="仿宋" w:cs="仿宋"/>
          <w:sz w:val="24"/>
          <w:highlight w:val="none"/>
        </w:rPr>
      </w:pPr>
      <w:r>
        <w:rPr>
          <w:rFonts w:hint="eastAsia" w:ascii="仿宋" w:hAnsi="仿宋" w:eastAsia="仿宋" w:cs="仿宋"/>
          <w:sz w:val="24"/>
          <w:highlight w:val="none"/>
        </w:rPr>
        <w:t>（注：符合条件的监狱企业请提供本函，不符合的不提供本函）</w:t>
      </w:r>
    </w:p>
    <w:p>
      <w:pPr>
        <w:snapToGrid w:val="0"/>
        <w:spacing w:before="120" w:beforeLines="50"/>
        <w:rPr>
          <w:rFonts w:hint="eastAsia" w:ascii="仿宋" w:hAnsi="仿宋" w:eastAsia="仿宋" w:cs="仿宋"/>
          <w:sz w:val="24"/>
          <w:highlight w:val="none"/>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本单位为直接投标人提供本单位制造的货物。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p>
      <w:pPr>
        <w:spacing w:line="360" w:lineRule="auto"/>
        <w:ind w:left="1080" w:leftChars="257" w:hanging="540"/>
        <w:jc w:val="center"/>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投标人（盖公章）：</w:t>
      </w:r>
      <w:r>
        <w:rPr>
          <w:rFonts w:hint="eastAsia" w:ascii="仿宋" w:hAnsi="仿宋" w:eastAsia="仿宋" w:cs="仿宋"/>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日　期：</w:t>
      </w:r>
      <w:r>
        <w:rPr>
          <w:rFonts w:hint="eastAsia" w:ascii="仿宋" w:hAnsi="仿宋" w:eastAsia="仿宋" w:cs="仿宋"/>
          <w:kern w:val="0"/>
          <w:sz w:val="24"/>
          <w:highlight w:val="none"/>
          <w:u w:val="single"/>
        </w:rPr>
        <w:t xml:space="preserve">             </w:t>
      </w:r>
    </w:p>
    <w:p>
      <w:pPr>
        <w:rPr>
          <w:rFonts w:hint="eastAsia" w:ascii="仿宋" w:hAnsi="仿宋" w:eastAsia="仿宋" w:cs="仿宋"/>
          <w:sz w:val="32"/>
          <w:szCs w:val="32"/>
          <w:highlight w:val="none"/>
        </w:rPr>
      </w:pPr>
      <w:r>
        <w:rPr>
          <w:rFonts w:hint="eastAsia" w:ascii="仿宋" w:hAnsi="仿宋" w:eastAsia="仿宋" w:cs="仿宋"/>
          <w:kern w:val="0"/>
          <w:sz w:val="24"/>
          <w:highlight w:val="none"/>
          <w:u w:val="single"/>
        </w:rPr>
        <w:t>注：符合《关于政府采购支持监狱企业发展有关问题的通知》价格扣减条件的供应商须提交。</w:t>
      </w:r>
    </w:p>
    <w:p>
      <w:pPr>
        <w:rPr>
          <w:rFonts w:hint="eastAsia" w:ascii="仿宋" w:hAnsi="仿宋" w:eastAsia="仿宋" w:cs="仿宋"/>
          <w:sz w:val="32"/>
          <w:szCs w:val="32"/>
          <w:highlight w:val="none"/>
        </w:rPr>
      </w:pPr>
    </w:p>
    <w:p>
      <w:pPr>
        <w:jc w:val="center"/>
        <w:outlineLvl w:val="2"/>
        <w:rPr>
          <w:rFonts w:hint="eastAsia" w:ascii="仿宋" w:hAnsi="仿宋" w:eastAsia="仿宋" w:cs="仿宋"/>
          <w:b/>
          <w:sz w:val="32"/>
          <w:szCs w:val="32"/>
          <w:highlight w:val="none"/>
        </w:rPr>
      </w:pPr>
      <w:bookmarkStart w:id="526" w:name="_Toc7005134"/>
      <w:r>
        <w:rPr>
          <w:rFonts w:hint="eastAsia" w:ascii="仿宋" w:hAnsi="仿宋" w:eastAsia="仿宋" w:cs="仿宋"/>
          <w:sz w:val="32"/>
          <w:szCs w:val="32"/>
          <w:highlight w:val="none"/>
        </w:rPr>
        <w:br w:type="page"/>
      </w:r>
      <w:r>
        <w:rPr>
          <w:rFonts w:hint="eastAsia" w:ascii="仿宋" w:hAnsi="仿宋" w:eastAsia="仿宋" w:cs="仿宋"/>
          <w:b/>
          <w:sz w:val="28"/>
          <w:szCs w:val="28"/>
          <w:highlight w:val="none"/>
        </w:rPr>
        <w:t>三、残疾人福利性单位声明函</w:t>
      </w:r>
      <w:bookmarkEnd w:id="526"/>
    </w:p>
    <w:p>
      <w:pPr>
        <w:spacing w:after="120"/>
        <w:rPr>
          <w:rFonts w:hint="eastAsia" w:ascii="仿宋" w:hAnsi="仿宋" w:eastAsia="仿宋" w:cs="仿宋"/>
          <w:highlight w:val="none"/>
        </w:rPr>
      </w:pPr>
    </w:p>
    <w:p>
      <w:pPr>
        <w:jc w:val="center"/>
        <w:rPr>
          <w:rFonts w:hint="eastAsia" w:ascii="仿宋" w:hAnsi="仿宋" w:eastAsia="仿宋" w:cs="仿宋"/>
          <w:sz w:val="24"/>
          <w:highlight w:val="none"/>
        </w:rPr>
      </w:pPr>
      <w:r>
        <w:rPr>
          <w:rFonts w:hint="eastAsia" w:ascii="仿宋" w:hAnsi="仿宋" w:eastAsia="仿宋" w:cs="仿宋"/>
          <w:sz w:val="24"/>
          <w:highlight w:val="none"/>
        </w:rPr>
        <w:t>（注：符合条件的残疾人福利性单位请提供本函，不符合的不提供本函）</w:t>
      </w:r>
    </w:p>
    <w:p>
      <w:pPr>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ind w:firstLine="567"/>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highlight w:val="none"/>
        </w:rPr>
        <w:t>（由本单位承担提供服务）</w:t>
      </w:r>
      <w:r>
        <w:rPr>
          <w:rFonts w:hint="eastAsia" w:ascii="仿宋" w:hAnsi="仿宋" w:eastAsia="仿宋" w:cs="仿宋"/>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left="1080" w:leftChars="257" w:hanging="54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r>
        <w:rPr>
          <w:rFonts w:hint="eastAsia" w:ascii="仿宋" w:hAnsi="仿宋" w:eastAsia="仿宋" w:cs="仿宋"/>
          <w:kern w:val="0"/>
          <w:sz w:val="24"/>
          <w:szCs w:val="20"/>
          <w:highlight w:val="none"/>
          <w:u w:val="single"/>
        </w:rPr>
        <w:t xml:space="preserve">                  </w:t>
      </w:r>
    </w:p>
    <w:p>
      <w:pPr>
        <w:spacing w:line="360" w:lineRule="auto"/>
        <w:ind w:left="1080" w:leftChars="257" w:hanging="540"/>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highlight w:val="none"/>
        </w:rPr>
        <w:t xml:space="preserve">         </w:t>
      </w:r>
    </w:p>
    <w:p>
      <w:pPr>
        <w:spacing w:line="360" w:lineRule="auto"/>
        <w:ind w:firstLine="600" w:firstLineChars="25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r>
        <w:rPr>
          <w:rFonts w:hint="eastAsia" w:ascii="仿宋" w:hAnsi="仿宋" w:eastAsia="仿宋" w:cs="仿宋"/>
          <w:kern w:val="0"/>
          <w:sz w:val="24"/>
          <w:szCs w:val="20"/>
          <w:highlight w:val="none"/>
          <w:u w:val="single"/>
        </w:rPr>
        <w:t xml:space="preserve">                             </w:t>
      </w: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u w:val="single"/>
        </w:rPr>
        <w:t>注：符合《三部门联合发布关于促进残疾人就业政府采购政策的通知》价格扣减条件的供应商须提交。</w:t>
      </w:r>
    </w:p>
    <w:p>
      <w:pPr>
        <w:rPr>
          <w:rFonts w:hint="eastAsia" w:ascii="仿宋" w:hAnsi="仿宋" w:eastAsia="仿宋" w:cs="仿宋"/>
          <w:sz w:val="24"/>
          <w:highlight w:val="none"/>
        </w:rPr>
      </w:pPr>
    </w:p>
    <w:p>
      <w:pPr>
        <w:snapToGrid w:val="0"/>
        <w:spacing w:before="120" w:beforeLines="50"/>
        <w:jc w:val="center"/>
        <w:rPr>
          <w:rFonts w:hint="eastAsia" w:ascii="仿宋" w:hAnsi="仿宋" w:eastAsia="仿宋" w:cs="仿宋"/>
          <w:b/>
          <w:sz w:val="24"/>
          <w:szCs w:val="21"/>
          <w:highlight w:val="none"/>
        </w:rPr>
      </w:pPr>
    </w:p>
    <w:p>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pPr>
        <w:jc w:val="center"/>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rPr>
        <w:t>四、响应承诺书</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致：陕西星火工程管理有限公司</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我方在此声明，我方以下事项进行承诺：</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在本次磋商中我公司无与其他供应商相互串通，或与采购人串通的行为；</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在本次磋商中我公司无向采购人或磋商小组成员行贿的手段谋取成交的行为；</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在本次磋商中我公司无出借或借用资质行为、在响应文件中所附资料（业绩、项目负责人资料等）无弄虚作假；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 我公司没有处于被责令停产、停业、投标资格被取消状态；</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360" w:lineRule="auto"/>
        <w:ind w:firstLine="480" w:firstLineChars="200"/>
        <w:rPr>
          <w:rFonts w:hint="eastAsia" w:ascii="仿宋" w:hAnsi="仿宋" w:eastAsia="仿宋" w:cs="仿宋"/>
          <w:sz w:val="24"/>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22"/>
        <w:rPr>
          <w:rFonts w:hint="eastAsia" w:ascii="仿宋" w:hAnsi="仿宋" w:eastAsia="仿宋" w:cs="仿宋"/>
          <w:highlight w:val="none"/>
        </w:rPr>
      </w:pPr>
      <w:r>
        <w:rPr>
          <w:rFonts w:hint="eastAsia" w:ascii="仿宋" w:hAnsi="仿宋" w:eastAsia="仿宋" w:cs="仿宋"/>
          <w:highlight w:val="none"/>
        </w:rPr>
        <w:br w:type="page"/>
      </w:r>
    </w:p>
    <w:p>
      <w:pPr>
        <w:pStyle w:val="198"/>
        <w:ind w:firstLine="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第六部分  保证金支付凭证或担保函（复印件）</w:t>
      </w:r>
    </w:p>
    <w:p>
      <w:pPr>
        <w:pStyle w:val="198"/>
        <w:rPr>
          <w:rFonts w:hint="eastAsia" w:ascii="仿宋" w:hAnsi="仿宋" w:eastAsia="仿宋" w:cs="仿宋"/>
          <w:b/>
          <w:sz w:val="32"/>
          <w:szCs w:val="32"/>
          <w:highlight w:val="none"/>
        </w:rPr>
      </w:pPr>
    </w:p>
    <w:p>
      <w:pPr>
        <w:rPr>
          <w:rFonts w:hint="eastAsia" w:ascii="仿宋" w:hAnsi="仿宋" w:eastAsia="仿宋" w:cs="仿宋"/>
          <w:sz w:val="24"/>
          <w:highlight w:val="none"/>
        </w:rPr>
      </w:pPr>
    </w:p>
    <w:p>
      <w:pPr>
        <w:spacing w:after="120"/>
        <w:rPr>
          <w:rFonts w:hint="eastAsia" w:ascii="仿宋" w:hAnsi="仿宋" w:eastAsia="仿宋" w:cs="仿宋"/>
          <w:highlight w:val="none"/>
        </w:rPr>
      </w:pPr>
      <w:r>
        <w:rPr>
          <w:rFonts w:hint="eastAsia" w:ascii="仿宋" w:hAnsi="仿宋" w:eastAsia="仿宋" w:cs="仿宋"/>
          <w:highlight w:val="none"/>
        </w:rPr>
        <w:t>本项目不要求提供保证金</w:t>
      </w:r>
    </w:p>
    <w:p>
      <w:pPr>
        <w:spacing w:after="120"/>
        <w:rPr>
          <w:rFonts w:hint="eastAsia" w:ascii="仿宋" w:hAnsi="仿宋" w:eastAsia="仿宋" w:cs="仿宋"/>
          <w:highlight w:val="none"/>
        </w:rPr>
      </w:pPr>
    </w:p>
    <w:p>
      <w:pPr>
        <w:spacing w:after="120"/>
        <w:rPr>
          <w:rFonts w:hint="eastAsia" w:ascii="仿宋" w:hAnsi="仿宋" w:eastAsia="仿宋" w:cs="仿宋"/>
          <w:highlight w:val="none"/>
        </w:rPr>
      </w:pPr>
    </w:p>
    <w:p>
      <w:pPr>
        <w:spacing w:after="120"/>
        <w:rPr>
          <w:rFonts w:hint="eastAsia" w:ascii="仿宋" w:hAnsi="仿宋" w:eastAsia="仿宋" w:cs="仿宋"/>
          <w:highlight w:val="none"/>
        </w:rPr>
      </w:pPr>
    </w:p>
    <w:p>
      <w:pPr>
        <w:spacing w:after="120"/>
        <w:rPr>
          <w:rFonts w:hint="eastAsia" w:ascii="仿宋" w:hAnsi="仿宋" w:eastAsia="仿宋" w:cs="仿宋"/>
          <w:highlight w:val="none"/>
        </w:rPr>
      </w:pPr>
    </w:p>
    <w:p>
      <w:pPr>
        <w:spacing w:after="120"/>
        <w:rPr>
          <w:rFonts w:hint="eastAsia" w:ascii="仿宋" w:hAnsi="仿宋" w:eastAsia="仿宋" w:cs="仿宋"/>
          <w:highlight w:val="none"/>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napToGrid w:val="0"/>
        <w:spacing w:line="288" w:lineRule="auto"/>
        <w:jc w:val="left"/>
        <w:rPr>
          <w:rFonts w:hint="eastAsia" w:ascii="仿宋" w:hAnsi="仿宋" w:eastAsia="仿宋" w:cs="仿宋"/>
          <w:bCs/>
          <w:sz w:val="44"/>
          <w:szCs w:val="44"/>
          <w:highlight w:val="none"/>
        </w:rPr>
        <w:sectPr>
          <w:pgSz w:w="11906" w:h="16838"/>
          <w:pgMar w:top="1418" w:right="1418" w:bottom="1418" w:left="1418" w:header="851" w:footer="992" w:gutter="0"/>
          <w:pgNumType w:fmt="decimal"/>
          <w:cols w:space="720" w:num="1"/>
          <w:docGrid w:linePitch="312" w:charSpace="0"/>
        </w:sectPr>
      </w:pPr>
    </w:p>
    <w:p>
      <w:pPr>
        <w:widowControl/>
        <w:snapToGrid w:val="0"/>
        <w:spacing w:before="100" w:beforeAutospacing="1" w:after="100" w:afterAutospacing="1"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附件1</w:t>
      </w:r>
    </w:p>
    <w:p>
      <w:pPr>
        <w:widowControl/>
        <w:snapToGrid w:val="0"/>
        <w:spacing w:before="100" w:beforeAutospacing="1" w:after="100" w:afterAutospacing="1" w:line="36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磋商响应担保函</w:t>
      </w:r>
    </w:p>
    <w:p>
      <w:pPr>
        <w:snapToGrid w:val="0"/>
        <w:spacing w:line="360" w:lineRule="exact"/>
        <w:ind w:firstLine="3360" w:firstLineChars="1400"/>
        <w:rPr>
          <w:rFonts w:hint="eastAsia" w:ascii="仿宋" w:hAnsi="仿宋" w:eastAsia="仿宋" w:cs="仿宋"/>
          <w:sz w:val="24"/>
          <w:highlight w:val="none"/>
        </w:rPr>
      </w:pPr>
      <w:r>
        <w:rPr>
          <w:rFonts w:hint="eastAsia" w:ascii="仿宋" w:hAnsi="仿宋" w:eastAsia="仿宋" w:cs="仿宋"/>
          <w:bCs/>
          <w:sz w:val="24"/>
          <w:highlight w:val="none"/>
        </w:rPr>
        <w:t>（适用于保证金保函）</w:t>
      </w:r>
    </w:p>
    <w:p>
      <w:pPr>
        <w:snapToGrid w:val="0"/>
        <w:spacing w:line="360" w:lineRule="exact"/>
        <w:ind w:right="480"/>
        <w:jc w:val="center"/>
        <w:rPr>
          <w:rFonts w:hint="eastAsia" w:ascii="仿宋" w:hAnsi="仿宋" w:eastAsia="仿宋" w:cs="仿宋"/>
          <w:sz w:val="24"/>
          <w:highlight w:val="none"/>
        </w:rPr>
      </w:pPr>
      <w:r>
        <w:rPr>
          <w:rFonts w:hint="eastAsia" w:ascii="仿宋" w:hAnsi="仿宋" w:eastAsia="仿宋" w:cs="仿宋"/>
          <w:sz w:val="24"/>
          <w:highlight w:val="none"/>
        </w:rPr>
        <w:t xml:space="preserve">                                             保函编号:</w:t>
      </w:r>
    </w:p>
    <w:p>
      <w:pPr>
        <w:snapToGrid w:val="0"/>
        <w:spacing w:line="360" w:lineRule="exact"/>
        <w:jc w:val="left"/>
        <w:rPr>
          <w:rFonts w:hint="eastAsia" w:ascii="仿宋" w:hAnsi="仿宋" w:eastAsia="仿宋" w:cs="仿宋"/>
          <w:sz w:val="24"/>
          <w:highlight w:val="none"/>
        </w:rPr>
      </w:pPr>
      <w:r>
        <w:rPr>
          <w:rFonts w:hint="eastAsia" w:ascii="仿宋" w:hAnsi="仿宋" w:eastAsia="仿宋" w:cs="仿宋"/>
          <w:sz w:val="24"/>
          <w:highlight w:val="none"/>
        </w:rPr>
        <w:br w:type="textWrapping"/>
      </w:r>
      <w:r>
        <w:rPr>
          <w:rFonts w:hint="eastAsia" w:ascii="仿宋" w:hAnsi="仿宋" w:eastAsia="仿宋" w:cs="仿宋"/>
          <w:sz w:val="24"/>
          <w:highlight w:val="none"/>
        </w:rPr>
        <w:t>致：</w:t>
      </w:r>
      <w:r>
        <w:rPr>
          <w:rFonts w:hint="eastAsia" w:ascii="仿宋" w:hAnsi="仿宋" w:eastAsia="仿宋" w:cs="仿宋"/>
          <w:kern w:val="0"/>
          <w:sz w:val="24"/>
          <w:highlight w:val="none"/>
          <w:u w:val="single"/>
        </w:rPr>
        <w:t>陕西星火工程管理有限公司</w:t>
      </w:r>
      <w:r>
        <w:rPr>
          <w:rFonts w:hint="eastAsia" w:ascii="仿宋" w:hAnsi="仿宋" w:eastAsia="仿宋" w:cs="仿宋"/>
          <w:sz w:val="24"/>
          <w:highlight w:val="none"/>
        </w:rPr>
        <w:t>(下称受益人)</w:t>
      </w:r>
    </w:p>
    <w:p>
      <w:pPr>
        <w:snapToGrid w:val="0"/>
        <w:spacing w:line="360" w:lineRule="exact"/>
        <w:jc w:val="left"/>
        <w:rPr>
          <w:rFonts w:hint="eastAsia" w:ascii="仿宋" w:hAnsi="仿宋" w:eastAsia="仿宋" w:cs="仿宋"/>
          <w:sz w:val="24"/>
          <w:highlight w:val="none"/>
        </w:rPr>
      </w:pPr>
      <w:r>
        <w:rPr>
          <w:rFonts w:hint="eastAsia" w:ascii="仿宋" w:hAnsi="仿宋" w:eastAsia="仿宋" w:cs="仿宋"/>
          <w:sz w:val="24"/>
          <w:highlight w:val="none"/>
        </w:rPr>
        <w:t xml:space="preserve">    鉴于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(下称被保证人)将于</w:t>
      </w:r>
      <w:r>
        <w:rPr>
          <w:rFonts w:hint="eastAsia" w:ascii="仿宋" w:hAnsi="仿宋" w:eastAsia="仿宋" w:cs="仿宋"/>
          <w:sz w:val="24"/>
          <w:highlight w:val="none"/>
          <w:u w:val="single"/>
        </w:rPr>
        <w:t>    年 月 日</w:t>
      </w:r>
      <w:r>
        <w:rPr>
          <w:rFonts w:hint="eastAsia" w:ascii="仿宋" w:hAnsi="仿宋" w:eastAsia="仿宋" w:cs="仿宋"/>
          <w:sz w:val="24"/>
          <w:highlight w:val="none"/>
        </w:rPr>
        <w:t>参加贵方竞争性磋商文件编号为</w:t>
      </w:r>
      <w:r>
        <w:rPr>
          <w:rFonts w:hint="eastAsia" w:ascii="仿宋" w:hAnsi="仿宋" w:eastAsia="仿宋" w:cs="仿宋"/>
          <w:sz w:val="24"/>
          <w:highlight w:val="none"/>
          <w:u w:val="single"/>
        </w:rPr>
        <w:t> （采购项目编号）</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的竞争性磋商,我方接受被保证人的委托,在此向受益人提供不可撤销的磋商保证：</w:t>
      </w:r>
    </w:p>
    <w:p>
      <w:pPr>
        <w:numPr>
          <w:ilvl w:val="0"/>
          <w:numId w:val="24"/>
        </w:numPr>
        <w:snapToGrid w:val="0"/>
        <w:spacing w:line="36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本保证担保的担保金额为</w:t>
      </w:r>
      <w:r>
        <w:rPr>
          <w:rFonts w:hint="eastAsia" w:ascii="仿宋" w:hAnsi="仿宋" w:eastAsia="仿宋" w:cs="仿宋"/>
          <w:sz w:val="24"/>
          <w:highlight w:val="none"/>
          <w:u w:val="single"/>
        </w:rPr>
        <w:t>人民币</w:t>
      </w:r>
      <w:r>
        <w:rPr>
          <w:rFonts w:hint="eastAsia" w:ascii="仿宋" w:hAnsi="仿宋" w:eastAsia="仿宋" w:cs="仿宋"/>
          <w:sz w:val="24"/>
          <w:highlight w:val="none"/>
        </w:rPr>
        <w:t>(币种</w:t>
      </w:r>
      <w:r>
        <w:rPr>
          <w:rFonts w:hint="eastAsia" w:ascii="仿宋" w:hAnsi="仿宋" w:eastAsia="仿宋" w:cs="仿宋"/>
          <w:sz w:val="24"/>
          <w:highlight w:val="none"/>
          <w:u w:val="single"/>
        </w:rPr>
        <w:t>)     </w:t>
      </w:r>
      <w:r>
        <w:rPr>
          <w:rFonts w:hint="eastAsia" w:ascii="仿宋" w:hAnsi="仿宋" w:eastAsia="仿宋" w:cs="仿宋"/>
          <w:sz w:val="24"/>
          <w:highlight w:val="none"/>
        </w:rPr>
        <w:t>元(小写)</w:t>
      </w:r>
      <w:r>
        <w:rPr>
          <w:rFonts w:hint="eastAsia" w:ascii="仿宋" w:hAnsi="仿宋" w:eastAsia="仿宋" w:cs="仿宋"/>
          <w:sz w:val="24"/>
          <w:highlight w:val="none"/>
          <w:u w:val="single"/>
        </w:rPr>
        <w:t xml:space="preserve">     元整</w:t>
      </w:r>
      <w:r>
        <w:rPr>
          <w:rFonts w:hint="eastAsia" w:ascii="仿宋" w:hAnsi="仿宋" w:eastAsia="仿宋" w:cs="仿宋"/>
          <w:sz w:val="24"/>
          <w:highlight w:val="none"/>
        </w:rPr>
        <w:t>(大写）。</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二、本保证担保的保证期间为响应文件的有效期(或延长的有效期),延长有效期无须通知我方。</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三、在本保证担保的保证期间内,如果被保证人出现下列情形之一,受益人可以向我方提起索赔：</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1.被保证人在响应文件有效期内撤回其响应文件；</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2.被保证人在响应文件有效期内收到受益人发出的成交通知书后,不能或拒绝按竞争性磋商文件的要求签署合同；</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3.被保证人在有效期内收到受益人发出的成交通知书后,不能或拒绝按竞争性磋商文件的规定提交履约担保；</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4.被保证人成交后未按照竞争性磋商文件规定交纳代理服务费。</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五、受益人的索赔通知应当说明索赔理由,并必须在本保证担保的保证期间内送达我方。</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六、本保证担保项下的权利不得转让。</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七、本保证担保的保证期间届满,或我方已向受益人支付本保证担保的担保金额,我方的保证责任免除。</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八、本保证担保适用中华人民共和国法律。</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九、本保证担保以中文文本为准,涂改无效。</w:t>
      </w:r>
      <w:r>
        <w:rPr>
          <w:rFonts w:hint="eastAsia" w:ascii="仿宋" w:hAnsi="仿宋" w:eastAsia="仿宋" w:cs="仿宋"/>
          <w:sz w:val="24"/>
          <w:highlight w:val="none"/>
        </w:rPr>
        <w:br w:type="textWrapping"/>
      </w:r>
      <w:r>
        <w:rPr>
          <w:rFonts w:hint="eastAsia" w:ascii="仿宋" w:hAnsi="仿宋" w:eastAsia="仿宋" w:cs="仿宋"/>
          <w:sz w:val="24"/>
          <w:highlight w:val="none"/>
        </w:rPr>
        <w:t>保证人(盖章):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br w:type="textWrapping"/>
      </w:r>
      <w:r>
        <w:rPr>
          <w:rFonts w:hint="eastAsia" w:ascii="仿宋" w:hAnsi="仿宋" w:eastAsia="仿宋" w:cs="仿宋"/>
          <w:sz w:val="24"/>
          <w:highlight w:val="none"/>
        </w:rPr>
        <w:t xml:space="preserve">法定代表人或其授权委托代理人(签字或盖章）：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br w:type="textWrapping"/>
      </w:r>
      <w:r>
        <w:rPr>
          <w:rFonts w:hint="eastAsia" w:ascii="仿宋" w:hAnsi="仿宋" w:eastAsia="仿宋" w:cs="仿宋"/>
          <w:sz w:val="24"/>
          <w:highlight w:val="none"/>
        </w:rPr>
        <w:t>单位地址: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br w:type="textWrapping"/>
      </w:r>
      <w:r>
        <w:rPr>
          <w:rFonts w:hint="eastAsia" w:ascii="仿宋" w:hAnsi="仿宋" w:eastAsia="仿宋" w:cs="仿宋"/>
          <w:sz w:val="24"/>
          <w:highlight w:val="none"/>
        </w:rPr>
        <w:t>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kern w:val="0"/>
          <w:sz w:val="24"/>
          <w:highlight w:val="none"/>
        </w:rPr>
        <w:t>日期:</w:t>
      </w:r>
      <w:r>
        <w:rPr>
          <w:rFonts w:hint="eastAsia" w:ascii="仿宋" w:hAnsi="仿宋" w:eastAsia="仿宋" w:cs="仿宋"/>
          <w:kern w:val="0"/>
          <w:sz w:val="24"/>
          <w:highlight w:val="none"/>
          <w:u w:val="single"/>
        </w:rPr>
        <w:t xml:space="preserve">     年    月    日</w:t>
      </w:r>
    </w:p>
    <w:p>
      <w:pPr>
        <w:widowControl/>
        <w:snapToGrid w:val="0"/>
        <w:spacing w:before="100" w:beforeAutospacing="1" w:after="100" w:afterAutospacing="1" w:line="360" w:lineRule="auto"/>
        <w:rPr>
          <w:rFonts w:hint="eastAsia" w:ascii="仿宋" w:hAnsi="仿宋" w:eastAsia="仿宋" w:cs="仿宋"/>
          <w:b/>
          <w:bCs/>
          <w:kern w:val="0"/>
          <w:sz w:val="32"/>
          <w:szCs w:val="32"/>
          <w:highlight w:val="none"/>
        </w:rPr>
      </w:pPr>
      <w:bookmarkStart w:id="527" w:name="_Toc515647799"/>
      <w:bookmarkStart w:id="528" w:name="_Toc16186"/>
      <w:bookmarkStart w:id="529" w:name="_Toc21748"/>
      <w:bookmarkStart w:id="530" w:name="_Toc532473491"/>
      <w:r>
        <w:rPr>
          <w:rFonts w:hint="eastAsia" w:ascii="仿宋" w:hAnsi="仿宋" w:eastAsia="仿宋" w:cs="仿宋"/>
          <w:kern w:val="0"/>
          <w:sz w:val="24"/>
          <w:highlight w:val="none"/>
        </w:rPr>
        <w:br w:type="page"/>
      </w:r>
      <w:bookmarkEnd w:id="527"/>
      <w:bookmarkEnd w:id="528"/>
      <w:bookmarkEnd w:id="529"/>
      <w:bookmarkEnd w:id="530"/>
      <w:bookmarkStart w:id="531" w:name="_Toc20660404"/>
      <w:bookmarkStart w:id="532" w:name="_Toc515647800"/>
      <w:bookmarkStart w:id="533" w:name="_Toc10951"/>
      <w:bookmarkStart w:id="534" w:name="_Toc6548"/>
      <w:bookmarkStart w:id="535" w:name="_Toc532473492"/>
      <w:r>
        <w:rPr>
          <w:rFonts w:hint="eastAsia" w:ascii="仿宋" w:hAnsi="仿宋" w:eastAsia="仿宋" w:cs="仿宋"/>
          <w:b/>
          <w:bCs/>
          <w:kern w:val="0"/>
          <w:sz w:val="28"/>
          <w:szCs w:val="28"/>
          <w:highlight w:val="none"/>
        </w:rPr>
        <w:t>附件2</w:t>
      </w:r>
    </w:p>
    <w:p>
      <w:pPr>
        <w:widowControl/>
        <w:snapToGrid w:val="0"/>
        <w:spacing w:before="100" w:beforeAutospacing="1" w:after="100" w:afterAutospacing="1"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履约担保函格式</w:t>
      </w:r>
      <w:bookmarkEnd w:id="531"/>
      <w:bookmarkEnd w:id="532"/>
      <w:bookmarkEnd w:id="533"/>
      <w:bookmarkEnd w:id="534"/>
      <w:bookmarkEnd w:id="535"/>
    </w:p>
    <w:p>
      <w:pPr>
        <w:snapToGrid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                             编号：</w:t>
      </w:r>
    </w:p>
    <w:p>
      <w:pPr>
        <w:snapToGrid w:val="0"/>
        <w:spacing w:line="336" w:lineRule="auto"/>
        <w:rPr>
          <w:rFonts w:hint="eastAsia" w:ascii="仿宋" w:hAnsi="仿宋" w:eastAsia="仿宋" w:cs="仿宋"/>
          <w:sz w:val="28"/>
          <w:szCs w:val="28"/>
          <w:highlight w:val="none"/>
        </w:rPr>
      </w:pPr>
    </w:p>
    <w:p>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（采购人名称）：</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鉴于你方与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（以下简称供应商）于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日签定编号为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政府采购合同》（以下简称主合同），且依据该合同的约定，供应商应在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一、保证责任的情形及保证金额</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（一）在供应商出现下列情形之一时，我方承担保证责任：</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1．将成交项目转让给他人，或者在磋商响应文件中未说明，且未经采购人同意，将成交项目分包给他人的；</w:t>
      </w:r>
    </w:p>
    <w:p>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rPr>
        <w:t xml:space="preserve">　　2．主合同约定的应当缴纳履约保证金的情形: </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（二）我方的保证范围是主合同约定的合同价款总额的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%数额为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），币种为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。（即主合同履约保证金金额）</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二、保证的方式及保证期间</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我方保证的方式为：连带责任保证。</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我方保证的期间为：自本合同生效之日起至供应商按照主合同约定的供货/完工期限届满后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三、承担保证责任的程序</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如果你方与供应商因货物质量问题产生争议，你方还需同时提供</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我方收到你方的书面索赔通知及相应证明材料，在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工作日内进行核定后按照本保函的承诺承担保证责任。</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四、保证责任的终止</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五、免责条款</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六、争议的解决</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因本保函发生的纠纷，由你我双方协商解决，协商不成的，通过诉讼程序解决，诉讼管辖地法院为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法院。</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七、保函的生效</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本保函自我方加盖公章之日起生效。</w:t>
      </w:r>
    </w:p>
    <w:p>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pPr>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出具保函单位名称（盖公章）：</w:t>
      </w:r>
      <w:r>
        <w:rPr>
          <w:rFonts w:hint="eastAsia" w:ascii="仿宋" w:hAnsi="仿宋" w:eastAsia="仿宋" w:cs="仿宋"/>
          <w:sz w:val="24"/>
          <w:highlight w:val="none"/>
          <w:u w:val="single"/>
        </w:rPr>
        <w:t xml:space="preserve">                   </w:t>
      </w:r>
    </w:p>
    <w:p>
      <w:pPr>
        <w:spacing w:line="360" w:lineRule="auto"/>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签字人姓名和职务：</w:t>
      </w:r>
      <w:r>
        <w:rPr>
          <w:rFonts w:hint="eastAsia" w:ascii="仿宋" w:hAnsi="仿宋" w:eastAsia="仿宋" w:cs="仿宋"/>
          <w:sz w:val="24"/>
          <w:highlight w:val="none"/>
          <w:u w:val="single"/>
        </w:rPr>
        <w:t xml:space="preserve">                             </w:t>
      </w:r>
    </w:p>
    <w:p>
      <w:pPr>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签字人签名：</w:t>
      </w:r>
      <w:r>
        <w:rPr>
          <w:rFonts w:hint="eastAsia" w:ascii="仿宋" w:hAnsi="仿宋" w:eastAsia="仿宋" w:cs="仿宋"/>
          <w:sz w:val="24"/>
          <w:highlight w:val="none"/>
          <w:u w:val="single"/>
        </w:rPr>
        <w:t xml:space="preserve">                                   </w:t>
      </w:r>
    </w:p>
    <w:p>
      <w:pPr>
        <w:spacing w:line="360" w:lineRule="auto"/>
        <w:ind w:left="1080" w:leftChars="257" w:hanging="540"/>
        <w:rPr>
          <w:rFonts w:hint="eastAsia" w:ascii="仿宋" w:hAnsi="仿宋" w:eastAsia="仿宋" w:cs="仿宋"/>
          <w:sz w:val="28"/>
          <w:szCs w:val="28"/>
          <w:highlight w:val="none"/>
          <w:u w:val="single"/>
        </w:rPr>
      </w:pPr>
      <w:r>
        <w:rPr>
          <w:rFonts w:hint="eastAsia" w:ascii="仿宋" w:hAnsi="仿宋" w:eastAsia="仿宋" w:cs="仿宋"/>
          <w:sz w:val="24"/>
          <w:highlight w:val="none"/>
        </w:rPr>
        <w:t>时间：</w:t>
      </w:r>
      <w:r>
        <w:rPr>
          <w:rFonts w:hint="eastAsia" w:ascii="仿宋" w:hAnsi="仿宋" w:eastAsia="仿宋" w:cs="仿宋"/>
          <w:sz w:val="24"/>
          <w:highlight w:val="none"/>
          <w:u w:val="single"/>
        </w:rPr>
        <w:t xml:space="preserve">         年      月      日    </w:t>
      </w:r>
      <w:r>
        <w:rPr>
          <w:rFonts w:hint="eastAsia" w:ascii="仿宋" w:hAnsi="仿宋" w:eastAsia="仿宋" w:cs="仿宋"/>
          <w:sz w:val="28"/>
          <w:szCs w:val="28"/>
          <w:highlight w:val="none"/>
          <w:u w:val="single"/>
        </w:rPr>
        <w:t xml:space="preserve">                </w:t>
      </w:r>
    </w:p>
    <w:p>
      <w:pPr>
        <w:spacing w:after="120"/>
        <w:rPr>
          <w:rFonts w:hint="eastAsia" w:ascii="仿宋" w:hAnsi="仿宋" w:eastAsia="仿宋" w:cs="仿宋"/>
          <w:highlight w:val="none"/>
        </w:rPr>
      </w:pPr>
    </w:p>
    <w:p>
      <w:pPr>
        <w:autoSpaceDE w:val="0"/>
        <w:autoSpaceDN w:val="0"/>
        <w:adjustRightInd w:val="0"/>
        <w:snapToGrid w:val="0"/>
        <w:spacing w:line="360" w:lineRule="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附件3</w:t>
      </w:r>
    </w:p>
    <w:p>
      <w:pPr>
        <w:autoSpaceDE w:val="0"/>
        <w:autoSpaceDN w:val="0"/>
        <w:adjustRightInd w:val="0"/>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（最后）磋商响应报价表</w:t>
      </w:r>
    </w:p>
    <w:p>
      <w:pPr>
        <w:spacing w:after="120"/>
        <w:rPr>
          <w:rFonts w:hint="eastAsia" w:ascii="仿宋" w:hAnsi="仿宋" w:eastAsia="仿宋" w:cs="仿宋"/>
          <w:highlight w:val="none"/>
          <w:lang w:val="zh-CN"/>
        </w:rPr>
      </w:pPr>
      <w:r>
        <w:rPr>
          <w:rFonts w:hint="eastAsia" w:ascii="仿宋" w:hAnsi="仿宋" w:eastAsia="仿宋" w:cs="仿宋"/>
          <w:highlight w:val="none"/>
        </w:rPr>
        <w:t xml:space="preserve">                      </w:t>
      </w:r>
      <w:r>
        <w:rPr>
          <w:rFonts w:hint="eastAsia" w:ascii="仿宋" w:hAnsi="仿宋" w:eastAsia="仿宋" w:cs="仿宋"/>
          <w:highlight w:val="none"/>
          <w:lang w:val="zh-CN"/>
        </w:rPr>
        <w:t>（随身携带，单独提供，无需装订在响应文件中）</w:t>
      </w:r>
    </w:p>
    <w:p>
      <w:pPr>
        <w:pStyle w:val="22"/>
        <w:rPr>
          <w:rFonts w:hint="eastAsia" w:ascii="仿宋" w:hAnsi="仿宋" w:eastAsia="仿宋" w:cs="仿宋"/>
          <w:highlight w:val="none"/>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5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w:t>
            </w:r>
          </w:p>
          <w:p>
            <w:pPr>
              <w:pStyle w:val="22"/>
              <w:jc w:val="center"/>
              <w:rPr>
                <w:rFonts w:hint="eastAsia" w:ascii="仿宋" w:hAnsi="仿宋" w:eastAsia="仿宋" w:cs="仿宋"/>
                <w:b/>
                <w:sz w:val="24"/>
                <w:highlight w:val="none"/>
              </w:rPr>
            </w:pPr>
            <w:r>
              <w:rPr>
                <w:rFonts w:hint="eastAsia" w:ascii="仿宋" w:hAnsi="仿宋" w:eastAsia="仿宋" w:cs="仿宋"/>
                <w:b/>
                <w:sz w:val="24"/>
                <w:highlight w:val="none"/>
              </w:rPr>
              <w:t>项目名称</w:t>
            </w:r>
          </w:p>
        </w:tc>
        <w:tc>
          <w:tcPr>
            <w:tcW w:w="6726" w:type="dxa"/>
            <w:vAlign w:val="center"/>
          </w:tcPr>
          <w:p>
            <w:pPr>
              <w:pStyle w:val="22"/>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pStyle w:val="22"/>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5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color w:val="auto"/>
                <w:sz w:val="24"/>
                <w:highlight w:val="none"/>
              </w:rPr>
              <w:t>响应</w:t>
            </w:r>
            <w:r>
              <w:rPr>
                <w:rFonts w:hint="eastAsia" w:ascii="仿宋" w:hAnsi="仿宋" w:eastAsia="仿宋" w:cs="仿宋"/>
                <w:b/>
                <w:color w:val="auto"/>
                <w:sz w:val="24"/>
                <w:highlight w:val="none"/>
                <w:lang w:eastAsia="zh-CN"/>
              </w:rPr>
              <w:t>合计报价</w:t>
            </w:r>
          </w:p>
        </w:tc>
        <w:tc>
          <w:tcPr>
            <w:tcW w:w="6726" w:type="dxa"/>
            <w:vAlign w:val="center"/>
          </w:tcPr>
          <w:p>
            <w:pPr>
              <w:pStyle w:val="22"/>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人民币        </w:t>
            </w:r>
            <w:r>
              <w:rPr>
                <w:rFonts w:hint="eastAsia" w:ascii="仿宋" w:hAnsi="仿宋" w:eastAsia="仿宋" w:cs="仿宋"/>
                <w:color w:val="auto"/>
                <w:sz w:val="24"/>
                <w:highlight w:val="none"/>
                <w:u w:val="single"/>
                <w:lang w:eastAsia="zh-CN"/>
              </w:rPr>
              <w:t>元</w:t>
            </w:r>
            <w:r>
              <w:rPr>
                <w:rFonts w:hint="eastAsia" w:ascii="仿宋" w:hAnsi="仿宋" w:eastAsia="仿宋" w:cs="仿宋"/>
                <w:color w:val="auto"/>
                <w:sz w:val="24"/>
                <w:highlight w:val="none"/>
              </w:rPr>
              <w:t xml:space="preserve"> </w:t>
            </w:r>
          </w:p>
          <w:p>
            <w:pPr>
              <w:pStyle w:val="22"/>
              <w:ind w:firstLine="720" w:firstLineChars="300"/>
              <w:rPr>
                <w:rFonts w:hint="eastAsia" w:ascii="仿宋" w:hAnsi="仿宋" w:eastAsia="仿宋" w:cs="仿宋"/>
                <w:i/>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5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color w:val="auto"/>
                <w:sz w:val="24"/>
                <w:highlight w:val="none"/>
              </w:rPr>
              <w:t>服务</w:t>
            </w:r>
            <w:r>
              <w:rPr>
                <w:rFonts w:hint="eastAsia" w:ascii="仿宋" w:hAnsi="仿宋" w:eastAsia="仿宋" w:cs="仿宋"/>
                <w:b/>
                <w:color w:val="auto"/>
                <w:sz w:val="24"/>
                <w:highlight w:val="none"/>
                <w:lang w:eastAsia="zh-CN"/>
              </w:rPr>
              <w:t>期限</w:t>
            </w:r>
          </w:p>
        </w:tc>
        <w:tc>
          <w:tcPr>
            <w:tcW w:w="6726" w:type="dxa"/>
            <w:vAlign w:val="center"/>
          </w:tcPr>
          <w:p>
            <w:pPr>
              <w:pStyle w:val="22"/>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5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服务地点</w:t>
            </w:r>
          </w:p>
        </w:tc>
        <w:tc>
          <w:tcPr>
            <w:tcW w:w="6726" w:type="dxa"/>
            <w:vAlign w:val="center"/>
          </w:tcPr>
          <w:p>
            <w:pPr>
              <w:pStyle w:val="22"/>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53" w:type="dxa"/>
            <w:vAlign w:val="center"/>
          </w:tcPr>
          <w:p>
            <w:pPr>
              <w:pStyle w:val="22"/>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c>
          <w:tcPr>
            <w:tcW w:w="6726" w:type="dxa"/>
            <w:vAlign w:val="center"/>
          </w:tcPr>
          <w:p>
            <w:pPr>
              <w:pStyle w:val="22"/>
              <w:rPr>
                <w:rFonts w:hint="eastAsia" w:ascii="仿宋" w:hAnsi="仿宋" w:eastAsia="仿宋" w:cs="仿宋"/>
                <w:sz w:val="24"/>
                <w:highlight w:val="none"/>
              </w:rPr>
            </w:pPr>
          </w:p>
        </w:tc>
      </w:tr>
    </w:tbl>
    <w:p>
      <w:pPr>
        <w:pStyle w:val="22"/>
        <w:rPr>
          <w:rFonts w:hint="eastAsia" w:ascii="仿宋" w:hAnsi="仿宋" w:eastAsia="仿宋" w:cs="仿宋"/>
          <w:highlight w:val="none"/>
          <w:lang w:val="zh-CN"/>
        </w:rPr>
      </w:pPr>
    </w:p>
    <w:p>
      <w:pPr>
        <w:autoSpaceDE w:val="0"/>
        <w:autoSpaceDN w:val="0"/>
        <w:adjustRightInd w:val="0"/>
        <w:snapToGrid w:val="0"/>
        <w:spacing w:line="360" w:lineRule="auto"/>
        <w:rPr>
          <w:rFonts w:hint="eastAsia" w:ascii="仿宋" w:hAnsi="仿宋" w:eastAsia="仿宋" w:cs="仿宋"/>
          <w:b/>
          <w:bCs/>
          <w:sz w:val="24"/>
          <w:highlight w:val="none"/>
        </w:rPr>
      </w:pPr>
    </w:p>
    <w:p>
      <w:pPr>
        <w:autoSpaceDE w:val="0"/>
        <w:autoSpaceDN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法定代表人</w:t>
      </w:r>
      <w:r>
        <w:rPr>
          <w:rFonts w:hint="eastAsia" w:ascii="仿宋" w:hAnsi="仿宋" w:eastAsia="仿宋" w:cs="仿宋"/>
          <w:sz w:val="24"/>
          <w:highlight w:val="none"/>
        </w:rPr>
        <w:t>或</w:t>
      </w:r>
      <w:r>
        <w:rPr>
          <w:rFonts w:hint="eastAsia" w:ascii="仿宋" w:hAnsi="仿宋" w:eastAsia="仿宋" w:cs="仿宋"/>
          <w:sz w:val="24"/>
          <w:highlight w:val="none"/>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zh-CN"/>
        </w:rPr>
        <w:t>（公章）：                            （</w:t>
      </w:r>
      <w:r>
        <w:rPr>
          <w:rFonts w:hint="eastAsia" w:ascii="仿宋" w:hAnsi="仿宋" w:eastAsia="仿宋" w:cs="仿宋"/>
          <w:b/>
          <w:sz w:val="24"/>
          <w:highlight w:val="none"/>
          <w:lang w:val="zh-CN"/>
        </w:rPr>
        <w:t>签字</w:t>
      </w:r>
      <w:r>
        <w:rPr>
          <w:rFonts w:hint="eastAsia" w:ascii="仿宋" w:hAnsi="仿宋" w:eastAsia="仿宋" w:cs="仿宋"/>
          <w:sz w:val="24"/>
          <w:highlight w:val="none"/>
          <w:lang w:val="zh-CN"/>
        </w:rPr>
        <w:t>）：</w:t>
      </w:r>
    </w:p>
    <w:p>
      <w:pPr>
        <w:autoSpaceDE w:val="0"/>
        <w:autoSpaceDN w:val="0"/>
        <w:adjustRightInd w:val="0"/>
        <w:snapToGrid w:val="0"/>
        <w:spacing w:line="360" w:lineRule="auto"/>
        <w:rPr>
          <w:rFonts w:hint="eastAsia" w:ascii="仿宋" w:hAnsi="仿宋" w:eastAsia="仿宋" w:cs="仿宋"/>
          <w:sz w:val="24"/>
          <w:highlight w:val="none"/>
          <w:lang w:val="zh-CN"/>
        </w:rPr>
      </w:pPr>
    </w:p>
    <w:p>
      <w:pPr>
        <w:autoSpaceDE w:val="0"/>
        <w:autoSpaceDN w:val="0"/>
        <w:adjustRightInd w:val="0"/>
        <w:snapToGrid w:val="0"/>
        <w:spacing w:line="360" w:lineRule="auto"/>
        <w:rPr>
          <w:rFonts w:hint="eastAsia" w:ascii="仿宋" w:hAnsi="仿宋" w:eastAsia="仿宋" w:cs="仿宋"/>
          <w:sz w:val="24"/>
          <w:highlight w:val="none"/>
          <w:lang w:val="zh-CN"/>
        </w:rPr>
      </w:pPr>
    </w:p>
    <w:p>
      <w:pPr>
        <w:autoSpaceDE w:val="0"/>
        <w:autoSpaceDN w:val="0"/>
        <w:adjustRightInd w:val="0"/>
        <w:snapToGrid w:val="0"/>
        <w:spacing w:line="360" w:lineRule="auto"/>
        <w:ind w:firstLine="240" w:firstLineChars="100"/>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年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spacing w:after="120"/>
        <w:rPr>
          <w:rFonts w:hint="eastAsia" w:ascii="仿宋" w:hAnsi="仿宋" w:eastAsia="仿宋" w:cs="仿宋"/>
          <w:b/>
          <w:bCs/>
          <w:sz w:val="30"/>
          <w:szCs w:val="30"/>
          <w:highlight w:val="none"/>
        </w:rPr>
        <w:sectPr>
          <w:footerReference r:id="rId10" w:type="first"/>
          <w:headerReference r:id="rId8" w:type="default"/>
          <w:footerReference r:id="rId9"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highlight w:val="none"/>
          <w:lang w:val="zh-CN"/>
        </w:rPr>
        <w:br w:type="page"/>
      </w:r>
    </w:p>
    <w:p>
      <w:pPr>
        <w:keepNext/>
        <w:keepLines/>
        <w:autoSpaceDE w:val="0"/>
        <w:autoSpaceDN w:val="0"/>
        <w:adjustRightInd w:val="0"/>
        <w:spacing w:line="360" w:lineRule="auto"/>
        <w:jc w:val="center"/>
        <w:outlineLvl w:val="2"/>
        <w:rPr>
          <w:rFonts w:hint="eastAsia"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（最后）分项报价表</w:t>
      </w:r>
    </w:p>
    <w:p>
      <w:pPr>
        <w:adjustRightInd w:val="0"/>
        <w:snapToGrid w:val="0"/>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 xml:space="preserve">             （随身携带，单独提供，无需装订在响应文件中）</w:t>
      </w:r>
    </w:p>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highlight w:val="none"/>
        </w:rPr>
      </w:pPr>
    </w:p>
    <w:tbl>
      <w:tblPr>
        <w:tblStyle w:val="51"/>
        <w:tblpPr w:leftFromText="180" w:rightFromText="180" w:vertAnchor="text" w:horzAnchor="page" w:tblpX="1548" w:tblpY="35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716"/>
        <w:gridCol w:w="1812"/>
        <w:gridCol w:w="1800"/>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noWrap w:val="0"/>
            <w:vAlign w:val="center"/>
          </w:tcPr>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716" w:type="dxa"/>
            <w:noWrap w:val="0"/>
            <w:vAlign w:val="center"/>
          </w:tcPr>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服务名称</w:t>
            </w:r>
          </w:p>
        </w:tc>
        <w:tc>
          <w:tcPr>
            <w:tcW w:w="1812" w:type="dxa"/>
            <w:noWrap w:val="0"/>
            <w:vAlign w:val="center"/>
          </w:tcPr>
          <w:p>
            <w:pPr>
              <w:adjustRightInd w:val="0"/>
              <w:snapToGrid w:val="0"/>
              <w:spacing w:line="360"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服务内容</w:t>
            </w:r>
          </w:p>
        </w:tc>
        <w:tc>
          <w:tcPr>
            <w:tcW w:w="1800" w:type="dxa"/>
            <w:noWrap w:val="0"/>
            <w:vAlign w:val="center"/>
          </w:tcPr>
          <w:p>
            <w:pPr>
              <w:adjustRightInd w:val="0"/>
              <w:snapToGrid w:val="0"/>
              <w:spacing w:line="360" w:lineRule="auto"/>
              <w:jc w:val="center"/>
              <w:rPr>
                <w:rFonts w:hint="eastAsia" w:ascii="仿宋" w:hAnsi="仿宋" w:eastAsia="仿宋" w:cs="仿宋"/>
                <w:b/>
                <w:sz w:val="24"/>
                <w:szCs w:val="24"/>
                <w:highlight w:val="none"/>
                <w:lang w:val="en-US" w:eastAsia="zh-CN"/>
              </w:rPr>
            </w:pPr>
          </w:p>
          <w:p>
            <w:pPr>
              <w:adjustRightInd w:val="0"/>
              <w:snapToGrid w:val="0"/>
              <w:spacing w:line="36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价格 （元）</w:t>
            </w:r>
          </w:p>
          <w:p>
            <w:pPr>
              <w:pStyle w:val="22"/>
              <w:rPr>
                <w:rFonts w:hint="eastAsia" w:ascii="仿宋" w:hAnsi="仿宋" w:eastAsia="仿宋" w:cs="仿宋"/>
                <w:highlight w:val="none"/>
                <w:lang w:val="en-US" w:eastAsia="zh-CN"/>
              </w:rPr>
            </w:pPr>
          </w:p>
        </w:tc>
        <w:tc>
          <w:tcPr>
            <w:tcW w:w="2004" w:type="dxa"/>
            <w:noWrap w:val="0"/>
            <w:vAlign w:val="center"/>
          </w:tcPr>
          <w:p>
            <w:pPr>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716" w:type="dxa"/>
            <w:noWrap w:val="0"/>
            <w:vAlign w:val="center"/>
          </w:tcPr>
          <w:p>
            <w:pPr>
              <w:widowControl/>
              <w:spacing w:line="360" w:lineRule="auto"/>
              <w:jc w:val="both"/>
              <w:rPr>
                <w:rFonts w:hint="eastAsia" w:ascii="仿宋" w:hAnsi="仿宋" w:eastAsia="仿宋" w:cs="仿宋"/>
                <w:sz w:val="24"/>
                <w:szCs w:val="24"/>
                <w:highlight w:val="none"/>
                <w:lang w:val="en-US" w:eastAsia="zh-CN"/>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716" w:type="dxa"/>
            <w:noWrap w:val="0"/>
            <w:vAlign w:val="center"/>
          </w:tcPr>
          <w:p>
            <w:pPr>
              <w:widowControl/>
              <w:spacing w:line="360" w:lineRule="auto"/>
              <w:jc w:val="both"/>
              <w:rPr>
                <w:rFonts w:hint="eastAsia" w:ascii="仿宋" w:hAnsi="仿宋" w:eastAsia="仿宋" w:cs="仿宋"/>
                <w:sz w:val="24"/>
                <w:szCs w:val="24"/>
                <w:highlight w:val="none"/>
                <w:lang w:val="en-US" w:eastAsia="zh-CN"/>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716" w:type="dxa"/>
            <w:noWrap w:val="0"/>
            <w:vAlign w:val="center"/>
          </w:tcPr>
          <w:p>
            <w:pPr>
              <w:widowControl/>
              <w:spacing w:line="360" w:lineRule="auto"/>
              <w:jc w:val="center"/>
              <w:rPr>
                <w:rFonts w:hint="eastAsia" w:ascii="仿宋" w:hAnsi="仿宋" w:eastAsia="仿宋" w:cs="仿宋"/>
                <w:sz w:val="24"/>
                <w:szCs w:val="24"/>
                <w:highlight w:val="none"/>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716" w:type="dxa"/>
            <w:noWrap w:val="0"/>
            <w:vAlign w:val="center"/>
          </w:tcPr>
          <w:p>
            <w:pPr>
              <w:widowControl/>
              <w:spacing w:line="360" w:lineRule="auto"/>
              <w:jc w:val="center"/>
              <w:rPr>
                <w:rFonts w:hint="eastAsia" w:ascii="仿宋" w:hAnsi="仿宋" w:eastAsia="仿宋" w:cs="仿宋"/>
                <w:sz w:val="24"/>
                <w:szCs w:val="24"/>
                <w:highlight w:val="none"/>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6"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716" w:type="dxa"/>
            <w:noWrap w:val="0"/>
            <w:vAlign w:val="center"/>
          </w:tcPr>
          <w:p>
            <w:pPr>
              <w:widowControl/>
              <w:spacing w:line="360" w:lineRule="auto"/>
              <w:jc w:val="center"/>
              <w:rPr>
                <w:rFonts w:hint="eastAsia" w:ascii="仿宋" w:hAnsi="仿宋" w:eastAsia="仿宋" w:cs="仿宋"/>
                <w:sz w:val="24"/>
                <w:szCs w:val="24"/>
                <w:highlight w:val="none"/>
              </w:rPr>
            </w:pPr>
          </w:p>
        </w:tc>
        <w:tc>
          <w:tcPr>
            <w:tcW w:w="1812" w:type="dxa"/>
            <w:noWrap w:val="0"/>
            <w:vAlign w:val="center"/>
          </w:tcPr>
          <w:p>
            <w:pPr>
              <w:widowControl/>
              <w:spacing w:line="360" w:lineRule="auto"/>
              <w:jc w:val="center"/>
              <w:rPr>
                <w:rFonts w:hint="eastAsia" w:ascii="仿宋" w:hAnsi="仿宋" w:eastAsia="仿宋" w:cs="仿宋"/>
                <w:sz w:val="24"/>
                <w:szCs w:val="24"/>
                <w:highlight w:val="none"/>
              </w:rPr>
            </w:pPr>
          </w:p>
        </w:tc>
        <w:tc>
          <w:tcPr>
            <w:tcW w:w="1800" w:type="dxa"/>
            <w:noWrap w:val="0"/>
            <w:vAlign w:val="center"/>
          </w:tcPr>
          <w:p>
            <w:pPr>
              <w:widowControl/>
              <w:spacing w:line="360" w:lineRule="auto"/>
              <w:jc w:val="center"/>
              <w:rPr>
                <w:rFonts w:hint="eastAsia" w:ascii="仿宋" w:hAnsi="仿宋" w:eastAsia="仿宋" w:cs="仿宋"/>
                <w:sz w:val="24"/>
                <w:szCs w:val="24"/>
                <w:highlight w:val="none"/>
              </w:rPr>
            </w:pP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64" w:type="dxa"/>
            <w:gridSpan w:val="4"/>
            <w:noWrap w:val="0"/>
            <w:vAlign w:val="center"/>
          </w:tcPr>
          <w:p>
            <w:pPr>
              <w:widowControl/>
              <w:spacing w:line="360" w:lineRule="auto"/>
              <w:ind w:firstLine="1440" w:firstLineChars="6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合计</w:t>
            </w:r>
          </w:p>
        </w:tc>
        <w:tc>
          <w:tcPr>
            <w:tcW w:w="2004" w:type="dxa"/>
            <w:noWrap w:val="0"/>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p>
        </w:tc>
      </w:tr>
    </w:tbl>
    <w:p>
      <w:pPr>
        <w:adjustRightInd w:val="0"/>
        <w:snapToGrid w:val="0"/>
        <w:spacing w:before="175" w:beforeLines="50" w:line="360" w:lineRule="auto"/>
        <w:ind w:left="-88" w:leftChars="-42"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adjustRightInd w:val="0"/>
        <w:snapToGrid w:val="0"/>
        <w:spacing w:line="360" w:lineRule="auto"/>
        <w:ind w:left="-88" w:leftChars="-42"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1、供应商必须按本</w:t>
      </w:r>
      <w:r>
        <w:rPr>
          <w:rFonts w:hint="eastAsia" w:ascii="仿宋" w:hAnsi="仿宋" w:eastAsia="仿宋" w:cs="仿宋"/>
          <w:bCs/>
          <w:sz w:val="24"/>
          <w:szCs w:val="24"/>
          <w:highlight w:val="none"/>
        </w:rPr>
        <w:t>表的格式</w:t>
      </w:r>
      <w:r>
        <w:rPr>
          <w:rFonts w:hint="eastAsia" w:ascii="仿宋" w:hAnsi="仿宋" w:eastAsia="仿宋" w:cs="仿宋"/>
          <w:sz w:val="24"/>
          <w:szCs w:val="24"/>
          <w:highlight w:val="none"/>
        </w:rPr>
        <w:t>详细报出总报价的各个组成部分的报价，否则作无效响应文件处理；报价精确到小数点后两位；</w:t>
      </w:r>
    </w:p>
    <w:p>
      <w:pPr>
        <w:adjustRightInd w:val="0"/>
        <w:snapToGrid w:val="0"/>
        <w:spacing w:line="360" w:lineRule="auto"/>
        <w:ind w:left="-88" w:leftChars="-42"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2、本</w:t>
      </w:r>
      <w:r>
        <w:rPr>
          <w:rFonts w:hint="eastAsia" w:ascii="仿宋" w:hAnsi="仿宋" w:eastAsia="仿宋" w:cs="仿宋"/>
          <w:bCs/>
          <w:sz w:val="24"/>
          <w:szCs w:val="24"/>
          <w:highlight w:val="none"/>
        </w:rPr>
        <w:t>表各分项报价合计应当与“磋商响应函”</w:t>
      </w:r>
      <w:r>
        <w:rPr>
          <w:rFonts w:hint="eastAsia" w:ascii="仿宋" w:hAnsi="仿宋" w:eastAsia="仿宋" w:cs="仿宋"/>
          <w:bCs/>
          <w:sz w:val="24"/>
          <w:szCs w:val="24"/>
          <w:highlight w:val="none"/>
          <w:lang w:eastAsia="zh-CN"/>
        </w:rPr>
        <w:t>及“首次响应报价表”</w:t>
      </w:r>
      <w:r>
        <w:rPr>
          <w:rFonts w:hint="eastAsia" w:ascii="仿宋" w:hAnsi="仿宋" w:eastAsia="仿宋" w:cs="仿宋"/>
          <w:bCs/>
          <w:sz w:val="24"/>
          <w:szCs w:val="24"/>
          <w:highlight w:val="none"/>
        </w:rPr>
        <w:t>报价相等；</w:t>
      </w:r>
      <w:r>
        <w:rPr>
          <w:rFonts w:hint="eastAsia" w:ascii="仿宋" w:hAnsi="仿宋" w:eastAsia="仿宋" w:cs="仿宋"/>
          <w:sz w:val="24"/>
          <w:szCs w:val="24"/>
          <w:highlight w:val="none"/>
        </w:rPr>
        <w:t>如果按单价计算的结果与报价不一致时，以单价为准修正报价与合计报价；</w:t>
      </w:r>
    </w:p>
    <w:p>
      <w:pPr>
        <w:adjustRightInd w:val="0"/>
        <w:snapToGrid w:val="0"/>
        <w:spacing w:line="36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供 应 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pPr>
        <w:adjustRightInd w:val="0"/>
        <w:snapToGrid w:val="0"/>
        <w:spacing w:line="36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w:t>
      </w:r>
    </w:p>
    <w:p>
      <w:pPr>
        <w:pStyle w:val="22"/>
        <w:rPr>
          <w:rFonts w:hint="eastAsia" w:ascii="仿宋" w:hAnsi="仿宋" w:eastAsia="仿宋" w:cs="仿宋"/>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日</w:t>
      </w: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widowControl/>
        <w:jc w:val="left"/>
        <w:rPr>
          <w:rFonts w:hint="eastAsia" w:ascii="仿宋" w:hAnsi="仿宋" w:eastAsia="仿宋" w:cs="仿宋"/>
          <w:b/>
          <w:sz w:val="28"/>
          <w:szCs w:val="28"/>
          <w:highlight w:val="none"/>
        </w:rPr>
      </w:pPr>
    </w:p>
    <w:sectPr>
      <w:footerReference r:id="rId12" w:type="first"/>
      <w:footerReference r:id="rId11"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STXihei">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DATkbUBAgAAEgQAAA4AAABkcnMvZTJvRG9jLnhtbK1TwW7bMAy9D9g/&#10;CLovdhKk6Iw4Rdcgw4BuK9D2AxRZjoVZokApsbOvHyXbWddeetjFoCXy8b1Han3Tm5adFHoNtuTz&#10;Wc6ZshIqbQ8lf37afbrmzAdhK9GCVSU/K89vNh8/rDtXqAU00FYKGYFYX3Su5E0IrsgyLxtlhJ+B&#10;U5Yua0AjAv3iIatQdIRu2myR51dZB1g5BKm8p9PtcMlHRHwPINS1lmoL8miUDQMqqlYEkuQb7Tzf&#10;JLZ1rWT4WddeBdaWnJSG9KUmFO/jN9usRXFA4RotRwriPRReaTJCW2p6gdqKINgR9RsooyWChzrM&#10;JJhsEJIcIRXz/JU3j41wKmkhq727mO7/H6z8cXpApquSX3FmhaGBP6k+sC/Qs3m+WEWDOucLynt0&#10;lBl6uqG1SWK9uwf5yzMLd42wB3WLCF2jREUE57Eye1E64PgIsu++Q0WdxDFAAuprNNE98oMROg3n&#10;fBlOZCNjy+Xy8/WKM0lX89UyXyZumSimYoc+fFVgWAxKjjT7BC5O9z5EMqKYUmIvCzvdtmn+rf3n&#10;gBKHE5UWaKyOUiL7QUfo9/1ozR6qM4lCGJaLnhYFDeBvzjparJJbekectd8s2RJ3cApwCvZTIKyk&#10;wpIHzobwLgy7enSoDw3hTsbfknU7nWRFYgOH0XBalaR2XOu4iy//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AwE5G1AQIAABIEAAAOAAAAAAAAAAEAIAAAAB8BAABkcnMvZTJvRG9j&#10;LnhtbFBLBQYAAAAABgAGAFkBAACS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7052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WB10cAAgAAEgQAAA4AAABkcnMvZTJvRG9jLnhtbK1TTW/bMAy9D9h/&#10;EHRfbCfI0Blxiq5BhgHdB9DuByiyHAuzRIFSYme/fpRsZ1136WEXg5bIx/ceqc3tYDp2Vug12IoX&#10;i5wzZSXU2h4r/uNp/+6GMx+ErUUHVlX8ojy/3b59s+ldqZbQQlcrZARifdm7irchuDLLvGyVEX4B&#10;Tlm6bACNCPSLx6xG0RO66bJlnr/PesDaIUjlPZ3uxks+IeJrAKFptFQ7kCejbBhRUXUikCTfauf5&#10;NrFtGiXDt6bxKrCu4qQ0pC81ofgQv9l2I8ojCtdqOVEQr6HwQpMR2lLTK9ROBMFOqP+BMloieGjC&#10;QoLJRiHJEVJR5C+8eWyFU0kLWe3d1XT//2Dl1/N3ZLqmTeDMCkMDf1JDYB9hYEW+XEeDeudLynt0&#10;lBkGuonJUax3DyB/embhvhX2qO4QoW+VqIlgESuzZ6Ujjo8gh/4L1NRJnAIkoKFBEwHJD0boNJzL&#10;dTiRjYwtV6sPN2vOJF0V61W+StwyUc7FDn34pMCwGFQcafYJXJwffIhkRDmnxF4W9rrr0vw7+9cB&#10;JY4nKi3QVB2lRPajjjAchsmaA9QXEoUwLhc9LQpawF+c9bRYFbf0jjjrPluyJe7gHOAcHOZAWEmF&#10;FQ+cjeF9GHf15FAfW8Kdjb8j6/Y6yYrERg6T4bQqSe201nEXn/+nrD9Pe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tdM9AAAAADAQAADwAAAAAAAAABACAAAAAiAAAAZHJzL2Rvd25yZXYueG1s&#10;UEsBAhQAFAAAAAgAh07iQLWB10cAAgAAEgQAAA4AAAAAAAAAAQAgAAAAHwEAAGRycy9lMm9Eb2Mu&#10;eG1sUEsFBgAAAAAGAAYAWQEAAJEFA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7155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05w4EBAgAAEgQAAA4AAABkcnMvZTJvRG9jLnhtbK1TTW/bMAy9D9h/&#10;EHRfbCfI0Blxiq5BhgHdB9DuByiyHAuzRIFSYme/fpRsZ1136WEXg5bIx/ceqc3tYDp2Vug12IoX&#10;i5wzZSXU2h4r/uNp/+6GMx+ErUUHVlX8ojy/3b59s+ldqZbQQlcrZARifdm7irchuDLLvGyVEX4B&#10;Tlm6bACNCPSLx6xG0RO66bJlnr/PesDaIUjlPZ3uxks+IeJrAKFptFQ7kCejbBhRUXUikCTfauf5&#10;NrFtGiXDt6bxKrCu4qQ0pC81ofgQv9l2I8ojCtdqOVEQr6HwQpMR2lLTK9ROBMFOqP+BMloieGjC&#10;QoLJRiHJEVJR5C+8eWyFU0kLWe3d1XT//2Dl1/N3ZLqu+IozKwwN/EkNgX2EgRX5ch0N6p0vKe/R&#10;UWYY6IbWJon17gHkT88s3LfCHtUdIvStEjURLGJl9qx0xPER5NB/gZo6iVOABDQ0aKJ75AcjdBrO&#10;5TqcyEbGlqvVh5s1Z5KuivUqXyVumSjnYoc+fFJgWAwqjjT7BC7ODz5EMqKcU2IvC3vddWn+nf3r&#10;gBLHE5UWaKqOUiL7UUcYDsNkzQHqC4lCGJeLnhYFLeAvznparIpbekecdZ8t2RJ3cA5wDg5zIKyk&#10;wooHzsbwPoy7enKojy3hzsbfkXV7nWRFYiOHyXBalaR2Wuu4i8//U9afp7z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DtOcOBAQIAABIEAAAOAAAAAAAAAAEAIAAAAB8BAABkcnMvZTJvRG9j&#10;LnhtbFBLBQYAAAAABgAGAFkBAACS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v:textbox>
            </v:shape>
          </w:pict>
        </mc:Fallback>
      </mc:AlternateContent>
    </w:r>
    <w:r>
      <w:rPr>
        <w:rFonts w:hint="eastAsia" w:eastAsia="宋体"/>
        <w:b/>
        <w:bCs/>
        <w:i/>
        <w:iCs/>
      </w:rPr>
      <w:t>陕西星火工程管理有限公司                                        西安市高新路尚品国际C幢北12804室</w:t>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pPr>
    <w:r>
      <w:rPr>
        <w:b/>
        <w:bCs/>
        <w:i/>
        <w:iC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NZiMYAAgAAEwQAAA4AAABkcnMvZTJvRG9jLnhtbK1Ty27bMBC8F+g/&#10;ELzXkmy4SAXLQRrDRYH0AST9AJqiLKIil1jSltyv75KS3DS95NCLsCKXszPD4eZ2MB07K/QabMWL&#10;Rc6ZshJqbY8V//G0f3fDmQ/C1qIDqyp+UZ7fbt++2fSuVEtooasVMgKxvuxdxdsQXJllXrbKCL8A&#10;pyxtNoBGBPrFY1aj6AnddNkyz99nPWDtEKTynlZ34yafEPE1gNA0WqodyJNRNoyoqDoRSJJvtfN8&#10;m9g2jZLhW9N4FVhXcVIa0peGUH2I32y7EeURhWu1nCiI11B4ockIbWnoFWongmAn1P9AGS0RPDRh&#10;IcFko5DkCKko8hfePLbCqaSFrPbuarr/f7Dy6/k7Ml1TEsgSKwzd+JMaAvsIAyvy5To61DtfUuOj&#10;o9Yw0A51J7XePYD86ZmF+1bYo7pDhL5VoiaGRTyZPTs64vgIcui/QE2TxClAAhoaNNE+MoQROlG5&#10;XG8nspFx5Gr14WbNmaStYr3KV4lbJsr5sEMfPikwLBYVR7r8BC7ODz5EMqKcW+IsC3vddSkAnf1r&#10;gRrHFZUSNJ2OUiL7UUcYDsNkzQHqC4lCGNNFb4uKFvAXZz0lq+KWHhJn3WdLtsQQzgXOxWEuhJV0&#10;sOKBs7G8D2NYTw71sSXc2fg7sm6vk6xIbOQwGU5ZSWqnXMcwPv9PXX/e8v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tdM9AAAAADAQAADwAAAAAAAAABACAAAAAiAAAAZHJzL2Rvd25yZXYueG1s&#10;UEsBAhQAFAAAAAgAh07iQONZiMYAAgAAEwQAAA4AAAAAAAAAAQAgAAAAHwEAAGRycy9lMm9Eb2Mu&#10;eG1sUEsFBgAAAAAGAAYAWQEAAJEFA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1ubIkTcCAABh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FvSCEs0UHvzh&#10;x/eHn78e7r+RcaSntX6GqI1FXOjemQ6iGc49DiPqrnIqfoGHwA9yj2dyRRcIj5cm0/ztlBIO13g6&#10;ucgT+dnjZet8eC+MItEoqMPbJUrZYe0DGkHoEBJrabNqpEzvJzVpC3r5epqnC2cPbkgdY0VSwilN&#10;BNQ3Hq3QbbsTyq0pjwDpTK8Sb/mqQStr5sMdc5AFcGFwwi2WShqUNCeLktq4r/86j/F4LXgpaSGz&#10;gmpMFSXyg8YrRkUOhhuM7WDovbox0O0YA2l5MnHBBTmYlTPqC6ZpEWvAxTRHpYKGwbwJvdQxjVws&#10;FikIurMsrPXG8pg60uPtYh9AZ2I5ktIzAcrjBspL5J+m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NbmyJE3AgAAYQQAAA4AAAAAAAAAAQAgAAAAIQEAAGRycy9lMm9Eb2Mu&#10;eG1sUEsFBgAAAAAGAAYAWQEAAMoFA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pPr>
    <w:r>
      <mc:AlternateContent>
        <mc:Choice Requires="wps">
          <w:drawing>
            <wp:anchor distT="0" distB="0" distL="114300" distR="114300" simplePos="0" relativeHeight="251659264" behindDoc="0" locked="0" layoutInCell="1" allowOverlap="1">
              <wp:simplePos x="0" y="0"/>
              <wp:positionH relativeFrom="margin">
                <wp:posOffset>2390775</wp:posOffset>
              </wp:positionH>
              <wp:positionV relativeFrom="paragraph">
                <wp:posOffset>165100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8.25pt;margin-top:13pt;height:12pt;width:9.85pt;mso-position-horizontal-relative:margin;mso-wrap-style:none;z-index:251659264;mso-width-relative:page;mso-height-relative:page;" filled="f" stroked="f" coordsize="21600,21600" o:gfxdata="UEsDBAoAAAAAAIdO4kAAAAAAAAAAAAAAAAAEAAAAZHJzL1BLAwQUAAAACACHTuJAN7OiA9cAAAAJ&#10;AQAADwAAAGRycy9kb3ducmV2LnhtbE2Py07DMBBF90j8gzVI7KjdhAYImVSiIiyRaFiwdOMhCfgR&#10;2W4a/h6zosvRHN17brVdjGYz+TA6i7BeCWBkO6dG2yO8t83NPbAQpVVSO0sIPxRgW19eVLJU7mTf&#10;aN7HnqUQG0qJMMQ4lZyHbiAjw8pNZNPv03kjYzp9z5WXpxRuNM+EKLiRo00Ng5xoN1D3vT8ahF3T&#10;tn6m4PUHvTT51+vTLT0viNdXa/EILNIS/2H400/qUCengztaFZhGyO+KTUIRsiJtSkD+UGTADggb&#10;IYDXFT9fUP8CUEsDBBQAAAAIAIdO4kCUa8ogNwIAAGMEAAAOAAAAZHJzL2Uyb0RvYy54bWytVM2O&#10;0zAQviPxDpbvNGnZrqDadFW2KkKq2JUK4uw6ThPJf7LdJuUB4A04cdk7z7XPwWen6aKFwx64OGPP&#10;eGa+z9/k6rpTkhyE843RBR2PckqE5qZs9K6gnz+tXr2hxAemSyaNFgU9Ck+v5y9fXLV2JiamNrIU&#10;jiCJ9rPWFrQOwc6yzPNaKOZHxgoNZ2WcYgFbt8tKx1pkVzKb5Pll1hpXWme48B6ny95JTxndcxKa&#10;qmq4WBq+V0KHPqsTkgVA8nVjPZ2nbqtK8HBbVV4EIgsKpCGtKAJ7G9dsfsVmO8ds3fBTC+w5LTzB&#10;pFijUfScaskCI3vX/JVKNdwZb6ow4kZlPZDECFCM8yfcbGpmRcICqr09k+7/X1r+8XDnSFNCCReU&#10;aKbw4g8/vj/8/PVw/43gDAS11s8Qt7GIDN070yF4OPc4jLi7yqn4BSICP+g9nukVXSA8XppM87dT&#10;Sjhc4+nkIk/0Z4+XrfPhvTCKRKOgDq+XSGWHtQ9oBKFDSKylzaqRMr2g1KQt6OXraZ4unD24IXWM&#10;FUkLpzQRUN94tEK37U4ot6Y8AqQzvU685asGrayZD3fMQRjAhdEJt1gqaVDSnCxKauO+/us8xuO9&#10;4KWkhdAKqjFXlMgPGu8YNTkYbjC2g6H36sZAuWOMpOXJxAUX5GBWzqgvmKdFrAEX0xyVChoG8yb0&#10;Ysc8crFYpCAoz7Kw1hvLY+pIj7eLfQCdieVISs8EKI8baC+Rf5qTKO4/9ynq8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s6ID1wAAAAkBAAAPAAAAAAAAAAEAIAAAACIAAABkcnMvZG93bnJl&#10;di54bWxQSwECFAAUAAAACACHTuJAlGvKIDcCAABjBAAADgAAAAAAAAABACAAAAAmAQAAZHJzL2Uy&#10;b0RvYy54bWxQSwUGAAAAAAYABgBZAQAAzwUAAAAA&#10;">
              <v:fill on="f" focussize="0,0"/>
              <v:stroke on="f" weight="0.5pt"/>
              <v:imagedata o:title=""/>
              <o:lock v:ext="edit" aspectratio="f"/>
              <v:textbox inset="0mm,0mm,0mm,0mm" style="mso-fit-shape-to-text:t;">
                <w:txbxContent>
                  <w:p>
                    <w:pPr>
                      <w:pStyle w:val="34"/>
                    </w:pPr>
                  </w:p>
                </w:txbxContent>
              </v:textbox>
            </v:shape>
          </w:pict>
        </mc:Fallback>
      </mc:AlternateContent>
    </w:r>
    <w:r>
      <w:rPr>
        <w:b/>
        <w:bCs/>
        <w:i/>
        <w:iC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33985" cy="153035"/>
              <wp:effectExtent l="0" t="0" r="0" b="0"/>
              <wp:wrapNone/>
              <wp:docPr id="1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643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8FgqUBAgAAEwQAAA4AAABkcnMvZTJvRG9jLnhtbK1Ty27bMBC8F+g/&#10;ELzXkmy4SAXLQRrDRYH0AST9AJqiLKIil1jSltyv75KS3DS95NCLsCKXszPD4eZ2MB07K/QabMWL&#10;Rc6ZshJqbY8V//G0f3fDmQ/C1qIDqyp+UZ7fbt++2fSuVEtooasVMgKxvuxdxdsQXJllXrbKCL8A&#10;pyxtNoBGBPrFY1aj6AnddNkyz99nPWDtEKTynlZ34yafEPE1gNA0WqodyJNRNoyoqDoRSJJvtfN8&#10;m9g2jZLhW9N4FVhXcVIa0peGUH2I32y7EeURhWu1nCiI11B4ockIbWnoFWongmAn1P9AGS0RPDRh&#10;IcFko5DkCKko8hfePLbCqaSFrPbuarr/f7Dy6/k7Ml1TEgrOrDB0409qCOwjDKzIl+voUO98SY2P&#10;jlrDQDvUndR69wDyp2cW7lthj+oOEfpWiZoYFvFk9uzoiOMjyKH/AjVNEqcACWho0ET7yBBG6HQ7&#10;l+vtRDYyjlytPtysOZO0VaxX+Spxy0Q5H3bowycFhsWi4kiXn8DF+cGHSEaUc0ucZWGvuy4FoLN/&#10;LVDjuKJSgqbTUUpkP+oIw2GYrDlAfSFRCGO66G1R0QL+4qynZFXc0kPirPtsyZYYwrnAuTjMhbCS&#10;DlY8cDaW92EM68mhPraEOxt/R9btdZIViY0cJsMpK0ntlOsYxuf/qevPW9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DPBYKlAQIAABMEAAAOAAAAAAAAAAEAIAAAAB8BAABkcnMvZTJvRG9j&#10;LnhtbFBLBQYAAAAABgAGAFkBAACS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67</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5408" behindDoc="0" locked="0" layoutInCell="1" allowOverlap="1">
              <wp:simplePos x="0" y="0"/>
              <wp:positionH relativeFrom="margin">
                <wp:posOffset>2818765</wp:posOffset>
              </wp:positionH>
              <wp:positionV relativeFrom="paragraph">
                <wp:posOffset>0</wp:posOffset>
              </wp:positionV>
              <wp:extent cx="125095"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21.95pt;margin-top:0pt;height:12pt;width:9.85pt;mso-position-horizontal-relative:margin;mso-wrap-style:none;z-index:251665408;mso-width-relative:page;mso-height-relative:page;" filled="f" stroked="f" coordsize="21600,21600" o:gfxdata="UEsDBAoAAAAAAIdO4kAAAAAAAAAAAAAAAAAEAAAAZHJzL1BLAwQUAAAACACHTuJAnzosHtUAAAAH&#10;AQAADwAAAGRycy9kb3ducmV2LnhtbE2PMU/DMBSEdyT+g/WQ2Kjdxoog5KUSFWFEounA6MavSUps&#10;R7abhn+PmWA83enuu3K7mJHN5MPgLMJ6JYCRbZ0ebIdwaOqHR2AhKqvV6CwhfFOAbXV7U6pCu6v9&#10;oHkfO5ZKbCgUQh/jVHAe2p6MCis3kU3eyXmjYpK+49qrayo3I98IkXOjBpsWejXRrqf2a38xCLu6&#10;afxMwY+f9FZn5/cXSa8L4v3dWjwDi7TEvzD84id0qBLT0V2sDmxEkDJ7SlGE9CjZMs9yYEeEjRTA&#10;q5L/569+AFBLAwQUAAAACACHTuJAf1R/HjYCAABiBAAADgAAAGRycy9lMm9Eb2MueG1srVTNjtMw&#10;EL4j8Q6W7zRpoSuomq7KVkVIK3algji7jtNE8p9st0l5AHgDTly481x9Dj47TRctHPbAxRl7xjPz&#10;ff4m8+tOSXIQzjdGF3Q8yikRmpuy0buCfvq4fvGaEh+YLpk0WhT0KDy9Xjx/Nm/tTExMbWQpHEES&#10;7WetLWgdgp1lmee1UMyPjBUazso4xQK2bpeVjrXIrmQ2yfOrrDWutM5w4T1OV72TnjO6pyQ0VdVw&#10;sTJ8r4QOfVYnJAuA5OvGerpI3VaV4OGuqrwIRBYUSENaUQT2Nq7ZYs5mO8ds3fBzC+wpLTzCpFij&#10;UfSSasUCI3vX/JVKNdwZb6ow4kZlPZDECFCM80fcbGpmRcICqr29kO7/X1r+4XDvSFNCCRNKNFN4&#10;8dP3b6cfv04/v5Jx5Ke1foawjUVg6N6aDrHDucdhhN1VTsUvABH4we7xwq7oAuHx0mSav5lSwuEa&#10;Tyev8sR+9nDZOh/eCaNINArq8HiJU3a49QGNIHQIibW0WTdSpgeUmrQFvXo5zdOFiwc3pI6xIknh&#10;nCYC6huPVui23Rnl1pRHgHSml4m3fN2glVvmwz1z0AVwYXLCHZZKGpQ0Z4uS2rgv/zqP8XgueClp&#10;obOCaowVJfK9xjNGSQ6GG4ztYOi9ujEQ7hgTaXkyccEFOZiVM+ozxmkZa8DFNEelgobBvAm91jGO&#10;XCyXKQjCsyzc6o3lMXWkx9vlPoDOxHIkpWcClMcNpJfIP49J1Paf+xT18G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Oiwe1QAAAAcBAAAPAAAAAAAAAAEAIAAAACIAAABkcnMvZG93bnJldi54&#10;bWxQSwECFAAUAAAACACHTuJAf1R/HjYCAABiBAAADgAAAAAAAAABACAAAAAkAQAAZHJzL2Uyb0Rv&#10;Yy54bWxQSwUGAAAAAAYABgBZAQAAzAU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b/>
        <w:bCs/>
        <w:i/>
        <w:iCs/>
      </w:rPr>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5237480"/>
          <wp:effectExtent l="0" t="0" r="2540" b="1270"/>
          <wp:wrapNone/>
          <wp:docPr id="2"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b/>
        <w:bCs/>
        <w:i/>
        <w:iCs/>
        <w:lang w:eastAsia="zh-CN"/>
      </w:rPr>
      <w:t>铜川市耀州区庙湾镇智慧香菇大数据平台服务项目</w:t>
    </w:r>
    <w:r>
      <w:rPr>
        <w:rFonts w:hint="eastAsia" w:eastAsia="宋体"/>
        <w:b/>
        <w:bCs/>
        <w:i/>
        <w:iCs/>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5237480"/>
          <wp:effectExtent l="0" t="0" r="2540" b="1270"/>
          <wp:wrapNone/>
          <wp:docPr id="7"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b/>
        <w:bCs/>
        <w:i/>
        <w:iCs/>
      </w:rPr>
    </w:pPr>
    <w:r>
      <w:rPr>
        <w:rFonts w:hint="eastAsia" w:eastAsia="宋体"/>
        <w:b/>
        <w:bCs/>
        <w:i/>
        <w:iCs/>
        <w:lang w:eastAsia="zh-CN"/>
      </w:rPr>
      <w:t>铜川市耀州区庙湾镇智慧香菇大数据平台服务项目</w:t>
    </w:r>
    <w:r>
      <w:rPr>
        <w:rFonts w:hint="eastAsia" w:eastAsia="宋体"/>
        <w:b/>
        <w:bCs/>
        <w:i/>
        <w:iCs/>
      </w:rPr>
      <w:t>竞争性磋商文件</w:t>
    </w:r>
  </w:p>
  <w:p/>
  <w:p>
    <w:pPr>
      <w:pStyle w:val="35"/>
      <w:pBdr>
        <w:bottom w:val="none" w:color="auto" w:sz="0" w:space="0"/>
      </w:pBdr>
      <w:jc w:val="both"/>
    </w:pPr>
    <w: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5237480"/>
          <wp:effectExtent l="0" t="0" r="2540" b="1270"/>
          <wp:wrapNone/>
          <wp:docPr id="8"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8A5725A"/>
    <w:multiLevelType w:val="singleLevel"/>
    <w:tmpl w:val="C8A5725A"/>
    <w:lvl w:ilvl="0" w:tentative="0">
      <w:start w:val="1"/>
      <w:numFmt w:val="decimal"/>
      <w:suff w:val="nothing"/>
      <w:lvlText w:val="（%1）"/>
      <w:lvlJc w:val="left"/>
      <w:pPr>
        <w:ind w:left="700" w:leftChars="0" w:firstLine="0" w:firstLineChars="0"/>
      </w:pPr>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FBA534B8"/>
    <w:multiLevelType w:val="singleLevel"/>
    <w:tmpl w:val="FBA534B8"/>
    <w:lvl w:ilvl="0" w:tentative="0">
      <w:start w:val="5"/>
      <w:numFmt w:val="chineseCounting"/>
      <w:suff w:val="space"/>
      <w:lvlText w:val="第%1章"/>
      <w:lvlJc w:val="left"/>
      <w:rPr>
        <w:rFonts w:hint="eastAsia"/>
      </w:rPr>
    </w:lvl>
  </w:abstractNum>
  <w:abstractNum w:abstractNumId="4">
    <w:nsid w:val="0000000E"/>
    <w:multiLevelType w:val="multilevel"/>
    <w:tmpl w:val="0000000E"/>
    <w:lvl w:ilvl="0" w:tentative="0">
      <w:start w:val="1"/>
      <w:numFmt w:val="decimal"/>
      <w:pStyle w:val="94"/>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59CB8E8"/>
    <w:multiLevelType w:val="singleLevel"/>
    <w:tmpl w:val="359CB8E8"/>
    <w:lvl w:ilvl="0" w:tentative="0">
      <w:start w:val="1"/>
      <w:numFmt w:val="chineseCounting"/>
      <w:suff w:val="nothing"/>
      <w:lvlText w:val="%1、"/>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4B1FB4C9"/>
    <w:multiLevelType w:val="singleLevel"/>
    <w:tmpl w:val="4B1FB4C9"/>
    <w:lvl w:ilvl="0" w:tentative="0">
      <w:start w:val="1"/>
      <w:numFmt w:val="decimal"/>
      <w:suff w:val="nothing"/>
      <w:lvlText w:val="（%1）"/>
      <w:lvlJc w:val="left"/>
    </w:lvl>
  </w:abstractNum>
  <w:abstractNum w:abstractNumId="13">
    <w:nsid w:val="537AA372"/>
    <w:multiLevelType w:val="singleLevel"/>
    <w:tmpl w:val="537AA372"/>
    <w:lvl w:ilvl="0" w:tentative="0">
      <w:start w:val="21"/>
      <w:numFmt w:val="decimal"/>
      <w:suff w:val="space"/>
      <w:lvlText w:val="%1."/>
      <w:lvlJc w:val="left"/>
    </w:lvl>
  </w:abstractNum>
  <w:abstractNum w:abstractNumId="14">
    <w:nsid w:val="5AA8DCB0"/>
    <w:multiLevelType w:val="singleLevel"/>
    <w:tmpl w:val="5AA8DCB0"/>
    <w:lvl w:ilvl="0" w:tentative="0">
      <w:start w:val="1"/>
      <w:numFmt w:val="decimal"/>
      <w:suff w:val="nothing"/>
      <w:lvlText w:val="%1、"/>
      <w:lvlJc w:val="left"/>
    </w:lvl>
  </w:abstractNum>
  <w:abstractNum w:abstractNumId="15">
    <w:nsid w:val="5AAB3475"/>
    <w:multiLevelType w:val="singleLevel"/>
    <w:tmpl w:val="5AAB3475"/>
    <w:lvl w:ilvl="0" w:tentative="0">
      <w:start w:val="1"/>
      <w:numFmt w:val="decimal"/>
      <w:lvlText w:val="%1."/>
      <w:lvlJc w:val="left"/>
      <w:pPr>
        <w:ind w:left="425" w:hanging="425"/>
      </w:pPr>
      <w:rPr>
        <w:rFonts w:hint="default"/>
      </w:rPr>
    </w:lvl>
  </w:abstractNum>
  <w:abstractNum w:abstractNumId="16">
    <w:nsid w:val="5AAB3487"/>
    <w:multiLevelType w:val="singleLevel"/>
    <w:tmpl w:val="5AAB3487"/>
    <w:lvl w:ilvl="0" w:tentative="0">
      <w:start w:val="1"/>
      <w:numFmt w:val="decimal"/>
      <w:lvlText w:val="%1)"/>
      <w:lvlJc w:val="left"/>
      <w:pPr>
        <w:ind w:left="567" w:hanging="425"/>
      </w:pPr>
      <w:rPr>
        <w:rFonts w:hint="default"/>
      </w:rPr>
    </w:lvl>
  </w:abstractNum>
  <w:abstractNum w:abstractNumId="17">
    <w:nsid w:val="5B243795"/>
    <w:multiLevelType w:val="singleLevel"/>
    <w:tmpl w:val="5B243795"/>
    <w:lvl w:ilvl="0" w:tentative="0">
      <w:start w:val="1"/>
      <w:numFmt w:val="decimal"/>
      <w:lvlText w:val="%1、"/>
      <w:lvlJc w:val="left"/>
      <w:pPr>
        <w:tabs>
          <w:tab w:val="left" w:pos="1125"/>
        </w:tabs>
        <w:ind w:left="1125" w:hanging="480"/>
      </w:pPr>
      <w:rPr>
        <w:rFonts w:hint="eastAsia"/>
      </w:rPr>
    </w:lvl>
  </w:abstractNum>
  <w:abstractNum w:abstractNumId="18">
    <w:nsid w:val="624D1350"/>
    <w:multiLevelType w:val="singleLevel"/>
    <w:tmpl w:val="624D1350"/>
    <w:lvl w:ilvl="0" w:tentative="0">
      <w:start w:val="25"/>
      <w:numFmt w:val="decimal"/>
      <w:suff w:val="space"/>
      <w:lvlText w:val="%1."/>
      <w:lvlJc w:val="left"/>
    </w:lvl>
  </w:abstractNum>
  <w:abstractNum w:abstractNumId="19">
    <w:nsid w:val="6CEA2025"/>
    <w:multiLevelType w:val="multilevel"/>
    <w:tmpl w:val="6CEA2025"/>
    <w:lvl w:ilvl="0" w:tentative="0">
      <w:start w:val="1"/>
      <w:numFmt w:val="none"/>
      <w:pStyle w:val="242"/>
      <w:suff w:val="nothing"/>
      <w:lvlText w:val="%1"/>
      <w:lvlJc w:val="left"/>
      <w:pPr>
        <w:ind w:left="0" w:firstLine="0"/>
      </w:pPr>
      <w:rPr>
        <w:rFonts w:hint="default" w:ascii="Times New Roman" w:hAnsi="Times New Roman"/>
        <w:b/>
        <w:i w:val="0"/>
        <w:sz w:val="21"/>
      </w:rPr>
    </w:lvl>
    <w:lvl w:ilvl="1" w:tentative="0">
      <w:start w:val="1"/>
      <w:numFmt w:val="decimal"/>
      <w:pStyle w:val="243"/>
      <w:suff w:val="nothing"/>
      <w:lvlText w:val="%1%2　"/>
      <w:lvlJc w:val="left"/>
      <w:pPr>
        <w:ind w:left="315" w:firstLine="0"/>
      </w:pPr>
      <w:rPr>
        <w:rFonts w:hint="eastAsia" w:ascii="黑体" w:hAnsi="Times New Roman" w:eastAsia="黑体"/>
        <w:b w:val="0"/>
        <w:i w:val="0"/>
        <w:sz w:val="21"/>
      </w:rPr>
    </w:lvl>
    <w:lvl w:ilvl="2" w:tentative="0">
      <w:start w:val="1"/>
      <w:numFmt w:val="decimal"/>
      <w:pStyle w:val="244"/>
      <w:suff w:val="nothing"/>
      <w:lvlText w:val="%1%2.%3　"/>
      <w:lvlJc w:val="left"/>
      <w:pPr>
        <w:ind w:left="630" w:firstLine="0"/>
      </w:pPr>
      <w:rPr>
        <w:rFonts w:hint="eastAsia" w:ascii="黑体" w:hAnsi="Times New Roman" w:eastAsia="黑体"/>
        <w:b w:val="0"/>
        <w:i w:val="0"/>
        <w:sz w:val="21"/>
      </w:rPr>
    </w:lvl>
    <w:lvl w:ilvl="3" w:tentative="0">
      <w:start w:val="1"/>
      <w:numFmt w:val="decimal"/>
      <w:pStyle w:val="245"/>
      <w:suff w:val="nothing"/>
      <w:lvlText w:val="%1%2.%3.%4　"/>
      <w:lvlJc w:val="left"/>
      <w:pPr>
        <w:ind w:left="567" w:firstLine="0"/>
      </w:pPr>
      <w:rPr>
        <w:rFonts w:hint="eastAsia" w:ascii="黑体" w:hAnsi="Times New Roman" w:eastAsia="黑体"/>
        <w:b w:val="0"/>
        <w:i w:val="0"/>
        <w:sz w:val="21"/>
      </w:rPr>
    </w:lvl>
    <w:lvl w:ilvl="4" w:tentative="0">
      <w:start w:val="1"/>
      <w:numFmt w:val="decimal"/>
      <w:pStyle w:val="247"/>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8"/>
      <w:suff w:val="nothing"/>
      <w:lvlText w:val="%1%2.%3.%4.%5.%6　"/>
      <w:lvlJc w:val="left"/>
      <w:pPr>
        <w:ind w:left="0" w:firstLine="0"/>
      </w:pPr>
      <w:rPr>
        <w:rFonts w:hint="eastAsia" w:ascii="黑体" w:hAnsi="Times New Roman" w:eastAsia="黑体"/>
        <w:b w:val="0"/>
        <w:i w:val="0"/>
        <w:sz w:val="21"/>
      </w:rPr>
    </w:lvl>
    <w:lvl w:ilvl="6" w:tentative="0">
      <w:start w:val="1"/>
      <w:numFmt w:val="decimal"/>
      <w:pStyle w:val="2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2">
    <w:nsid w:val="76933334"/>
    <w:multiLevelType w:val="multilevel"/>
    <w:tmpl w:val="76933334"/>
    <w:lvl w:ilvl="0" w:tentative="0">
      <w:start w:val="1"/>
      <w:numFmt w:val="none"/>
      <w:pStyle w:val="24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88B5BAF"/>
    <w:multiLevelType w:val="singleLevel"/>
    <w:tmpl w:val="788B5BAF"/>
    <w:lvl w:ilvl="0" w:tentative="0">
      <w:start w:val="1"/>
      <w:numFmt w:val="decimal"/>
      <w:suff w:val="nothing"/>
      <w:lvlText w:val="%1、"/>
      <w:lvlJc w:val="left"/>
    </w:lvl>
  </w:abstractNum>
  <w:num w:numId="1">
    <w:abstractNumId w:val="5"/>
  </w:num>
  <w:num w:numId="2">
    <w:abstractNumId w:val="4"/>
  </w:num>
  <w:num w:numId="3">
    <w:abstractNumId w:val="19"/>
  </w:num>
  <w:num w:numId="4">
    <w:abstractNumId w:val="22"/>
  </w:num>
  <w:num w:numId="5">
    <w:abstractNumId w:val="8"/>
  </w:num>
  <w:num w:numId="6">
    <w:abstractNumId w:val="11"/>
  </w:num>
  <w:num w:numId="7">
    <w:abstractNumId w:val="1"/>
  </w:num>
  <w:num w:numId="8">
    <w:abstractNumId w:val="13"/>
  </w:num>
  <w:num w:numId="9">
    <w:abstractNumId w:val="18"/>
  </w:num>
  <w:num w:numId="10">
    <w:abstractNumId w:val="7"/>
  </w:num>
  <w:num w:numId="11">
    <w:abstractNumId w:val="2"/>
  </w:num>
  <w:num w:numId="12">
    <w:abstractNumId w:val="15"/>
  </w:num>
  <w:num w:numId="13">
    <w:abstractNumId w:val="16"/>
  </w:num>
  <w:num w:numId="14">
    <w:abstractNumId w:val="23"/>
  </w:num>
  <w:num w:numId="15">
    <w:abstractNumId w:val="17"/>
  </w:num>
  <w:num w:numId="16">
    <w:abstractNumId w:val="3"/>
  </w:num>
  <w:num w:numId="17">
    <w:abstractNumId w:val="12"/>
  </w:num>
  <w:num w:numId="18">
    <w:abstractNumId w:val="0"/>
  </w:num>
  <w:num w:numId="19">
    <w:abstractNumId w:val="6"/>
  </w:num>
  <w:num w:numId="20">
    <w:abstractNumId w:val="14"/>
  </w:num>
  <w:num w:numId="21">
    <w:abstractNumId w:val="9"/>
  </w:num>
  <w:num w:numId="22">
    <w:abstractNumId w:val="20"/>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00172A27"/>
    <w:rsid w:val="000076EB"/>
    <w:rsid w:val="00010824"/>
    <w:rsid w:val="00011C69"/>
    <w:rsid w:val="00013C37"/>
    <w:rsid w:val="00017F4A"/>
    <w:rsid w:val="00020B18"/>
    <w:rsid w:val="0003167F"/>
    <w:rsid w:val="00035C01"/>
    <w:rsid w:val="000360A4"/>
    <w:rsid w:val="000432ED"/>
    <w:rsid w:val="00043EA6"/>
    <w:rsid w:val="000449A9"/>
    <w:rsid w:val="00047D64"/>
    <w:rsid w:val="00051DDB"/>
    <w:rsid w:val="000524DF"/>
    <w:rsid w:val="00055849"/>
    <w:rsid w:val="000571A6"/>
    <w:rsid w:val="0005764F"/>
    <w:rsid w:val="00060BDF"/>
    <w:rsid w:val="00064E49"/>
    <w:rsid w:val="00065875"/>
    <w:rsid w:val="000739EC"/>
    <w:rsid w:val="000864F6"/>
    <w:rsid w:val="00090E0B"/>
    <w:rsid w:val="00091EC9"/>
    <w:rsid w:val="0009361A"/>
    <w:rsid w:val="00093935"/>
    <w:rsid w:val="0009799D"/>
    <w:rsid w:val="000A0E4D"/>
    <w:rsid w:val="000A15A6"/>
    <w:rsid w:val="000A2D28"/>
    <w:rsid w:val="000A4338"/>
    <w:rsid w:val="000A4FE6"/>
    <w:rsid w:val="000B08BC"/>
    <w:rsid w:val="000B192F"/>
    <w:rsid w:val="000B5CCC"/>
    <w:rsid w:val="000C092F"/>
    <w:rsid w:val="000C135C"/>
    <w:rsid w:val="000C1775"/>
    <w:rsid w:val="000C3906"/>
    <w:rsid w:val="000C5BB6"/>
    <w:rsid w:val="000D231B"/>
    <w:rsid w:val="000D4A95"/>
    <w:rsid w:val="000D6BDC"/>
    <w:rsid w:val="000E103E"/>
    <w:rsid w:val="000E1212"/>
    <w:rsid w:val="000E2D1B"/>
    <w:rsid w:val="000E5101"/>
    <w:rsid w:val="000E638B"/>
    <w:rsid w:val="000F2AFE"/>
    <w:rsid w:val="000F3A5B"/>
    <w:rsid w:val="000F62CA"/>
    <w:rsid w:val="001019AA"/>
    <w:rsid w:val="001027AD"/>
    <w:rsid w:val="00103D1E"/>
    <w:rsid w:val="00106BC6"/>
    <w:rsid w:val="00112F6D"/>
    <w:rsid w:val="0011313B"/>
    <w:rsid w:val="00115A53"/>
    <w:rsid w:val="00122E2E"/>
    <w:rsid w:val="0012603F"/>
    <w:rsid w:val="00130EAA"/>
    <w:rsid w:val="00134EE0"/>
    <w:rsid w:val="00136E83"/>
    <w:rsid w:val="0014401B"/>
    <w:rsid w:val="00145E81"/>
    <w:rsid w:val="00145EC3"/>
    <w:rsid w:val="001500A1"/>
    <w:rsid w:val="0015108F"/>
    <w:rsid w:val="0015361A"/>
    <w:rsid w:val="00153D2A"/>
    <w:rsid w:val="00160DB0"/>
    <w:rsid w:val="001618BA"/>
    <w:rsid w:val="00162B16"/>
    <w:rsid w:val="001633CE"/>
    <w:rsid w:val="00167244"/>
    <w:rsid w:val="00170E92"/>
    <w:rsid w:val="00172A27"/>
    <w:rsid w:val="00173C23"/>
    <w:rsid w:val="00174431"/>
    <w:rsid w:val="00175AAF"/>
    <w:rsid w:val="00183796"/>
    <w:rsid w:val="00185079"/>
    <w:rsid w:val="00187220"/>
    <w:rsid w:val="00194AEF"/>
    <w:rsid w:val="001A31AB"/>
    <w:rsid w:val="001B104E"/>
    <w:rsid w:val="001B1FDC"/>
    <w:rsid w:val="001B2823"/>
    <w:rsid w:val="001B354A"/>
    <w:rsid w:val="001B3620"/>
    <w:rsid w:val="001B388E"/>
    <w:rsid w:val="001B3B0E"/>
    <w:rsid w:val="001B7144"/>
    <w:rsid w:val="001C1032"/>
    <w:rsid w:val="001C180D"/>
    <w:rsid w:val="001C2CD0"/>
    <w:rsid w:val="001C3B26"/>
    <w:rsid w:val="001C763F"/>
    <w:rsid w:val="001D0DA4"/>
    <w:rsid w:val="001D3446"/>
    <w:rsid w:val="001D4132"/>
    <w:rsid w:val="001D5293"/>
    <w:rsid w:val="001D5FDA"/>
    <w:rsid w:val="001E0BCB"/>
    <w:rsid w:val="001E13CC"/>
    <w:rsid w:val="001E5ACA"/>
    <w:rsid w:val="001E5C84"/>
    <w:rsid w:val="001E6E32"/>
    <w:rsid w:val="001F2DA3"/>
    <w:rsid w:val="001F642F"/>
    <w:rsid w:val="00200AA2"/>
    <w:rsid w:val="00210A41"/>
    <w:rsid w:val="0021263B"/>
    <w:rsid w:val="0021351E"/>
    <w:rsid w:val="002156D3"/>
    <w:rsid w:val="0021692D"/>
    <w:rsid w:val="00220BE5"/>
    <w:rsid w:val="00220CFA"/>
    <w:rsid w:val="00220DD5"/>
    <w:rsid w:val="00222276"/>
    <w:rsid w:val="0022779B"/>
    <w:rsid w:val="00237812"/>
    <w:rsid w:val="00240C69"/>
    <w:rsid w:val="002456D0"/>
    <w:rsid w:val="00246479"/>
    <w:rsid w:val="00247D31"/>
    <w:rsid w:val="00250DCF"/>
    <w:rsid w:val="002527EC"/>
    <w:rsid w:val="0026051F"/>
    <w:rsid w:val="00262E9E"/>
    <w:rsid w:val="0026552B"/>
    <w:rsid w:val="002713C4"/>
    <w:rsid w:val="0027169F"/>
    <w:rsid w:val="0027314A"/>
    <w:rsid w:val="00276156"/>
    <w:rsid w:val="0028153C"/>
    <w:rsid w:val="00283254"/>
    <w:rsid w:val="0028435C"/>
    <w:rsid w:val="00286881"/>
    <w:rsid w:val="00290692"/>
    <w:rsid w:val="00290B93"/>
    <w:rsid w:val="00293DE8"/>
    <w:rsid w:val="0029438A"/>
    <w:rsid w:val="00294F2B"/>
    <w:rsid w:val="002957B2"/>
    <w:rsid w:val="002A0C69"/>
    <w:rsid w:val="002A0D21"/>
    <w:rsid w:val="002A5A2C"/>
    <w:rsid w:val="002B1655"/>
    <w:rsid w:val="002B1779"/>
    <w:rsid w:val="002B1CDB"/>
    <w:rsid w:val="002B28F2"/>
    <w:rsid w:val="002B3A00"/>
    <w:rsid w:val="002B4680"/>
    <w:rsid w:val="002B46E7"/>
    <w:rsid w:val="002B5FA1"/>
    <w:rsid w:val="002B646E"/>
    <w:rsid w:val="002B68F2"/>
    <w:rsid w:val="002B7042"/>
    <w:rsid w:val="002C20D3"/>
    <w:rsid w:val="002C2DC0"/>
    <w:rsid w:val="002C4263"/>
    <w:rsid w:val="002C5AAA"/>
    <w:rsid w:val="002D1DB2"/>
    <w:rsid w:val="002D224B"/>
    <w:rsid w:val="002D225D"/>
    <w:rsid w:val="002D4A13"/>
    <w:rsid w:val="002D6B36"/>
    <w:rsid w:val="002E321E"/>
    <w:rsid w:val="002E32E8"/>
    <w:rsid w:val="002E392A"/>
    <w:rsid w:val="002E43AF"/>
    <w:rsid w:val="002E51FD"/>
    <w:rsid w:val="002E5A17"/>
    <w:rsid w:val="002E601A"/>
    <w:rsid w:val="002E651A"/>
    <w:rsid w:val="002F1770"/>
    <w:rsid w:val="002F2F49"/>
    <w:rsid w:val="002F2FB6"/>
    <w:rsid w:val="002F32FC"/>
    <w:rsid w:val="002F582D"/>
    <w:rsid w:val="002F5F72"/>
    <w:rsid w:val="002F6981"/>
    <w:rsid w:val="003033B6"/>
    <w:rsid w:val="00304929"/>
    <w:rsid w:val="003060E8"/>
    <w:rsid w:val="00310A20"/>
    <w:rsid w:val="00313060"/>
    <w:rsid w:val="00314149"/>
    <w:rsid w:val="00316B8B"/>
    <w:rsid w:val="003204AC"/>
    <w:rsid w:val="00326D08"/>
    <w:rsid w:val="00333D4C"/>
    <w:rsid w:val="00334EF7"/>
    <w:rsid w:val="003455EC"/>
    <w:rsid w:val="00355C44"/>
    <w:rsid w:val="00367444"/>
    <w:rsid w:val="003703B4"/>
    <w:rsid w:val="00370E73"/>
    <w:rsid w:val="0037250B"/>
    <w:rsid w:val="00373E63"/>
    <w:rsid w:val="0037458F"/>
    <w:rsid w:val="003778AA"/>
    <w:rsid w:val="003803CD"/>
    <w:rsid w:val="003816EF"/>
    <w:rsid w:val="00383DEC"/>
    <w:rsid w:val="0038577F"/>
    <w:rsid w:val="00387748"/>
    <w:rsid w:val="0039011E"/>
    <w:rsid w:val="00394350"/>
    <w:rsid w:val="003964C0"/>
    <w:rsid w:val="003A02D7"/>
    <w:rsid w:val="003A0A59"/>
    <w:rsid w:val="003A20D1"/>
    <w:rsid w:val="003C1B37"/>
    <w:rsid w:val="003C5F20"/>
    <w:rsid w:val="003D08D2"/>
    <w:rsid w:val="003D1432"/>
    <w:rsid w:val="003D33D5"/>
    <w:rsid w:val="003D378B"/>
    <w:rsid w:val="003D6CC0"/>
    <w:rsid w:val="003D6F83"/>
    <w:rsid w:val="003E0455"/>
    <w:rsid w:val="003E26F5"/>
    <w:rsid w:val="003E6091"/>
    <w:rsid w:val="003E6268"/>
    <w:rsid w:val="003F1B58"/>
    <w:rsid w:val="003F1C98"/>
    <w:rsid w:val="00400609"/>
    <w:rsid w:val="00402745"/>
    <w:rsid w:val="0040289E"/>
    <w:rsid w:val="004035B3"/>
    <w:rsid w:val="00410849"/>
    <w:rsid w:val="004133E2"/>
    <w:rsid w:val="00421C0B"/>
    <w:rsid w:val="00422365"/>
    <w:rsid w:val="004247BB"/>
    <w:rsid w:val="00424FDA"/>
    <w:rsid w:val="00424FED"/>
    <w:rsid w:val="00425851"/>
    <w:rsid w:val="00425E9F"/>
    <w:rsid w:val="00427494"/>
    <w:rsid w:val="0043286E"/>
    <w:rsid w:val="004329AD"/>
    <w:rsid w:val="00432EDC"/>
    <w:rsid w:val="00433488"/>
    <w:rsid w:val="00434B4F"/>
    <w:rsid w:val="00441E37"/>
    <w:rsid w:val="00442A84"/>
    <w:rsid w:val="00443C15"/>
    <w:rsid w:val="004453D7"/>
    <w:rsid w:val="004507F1"/>
    <w:rsid w:val="004541CB"/>
    <w:rsid w:val="00463ED9"/>
    <w:rsid w:val="00465B46"/>
    <w:rsid w:val="00467B48"/>
    <w:rsid w:val="0047583B"/>
    <w:rsid w:val="00475CD3"/>
    <w:rsid w:val="004803E2"/>
    <w:rsid w:val="0048136C"/>
    <w:rsid w:val="00494A82"/>
    <w:rsid w:val="004A0A68"/>
    <w:rsid w:val="004A4BC1"/>
    <w:rsid w:val="004A6CB2"/>
    <w:rsid w:val="004B012C"/>
    <w:rsid w:val="004B4658"/>
    <w:rsid w:val="004B498E"/>
    <w:rsid w:val="004B631E"/>
    <w:rsid w:val="004B635B"/>
    <w:rsid w:val="004C279C"/>
    <w:rsid w:val="004C2993"/>
    <w:rsid w:val="004D1511"/>
    <w:rsid w:val="004D3A80"/>
    <w:rsid w:val="004D430A"/>
    <w:rsid w:val="004D5228"/>
    <w:rsid w:val="004E0461"/>
    <w:rsid w:val="004E069A"/>
    <w:rsid w:val="004F4B90"/>
    <w:rsid w:val="00500014"/>
    <w:rsid w:val="0050046A"/>
    <w:rsid w:val="0050087F"/>
    <w:rsid w:val="0050340C"/>
    <w:rsid w:val="00504579"/>
    <w:rsid w:val="00504DD9"/>
    <w:rsid w:val="00505D0E"/>
    <w:rsid w:val="00510173"/>
    <w:rsid w:val="005118AC"/>
    <w:rsid w:val="005120B4"/>
    <w:rsid w:val="00520A9F"/>
    <w:rsid w:val="00521994"/>
    <w:rsid w:val="00530F9A"/>
    <w:rsid w:val="00531619"/>
    <w:rsid w:val="00533DBA"/>
    <w:rsid w:val="005349DD"/>
    <w:rsid w:val="00543323"/>
    <w:rsid w:val="005449CD"/>
    <w:rsid w:val="00553423"/>
    <w:rsid w:val="00562743"/>
    <w:rsid w:val="00562C82"/>
    <w:rsid w:val="00566AC7"/>
    <w:rsid w:val="0057296E"/>
    <w:rsid w:val="00572DA7"/>
    <w:rsid w:val="00573153"/>
    <w:rsid w:val="00573C62"/>
    <w:rsid w:val="00574517"/>
    <w:rsid w:val="00591502"/>
    <w:rsid w:val="005923C5"/>
    <w:rsid w:val="00594BFB"/>
    <w:rsid w:val="005979FF"/>
    <w:rsid w:val="005A3176"/>
    <w:rsid w:val="005A3911"/>
    <w:rsid w:val="005A4131"/>
    <w:rsid w:val="005B0EE1"/>
    <w:rsid w:val="005B21FF"/>
    <w:rsid w:val="005B4961"/>
    <w:rsid w:val="005C1347"/>
    <w:rsid w:val="005C2FC9"/>
    <w:rsid w:val="005C32D0"/>
    <w:rsid w:val="005C75CD"/>
    <w:rsid w:val="005D0DAD"/>
    <w:rsid w:val="005D3236"/>
    <w:rsid w:val="005D391F"/>
    <w:rsid w:val="005D42BE"/>
    <w:rsid w:val="005D4608"/>
    <w:rsid w:val="005D5632"/>
    <w:rsid w:val="005D5C6A"/>
    <w:rsid w:val="005D626C"/>
    <w:rsid w:val="005E226F"/>
    <w:rsid w:val="005E4289"/>
    <w:rsid w:val="005E62A2"/>
    <w:rsid w:val="005E725B"/>
    <w:rsid w:val="005F2153"/>
    <w:rsid w:val="005F3A97"/>
    <w:rsid w:val="005F5F4A"/>
    <w:rsid w:val="005F65DF"/>
    <w:rsid w:val="005F7683"/>
    <w:rsid w:val="00610176"/>
    <w:rsid w:val="0061200D"/>
    <w:rsid w:val="00614987"/>
    <w:rsid w:val="00621B74"/>
    <w:rsid w:val="00626052"/>
    <w:rsid w:val="0062765A"/>
    <w:rsid w:val="0063060A"/>
    <w:rsid w:val="00630C07"/>
    <w:rsid w:val="00630C0C"/>
    <w:rsid w:val="00632305"/>
    <w:rsid w:val="0064266B"/>
    <w:rsid w:val="00643C14"/>
    <w:rsid w:val="00651B51"/>
    <w:rsid w:val="0065448D"/>
    <w:rsid w:val="006561CA"/>
    <w:rsid w:val="0065724B"/>
    <w:rsid w:val="00660AD9"/>
    <w:rsid w:val="00661C43"/>
    <w:rsid w:val="0066575C"/>
    <w:rsid w:val="00670409"/>
    <w:rsid w:val="00671EE5"/>
    <w:rsid w:val="0067503A"/>
    <w:rsid w:val="00675BB2"/>
    <w:rsid w:val="006760B5"/>
    <w:rsid w:val="00681DCA"/>
    <w:rsid w:val="00682569"/>
    <w:rsid w:val="00684CC0"/>
    <w:rsid w:val="00685847"/>
    <w:rsid w:val="006859E8"/>
    <w:rsid w:val="0068654C"/>
    <w:rsid w:val="00691990"/>
    <w:rsid w:val="00694AD5"/>
    <w:rsid w:val="006A30E7"/>
    <w:rsid w:val="006A352F"/>
    <w:rsid w:val="006A414E"/>
    <w:rsid w:val="006A5F7C"/>
    <w:rsid w:val="006A6858"/>
    <w:rsid w:val="006A7003"/>
    <w:rsid w:val="006B00F6"/>
    <w:rsid w:val="006C0DD3"/>
    <w:rsid w:val="006C20DF"/>
    <w:rsid w:val="006C27D4"/>
    <w:rsid w:val="006C3F78"/>
    <w:rsid w:val="006C44FE"/>
    <w:rsid w:val="006C6120"/>
    <w:rsid w:val="006C7DB2"/>
    <w:rsid w:val="006D02B6"/>
    <w:rsid w:val="006D063F"/>
    <w:rsid w:val="006D2517"/>
    <w:rsid w:val="006D48E1"/>
    <w:rsid w:val="006D5FD5"/>
    <w:rsid w:val="006D6999"/>
    <w:rsid w:val="006D6FA9"/>
    <w:rsid w:val="006D7544"/>
    <w:rsid w:val="006E165D"/>
    <w:rsid w:val="006E4B98"/>
    <w:rsid w:val="006E4E35"/>
    <w:rsid w:val="006E6E80"/>
    <w:rsid w:val="006E7333"/>
    <w:rsid w:val="006E7CAF"/>
    <w:rsid w:val="006F1B11"/>
    <w:rsid w:val="006F1E2E"/>
    <w:rsid w:val="006F70E2"/>
    <w:rsid w:val="006F72F9"/>
    <w:rsid w:val="006F7DCD"/>
    <w:rsid w:val="0070043D"/>
    <w:rsid w:val="00705212"/>
    <w:rsid w:val="007079A5"/>
    <w:rsid w:val="007108A1"/>
    <w:rsid w:val="00711EA4"/>
    <w:rsid w:val="00715177"/>
    <w:rsid w:val="00716957"/>
    <w:rsid w:val="00720269"/>
    <w:rsid w:val="007219AF"/>
    <w:rsid w:val="007247E7"/>
    <w:rsid w:val="00724892"/>
    <w:rsid w:val="007249D9"/>
    <w:rsid w:val="00724A04"/>
    <w:rsid w:val="00724FFF"/>
    <w:rsid w:val="0073224F"/>
    <w:rsid w:val="007335C1"/>
    <w:rsid w:val="00735AA2"/>
    <w:rsid w:val="00735EA4"/>
    <w:rsid w:val="00736001"/>
    <w:rsid w:val="00740059"/>
    <w:rsid w:val="00740FB3"/>
    <w:rsid w:val="00741351"/>
    <w:rsid w:val="00741789"/>
    <w:rsid w:val="00743DDF"/>
    <w:rsid w:val="00744A89"/>
    <w:rsid w:val="00745687"/>
    <w:rsid w:val="00747962"/>
    <w:rsid w:val="0075070D"/>
    <w:rsid w:val="00751324"/>
    <w:rsid w:val="00752C78"/>
    <w:rsid w:val="007603C6"/>
    <w:rsid w:val="00762641"/>
    <w:rsid w:val="007657DA"/>
    <w:rsid w:val="00767EB5"/>
    <w:rsid w:val="0077123A"/>
    <w:rsid w:val="00772B56"/>
    <w:rsid w:val="0077391F"/>
    <w:rsid w:val="00777AD6"/>
    <w:rsid w:val="00781479"/>
    <w:rsid w:val="007820A4"/>
    <w:rsid w:val="00783303"/>
    <w:rsid w:val="007847E9"/>
    <w:rsid w:val="00787F49"/>
    <w:rsid w:val="00790A08"/>
    <w:rsid w:val="007925D2"/>
    <w:rsid w:val="007971F8"/>
    <w:rsid w:val="00797C0F"/>
    <w:rsid w:val="007A5B87"/>
    <w:rsid w:val="007A6464"/>
    <w:rsid w:val="007B3285"/>
    <w:rsid w:val="007B5519"/>
    <w:rsid w:val="007B5E37"/>
    <w:rsid w:val="007C4C08"/>
    <w:rsid w:val="007C6A3F"/>
    <w:rsid w:val="007C6E10"/>
    <w:rsid w:val="007D2F26"/>
    <w:rsid w:val="007D47D5"/>
    <w:rsid w:val="007D6387"/>
    <w:rsid w:val="007E0CEB"/>
    <w:rsid w:val="007E1E5B"/>
    <w:rsid w:val="007E5F14"/>
    <w:rsid w:val="007E5F62"/>
    <w:rsid w:val="007E71F5"/>
    <w:rsid w:val="007E73B0"/>
    <w:rsid w:val="007F4D32"/>
    <w:rsid w:val="007F7ABB"/>
    <w:rsid w:val="008000B0"/>
    <w:rsid w:val="00801DEF"/>
    <w:rsid w:val="0080217E"/>
    <w:rsid w:val="008031F1"/>
    <w:rsid w:val="00804A4E"/>
    <w:rsid w:val="0080614C"/>
    <w:rsid w:val="00807872"/>
    <w:rsid w:val="0081281C"/>
    <w:rsid w:val="00817CCC"/>
    <w:rsid w:val="00826B74"/>
    <w:rsid w:val="00831006"/>
    <w:rsid w:val="008357E9"/>
    <w:rsid w:val="00845769"/>
    <w:rsid w:val="0084595F"/>
    <w:rsid w:val="00854479"/>
    <w:rsid w:val="00855B04"/>
    <w:rsid w:val="00856F9A"/>
    <w:rsid w:val="00865539"/>
    <w:rsid w:val="00867C65"/>
    <w:rsid w:val="00867F3C"/>
    <w:rsid w:val="00870955"/>
    <w:rsid w:val="00872B82"/>
    <w:rsid w:val="00874426"/>
    <w:rsid w:val="00875640"/>
    <w:rsid w:val="008761AB"/>
    <w:rsid w:val="00876312"/>
    <w:rsid w:val="00881621"/>
    <w:rsid w:val="008830AC"/>
    <w:rsid w:val="008855E4"/>
    <w:rsid w:val="008861AE"/>
    <w:rsid w:val="0089328E"/>
    <w:rsid w:val="00897C23"/>
    <w:rsid w:val="008A594E"/>
    <w:rsid w:val="008B3660"/>
    <w:rsid w:val="008B4671"/>
    <w:rsid w:val="008B5C32"/>
    <w:rsid w:val="008B6E33"/>
    <w:rsid w:val="008B7216"/>
    <w:rsid w:val="008C000B"/>
    <w:rsid w:val="008C3554"/>
    <w:rsid w:val="008C4E5C"/>
    <w:rsid w:val="008C633E"/>
    <w:rsid w:val="008D2BB6"/>
    <w:rsid w:val="008D47E6"/>
    <w:rsid w:val="008E1587"/>
    <w:rsid w:val="008E64B8"/>
    <w:rsid w:val="008F2A45"/>
    <w:rsid w:val="008F42F1"/>
    <w:rsid w:val="008F5042"/>
    <w:rsid w:val="008F5272"/>
    <w:rsid w:val="00900464"/>
    <w:rsid w:val="00902DE7"/>
    <w:rsid w:val="00904AE8"/>
    <w:rsid w:val="0091049B"/>
    <w:rsid w:val="00912229"/>
    <w:rsid w:val="00915E8C"/>
    <w:rsid w:val="00921008"/>
    <w:rsid w:val="00921EB2"/>
    <w:rsid w:val="009224A5"/>
    <w:rsid w:val="009238F5"/>
    <w:rsid w:val="009312FA"/>
    <w:rsid w:val="00935CDF"/>
    <w:rsid w:val="0093690A"/>
    <w:rsid w:val="00936A59"/>
    <w:rsid w:val="0094157C"/>
    <w:rsid w:val="00941691"/>
    <w:rsid w:val="00945555"/>
    <w:rsid w:val="009523E8"/>
    <w:rsid w:val="0095414E"/>
    <w:rsid w:val="00954420"/>
    <w:rsid w:val="0095654C"/>
    <w:rsid w:val="00957118"/>
    <w:rsid w:val="00961697"/>
    <w:rsid w:val="009633A0"/>
    <w:rsid w:val="00963CBD"/>
    <w:rsid w:val="00972AD9"/>
    <w:rsid w:val="00972D74"/>
    <w:rsid w:val="0097394C"/>
    <w:rsid w:val="009741CE"/>
    <w:rsid w:val="00976333"/>
    <w:rsid w:val="00976425"/>
    <w:rsid w:val="009808B4"/>
    <w:rsid w:val="009864F9"/>
    <w:rsid w:val="0099054D"/>
    <w:rsid w:val="00991C2E"/>
    <w:rsid w:val="00992349"/>
    <w:rsid w:val="00992AA1"/>
    <w:rsid w:val="00993CCF"/>
    <w:rsid w:val="00994A20"/>
    <w:rsid w:val="009954FA"/>
    <w:rsid w:val="009A00B0"/>
    <w:rsid w:val="009A10A6"/>
    <w:rsid w:val="009A6024"/>
    <w:rsid w:val="009B42B8"/>
    <w:rsid w:val="009B5A9E"/>
    <w:rsid w:val="009B5AAB"/>
    <w:rsid w:val="009B5D0A"/>
    <w:rsid w:val="009B5E2B"/>
    <w:rsid w:val="009C08A6"/>
    <w:rsid w:val="009C0994"/>
    <w:rsid w:val="009C339F"/>
    <w:rsid w:val="009C401D"/>
    <w:rsid w:val="009C49D8"/>
    <w:rsid w:val="009C7C3E"/>
    <w:rsid w:val="009D1A82"/>
    <w:rsid w:val="009D1BC2"/>
    <w:rsid w:val="009D4E57"/>
    <w:rsid w:val="009E531A"/>
    <w:rsid w:val="009E6071"/>
    <w:rsid w:val="009E695E"/>
    <w:rsid w:val="009E70C8"/>
    <w:rsid w:val="009E7612"/>
    <w:rsid w:val="009F19A2"/>
    <w:rsid w:val="009F56F2"/>
    <w:rsid w:val="009F61CC"/>
    <w:rsid w:val="009F76D9"/>
    <w:rsid w:val="00A10700"/>
    <w:rsid w:val="00A120E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5AF"/>
    <w:rsid w:val="00A52C70"/>
    <w:rsid w:val="00A556AC"/>
    <w:rsid w:val="00A60B1F"/>
    <w:rsid w:val="00A62048"/>
    <w:rsid w:val="00A627F3"/>
    <w:rsid w:val="00A673E1"/>
    <w:rsid w:val="00A75608"/>
    <w:rsid w:val="00A77387"/>
    <w:rsid w:val="00A80309"/>
    <w:rsid w:val="00A805A4"/>
    <w:rsid w:val="00A80EE8"/>
    <w:rsid w:val="00A85050"/>
    <w:rsid w:val="00A85AED"/>
    <w:rsid w:val="00A9033A"/>
    <w:rsid w:val="00A91861"/>
    <w:rsid w:val="00AA24F4"/>
    <w:rsid w:val="00AB0C96"/>
    <w:rsid w:val="00AB3A97"/>
    <w:rsid w:val="00AB4466"/>
    <w:rsid w:val="00AB5D9E"/>
    <w:rsid w:val="00AB762D"/>
    <w:rsid w:val="00AB7CB0"/>
    <w:rsid w:val="00AC3C7D"/>
    <w:rsid w:val="00AC5E2A"/>
    <w:rsid w:val="00AD2213"/>
    <w:rsid w:val="00AE504D"/>
    <w:rsid w:val="00AF0FAA"/>
    <w:rsid w:val="00AF1C97"/>
    <w:rsid w:val="00AF28CD"/>
    <w:rsid w:val="00AF7370"/>
    <w:rsid w:val="00B0185A"/>
    <w:rsid w:val="00B02899"/>
    <w:rsid w:val="00B02F52"/>
    <w:rsid w:val="00B05E3A"/>
    <w:rsid w:val="00B15DFE"/>
    <w:rsid w:val="00B168B4"/>
    <w:rsid w:val="00B20110"/>
    <w:rsid w:val="00B21407"/>
    <w:rsid w:val="00B310FE"/>
    <w:rsid w:val="00B31F50"/>
    <w:rsid w:val="00B32028"/>
    <w:rsid w:val="00B335B1"/>
    <w:rsid w:val="00B35514"/>
    <w:rsid w:val="00B36EA2"/>
    <w:rsid w:val="00B3701C"/>
    <w:rsid w:val="00B3729D"/>
    <w:rsid w:val="00B43BF5"/>
    <w:rsid w:val="00B46D0B"/>
    <w:rsid w:val="00B4746D"/>
    <w:rsid w:val="00B50AA3"/>
    <w:rsid w:val="00B51A48"/>
    <w:rsid w:val="00B5212F"/>
    <w:rsid w:val="00B52AF4"/>
    <w:rsid w:val="00B537AA"/>
    <w:rsid w:val="00B56FF2"/>
    <w:rsid w:val="00B73F29"/>
    <w:rsid w:val="00B73F43"/>
    <w:rsid w:val="00B76FB5"/>
    <w:rsid w:val="00B8179D"/>
    <w:rsid w:val="00B84903"/>
    <w:rsid w:val="00B92025"/>
    <w:rsid w:val="00B92CAF"/>
    <w:rsid w:val="00B94BAC"/>
    <w:rsid w:val="00B967ED"/>
    <w:rsid w:val="00BA17CC"/>
    <w:rsid w:val="00BA6742"/>
    <w:rsid w:val="00BA72A5"/>
    <w:rsid w:val="00BA7DCB"/>
    <w:rsid w:val="00BC231E"/>
    <w:rsid w:val="00BC4FE1"/>
    <w:rsid w:val="00BC5F50"/>
    <w:rsid w:val="00BC6972"/>
    <w:rsid w:val="00BD2C47"/>
    <w:rsid w:val="00BD3EA2"/>
    <w:rsid w:val="00BD4D76"/>
    <w:rsid w:val="00BD4E36"/>
    <w:rsid w:val="00BD65F8"/>
    <w:rsid w:val="00BD763B"/>
    <w:rsid w:val="00BD79DA"/>
    <w:rsid w:val="00BE0BD0"/>
    <w:rsid w:val="00BE0C40"/>
    <w:rsid w:val="00BE20C3"/>
    <w:rsid w:val="00BE4C8A"/>
    <w:rsid w:val="00BE7176"/>
    <w:rsid w:val="00BF03E2"/>
    <w:rsid w:val="00BF19D3"/>
    <w:rsid w:val="00BF233E"/>
    <w:rsid w:val="00BF3315"/>
    <w:rsid w:val="00BF63A3"/>
    <w:rsid w:val="00BF6944"/>
    <w:rsid w:val="00BF6BEA"/>
    <w:rsid w:val="00C00D16"/>
    <w:rsid w:val="00C0192D"/>
    <w:rsid w:val="00C0361D"/>
    <w:rsid w:val="00C053B5"/>
    <w:rsid w:val="00C05BD3"/>
    <w:rsid w:val="00C06780"/>
    <w:rsid w:val="00C06B71"/>
    <w:rsid w:val="00C13BB9"/>
    <w:rsid w:val="00C17134"/>
    <w:rsid w:val="00C20ACB"/>
    <w:rsid w:val="00C22317"/>
    <w:rsid w:val="00C224CF"/>
    <w:rsid w:val="00C34B36"/>
    <w:rsid w:val="00C362FD"/>
    <w:rsid w:val="00C36656"/>
    <w:rsid w:val="00C37AD7"/>
    <w:rsid w:val="00C424B3"/>
    <w:rsid w:val="00C5104C"/>
    <w:rsid w:val="00C52136"/>
    <w:rsid w:val="00C53775"/>
    <w:rsid w:val="00C57033"/>
    <w:rsid w:val="00C6149A"/>
    <w:rsid w:val="00C61A4D"/>
    <w:rsid w:val="00C61E2F"/>
    <w:rsid w:val="00C63FF4"/>
    <w:rsid w:val="00C650C0"/>
    <w:rsid w:val="00C67192"/>
    <w:rsid w:val="00C72612"/>
    <w:rsid w:val="00C77BFA"/>
    <w:rsid w:val="00C94EED"/>
    <w:rsid w:val="00C9738A"/>
    <w:rsid w:val="00CA5206"/>
    <w:rsid w:val="00CA6B7F"/>
    <w:rsid w:val="00CB450A"/>
    <w:rsid w:val="00CB5439"/>
    <w:rsid w:val="00CB689E"/>
    <w:rsid w:val="00CB694A"/>
    <w:rsid w:val="00CC0844"/>
    <w:rsid w:val="00CC0E95"/>
    <w:rsid w:val="00CC2D24"/>
    <w:rsid w:val="00CC3041"/>
    <w:rsid w:val="00CD1978"/>
    <w:rsid w:val="00CD26A8"/>
    <w:rsid w:val="00CD3EB4"/>
    <w:rsid w:val="00CD68B8"/>
    <w:rsid w:val="00CE1EC9"/>
    <w:rsid w:val="00CE68B4"/>
    <w:rsid w:val="00CE768C"/>
    <w:rsid w:val="00CF003B"/>
    <w:rsid w:val="00D01379"/>
    <w:rsid w:val="00D0569E"/>
    <w:rsid w:val="00D056F0"/>
    <w:rsid w:val="00D168F3"/>
    <w:rsid w:val="00D23560"/>
    <w:rsid w:val="00D25854"/>
    <w:rsid w:val="00D27402"/>
    <w:rsid w:val="00D30536"/>
    <w:rsid w:val="00D306E0"/>
    <w:rsid w:val="00D31E4B"/>
    <w:rsid w:val="00D325EA"/>
    <w:rsid w:val="00D32FD8"/>
    <w:rsid w:val="00D33906"/>
    <w:rsid w:val="00D3565A"/>
    <w:rsid w:val="00D411BC"/>
    <w:rsid w:val="00D41306"/>
    <w:rsid w:val="00D41637"/>
    <w:rsid w:val="00D45F64"/>
    <w:rsid w:val="00D506F5"/>
    <w:rsid w:val="00D51A3F"/>
    <w:rsid w:val="00D536F9"/>
    <w:rsid w:val="00D54273"/>
    <w:rsid w:val="00D55ADC"/>
    <w:rsid w:val="00D56B5D"/>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B2AED"/>
    <w:rsid w:val="00DC0934"/>
    <w:rsid w:val="00DC31B2"/>
    <w:rsid w:val="00DD10CD"/>
    <w:rsid w:val="00DD656B"/>
    <w:rsid w:val="00DE4818"/>
    <w:rsid w:val="00DF2F86"/>
    <w:rsid w:val="00DF4D97"/>
    <w:rsid w:val="00DF780E"/>
    <w:rsid w:val="00E04115"/>
    <w:rsid w:val="00E047D0"/>
    <w:rsid w:val="00E05A25"/>
    <w:rsid w:val="00E06BE5"/>
    <w:rsid w:val="00E114E0"/>
    <w:rsid w:val="00E11E65"/>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1029"/>
    <w:rsid w:val="00E66313"/>
    <w:rsid w:val="00E71EEB"/>
    <w:rsid w:val="00E774AB"/>
    <w:rsid w:val="00E80D1E"/>
    <w:rsid w:val="00E81B72"/>
    <w:rsid w:val="00E8331E"/>
    <w:rsid w:val="00E9002F"/>
    <w:rsid w:val="00E90FA3"/>
    <w:rsid w:val="00E950EE"/>
    <w:rsid w:val="00E972E9"/>
    <w:rsid w:val="00E977CD"/>
    <w:rsid w:val="00EA13AB"/>
    <w:rsid w:val="00EA4AF9"/>
    <w:rsid w:val="00EB1478"/>
    <w:rsid w:val="00EB17A4"/>
    <w:rsid w:val="00EB3115"/>
    <w:rsid w:val="00EB330A"/>
    <w:rsid w:val="00EB556C"/>
    <w:rsid w:val="00EB5B56"/>
    <w:rsid w:val="00EB75AB"/>
    <w:rsid w:val="00EC0D7D"/>
    <w:rsid w:val="00EC4AB3"/>
    <w:rsid w:val="00EC603D"/>
    <w:rsid w:val="00EC618E"/>
    <w:rsid w:val="00ED12D4"/>
    <w:rsid w:val="00ED4E89"/>
    <w:rsid w:val="00EE20B7"/>
    <w:rsid w:val="00EF36D1"/>
    <w:rsid w:val="00F00998"/>
    <w:rsid w:val="00F04BDB"/>
    <w:rsid w:val="00F06D26"/>
    <w:rsid w:val="00F0784F"/>
    <w:rsid w:val="00F150BD"/>
    <w:rsid w:val="00F204B5"/>
    <w:rsid w:val="00F2464A"/>
    <w:rsid w:val="00F25E73"/>
    <w:rsid w:val="00F26088"/>
    <w:rsid w:val="00F30245"/>
    <w:rsid w:val="00F342F0"/>
    <w:rsid w:val="00F41DAF"/>
    <w:rsid w:val="00F4619F"/>
    <w:rsid w:val="00F50398"/>
    <w:rsid w:val="00F52936"/>
    <w:rsid w:val="00F52B8C"/>
    <w:rsid w:val="00F602DF"/>
    <w:rsid w:val="00F67C33"/>
    <w:rsid w:val="00F7008C"/>
    <w:rsid w:val="00F74506"/>
    <w:rsid w:val="00F77351"/>
    <w:rsid w:val="00F81A9D"/>
    <w:rsid w:val="00F83C5D"/>
    <w:rsid w:val="00F83DAA"/>
    <w:rsid w:val="00F85027"/>
    <w:rsid w:val="00F854CB"/>
    <w:rsid w:val="00F90A09"/>
    <w:rsid w:val="00F91DAA"/>
    <w:rsid w:val="00F92E18"/>
    <w:rsid w:val="00F95CCB"/>
    <w:rsid w:val="00F97559"/>
    <w:rsid w:val="00F977A0"/>
    <w:rsid w:val="00FA1D2C"/>
    <w:rsid w:val="00FA1F1A"/>
    <w:rsid w:val="00FA2237"/>
    <w:rsid w:val="00FA2C5D"/>
    <w:rsid w:val="00FA5FF9"/>
    <w:rsid w:val="00FA6595"/>
    <w:rsid w:val="00FB49E3"/>
    <w:rsid w:val="00FB64AE"/>
    <w:rsid w:val="00FB68DD"/>
    <w:rsid w:val="00FB79F6"/>
    <w:rsid w:val="00FB7DA7"/>
    <w:rsid w:val="00FC2897"/>
    <w:rsid w:val="00FD2F77"/>
    <w:rsid w:val="00FD2F93"/>
    <w:rsid w:val="00FD71F3"/>
    <w:rsid w:val="00FE1AC4"/>
    <w:rsid w:val="00FE5D68"/>
    <w:rsid w:val="00FE7373"/>
    <w:rsid w:val="00FF1ECD"/>
    <w:rsid w:val="00FF6AE6"/>
    <w:rsid w:val="01276CE6"/>
    <w:rsid w:val="012D2E71"/>
    <w:rsid w:val="01391AF7"/>
    <w:rsid w:val="01A56820"/>
    <w:rsid w:val="01B73196"/>
    <w:rsid w:val="01DB0F21"/>
    <w:rsid w:val="01F85948"/>
    <w:rsid w:val="022655F4"/>
    <w:rsid w:val="027D1EDC"/>
    <w:rsid w:val="02AA6F17"/>
    <w:rsid w:val="02E6429D"/>
    <w:rsid w:val="032E5AB3"/>
    <w:rsid w:val="0380752A"/>
    <w:rsid w:val="03B22EB7"/>
    <w:rsid w:val="04874841"/>
    <w:rsid w:val="04AF0DC0"/>
    <w:rsid w:val="04E35F2C"/>
    <w:rsid w:val="051A29E5"/>
    <w:rsid w:val="05CA3B1B"/>
    <w:rsid w:val="05D40F8A"/>
    <w:rsid w:val="05E97CB2"/>
    <w:rsid w:val="060D6A3B"/>
    <w:rsid w:val="06193B1E"/>
    <w:rsid w:val="06383C8B"/>
    <w:rsid w:val="06420522"/>
    <w:rsid w:val="064A5629"/>
    <w:rsid w:val="064C13A1"/>
    <w:rsid w:val="068607D5"/>
    <w:rsid w:val="06C6067E"/>
    <w:rsid w:val="06DF18E2"/>
    <w:rsid w:val="0707497A"/>
    <w:rsid w:val="072E78B9"/>
    <w:rsid w:val="07394A3D"/>
    <w:rsid w:val="07416329"/>
    <w:rsid w:val="07501B9E"/>
    <w:rsid w:val="07D32163"/>
    <w:rsid w:val="08317E94"/>
    <w:rsid w:val="0838785B"/>
    <w:rsid w:val="087D0B78"/>
    <w:rsid w:val="0920129B"/>
    <w:rsid w:val="09496289"/>
    <w:rsid w:val="09823E4D"/>
    <w:rsid w:val="098852A8"/>
    <w:rsid w:val="0A3E54A5"/>
    <w:rsid w:val="0A4B18CE"/>
    <w:rsid w:val="0A8A4B12"/>
    <w:rsid w:val="0ABF4863"/>
    <w:rsid w:val="0AC800D5"/>
    <w:rsid w:val="0AF8411C"/>
    <w:rsid w:val="0AFA19A7"/>
    <w:rsid w:val="0B095AB3"/>
    <w:rsid w:val="0B181252"/>
    <w:rsid w:val="0B2543AA"/>
    <w:rsid w:val="0B651CEF"/>
    <w:rsid w:val="0B786794"/>
    <w:rsid w:val="0BB84DE3"/>
    <w:rsid w:val="0C275A89"/>
    <w:rsid w:val="0CBB5882"/>
    <w:rsid w:val="0CC51EAD"/>
    <w:rsid w:val="0D531CDF"/>
    <w:rsid w:val="0D544B00"/>
    <w:rsid w:val="0DCA3125"/>
    <w:rsid w:val="0E416A77"/>
    <w:rsid w:val="0E5C2657"/>
    <w:rsid w:val="0EA34036"/>
    <w:rsid w:val="0EB049DF"/>
    <w:rsid w:val="0EB63F9D"/>
    <w:rsid w:val="0F2403D3"/>
    <w:rsid w:val="0F245037"/>
    <w:rsid w:val="0F54794B"/>
    <w:rsid w:val="0F6A354E"/>
    <w:rsid w:val="0F88478D"/>
    <w:rsid w:val="0FB73DA5"/>
    <w:rsid w:val="0FDE2587"/>
    <w:rsid w:val="0FFC6856"/>
    <w:rsid w:val="10142A07"/>
    <w:rsid w:val="103649EC"/>
    <w:rsid w:val="10480E2B"/>
    <w:rsid w:val="10507757"/>
    <w:rsid w:val="107A1082"/>
    <w:rsid w:val="10930BA4"/>
    <w:rsid w:val="109E7189"/>
    <w:rsid w:val="10C72BB3"/>
    <w:rsid w:val="110C3C07"/>
    <w:rsid w:val="11401B02"/>
    <w:rsid w:val="115206FB"/>
    <w:rsid w:val="11531DCE"/>
    <w:rsid w:val="11B40613"/>
    <w:rsid w:val="11BE2022"/>
    <w:rsid w:val="11D83EA2"/>
    <w:rsid w:val="122510EE"/>
    <w:rsid w:val="12405481"/>
    <w:rsid w:val="125631F0"/>
    <w:rsid w:val="12853CE2"/>
    <w:rsid w:val="128D1331"/>
    <w:rsid w:val="12C1355D"/>
    <w:rsid w:val="12CF59C6"/>
    <w:rsid w:val="12D44BF8"/>
    <w:rsid w:val="12EA1EE6"/>
    <w:rsid w:val="12EF7289"/>
    <w:rsid w:val="133D7CD4"/>
    <w:rsid w:val="134D5A81"/>
    <w:rsid w:val="13BF6991"/>
    <w:rsid w:val="13F03DED"/>
    <w:rsid w:val="13F95DC4"/>
    <w:rsid w:val="142A3E2D"/>
    <w:rsid w:val="144A7973"/>
    <w:rsid w:val="146100CC"/>
    <w:rsid w:val="14DE5371"/>
    <w:rsid w:val="14E5758A"/>
    <w:rsid w:val="14FB7DA2"/>
    <w:rsid w:val="15095E33"/>
    <w:rsid w:val="151237B6"/>
    <w:rsid w:val="158710F3"/>
    <w:rsid w:val="15C772F3"/>
    <w:rsid w:val="15CE4C34"/>
    <w:rsid w:val="15F0775C"/>
    <w:rsid w:val="160A0AD0"/>
    <w:rsid w:val="16401732"/>
    <w:rsid w:val="165B6F79"/>
    <w:rsid w:val="166E5EB0"/>
    <w:rsid w:val="16AE3AE2"/>
    <w:rsid w:val="16DB76E3"/>
    <w:rsid w:val="16F50974"/>
    <w:rsid w:val="170662DD"/>
    <w:rsid w:val="17082CD4"/>
    <w:rsid w:val="177A195D"/>
    <w:rsid w:val="177E328B"/>
    <w:rsid w:val="179E57D5"/>
    <w:rsid w:val="1820060E"/>
    <w:rsid w:val="18205BA9"/>
    <w:rsid w:val="18370FAA"/>
    <w:rsid w:val="185D2F9A"/>
    <w:rsid w:val="188D7D42"/>
    <w:rsid w:val="18C45643"/>
    <w:rsid w:val="19575882"/>
    <w:rsid w:val="195E155B"/>
    <w:rsid w:val="19AD08FD"/>
    <w:rsid w:val="19B31ECF"/>
    <w:rsid w:val="1A0C41D1"/>
    <w:rsid w:val="1A161388"/>
    <w:rsid w:val="1A336BE7"/>
    <w:rsid w:val="1A612D7C"/>
    <w:rsid w:val="1A807E72"/>
    <w:rsid w:val="1A8A2A47"/>
    <w:rsid w:val="1B16166A"/>
    <w:rsid w:val="1BB93E83"/>
    <w:rsid w:val="1BC644B6"/>
    <w:rsid w:val="1C613AB1"/>
    <w:rsid w:val="1C8C0466"/>
    <w:rsid w:val="1CAB1A53"/>
    <w:rsid w:val="1CC854C2"/>
    <w:rsid w:val="1D0121D0"/>
    <w:rsid w:val="1D5B524F"/>
    <w:rsid w:val="1D6D3522"/>
    <w:rsid w:val="1DAB5588"/>
    <w:rsid w:val="1DD72694"/>
    <w:rsid w:val="1DDE1DE9"/>
    <w:rsid w:val="1DFA7416"/>
    <w:rsid w:val="1EAE1FF0"/>
    <w:rsid w:val="1EB3600A"/>
    <w:rsid w:val="1F2D2280"/>
    <w:rsid w:val="1F44012B"/>
    <w:rsid w:val="1F474868"/>
    <w:rsid w:val="1F883C9F"/>
    <w:rsid w:val="1F971592"/>
    <w:rsid w:val="1FB94E27"/>
    <w:rsid w:val="1FF41576"/>
    <w:rsid w:val="20AF20C5"/>
    <w:rsid w:val="20DE36E0"/>
    <w:rsid w:val="20ED7306"/>
    <w:rsid w:val="20F96916"/>
    <w:rsid w:val="211106C5"/>
    <w:rsid w:val="21431785"/>
    <w:rsid w:val="215035D9"/>
    <w:rsid w:val="219E251A"/>
    <w:rsid w:val="21C24F4B"/>
    <w:rsid w:val="21CE7D40"/>
    <w:rsid w:val="21D3334D"/>
    <w:rsid w:val="21F30CFA"/>
    <w:rsid w:val="22071464"/>
    <w:rsid w:val="2232235C"/>
    <w:rsid w:val="23291785"/>
    <w:rsid w:val="23710488"/>
    <w:rsid w:val="2381304A"/>
    <w:rsid w:val="23BB002C"/>
    <w:rsid w:val="23C33515"/>
    <w:rsid w:val="23F1680C"/>
    <w:rsid w:val="243E15D5"/>
    <w:rsid w:val="24551238"/>
    <w:rsid w:val="248E2DBA"/>
    <w:rsid w:val="24FB7DC2"/>
    <w:rsid w:val="25224672"/>
    <w:rsid w:val="25250089"/>
    <w:rsid w:val="25252A8D"/>
    <w:rsid w:val="252A68FA"/>
    <w:rsid w:val="25A67057"/>
    <w:rsid w:val="25BD776E"/>
    <w:rsid w:val="25CB331D"/>
    <w:rsid w:val="25D54115"/>
    <w:rsid w:val="25F72F27"/>
    <w:rsid w:val="260E3B25"/>
    <w:rsid w:val="260F4C55"/>
    <w:rsid w:val="26291B1A"/>
    <w:rsid w:val="26763E6F"/>
    <w:rsid w:val="267C3983"/>
    <w:rsid w:val="26D82BDE"/>
    <w:rsid w:val="26EB0757"/>
    <w:rsid w:val="270101AC"/>
    <w:rsid w:val="274D71B2"/>
    <w:rsid w:val="2751147F"/>
    <w:rsid w:val="27724E6B"/>
    <w:rsid w:val="279C6957"/>
    <w:rsid w:val="27A21331"/>
    <w:rsid w:val="27D32B77"/>
    <w:rsid w:val="27DE5929"/>
    <w:rsid w:val="27E14C4C"/>
    <w:rsid w:val="286C62A1"/>
    <w:rsid w:val="28A069B8"/>
    <w:rsid w:val="28F72971"/>
    <w:rsid w:val="2A3073E0"/>
    <w:rsid w:val="2AE35535"/>
    <w:rsid w:val="2AFC2AE6"/>
    <w:rsid w:val="2B146082"/>
    <w:rsid w:val="2B496FA3"/>
    <w:rsid w:val="2B532BFE"/>
    <w:rsid w:val="2B547157"/>
    <w:rsid w:val="2BB024B4"/>
    <w:rsid w:val="2BC60F98"/>
    <w:rsid w:val="2BCB45F0"/>
    <w:rsid w:val="2BFA26E2"/>
    <w:rsid w:val="2C066A1A"/>
    <w:rsid w:val="2C0B4AE6"/>
    <w:rsid w:val="2C8165FA"/>
    <w:rsid w:val="2CAC7CBD"/>
    <w:rsid w:val="2CCC08A3"/>
    <w:rsid w:val="2D0A514C"/>
    <w:rsid w:val="2DB235BF"/>
    <w:rsid w:val="2E305F9F"/>
    <w:rsid w:val="2E577392"/>
    <w:rsid w:val="2E6E3B00"/>
    <w:rsid w:val="2E8B1B62"/>
    <w:rsid w:val="2E970AE4"/>
    <w:rsid w:val="2EB227A5"/>
    <w:rsid w:val="2EC75771"/>
    <w:rsid w:val="2EE85916"/>
    <w:rsid w:val="2F300821"/>
    <w:rsid w:val="2F4862FA"/>
    <w:rsid w:val="2F822BAC"/>
    <w:rsid w:val="2F96630B"/>
    <w:rsid w:val="301F6139"/>
    <w:rsid w:val="302A5E34"/>
    <w:rsid w:val="30641E74"/>
    <w:rsid w:val="30810E1D"/>
    <w:rsid w:val="30F97581"/>
    <w:rsid w:val="31197C61"/>
    <w:rsid w:val="314256C4"/>
    <w:rsid w:val="317D63B1"/>
    <w:rsid w:val="31947CF5"/>
    <w:rsid w:val="31EE2F36"/>
    <w:rsid w:val="329F04E5"/>
    <w:rsid w:val="32F9755F"/>
    <w:rsid w:val="331B2806"/>
    <w:rsid w:val="333214D1"/>
    <w:rsid w:val="3370495E"/>
    <w:rsid w:val="33AB32FB"/>
    <w:rsid w:val="33CC0FC6"/>
    <w:rsid w:val="33DD0EAC"/>
    <w:rsid w:val="34143D51"/>
    <w:rsid w:val="34302898"/>
    <w:rsid w:val="345B460B"/>
    <w:rsid w:val="348E2B4F"/>
    <w:rsid w:val="34BB4966"/>
    <w:rsid w:val="34BF0228"/>
    <w:rsid w:val="35C97D56"/>
    <w:rsid w:val="35E82082"/>
    <w:rsid w:val="35EE5D6B"/>
    <w:rsid w:val="36292A82"/>
    <w:rsid w:val="3637765B"/>
    <w:rsid w:val="363A3F05"/>
    <w:rsid w:val="365311E6"/>
    <w:rsid w:val="367112A8"/>
    <w:rsid w:val="36D62985"/>
    <w:rsid w:val="375445E4"/>
    <w:rsid w:val="376964D6"/>
    <w:rsid w:val="379C3619"/>
    <w:rsid w:val="37EC06FA"/>
    <w:rsid w:val="384A2F51"/>
    <w:rsid w:val="38CC73F3"/>
    <w:rsid w:val="38E72316"/>
    <w:rsid w:val="39102ED9"/>
    <w:rsid w:val="395B66C1"/>
    <w:rsid w:val="395E3B0F"/>
    <w:rsid w:val="39797D93"/>
    <w:rsid w:val="39930022"/>
    <w:rsid w:val="39AE15AC"/>
    <w:rsid w:val="39E83FB4"/>
    <w:rsid w:val="3A153790"/>
    <w:rsid w:val="3A1F11A7"/>
    <w:rsid w:val="3A86575A"/>
    <w:rsid w:val="3AC23405"/>
    <w:rsid w:val="3B115AB0"/>
    <w:rsid w:val="3B341FC1"/>
    <w:rsid w:val="3B6F11E8"/>
    <w:rsid w:val="3B732683"/>
    <w:rsid w:val="3B851216"/>
    <w:rsid w:val="3BB1191E"/>
    <w:rsid w:val="3C7E397B"/>
    <w:rsid w:val="3D0B4A9A"/>
    <w:rsid w:val="3D517AA3"/>
    <w:rsid w:val="3DA349DC"/>
    <w:rsid w:val="3DFB61B2"/>
    <w:rsid w:val="3E2D22B3"/>
    <w:rsid w:val="3E3457B0"/>
    <w:rsid w:val="3E76679B"/>
    <w:rsid w:val="3E9753EA"/>
    <w:rsid w:val="3E9948D1"/>
    <w:rsid w:val="3ED67F0A"/>
    <w:rsid w:val="3EE41CB3"/>
    <w:rsid w:val="3F43088C"/>
    <w:rsid w:val="3F5E71A0"/>
    <w:rsid w:val="3F7F3F6B"/>
    <w:rsid w:val="3FAA346A"/>
    <w:rsid w:val="3FAB317E"/>
    <w:rsid w:val="40444749"/>
    <w:rsid w:val="40602185"/>
    <w:rsid w:val="406D3C7A"/>
    <w:rsid w:val="408D0A8F"/>
    <w:rsid w:val="40DD4529"/>
    <w:rsid w:val="414920DE"/>
    <w:rsid w:val="41550B18"/>
    <w:rsid w:val="41E371A6"/>
    <w:rsid w:val="4206324A"/>
    <w:rsid w:val="421F1FE8"/>
    <w:rsid w:val="42251528"/>
    <w:rsid w:val="42B01A80"/>
    <w:rsid w:val="42B540C6"/>
    <w:rsid w:val="42BC4BDD"/>
    <w:rsid w:val="42C9215A"/>
    <w:rsid w:val="43124DBF"/>
    <w:rsid w:val="43267EE9"/>
    <w:rsid w:val="43411BCB"/>
    <w:rsid w:val="435C4BA0"/>
    <w:rsid w:val="4373005F"/>
    <w:rsid w:val="442418FE"/>
    <w:rsid w:val="44781DAA"/>
    <w:rsid w:val="44CA357E"/>
    <w:rsid w:val="455166AF"/>
    <w:rsid w:val="45CF460B"/>
    <w:rsid w:val="45E27E1E"/>
    <w:rsid w:val="46517465"/>
    <w:rsid w:val="465A1068"/>
    <w:rsid w:val="46706E2E"/>
    <w:rsid w:val="46A20BD3"/>
    <w:rsid w:val="46B03985"/>
    <w:rsid w:val="470316C4"/>
    <w:rsid w:val="470E368E"/>
    <w:rsid w:val="47411909"/>
    <w:rsid w:val="47AC7367"/>
    <w:rsid w:val="47BA5BC1"/>
    <w:rsid w:val="47C7285C"/>
    <w:rsid w:val="480C69CA"/>
    <w:rsid w:val="4856536A"/>
    <w:rsid w:val="487519F9"/>
    <w:rsid w:val="48B10D58"/>
    <w:rsid w:val="492B18CC"/>
    <w:rsid w:val="497F756E"/>
    <w:rsid w:val="4A0A5885"/>
    <w:rsid w:val="4A9B5A20"/>
    <w:rsid w:val="4B073A5C"/>
    <w:rsid w:val="4B44760D"/>
    <w:rsid w:val="4B5C5D27"/>
    <w:rsid w:val="4B5E326D"/>
    <w:rsid w:val="4B840ACD"/>
    <w:rsid w:val="4B8C42AD"/>
    <w:rsid w:val="4BD6391C"/>
    <w:rsid w:val="4BF72474"/>
    <w:rsid w:val="4C2E5AE5"/>
    <w:rsid w:val="4C4F0B45"/>
    <w:rsid w:val="4DA969FC"/>
    <w:rsid w:val="4DB73FDD"/>
    <w:rsid w:val="4F066320"/>
    <w:rsid w:val="4F0C4606"/>
    <w:rsid w:val="4F235546"/>
    <w:rsid w:val="4F4E6EBF"/>
    <w:rsid w:val="4F7D4C71"/>
    <w:rsid w:val="4FCA7073"/>
    <w:rsid w:val="4FE259E9"/>
    <w:rsid w:val="501D7C2E"/>
    <w:rsid w:val="50635C62"/>
    <w:rsid w:val="50963550"/>
    <w:rsid w:val="512C7508"/>
    <w:rsid w:val="51415990"/>
    <w:rsid w:val="518175D9"/>
    <w:rsid w:val="51F17862"/>
    <w:rsid w:val="520D28A1"/>
    <w:rsid w:val="52321D93"/>
    <w:rsid w:val="52420452"/>
    <w:rsid w:val="5252100E"/>
    <w:rsid w:val="52533FC1"/>
    <w:rsid w:val="53397B84"/>
    <w:rsid w:val="53AE541F"/>
    <w:rsid w:val="53BB70AD"/>
    <w:rsid w:val="53DA43C4"/>
    <w:rsid w:val="53E267AB"/>
    <w:rsid w:val="544D0128"/>
    <w:rsid w:val="54D02C4B"/>
    <w:rsid w:val="55112B45"/>
    <w:rsid w:val="55351206"/>
    <w:rsid w:val="553E2C5C"/>
    <w:rsid w:val="55540CA5"/>
    <w:rsid w:val="55653C63"/>
    <w:rsid w:val="558A46C7"/>
    <w:rsid w:val="558F79BB"/>
    <w:rsid w:val="55A649AE"/>
    <w:rsid w:val="55D93627"/>
    <w:rsid w:val="56602AF8"/>
    <w:rsid w:val="569D1848"/>
    <w:rsid w:val="56B13A64"/>
    <w:rsid w:val="56BA3AA0"/>
    <w:rsid w:val="56CF6D97"/>
    <w:rsid w:val="56D66689"/>
    <w:rsid w:val="570E46A2"/>
    <w:rsid w:val="57174C90"/>
    <w:rsid w:val="57847C36"/>
    <w:rsid w:val="586A742C"/>
    <w:rsid w:val="5881039C"/>
    <w:rsid w:val="58C134D7"/>
    <w:rsid w:val="58C94C3F"/>
    <w:rsid w:val="591E42EB"/>
    <w:rsid w:val="592A1676"/>
    <w:rsid w:val="59715358"/>
    <w:rsid w:val="59E71DDE"/>
    <w:rsid w:val="5A064D2E"/>
    <w:rsid w:val="5A53496E"/>
    <w:rsid w:val="5A7756D8"/>
    <w:rsid w:val="5A96078C"/>
    <w:rsid w:val="5ABB0552"/>
    <w:rsid w:val="5AC87CD6"/>
    <w:rsid w:val="5AE85A5C"/>
    <w:rsid w:val="5B18744E"/>
    <w:rsid w:val="5B50628B"/>
    <w:rsid w:val="5BE477F5"/>
    <w:rsid w:val="5C4A2BD7"/>
    <w:rsid w:val="5C4E7CAF"/>
    <w:rsid w:val="5C58722B"/>
    <w:rsid w:val="5CAF68F6"/>
    <w:rsid w:val="5CF84E92"/>
    <w:rsid w:val="5D213D72"/>
    <w:rsid w:val="5D584C6D"/>
    <w:rsid w:val="5D63632E"/>
    <w:rsid w:val="5DEF6039"/>
    <w:rsid w:val="5E2775BD"/>
    <w:rsid w:val="5E326512"/>
    <w:rsid w:val="5E504C73"/>
    <w:rsid w:val="5E985E8A"/>
    <w:rsid w:val="5EA92630"/>
    <w:rsid w:val="5EE54D87"/>
    <w:rsid w:val="5FB455AB"/>
    <w:rsid w:val="5FD8479E"/>
    <w:rsid w:val="5FEF4FD0"/>
    <w:rsid w:val="5FF11588"/>
    <w:rsid w:val="5FF7262C"/>
    <w:rsid w:val="60585DBB"/>
    <w:rsid w:val="60695F4D"/>
    <w:rsid w:val="609F50E9"/>
    <w:rsid w:val="61394E2C"/>
    <w:rsid w:val="61CA67F0"/>
    <w:rsid w:val="61E84C4F"/>
    <w:rsid w:val="61FE7898"/>
    <w:rsid w:val="621C7A8F"/>
    <w:rsid w:val="62233A0F"/>
    <w:rsid w:val="62402CDD"/>
    <w:rsid w:val="628624D9"/>
    <w:rsid w:val="62F475B6"/>
    <w:rsid w:val="630C6A64"/>
    <w:rsid w:val="631F7E44"/>
    <w:rsid w:val="63376FCF"/>
    <w:rsid w:val="637C04DD"/>
    <w:rsid w:val="63964CCA"/>
    <w:rsid w:val="63B3451B"/>
    <w:rsid w:val="63DD37EF"/>
    <w:rsid w:val="64242D0D"/>
    <w:rsid w:val="64486C1E"/>
    <w:rsid w:val="652A2E44"/>
    <w:rsid w:val="654E4849"/>
    <w:rsid w:val="65686657"/>
    <w:rsid w:val="65BD69EB"/>
    <w:rsid w:val="664977CF"/>
    <w:rsid w:val="668C6BA5"/>
    <w:rsid w:val="66CA0AD7"/>
    <w:rsid w:val="66EC4975"/>
    <w:rsid w:val="67016B09"/>
    <w:rsid w:val="674F45C5"/>
    <w:rsid w:val="67EF63AA"/>
    <w:rsid w:val="681B27B3"/>
    <w:rsid w:val="683116BC"/>
    <w:rsid w:val="688F3871"/>
    <w:rsid w:val="68DC76F5"/>
    <w:rsid w:val="68E74072"/>
    <w:rsid w:val="69173BDC"/>
    <w:rsid w:val="69BD4674"/>
    <w:rsid w:val="6A036769"/>
    <w:rsid w:val="6A325674"/>
    <w:rsid w:val="6A462E5B"/>
    <w:rsid w:val="6A52291B"/>
    <w:rsid w:val="6A7B10E5"/>
    <w:rsid w:val="6A817F02"/>
    <w:rsid w:val="6B351E6F"/>
    <w:rsid w:val="6B7A4051"/>
    <w:rsid w:val="6BA26EA6"/>
    <w:rsid w:val="6BE14999"/>
    <w:rsid w:val="6BFB5FD1"/>
    <w:rsid w:val="6C8829C3"/>
    <w:rsid w:val="6D12175F"/>
    <w:rsid w:val="6D190B2B"/>
    <w:rsid w:val="6D1F5AF0"/>
    <w:rsid w:val="6E1D76E4"/>
    <w:rsid w:val="6E67178A"/>
    <w:rsid w:val="6ED54165"/>
    <w:rsid w:val="6F3657AD"/>
    <w:rsid w:val="6F974373"/>
    <w:rsid w:val="6FC74058"/>
    <w:rsid w:val="6FCA3615"/>
    <w:rsid w:val="70040E87"/>
    <w:rsid w:val="704871A4"/>
    <w:rsid w:val="704D79FB"/>
    <w:rsid w:val="70592DFA"/>
    <w:rsid w:val="70694F36"/>
    <w:rsid w:val="70880C5C"/>
    <w:rsid w:val="70B523D0"/>
    <w:rsid w:val="70C927BC"/>
    <w:rsid w:val="70DD3906"/>
    <w:rsid w:val="7109479F"/>
    <w:rsid w:val="719B076B"/>
    <w:rsid w:val="71DC2403"/>
    <w:rsid w:val="73393BC2"/>
    <w:rsid w:val="735A7500"/>
    <w:rsid w:val="73727608"/>
    <w:rsid w:val="737B44DB"/>
    <w:rsid w:val="73A17823"/>
    <w:rsid w:val="73CF483E"/>
    <w:rsid w:val="74262B1B"/>
    <w:rsid w:val="743106D8"/>
    <w:rsid w:val="74A6094A"/>
    <w:rsid w:val="74CC21DF"/>
    <w:rsid w:val="74E16F35"/>
    <w:rsid w:val="75532D3D"/>
    <w:rsid w:val="758805C2"/>
    <w:rsid w:val="761F2330"/>
    <w:rsid w:val="763F26D5"/>
    <w:rsid w:val="764D0528"/>
    <w:rsid w:val="76C82F19"/>
    <w:rsid w:val="77045A49"/>
    <w:rsid w:val="77266E5A"/>
    <w:rsid w:val="77291B31"/>
    <w:rsid w:val="77467B77"/>
    <w:rsid w:val="775C7088"/>
    <w:rsid w:val="77701354"/>
    <w:rsid w:val="77750DFA"/>
    <w:rsid w:val="77902D8C"/>
    <w:rsid w:val="779A189F"/>
    <w:rsid w:val="77B238DE"/>
    <w:rsid w:val="781F51BA"/>
    <w:rsid w:val="78494544"/>
    <w:rsid w:val="78786599"/>
    <w:rsid w:val="78E431C4"/>
    <w:rsid w:val="78EB4A40"/>
    <w:rsid w:val="79DA536E"/>
    <w:rsid w:val="79F944AF"/>
    <w:rsid w:val="7A2F69EB"/>
    <w:rsid w:val="7A4413F9"/>
    <w:rsid w:val="7A5275FA"/>
    <w:rsid w:val="7A5711E4"/>
    <w:rsid w:val="7AA40F95"/>
    <w:rsid w:val="7AAE01C5"/>
    <w:rsid w:val="7AD60654"/>
    <w:rsid w:val="7AEA0E27"/>
    <w:rsid w:val="7B72199A"/>
    <w:rsid w:val="7BA56A97"/>
    <w:rsid w:val="7BAF6112"/>
    <w:rsid w:val="7BC67347"/>
    <w:rsid w:val="7BF01A56"/>
    <w:rsid w:val="7C232FFC"/>
    <w:rsid w:val="7C735E4E"/>
    <w:rsid w:val="7CC7564B"/>
    <w:rsid w:val="7CD92005"/>
    <w:rsid w:val="7CF9504E"/>
    <w:rsid w:val="7D071AF5"/>
    <w:rsid w:val="7D7243AD"/>
    <w:rsid w:val="7D796A3C"/>
    <w:rsid w:val="7D7E7646"/>
    <w:rsid w:val="7DBA2601"/>
    <w:rsid w:val="7DC26738"/>
    <w:rsid w:val="7E086023"/>
    <w:rsid w:val="7E972C19"/>
    <w:rsid w:val="7EBB2BFC"/>
    <w:rsid w:val="7F6E4E40"/>
    <w:rsid w:val="7F7E2419"/>
    <w:rsid w:val="7F856BE9"/>
    <w:rsid w:val="7FD5285F"/>
    <w:rsid w:val="7FFF16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qFormat="1" w:uiPriority="99"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3"/>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5"/>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5"/>
    <w:qFormat/>
    <w:uiPriority w:val="99"/>
    <w:pPr>
      <w:tabs>
        <w:tab w:val="left" w:pos="588"/>
      </w:tabs>
      <w:spacing w:line="360" w:lineRule="auto"/>
      <w:outlineLvl w:val="2"/>
    </w:pPr>
    <w:rPr>
      <w:rFonts w:ascii="Tahoma" w:hAnsi="Tahoma"/>
    </w:rPr>
  </w:style>
  <w:style w:type="paragraph" w:styleId="2">
    <w:name w:val="heading 4"/>
    <w:basedOn w:val="1"/>
    <w:next w:val="1"/>
    <w:link w:val="142"/>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4"/>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5"/>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5"/>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0"/>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7"/>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38"/>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2"/>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6"/>
    <w:qFormat/>
    <w:uiPriority w:val="0"/>
    <w:pPr>
      <w:spacing w:line="480" w:lineRule="auto"/>
    </w:pPr>
    <w:rPr>
      <w:rFonts w:ascii="STZhongsong" w:eastAsia="STZhongsong"/>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2"/>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2"/>
    <w:qFormat/>
    <w:uiPriority w:val="0"/>
    <w:pPr>
      <w:jc w:val="left"/>
    </w:pPr>
    <w:rPr>
      <w:rFonts w:ascii="Tahoma" w:hAnsi="Tahoma"/>
    </w:rPr>
  </w:style>
  <w:style w:type="paragraph" w:styleId="20">
    <w:name w:val="Salutation"/>
    <w:basedOn w:val="14"/>
    <w:next w:val="14"/>
    <w:link w:val="201"/>
    <w:qFormat/>
    <w:uiPriority w:val="0"/>
    <w:rPr>
      <w:rFonts w:ascii="..ì." w:eastAsia="..ì." w:cs="Times New Roman"/>
      <w:color w:val="auto"/>
      <w:szCs w:val="20"/>
    </w:rPr>
  </w:style>
  <w:style w:type="paragraph" w:styleId="21">
    <w:name w:val="Body Text 3"/>
    <w:basedOn w:val="1"/>
    <w:link w:val="209"/>
    <w:qFormat/>
    <w:uiPriority w:val="99"/>
    <w:pPr>
      <w:spacing w:after="120"/>
    </w:pPr>
    <w:rPr>
      <w:rFonts w:eastAsia="宋体"/>
      <w:sz w:val="16"/>
      <w:szCs w:val="16"/>
    </w:rPr>
  </w:style>
  <w:style w:type="paragraph" w:styleId="22">
    <w:name w:val="Body Text"/>
    <w:basedOn w:val="1"/>
    <w:next w:val="1"/>
    <w:link w:val="136"/>
    <w:qFormat/>
    <w:uiPriority w:val="99"/>
    <w:pPr>
      <w:spacing w:line="360" w:lineRule="auto"/>
    </w:pPr>
    <w:rPr>
      <w:rFonts w:ascii="Tahoma" w:hAnsi="Tahoma"/>
    </w:rPr>
  </w:style>
  <w:style w:type="paragraph" w:styleId="23">
    <w:name w:val="Body Text Indent"/>
    <w:basedOn w:val="1"/>
    <w:next w:val="1"/>
    <w:link w:val="168"/>
    <w:qFormat/>
    <w:uiPriority w:val="99"/>
    <w:pPr>
      <w:widowControl/>
      <w:spacing w:line="360" w:lineRule="auto"/>
      <w:ind w:firstLine="709"/>
      <w:jc w:val="left"/>
    </w:pPr>
    <w:rPr>
      <w:rFonts w:ascii="Tahoma" w:hAnsi="Tahoma"/>
    </w:rPr>
  </w:style>
  <w:style w:type="paragraph" w:styleId="24">
    <w:name w:val="List 2"/>
    <w:basedOn w:val="1"/>
    <w:unhideWhenUsed/>
    <w:qFormat/>
    <w:uiPriority w:val="99"/>
    <w:pPr>
      <w:ind w:left="100" w:leftChars="200" w:hanging="200" w:hangingChars="200"/>
      <w:contextualSpacing/>
    </w:p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3"/>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9"/>
    <w:qFormat/>
    <w:uiPriority w:val="99"/>
    <w:pPr>
      <w:spacing w:line="360" w:lineRule="auto"/>
      <w:ind w:left="2500" w:leftChars="2500"/>
    </w:pPr>
    <w:rPr>
      <w:rFonts w:ascii="Tahoma" w:hAnsi="Tahoma"/>
    </w:rPr>
  </w:style>
  <w:style w:type="paragraph" w:styleId="32">
    <w:name w:val="Body Text Indent 2"/>
    <w:basedOn w:val="1"/>
    <w:link w:val="164"/>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8"/>
    <w:qFormat/>
    <w:uiPriority w:val="0"/>
    <w:rPr>
      <w:sz w:val="18"/>
      <w:szCs w:val="18"/>
    </w:rPr>
  </w:style>
  <w:style w:type="paragraph" w:styleId="34">
    <w:name w:val="footer"/>
    <w:basedOn w:val="1"/>
    <w:link w:val="139"/>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4"/>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2"/>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70"/>
    <w:qFormat/>
    <w:uiPriority w:val="99"/>
    <w:pPr>
      <w:spacing w:line="360" w:lineRule="auto"/>
      <w:ind w:right="26"/>
    </w:pPr>
    <w:rPr>
      <w:rFonts w:ascii="宋体" w:eastAsia="宋体"/>
      <w:szCs w:val="20"/>
    </w:rPr>
  </w:style>
  <w:style w:type="paragraph" w:styleId="44">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6"/>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19"/>
    <w:next w:val="19"/>
    <w:link w:val="130"/>
    <w:unhideWhenUsed/>
    <w:qFormat/>
    <w:uiPriority w:val="99"/>
    <w:pPr>
      <w:spacing w:line="440" w:lineRule="exact"/>
    </w:pPr>
    <w:rPr>
      <w:b/>
      <w:bCs/>
      <w:sz w:val="24"/>
      <w:szCs w:val="28"/>
    </w:rPr>
  </w:style>
  <w:style w:type="paragraph" w:styleId="49">
    <w:name w:val="Body Text First Indent"/>
    <w:basedOn w:val="22"/>
    <w:next w:val="50"/>
    <w:link w:val="133"/>
    <w:qFormat/>
    <w:uiPriority w:val="0"/>
    <w:pPr>
      <w:spacing w:after="120" w:line="240" w:lineRule="auto"/>
      <w:ind w:firstLine="100" w:firstLineChars="100"/>
    </w:pPr>
  </w:style>
  <w:style w:type="paragraph" w:styleId="50">
    <w:name w:val="Body Text First Indent 2"/>
    <w:basedOn w:val="23"/>
    <w:next w:val="1"/>
    <w:link w:val="169"/>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basedOn w:val="53"/>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_Style 3"/>
    <w:basedOn w:val="3"/>
    <w:next w:val="1"/>
    <w:qFormat/>
    <w:uiPriority w:val="0"/>
    <w:pPr>
      <w:keepLines w:val="0"/>
      <w:widowControl/>
      <w:spacing w:after="0" w:line="256" w:lineRule="auto"/>
      <w:jc w:val="left"/>
    </w:pPr>
    <w:rPr>
      <w:rFonts w:ascii="Calibri Light" w:hAnsi="Calibri Light" w:eastAsia="宋体"/>
      <w:color w:val="2E74B5"/>
      <w:kern w:val="0"/>
      <w:sz w:val="32"/>
      <w:szCs w:val="32"/>
    </w:rPr>
  </w:style>
  <w:style w:type="paragraph" w:customStyle="1" w:styleId="65">
    <w:name w:val="TOC 标题1"/>
    <w:basedOn w:val="3"/>
    <w:next w:val="1"/>
    <w:qFormat/>
    <w:uiPriority w:val="39"/>
    <w:pPr>
      <w:widowControl/>
      <w:spacing w:line="259" w:lineRule="auto"/>
      <w:jc w:val="left"/>
      <w:outlineLvl w:val="9"/>
    </w:pPr>
    <w:rPr>
      <w:rFonts w:ascii="Calibri Light" w:hAnsi="Calibri Light" w:eastAsia="宋体"/>
      <w:color w:val="2E74B5"/>
      <w:kern w:val="0"/>
      <w:sz w:val="32"/>
      <w:szCs w:val="32"/>
    </w:rPr>
  </w:style>
  <w:style w:type="paragraph" w:customStyle="1" w:styleId="6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7">
    <w:name w:val="列出段落2"/>
    <w:basedOn w:val="1"/>
    <w:unhideWhenUsed/>
    <w:qFormat/>
    <w:uiPriority w:val="0"/>
    <w:pPr>
      <w:ind w:firstLine="420" w:firstLineChars="200"/>
    </w:pPr>
  </w:style>
  <w:style w:type="paragraph" w:customStyle="1" w:styleId="68">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9">
    <w:name w:val="_Style 67"/>
    <w:basedOn w:val="1"/>
    <w:next w:val="70"/>
    <w:qFormat/>
    <w:uiPriority w:val="99"/>
    <w:pPr>
      <w:ind w:firstLine="420" w:firstLineChars="200"/>
    </w:pPr>
    <w:rPr>
      <w:rFonts w:ascii="Calibri" w:hAnsi="Calibri"/>
      <w:szCs w:val="22"/>
    </w:rPr>
  </w:style>
  <w:style w:type="paragraph" w:styleId="70">
    <w:name w:val="List Paragraph"/>
    <w:basedOn w:val="1"/>
    <w:qFormat/>
    <w:uiPriority w:val="34"/>
    <w:pPr>
      <w:ind w:firstLine="420" w:firstLineChars="200"/>
    </w:pPr>
    <w:rPr>
      <w:rFonts w:ascii="Calibri" w:hAnsi="Calibri" w:eastAsia="宋体"/>
      <w:szCs w:val="22"/>
    </w:rPr>
  </w:style>
  <w:style w:type="paragraph" w:customStyle="1" w:styleId="71">
    <w:name w:val="_Style 2"/>
    <w:basedOn w:val="1"/>
    <w:qFormat/>
    <w:uiPriority w:val="34"/>
    <w:pPr>
      <w:ind w:firstLine="420" w:firstLineChars="200"/>
    </w:pPr>
    <w:rPr>
      <w:rFonts w:ascii="Calibri" w:hAnsi="Calibri"/>
      <w:szCs w:val="22"/>
    </w:rPr>
  </w:style>
  <w:style w:type="paragraph" w:customStyle="1" w:styleId="72">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3">
    <w:name w:val="TOC 标题1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4">
    <w:name w:val="封面落款"/>
    <w:basedOn w:val="1"/>
    <w:qFormat/>
    <w:uiPriority w:val="0"/>
    <w:pPr>
      <w:spacing w:line="360" w:lineRule="auto"/>
      <w:jc w:val="center"/>
    </w:pPr>
    <w:rPr>
      <w:rFonts w:ascii="Arial" w:hAnsi="Arial" w:eastAsia="黑体"/>
      <w:sz w:val="32"/>
      <w:szCs w:val="28"/>
    </w:rPr>
  </w:style>
  <w:style w:type="paragraph" w:customStyle="1" w:styleId="75">
    <w:name w:val="目录"/>
    <w:link w:val="107"/>
    <w:qFormat/>
    <w:uiPriority w:val="0"/>
    <w:pPr>
      <w:spacing w:before="156" w:after="156"/>
    </w:pPr>
    <w:rPr>
      <w:rFonts w:ascii="仿宋_GB2312" w:hAnsi="宋体" w:eastAsia="仿宋_GB2312" w:cs="Times New Roman"/>
      <w:sz w:val="28"/>
      <w:szCs w:val="28"/>
      <w:lang w:val="en-US" w:eastAsia="zh-CN" w:bidi="ar-SA"/>
    </w:rPr>
  </w:style>
  <w:style w:type="paragraph" w:customStyle="1" w:styleId="76">
    <w:name w:val="表格字体小四"/>
    <w:link w:val="106"/>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7">
    <w:name w:val="样式 标题 5 + 小四"/>
    <w:basedOn w:val="7"/>
    <w:qFormat/>
    <w:uiPriority w:val="0"/>
    <w:pPr>
      <w:tabs>
        <w:tab w:val="left" w:pos="567"/>
      </w:tabs>
      <w:wordWrap w:val="0"/>
      <w:spacing w:line="377" w:lineRule="auto"/>
      <w:ind w:left="567" w:hanging="567"/>
      <w:jc w:val="left"/>
    </w:pPr>
  </w:style>
  <w:style w:type="paragraph" w:customStyle="1" w:styleId="78">
    <w:name w:val="表格格式"/>
    <w:basedOn w:val="1"/>
    <w:qFormat/>
    <w:uiPriority w:val="0"/>
    <w:pPr>
      <w:adjustRightInd w:val="0"/>
      <w:snapToGrid w:val="0"/>
      <w:jc w:val="left"/>
      <w:textAlignment w:val="baseline"/>
    </w:pPr>
    <w:rPr>
      <w:rFonts w:ascii="宋体"/>
      <w:kern w:val="0"/>
      <w:szCs w:val="20"/>
    </w:rPr>
  </w:style>
  <w:style w:type="paragraph" w:customStyle="1" w:styleId="79">
    <w:name w:val="样式5"/>
    <w:basedOn w:val="6"/>
    <w:qFormat/>
    <w:uiPriority w:val="0"/>
    <w:pPr>
      <w:ind w:firstLine="420"/>
    </w:pPr>
    <w:rPr>
      <w:sz w:val="21"/>
      <w:szCs w:val="21"/>
    </w:rPr>
  </w:style>
  <w:style w:type="paragraph" w:customStyle="1" w:styleId="80">
    <w:name w:val="标题2"/>
    <w:basedOn w:val="4"/>
    <w:next w:val="1"/>
    <w:link w:val="97"/>
    <w:qFormat/>
    <w:uiPriority w:val="0"/>
    <w:pPr>
      <w:widowControl/>
      <w:spacing w:beforeLines="10" w:afterLines="10" w:line="240" w:lineRule="auto"/>
      <w:jc w:val="left"/>
    </w:pPr>
    <w:rPr>
      <w:rFonts w:ascii="Times New Roman" w:hAnsi="Times New Roman" w:eastAsia="黑体"/>
      <w:b/>
      <w:bCs/>
      <w:szCs w:val="24"/>
    </w:rPr>
  </w:style>
  <w:style w:type="paragraph" w:customStyle="1" w:styleId="81">
    <w:name w:val="三级"/>
    <w:basedOn w:val="4"/>
    <w:link w:val="108"/>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2">
    <w:name w:val="样式2"/>
    <w:basedOn w:val="1"/>
    <w:link w:val="120"/>
    <w:qFormat/>
    <w:uiPriority w:val="0"/>
    <w:pPr>
      <w:spacing w:line="300" w:lineRule="auto"/>
      <w:jc w:val="center"/>
      <w:outlineLvl w:val="0"/>
    </w:pPr>
    <w:rPr>
      <w:b/>
      <w:sz w:val="24"/>
    </w:rPr>
  </w:style>
  <w:style w:type="paragraph" w:customStyle="1" w:styleId="83">
    <w:name w:val="Char1"/>
    <w:basedOn w:val="1"/>
    <w:qFormat/>
    <w:uiPriority w:val="0"/>
    <w:pPr>
      <w:adjustRightInd w:val="0"/>
      <w:spacing w:line="360" w:lineRule="auto"/>
    </w:pPr>
    <w:rPr>
      <w:kern w:val="0"/>
      <w:sz w:val="24"/>
      <w:szCs w:val="20"/>
    </w:rPr>
  </w:style>
  <w:style w:type="paragraph" w:customStyle="1" w:styleId="84">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5">
    <w:name w:val="标题3"/>
    <w:basedOn w:val="5"/>
    <w:next w:val="1"/>
    <w:link w:val="141"/>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6">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7">
    <w:name w:val="表格标题"/>
    <w:basedOn w:val="15"/>
    <w:link w:val="134"/>
    <w:qFormat/>
    <w:uiPriority w:val="0"/>
    <w:pPr>
      <w:spacing w:before="152" w:after="160" w:line="420" w:lineRule="exact"/>
      <w:ind w:firstLine="480" w:firstLineChars="200"/>
      <w:jc w:val="center"/>
    </w:pPr>
    <w:rPr>
      <w:rFonts w:ascii="Arial" w:hAnsi="Arial" w:eastAsia="宋体"/>
      <w:sz w:val="24"/>
      <w:szCs w:val="24"/>
    </w:rPr>
  </w:style>
  <w:style w:type="paragraph" w:customStyle="1" w:styleId="88">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9">
    <w:name w:val="图片"/>
    <w:basedOn w:val="1"/>
    <w:link w:val="122"/>
    <w:qFormat/>
    <w:uiPriority w:val="0"/>
    <w:pPr>
      <w:jc w:val="center"/>
    </w:pPr>
    <w:rPr>
      <w:sz w:val="28"/>
      <w:szCs w:val="28"/>
    </w:rPr>
  </w:style>
  <w:style w:type="paragraph" w:customStyle="1" w:styleId="90">
    <w:name w:val="正文首行缩进1"/>
    <w:basedOn w:val="22"/>
    <w:qFormat/>
    <w:uiPriority w:val="0"/>
    <w:pPr>
      <w:suppressAutoHyphens/>
      <w:spacing w:line="300" w:lineRule="auto"/>
      <w:ind w:left="426"/>
    </w:pPr>
    <w:rPr>
      <w:rFonts w:ascii="宋体" w:hAnsi="宋体"/>
      <w:szCs w:val="20"/>
    </w:rPr>
  </w:style>
  <w:style w:type="paragraph" w:customStyle="1" w:styleId="91">
    <w:name w:val="纯文本1"/>
    <w:basedOn w:val="1"/>
    <w:qFormat/>
    <w:uiPriority w:val="0"/>
    <w:rPr>
      <w:rFonts w:ascii="宋体" w:hAnsi="Courier New"/>
    </w:rPr>
  </w:style>
  <w:style w:type="paragraph" w:customStyle="1" w:styleId="92">
    <w:name w:val="样式 首行不缩进"/>
    <w:basedOn w:val="1"/>
    <w:qFormat/>
    <w:uiPriority w:val="0"/>
    <w:pPr>
      <w:spacing w:before="120" w:after="120" w:line="360" w:lineRule="auto"/>
      <w:jc w:val="center"/>
    </w:pPr>
    <w:rPr>
      <w:rFonts w:cs="宋体"/>
      <w:sz w:val="24"/>
      <w:szCs w:val="20"/>
    </w:rPr>
  </w:style>
  <w:style w:type="paragraph" w:customStyle="1" w:styleId="93">
    <w:name w:val="图题"/>
    <w:link w:val="116"/>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4">
    <w:name w:val="小列表"/>
    <w:basedOn w:val="1"/>
    <w:link w:val="100"/>
    <w:qFormat/>
    <w:uiPriority w:val="0"/>
    <w:pPr>
      <w:numPr>
        <w:ilvl w:val="0"/>
        <w:numId w:val="2"/>
      </w:numPr>
      <w:autoSpaceDE w:val="0"/>
      <w:autoSpaceDN w:val="0"/>
      <w:spacing w:line="440" w:lineRule="exact"/>
      <w:ind w:firstLine="0"/>
    </w:pPr>
    <w:rPr>
      <w:sz w:val="24"/>
      <w:szCs w:val="28"/>
    </w:rPr>
  </w:style>
  <w:style w:type="paragraph" w:customStyle="1" w:styleId="95">
    <w:name w:val="表格正文"/>
    <w:basedOn w:val="1"/>
    <w:qFormat/>
    <w:uiPriority w:val="0"/>
    <w:pPr>
      <w:widowControl/>
      <w:snapToGrid w:val="0"/>
      <w:spacing w:before="60" w:after="60"/>
      <w:ind w:left="11"/>
      <w:jc w:val="center"/>
    </w:pPr>
    <w:rPr>
      <w:kern w:val="0"/>
      <w:szCs w:val="21"/>
    </w:rPr>
  </w:style>
  <w:style w:type="character" w:customStyle="1" w:styleId="96">
    <w:name w:val="题注 字符"/>
    <w:link w:val="15"/>
    <w:qFormat/>
    <w:uiPriority w:val="0"/>
    <w:rPr>
      <w:rFonts w:ascii="STZhongsong" w:eastAsia="STZhongsong"/>
      <w:kern w:val="2"/>
      <w:sz w:val="36"/>
    </w:rPr>
  </w:style>
  <w:style w:type="character" w:customStyle="1" w:styleId="97">
    <w:name w:val="标题2 Char Char"/>
    <w:link w:val="80"/>
    <w:qFormat/>
    <w:uiPriority w:val="0"/>
    <w:rPr>
      <w:rFonts w:eastAsia="黑体"/>
      <w:kern w:val="2"/>
      <w:sz w:val="32"/>
      <w:szCs w:val="24"/>
    </w:rPr>
  </w:style>
  <w:style w:type="character" w:customStyle="1" w:styleId="98">
    <w:name w:val="批注框文本 字符"/>
    <w:link w:val="33"/>
    <w:qFormat/>
    <w:uiPriority w:val="0"/>
    <w:rPr>
      <w:kern w:val="2"/>
      <w:sz w:val="18"/>
      <w:szCs w:val="18"/>
    </w:rPr>
  </w:style>
  <w:style w:type="character" w:customStyle="1" w:styleId="99">
    <w:name w:val="refresh"/>
    <w:basedOn w:val="53"/>
    <w:qFormat/>
    <w:uiPriority w:val="0"/>
  </w:style>
  <w:style w:type="character" w:customStyle="1" w:styleId="100">
    <w:name w:val="小列表 Char Char"/>
    <w:link w:val="94"/>
    <w:qFormat/>
    <w:uiPriority w:val="0"/>
    <w:rPr>
      <w:rFonts w:eastAsia="Arial Unicode MS"/>
      <w:kern w:val="2"/>
      <w:sz w:val="24"/>
      <w:szCs w:val="28"/>
    </w:rPr>
  </w:style>
  <w:style w:type="character" w:customStyle="1" w:styleId="101">
    <w:name w:val="del"/>
    <w:basedOn w:val="53"/>
    <w:qFormat/>
    <w:uiPriority w:val="0"/>
  </w:style>
  <w:style w:type="character" w:customStyle="1" w:styleId="102">
    <w:name w:val="批注文字 字符"/>
    <w:link w:val="19"/>
    <w:qFormat/>
    <w:uiPriority w:val="0"/>
    <w:rPr>
      <w:rFonts w:ascii="Tahoma" w:hAnsi="Tahoma"/>
      <w:kern w:val="2"/>
      <w:sz w:val="21"/>
      <w:szCs w:val="24"/>
    </w:rPr>
  </w:style>
  <w:style w:type="character" w:customStyle="1" w:styleId="103">
    <w:name w:val="正文缩进 Char1"/>
    <w:qFormat/>
    <w:uiPriority w:val="0"/>
    <w:rPr>
      <w:rFonts w:eastAsia="宋体"/>
      <w:kern w:val="2"/>
      <w:sz w:val="21"/>
      <w:szCs w:val="24"/>
      <w:lang w:val="en-US" w:eastAsia="zh-CN" w:bidi="ar-SA"/>
    </w:rPr>
  </w:style>
  <w:style w:type="character" w:customStyle="1" w:styleId="104">
    <w:name w:val="标题 5 字符"/>
    <w:link w:val="7"/>
    <w:qFormat/>
    <w:uiPriority w:val="99"/>
    <w:rPr>
      <w:b/>
      <w:bCs/>
      <w:kern w:val="2"/>
      <w:sz w:val="24"/>
      <w:szCs w:val="28"/>
    </w:rPr>
  </w:style>
  <w:style w:type="character" w:customStyle="1" w:styleId="105">
    <w:name w:val="标题 2 字符"/>
    <w:link w:val="4"/>
    <w:qFormat/>
    <w:uiPriority w:val="99"/>
    <w:rPr>
      <w:rFonts w:ascii="Cambria" w:hAnsi="Cambria"/>
      <w:b/>
      <w:bCs/>
      <w:kern w:val="2"/>
      <w:sz w:val="32"/>
      <w:szCs w:val="32"/>
    </w:rPr>
  </w:style>
  <w:style w:type="character" w:customStyle="1" w:styleId="106">
    <w:name w:val="表格字体小四 Char Char"/>
    <w:link w:val="76"/>
    <w:qFormat/>
    <w:uiPriority w:val="0"/>
    <w:rPr>
      <w:kern w:val="2"/>
      <w:sz w:val="24"/>
      <w:szCs w:val="24"/>
      <w:lang w:val="en-US" w:eastAsia="zh-CN" w:bidi="ar-SA"/>
    </w:rPr>
  </w:style>
  <w:style w:type="character" w:customStyle="1" w:styleId="107">
    <w:name w:val="目录 Char Char"/>
    <w:link w:val="75"/>
    <w:qFormat/>
    <w:uiPriority w:val="0"/>
    <w:rPr>
      <w:rFonts w:ascii="仿宋_GB2312" w:hAnsi="宋体" w:eastAsia="仿宋_GB2312"/>
      <w:sz w:val="28"/>
      <w:szCs w:val="28"/>
      <w:lang w:val="en-US" w:eastAsia="zh-CN" w:bidi="ar-SA"/>
    </w:rPr>
  </w:style>
  <w:style w:type="character" w:customStyle="1" w:styleId="108">
    <w:name w:val="三级 Char Char"/>
    <w:link w:val="81"/>
    <w:qFormat/>
    <w:uiPriority w:val="0"/>
    <w:rPr>
      <w:rFonts w:eastAsia="黑体"/>
      <w:bCs/>
      <w:kern w:val="2"/>
      <w:sz w:val="30"/>
      <w:szCs w:val="24"/>
    </w:rPr>
  </w:style>
  <w:style w:type="character" w:customStyle="1" w:styleId="109">
    <w:name w:val="label"/>
    <w:basedOn w:val="53"/>
    <w:qFormat/>
    <w:uiPriority w:val="0"/>
  </w:style>
  <w:style w:type="character" w:customStyle="1" w:styleId="110">
    <w:name w:val="标题 8 字符"/>
    <w:link w:val="10"/>
    <w:qFormat/>
    <w:uiPriority w:val="99"/>
    <w:rPr>
      <w:rFonts w:ascii="Arial" w:hAnsi="Arial" w:eastAsia="黑体"/>
      <w:kern w:val="2"/>
      <w:sz w:val="24"/>
      <w:szCs w:val="28"/>
    </w:rPr>
  </w:style>
  <w:style w:type="character" w:customStyle="1" w:styleId="111">
    <w:name w:val="open2"/>
    <w:basedOn w:val="53"/>
    <w:qFormat/>
    <w:uiPriority w:val="0"/>
  </w:style>
  <w:style w:type="character" w:customStyle="1" w:styleId="112">
    <w:name w:val="15"/>
    <w:qFormat/>
    <w:uiPriority w:val="0"/>
    <w:rPr>
      <w:rFonts w:hint="default" w:ascii="Calibri" w:hAnsi="Calibri" w:cs="Calibri"/>
      <w:color w:val="0000FF"/>
      <w:u w:val="single"/>
    </w:rPr>
  </w:style>
  <w:style w:type="character" w:customStyle="1" w:styleId="113">
    <w:name w:val="trans"/>
    <w:basedOn w:val="53"/>
    <w:qFormat/>
    <w:uiPriority w:val="0"/>
  </w:style>
  <w:style w:type="character" w:customStyle="1" w:styleId="114">
    <w:name w:val="del2"/>
    <w:basedOn w:val="53"/>
    <w:qFormat/>
    <w:uiPriority w:val="0"/>
  </w:style>
  <w:style w:type="character" w:customStyle="1" w:styleId="115">
    <w:name w:val="标题 3 字符"/>
    <w:link w:val="5"/>
    <w:qFormat/>
    <w:uiPriority w:val="99"/>
    <w:rPr>
      <w:rFonts w:ascii="Tahoma" w:hAnsi="Tahoma"/>
      <w:b/>
      <w:bCs/>
      <w:kern w:val="2"/>
      <w:sz w:val="32"/>
      <w:szCs w:val="32"/>
    </w:rPr>
  </w:style>
  <w:style w:type="character" w:customStyle="1" w:styleId="116">
    <w:name w:val="图题 Char Char"/>
    <w:link w:val="93"/>
    <w:qFormat/>
    <w:uiPriority w:val="0"/>
    <w:rPr>
      <w:kern w:val="2"/>
      <w:sz w:val="24"/>
      <w:szCs w:val="24"/>
      <w:lang w:val="en-US" w:eastAsia="zh-CN" w:bidi="ar-SA"/>
    </w:rPr>
  </w:style>
  <w:style w:type="character" w:customStyle="1" w:styleId="117">
    <w:name w:val="pagelinks"/>
    <w:basedOn w:val="53"/>
    <w:qFormat/>
    <w:uiPriority w:val="0"/>
  </w:style>
  <w:style w:type="character" w:customStyle="1" w:styleId="118">
    <w:name w:val="morewin"/>
    <w:basedOn w:val="53"/>
    <w:qFormat/>
    <w:uiPriority w:val="0"/>
  </w:style>
  <w:style w:type="character" w:customStyle="1" w:styleId="119">
    <w:name w:val="open"/>
    <w:basedOn w:val="53"/>
    <w:qFormat/>
    <w:uiPriority w:val="0"/>
  </w:style>
  <w:style w:type="character" w:customStyle="1" w:styleId="120">
    <w:name w:val="样式2 Char Char"/>
    <w:link w:val="82"/>
    <w:qFormat/>
    <w:uiPriority w:val="0"/>
    <w:rPr>
      <w:b/>
      <w:kern w:val="2"/>
      <w:sz w:val="24"/>
      <w:szCs w:val="24"/>
    </w:rPr>
  </w:style>
  <w:style w:type="character" w:customStyle="1" w:styleId="121">
    <w:name w:val="批注文字 Char"/>
    <w:qFormat/>
    <w:uiPriority w:val="99"/>
    <w:rPr>
      <w:kern w:val="2"/>
      <w:sz w:val="24"/>
      <w:szCs w:val="28"/>
    </w:rPr>
  </w:style>
  <w:style w:type="character" w:customStyle="1" w:styleId="122">
    <w:name w:val="图片 Char Char"/>
    <w:link w:val="89"/>
    <w:qFormat/>
    <w:uiPriority w:val="0"/>
    <w:rPr>
      <w:kern w:val="2"/>
      <w:sz w:val="28"/>
      <w:szCs w:val="28"/>
    </w:rPr>
  </w:style>
  <w:style w:type="character" w:customStyle="1" w:styleId="123">
    <w:name w:val="标题 1 字符"/>
    <w:link w:val="3"/>
    <w:qFormat/>
    <w:uiPriority w:val="99"/>
    <w:rPr>
      <w:rFonts w:ascii="Tahoma" w:hAnsi="Tahoma"/>
      <w:b/>
      <w:bCs/>
      <w:kern w:val="44"/>
      <w:sz w:val="24"/>
      <w:szCs w:val="44"/>
    </w:rPr>
  </w:style>
  <w:style w:type="character" w:customStyle="1" w:styleId="124">
    <w:name w:val="页眉 字符"/>
    <w:link w:val="35"/>
    <w:qFormat/>
    <w:uiPriority w:val="99"/>
    <w:rPr>
      <w:rFonts w:ascii="Tahoma" w:hAnsi="Tahoma"/>
      <w:kern w:val="2"/>
      <w:sz w:val="18"/>
      <w:szCs w:val="18"/>
    </w:rPr>
  </w:style>
  <w:style w:type="character" w:customStyle="1" w:styleId="125">
    <w:name w:val="标题 7 字符"/>
    <w:link w:val="9"/>
    <w:qFormat/>
    <w:uiPriority w:val="99"/>
    <w:rPr>
      <w:b/>
      <w:bCs/>
      <w:kern w:val="2"/>
      <w:sz w:val="24"/>
      <w:szCs w:val="28"/>
    </w:rPr>
  </w:style>
  <w:style w:type="character" w:customStyle="1" w:styleId="126">
    <w:name w:val="标题 字符"/>
    <w:link w:val="47"/>
    <w:qFormat/>
    <w:uiPriority w:val="0"/>
    <w:rPr>
      <w:rFonts w:ascii="Cambria" w:hAnsi="Cambria"/>
      <w:b/>
      <w:bCs/>
      <w:kern w:val="2"/>
      <w:sz w:val="32"/>
      <w:szCs w:val="32"/>
    </w:rPr>
  </w:style>
  <w:style w:type="character" w:customStyle="1" w:styleId="127">
    <w:name w:val="标题 9 字符"/>
    <w:link w:val="11"/>
    <w:qFormat/>
    <w:uiPriority w:val="99"/>
    <w:rPr>
      <w:rFonts w:ascii="Arial" w:hAnsi="Arial" w:eastAsia="黑体"/>
      <w:kern w:val="2"/>
      <w:sz w:val="24"/>
      <w:szCs w:val="21"/>
    </w:rPr>
  </w:style>
  <w:style w:type="character" w:customStyle="1" w:styleId="128">
    <w:name w:val="error"/>
    <w:qFormat/>
    <w:uiPriority w:val="0"/>
    <w:rPr>
      <w:color w:val="CC0000"/>
    </w:rPr>
  </w:style>
  <w:style w:type="character" w:customStyle="1" w:styleId="129">
    <w:name w:val="add"/>
    <w:basedOn w:val="53"/>
    <w:qFormat/>
    <w:uiPriority w:val="0"/>
  </w:style>
  <w:style w:type="character" w:customStyle="1" w:styleId="130">
    <w:name w:val="批注主题 字符"/>
    <w:link w:val="48"/>
    <w:qFormat/>
    <w:uiPriority w:val="99"/>
    <w:rPr>
      <w:rFonts w:ascii="Tahoma" w:hAnsi="Tahoma"/>
      <w:b/>
      <w:bCs/>
      <w:kern w:val="2"/>
      <w:sz w:val="24"/>
      <w:szCs w:val="28"/>
    </w:rPr>
  </w:style>
  <w:style w:type="character" w:customStyle="1" w:styleId="131">
    <w:name w:val="pagebanner"/>
    <w:basedOn w:val="53"/>
    <w:qFormat/>
    <w:uiPriority w:val="0"/>
  </w:style>
  <w:style w:type="character" w:customStyle="1" w:styleId="132">
    <w:name w:val="文档结构图 字符"/>
    <w:link w:val="17"/>
    <w:qFormat/>
    <w:uiPriority w:val="99"/>
    <w:rPr>
      <w:rFonts w:ascii="宋体"/>
      <w:kern w:val="2"/>
      <w:sz w:val="18"/>
      <w:szCs w:val="18"/>
    </w:rPr>
  </w:style>
  <w:style w:type="character" w:customStyle="1" w:styleId="133">
    <w:name w:val="正文文本首行缩进 字符"/>
    <w:link w:val="49"/>
    <w:qFormat/>
    <w:uiPriority w:val="0"/>
    <w:rPr>
      <w:rFonts w:ascii="Tahoma" w:hAnsi="Tahoma"/>
      <w:kern w:val="2"/>
      <w:sz w:val="21"/>
      <w:szCs w:val="24"/>
    </w:rPr>
  </w:style>
  <w:style w:type="character" w:customStyle="1" w:styleId="134">
    <w:name w:val="表格标题 Char Char"/>
    <w:link w:val="87"/>
    <w:qFormat/>
    <w:uiPriority w:val="0"/>
    <w:rPr>
      <w:rFonts w:ascii="Arial" w:hAnsi="Arial" w:cs="Arial"/>
      <w:kern w:val="2"/>
      <w:sz w:val="24"/>
      <w:szCs w:val="24"/>
    </w:rPr>
  </w:style>
  <w:style w:type="character" w:customStyle="1" w:styleId="135">
    <w:name w:val="标题 6 字符"/>
    <w:link w:val="8"/>
    <w:qFormat/>
    <w:uiPriority w:val="99"/>
    <w:rPr>
      <w:rFonts w:ascii="Arial" w:hAnsi="Arial" w:eastAsia="黑体"/>
      <w:b/>
      <w:bCs/>
      <w:kern w:val="2"/>
      <w:sz w:val="24"/>
      <w:szCs w:val="28"/>
    </w:rPr>
  </w:style>
  <w:style w:type="character" w:customStyle="1" w:styleId="136">
    <w:name w:val="正文文本 字符1"/>
    <w:link w:val="22"/>
    <w:qFormat/>
    <w:uiPriority w:val="99"/>
    <w:rPr>
      <w:rFonts w:ascii="Tahoma" w:hAnsi="Tahoma"/>
      <w:kern w:val="2"/>
      <w:sz w:val="21"/>
      <w:szCs w:val="24"/>
    </w:rPr>
  </w:style>
  <w:style w:type="character" w:customStyle="1" w:styleId="137">
    <w:name w:val="10"/>
    <w:qFormat/>
    <w:uiPriority w:val="0"/>
    <w:rPr>
      <w:rFonts w:hint="default" w:ascii="Calibri" w:hAnsi="Calibri" w:cs="Calibri"/>
    </w:rPr>
  </w:style>
  <w:style w:type="character" w:customStyle="1" w:styleId="138">
    <w:name w:val="正文缩进 字符"/>
    <w:link w:val="6"/>
    <w:qFormat/>
    <w:uiPriority w:val="0"/>
    <w:rPr>
      <w:kern w:val="2"/>
      <w:sz w:val="24"/>
    </w:rPr>
  </w:style>
  <w:style w:type="character" w:customStyle="1" w:styleId="139">
    <w:name w:val="页脚 字符"/>
    <w:link w:val="34"/>
    <w:qFormat/>
    <w:uiPriority w:val="99"/>
    <w:rPr>
      <w:rFonts w:ascii="Tahoma" w:hAnsi="Tahoma"/>
      <w:kern w:val="2"/>
      <w:sz w:val="18"/>
      <w:szCs w:val="18"/>
    </w:rPr>
  </w:style>
  <w:style w:type="character" w:customStyle="1" w:styleId="140">
    <w:name w:val="mod"/>
    <w:basedOn w:val="53"/>
    <w:qFormat/>
    <w:uiPriority w:val="0"/>
  </w:style>
  <w:style w:type="character" w:customStyle="1" w:styleId="141">
    <w:name w:val="标题3 Char Char"/>
    <w:link w:val="85"/>
    <w:qFormat/>
    <w:uiPriority w:val="0"/>
    <w:rPr>
      <w:rFonts w:eastAsia="黑体"/>
      <w:kern w:val="2"/>
      <w:sz w:val="28"/>
      <w:szCs w:val="32"/>
    </w:rPr>
  </w:style>
  <w:style w:type="character" w:customStyle="1" w:styleId="142">
    <w:name w:val="标题 4 字符"/>
    <w:link w:val="2"/>
    <w:qFormat/>
    <w:uiPriority w:val="99"/>
    <w:rPr>
      <w:b/>
      <w:sz w:val="24"/>
      <w:szCs w:val="24"/>
    </w:rPr>
  </w:style>
  <w:style w:type="paragraph" w:customStyle="1" w:styleId="143">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4">
    <w:name w:val="redfilefwwh"/>
    <w:basedOn w:val="53"/>
    <w:qFormat/>
    <w:uiPriority w:val="0"/>
    <w:rPr>
      <w:color w:val="BA2636"/>
      <w:sz w:val="12"/>
      <w:szCs w:val="12"/>
    </w:rPr>
  </w:style>
  <w:style w:type="character" w:customStyle="1" w:styleId="145">
    <w:name w:val="gjfg"/>
    <w:basedOn w:val="53"/>
    <w:qFormat/>
    <w:uiPriority w:val="0"/>
  </w:style>
  <w:style w:type="character" w:customStyle="1" w:styleId="146">
    <w:name w:val="redfilenumber"/>
    <w:basedOn w:val="53"/>
    <w:qFormat/>
    <w:uiPriority w:val="0"/>
    <w:rPr>
      <w:color w:val="BA2636"/>
      <w:sz w:val="12"/>
      <w:szCs w:val="12"/>
    </w:rPr>
  </w:style>
  <w:style w:type="character" w:customStyle="1" w:styleId="147">
    <w:name w:val="qxdate"/>
    <w:basedOn w:val="53"/>
    <w:qFormat/>
    <w:uiPriority w:val="0"/>
    <w:rPr>
      <w:color w:val="333333"/>
      <w:sz w:val="12"/>
      <w:szCs w:val="12"/>
    </w:rPr>
  </w:style>
  <w:style w:type="character" w:customStyle="1" w:styleId="148">
    <w:name w:val="prev"/>
    <w:basedOn w:val="53"/>
    <w:qFormat/>
    <w:uiPriority w:val="0"/>
    <w:rPr>
      <w:rFonts w:ascii="微软雅黑" w:hAnsi="微软雅黑" w:eastAsia="微软雅黑" w:cs="微软雅黑"/>
      <w:sz w:val="14"/>
      <w:szCs w:val="14"/>
    </w:rPr>
  </w:style>
  <w:style w:type="character" w:customStyle="1" w:styleId="149">
    <w:name w:val="cfdate"/>
    <w:basedOn w:val="53"/>
    <w:qFormat/>
    <w:uiPriority w:val="0"/>
    <w:rPr>
      <w:color w:val="333333"/>
      <w:sz w:val="12"/>
      <w:szCs w:val="12"/>
    </w:rPr>
  </w:style>
  <w:style w:type="character" w:customStyle="1" w:styleId="150">
    <w:name w:val="displayarti"/>
    <w:basedOn w:val="53"/>
    <w:qFormat/>
    <w:uiPriority w:val="0"/>
    <w:rPr>
      <w:color w:val="FFFFFF"/>
      <w:shd w:val="clear" w:color="auto" w:fill="A00000"/>
    </w:rPr>
  </w:style>
  <w:style w:type="character" w:customStyle="1" w:styleId="151">
    <w:name w:val="next2"/>
    <w:basedOn w:val="53"/>
    <w:qFormat/>
    <w:uiPriority w:val="0"/>
    <w:rPr>
      <w:rFonts w:hint="eastAsia" w:ascii="微软雅黑" w:hAnsi="微软雅黑" w:eastAsia="微软雅黑" w:cs="微软雅黑"/>
      <w:sz w:val="14"/>
      <w:szCs w:val="14"/>
    </w:rPr>
  </w:style>
  <w:style w:type="character" w:customStyle="1" w:styleId="152">
    <w:name w:val="next3"/>
    <w:basedOn w:val="53"/>
    <w:qFormat/>
    <w:uiPriority w:val="0"/>
    <w:rPr>
      <w:color w:val="888888"/>
    </w:rPr>
  </w:style>
  <w:style w:type="character" w:customStyle="1" w:styleId="153">
    <w:name w:val="next"/>
    <w:basedOn w:val="53"/>
    <w:qFormat/>
    <w:uiPriority w:val="0"/>
    <w:rPr>
      <w:rFonts w:ascii="微软雅黑" w:hAnsi="微软雅黑" w:eastAsia="微软雅黑" w:cs="微软雅黑"/>
      <w:sz w:val="14"/>
      <w:szCs w:val="14"/>
    </w:rPr>
  </w:style>
  <w:style w:type="character" w:customStyle="1" w:styleId="154">
    <w:name w:val="prev1"/>
    <w:basedOn w:val="53"/>
    <w:qFormat/>
    <w:uiPriority w:val="0"/>
    <w:rPr>
      <w:color w:val="888888"/>
    </w:rPr>
  </w:style>
  <w:style w:type="paragraph" w:customStyle="1" w:styleId="155">
    <w:name w:val="Body text|21"/>
    <w:basedOn w:val="1"/>
    <w:link w:val="157"/>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6">
    <w:name w:val="Body text|2 + Spacing 0 pt"/>
    <w:basedOn w:val="157"/>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7">
    <w:name w:val="Body text|2_"/>
    <w:basedOn w:val="53"/>
    <w:link w:val="155"/>
    <w:qFormat/>
    <w:uiPriority w:val="0"/>
    <w:rPr>
      <w:rFonts w:ascii="PMingLiU" w:hAnsi="PMingLiU" w:eastAsia="PMingLiU" w:cs="PMingLiU"/>
      <w:spacing w:val="30"/>
    </w:rPr>
  </w:style>
  <w:style w:type="character" w:customStyle="1" w:styleId="158">
    <w:name w:val="Body text|2 + Spacing 3 pt"/>
    <w:basedOn w:val="157"/>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9">
    <w:name w:val="图文"/>
    <w:basedOn w:val="1"/>
    <w:qFormat/>
    <w:uiPriority w:val="0"/>
    <w:pPr>
      <w:adjustRightInd w:val="0"/>
      <w:snapToGrid w:val="0"/>
      <w:spacing w:after="50" w:line="360" w:lineRule="auto"/>
    </w:pPr>
    <w:rPr>
      <w:sz w:val="24"/>
    </w:rPr>
  </w:style>
  <w:style w:type="paragraph" w:customStyle="1" w:styleId="160">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1">
    <w:name w:val="Char"/>
    <w:basedOn w:val="1"/>
    <w:qFormat/>
    <w:uiPriority w:val="0"/>
    <w:rPr>
      <w:rFonts w:ascii="仿宋_GB2312" w:eastAsia="仿宋_GB2312"/>
      <w:b/>
      <w:sz w:val="32"/>
      <w:szCs w:val="32"/>
    </w:rPr>
  </w:style>
  <w:style w:type="paragraph" w:customStyle="1" w:styleId="162">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3">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4">
    <w:name w:val="正文文本缩进 2 字符"/>
    <w:basedOn w:val="53"/>
    <w:link w:val="32"/>
    <w:qFormat/>
    <w:uiPriority w:val="99"/>
    <w:rPr>
      <w:rFonts w:ascii="Times New Roman" w:hAnsi="Times New Roman" w:eastAsia="宋体" w:cs="Times New Roman"/>
      <w:kern w:val="2"/>
      <w:sz w:val="24"/>
      <w:szCs w:val="30"/>
    </w:rPr>
  </w:style>
  <w:style w:type="paragraph" w:customStyle="1" w:styleId="1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6">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7">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8">
    <w:name w:val="正文文本缩进 字符"/>
    <w:basedOn w:val="53"/>
    <w:link w:val="23"/>
    <w:qFormat/>
    <w:uiPriority w:val="99"/>
    <w:rPr>
      <w:rFonts w:ascii="Tahoma" w:hAnsi="Tahoma" w:eastAsia="Arial Unicode MS" w:cs="Times New Roman"/>
      <w:kern w:val="2"/>
      <w:sz w:val="21"/>
      <w:szCs w:val="24"/>
    </w:rPr>
  </w:style>
  <w:style w:type="character" w:customStyle="1" w:styleId="169">
    <w:name w:val="正文文本首行缩进 2 字符"/>
    <w:basedOn w:val="168"/>
    <w:link w:val="50"/>
    <w:qFormat/>
    <w:uiPriority w:val="0"/>
    <w:rPr>
      <w:rFonts w:ascii="Times New Roman" w:hAnsi="Times New Roman" w:eastAsia="宋体" w:cs="Times New Roman"/>
      <w:kern w:val="2"/>
      <w:sz w:val="21"/>
      <w:szCs w:val="24"/>
    </w:rPr>
  </w:style>
  <w:style w:type="character" w:customStyle="1" w:styleId="170">
    <w:name w:val="正文文本 2 字符"/>
    <w:basedOn w:val="53"/>
    <w:link w:val="43"/>
    <w:qFormat/>
    <w:uiPriority w:val="99"/>
    <w:rPr>
      <w:rFonts w:ascii="宋体" w:hAnsi="Times New Roman" w:eastAsia="宋体" w:cs="Times New Roman"/>
      <w:kern w:val="2"/>
      <w:sz w:val="21"/>
    </w:rPr>
  </w:style>
  <w:style w:type="paragraph" w:customStyle="1" w:styleId="171">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2">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3">
    <w:name w:val="Char2"/>
    <w:qFormat/>
    <w:uiPriority w:val="0"/>
    <w:rPr>
      <w:rFonts w:ascii="Arial" w:hAnsi="Arial" w:eastAsia="黑体"/>
      <w:b/>
      <w:bCs/>
      <w:kern w:val="2"/>
      <w:sz w:val="32"/>
      <w:szCs w:val="32"/>
      <w:lang w:val="en-US" w:eastAsia="zh-CN" w:bidi="ar-SA"/>
    </w:rPr>
  </w:style>
  <w:style w:type="character" w:customStyle="1" w:styleId="174">
    <w:name w:val="样式 标题 2 + (符号) 宋体 小四 Char"/>
    <w:qFormat/>
    <w:uiPriority w:val="0"/>
    <w:rPr>
      <w:rFonts w:ascii="Arial" w:hAnsi="Arial" w:eastAsia="宋体"/>
      <w:b/>
      <w:bCs/>
      <w:kern w:val="2"/>
      <w:sz w:val="24"/>
      <w:szCs w:val="32"/>
      <w:lang w:val="en-US" w:eastAsia="zh-CN" w:bidi="ar-SA"/>
    </w:rPr>
  </w:style>
  <w:style w:type="paragraph" w:customStyle="1" w:styleId="175">
    <w:name w:val="样式1"/>
    <w:basedOn w:val="1"/>
    <w:next w:val="5"/>
    <w:qFormat/>
    <w:uiPriority w:val="99"/>
    <w:rPr>
      <w:rFonts w:eastAsia="宋体"/>
      <w:sz w:val="24"/>
      <w:szCs w:val="20"/>
    </w:rPr>
  </w:style>
  <w:style w:type="paragraph" w:customStyle="1" w:styleId="176">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8">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8">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9">
    <w:name w:val="日期 字符"/>
    <w:link w:val="31"/>
    <w:qFormat/>
    <w:uiPriority w:val="99"/>
    <w:rPr>
      <w:rFonts w:ascii="Tahoma" w:hAnsi="Tahoma" w:eastAsia="Arial Unicode MS" w:cs="Times New Roman"/>
      <w:kern w:val="2"/>
      <w:sz w:val="21"/>
      <w:szCs w:val="24"/>
    </w:rPr>
  </w:style>
  <w:style w:type="character" w:customStyle="1" w:styleId="200">
    <w:name w:val="Char Char"/>
    <w:qFormat/>
    <w:uiPriority w:val="0"/>
    <w:rPr>
      <w:rFonts w:eastAsia="宋体"/>
      <w:kern w:val="2"/>
      <w:sz w:val="24"/>
      <w:lang w:val="en-US" w:eastAsia="zh-CN" w:bidi="ar-SA"/>
    </w:rPr>
  </w:style>
  <w:style w:type="character" w:customStyle="1" w:styleId="201">
    <w:name w:val="称呼 字符"/>
    <w:basedOn w:val="53"/>
    <w:link w:val="20"/>
    <w:qFormat/>
    <w:uiPriority w:val="0"/>
    <w:rPr>
      <w:rFonts w:ascii="..ì." w:hAnsi="Times New Roman" w:eastAsia="..ì." w:cs="Times New Roman"/>
      <w:sz w:val="24"/>
    </w:rPr>
  </w:style>
  <w:style w:type="character" w:customStyle="1" w:styleId="202">
    <w:name w:val="注释标题 字符"/>
    <w:basedOn w:val="53"/>
    <w:link w:val="13"/>
    <w:qFormat/>
    <w:uiPriority w:val="0"/>
    <w:rPr>
      <w:rFonts w:ascii="..ì." w:hAnsi="Times New Roman" w:eastAsia="..ì." w:cs="Times New Roman"/>
      <w:sz w:val="24"/>
    </w:rPr>
  </w:style>
  <w:style w:type="paragraph" w:customStyle="1" w:styleId="203">
    <w:name w:val="1 Char Char Char Char"/>
    <w:basedOn w:val="1"/>
    <w:qFormat/>
    <w:uiPriority w:val="0"/>
    <w:rPr>
      <w:rFonts w:ascii="Tahoma" w:hAnsi="Tahoma" w:eastAsia="宋体"/>
      <w:sz w:val="24"/>
      <w:szCs w:val="20"/>
    </w:rPr>
  </w:style>
  <w:style w:type="paragraph" w:customStyle="1" w:styleId="20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5">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6">
    <w:name w:val="标题 1 Char1"/>
    <w:qFormat/>
    <w:uiPriority w:val="99"/>
    <w:rPr>
      <w:rFonts w:ascii="黑体" w:eastAsia="黑体"/>
      <w:sz w:val="52"/>
      <w:lang w:bidi="ar-SA"/>
    </w:rPr>
  </w:style>
  <w:style w:type="paragraph" w:customStyle="1" w:styleId="207">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8">
    <w:name w:val="3"/>
    <w:basedOn w:val="1"/>
    <w:next w:val="21"/>
    <w:qFormat/>
    <w:uiPriority w:val="99"/>
    <w:rPr>
      <w:rFonts w:ascii="宋体" w:eastAsia="宋体"/>
      <w:sz w:val="24"/>
      <w:szCs w:val="20"/>
    </w:rPr>
  </w:style>
  <w:style w:type="character" w:customStyle="1" w:styleId="209">
    <w:name w:val="正文文本 3 字符"/>
    <w:basedOn w:val="53"/>
    <w:link w:val="21"/>
    <w:qFormat/>
    <w:uiPriority w:val="99"/>
    <w:rPr>
      <w:rFonts w:ascii="Times New Roman" w:hAnsi="Times New Roman" w:eastAsia="宋体" w:cs="Times New Roman"/>
      <w:kern w:val="2"/>
      <w:sz w:val="16"/>
      <w:szCs w:val="16"/>
    </w:rPr>
  </w:style>
  <w:style w:type="paragraph" w:customStyle="1" w:styleId="210">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1">
    <w:name w:val="2"/>
    <w:basedOn w:val="1"/>
    <w:next w:val="23"/>
    <w:qFormat/>
    <w:uiPriority w:val="99"/>
    <w:pPr>
      <w:ind w:left="432"/>
    </w:pPr>
    <w:rPr>
      <w:rFonts w:eastAsia="宋体"/>
      <w:szCs w:val="20"/>
    </w:rPr>
  </w:style>
  <w:style w:type="character" w:customStyle="1" w:styleId="212">
    <w:name w:val="正文文本缩进 3 字符"/>
    <w:link w:val="40"/>
    <w:qFormat/>
    <w:uiPriority w:val="99"/>
    <w:rPr>
      <w:rFonts w:ascii="Times New Roman" w:hAnsi="Times New Roman" w:eastAsia="Arial Unicode MS" w:cs="Times New Roman"/>
      <w:kern w:val="2"/>
      <w:sz w:val="16"/>
      <w:szCs w:val="16"/>
    </w:rPr>
  </w:style>
  <w:style w:type="paragraph" w:customStyle="1" w:styleId="213">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4">
    <w:name w:val="Char1111"/>
    <w:basedOn w:val="1"/>
    <w:qFormat/>
    <w:uiPriority w:val="0"/>
    <w:rPr>
      <w:rFonts w:ascii="Tahoma" w:hAnsi="Tahoma" w:eastAsia="宋体"/>
      <w:sz w:val="24"/>
      <w:szCs w:val="20"/>
    </w:rPr>
  </w:style>
  <w:style w:type="character" w:customStyle="1" w:styleId="215">
    <w:name w:val="font161"/>
    <w:qFormat/>
    <w:uiPriority w:val="99"/>
    <w:rPr>
      <w:b/>
      <w:bCs/>
      <w:sz w:val="32"/>
      <w:szCs w:val="32"/>
    </w:rPr>
  </w:style>
  <w:style w:type="paragraph" w:customStyle="1" w:styleId="216">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7">
    <w:name w:val="表格"/>
    <w:basedOn w:val="1"/>
    <w:qFormat/>
    <w:uiPriority w:val="99"/>
    <w:pPr>
      <w:jc w:val="center"/>
      <w:textAlignment w:val="center"/>
    </w:pPr>
    <w:rPr>
      <w:rFonts w:ascii="STXihei" w:hAnsi="STXihei" w:eastAsia="宋体"/>
      <w:kern w:val="0"/>
      <w:szCs w:val="20"/>
    </w:rPr>
  </w:style>
  <w:style w:type="paragraph" w:customStyle="1" w:styleId="218">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9">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0">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1">
    <w:name w:val="样式 粉红"/>
    <w:qFormat/>
    <w:uiPriority w:val="99"/>
    <w:rPr>
      <w:color w:val="auto"/>
      <w:u w:val="none"/>
    </w:rPr>
  </w:style>
  <w:style w:type="character" w:customStyle="1" w:styleId="222">
    <w:name w:val="Char Char1"/>
    <w:qFormat/>
    <w:uiPriority w:val="0"/>
    <w:rPr>
      <w:rFonts w:eastAsia="宋体"/>
      <w:kern w:val="2"/>
      <w:sz w:val="24"/>
      <w:lang w:val="en-US" w:eastAsia="zh-CN" w:bidi="ar-SA"/>
    </w:rPr>
  </w:style>
  <w:style w:type="character" w:customStyle="1" w:styleId="223">
    <w:name w:val="纯文本 字符"/>
    <w:link w:val="29"/>
    <w:qFormat/>
    <w:uiPriority w:val="0"/>
    <w:rPr>
      <w:rFonts w:ascii="宋体" w:hAnsi="Courier New" w:eastAsia="Arial Unicode MS" w:cs="Times New Roman"/>
      <w:kern w:val="2"/>
      <w:sz w:val="21"/>
      <w:szCs w:val="21"/>
    </w:rPr>
  </w:style>
  <w:style w:type="paragraph" w:customStyle="1" w:styleId="224">
    <w:name w:val="Char Char Char Char"/>
    <w:basedOn w:val="1"/>
    <w:qFormat/>
    <w:uiPriority w:val="0"/>
    <w:pPr>
      <w:widowControl/>
      <w:spacing w:after="160" w:line="240" w:lineRule="exact"/>
      <w:jc w:val="left"/>
    </w:pPr>
    <w:rPr>
      <w:rFonts w:eastAsia="宋体"/>
      <w:szCs w:val="20"/>
    </w:rPr>
  </w:style>
  <w:style w:type="paragraph" w:customStyle="1" w:styleId="225">
    <w:name w:val="p17"/>
    <w:basedOn w:val="1"/>
    <w:qFormat/>
    <w:uiPriority w:val="99"/>
    <w:pPr>
      <w:widowControl/>
    </w:pPr>
    <w:rPr>
      <w:rFonts w:eastAsia="宋体"/>
      <w:kern w:val="0"/>
      <w:szCs w:val="21"/>
    </w:rPr>
  </w:style>
  <w:style w:type="character" w:customStyle="1" w:styleId="226">
    <w:name w:val="H4 Char"/>
    <w:qFormat/>
    <w:uiPriority w:val="0"/>
    <w:rPr>
      <w:b/>
      <w:sz w:val="28"/>
    </w:rPr>
  </w:style>
  <w:style w:type="character" w:customStyle="1" w:styleId="227">
    <w:name w:val="Char Char2"/>
    <w:qFormat/>
    <w:uiPriority w:val="0"/>
    <w:rPr>
      <w:rFonts w:eastAsia="宋体"/>
      <w:kern w:val="2"/>
      <w:sz w:val="24"/>
      <w:lang w:val="en-US" w:eastAsia="zh-CN" w:bidi="ar-SA"/>
    </w:rPr>
  </w:style>
  <w:style w:type="character" w:customStyle="1" w:styleId="228">
    <w:name w:val="Char Char111"/>
    <w:qFormat/>
    <w:uiPriority w:val="99"/>
    <w:rPr>
      <w:rFonts w:eastAsia="宋体"/>
      <w:kern w:val="2"/>
      <w:sz w:val="24"/>
      <w:lang w:val="en-US" w:eastAsia="zh-CN" w:bidi="ar-SA"/>
    </w:rPr>
  </w:style>
  <w:style w:type="paragraph" w:customStyle="1" w:styleId="229">
    <w:name w:val="Char Char Char Char111"/>
    <w:basedOn w:val="1"/>
    <w:qFormat/>
    <w:uiPriority w:val="0"/>
    <w:pPr>
      <w:widowControl/>
      <w:spacing w:after="160" w:line="240" w:lineRule="exact"/>
      <w:jc w:val="left"/>
    </w:pPr>
    <w:rPr>
      <w:rFonts w:eastAsia="宋体"/>
      <w:szCs w:val="20"/>
    </w:rPr>
  </w:style>
  <w:style w:type="paragraph" w:customStyle="1" w:styleId="230">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3">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1">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2">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3">
    <w:name w:val="章标题"/>
    <w:next w:val="1"/>
    <w:link w:val="250"/>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4">
    <w:name w:val="一级条标题"/>
    <w:basedOn w:val="243"/>
    <w:next w:val="1"/>
    <w:link w:val="251"/>
    <w:qFormat/>
    <w:uiPriority w:val="0"/>
    <w:pPr>
      <w:numPr>
        <w:ilvl w:val="2"/>
      </w:numPr>
      <w:tabs>
        <w:tab w:val="left" w:pos="360"/>
      </w:tabs>
      <w:spacing w:beforeLines="0" w:afterLines="0"/>
      <w:ind w:left="315"/>
      <w:outlineLvl w:val="2"/>
    </w:pPr>
  </w:style>
  <w:style w:type="paragraph" w:customStyle="1" w:styleId="245">
    <w:name w:val="二级条标题"/>
    <w:basedOn w:val="244"/>
    <w:next w:val="1"/>
    <w:link w:val="252"/>
    <w:qFormat/>
    <w:uiPriority w:val="0"/>
    <w:pPr>
      <w:numPr>
        <w:ilvl w:val="3"/>
      </w:numPr>
      <w:ind w:left="315"/>
      <w:outlineLvl w:val="3"/>
    </w:pPr>
  </w:style>
  <w:style w:type="paragraph" w:customStyle="1" w:styleId="246">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7">
    <w:name w:val="三级条标题"/>
    <w:basedOn w:val="245"/>
    <w:next w:val="1"/>
    <w:qFormat/>
    <w:uiPriority w:val="0"/>
    <w:pPr>
      <w:numPr>
        <w:ilvl w:val="4"/>
      </w:numPr>
      <w:tabs>
        <w:tab w:val="left" w:pos="1680"/>
        <w:tab w:val="left" w:pos="2100"/>
      </w:tabs>
      <w:ind w:left="2100" w:hanging="420"/>
      <w:outlineLvl w:val="4"/>
    </w:pPr>
  </w:style>
  <w:style w:type="paragraph" w:customStyle="1" w:styleId="248">
    <w:name w:val="四级条标题"/>
    <w:basedOn w:val="247"/>
    <w:next w:val="1"/>
    <w:qFormat/>
    <w:uiPriority w:val="0"/>
    <w:pPr>
      <w:numPr>
        <w:ilvl w:val="5"/>
      </w:numPr>
      <w:tabs>
        <w:tab w:val="left" w:pos="2520"/>
      </w:tabs>
      <w:ind w:left="2520" w:hanging="420"/>
      <w:outlineLvl w:val="5"/>
    </w:pPr>
  </w:style>
  <w:style w:type="paragraph" w:customStyle="1" w:styleId="249">
    <w:name w:val="五级条标题"/>
    <w:basedOn w:val="248"/>
    <w:next w:val="1"/>
    <w:qFormat/>
    <w:uiPriority w:val="0"/>
    <w:pPr>
      <w:numPr>
        <w:ilvl w:val="6"/>
      </w:numPr>
      <w:tabs>
        <w:tab w:val="left" w:pos="2940"/>
      </w:tabs>
      <w:ind w:left="2940" w:hanging="420"/>
      <w:outlineLvl w:val="6"/>
    </w:pPr>
  </w:style>
  <w:style w:type="character" w:customStyle="1" w:styleId="250">
    <w:name w:val="章标题 Char"/>
    <w:link w:val="243"/>
    <w:qFormat/>
    <w:uiPriority w:val="0"/>
    <w:rPr>
      <w:rFonts w:ascii="黑体" w:eastAsia="黑体"/>
      <w:sz w:val="21"/>
    </w:rPr>
  </w:style>
  <w:style w:type="character" w:customStyle="1" w:styleId="251">
    <w:name w:val="一级条标题 Char"/>
    <w:link w:val="244"/>
    <w:qFormat/>
    <w:uiPriority w:val="0"/>
    <w:rPr>
      <w:rFonts w:ascii="黑体" w:eastAsia="黑体"/>
      <w:sz w:val="21"/>
    </w:rPr>
  </w:style>
  <w:style w:type="character" w:customStyle="1" w:styleId="252">
    <w:name w:val="二级条标题 Char"/>
    <w:link w:val="245"/>
    <w:qFormat/>
    <w:uiPriority w:val="0"/>
    <w:rPr>
      <w:rFonts w:ascii="黑体" w:eastAsia="黑体"/>
      <w:sz w:val="21"/>
    </w:rPr>
  </w:style>
  <w:style w:type="character" w:customStyle="1" w:styleId="253">
    <w:name w:val="Heading 1 Char"/>
    <w:qFormat/>
    <w:locked/>
    <w:uiPriority w:val="0"/>
    <w:rPr>
      <w:rFonts w:ascii="黑体" w:hAnsi="Times New Roman" w:eastAsia="黑体" w:cs="Times New Roman"/>
      <w:kern w:val="0"/>
      <w:sz w:val="20"/>
      <w:szCs w:val="20"/>
    </w:rPr>
  </w:style>
  <w:style w:type="character" w:customStyle="1" w:styleId="254">
    <w:name w:val="Heading 2 Char"/>
    <w:qFormat/>
    <w:locked/>
    <w:uiPriority w:val="0"/>
    <w:rPr>
      <w:rFonts w:ascii="Times New Roman" w:hAnsi="Times New Roman" w:eastAsia="宋体" w:cs="Times New Roman"/>
      <w:b/>
      <w:kern w:val="0"/>
      <w:sz w:val="32"/>
      <w:szCs w:val="32"/>
    </w:rPr>
  </w:style>
  <w:style w:type="character" w:customStyle="1" w:styleId="255">
    <w:name w:val="标题 3 Char1"/>
    <w:qFormat/>
    <w:locked/>
    <w:uiPriority w:val="99"/>
    <w:rPr>
      <w:rFonts w:eastAsia="宋体"/>
      <w:b/>
      <w:sz w:val="32"/>
      <w:lang w:val="en-US" w:eastAsia="zh-CN" w:bidi="ar-SA"/>
    </w:rPr>
  </w:style>
  <w:style w:type="character" w:customStyle="1" w:styleId="256">
    <w:name w:val="Heading 4 Char"/>
    <w:qFormat/>
    <w:locked/>
    <w:uiPriority w:val="0"/>
    <w:rPr>
      <w:rFonts w:ascii="Times New Roman" w:hAnsi="Times New Roman" w:eastAsia="宋体" w:cs="Times New Roman"/>
      <w:b/>
      <w:kern w:val="0"/>
      <w:sz w:val="20"/>
      <w:szCs w:val="20"/>
    </w:rPr>
  </w:style>
  <w:style w:type="character" w:customStyle="1" w:styleId="257">
    <w:name w:val="Heading 5 Char"/>
    <w:qFormat/>
    <w:locked/>
    <w:uiPriority w:val="0"/>
    <w:rPr>
      <w:rFonts w:ascii="Times New Roman" w:hAnsi="Times New Roman" w:eastAsia="宋体" w:cs="Times New Roman"/>
      <w:b/>
      <w:bCs/>
      <w:sz w:val="28"/>
      <w:szCs w:val="28"/>
    </w:rPr>
  </w:style>
  <w:style w:type="character" w:customStyle="1" w:styleId="258">
    <w:name w:val="Heading 6 Char"/>
    <w:qFormat/>
    <w:locked/>
    <w:uiPriority w:val="0"/>
    <w:rPr>
      <w:rFonts w:ascii="Arial" w:hAnsi="Arial" w:eastAsia="黑体" w:cs="Times New Roman"/>
      <w:b/>
      <w:bCs/>
      <w:kern w:val="0"/>
      <w:sz w:val="24"/>
      <w:szCs w:val="24"/>
    </w:rPr>
  </w:style>
  <w:style w:type="character" w:customStyle="1" w:styleId="259">
    <w:name w:val="Heading 7 Char"/>
    <w:qFormat/>
    <w:locked/>
    <w:uiPriority w:val="0"/>
    <w:rPr>
      <w:rFonts w:ascii="Times New Roman" w:hAnsi="Times New Roman" w:eastAsia="宋体" w:cs="Times New Roman"/>
      <w:b/>
      <w:bCs/>
      <w:kern w:val="0"/>
      <w:sz w:val="24"/>
      <w:szCs w:val="24"/>
    </w:rPr>
  </w:style>
  <w:style w:type="character" w:customStyle="1" w:styleId="260">
    <w:name w:val="Heading 8 Char"/>
    <w:qFormat/>
    <w:locked/>
    <w:uiPriority w:val="0"/>
    <w:rPr>
      <w:rFonts w:ascii="Arial" w:hAnsi="Arial" w:eastAsia="黑体" w:cs="Times New Roman"/>
      <w:kern w:val="0"/>
      <w:sz w:val="24"/>
      <w:szCs w:val="24"/>
    </w:rPr>
  </w:style>
  <w:style w:type="character" w:customStyle="1" w:styleId="261">
    <w:name w:val="Heading 9 Char"/>
    <w:qFormat/>
    <w:locked/>
    <w:uiPriority w:val="0"/>
    <w:rPr>
      <w:rFonts w:ascii="Arial" w:hAnsi="Arial" w:eastAsia="黑体" w:cs="Times New Roman"/>
      <w:kern w:val="0"/>
      <w:sz w:val="21"/>
      <w:szCs w:val="21"/>
    </w:rPr>
  </w:style>
  <w:style w:type="character" w:customStyle="1" w:styleId="262">
    <w:name w:val="Document Map Char"/>
    <w:qFormat/>
    <w:locked/>
    <w:uiPriority w:val="0"/>
    <w:rPr>
      <w:rFonts w:ascii="Times New Roman" w:hAnsi="Times New Roman" w:eastAsia="宋体" w:cs="Times New Roman"/>
      <w:sz w:val="24"/>
      <w:szCs w:val="24"/>
      <w:shd w:val="clear" w:color="auto" w:fill="000080"/>
    </w:rPr>
  </w:style>
  <w:style w:type="character" w:customStyle="1" w:styleId="263">
    <w:name w:val="Date Char"/>
    <w:qFormat/>
    <w:locked/>
    <w:uiPriority w:val="0"/>
    <w:rPr>
      <w:rFonts w:ascii="Times New Roman" w:hAnsi="Times New Roman" w:eastAsia="宋体" w:cs="Times New Roman"/>
      <w:sz w:val="20"/>
      <w:szCs w:val="20"/>
    </w:rPr>
  </w:style>
  <w:style w:type="character" w:customStyle="1" w:styleId="264">
    <w:name w:val="Header Char"/>
    <w:qFormat/>
    <w:locked/>
    <w:uiPriority w:val="0"/>
    <w:rPr>
      <w:rFonts w:ascii="Times New Roman" w:hAnsi="Times New Roman" w:eastAsia="宋体" w:cs="Times New Roman"/>
      <w:kern w:val="0"/>
      <w:sz w:val="20"/>
      <w:szCs w:val="20"/>
    </w:rPr>
  </w:style>
  <w:style w:type="character" w:customStyle="1" w:styleId="265">
    <w:name w:val="Footer Char"/>
    <w:qFormat/>
    <w:locked/>
    <w:uiPriority w:val="0"/>
    <w:rPr>
      <w:rFonts w:ascii="Times New Roman" w:hAnsi="Times New Roman" w:eastAsia="宋体" w:cs="Times New Roman"/>
      <w:kern w:val="0"/>
      <w:sz w:val="20"/>
      <w:szCs w:val="20"/>
    </w:rPr>
  </w:style>
  <w:style w:type="character" w:customStyle="1" w:styleId="266">
    <w:name w:val="Plain Text Char"/>
    <w:qFormat/>
    <w:locked/>
    <w:uiPriority w:val="0"/>
    <w:rPr>
      <w:rFonts w:ascii="宋体" w:hAnsi="Courier New" w:eastAsia="宋体" w:cs="Times New Roman"/>
      <w:sz w:val="20"/>
      <w:szCs w:val="20"/>
    </w:rPr>
  </w:style>
  <w:style w:type="character" w:customStyle="1" w:styleId="267">
    <w:name w:val="Body Text Indent 2 Char"/>
    <w:qFormat/>
    <w:locked/>
    <w:uiPriority w:val="0"/>
    <w:rPr>
      <w:rFonts w:ascii="Times New Roman" w:hAnsi="Times New Roman" w:eastAsia="宋体" w:cs="Times New Roman"/>
      <w:sz w:val="30"/>
      <w:szCs w:val="30"/>
    </w:rPr>
  </w:style>
  <w:style w:type="character" w:customStyle="1" w:styleId="268">
    <w:name w:val="Body Text Indent 3 Char"/>
    <w:qFormat/>
    <w:locked/>
    <w:uiPriority w:val="0"/>
    <w:rPr>
      <w:rFonts w:ascii="Times New Roman" w:hAnsi="Times New Roman" w:eastAsia="宋体" w:cs="Times New Roman"/>
      <w:sz w:val="30"/>
      <w:szCs w:val="30"/>
    </w:rPr>
  </w:style>
  <w:style w:type="character" w:customStyle="1" w:styleId="269">
    <w:name w:val="Body Text First Indent 2 Char"/>
    <w:qFormat/>
    <w:locked/>
    <w:uiPriority w:val="0"/>
    <w:rPr>
      <w:rFonts w:ascii="Times New Roman" w:hAnsi="Times New Roman" w:eastAsia="宋体" w:cs="Times New Roman"/>
      <w:kern w:val="2"/>
      <w:sz w:val="24"/>
      <w:szCs w:val="24"/>
    </w:rPr>
  </w:style>
  <w:style w:type="character" w:customStyle="1" w:styleId="270">
    <w:name w:val="Body Text 2 Char"/>
    <w:qFormat/>
    <w:locked/>
    <w:uiPriority w:val="0"/>
    <w:rPr>
      <w:rFonts w:ascii="宋体" w:hAnsi="Times New Roman" w:eastAsia="宋体" w:cs="Times New Roman"/>
      <w:sz w:val="20"/>
      <w:szCs w:val="20"/>
    </w:rPr>
  </w:style>
  <w:style w:type="character" w:customStyle="1" w:styleId="271">
    <w:name w:val="Balloon Text Char"/>
    <w:qFormat/>
    <w:locked/>
    <w:uiPriority w:val="0"/>
    <w:rPr>
      <w:rFonts w:ascii="Times New Roman" w:hAnsi="Times New Roman" w:eastAsia="宋体" w:cs="Times New Roman"/>
      <w:sz w:val="18"/>
      <w:szCs w:val="18"/>
    </w:rPr>
  </w:style>
  <w:style w:type="character" w:customStyle="1" w:styleId="272">
    <w:name w:val="Salutation Char"/>
    <w:qFormat/>
    <w:locked/>
    <w:uiPriority w:val="0"/>
    <w:rPr>
      <w:rFonts w:ascii="..ì." w:hAnsi="Times New Roman" w:eastAsia="..ì." w:cs="Times New Roman"/>
      <w:kern w:val="0"/>
      <w:sz w:val="20"/>
      <w:szCs w:val="20"/>
    </w:rPr>
  </w:style>
  <w:style w:type="character" w:customStyle="1" w:styleId="273">
    <w:name w:val="Note Heading Char"/>
    <w:qFormat/>
    <w:locked/>
    <w:uiPriority w:val="0"/>
    <w:rPr>
      <w:rFonts w:ascii="..ì." w:hAnsi="Times New Roman" w:eastAsia="..ì." w:cs="Times New Roman"/>
      <w:kern w:val="0"/>
      <w:sz w:val="20"/>
      <w:szCs w:val="20"/>
    </w:rPr>
  </w:style>
  <w:style w:type="paragraph" w:customStyle="1" w:styleId="274">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5">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6">
    <w:name w:val="Body Text 3 Char"/>
    <w:qFormat/>
    <w:locked/>
    <w:uiPriority w:val="0"/>
    <w:rPr>
      <w:rFonts w:ascii="Times New Roman" w:hAnsi="Times New Roman" w:eastAsia="宋体" w:cs="Times New Roman"/>
      <w:sz w:val="16"/>
      <w:szCs w:val="16"/>
    </w:rPr>
  </w:style>
  <w:style w:type="character" w:customStyle="1" w:styleId="277">
    <w:name w:val="Title Char"/>
    <w:qFormat/>
    <w:locked/>
    <w:uiPriority w:val="0"/>
    <w:rPr>
      <w:rFonts w:ascii="Arial" w:hAnsi="Arial" w:eastAsia="宋体" w:cs="Times New Roman"/>
      <w:b/>
      <w:kern w:val="0"/>
      <w:sz w:val="20"/>
      <w:szCs w:val="20"/>
    </w:rPr>
  </w:style>
  <w:style w:type="character" w:customStyle="1" w:styleId="278">
    <w:name w:val="Comment Subject Char"/>
    <w:qFormat/>
    <w:locked/>
    <w:uiPriority w:val="0"/>
    <w:rPr>
      <w:rFonts w:ascii="Times New Roman" w:hAnsi="Times New Roman" w:eastAsia="宋体" w:cs="Times New Roman"/>
      <w:b/>
      <w:bCs/>
      <w:sz w:val="24"/>
      <w:szCs w:val="24"/>
    </w:rPr>
  </w:style>
  <w:style w:type="character" w:customStyle="1" w:styleId="279">
    <w:name w:val="Comment Text Char"/>
    <w:qFormat/>
    <w:locked/>
    <w:uiPriority w:val="0"/>
    <w:rPr>
      <w:rFonts w:ascii="Times New Roman" w:hAnsi="Times New Roman" w:eastAsia="宋体"/>
      <w:sz w:val="24"/>
    </w:rPr>
  </w:style>
  <w:style w:type="paragraph" w:customStyle="1" w:styleId="280">
    <w:name w:val="List Paragraph1"/>
    <w:basedOn w:val="1"/>
    <w:qFormat/>
    <w:uiPriority w:val="0"/>
    <w:pPr>
      <w:ind w:firstLine="420" w:firstLineChars="200"/>
    </w:pPr>
    <w:rPr>
      <w:rFonts w:eastAsia="宋体"/>
    </w:rPr>
  </w:style>
  <w:style w:type="paragraph" w:customStyle="1" w:styleId="281">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2">
    <w:name w:val="未处理的提及1"/>
    <w:unhideWhenUsed/>
    <w:qFormat/>
    <w:uiPriority w:val="99"/>
    <w:rPr>
      <w:color w:val="605E5C"/>
      <w:shd w:val="clear" w:color="auto" w:fill="E1DFDD"/>
    </w:rPr>
  </w:style>
  <w:style w:type="character" w:customStyle="1" w:styleId="283">
    <w:name w:val="Char Char11"/>
    <w:qFormat/>
    <w:uiPriority w:val="99"/>
    <w:rPr>
      <w:rFonts w:eastAsia="宋体"/>
      <w:kern w:val="2"/>
      <w:sz w:val="24"/>
      <w:lang w:val="en-US" w:eastAsia="zh-CN"/>
    </w:rPr>
  </w:style>
  <w:style w:type="character" w:customStyle="1" w:styleId="284">
    <w:name w:val="正文文本 Char1"/>
    <w:semiHidden/>
    <w:qFormat/>
    <w:uiPriority w:val="0"/>
    <w:rPr>
      <w:rFonts w:ascii="Times New Roman" w:hAnsi="Times New Roman" w:eastAsia="宋体" w:cs="Times New Roman"/>
      <w:szCs w:val="24"/>
    </w:rPr>
  </w:style>
  <w:style w:type="paragraph" w:customStyle="1" w:styleId="285">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Char11"/>
    <w:basedOn w:val="1"/>
    <w:qFormat/>
    <w:uiPriority w:val="99"/>
    <w:rPr>
      <w:rFonts w:ascii="Tahoma" w:hAnsi="Tahoma" w:eastAsia="宋体"/>
      <w:sz w:val="24"/>
      <w:szCs w:val="20"/>
    </w:rPr>
  </w:style>
  <w:style w:type="paragraph" w:customStyle="1" w:styleId="287">
    <w:name w:val="Char Char Char Char1"/>
    <w:basedOn w:val="1"/>
    <w:qFormat/>
    <w:uiPriority w:val="99"/>
    <w:pPr>
      <w:widowControl/>
      <w:spacing w:after="160" w:line="240" w:lineRule="exact"/>
      <w:jc w:val="left"/>
    </w:pPr>
    <w:rPr>
      <w:rFonts w:eastAsia="宋体"/>
      <w:szCs w:val="20"/>
    </w:rPr>
  </w:style>
  <w:style w:type="paragraph" w:customStyle="1" w:styleId="288">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9">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Char Char Char Char11"/>
    <w:basedOn w:val="1"/>
    <w:qFormat/>
    <w:uiPriority w:val="99"/>
    <w:pPr>
      <w:widowControl/>
      <w:spacing w:after="160" w:line="240" w:lineRule="exact"/>
      <w:jc w:val="left"/>
    </w:pPr>
    <w:rPr>
      <w:rFonts w:eastAsia="宋体"/>
      <w:szCs w:val="20"/>
    </w:rPr>
  </w:style>
  <w:style w:type="paragraph" w:customStyle="1" w:styleId="291">
    <w:name w:val="Char12"/>
    <w:basedOn w:val="1"/>
    <w:qFormat/>
    <w:uiPriority w:val="99"/>
    <w:rPr>
      <w:rFonts w:ascii="Tahoma" w:hAnsi="Tahoma" w:eastAsia="宋体"/>
      <w:sz w:val="24"/>
      <w:szCs w:val="20"/>
    </w:rPr>
  </w:style>
  <w:style w:type="paragraph" w:customStyle="1" w:styleId="292">
    <w:name w:val="Char111"/>
    <w:basedOn w:val="1"/>
    <w:qFormat/>
    <w:uiPriority w:val="99"/>
    <w:rPr>
      <w:rFonts w:ascii="Tahoma" w:hAnsi="Tahoma" w:eastAsia="宋体"/>
      <w:sz w:val="24"/>
      <w:szCs w:val="20"/>
    </w:rPr>
  </w:style>
  <w:style w:type="paragraph" w:customStyle="1" w:styleId="293">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Char Char Char Char2"/>
    <w:basedOn w:val="1"/>
    <w:qFormat/>
    <w:uiPriority w:val="99"/>
    <w:pPr>
      <w:widowControl/>
      <w:spacing w:after="160" w:line="240" w:lineRule="exact"/>
      <w:jc w:val="left"/>
    </w:pPr>
    <w:rPr>
      <w:rFonts w:eastAsia="宋体"/>
      <w:szCs w:val="20"/>
    </w:rPr>
  </w:style>
  <w:style w:type="character" w:customStyle="1" w:styleId="295">
    <w:name w:val="正文文本 字符"/>
    <w:qFormat/>
    <w:uiPriority w:val="0"/>
    <w:rPr>
      <w:b/>
      <w:i/>
      <w:szCs w:val="24"/>
    </w:rPr>
  </w:style>
  <w:style w:type="paragraph" w:customStyle="1" w:styleId="296">
    <w:name w:val="纯文本2"/>
    <w:basedOn w:val="1"/>
    <w:qFormat/>
    <w:uiPriority w:val="0"/>
    <w:rPr>
      <w:rFonts w:ascii="宋体" w:hAnsi="Courier New" w:cs="Courier New"/>
      <w:szCs w:val="21"/>
    </w:rPr>
  </w:style>
  <w:style w:type="paragraph" w:customStyle="1" w:styleId="297">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HTML 预设格式 字符"/>
    <w:basedOn w:val="53"/>
    <w:link w:val="44"/>
    <w:qFormat/>
    <w:uiPriority w:val="0"/>
    <w:rPr>
      <w:rFonts w:ascii="黑体" w:hAnsi="Courier New" w:eastAsia="黑体"/>
    </w:rPr>
  </w:style>
  <w:style w:type="character" w:customStyle="1" w:styleId="299">
    <w:name w:val="active6"/>
    <w:basedOn w:val="53"/>
    <w:qFormat/>
    <w:uiPriority w:val="0"/>
    <w:rPr>
      <w:color w:val="00FF00"/>
      <w:shd w:val="clear" w:color="auto" w:fill="000000"/>
    </w:rPr>
  </w:style>
  <w:style w:type="character" w:customStyle="1" w:styleId="300">
    <w:name w:val="hilite6"/>
    <w:basedOn w:val="53"/>
    <w:qFormat/>
    <w:uiPriority w:val="0"/>
    <w:rPr>
      <w:color w:val="FFFFFF"/>
      <w:shd w:val="clear" w:color="auto" w:fill="666677"/>
    </w:rPr>
  </w:style>
  <w:style w:type="character" w:customStyle="1" w:styleId="301">
    <w:name w:val="input-direction"/>
    <w:basedOn w:val="53"/>
    <w:qFormat/>
    <w:uiPriority w:val="0"/>
    <w:rPr>
      <w:color w:val="FF6600"/>
    </w:rPr>
  </w:style>
  <w:style w:type="character" w:customStyle="1" w:styleId="302">
    <w:name w:val="span-long"/>
    <w:basedOn w:val="53"/>
    <w:qFormat/>
    <w:uiPriority w:val="0"/>
  </w:style>
  <w:style w:type="character" w:customStyle="1" w:styleId="303">
    <w:name w:val="proollist"/>
    <w:basedOn w:val="53"/>
    <w:qFormat/>
    <w:uiPriority w:val="0"/>
  </w:style>
  <w:style w:type="character" w:customStyle="1" w:styleId="304">
    <w:name w:val="beforeinfotext"/>
    <w:basedOn w:val="53"/>
    <w:qFormat/>
    <w:uiPriority w:val="0"/>
    <w:rPr>
      <w:color w:val="666666"/>
    </w:rPr>
  </w:style>
  <w:style w:type="character" w:customStyle="1" w:styleId="305">
    <w:name w:val="stclosebtn"/>
    <w:basedOn w:val="53"/>
    <w:qFormat/>
    <w:uiPriority w:val="0"/>
  </w:style>
  <w:style w:type="character" w:customStyle="1" w:styleId="306">
    <w:name w:val="tmpztreemove_arrow"/>
    <w:basedOn w:val="53"/>
    <w:qFormat/>
    <w:uiPriority w:val="0"/>
  </w:style>
  <w:style w:type="character" w:customStyle="1" w:styleId="307">
    <w:name w:val="number"/>
    <w:basedOn w:val="53"/>
    <w:qFormat/>
    <w:uiPriority w:val="0"/>
    <w:rPr>
      <w:color w:val="FF8833"/>
      <w:sz w:val="18"/>
      <w:szCs w:val="18"/>
    </w:rPr>
  </w:style>
  <w:style w:type="character" w:customStyle="1" w:styleId="308">
    <w:name w:val="phone"/>
    <w:basedOn w:val="53"/>
    <w:qFormat/>
    <w:uiPriority w:val="0"/>
    <w:rPr>
      <w:color w:val="FF8833"/>
      <w:sz w:val="18"/>
      <w:szCs w:val="18"/>
    </w:rPr>
  </w:style>
  <w:style w:type="character" w:customStyle="1" w:styleId="309">
    <w:name w:val="button2"/>
    <w:basedOn w:val="53"/>
    <w:qFormat/>
    <w:uiPriority w:val="0"/>
  </w:style>
  <w:style w:type="character" w:customStyle="1" w:styleId="310">
    <w:name w:val="underline1"/>
    <w:basedOn w:val="53"/>
    <w:qFormat/>
    <w:uiPriority w:val="0"/>
    <w:rPr>
      <w:u w:val="single"/>
    </w:rPr>
  </w:style>
  <w:style w:type="character" w:customStyle="1" w:styleId="311">
    <w:name w:val="font21"/>
    <w:basedOn w:val="53"/>
    <w:qFormat/>
    <w:uiPriority w:val="0"/>
    <w:rPr>
      <w:rFonts w:hint="default" w:ascii="Times New Roman" w:hAnsi="Times New Roman" w:cs="Times New Roman"/>
      <w:color w:val="000000"/>
      <w:sz w:val="22"/>
      <w:szCs w:val="22"/>
      <w:u w:val="none"/>
    </w:rPr>
  </w:style>
  <w:style w:type="character" w:customStyle="1" w:styleId="312">
    <w:name w:val="font11"/>
    <w:basedOn w:val="53"/>
    <w:qFormat/>
    <w:uiPriority w:val="0"/>
    <w:rPr>
      <w:rFonts w:hint="eastAsia" w:ascii="宋体" w:hAnsi="宋体" w:eastAsia="宋体" w:cs="宋体"/>
      <w:color w:val="000000"/>
      <w:sz w:val="22"/>
      <w:szCs w:val="22"/>
      <w:u w:val="none"/>
    </w:rPr>
  </w:style>
  <w:style w:type="character" w:customStyle="1" w:styleId="313">
    <w:name w:val="font01"/>
    <w:basedOn w:val="53"/>
    <w:qFormat/>
    <w:uiPriority w:val="0"/>
    <w:rPr>
      <w:rFonts w:hint="eastAsia" w:ascii="宋体" w:hAnsi="宋体" w:eastAsia="宋体" w:cs="宋体"/>
      <w:color w:val="000000"/>
      <w:sz w:val="22"/>
      <w:szCs w:val="22"/>
      <w:u w:val="none"/>
    </w:rPr>
  </w:style>
  <w:style w:type="paragraph" w:customStyle="1" w:styleId="314">
    <w:name w:val="正文 New"/>
    <w:basedOn w:val="1"/>
    <w:qFormat/>
    <w:uiPriority w:val="0"/>
    <w:rPr>
      <w:rFonts w:ascii="Calibri" w:hAnsi="Calibri" w:eastAsia="宋体"/>
    </w:rPr>
  </w:style>
  <w:style w:type="paragraph" w:customStyle="1" w:styleId="315">
    <w:name w:val="TOC 标题"/>
    <w:basedOn w:val="3"/>
    <w:next w:val="1"/>
    <w:qFormat/>
    <w:uiPriority w:val="39"/>
    <w:pPr>
      <w:widowControl/>
      <w:numPr>
        <w:ilvl w:val="0"/>
        <w:numId w:val="0"/>
      </w:numPr>
      <w:snapToGrid/>
      <w:spacing w:before="240" w:line="259" w:lineRule="auto"/>
      <w:jc w:val="left"/>
      <w:outlineLvl w:val="9"/>
    </w:pPr>
    <w:rPr>
      <w:rFonts w:ascii="Calibri Light" w:hAnsi="Calibri Light" w:eastAsia="宋体" w:cs="Times New Roman"/>
      <w:color w:val="2E74B5"/>
      <w:kern w:val="0"/>
      <w:sz w:val="32"/>
      <w:szCs w:val="32"/>
    </w:rPr>
  </w:style>
  <w:style w:type="paragraph" w:customStyle="1" w:styleId="316">
    <w:name w:val="BodyText1I"/>
    <w:basedOn w:val="317"/>
    <w:qFormat/>
    <w:uiPriority w:val="0"/>
    <w:pPr>
      <w:ind w:firstLine="420" w:firstLineChars="100"/>
    </w:pPr>
  </w:style>
  <w:style w:type="paragraph" w:customStyle="1" w:styleId="317">
    <w:name w:val="BodyText"/>
    <w:basedOn w:val="1"/>
    <w:next w:val="1"/>
    <w:qFormat/>
    <w:uiPriority w:val="0"/>
    <w:pPr>
      <w:spacing w:before="120" w:line="240" w:lineRule="atLeast"/>
      <w:textAlignment w:val="baseline"/>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62A62-5657-4AC1-A070-486D417ADE52}">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27996</Words>
  <Characters>29625</Characters>
  <Lines>252</Lines>
  <Paragraphs>71</Paragraphs>
  <TotalTime>68</TotalTime>
  <ScaleCrop>false</ScaleCrop>
  <LinksUpToDate>false</LinksUpToDate>
  <CharactersWithSpaces>33949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登高望远方</cp:lastModifiedBy>
  <cp:lastPrinted>2022-06-17T01:43:00Z</cp:lastPrinted>
  <dcterms:modified xsi:type="dcterms:W3CDTF">2023-03-22T03:12:22Z</dcterms:modified>
  <dc:title>_x0001_</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0362BCA4751D4E6882D99226AF1F7255</vt:lpwstr>
  </property>
</Properties>
</file>