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0" w:firstLineChars="200"/>
        <w:jc w:val="center"/>
        <w:rPr>
          <w:rFonts w:hint="default" w:ascii="仿宋" w:hAnsi="仿宋" w:eastAsia="仿宋" w:cs="仿宋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采购需求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（具体内容详见招标文件）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bidi="ar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宝鸡青铜器博物院数据中心建设利用现有机房空间，进行运行设备的部署。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bidi="ar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拟建设宝鸡青铜器博物院数据中心，占用现有机房面积约5平米，部署标准42U服务器机柜。设备机柜用于放置算法服务器、数据库服务器、交换机、PDU等重要设备；动力部分放置UPS不间断电源、电池等。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DUxOWUwYzk3ZmZmNmVkOWJlMjQ1NzZlNGMwZTcifQ=="/>
  </w:docVars>
  <w:rsids>
    <w:rsidRoot w:val="1C30165D"/>
    <w:rsid w:val="1C30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0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2023-05-04T03:48:00Z</dcterms:created>
  <dc:creator>文件请备份丢失不负责</dc:creator>
  <cp:lastModifiedBy>文件请备份丢失不负责</cp:lastModifiedBy>
  <dcterms:modified xsi:type="dcterms:W3CDTF">2023-05-04T03:48:51Z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07863D1E209D4CF0ADB7B8D87A3C8B8A_11</vt:lpwstr>
  </property>
</Properties>
</file>