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b/>
          <w:color w:val="auto"/>
          <w:sz w:val="36"/>
          <w:szCs w:val="36"/>
          <w:highlight w:val="none"/>
        </w:rPr>
      </w:pPr>
    </w:p>
    <w:p>
      <w:pPr>
        <w:spacing w:line="560" w:lineRule="exact"/>
        <w:rPr>
          <w:rFonts w:ascii="仿宋" w:hAnsi="仿宋" w:eastAsia="仿宋" w:cs="仿宋"/>
          <w:b/>
          <w:color w:val="auto"/>
          <w:sz w:val="36"/>
          <w:szCs w:val="36"/>
          <w:highlight w:val="none"/>
        </w:rPr>
      </w:pPr>
      <w:r>
        <w:rPr>
          <w:color w:val="auto"/>
          <w:sz w:val="36"/>
          <w:highlight w:val="none"/>
        </w:rPr>
        <mc:AlternateContent>
          <mc:Choice Requires="wps">
            <w:drawing>
              <wp:anchor distT="0" distB="0" distL="0" distR="0" simplePos="0" relativeHeight="251659264" behindDoc="0" locked="0" layoutInCell="1" allowOverlap="1">
                <wp:simplePos x="0" y="0"/>
                <wp:positionH relativeFrom="column">
                  <wp:posOffset>4141470</wp:posOffset>
                </wp:positionH>
                <wp:positionV relativeFrom="paragraph">
                  <wp:posOffset>-259080</wp:posOffset>
                </wp:positionV>
                <wp:extent cx="1494790" cy="370205"/>
                <wp:effectExtent l="4445" t="4445" r="5715" b="6350"/>
                <wp:wrapNone/>
                <wp:docPr id="1026" name="文本框 12"/>
                <wp:cNvGraphicFramePr/>
                <a:graphic xmlns:a="http://schemas.openxmlformats.org/drawingml/2006/main">
                  <a:graphicData uri="http://schemas.microsoft.com/office/word/2010/wordprocessingShape">
                    <wps:wsp>
                      <wps:cNvSpPr/>
                      <wps:spPr>
                        <a:xfrm>
                          <a:off x="0" y="0"/>
                          <a:ext cx="1494789" cy="370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upright="1"/>
                    </wps:wsp>
                  </a:graphicData>
                </a:graphic>
              </wp:anchor>
            </w:drawing>
          </mc:Choice>
          <mc:Fallback>
            <w:pict>
              <v:rect id="文本框 12" o:spid="_x0000_s1026" o:spt="1" style="position:absolute;left:0pt;margin-left:326.1pt;margin-top:-20.4pt;height:29.15pt;width:117.7pt;z-index:251659264;mso-width-relative:page;mso-height-relative:page;" fillcolor="#FFFFFF" filled="t" stroked="t" coordsize="21600,21600" o:gfxdata="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Z8Elo2AAAAAoBAAAPAAAAAAAAAAEAIAAAACIA&#10;AABkcnMvZG93bnJldi54bWxQSwECFAAUAAAACACHTuJAtiXwRAkCAAAwBAAADgAAAAAAAAABACAA&#10;AAAnAQAAZHJzL2Uyb0RvYy54bWxQSwUGAAAAAAYABgBZAQAAogUAAAAA&#10;">
                <v:fill on="t" focussize="0,0"/>
                <v:stroke color="#000000" joinstyle="miter"/>
                <v:imagedata o:title=""/>
                <o:lock v:ext="edit" aspectratio="f"/>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rect>
            </w:pict>
          </mc:Fallback>
        </mc:AlternateContent>
      </w:r>
    </w:p>
    <w:p>
      <w:pPr>
        <w:pStyle w:val="10"/>
        <w:spacing w:line="560" w:lineRule="exact"/>
        <w:rPr>
          <w:rFonts w:ascii="仿宋" w:hAnsi="仿宋" w:eastAsia="仿宋" w:cs="仿宋"/>
          <w:color w:val="auto"/>
          <w:highlight w:val="none"/>
        </w:rPr>
      </w:pPr>
    </w:p>
    <w:p>
      <w:pPr>
        <w:spacing w:line="560" w:lineRule="exact"/>
        <w:outlineLvl w:val="0"/>
        <w:rPr>
          <w:rFonts w:hint="eastAsia" w:ascii="仿宋" w:hAnsi="仿宋" w:eastAsia="仿宋" w:cs="仿宋"/>
          <w:b/>
          <w:color w:val="auto"/>
          <w:sz w:val="15"/>
          <w:szCs w:val="15"/>
          <w:highlight w:val="none"/>
          <w:lang w:eastAsia="zh-CN"/>
        </w:rPr>
      </w:pP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HZGH-2023-059</w:t>
      </w:r>
    </w:p>
    <w:p>
      <w:pPr>
        <w:widowControl/>
        <w:spacing w:line="560" w:lineRule="exact"/>
        <w:jc w:val="both"/>
        <w:rPr>
          <w:rFonts w:ascii="仿宋" w:hAnsi="仿宋" w:eastAsia="仿宋" w:cs="仿宋"/>
          <w:b/>
          <w:color w:val="auto"/>
          <w:sz w:val="52"/>
          <w:szCs w:val="52"/>
          <w:highlight w:val="none"/>
        </w:rPr>
      </w:pPr>
    </w:p>
    <w:p>
      <w:pPr>
        <w:widowControl/>
        <w:spacing w:line="560" w:lineRule="exact"/>
        <w:jc w:val="center"/>
        <w:rPr>
          <w:rFonts w:ascii="仿宋" w:hAnsi="仿宋" w:eastAsia="仿宋" w:cs="仿宋"/>
          <w:b/>
          <w:color w:val="auto"/>
          <w:sz w:val="52"/>
          <w:szCs w:val="52"/>
          <w:highlight w:val="none"/>
        </w:rPr>
      </w:pPr>
    </w:p>
    <w:p>
      <w:pPr>
        <w:spacing w:line="560" w:lineRule="exact"/>
        <w:jc w:val="center"/>
        <w:outlineLvl w:val="0"/>
        <w:rPr>
          <w:rFonts w:hint="eastAsia" w:ascii="仿宋" w:hAnsi="仿宋" w:eastAsia="仿宋" w:cs="仿宋"/>
          <w:b/>
          <w:color w:val="auto"/>
          <w:sz w:val="52"/>
          <w:szCs w:val="52"/>
          <w:highlight w:val="none"/>
          <w:shd w:val="clear" w:color="auto" w:fill="FFFFFF"/>
          <w:lang w:eastAsia="zh-CN"/>
        </w:rPr>
      </w:pPr>
      <w:r>
        <w:rPr>
          <w:rFonts w:hint="eastAsia" w:ascii="仿宋" w:hAnsi="仿宋" w:eastAsia="仿宋" w:cs="仿宋"/>
          <w:b/>
          <w:bCs/>
          <w:color w:val="auto"/>
          <w:sz w:val="52"/>
          <w:szCs w:val="52"/>
          <w:highlight w:val="none"/>
          <w:lang w:eastAsia="zh-CN"/>
        </w:rPr>
        <w:t>凤翔区医院财务管理相关软件采购</w:t>
      </w:r>
    </w:p>
    <w:p>
      <w:pPr>
        <w:spacing w:line="560" w:lineRule="exact"/>
        <w:jc w:val="center"/>
        <w:rPr>
          <w:rFonts w:ascii="仿宋" w:hAnsi="仿宋" w:eastAsia="仿宋" w:cs="仿宋"/>
          <w:b/>
          <w:color w:val="auto"/>
          <w:sz w:val="32"/>
          <w:szCs w:val="32"/>
          <w:highlight w:val="none"/>
          <w:shd w:val="clear" w:color="auto" w:fill="FFFFFF"/>
        </w:rPr>
      </w:pPr>
    </w:p>
    <w:p>
      <w:pPr>
        <w:spacing w:before="120" w:beforeLines="50" w:line="560" w:lineRule="exact"/>
        <w:jc w:val="center"/>
        <w:rPr>
          <w:rFonts w:ascii="仿宋" w:hAnsi="仿宋" w:eastAsia="仿宋" w:cs="仿宋"/>
          <w:b/>
          <w:bCs/>
          <w:color w:val="auto"/>
          <w:spacing w:val="20"/>
          <w:kern w:val="0"/>
          <w:sz w:val="72"/>
          <w:szCs w:val="72"/>
          <w:highlight w:val="none"/>
        </w:rPr>
      </w:pPr>
    </w:p>
    <w:p>
      <w:pPr>
        <w:spacing w:before="120" w:beforeLines="50" w:line="560" w:lineRule="exact"/>
        <w:jc w:val="center"/>
        <w:rPr>
          <w:rFonts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公开招标文件</w:t>
      </w:r>
    </w:p>
    <w:p>
      <w:pPr>
        <w:pStyle w:val="6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仿宋"/>
          <w:b/>
          <w:bCs/>
          <w:color w:val="auto"/>
          <w:sz w:val="10"/>
          <w:szCs w:val="11"/>
          <w:highlight w:val="none"/>
          <w:lang w:eastAsia="zh-CN"/>
        </w:rPr>
      </w:pPr>
      <w:r>
        <w:rPr>
          <w:rFonts w:hint="eastAsia" w:ascii="仿宋" w:hAnsi="仿宋" w:eastAsia="仿宋" w:cs="仿宋"/>
          <w:b/>
          <w:bCs/>
          <w:color w:val="auto"/>
          <w:spacing w:val="20"/>
          <w:kern w:val="0"/>
          <w:sz w:val="32"/>
          <w:szCs w:val="32"/>
          <w:highlight w:val="none"/>
          <w:lang w:eastAsia="zh-CN"/>
        </w:rPr>
        <w:t>（</w:t>
      </w:r>
      <w:r>
        <w:rPr>
          <w:rFonts w:hint="eastAsia" w:ascii="仿宋" w:hAnsi="仿宋" w:eastAsia="仿宋" w:cs="仿宋"/>
          <w:b/>
          <w:bCs/>
          <w:color w:val="auto"/>
          <w:spacing w:val="20"/>
          <w:kern w:val="0"/>
          <w:sz w:val="32"/>
          <w:szCs w:val="32"/>
          <w:highlight w:val="none"/>
          <w:lang w:val="en-US" w:eastAsia="zh-CN"/>
        </w:rPr>
        <w:t>专门面向中小企业项目</w:t>
      </w:r>
      <w:r>
        <w:rPr>
          <w:rFonts w:hint="eastAsia" w:ascii="仿宋" w:hAnsi="仿宋" w:eastAsia="仿宋" w:cs="仿宋"/>
          <w:b/>
          <w:bCs/>
          <w:color w:val="auto"/>
          <w:spacing w:val="20"/>
          <w:kern w:val="0"/>
          <w:sz w:val="32"/>
          <w:szCs w:val="32"/>
          <w:highlight w:val="none"/>
          <w:lang w:eastAsia="zh-CN"/>
        </w:rPr>
        <w:t>）</w:t>
      </w:r>
    </w:p>
    <w:p>
      <w:pPr>
        <w:spacing w:before="168" w:beforeLines="70" w:line="560" w:lineRule="exact"/>
        <w:rPr>
          <w:rFonts w:ascii="仿宋" w:hAnsi="仿宋" w:eastAsia="仿宋" w:cs="仿宋"/>
          <w:b/>
          <w:bCs/>
          <w:color w:val="auto"/>
          <w:sz w:val="32"/>
          <w:szCs w:val="32"/>
          <w:highlight w:val="none"/>
        </w:rPr>
      </w:pPr>
    </w:p>
    <w:p>
      <w:pPr>
        <w:spacing w:before="168" w:beforeLines="70" w:line="560" w:lineRule="exact"/>
        <w:rPr>
          <w:rFonts w:ascii="仿宋" w:hAnsi="仿宋" w:eastAsia="仿宋" w:cs="仿宋"/>
          <w:b/>
          <w:bCs/>
          <w:color w:val="auto"/>
          <w:sz w:val="32"/>
          <w:szCs w:val="32"/>
          <w:highlight w:val="none"/>
        </w:rPr>
      </w:pPr>
      <w:r>
        <w:rPr>
          <w:rFonts w:hint="eastAsia" w:ascii="仿宋" w:hAnsi="仿宋" w:eastAsia="仿宋" w:cs="仿宋"/>
          <w:b/>
          <w:color w:val="auto"/>
          <w:sz w:val="32"/>
          <w:szCs w:val="32"/>
          <w:highlight w:val="none"/>
          <w:shd w:val="clear" w:color="auto" w:fill="FFFFFF"/>
        </w:rPr>
        <w:drawing>
          <wp:anchor distT="0" distB="0" distL="114300" distR="114300" simplePos="0" relativeHeight="251659264" behindDoc="1" locked="0" layoutInCell="1" allowOverlap="1">
            <wp:simplePos x="0" y="0"/>
            <wp:positionH relativeFrom="column">
              <wp:posOffset>2033905</wp:posOffset>
            </wp:positionH>
            <wp:positionV relativeFrom="paragraph">
              <wp:posOffset>122555</wp:posOffset>
            </wp:positionV>
            <wp:extent cx="1466215" cy="1390650"/>
            <wp:effectExtent l="0" t="0" r="12065" b="0"/>
            <wp:wrapTight wrapText="bothSides">
              <wp:wrapPolygon>
                <wp:start x="0" y="0"/>
                <wp:lineTo x="0" y="21304"/>
                <wp:lineTo x="21329" y="21304"/>
                <wp:lineTo x="21329" y="0"/>
                <wp:lineTo x="0" y="0"/>
              </wp:wrapPolygon>
            </wp:wrapTight>
            <wp:docPr id="1027" name="图片 1" descr="d53eb5700307075d23daf00df32f9f8"/>
            <wp:cNvGraphicFramePr/>
            <a:graphic xmlns:a="http://schemas.openxmlformats.org/drawingml/2006/main">
              <a:graphicData uri="http://schemas.openxmlformats.org/drawingml/2006/picture">
                <pic:pic xmlns:pic="http://schemas.openxmlformats.org/drawingml/2006/picture">
                  <pic:nvPicPr>
                    <pic:cNvPr id="1027" name="图片 1" descr="d53eb5700307075d23daf00df32f9f8"/>
                    <pic:cNvPicPr/>
                  </pic:nvPicPr>
                  <pic:blipFill>
                    <a:blip r:embed="rId29" cstate="print"/>
                    <a:srcRect/>
                    <a:stretch>
                      <a:fillRect/>
                    </a:stretch>
                  </pic:blipFill>
                  <pic:spPr>
                    <a:xfrm>
                      <a:off x="0" y="0"/>
                      <a:ext cx="1466215" cy="1390650"/>
                    </a:xfrm>
                    <a:prstGeom prst="rect">
                      <a:avLst/>
                    </a:prstGeom>
                  </pic:spPr>
                </pic:pic>
              </a:graphicData>
            </a:graphic>
          </wp:anchor>
        </w:drawing>
      </w:r>
    </w:p>
    <w:p>
      <w:pPr>
        <w:spacing w:before="168" w:beforeLines="70" w:line="560" w:lineRule="exact"/>
        <w:ind w:firstLine="2570" w:firstLineChars="800"/>
        <w:rPr>
          <w:rFonts w:ascii="仿宋" w:hAnsi="仿宋" w:eastAsia="仿宋" w:cs="仿宋"/>
          <w:b/>
          <w:bCs/>
          <w:color w:val="auto"/>
          <w:sz w:val="32"/>
          <w:szCs w:val="32"/>
          <w:highlight w:val="none"/>
        </w:rPr>
      </w:pPr>
    </w:p>
    <w:p>
      <w:pPr>
        <w:spacing w:before="168" w:beforeLines="70" w:line="560" w:lineRule="exact"/>
        <w:ind w:firstLine="2570" w:firstLineChars="800"/>
        <w:rPr>
          <w:rFonts w:ascii="仿宋" w:hAnsi="仿宋" w:eastAsia="仿宋" w:cs="仿宋"/>
          <w:b/>
          <w:bCs/>
          <w:color w:val="auto"/>
          <w:sz w:val="32"/>
          <w:szCs w:val="32"/>
          <w:highlight w:val="none"/>
        </w:rPr>
      </w:pPr>
    </w:p>
    <w:p>
      <w:pPr>
        <w:spacing w:before="168" w:beforeLines="70" w:line="560" w:lineRule="exact"/>
        <w:ind w:firstLine="2570" w:firstLineChars="800"/>
        <w:rPr>
          <w:rFonts w:ascii="仿宋" w:hAnsi="仿宋" w:eastAsia="仿宋" w:cs="仿宋"/>
          <w:b/>
          <w:bCs/>
          <w:color w:val="auto"/>
          <w:sz w:val="32"/>
          <w:szCs w:val="32"/>
          <w:highlight w:val="none"/>
        </w:rPr>
      </w:pPr>
    </w:p>
    <w:p>
      <w:pPr>
        <w:spacing w:before="168" w:beforeLines="70" w:line="560" w:lineRule="exact"/>
        <w:ind w:firstLine="2570" w:firstLineChars="800"/>
        <w:rPr>
          <w:rFonts w:ascii="仿宋" w:hAnsi="仿宋" w:eastAsia="仿宋" w:cs="仿宋"/>
          <w:b/>
          <w:bCs/>
          <w:color w:val="auto"/>
          <w:sz w:val="32"/>
          <w:szCs w:val="32"/>
          <w:highlight w:val="none"/>
        </w:rPr>
      </w:pPr>
    </w:p>
    <w:p>
      <w:pPr>
        <w:pStyle w:val="10"/>
        <w:spacing w:line="640" w:lineRule="exact"/>
        <w:ind w:firstLine="1446" w:firstLineChars="45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采购人：</w:t>
      </w:r>
      <w:r>
        <w:rPr>
          <w:rFonts w:hint="eastAsia" w:ascii="仿宋" w:hAnsi="仿宋" w:eastAsia="仿宋" w:cs="仿宋"/>
          <w:b/>
          <w:bCs/>
          <w:color w:val="auto"/>
          <w:sz w:val="32"/>
          <w:szCs w:val="32"/>
          <w:highlight w:val="none"/>
          <w:lang w:eastAsia="zh-CN"/>
        </w:rPr>
        <w:t>宝鸡市凤翔区医院</w:t>
      </w:r>
    </w:p>
    <w:p>
      <w:pPr>
        <w:pStyle w:val="10"/>
        <w:spacing w:line="640" w:lineRule="exact"/>
        <w:jc w:val="center"/>
        <w:outlineLvl w:val="0"/>
        <w:rPr>
          <w:rFonts w:ascii="仿宋" w:hAnsi="仿宋" w:eastAsia="仿宋" w:cs="仿宋"/>
          <w:color w:val="auto"/>
          <w:highlight w:val="none"/>
        </w:rPr>
      </w:pPr>
      <w:r>
        <w:rPr>
          <w:rFonts w:hint="eastAsia" w:ascii="仿宋" w:hAnsi="仿宋" w:eastAsia="仿宋" w:cs="仿宋"/>
          <w:b/>
          <w:bCs/>
          <w:color w:val="auto"/>
          <w:sz w:val="32"/>
          <w:szCs w:val="32"/>
          <w:highlight w:val="none"/>
        </w:rPr>
        <w:t>采购代理机构：华招广和项目管理有限公司</w:t>
      </w:r>
    </w:p>
    <w:p>
      <w:pPr>
        <w:spacing w:before="168" w:beforeLines="70" w:line="560" w:lineRule="exact"/>
        <w:ind w:firstLine="3213" w:firstLineChars="10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二零二</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十二</w:t>
      </w:r>
      <w:r>
        <w:rPr>
          <w:rFonts w:hint="eastAsia" w:ascii="仿宋" w:hAnsi="仿宋" w:eastAsia="仿宋" w:cs="仿宋"/>
          <w:b/>
          <w:bCs/>
          <w:color w:val="auto"/>
          <w:sz w:val="32"/>
          <w:szCs w:val="32"/>
          <w:highlight w:val="none"/>
        </w:rPr>
        <w:t>月</w:t>
      </w:r>
    </w:p>
    <w:p>
      <w:pPr>
        <w:rPr>
          <w:rFonts w:ascii="仿宋" w:hAnsi="仿宋" w:eastAsia="仿宋" w:cs="仿宋"/>
          <w:color w:val="auto"/>
          <w:sz w:val="48"/>
          <w:szCs w:val="48"/>
          <w:highlight w:val="none"/>
          <w:lang w:val="zh-CN"/>
        </w:rPr>
        <w:sectPr>
          <w:headerReference r:id="rId4" w:type="first"/>
          <w:footerReference r:id="rId6" w:type="first"/>
          <w:headerReference r:id="rId3" w:type="default"/>
          <w:footerReference r:id="rId5" w:type="default"/>
          <w:pgSz w:w="11907" w:h="16840"/>
          <w:pgMar w:top="1417" w:right="1134" w:bottom="1417" w:left="1304" w:header="935" w:footer="771" w:gutter="567"/>
          <w:pgNumType w:start="1"/>
          <w:cols w:space="0" w:num="1"/>
          <w:titlePg/>
          <w:docGrid w:linePitch="312" w:charSpace="0"/>
        </w:sectPr>
      </w:pPr>
      <w:r>
        <w:rPr>
          <w:rFonts w:hint="eastAsia" w:ascii="仿宋" w:hAnsi="仿宋" w:eastAsia="仿宋" w:cs="仿宋"/>
          <w:color w:val="auto"/>
          <w:sz w:val="48"/>
          <w:szCs w:val="48"/>
          <w:highlight w:val="none"/>
          <w:lang w:val="zh-CN"/>
        </w:rPr>
        <w:br w:type="page"/>
      </w:r>
    </w:p>
    <w:p>
      <w:pPr>
        <w:jc w:val="center"/>
        <w:rPr>
          <w:rFonts w:ascii="仿宋" w:hAnsi="仿宋" w:eastAsia="仿宋" w:cs="仿宋"/>
          <w:color w:val="auto"/>
          <w:sz w:val="48"/>
          <w:szCs w:val="48"/>
          <w:highlight w:val="none"/>
          <w:lang w:val="zh-CN"/>
        </w:rPr>
      </w:pPr>
    </w:p>
    <w:p>
      <w:pPr>
        <w:jc w:val="center"/>
        <w:rPr>
          <w:rFonts w:ascii="仿宋" w:hAnsi="仿宋" w:eastAsia="仿宋" w:cs="仿宋"/>
          <w:b/>
          <w:color w:val="auto"/>
          <w:spacing w:val="140"/>
          <w:sz w:val="52"/>
          <w:szCs w:val="52"/>
          <w:highlight w:val="none"/>
          <w:u w:val="double"/>
        </w:rPr>
      </w:pPr>
      <w:r>
        <w:rPr>
          <w:rFonts w:hint="eastAsia" w:ascii="仿宋" w:hAnsi="仿宋" w:eastAsia="仿宋" w:cs="仿宋"/>
          <w:b/>
          <w:color w:val="auto"/>
          <w:spacing w:val="140"/>
          <w:sz w:val="52"/>
          <w:szCs w:val="52"/>
          <w:highlight w:val="none"/>
          <w:u w:val="double"/>
        </w:rPr>
        <w:t>特别提示</w:t>
      </w:r>
    </w:p>
    <w:p>
      <w:pPr>
        <w:keepNext w:val="0"/>
        <w:keepLines w:val="0"/>
        <w:pageBreakBefore w:val="0"/>
        <w:widowControl w:val="0"/>
        <w:kinsoku/>
        <w:overflowPunct/>
        <w:autoSpaceDE/>
        <w:autoSpaceDN/>
        <w:bidi w:val="0"/>
        <w:adjustRightInd/>
        <w:snapToGrid/>
        <w:spacing w:line="500" w:lineRule="exact"/>
        <w:ind w:firstLine="422"/>
        <w:textAlignment w:val="auto"/>
        <w:outlineLvl w:val="0"/>
        <w:rPr>
          <w:rFonts w:hint="eastAsia" w:ascii="仿宋" w:hAnsi="仿宋" w:eastAsia="仿宋" w:cs="仿宋"/>
          <w:sz w:val="24"/>
          <w:szCs w:val="24"/>
          <w:highlight w:val="none"/>
        </w:rPr>
      </w:pPr>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eastAsia="zh-CN"/>
        </w:rPr>
        <w:t>供应商</w:t>
      </w:r>
      <w:r>
        <w:rPr>
          <w:rFonts w:hint="eastAsia" w:ascii="仿宋" w:hAnsi="仿宋" w:eastAsia="仿宋" w:cs="仿宋"/>
          <w:sz w:val="24"/>
          <w:szCs w:val="24"/>
          <w:highlight w:val="none"/>
        </w:rPr>
        <w:t>：在此我们特别善意地提醒您注意！</w:t>
      </w:r>
    </w:p>
    <w:p>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仿宋" w:hAnsi="仿宋" w:eastAsia="仿宋" w:cs="仿宋"/>
          <w:b/>
          <w:bCs/>
          <w:snapToGrid w:val="0"/>
          <w:sz w:val="24"/>
          <w:szCs w:val="24"/>
          <w:highlight w:val="none"/>
        </w:rPr>
      </w:pPr>
      <w:r>
        <w:rPr>
          <w:rFonts w:hint="eastAsia" w:ascii="仿宋" w:hAnsi="仿宋" w:eastAsia="仿宋" w:cs="仿宋"/>
          <w:b/>
          <w:bCs/>
          <w:snapToGrid w:val="0"/>
          <w:sz w:val="24"/>
          <w:szCs w:val="24"/>
          <w:highlight w:val="none"/>
        </w:rPr>
        <w:t>1、本项目采用</w:t>
      </w:r>
      <w:r>
        <w:rPr>
          <w:rFonts w:hint="eastAsia" w:ascii="仿宋" w:hAnsi="仿宋" w:eastAsia="仿宋" w:cs="仿宋"/>
          <w:b/>
          <w:bCs/>
          <w:snapToGrid w:val="0"/>
          <w:sz w:val="24"/>
          <w:szCs w:val="24"/>
          <w:highlight w:val="none"/>
          <w:lang w:val="en-US" w:eastAsia="zh-CN"/>
        </w:rPr>
        <w:t>不见面开标的</w:t>
      </w:r>
      <w:r>
        <w:rPr>
          <w:rFonts w:hint="eastAsia" w:ascii="仿宋" w:hAnsi="仿宋" w:eastAsia="仿宋" w:cs="仿宋"/>
          <w:b/>
          <w:bCs/>
          <w:snapToGrid w:val="0"/>
          <w:sz w:val="24"/>
          <w:szCs w:val="24"/>
          <w:highlight w:val="none"/>
        </w:rPr>
        <w:t>电子化投标的方式，</w:t>
      </w:r>
      <w:r>
        <w:rPr>
          <w:rFonts w:hint="eastAsia" w:ascii="仿宋" w:hAnsi="仿宋" w:eastAsia="仿宋" w:cs="仿宋"/>
          <w:b/>
          <w:bCs/>
          <w:snapToGrid w:val="0"/>
          <w:sz w:val="24"/>
          <w:szCs w:val="24"/>
          <w:highlight w:val="none"/>
          <w:lang w:eastAsia="zh-CN"/>
        </w:rPr>
        <w:t>供应商</w:t>
      </w:r>
      <w:r>
        <w:rPr>
          <w:rFonts w:hint="eastAsia" w:ascii="仿宋" w:hAnsi="仿宋" w:eastAsia="仿宋" w:cs="仿宋"/>
          <w:b/>
          <w:bCs/>
          <w:snapToGrid w:val="0"/>
          <w:sz w:val="24"/>
          <w:szCs w:val="24"/>
          <w:highlight w:val="none"/>
        </w:rPr>
        <w:t>须使用数字认证证书（CA锁）对电子</w:t>
      </w:r>
      <w:r>
        <w:rPr>
          <w:rFonts w:hint="eastAsia" w:ascii="仿宋" w:hAnsi="仿宋" w:eastAsia="仿宋" w:cs="仿宋"/>
          <w:b/>
          <w:bCs/>
          <w:snapToGrid w:val="0"/>
          <w:sz w:val="24"/>
          <w:szCs w:val="24"/>
          <w:highlight w:val="none"/>
          <w:lang w:val="en-US" w:eastAsia="zh-CN"/>
        </w:rPr>
        <w:t>投标文件</w:t>
      </w:r>
      <w:r>
        <w:rPr>
          <w:rFonts w:hint="eastAsia" w:ascii="仿宋" w:hAnsi="仿宋" w:eastAsia="仿宋" w:cs="仿宋"/>
          <w:b/>
          <w:bCs/>
          <w:snapToGrid w:val="0"/>
          <w:sz w:val="24"/>
          <w:szCs w:val="24"/>
          <w:highlight w:val="none"/>
        </w:rPr>
        <w:t>进行签章、加密、递交及</w:t>
      </w:r>
      <w:r>
        <w:rPr>
          <w:rFonts w:hint="eastAsia" w:ascii="仿宋" w:hAnsi="仿宋" w:eastAsia="仿宋" w:cs="仿宋"/>
          <w:b/>
          <w:bCs/>
          <w:snapToGrid w:val="0"/>
          <w:sz w:val="24"/>
          <w:szCs w:val="24"/>
          <w:highlight w:val="none"/>
          <w:lang w:val="en-US" w:eastAsia="zh-CN"/>
        </w:rPr>
        <w:t>开标</w:t>
      </w:r>
      <w:r>
        <w:rPr>
          <w:rFonts w:hint="eastAsia" w:ascii="仿宋" w:hAnsi="仿宋" w:eastAsia="仿宋" w:cs="仿宋"/>
          <w:b/>
          <w:bCs/>
          <w:snapToGrid w:val="0"/>
          <w:sz w:val="24"/>
          <w:szCs w:val="24"/>
          <w:highlight w:val="none"/>
        </w:rPr>
        <w:t>时解密等相关招投标事宜。如因</w:t>
      </w:r>
      <w:r>
        <w:rPr>
          <w:rFonts w:hint="eastAsia" w:ascii="仿宋" w:hAnsi="仿宋" w:eastAsia="仿宋" w:cs="仿宋"/>
          <w:b/>
          <w:bCs/>
          <w:snapToGrid w:val="0"/>
          <w:sz w:val="24"/>
          <w:szCs w:val="24"/>
          <w:highlight w:val="none"/>
          <w:lang w:eastAsia="zh-CN"/>
        </w:rPr>
        <w:t>供应商</w:t>
      </w:r>
      <w:r>
        <w:rPr>
          <w:rFonts w:hint="eastAsia" w:ascii="仿宋" w:hAnsi="仿宋" w:eastAsia="仿宋" w:cs="仿宋"/>
          <w:b/>
          <w:bCs/>
          <w:snapToGrid w:val="0"/>
          <w:sz w:val="24"/>
          <w:szCs w:val="24"/>
          <w:highlight w:val="none"/>
        </w:rPr>
        <w:t>自身原因造成无法解密</w:t>
      </w:r>
      <w:r>
        <w:rPr>
          <w:rFonts w:hint="eastAsia" w:ascii="仿宋" w:hAnsi="仿宋" w:eastAsia="仿宋" w:cs="仿宋"/>
          <w:b/>
          <w:bCs/>
          <w:snapToGrid w:val="0"/>
          <w:sz w:val="24"/>
          <w:szCs w:val="24"/>
          <w:highlight w:val="none"/>
          <w:lang w:val="en-US" w:eastAsia="zh-CN"/>
        </w:rPr>
        <w:t>投标文件</w:t>
      </w:r>
      <w:r>
        <w:rPr>
          <w:rFonts w:hint="eastAsia" w:ascii="仿宋" w:hAnsi="仿宋" w:eastAsia="仿宋" w:cs="仿宋"/>
          <w:b/>
          <w:bCs/>
          <w:snapToGrid w:val="0"/>
          <w:sz w:val="24"/>
          <w:szCs w:val="24"/>
          <w:highlight w:val="none"/>
        </w:rPr>
        <w:t>，按无效投标对待。</w:t>
      </w:r>
    </w:p>
    <w:p>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仿宋" w:hAnsi="仿宋" w:eastAsia="仿宋" w:cs="仿宋"/>
          <w:b/>
          <w:bCs/>
          <w:snapToGrid w:val="0"/>
          <w:sz w:val="24"/>
          <w:szCs w:val="24"/>
          <w:highlight w:val="none"/>
        </w:rPr>
      </w:pPr>
      <w:r>
        <w:rPr>
          <w:rFonts w:hint="eastAsia" w:ascii="仿宋" w:hAnsi="仿宋" w:eastAsia="仿宋" w:cs="仿宋"/>
          <w:b/>
          <w:bCs/>
          <w:snapToGrid w:val="0"/>
          <w:sz w:val="24"/>
          <w:szCs w:val="24"/>
          <w:highlight w:val="none"/>
          <w:lang w:val="en-US" w:eastAsia="zh-CN"/>
        </w:rPr>
        <w:t>2</w:t>
      </w:r>
      <w:r>
        <w:rPr>
          <w:rFonts w:hint="eastAsia" w:ascii="仿宋" w:hAnsi="仿宋" w:eastAsia="仿宋" w:cs="仿宋"/>
          <w:b/>
          <w:bCs/>
          <w:snapToGrid w:val="0"/>
          <w:sz w:val="24"/>
          <w:szCs w:val="24"/>
          <w:highlight w:val="none"/>
        </w:rPr>
        <w:t>、制作电子</w:t>
      </w:r>
      <w:r>
        <w:rPr>
          <w:rFonts w:hint="eastAsia" w:ascii="仿宋" w:hAnsi="仿宋" w:eastAsia="仿宋" w:cs="仿宋"/>
          <w:b/>
          <w:bCs/>
          <w:snapToGrid w:val="0"/>
          <w:sz w:val="24"/>
          <w:szCs w:val="24"/>
          <w:highlight w:val="none"/>
          <w:lang w:val="en-US" w:eastAsia="zh-CN"/>
        </w:rPr>
        <w:t>投标文件</w:t>
      </w:r>
    </w:p>
    <w:p>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仿宋" w:hAnsi="仿宋" w:eastAsia="仿宋" w:cs="仿宋"/>
          <w:b/>
          <w:bCs/>
          <w:snapToGrid w:val="0"/>
          <w:sz w:val="24"/>
          <w:szCs w:val="24"/>
          <w:highlight w:val="none"/>
          <w:lang w:eastAsia="zh-CN"/>
        </w:rPr>
      </w:pPr>
      <w:r>
        <w:rPr>
          <w:rFonts w:hint="eastAsia" w:ascii="仿宋" w:hAnsi="仿宋" w:eastAsia="仿宋" w:cs="仿宋"/>
          <w:b/>
          <w:bCs/>
          <w:snapToGrid w:val="0"/>
          <w:sz w:val="24"/>
          <w:szCs w:val="24"/>
          <w:highlight w:val="none"/>
        </w:rPr>
        <w:t>电子</w:t>
      </w:r>
      <w:r>
        <w:rPr>
          <w:rFonts w:hint="eastAsia" w:ascii="仿宋" w:hAnsi="仿宋" w:eastAsia="仿宋" w:cs="仿宋"/>
          <w:b/>
          <w:bCs/>
          <w:snapToGrid w:val="0"/>
          <w:sz w:val="24"/>
          <w:szCs w:val="24"/>
          <w:highlight w:val="none"/>
          <w:lang w:val="en-US" w:eastAsia="zh-CN"/>
        </w:rPr>
        <w:t>招标文件</w:t>
      </w:r>
      <w:r>
        <w:rPr>
          <w:rFonts w:hint="eastAsia" w:ascii="仿宋" w:hAnsi="仿宋" w:eastAsia="仿宋" w:cs="仿宋"/>
          <w:b/>
          <w:bCs/>
          <w:snapToGrid w:val="0"/>
          <w:sz w:val="24"/>
          <w:szCs w:val="24"/>
          <w:highlight w:val="none"/>
        </w:rPr>
        <w:t>需要使用专用软件打开、浏览</w:t>
      </w:r>
      <w:r>
        <w:rPr>
          <w:rFonts w:hint="eastAsia" w:ascii="仿宋" w:hAnsi="仿宋" w:eastAsia="仿宋" w:cs="仿宋"/>
          <w:b/>
          <w:bCs/>
          <w:snapToGrid w:val="0"/>
          <w:sz w:val="24"/>
          <w:szCs w:val="24"/>
          <w:highlight w:val="none"/>
          <w:lang w:eastAsia="zh-CN"/>
        </w:rPr>
        <w:t>，</w:t>
      </w:r>
      <w:r>
        <w:rPr>
          <w:rFonts w:hint="eastAsia" w:ascii="仿宋" w:hAnsi="仿宋" w:eastAsia="仿宋" w:cs="仿宋"/>
          <w:b/>
          <w:bCs/>
          <w:snapToGrid w:val="0"/>
          <w:sz w:val="24"/>
          <w:szCs w:val="24"/>
          <w:highlight w:val="none"/>
        </w:rPr>
        <w:t>供应商登录全国公共资源交易平台（陕西省）网站[服务指南-下载专区]免费下载《陕西省公共资源交易平台政府采购电子标书制作工具》，并升级至最新版本，使用该客户端可以打开电子</w:t>
      </w:r>
      <w:r>
        <w:rPr>
          <w:rFonts w:hint="eastAsia" w:ascii="仿宋" w:hAnsi="仿宋" w:eastAsia="仿宋" w:cs="仿宋"/>
          <w:b/>
          <w:bCs/>
          <w:snapToGrid w:val="0"/>
          <w:sz w:val="24"/>
          <w:szCs w:val="24"/>
          <w:highlight w:val="none"/>
          <w:lang w:val="en-US" w:eastAsia="zh-CN"/>
        </w:rPr>
        <w:t>招标文件</w:t>
      </w:r>
      <w:r>
        <w:rPr>
          <w:rFonts w:hint="eastAsia" w:ascii="仿宋" w:hAnsi="仿宋" w:eastAsia="仿宋" w:cs="仿宋"/>
          <w:b/>
          <w:bCs/>
          <w:snapToGrid w:val="0"/>
          <w:sz w:val="24"/>
          <w:szCs w:val="24"/>
          <w:highlight w:val="none"/>
        </w:rPr>
        <w:t>。</w:t>
      </w:r>
      <w:r>
        <w:rPr>
          <w:rFonts w:hint="eastAsia" w:ascii="仿宋" w:hAnsi="仿宋" w:eastAsia="仿宋" w:cs="仿宋"/>
          <w:b/>
          <w:bCs/>
          <w:snapToGrid w:val="0"/>
          <w:sz w:val="24"/>
          <w:szCs w:val="24"/>
          <w:highlight w:val="none"/>
          <w:lang w:val="en-US" w:eastAsia="zh-CN"/>
        </w:rPr>
        <w:t>相关操作流程详见全国公共资源交易平台（陕西省）网站[服务指南-下载专区]中的</w:t>
      </w:r>
      <w:r>
        <w:rPr>
          <w:rFonts w:hint="eastAsia" w:ascii="仿宋" w:hAnsi="仿宋" w:eastAsia="仿宋" w:cs="仿宋"/>
          <w:b/>
          <w:bCs/>
          <w:snapToGrid w:val="0"/>
          <w:sz w:val="24"/>
          <w:szCs w:val="24"/>
          <w:highlight w:val="none"/>
        </w:rPr>
        <w:t>《</w:t>
      </w:r>
      <w:r>
        <w:rPr>
          <w:rFonts w:hint="eastAsia" w:ascii="仿宋" w:hAnsi="仿宋" w:eastAsia="仿宋" w:cs="仿宋"/>
          <w:b/>
          <w:bCs/>
          <w:snapToGrid w:val="0"/>
          <w:sz w:val="24"/>
          <w:szCs w:val="24"/>
          <w:highlight w:val="none"/>
          <w:lang w:val="en-US" w:eastAsia="zh-CN"/>
        </w:rPr>
        <w:t>政府采购投标单位</w:t>
      </w:r>
      <w:r>
        <w:rPr>
          <w:rFonts w:hint="eastAsia" w:ascii="仿宋" w:hAnsi="仿宋" w:eastAsia="仿宋" w:cs="仿宋"/>
          <w:b/>
          <w:bCs/>
          <w:snapToGrid w:val="0"/>
          <w:sz w:val="24"/>
          <w:szCs w:val="24"/>
          <w:highlight w:val="none"/>
        </w:rPr>
        <w:t>操作手册》</w:t>
      </w:r>
      <w:r>
        <w:rPr>
          <w:rFonts w:hint="eastAsia" w:ascii="仿宋" w:hAnsi="仿宋" w:eastAsia="仿宋" w:cs="仿宋"/>
          <w:b/>
          <w:bCs/>
          <w:snapToGrid w:val="0"/>
          <w:sz w:val="24"/>
          <w:szCs w:val="24"/>
          <w:highlight w:val="none"/>
          <w:lang w:val="en-US" w:eastAsia="zh-CN"/>
        </w:rPr>
        <w:t>及</w:t>
      </w:r>
      <w:r>
        <w:rPr>
          <w:rFonts w:hint="eastAsia" w:ascii="仿宋" w:hAnsi="仿宋" w:eastAsia="仿宋" w:cs="仿宋"/>
          <w:b/>
          <w:bCs/>
          <w:snapToGrid w:val="0"/>
          <w:sz w:val="24"/>
          <w:szCs w:val="24"/>
          <w:highlight w:val="none"/>
        </w:rPr>
        <w:t>《</w:t>
      </w:r>
      <w:r>
        <w:rPr>
          <w:rFonts w:hint="eastAsia" w:ascii="仿宋" w:hAnsi="仿宋" w:eastAsia="仿宋" w:cs="仿宋"/>
          <w:b/>
          <w:bCs/>
          <w:snapToGrid w:val="0"/>
          <w:sz w:val="24"/>
          <w:szCs w:val="24"/>
          <w:highlight w:val="none"/>
          <w:lang w:val="en-US" w:eastAsia="zh-CN"/>
        </w:rPr>
        <w:t>陕西省公共资源交易中心政府采购项目远程不见面开标操作手册（供应商版）</w:t>
      </w:r>
      <w:r>
        <w:rPr>
          <w:rFonts w:hint="eastAsia" w:ascii="仿宋" w:hAnsi="仿宋" w:eastAsia="仿宋" w:cs="仿宋"/>
          <w:b/>
          <w:bCs/>
          <w:snapToGrid w:val="0"/>
          <w:sz w:val="24"/>
          <w:szCs w:val="24"/>
          <w:highlight w:val="none"/>
        </w:rPr>
        <w:t>》</w:t>
      </w:r>
      <w:r>
        <w:rPr>
          <w:rFonts w:hint="eastAsia" w:ascii="仿宋" w:hAnsi="仿宋" w:eastAsia="仿宋" w:cs="仿宋"/>
          <w:b/>
          <w:bCs/>
          <w:snapToGrid w:val="0"/>
          <w:sz w:val="24"/>
          <w:szCs w:val="24"/>
          <w:highlight w:val="none"/>
          <w:lang w:eastAsia="zh-CN"/>
        </w:rPr>
        <w:t>。</w:t>
      </w:r>
      <w:r>
        <w:rPr>
          <w:rFonts w:hint="eastAsia" w:ascii="仿宋" w:hAnsi="仿宋" w:eastAsia="仿宋" w:cs="仿宋"/>
          <w:b/>
          <w:bCs/>
          <w:snapToGrid w:val="0"/>
          <w:sz w:val="24"/>
          <w:szCs w:val="24"/>
          <w:highlight w:val="none"/>
          <w:lang w:val="en-US" w:eastAsia="zh-CN"/>
        </w:rPr>
        <w:t>电子招标文件技术支持：4009280095、4009980000</w:t>
      </w:r>
      <w:r>
        <w:rPr>
          <w:rFonts w:hint="eastAsia" w:ascii="仿宋" w:hAnsi="仿宋" w:eastAsia="仿宋" w:cs="仿宋"/>
          <w:b/>
          <w:bCs/>
          <w:snapToGrid w:val="0"/>
          <w:sz w:val="24"/>
          <w:szCs w:val="24"/>
          <w:highlight w:val="none"/>
          <w:lang w:eastAsia="zh-CN"/>
        </w:rPr>
        <w:t>。</w:t>
      </w:r>
    </w:p>
    <w:p>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仿宋" w:hAnsi="仿宋" w:eastAsia="仿宋" w:cs="仿宋"/>
          <w:b/>
          <w:bCs/>
          <w:snapToGrid w:val="0"/>
          <w:sz w:val="24"/>
          <w:szCs w:val="24"/>
          <w:highlight w:val="none"/>
        </w:rPr>
      </w:pPr>
      <w:r>
        <w:rPr>
          <w:rFonts w:hint="eastAsia" w:ascii="仿宋" w:hAnsi="仿宋" w:eastAsia="仿宋" w:cs="仿宋"/>
          <w:b/>
          <w:bCs/>
          <w:snapToGrid w:val="0"/>
          <w:sz w:val="24"/>
          <w:szCs w:val="24"/>
          <w:highlight w:val="none"/>
          <w:lang w:val="en-US" w:eastAsia="zh-CN"/>
        </w:rPr>
        <w:t>3</w:t>
      </w:r>
      <w:r>
        <w:rPr>
          <w:rFonts w:hint="eastAsia" w:ascii="仿宋" w:hAnsi="仿宋" w:eastAsia="仿宋" w:cs="仿宋"/>
          <w:b/>
          <w:bCs/>
          <w:snapToGrid w:val="0"/>
          <w:sz w:val="24"/>
          <w:szCs w:val="24"/>
          <w:highlight w:val="none"/>
        </w:rPr>
        <w:t>、递交电子</w:t>
      </w:r>
      <w:r>
        <w:rPr>
          <w:rFonts w:hint="eastAsia" w:ascii="仿宋" w:hAnsi="仿宋" w:eastAsia="仿宋" w:cs="仿宋"/>
          <w:b/>
          <w:bCs/>
          <w:snapToGrid w:val="0"/>
          <w:sz w:val="24"/>
          <w:szCs w:val="24"/>
          <w:highlight w:val="none"/>
          <w:lang w:val="en-US" w:eastAsia="zh-CN"/>
        </w:rPr>
        <w:t>投标文件</w:t>
      </w:r>
    </w:p>
    <w:p>
      <w:pPr>
        <w:keepNext w:val="0"/>
        <w:keepLines w:val="0"/>
        <w:pageBreakBefore w:val="0"/>
        <w:widowControl w:val="0"/>
        <w:tabs>
          <w:tab w:val="left" w:pos="1064"/>
        </w:tabs>
        <w:kinsoku/>
        <w:overflowPunct/>
        <w:autoSpaceDE/>
        <w:autoSpaceDN/>
        <w:bidi w:val="0"/>
        <w:adjustRightInd/>
        <w:snapToGrid/>
        <w:spacing w:line="500" w:lineRule="exact"/>
        <w:ind w:firstLine="420"/>
        <w:textAlignment w:val="auto"/>
        <w:rPr>
          <w:rFonts w:hint="eastAsia" w:ascii="仿宋" w:hAnsi="仿宋" w:eastAsia="仿宋" w:cs="仿宋"/>
          <w:b/>
          <w:bCs/>
          <w:snapToGrid w:val="0"/>
          <w:sz w:val="24"/>
          <w:szCs w:val="24"/>
          <w:highlight w:val="none"/>
        </w:rPr>
      </w:pPr>
      <w:r>
        <w:rPr>
          <w:rFonts w:hint="eastAsia" w:ascii="仿宋" w:hAnsi="仿宋" w:eastAsia="仿宋" w:cs="仿宋"/>
          <w:b/>
          <w:bCs/>
          <w:snapToGrid w:val="0"/>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w:t>
      </w:r>
      <w:r>
        <w:rPr>
          <w:rFonts w:hint="eastAsia" w:ascii="仿宋" w:hAnsi="仿宋" w:eastAsia="仿宋" w:cs="仿宋"/>
          <w:b/>
          <w:bCs/>
          <w:snapToGrid w:val="0"/>
          <w:sz w:val="24"/>
          <w:szCs w:val="24"/>
          <w:highlight w:val="none"/>
          <w:lang w:val="en-US" w:eastAsia="zh-CN"/>
        </w:rPr>
        <w:t>投标文件</w:t>
      </w:r>
      <w:r>
        <w:rPr>
          <w:rFonts w:hint="eastAsia" w:ascii="仿宋" w:hAnsi="仿宋" w:eastAsia="仿宋" w:cs="仿宋"/>
          <w:b/>
          <w:bCs/>
          <w:snapToGrid w:val="0"/>
          <w:sz w:val="24"/>
          <w:szCs w:val="24"/>
          <w:highlight w:val="none"/>
        </w:rPr>
        <w:t>”，上传加密的电子</w:t>
      </w:r>
      <w:r>
        <w:rPr>
          <w:rFonts w:hint="eastAsia" w:ascii="仿宋" w:hAnsi="仿宋" w:eastAsia="仿宋" w:cs="仿宋"/>
          <w:b/>
          <w:bCs/>
          <w:snapToGrid w:val="0"/>
          <w:sz w:val="24"/>
          <w:szCs w:val="24"/>
          <w:highlight w:val="none"/>
          <w:lang w:val="en-US" w:eastAsia="zh-CN"/>
        </w:rPr>
        <w:t>投标文件</w:t>
      </w:r>
      <w:r>
        <w:rPr>
          <w:rFonts w:hint="eastAsia" w:ascii="仿宋" w:hAnsi="仿宋" w:eastAsia="仿宋" w:cs="仿宋"/>
          <w:b/>
          <w:bCs/>
          <w:snapToGrid w:val="0"/>
          <w:sz w:val="24"/>
          <w:szCs w:val="24"/>
          <w:highlight w:val="none"/>
        </w:rPr>
        <w:t>。上传成功后，电子化平台将予以记录。</w:t>
      </w:r>
    </w:p>
    <w:p>
      <w:pPr>
        <w:keepNext w:val="0"/>
        <w:keepLines w:val="0"/>
        <w:pageBreakBefore w:val="0"/>
        <w:widowControl w:val="0"/>
        <w:tabs>
          <w:tab w:val="left" w:pos="1064"/>
        </w:tabs>
        <w:kinsoku/>
        <w:overflowPunct/>
        <w:autoSpaceDE/>
        <w:autoSpaceDN/>
        <w:bidi w:val="0"/>
        <w:adjustRightInd/>
        <w:snapToGrid/>
        <w:spacing w:line="50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、请您仔细地阅读</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并正确理解</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中各项具体要求。</w:t>
      </w:r>
    </w:p>
    <w:p>
      <w:pPr>
        <w:keepNext w:val="0"/>
        <w:keepLines w:val="0"/>
        <w:pageBreakBefore w:val="0"/>
        <w:widowControl w:val="0"/>
        <w:tabs>
          <w:tab w:val="left" w:pos="1064"/>
        </w:tabs>
        <w:kinsoku/>
        <w:overflowPunct/>
        <w:autoSpaceDE/>
        <w:autoSpaceDN/>
        <w:bidi w:val="0"/>
        <w:adjustRightInd/>
        <w:snapToGrid/>
        <w:spacing w:line="50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、请您严格按照</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载明的</w:t>
      </w:r>
      <w:r>
        <w:rPr>
          <w:rFonts w:hint="eastAsia" w:ascii="仿宋" w:hAnsi="仿宋" w:eastAsia="仿宋" w:cs="仿宋"/>
          <w:color w:val="auto"/>
          <w:sz w:val="24"/>
          <w:szCs w:val="24"/>
          <w:highlight w:val="none"/>
          <w:lang w:val="en-US" w:eastAsia="zh-CN"/>
        </w:rPr>
        <w:t>投标文件</w:t>
      </w:r>
      <w:r>
        <w:rPr>
          <w:rFonts w:hint="eastAsia" w:ascii="仿宋" w:hAnsi="仿宋" w:eastAsia="仿宋" w:cs="仿宋"/>
          <w:color w:val="auto"/>
          <w:sz w:val="24"/>
          <w:szCs w:val="24"/>
          <w:highlight w:val="none"/>
        </w:rPr>
        <w:t>格式要求编制</w:t>
      </w:r>
      <w:r>
        <w:rPr>
          <w:rFonts w:hint="eastAsia" w:ascii="仿宋" w:hAnsi="仿宋" w:eastAsia="仿宋" w:cs="仿宋"/>
          <w:color w:val="auto"/>
          <w:sz w:val="24"/>
          <w:szCs w:val="24"/>
          <w:highlight w:val="none"/>
          <w:lang w:val="en-US" w:eastAsia="zh-CN"/>
        </w:rPr>
        <w:t>投标文件</w:t>
      </w:r>
      <w:r>
        <w:rPr>
          <w:rFonts w:hint="eastAsia" w:ascii="仿宋" w:hAnsi="仿宋" w:eastAsia="仿宋" w:cs="仿宋"/>
          <w:color w:val="auto"/>
          <w:sz w:val="24"/>
          <w:szCs w:val="24"/>
          <w:highlight w:val="none"/>
        </w:rPr>
        <w:t>。</w:t>
      </w:r>
    </w:p>
    <w:p>
      <w:pPr>
        <w:keepNext w:val="0"/>
        <w:keepLines w:val="0"/>
        <w:pageBreakBefore w:val="0"/>
        <w:widowControl w:val="0"/>
        <w:tabs>
          <w:tab w:val="left" w:pos="1064"/>
          <w:tab w:val="left" w:pos="7029"/>
        </w:tabs>
        <w:kinsoku/>
        <w:overflowPunct/>
        <w:autoSpaceDE/>
        <w:autoSpaceDN/>
        <w:bidi w:val="0"/>
        <w:adjustRightInd/>
        <w:snapToGrid/>
        <w:spacing w:line="500" w:lineRule="exact"/>
        <w:ind w:firstLine="42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、请于购买</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后按照规定及时递交</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eastAsia="zh-CN"/>
        </w:rPr>
        <w:tab/>
      </w:r>
    </w:p>
    <w:p>
      <w:pPr>
        <w:keepNext w:val="0"/>
        <w:keepLines w:val="0"/>
        <w:pageBreakBefore w:val="0"/>
        <w:widowControl w:val="0"/>
        <w:tabs>
          <w:tab w:val="left" w:pos="1064"/>
        </w:tabs>
        <w:kinsoku/>
        <w:overflowPunct/>
        <w:autoSpaceDE/>
        <w:autoSpaceDN/>
        <w:bidi w:val="0"/>
        <w:adjustRightInd/>
        <w:snapToGrid/>
        <w:spacing w:line="500" w:lineRule="exact"/>
        <w:ind w:firstLine="422"/>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、如在</w:t>
      </w:r>
      <w:r>
        <w:rPr>
          <w:rFonts w:hint="eastAsia" w:ascii="仿宋" w:hAnsi="仿宋" w:eastAsia="仿宋" w:cs="仿宋"/>
          <w:b/>
          <w:bCs/>
          <w:color w:val="auto"/>
          <w:sz w:val="24"/>
          <w:szCs w:val="24"/>
          <w:highlight w:val="none"/>
          <w:lang w:val="en-US" w:eastAsia="zh-CN"/>
        </w:rPr>
        <w:t>投标文件</w:t>
      </w:r>
      <w:r>
        <w:rPr>
          <w:rFonts w:hint="eastAsia" w:ascii="仿宋" w:hAnsi="仿宋" w:eastAsia="仿宋" w:cs="仿宋"/>
          <w:b/>
          <w:bCs/>
          <w:color w:val="auto"/>
          <w:sz w:val="24"/>
          <w:szCs w:val="24"/>
          <w:highlight w:val="none"/>
        </w:rPr>
        <w:t>递交截止时间前放弃本次投标，请以书面形式发出弃标函。</w:t>
      </w:r>
    </w:p>
    <w:p>
      <w:pPr>
        <w:keepNext w:val="0"/>
        <w:keepLines w:val="0"/>
        <w:pageBreakBefore w:val="0"/>
        <w:widowControl w:val="0"/>
        <w:tabs>
          <w:tab w:val="left" w:pos="1064"/>
        </w:tabs>
        <w:kinsoku/>
        <w:overflowPunct/>
        <w:autoSpaceDE/>
        <w:autoSpaceDN/>
        <w:bidi w:val="0"/>
        <w:adjustRightInd/>
        <w:snapToGrid/>
        <w:spacing w:line="50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请</w:t>
      </w:r>
      <w:r>
        <w:rPr>
          <w:rFonts w:hint="eastAsia" w:ascii="仿宋" w:hAnsi="仿宋" w:eastAsia="仿宋" w:cs="仿宋"/>
          <w:b/>
          <w:bCs/>
          <w:color w:val="auto"/>
          <w:sz w:val="24"/>
          <w:szCs w:val="24"/>
          <w:highlight w:val="none"/>
          <w:lang w:eastAsia="zh-CN"/>
        </w:rPr>
        <w:t>您</w:t>
      </w:r>
      <w:r>
        <w:rPr>
          <w:rFonts w:hint="eastAsia" w:ascii="仿宋" w:hAnsi="仿宋" w:eastAsia="仿宋" w:cs="仿宋"/>
          <w:b/>
          <w:bCs/>
          <w:color w:val="auto"/>
          <w:sz w:val="24"/>
          <w:szCs w:val="24"/>
          <w:highlight w:val="none"/>
        </w:rPr>
        <w:t>按照《陕西省财政厅关于政府采购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注册登记有关事项的通知》中的要求，通过陕西省政府采购网（http://www.ccgp-shaanxi.gov.cn/）注册登记加入陕西省政府采购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库</w:t>
      </w:r>
      <w:r>
        <w:rPr>
          <w:rFonts w:hint="eastAsia" w:ascii="仿宋" w:hAnsi="仿宋" w:eastAsia="仿宋" w:cs="仿宋"/>
          <w:b/>
          <w:bCs/>
          <w:color w:val="auto"/>
          <w:sz w:val="24"/>
          <w:szCs w:val="24"/>
          <w:highlight w:val="none"/>
          <w:lang w:eastAsia="zh-CN"/>
        </w:rPr>
        <w:t>，并接受财政部门的监督管理。</w:t>
      </w:r>
    </w:p>
    <w:p>
      <w:pPr>
        <w:keepNext w:val="0"/>
        <w:keepLines w:val="0"/>
        <w:pageBreakBefore w:val="0"/>
        <w:widowControl w:val="0"/>
        <w:tabs>
          <w:tab w:val="left" w:pos="1064"/>
        </w:tabs>
        <w:kinsoku/>
        <w:overflowPunct/>
        <w:autoSpaceDE/>
        <w:autoSpaceDN/>
        <w:bidi w:val="0"/>
        <w:adjustRightInd/>
        <w:snapToGrid/>
        <w:spacing w:line="500" w:lineRule="exact"/>
        <w:ind w:firstLine="420"/>
        <w:textAlignment w:val="auto"/>
        <w:rPr>
          <w:rFonts w:ascii="仿宋" w:hAnsi="仿宋" w:eastAsia="仿宋" w:cs="仿宋"/>
          <w:color w:val="auto"/>
          <w:sz w:val="21"/>
          <w:szCs w:val="21"/>
          <w:highlight w:val="none"/>
        </w:rPr>
      </w:pPr>
      <w:r>
        <w:rPr>
          <w:rFonts w:hint="eastAsia" w:ascii="仿宋" w:hAnsi="仿宋" w:eastAsia="仿宋" w:cs="仿宋"/>
          <w:color w:val="auto"/>
          <w:sz w:val="24"/>
          <w:szCs w:val="24"/>
          <w:highlight w:val="none"/>
        </w:rPr>
        <w:t>谨记上述提示，将有助您顺利地参加</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。若有什么需要帮助，请您与我们的工作人员联系，我们将竭诚为您服务。</w:t>
      </w:r>
    </w:p>
    <w:p>
      <w:pPr>
        <w:pStyle w:val="39"/>
        <w:spacing w:before="0" w:line="560" w:lineRule="exact"/>
        <w:jc w:val="center"/>
        <w:rPr>
          <w:rFonts w:ascii="仿宋" w:hAnsi="仿宋" w:eastAsia="仿宋" w:cs="仿宋"/>
          <w:color w:val="auto"/>
          <w:sz w:val="48"/>
          <w:szCs w:val="48"/>
          <w:highlight w:val="none"/>
          <w:lang w:val="zh-CN"/>
        </w:rPr>
        <w:sectPr>
          <w:footerReference r:id="rId8" w:type="first"/>
          <w:footerReference r:id="rId7" w:type="default"/>
          <w:pgSz w:w="11907" w:h="16840"/>
          <w:pgMar w:top="1417" w:right="1134" w:bottom="1417" w:left="1304" w:header="935" w:footer="771" w:gutter="567"/>
          <w:pgNumType w:start="1"/>
          <w:cols w:space="0" w:num="1"/>
          <w:titlePg/>
          <w:docGrid w:linePitch="312" w:charSpace="0"/>
        </w:sectPr>
      </w:pPr>
    </w:p>
    <w:p>
      <w:pPr>
        <w:pStyle w:val="39"/>
        <w:spacing w:before="0" w:line="560" w:lineRule="exact"/>
        <w:jc w:val="center"/>
        <w:rPr>
          <w:rFonts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ascii="仿宋" w:hAnsi="仿宋" w:eastAsia="仿宋" w:cs="仿宋"/>
          <w:color w:val="auto"/>
          <w:highlight w:val="none"/>
          <w:lang w:val="zh-CN"/>
        </w:rPr>
      </w:pPr>
    </w:p>
    <w:p>
      <w:pPr>
        <w:pStyle w:val="16"/>
        <w:tabs>
          <w:tab w:val="right" w:leader="dot" w:pos="9070"/>
        </w:tabs>
        <w:spacing w:line="560" w:lineRule="exact"/>
        <w:rPr>
          <w:rFonts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r>
        <w:rPr>
          <w:color w:val="auto"/>
          <w:highlight w:val="none"/>
        </w:rPr>
        <w:fldChar w:fldCharType="begin"/>
      </w:r>
      <w:r>
        <w:rPr>
          <w:color w:val="auto"/>
          <w:highlight w:val="none"/>
        </w:rPr>
        <w:instrText xml:space="preserve"> HYPERLINK \l "_Toc22111" </w:instrText>
      </w:r>
      <w:r>
        <w:rPr>
          <w:color w:val="auto"/>
          <w:highlight w:val="none"/>
        </w:rPr>
        <w:fldChar w:fldCharType="separate"/>
      </w:r>
      <w:r>
        <w:rPr>
          <w:rFonts w:hint="eastAsia" w:ascii="仿宋" w:hAnsi="仿宋" w:eastAsia="仿宋" w:cs="仿宋"/>
          <w:color w:val="auto"/>
          <w:sz w:val="24"/>
          <w:highlight w:val="none"/>
        </w:rPr>
        <w:t>第一章  招标公告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_Toc22111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"_Toc30520" </w:instrText>
      </w:r>
      <w:r>
        <w:rPr>
          <w:color w:val="auto"/>
          <w:highlight w:val="none"/>
        </w:rPr>
        <w:fldChar w:fldCharType="separate"/>
      </w:r>
      <w:r>
        <w:rPr>
          <w:rFonts w:hint="eastAsia" w:ascii="仿宋" w:hAnsi="仿宋" w:eastAsia="仿宋" w:cs="仿宋"/>
          <w:color w:val="auto"/>
          <w:sz w:val="24"/>
          <w:highlight w:val="none"/>
        </w:rPr>
        <w:t>第二章  投标人须知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_Toc30520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"_Toc28725" </w:instrText>
      </w:r>
      <w:r>
        <w:rPr>
          <w:color w:val="auto"/>
          <w:highlight w:val="none"/>
        </w:rPr>
        <w:fldChar w:fldCharType="separate"/>
      </w:r>
      <w:r>
        <w:rPr>
          <w:rFonts w:hint="eastAsia" w:ascii="仿宋" w:hAnsi="仿宋" w:eastAsia="仿宋" w:cs="仿宋"/>
          <w:color w:val="auto"/>
          <w:sz w:val="24"/>
          <w:highlight w:val="none"/>
        </w:rPr>
        <w:t>一、投标人须知前附表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_Toc28725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"_Toc1429" </w:instrText>
      </w:r>
      <w:r>
        <w:rPr>
          <w:color w:val="auto"/>
          <w:highlight w:val="none"/>
        </w:rPr>
        <w:fldChar w:fldCharType="separate"/>
      </w:r>
      <w:r>
        <w:rPr>
          <w:rFonts w:hint="eastAsia" w:ascii="仿宋" w:hAnsi="仿宋" w:eastAsia="仿宋" w:cs="仿宋"/>
          <w:color w:val="auto"/>
          <w:kern w:val="0"/>
          <w:sz w:val="24"/>
          <w:highlight w:val="none"/>
        </w:rPr>
        <w:t>二、项目说明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"_Toc19356" </w:instrText>
      </w:r>
      <w:r>
        <w:rPr>
          <w:color w:val="auto"/>
          <w:highlight w:val="none"/>
        </w:rPr>
        <w:fldChar w:fldCharType="separate"/>
      </w:r>
      <w:r>
        <w:rPr>
          <w:rFonts w:hint="eastAsia" w:ascii="仿宋" w:hAnsi="仿宋" w:eastAsia="仿宋" w:cs="仿宋"/>
          <w:color w:val="auto"/>
          <w:kern w:val="0"/>
          <w:sz w:val="24"/>
          <w:highlight w:val="none"/>
        </w:rPr>
        <w:t>三、招标文件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_Toc19356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"_Toc4480" </w:instrText>
      </w:r>
      <w:r>
        <w:rPr>
          <w:color w:val="auto"/>
          <w:highlight w:val="none"/>
        </w:rPr>
        <w:fldChar w:fldCharType="separate"/>
      </w:r>
      <w:r>
        <w:rPr>
          <w:rFonts w:hint="eastAsia" w:ascii="仿宋" w:hAnsi="仿宋" w:eastAsia="仿宋" w:cs="仿宋"/>
          <w:color w:val="auto"/>
          <w:kern w:val="0"/>
          <w:sz w:val="24"/>
          <w:highlight w:val="none"/>
        </w:rPr>
        <w:t>四、投标文件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_Toc4480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"_Toc14492" </w:instrText>
      </w:r>
      <w:r>
        <w:rPr>
          <w:color w:val="auto"/>
          <w:highlight w:val="none"/>
        </w:rPr>
        <w:fldChar w:fldCharType="separate"/>
      </w:r>
      <w:r>
        <w:rPr>
          <w:rFonts w:hint="eastAsia" w:ascii="仿宋" w:hAnsi="仿宋" w:eastAsia="仿宋" w:cs="仿宋"/>
          <w:color w:val="auto"/>
          <w:kern w:val="0"/>
          <w:sz w:val="24"/>
          <w:highlight w:val="none"/>
        </w:rPr>
        <w:t>五、投标担保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"_Toc22244" </w:instrText>
      </w:r>
      <w:r>
        <w:rPr>
          <w:color w:val="auto"/>
          <w:highlight w:val="none"/>
        </w:rPr>
        <w:fldChar w:fldCharType="separate"/>
      </w:r>
      <w:r>
        <w:rPr>
          <w:rFonts w:hint="eastAsia" w:ascii="仿宋" w:hAnsi="仿宋" w:eastAsia="仿宋" w:cs="仿宋"/>
          <w:color w:val="auto"/>
          <w:kern w:val="0"/>
          <w:sz w:val="24"/>
          <w:highlight w:val="none"/>
        </w:rPr>
        <w:t>六、投标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_Toc22244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"_Toc1895" </w:instrText>
      </w:r>
      <w:r>
        <w:rPr>
          <w:color w:val="auto"/>
          <w:highlight w:val="none"/>
        </w:rPr>
        <w:fldChar w:fldCharType="separate"/>
      </w:r>
      <w:r>
        <w:rPr>
          <w:rFonts w:hint="eastAsia" w:ascii="仿宋" w:hAnsi="仿宋" w:eastAsia="仿宋" w:cs="仿宋"/>
          <w:color w:val="auto"/>
          <w:kern w:val="0"/>
          <w:sz w:val="24"/>
          <w:highlight w:val="none"/>
        </w:rPr>
        <w:t>七、开标、资格审查、评标和定标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_Toc1895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"_Toc16697" </w:instrText>
      </w:r>
      <w:r>
        <w:rPr>
          <w:color w:val="auto"/>
          <w:highlight w:val="none"/>
        </w:rPr>
        <w:fldChar w:fldCharType="separate"/>
      </w:r>
      <w:r>
        <w:rPr>
          <w:rFonts w:hint="eastAsia" w:ascii="仿宋" w:hAnsi="仿宋" w:eastAsia="仿宋" w:cs="仿宋"/>
          <w:color w:val="auto"/>
          <w:kern w:val="0"/>
          <w:sz w:val="24"/>
          <w:highlight w:val="none"/>
        </w:rPr>
        <w:t>八、合同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_Toc16697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"_Toc10597" </w:instrText>
      </w:r>
      <w:r>
        <w:rPr>
          <w:color w:val="auto"/>
          <w:highlight w:val="none"/>
        </w:rPr>
        <w:fldChar w:fldCharType="separate"/>
      </w:r>
      <w:r>
        <w:rPr>
          <w:rFonts w:hint="eastAsia" w:ascii="仿宋" w:hAnsi="仿宋" w:eastAsia="仿宋" w:cs="仿宋"/>
          <w:color w:val="auto"/>
          <w:kern w:val="0"/>
          <w:sz w:val="24"/>
          <w:highlight w:val="none"/>
        </w:rPr>
        <w:t>九、合同的履约验收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_Toc10597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"_Toc2283" </w:instrText>
      </w:r>
      <w:r>
        <w:rPr>
          <w:color w:val="auto"/>
          <w:highlight w:val="none"/>
        </w:rPr>
        <w:fldChar w:fldCharType="separate"/>
      </w:r>
      <w:r>
        <w:rPr>
          <w:rFonts w:hint="eastAsia" w:ascii="仿宋" w:hAnsi="仿宋" w:eastAsia="仿宋" w:cs="仿宋"/>
          <w:color w:val="auto"/>
          <w:kern w:val="0"/>
          <w:sz w:val="24"/>
          <w:highlight w:val="none"/>
        </w:rPr>
        <w:t>十、招标服务费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_Toc2283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"_Toc22375" </w:instrText>
      </w:r>
      <w:r>
        <w:rPr>
          <w:color w:val="auto"/>
          <w:highlight w:val="none"/>
        </w:rPr>
        <w:fldChar w:fldCharType="separate"/>
      </w:r>
      <w:r>
        <w:rPr>
          <w:rFonts w:hint="eastAsia" w:ascii="仿宋" w:hAnsi="仿宋" w:eastAsia="仿宋" w:cs="仿宋"/>
          <w:bCs/>
          <w:color w:val="auto"/>
          <w:kern w:val="0"/>
          <w:sz w:val="24"/>
          <w:highlight w:val="none"/>
        </w:rPr>
        <w:t>十一、重新组织采购活动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_Toc22375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"_Toc17723" </w:instrText>
      </w:r>
      <w:r>
        <w:rPr>
          <w:color w:val="auto"/>
          <w:highlight w:val="none"/>
        </w:rPr>
        <w:fldChar w:fldCharType="separate"/>
      </w:r>
      <w:r>
        <w:rPr>
          <w:rFonts w:hint="eastAsia" w:ascii="仿宋" w:hAnsi="仿宋" w:eastAsia="仿宋" w:cs="仿宋"/>
          <w:color w:val="auto"/>
          <w:kern w:val="0"/>
          <w:sz w:val="24"/>
          <w:highlight w:val="none"/>
        </w:rPr>
        <w:t>十二、询问、质疑与投诉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_Toc17723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"_Toc20119" </w:instrText>
      </w:r>
      <w:r>
        <w:rPr>
          <w:color w:val="auto"/>
          <w:highlight w:val="none"/>
        </w:rPr>
        <w:fldChar w:fldCharType="separate"/>
      </w:r>
      <w:r>
        <w:rPr>
          <w:rFonts w:hint="eastAsia" w:ascii="仿宋" w:hAnsi="仿宋" w:eastAsia="仿宋" w:cs="仿宋"/>
          <w:color w:val="auto"/>
          <w:kern w:val="0"/>
          <w:sz w:val="24"/>
          <w:highlight w:val="none"/>
        </w:rPr>
        <w:t>十三、拒绝商业贿赂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_Toc20119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"_Toc24042" </w:instrText>
      </w:r>
      <w:r>
        <w:rPr>
          <w:color w:val="auto"/>
          <w:highlight w:val="none"/>
        </w:rPr>
        <w:fldChar w:fldCharType="separate"/>
      </w:r>
      <w:r>
        <w:rPr>
          <w:rFonts w:hint="eastAsia" w:ascii="仿宋" w:hAnsi="仿宋" w:eastAsia="仿宋" w:cs="仿宋"/>
          <w:color w:val="auto"/>
          <w:kern w:val="0"/>
          <w:sz w:val="24"/>
          <w:highlight w:val="none"/>
        </w:rPr>
        <w:t>第三章  采购内容及技术要求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_Toc24042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"_Toc492" </w:instrText>
      </w:r>
      <w:r>
        <w:rPr>
          <w:color w:val="auto"/>
          <w:highlight w:val="none"/>
        </w:rPr>
        <w:fldChar w:fldCharType="separate"/>
      </w:r>
      <w:r>
        <w:rPr>
          <w:rFonts w:hint="eastAsia" w:ascii="仿宋" w:hAnsi="仿宋" w:eastAsia="仿宋" w:cs="仿宋"/>
          <w:color w:val="auto"/>
          <w:kern w:val="0"/>
          <w:sz w:val="24"/>
          <w:highlight w:val="none"/>
        </w:rPr>
        <w:t>第四章  商务要求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"_Toc25447" </w:instrText>
      </w:r>
      <w:r>
        <w:rPr>
          <w:color w:val="auto"/>
          <w:highlight w:val="none"/>
        </w:rPr>
        <w:fldChar w:fldCharType="separate"/>
      </w:r>
      <w:r>
        <w:rPr>
          <w:rFonts w:hint="eastAsia" w:ascii="仿宋" w:hAnsi="仿宋" w:eastAsia="仿宋" w:cs="仿宋"/>
          <w:color w:val="auto"/>
          <w:sz w:val="24"/>
          <w:highlight w:val="none"/>
        </w:rPr>
        <w:t>第五章  合同条款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_Toc25447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66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ascii="仿宋" w:hAnsi="仿宋" w:eastAsia="仿宋" w:cs="仿宋"/>
          <w:color w:val="auto"/>
          <w:sz w:val="24"/>
          <w:highlight w:val="none"/>
        </w:rPr>
        <w:sectPr>
          <w:footerReference r:id="rId10" w:type="first"/>
          <w:footerReference r:id="rId9" w:type="default"/>
          <w:pgSz w:w="11907" w:h="16840"/>
          <w:pgMar w:top="1417" w:right="1134" w:bottom="1417" w:left="1304" w:header="935" w:footer="771" w:gutter="567"/>
          <w:pgNumType w:start="1"/>
          <w:cols w:space="0" w:num="1"/>
          <w:titlePg/>
          <w:docGrid w:linePitch="312" w:charSpace="0"/>
        </w:sectPr>
      </w:pPr>
      <w:r>
        <w:rPr>
          <w:color w:val="auto"/>
          <w:highlight w:val="none"/>
        </w:rPr>
        <w:fldChar w:fldCharType="begin"/>
      </w:r>
      <w:r>
        <w:rPr>
          <w:color w:val="auto"/>
          <w:highlight w:val="none"/>
        </w:rPr>
        <w:instrText xml:space="preserve"> HYPERLINK \l "_Toc19489" </w:instrText>
      </w:r>
      <w:r>
        <w:rPr>
          <w:color w:val="auto"/>
          <w:highlight w:val="none"/>
        </w:rPr>
        <w:fldChar w:fldCharType="separate"/>
      </w:r>
      <w:r>
        <w:rPr>
          <w:rFonts w:hint="eastAsia" w:ascii="仿宋" w:hAnsi="仿宋" w:eastAsia="仿宋" w:cs="仿宋"/>
          <w:color w:val="auto"/>
          <w:sz w:val="24"/>
          <w:highlight w:val="none"/>
        </w:rPr>
        <w:t>第六章 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_Toc19489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77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3"/>
        <w:numPr>
          <w:ilvl w:val="0"/>
          <w:numId w:val="1"/>
        </w:numPr>
        <w:spacing w:line="560" w:lineRule="exact"/>
        <w:jc w:val="center"/>
        <w:rPr>
          <w:rFonts w:ascii="仿宋" w:hAnsi="仿宋" w:eastAsia="仿宋" w:cs="仿宋"/>
          <w:color w:val="auto"/>
          <w:highlight w:val="none"/>
        </w:rPr>
      </w:pPr>
      <w:r>
        <w:rPr>
          <w:rFonts w:hint="eastAsia" w:ascii="仿宋" w:hAnsi="仿宋" w:eastAsia="仿宋" w:cs="仿宋"/>
          <w:color w:val="auto"/>
          <w:sz w:val="24"/>
          <w:szCs w:val="24"/>
          <w:highlight w:val="none"/>
        </w:rPr>
        <w:fldChar w:fldCharType="end"/>
      </w:r>
      <w:bookmarkStart w:id="0" w:name="_Toc458617729"/>
      <w:bookmarkStart w:id="1" w:name="_Toc30185"/>
      <w:bookmarkStart w:id="2" w:name="_Toc19866"/>
      <w:bookmarkStart w:id="3" w:name="_Toc22111"/>
      <w:bookmarkStart w:id="4" w:name="_Toc458617452"/>
      <w:r>
        <w:rPr>
          <w:rFonts w:hint="eastAsia" w:ascii="仿宋" w:hAnsi="仿宋" w:eastAsia="仿宋" w:cs="仿宋"/>
          <w:color w:val="auto"/>
          <w:highlight w:val="none"/>
        </w:rPr>
        <w:t xml:space="preserve"> 招标公告</w:t>
      </w:r>
      <w:bookmarkEnd w:id="0"/>
      <w:bookmarkEnd w:id="1"/>
      <w:bookmarkEnd w:id="2"/>
      <w:bookmarkEnd w:id="3"/>
      <w:bookmarkEnd w:id="4"/>
    </w:p>
    <w:p>
      <w:pPr>
        <w:pStyle w:val="40"/>
        <w:keepNext w:val="0"/>
        <w:keepLines w:val="0"/>
        <w:pageBreakBefore w:val="0"/>
        <w:kinsoku/>
        <w:overflowPunct/>
        <w:autoSpaceDE/>
        <w:autoSpaceDN/>
        <w:bidi w:val="0"/>
        <w:adjustRightInd/>
        <w:snapToGrid/>
        <w:spacing w:line="56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项目概况</w:t>
      </w:r>
      <w:r>
        <w:rPr>
          <w:rFonts w:hint="eastAsia" w:ascii="仿宋" w:hAnsi="仿宋" w:eastAsia="仿宋" w:cs="仿宋"/>
          <w:color w:val="auto"/>
          <w:sz w:val="24"/>
          <w:szCs w:val="24"/>
          <w:highlight w:val="none"/>
        </w:rPr>
        <w:t xml:space="preserve"> </w:t>
      </w:r>
    </w:p>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凤翔区医院财务管理相关软件采购</w:t>
      </w:r>
      <w:r>
        <w:rPr>
          <w:rFonts w:hint="eastAsia" w:ascii="仿宋" w:hAnsi="仿宋" w:eastAsia="仿宋" w:cs="仿宋"/>
          <w:color w:val="auto"/>
          <w:sz w:val="24"/>
          <w:szCs w:val="24"/>
          <w:highlight w:val="none"/>
        </w:rPr>
        <w:t>的潜在投标人应在</w:t>
      </w:r>
      <w:r>
        <w:rPr>
          <w:rFonts w:hint="eastAsia" w:ascii="仿宋" w:hAnsi="仿宋" w:eastAsia="仿宋" w:cs="仿宋"/>
          <w:color w:val="auto"/>
          <w:sz w:val="24"/>
          <w:szCs w:val="24"/>
          <w:highlight w:val="none"/>
          <w:lang w:eastAsia="zh-CN"/>
        </w:rPr>
        <w:t>全国公共资源交易平台（陕西省 宝鸡市）</w:t>
      </w:r>
      <w:r>
        <w:rPr>
          <w:rFonts w:hint="eastAsia" w:ascii="仿宋" w:hAnsi="仿宋" w:eastAsia="仿宋" w:cs="仿宋"/>
          <w:color w:val="auto"/>
          <w:sz w:val="24"/>
          <w:szCs w:val="24"/>
          <w:highlight w:val="none"/>
        </w:rPr>
        <w:t>获取采购文件，并于202</w:t>
      </w:r>
      <w:r>
        <w:rPr>
          <w:rFonts w:hint="default"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年</w:t>
      </w:r>
      <w:r>
        <w:rPr>
          <w:rFonts w:hint="default"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月</w:t>
      </w:r>
      <w:r>
        <w:rPr>
          <w:rFonts w:hint="default"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default"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rPr>
        <w:t>（北京时间）前提交</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w:t>
      </w:r>
    </w:p>
    <w:p>
      <w:pPr>
        <w:pStyle w:val="40"/>
        <w:keepNext w:val="0"/>
        <w:keepLines w:val="0"/>
        <w:pageBreakBefore w:val="0"/>
        <w:kinsoku/>
        <w:overflowPunct/>
        <w:autoSpaceDE/>
        <w:autoSpaceDN/>
        <w:bidi w:val="0"/>
        <w:adjustRightInd/>
        <w:snapToGrid/>
        <w:spacing w:line="56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HZGH-2023-059</w:t>
      </w:r>
    </w:p>
    <w:p>
      <w:pPr>
        <w:pStyle w:val="40"/>
        <w:keepNext w:val="0"/>
        <w:keepLines w:val="0"/>
        <w:pageBreakBefore w:val="0"/>
        <w:kinsoku/>
        <w:overflowPunct/>
        <w:autoSpaceDE/>
        <w:autoSpaceDN/>
        <w:bidi w:val="0"/>
        <w:adjustRightInd/>
        <w:snapToGrid/>
        <w:spacing w:line="56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凤翔区医院财务管理相关软件采购</w:t>
      </w:r>
    </w:p>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预算金额：600,000</w:t>
      </w:r>
      <w:r>
        <w:rPr>
          <w:rFonts w:hint="eastAsia" w:ascii="仿宋" w:hAnsi="仿宋" w:eastAsia="仿宋" w:cs="仿宋"/>
          <w:color w:val="auto"/>
          <w:sz w:val="24"/>
          <w:szCs w:val="24"/>
          <w:highlight w:val="none"/>
          <w:lang w:val="en-US" w:eastAsia="zh-CN"/>
        </w:rPr>
        <w:t>元</w:t>
      </w:r>
    </w:p>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凤翔区医院财务管理相关软件采购</w:t>
      </w:r>
      <w:r>
        <w:rPr>
          <w:rFonts w:hint="eastAsia" w:ascii="仿宋" w:hAnsi="仿宋" w:eastAsia="仿宋" w:cs="仿宋"/>
          <w:color w:val="auto"/>
          <w:sz w:val="24"/>
          <w:szCs w:val="24"/>
          <w:highlight w:val="none"/>
        </w:rPr>
        <w:t>):</w:t>
      </w:r>
    </w:p>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合同包预算金额：600,000</w:t>
      </w:r>
      <w:r>
        <w:rPr>
          <w:rFonts w:hint="eastAsia" w:ascii="仿宋" w:hAnsi="仿宋" w:eastAsia="仿宋" w:cs="仿宋"/>
          <w:color w:val="auto"/>
          <w:sz w:val="24"/>
          <w:szCs w:val="24"/>
          <w:highlight w:val="none"/>
          <w:lang w:val="en-US" w:eastAsia="zh-CN"/>
        </w:rPr>
        <w:t>元</w:t>
      </w:r>
    </w:p>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合同包最高限价：600,000</w:t>
      </w:r>
      <w:r>
        <w:rPr>
          <w:rFonts w:hint="eastAsia" w:ascii="仿宋" w:hAnsi="仿宋" w:eastAsia="仿宋" w:cs="仿宋"/>
          <w:color w:val="auto"/>
          <w:sz w:val="24"/>
          <w:szCs w:val="24"/>
          <w:highlight w:val="none"/>
          <w:lang w:val="en-US" w:eastAsia="zh-CN"/>
        </w:rPr>
        <w:t>元</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08"/>
        <w:gridCol w:w="776"/>
        <w:gridCol w:w="2393"/>
        <w:gridCol w:w="1145"/>
        <w:gridCol w:w="1405"/>
        <w:gridCol w:w="1357"/>
        <w:gridCol w:w="13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8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品目号</w:t>
            </w:r>
          </w:p>
        </w:tc>
        <w:tc>
          <w:tcPr>
            <w:tcW w:w="42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品目名称</w:t>
            </w:r>
          </w:p>
        </w:tc>
        <w:tc>
          <w:tcPr>
            <w:tcW w:w="130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采购标的</w:t>
            </w:r>
          </w:p>
        </w:tc>
        <w:tc>
          <w:tcPr>
            <w:tcW w:w="62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数量</w:t>
            </w:r>
          </w:p>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（单位）</w:t>
            </w:r>
          </w:p>
        </w:tc>
        <w:tc>
          <w:tcPr>
            <w:tcW w:w="76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技术规格、参数及要求</w:t>
            </w:r>
          </w:p>
        </w:tc>
        <w:tc>
          <w:tcPr>
            <w:tcW w:w="74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品目预算(元)</w:t>
            </w:r>
          </w:p>
        </w:tc>
        <w:tc>
          <w:tcPr>
            <w:tcW w:w="74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8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1-1</w:t>
            </w:r>
          </w:p>
        </w:tc>
        <w:tc>
          <w:tcPr>
            <w:tcW w:w="42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应用软件</w:t>
            </w:r>
          </w:p>
        </w:tc>
        <w:tc>
          <w:tcPr>
            <w:tcW w:w="130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财务管理相关软件</w:t>
            </w:r>
          </w:p>
        </w:tc>
        <w:tc>
          <w:tcPr>
            <w:tcW w:w="62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1(批)</w:t>
            </w:r>
          </w:p>
        </w:tc>
        <w:tc>
          <w:tcPr>
            <w:tcW w:w="76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详见采购文件</w:t>
            </w:r>
          </w:p>
        </w:tc>
        <w:tc>
          <w:tcPr>
            <w:tcW w:w="74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600,000</w:t>
            </w:r>
          </w:p>
        </w:tc>
        <w:tc>
          <w:tcPr>
            <w:tcW w:w="74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600,000</w:t>
            </w:r>
          </w:p>
        </w:tc>
      </w:tr>
    </w:tbl>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pStyle w:val="40"/>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合同履行期限：无</w:t>
      </w:r>
    </w:p>
    <w:p>
      <w:pPr>
        <w:pStyle w:val="40"/>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2.落实政府采购政策需满足的资格要求： </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（1）、《政府采购促进中小企业发展管理办法》的通知--财库[2020]46号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（2）、陕西省财政厅关于印发《陕西省中小企业政府采购信用融资办法》--(陕财办采[2018]23号)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《陕西省财政厅关于加快推进我省中小企业政府采购信用融资工作的通知》（陕财办采〔2020〕15号）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（4）、财政部司法部关于政府采购支持监狱企业发展有关问题的通知--财库〔2014〕68号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（5）、《国务院办公厅关于建立政府强制采购节能产品制度的通知》--国办发〔2007〕51号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（6）、《节能产品政府采购实施意见》（财库[2004]185号）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（7）、《环境标志产品政府采购实施的意见》（财库[2006]90号）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（8）、《财政部发展改革委生态环境部市场监督总局关于调整优化节能产品、环境标志产品政府采购执行机制的通知》--（财库[2019]9号） </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（9）、《市场监督总局关于发布参与实施政府采购节能产品、环境标志产品认证机构名录的公告》--2019年第16号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（10）、《财政部民政部中国残疾人联合会关于促进残疾人就业政府采购政策的通知》--（财库〔2017〕141号）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（11）、《财政部国务院扶贫办关于运用政府采购政策支持脱贫攻坚的通知》（财库〔2019〕27号）</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（12）、《关于进一步加强政府绿色采购有关问题的通知》（陕财办采〔2021〕29号）</w:t>
      </w:r>
    </w:p>
    <w:p>
      <w:pPr>
        <w:pStyle w:val="40"/>
        <w:keepNext w:val="0"/>
        <w:keepLines w:val="0"/>
        <w:pageBreakBefore w:val="0"/>
        <w:kinsoku/>
        <w:overflowPunct/>
        <w:autoSpaceDE/>
        <w:autoSpaceDN/>
        <w:bidi w:val="0"/>
        <w:adjustRightInd/>
        <w:snapToGrid/>
        <w:spacing w:line="500" w:lineRule="exact"/>
        <w:ind w:firstLine="480"/>
        <w:textAlignment w:val="auto"/>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（13）、其他需要落实的政府采购政策</w:t>
      </w:r>
    </w:p>
    <w:p>
      <w:pPr>
        <w:pStyle w:val="40"/>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凤翔区医院财务管理相关软件采购</w:t>
      </w:r>
      <w:r>
        <w:rPr>
          <w:rFonts w:hint="eastAsia" w:ascii="仿宋" w:hAnsi="仿宋" w:eastAsia="仿宋" w:cs="仿宋"/>
          <w:color w:val="auto"/>
          <w:sz w:val="24"/>
          <w:szCs w:val="24"/>
          <w:highlight w:val="none"/>
        </w:rPr>
        <w:t>)特定资格要求如下:</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color w:val="auto"/>
          <w:sz w:val="24"/>
          <w:szCs w:val="24"/>
          <w:highlight w:val="none"/>
          <w:lang w:eastAsia="zh-CN"/>
        </w:rPr>
        <w:t>；</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2、财务状况报告：提供具有财务审计资质单位出具的</w:t>
      </w:r>
      <w:r>
        <w:rPr>
          <w:rFonts w:hint="eastAsia" w:ascii="仿宋" w:hAnsi="仿宋" w:eastAsia="仿宋" w:cs="仿宋"/>
          <w:color w:val="auto"/>
          <w:sz w:val="24"/>
          <w:szCs w:val="24"/>
          <w:highlight w:val="none"/>
          <w:lang w:eastAsia="zh-CN"/>
        </w:rPr>
        <w:t>2021年度或2022年度</w:t>
      </w:r>
      <w:r>
        <w:rPr>
          <w:rFonts w:hint="eastAsia" w:ascii="仿宋" w:hAnsi="仿宋" w:eastAsia="仿宋" w:cs="仿宋"/>
          <w:color w:val="auto"/>
          <w:sz w:val="24"/>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color w:val="auto"/>
          <w:sz w:val="24"/>
          <w:szCs w:val="24"/>
          <w:highlight w:val="none"/>
          <w:lang w:eastAsia="zh-CN"/>
        </w:rPr>
        <w:t>；</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3、税收缴纳证明：</w:t>
      </w:r>
      <w:r>
        <w:rPr>
          <w:rFonts w:hint="eastAsia" w:ascii="仿宋" w:hAnsi="仿宋" w:eastAsia="仿宋" w:cs="仿宋"/>
          <w:color w:val="auto"/>
          <w:sz w:val="24"/>
          <w:szCs w:val="24"/>
          <w:highlight w:val="none"/>
          <w:lang w:eastAsia="zh-CN"/>
        </w:rPr>
        <w:t>提供2022年1月1日至今任意一个月</w:t>
      </w:r>
      <w:r>
        <w:rPr>
          <w:rFonts w:hint="eastAsia" w:ascii="仿宋" w:hAnsi="仿宋" w:eastAsia="仿宋" w:cs="仿宋"/>
          <w:color w:val="auto"/>
          <w:sz w:val="24"/>
          <w:szCs w:val="24"/>
          <w:highlight w:val="none"/>
          <w:lang w:val="en-US" w:eastAsia="zh-CN"/>
        </w:rPr>
        <w:t>已缴纳的纳税证明或完税证明（包含增值税、企业所得税、营业税至少一种）；</w:t>
      </w:r>
      <w:r>
        <w:rPr>
          <w:rFonts w:hint="eastAsia" w:ascii="仿宋" w:hAnsi="仿宋" w:eastAsia="仿宋" w:cs="仿宋"/>
          <w:color w:val="auto"/>
          <w:sz w:val="24"/>
          <w:szCs w:val="24"/>
          <w:highlight w:val="none"/>
        </w:rPr>
        <w:t>（依法免税的投标人应提供相关文件证明）</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4、社会保障资金缴纳证明：</w:t>
      </w:r>
      <w:r>
        <w:rPr>
          <w:rFonts w:hint="eastAsia" w:ascii="仿宋" w:hAnsi="仿宋" w:eastAsia="仿宋" w:cs="仿宋"/>
          <w:color w:val="auto"/>
          <w:sz w:val="24"/>
          <w:szCs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szCs w:val="24"/>
          <w:highlight w:val="none"/>
        </w:rPr>
        <w:t>；（依法不需要缴纳社会保障资金的投标人应提供相关证明）</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5、提供具有履行本合同所必需的设备和专业技术能力的说明及承诺；（格式自拟，加盖投标人公章）</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6、提供参加政府采购活动前三年内在经营活动中没有重大违法记录的书面声明。（格式自拟，加盖投标人公章）</w:t>
      </w:r>
    </w:p>
    <w:p>
      <w:pPr>
        <w:pStyle w:val="40"/>
        <w:keepNext w:val="0"/>
        <w:keepLines w:val="0"/>
        <w:pageBreakBefore w:val="0"/>
        <w:kinsoku/>
        <w:overflowPunct/>
        <w:autoSpaceDE/>
        <w:autoSpaceDN/>
        <w:bidi w:val="0"/>
        <w:adjustRightInd/>
        <w:snapToGrid/>
        <w:spacing w:line="500" w:lineRule="exact"/>
        <w:ind w:firstLine="480"/>
        <w:textAlignment w:val="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（2）、特定资格条件：</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1、法定代表人或负责人参与投标时需提供法定代表人或负责人资格证明书（附法定代表人或负责人身份证复印件）；</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2、被授权人参与投标时需提供法定代表人或负责人授权委托书（附法定代表人或负责人及被授权人身份证复印件）；</w:t>
      </w:r>
    </w:p>
    <w:p>
      <w:pPr>
        <w:pStyle w:val="40"/>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3、投标保证金交纳凭证；（保证金交纳凭证复印件加盖公章）</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、单位负责人为同一人或者存在直接控股、管理关系的不同投标人，不得参加同一合同项下的政府采购活动；（提供书面承诺函，格式自拟加盖投标人公章）</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6、本项目专门面向中小企业采购；须符合《政府采购促进中小企业发展管理办法》（财库〔2020〕46号）规定的中小企业参加；(提供《中小企业声明函》，式样见投标文件格式)</w:t>
      </w:r>
    </w:p>
    <w:p>
      <w:pPr>
        <w:pStyle w:val="40"/>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、本项目不接受联合体投标</w:t>
      </w:r>
      <w:r>
        <w:rPr>
          <w:rFonts w:hint="eastAsia" w:ascii="仿宋" w:hAnsi="仿宋" w:eastAsia="仿宋" w:cs="仿宋"/>
          <w:color w:val="auto"/>
          <w:sz w:val="24"/>
          <w:szCs w:val="24"/>
          <w:highlight w:val="none"/>
          <w:lang w:eastAsia="zh-CN"/>
        </w:rPr>
        <w:t>。</w:t>
      </w:r>
    </w:p>
    <w:p>
      <w:pPr>
        <w:pStyle w:val="40"/>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default" w:ascii="仿宋" w:hAnsi="仿宋" w:eastAsia="仿宋" w:cs="仿宋"/>
          <w:color w:val="auto"/>
          <w:sz w:val="24"/>
          <w:szCs w:val="24"/>
          <w:highlight w:val="none"/>
          <w:lang w:val="en-US"/>
        </w:rPr>
        <w:t>12</w:t>
      </w:r>
      <w:r>
        <w:rPr>
          <w:rFonts w:hint="eastAsia" w:ascii="仿宋" w:hAnsi="仿宋" w:eastAsia="仿宋" w:cs="仿宋"/>
          <w:color w:val="auto"/>
          <w:sz w:val="24"/>
          <w:szCs w:val="24"/>
          <w:highlight w:val="none"/>
        </w:rPr>
        <w:t>月</w:t>
      </w:r>
      <w:r>
        <w:rPr>
          <w:rFonts w:hint="default"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default" w:ascii="仿宋" w:hAnsi="仿宋" w:eastAsia="仿宋" w:cs="仿宋"/>
          <w:color w:val="auto"/>
          <w:sz w:val="24"/>
          <w:szCs w:val="24"/>
          <w:highlight w:val="none"/>
          <w:lang w:val="en-US"/>
        </w:rPr>
        <w:t>12</w:t>
      </w:r>
      <w:r>
        <w:rPr>
          <w:rFonts w:hint="eastAsia" w:ascii="仿宋" w:hAnsi="仿宋" w:eastAsia="仿宋" w:cs="仿宋"/>
          <w:color w:val="auto"/>
          <w:sz w:val="24"/>
          <w:szCs w:val="24"/>
          <w:highlight w:val="none"/>
        </w:rPr>
        <w:t>月</w:t>
      </w:r>
      <w:r>
        <w:rPr>
          <w:rFonts w:hint="default" w:ascii="仿宋" w:hAnsi="仿宋" w:eastAsia="仿宋" w:cs="仿宋"/>
          <w:color w:val="auto"/>
          <w:sz w:val="24"/>
          <w:szCs w:val="24"/>
          <w:highlight w:val="none"/>
          <w:lang w:val="en-US"/>
        </w:rPr>
        <w:t>15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，每天上午09:00:00 至 12:00:00，下午 14:00:00 至 17:00:00 （北京时间,法定节假日除外）</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全国公共资源交易平台（陕西省 宝鸡市）</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在线获取</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0元</w:t>
      </w:r>
      <w:r>
        <w:rPr>
          <w:rFonts w:hint="eastAsia" w:ascii="仿宋" w:hAnsi="仿宋" w:eastAsia="仿宋" w:cs="仿宋"/>
          <w:color w:val="auto"/>
          <w:sz w:val="24"/>
          <w:szCs w:val="24"/>
          <w:highlight w:val="none"/>
        </w:rPr>
        <w:t xml:space="preserve"> </w:t>
      </w:r>
    </w:p>
    <w:p>
      <w:pPr>
        <w:pStyle w:val="40"/>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四、提交投标文件截止时间、开标时间和地点</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rPr>
        <w:t>202</w:t>
      </w:r>
      <w:r>
        <w:rPr>
          <w:rFonts w:hint="default"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年</w:t>
      </w:r>
      <w:r>
        <w:rPr>
          <w:rFonts w:hint="default"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月</w:t>
      </w:r>
      <w:r>
        <w:rPr>
          <w:rFonts w:hint="default"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default"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分00秒</w:t>
      </w:r>
      <w:r>
        <w:rPr>
          <w:rFonts w:hint="eastAsia" w:ascii="仿宋" w:hAnsi="仿宋" w:eastAsia="仿宋" w:cs="仿宋"/>
          <w:color w:val="auto"/>
          <w:sz w:val="24"/>
          <w:szCs w:val="24"/>
          <w:highlight w:val="none"/>
        </w:rPr>
        <w:t>（北京时间）</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提交投标文件</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全国公共资源交易平台（陕西省 宝鸡市）</w:t>
      </w:r>
      <w:r>
        <w:rPr>
          <w:rFonts w:hint="eastAsia" w:ascii="仿宋" w:hAnsi="仿宋" w:eastAsia="仿宋" w:cs="仿宋"/>
          <w:color w:val="auto"/>
          <w:sz w:val="24"/>
          <w:szCs w:val="24"/>
          <w:highlight w:val="none"/>
        </w:rPr>
        <w:t xml:space="preserve"> </w:t>
      </w:r>
    </w:p>
    <w:p>
      <w:pPr>
        <w:pStyle w:val="40"/>
        <w:keepNext w:val="0"/>
        <w:keepLines w:val="0"/>
        <w:pageBreakBefore w:val="0"/>
        <w:kinsoku/>
        <w:overflowPunct/>
        <w:autoSpaceDE/>
        <w:autoSpaceDN/>
        <w:bidi w:val="0"/>
        <w:adjustRightInd/>
        <w:snapToGrid/>
        <w:spacing w:line="50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开标地点：</w:t>
      </w:r>
      <w:r>
        <w:rPr>
          <w:rFonts w:hint="eastAsia" w:ascii="仿宋" w:hAnsi="仿宋" w:eastAsia="仿宋" w:cs="仿宋"/>
          <w:color w:val="auto"/>
          <w:sz w:val="24"/>
          <w:szCs w:val="24"/>
          <w:highlight w:val="none"/>
          <w:lang w:eastAsia="zh-CN"/>
        </w:rPr>
        <w:t>全国公共资源交易平台（陕西省 宝鸡市）</w:t>
      </w:r>
      <w:r>
        <w:rPr>
          <w:rFonts w:hint="eastAsia" w:ascii="仿宋" w:hAnsi="仿宋" w:eastAsia="仿宋" w:cs="仿宋"/>
          <w:color w:val="auto"/>
          <w:sz w:val="24"/>
          <w:szCs w:val="24"/>
          <w:highlight w:val="none"/>
          <w:lang w:val="en-US" w:eastAsia="zh-CN"/>
        </w:rPr>
        <w:t>不见面开标大厅</w:t>
      </w:r>
    </w:p>
    <w:p>
      <w:pPr>
        <w:pStyle w:val="40"/>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五、公告期限</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40"/>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六、其他补充事宜</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1、请供应商按照陕西省财政厅关于政府采购供应商注册登记有关事项的通知中的要求，通过陕西省政府采购网（http://www.ccgp-shaanxi.gov.cn/）注册登记加入陕西省政府采购供应商库；</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使用捆绑陕西省公共资源交易平台的CA锁登录电子交易平台，通过政府采购系统企业端进入，点击“我要投标”并完善相关投标信息；网上报名成功后，须至采购代理机构进行报名确认（确认时间：9：00—12：00，14：00--17：00（节假日除外）），同时提供报名回执单、有效的单位介绍信、被介绍人身份证原件及复印件（加盖供应商鲜章），否则无法完成后续流程；</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3、供应商须在获取投标文件时限内登录全国公共资源交易平台（陕西省·宝鸡市）系统，直接下载招标文件。逾期下载通道将关闭，未及时下载招标文件将会影响后续开评标活动。</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4、本项目采用不见面开标的电子化投标方式，相关操作流程详见全国公共资源交易平台（陕西省）网站[服务指南-下载专区]中的</w:t>
      </w:r>
      <w:r>
        <w:rPr>
          <w:rFonts w:hint="eastAsia" w:ascii="仿宋" w:hAnsi="仿宋" w:eastAsia="仿宋" w:cs="仿宋"/>
          <w:b w:val="0"/>
          <w:bCs w:val="0"/>
          <w:snapToGrid w:val="0"/>
          <w:sz w:val="24"/>
          <w:szCs w:val="24"/>
          <w:highlight w:val="none"/>
        </w:rPr>
        <w:t>《</w:t>
      </w:r>
      <w:r>
        <w:rPr>
          <w:rFonts w:hint="eastAsia" w:ascii="仿宋" w:hAnsi="仿宋" w:eastAsia="仿宋" w:cs="仿宋"/>
          <w:b w:val="0"/>
          <w:bCs w:val="0"/>
          <w:snapToGrid w:val="0"/>
          <w:sz w:val="24"/>
          <w:szCs w:val="24"/>
          <w:highlight w:val="none"/>
          <w:lang w:val="en-US" w:eastAsia="zh-CN"/>
        </w:rPr>
        <w:t>政府采购投标单位</w:t>
      </w:r>
      <w:r>
        <w:rPr>
          <w:rFonts w:hint="eastAsia" w:ascii="仿宋" w:hAnsi="仿宋" w:eastAsia="仿宋" w:cs="仿宋"/>
          <w:b w:val="0"/>
          <w:bCs w:val="0"/>
          <w:snapToGrid w:val="0"/>
          <w:sz w:val="24"/>
          <w:szCs w:val="24"/>
          <w:highlight w:val="none"/>
        </w:rPr>
        <w:t>操作手册》</w:t>
      </w:r>
      <w:r>
        <w:rPr>
          <w:rFonts w:hint="eastAsia" w:ascii="仿宋" w:hAnsi="仿宋" w:eastAsia="仿宋" w:cs="仿宋"/>
          <w:b w:val="0"/>
          <w:bCs w:val="0"/>
          <w:snapToGrid w:val="0"/>
          <w:sz w:val="24"/>
          <w:szCs w:val="24"/>
          <w:highlight w:val="none"/>
          <w:lang w:val="en-US" w:eastAsia="zh-CN"/>
        </w:rPr>
        <w:t>及</w:t>
      </w:r>
      <w:r>
        <w:rPr>
          <w:rFonts w:hint="eastAsia" w:ascii="仿宋" w:hAnsi="仿宋" w:eastAsia="仿宋" w:cs="仿宋"/>
          <w:b w:val="0"/>
          <w:bCs w:val="0"/>
          <w:snapToGrid w:val="0"/>
          <w:sz w:val="24"/>
          <w:szCs w:val="24"/>
          <w:highlight w:val="none"/>
        </w:rPr>
        <w:t>《</w:t>
      </w:r>
      <w:r>
        <w:rPr>
          <w:rFonts w:hint="eastAsia" w:ascii="仿宋" w:hAnsi="仿宋" w:eastAsia="仿宋" w:cs="仿宋"/>
          <w:b w:val="0"/>
          <w:bCs w:val="0"/>
          <w:snapToGrid w:val="0"/>
          <w:sz w:val="24"/>
          <w:szCs w:val="24"/>
          <w:highlight w:val="none"/>
          <w:lang w:val="en-US" w:eastAsia="zh-CN"/>
        </w:rPr>
        <w:t>陕西省公共资源交易中心政府采购项目远程不见面开标操作手册（供应商版）</w:t>
      </w:r>
      <w:r>
        <w:rPr>
          <w:rFonts w:hint="eastAsia" w:ascii="仿宋" w:hAnsi="仿宋" w:eastAsia="仿宋" w:cs="仿宋"/>
          <w:b w:val="0"/>
          <w:bCs w:val="0"/>
          <w:snapToGrid w:val="0"/>
          <w:sz w:val="24"/>
          <w:szCs w:val="24"/>
          <w:highlight w:val="none"/>
        </w:rPr>
        <w:t>》</w:t>
      </w:r>
      <w:r>
        <w:rPr>
          <w:rFonts w:hint="eastAsia" w:ascii="仿宋" w:hAnsi="仿宋" w:eastAsia="仿宋" w:cs="仿宋"/>
          <w:b w:val="0"/>
          <w:bCs w:val="0"/>
          <w:snapToGrid w:val="0"/>
          <w:sz w:val="24"/>
          <w:szCs w:val="24"/>
          <w:highlight w:val="none"/>
          <w:lang w:eastAsia="zh-CN"/>
        </w:rPr>
        <w:t>。</w:t>
      </w:r>
      <w:r>
        <w:rPr>
          <w:rFonts w:hint="eastAsia" w:ascii="仿宋" w:hAnsi="仿宋" w:eastAsia="仿宋" w:cs="仿宋"/>
          <w:b w:val="0"/>
          <w:bCs w:val="0"/>
          <w:color w:val="auto"/>
          <w:sz w:val="24"/>
          <w:szCs w:val="24"/>
          <w:highlight w:val="none"/>
          <w:lang w:val="en-US" w:eastAsia="zh-CN"/>
        </w:rPr>
        <w:t>电子招标文件技术支持：4009280095、4009980000。</w:t>
      </w:r>
    </w:p>
    <w:p>
      <w:pPr>
        <w:pStyle w:val="40"/>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七、对本次招标提出询问，请按以下方式联系。</w:t>
      </w:r>
    </w:p>
    <w:p>
      <w:pPr>
        <w:pStyle w:val="40"/>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名称：宝鸡市凤翔区医院</w:t>
      </w:r>
    </w:p>
    <w:p>
      <w:pPr>
        <w:pStyle w:val="40"/>
        <w:keepNext w:val="0"/>
        <w:keepLines w:val="0"/>
        <w:pageBreakBefore w:val="0"/>
        <w:kinsoku/>
        <w:overflowPunct/>
        <w:autoSpaceDE/>
        <w:autoSpaceDN/>
        <w:bidi w:val="0"/>
        <w:adjustRightInd/>
        <w:snapToGrid/>
        <w:spacing w:line="50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宝鸡市凤翔区</w:t>
      </w:r>
    </w:p>
    <w:p>
      <w:pPr>
        <w:pStyle w:val="40"/>
        <w:keepNext w:val="0"/>
        <w:keepLines w:val="0"/>
        <w:pageBreakBefore w:val="0"/>
        <w:kinsoku/>
        <w:overflowPunct/>
        <w:autoSpaceDE/>
        <w:autoSpaceDN/>
        <w:bidi w:val="0"/>
        <w:adjustRightInd/>
        <w:snapToGrid/>
        <w:spacing w:line="50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0917-72</w:t>
      </w:r>
      <w:r>
        <w:rPr>
          <w:rFonts w:hint="eastAsia" w:ascii="仿宋" w:hAnsi="仿宋" w:eastAsia="仿宋" w:cs="仿宋"/>
          <w:color w:val="auto"/>
          <w:sz w:val="24"/>
          <w:szCs w:val="24"/>
          <w:highlight w:val="none"/>
          <w:lang w:val="en-US" w:eastAsia="zh-CN"/>
        </w:rPr>
        <w:t>18066</w:t>
      </w:r>
    </w:p>
    <w:p>
      <w:pPr>
        <w:pStyle w:val="40"/>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名称：华招广和项目管理有限公司</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地址：西安市朱雀大街南段1号汇成天玺C座18层</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联系方式：029-87592321</w:t>
      </w:r>
    </w:p>
    <w:p>
      <w:pPr>
        <w:pStyle w:val="40"/>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3.项目联系方式 </w:t>
      </w:r>
    </w:p>
    <w:p>
      <w:pPr>
        <w:pStyle w:val="40"/>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马</w:t>
      </w:r>
      <w:r>
        <w:rPr>
          <w:rFonts w:hint="eastAsia" w:ascii="仿宋" w:hAnsi="仿宋" w:eastAsia="仿宋" w:cs="仿宋"/>
          <w:color w:val="auto"/>
          <w:sz w:val="24"/>
          <w:szCs w:val="24"/>
          <w:highlight w:val="none"/>
          <w:lang w:eastAsia="zh-CN"/>
        </w:rPr>
        <w:t>工</w:t>
      </w:r>
    </w:p>
    <w:p>
      <w:pPr>
        <w:pStyle w:val="40"/>
        <w:keepNext w:val="0"/>
        <w:keepLines w:val="0"/>
        <w:pageBreakBefore w:val="0"/>
        <w:kinsoku/>
        <w:overflowPunct/>
        <w:autoSpaceDE/>
        <w:autoSpaceDN/>
        <w:bidi w:val="0"/>
        <w:adjustRightInd/>
        <w:snapToGrid/>
        <w:spacing w:line="500" w:lineRule="exact"/>
        <w:ind w:firstLine="48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电话：029-87592321</w:t>
      </w:r>
    </w:p>
    <w:p>
      <w:pPr>
        <w:keepNext w:val="0"/>
        <w:keepLines w:val="0"/>
        <w:pageBreakBefore w:val="0"/>
        <w:kinsoku/>
        <w:overflowPunct/>
        <w:autoSpaceDE/>
        <w:autoSpaceDN/>
        <w:bidi w:val="0"/>
        <w:adjustRightInd/>
        <w:snapToGrid/>
        <w:spacing w:line="560" w:lineRule="exact"/>
        <w:textAlignment w:val="auto"/>
        <w:rPr>
          <w:rFonts w:ascii="仿宋" w:hAnsi="仿宋" w:eastAsia="仿宋" w:cs="仿宋"/>
          <w:color w:val="auto"/>
          <w:szCs w:val="24"/>
          <w:highlight w:val="none"/>
        </w:rPr>
      </w:pPr>
      <w:bookmarkStart w:id="5" w:name="_Toc458617730"/>
      <w:bookmarkStart w:id="6" w:name="_Toc458617453"/>
      <w:r>
        <w:rPr>
          <w:rFonts w:ascii="仿宋" w:hAnsi="仿宋" w:eastAsia="仿宋" w:cs="仿宋"/>
          <w:b/>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-156210</wp:posOffset>
                </wp:positionH>
                <wp:positionV relativeFrom="paragraph">
                  <wp:posOffset>41275</wp:posOffset>
                </wp:positionV>
                <wp:extent cx="6213475" cy="752475"/>
                <wp:effectExtent l="4445" t="4445" r="11430" b="5080"/>
                <wp:wrapSquare wrapText="bothSides"/>
                <wp:docPr id="1028" name="Text Box 2"/>
                <wp:cNvGraphicFramePr/>
                <a:graphic xmlns:a="http://schemas.openxmlformats.org/drawingml/2006/main">
                  <a:graphicData uri="http://schemas.microsoft.com/office/word/2010/wordprocessingShape">
                    <wps:wsp>
                      <wps:cNvSpPr/>
                      <wps:spPr>
                        <a:xfrm>
                          <a:off x="0" y="0"/>
                          <a:ext cx="6213475" cy="752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rPr>
                                <w:rFonts w:ascii="仿宋" w:hAnsi="仿宋" w:eastAsia="仿宋" w:cs="仿宋"/>
                                <w:b/>
                                <w:sz w:val="28"/>
                                <w:szCs w:val="28"/>
                              </w:rPr>
                            </w:pPr>
                            <w:r>
                              <w:rPr>
                                <w:rFonts w:hint="eastAsia" w:ascii="仿宋" w:hAnsi="仿宋" w:eastAsia="仿宋" w:cs="仿宋"/>
                                <w:b/>
                                <w:sz w:val="28"/>
                                <w:szCs w:val="28"/>
                              </w:rPr>
                              <w:t>温馨提示：购买招标文件后，请仔细阅读，特别注意粗体及划线部分，如有疑问请来电咨询。</w:t>
                            </w:r>
                          </w:p>
                        </w:txbxContent>
                      </wps:txbx>
                      <wps:bodyPr wrap="square" upright="1">
                        <a:noAutofit/>
                      </wps:bodyPr>
                    </wps:wsp>
                  </a:graphicData>
                </a:graphic>
              </wp:anchor>
            </w:drawing>
          </mc:Choice>
          <mc:Fallback>
            <w:pict>
              <v:rect id="Text Box 2" o:spid="_x0000_s1026" o:spt="1" style="position:absolute;left:0pt;margin-left:-12.3pt;margin-top:3.25pt;height:59.25pt;width:489.25pt;mso-wrap-distance-bottom:0pt;mso-wrap-distance-left:9pt;mso-wrap-distance-right:9pt;mso-wrap-distance-top:0pt;z-index:251659264;mso-width-relative:page;mso-height-relative:page;" fillcolor="#FFFFFF" filled="t" stroked="t" coordsize="21600,21600" o:gfxdata="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YYgNNcAAAAJAQAADwAAAAAAAAABACAAAAAi&#10;AAAAZHJzL2Rvd25yZXYueG1sUEsBAhQAFAAAAAgAh07iQJIDeg4LAgAAVgQAAA4AAAAAAAAAAQAg&#10;AAAAJgEAAGRycy9lMm9Eb2MueG1sUEsFBgAAAAAGAAYAWQEAAKMFAAAAAA==&#10;">
                <v:fill on="t" focussize="0,0"/>
                <v:stroke color="#000000" joinstyle="miter"/>
                <v:imagedata o:title=""/>
                <o:lock v:ext="edit" aspectratio="f"/>
                <v:textbox>
                  <w:txbxContent>
                    <w:p>
                      <w:pPr>
                        <w:spacing w:line="560" w:lineRule="exact"/>
                        <w:rPr>
                          <w:rFonts w:ascii="仿宋" w:hAnsi="仿宋" w:eastAsia="仿宋" w:cs="仿宋"/>
                          <w:b/>
                          <w:sz w:val="28"/>
                          <w:szCs w:val="28"/>
                        </w:rPr>
                      </w:pPr>
                      <w:r>
                        <w:rPr>
                          <w:rFonts w:hint="eastAsia" w:ascii="仿宋" w:hAnsi="仿宋" w:eastAsia="仿宋" w:cs="仿宋"/>
                          <w:b/>
                          <w:sz w:val="28"/>
                          <w:szCs w:val="28"/>
                        </w:rPr>
                        <w:t>温馨提示：购买招标文件后，请仔细阅读，特别注意粗体及划线部分，如有疑问请来电咨询。</w:t>
                      </w:r>
                    </w:p>
                  </w:txbxContent>
                </v:textbox>
                <w10:wrap type="square"/>
              </v:rect>
            </w:pict>
          </mc:Fallback>
        </mc:AlternateContent>
      </w:r>
      <w:r>
        <w:rPr>
          <w:rFonts w:hint="eastAsia" w:ascii="仿宋" w:hAnsi="仿宋" w:eastAsia="仿宋" w:cs="仿宋"/>
          <w:color w:val="auto"/>
          <w:szCs w:val="24"/>
          <w:highlight w:val="none"/>
        </w:rPr>
        <w:br w:type="page"/>
      </w:r>
    </w:p>
    <w:p>
      <w:pPr>
        <w:pStyle w:val="3"/>
        <w:spacing w:line="560" w:lineRule="exact"/>
        <w:jc w:val="center"/>
        <w:rPr>
          <w:rFonts w:ascii="仿宋" w:hAnsi="仿宋" w:eastAsia="仿宋" w:cs="仿宋"/>
          <w:color w:val="auto"/>
          <w:highlight w:val="none"/>
        </w:rPr>
      </w:pPr>
      <w:bookmarkStart w:id="7" w:name="_Toc30520"/>
      <w:r>
        <w:rPr>
          <w:rFonts w:hint="eastAsia" w:ascii="仿宋" w:hAnsi="仿宋" w:eastAsia="仿宋" w:cs="仿宋"/>
          <w:color w:val="auto"/>
          <w:highlight w:val="none"/>
        </w:rPr>
        <w:t>第二章  投标人须知</w:t>
      </w:r>
      <w:bookmarkEnd w:id="5"/>
      <w:bookmarkEnd w:id="6"/>
      <w:bookmarkEnd w:id="7"/>
    </w:p>
    <w:p>
      <w:pPr>
        <w:pStyle w:val="4"/>
        <w:pageBreakBefore w:val="0"/>
        <w:bidi w:val="0"/>
        <w:spacing w:line="560" w:lineRule="exact"/>
        <w:jc w:val="center"/>
        <w:textAlignment w:val="auto"/>
        <w:rPr>
          <w:rFonts w:ascii="仿宋" w:hAnsi="仿宋" w:eastAsia="仿宋" w:cs="仿宋"/>
          <w:color w:val="auto"/>
          <w:sz w:val="15"/>
          <w:szCs w:val="15"/>
          <w:highlight w:val="none"/>
        </w:rPr>
      </w:pPr>
      <w:bookmarkStart w:id="8" w:name="_Toc28725"/>
      <w:bookmarkStart w:id="9" w:name="_Toc458617731"/>
      <w:bookmarkStart w:id="10" w:name="_Toc458617454"/>
      <w:r>
        <w:rPr>
          <w:rFonts w:hint="eastAsia" w:ascii="仿宋" w:hAnsi="仿宋" w:eastAsia="仿宋" w:cs="仿宋"/>
          <w:color w:val="auto"/>
          <w:sz w:val="28"/>
          <w:szCs w:val="28"/>
          <w:highlight w:val="none"/>
        </w:rPr>
        <w:t>一、投标人须知前附表</w:t>
      </w:r>
      <w:bookmarkEnd w:id="8"/>
      <w:bookmarkEnd w:id="9"/>
      <w:bookmarkEnd w:id="10"/>
    </w:p>
    <w:tbl>
      <w:tblPr>
        <w:tblStyle w:val="22"/>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pageBreakBefore w:val="0"/>
              <w:bidi w:val="0"/>
              <w:spacing w:line="560" w:lineRule="exact"/>
              <w:jc w:val="center"/>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552" w:type="dxa"/>
            <w:vAlign w:val="center"/>
          </w:tcPr>
          <w:p>
            <w:pPr>
              <w:pageBreakBefore w:val="0"/>
              <w:bidi w:val="0"/>
              <w:spacing w:line="560" w:lineRule="exact"/>
              <w:jc w:val="center"/>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条款名称</w:t>
            </w:r>
          </w:p>
        </w:tc>
        <w:tc>
          <w:tcPr>
            <w:tcW w:w="6195" w:type="dxa"/>
            <w:vAlign w:val="center"/>
          </w:tcPr>
          <w:p>
            <w:pPr>
              <w:pageBreakBefore w:val="0"/>
              <w:bidi w:val="0"/>
              <w:spacing w:line="560" w:lineRule="exact"/>
              <w:jc w:val="center"/>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采购人</w:t>
            </w:r>
          </w:p>
        </w:tc>
        <w:tc>
          <w:tcPr>
            <w:tcW w:w="6195" w:type="dxa"/>
          </w:tcPr>
          <w:p>
            <w:pPr>
              <w:pageBreakBefore w:val="0"/>
              <w:bidi w:val="0"/>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宝鸡市凤翔区医院</w:t>
            </w:r>
          </w:p>
          <w:p>
            <w:pPr>
              <w:pageBreakBefore w:val="0"/>
              <w:bidi w:val="0"/>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lang w:eastAsia="zh-CN"/>
              </w:rPr>
              <w:t>宝鸡市凤翔区</w:t>
            </w:r>
          </w:p>
          <w:p>
            <w:pPr>
              <w:pageBreakBefore w:val="0"/>
              <w:tabs>
                <w:tab w:val="left" w:pos="3898"/>
              </w:tabs>
              <w:bidi w:val="0"/>
              <w:spacing w:line="560" w:lineRule="exact"/>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eastAsia="zh-CN"/>
              </w:rPr>
              <w:t>0917-721</w:t>
            </w:r>
            <w:r>
              <w:rPr>
                <w:rFonts w:hint="eastAsia" w:ascii="仿宋" w:hAnsi="仿宋" w:eastAsia="仿宋" w:cs="仿宋"/>
                <w:color w:val="auto"/>
                <w:szCs w:val="24"/>
                <w:highlight w:val="none"/>
                <w:lang w:val="en-US" w:eastAsia="zh-CN"/>
              </w:rPr>
              <w:t>8066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采购代理机构</w:t>
            </w:r>
          </w:p>
        </w:tc>
        <w:tc>
          <w:tcPr>
            <w:tcW w:w="6195" w:type="dxa"/>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名  称：华招广和项目管理有限公司</w:t>
            </w:r>
          </w:p>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地  址：西安市朱雀大街南段1号汇成天玺C座18层</w:t>
            </w:r>
          </w:p>
          <w:p>
            <w:pPr>
              <w:pageBreakBefore w:val="0"/>
              <w:bidi w:val="0"/>
              <w:spacing w:line="560" w:lineRule="exact"/>
              <w:textAlignment w:val="auto"/>
              <w:rPr>
                <w:rFonts w:ascii="仿宋" w:hAnsi="仿宋" w:eastAsia="仿宋" w:cs="仿宋"/>
                <w:color w:val="auto"/>
                <w:szCs w:val="24"/>
                <w:highlight w:val="none"/>
                <w:u w:val="wavyHeavy" w:color="FF0000"/>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val="en-US" w:eastAsia="zh-CN"/>
              </w:rPr>
              <w:t>马</w:t>
            </w:r>
            <w:r>
              <w:rPr>
                <w:rFonts w:hint="eastAsia" w:ascii="仿宋" w:hAnsi="仿宋" w:eastAsia="仿宋" w:cs="仿宋"/>
                <w:color w:val="auto"/>
                <w:szCs w:val="24"/>
                <w:highlight w:val="none"/>
              </w:rPr>
              <w:t>工</w:t>
            </w:r>
          </w:p>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监督管理机构</w:t>
            </w:r>
          </w:p>
        </w:tc>
        <w:tc>
          <w:tcPr>
            <w:tcW w:w="6195" w:type="dxa"/>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宝鸡市凤翔区财政局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项目名称</w:t>
            </w:r>
          </w:p>
        </w:tc>
        <w:tc>
          <w:tcPr>
            <w:tcW w:w="6195" w:type="dxa"/>
          </w:tcPr>
          <w:p>
            <w:pPr>
              <w:pageBreakBefore w:val="0"/>
              <w:bidi w:val="0"/>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凤翔区医院财务管理相关软件采购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项目编号</w:t>
            </w:r>
          </w:p>
        </w:tc>
        <w:tc>
          <w:tcPr>
            <w:tcW w:w="6195" w:type="dxa"/>
          </w:tcPr>
          <w:p>
            <w:pPr>
              <w:pageBreakBefore w:val="0"/>
              <w:bidi w:val="0"/>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HZGH-2023-059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资金性质</w:t>
            </w:r>
          </w:p>
        </w:tc>
        <w:tc>
          <w:tcPr>
            <w:tcW w:w="6195" w:type="dxa"/>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项目预算</w:t>
            </w:r>
          </w:p>
        </w:tc>
        <w:tc>
          <w:tcPr>
            <w:tcW w:w="6195" w:type="dxa"/>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60</w:t>
            </w:r>
            <w:r>
              <w:rPr>
                <w:rFonts w:hint="eastAsia" w:ascii="仿宋" w:hAnsi="仿宋" w:eastAsia="仿宋" w:cs="仿宋"/>
                <w:color w:val="auto"/>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8</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项目用途</w:t>
            </w:r>
          </w:p>
        </w:tc>
        <w:tc>
          <w:tcPr>
            <w:tcW w:w="6195" w:type="dxa"/>
          </w:tcPr>
          <w:p>
            <w:pPr>
              <w:pageBreakBefore w:val="0"/>
              <w:bidi w:val="0"/>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9</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采购内容和要求</w:t>
            </w:r>
          </w:p>
        </w:tc>
        <w:tc>
          <w:tcPr>
            <w:tcW w:w="6195" w:type="dxa"/>
          </w:tcPr>
          <w:p>
            <w:pPr>
              <w:pStyle w:val="40"/>
              <w:pageBreakBefore w:val="0"/>
              <w:bidi w:val="0"/>
              <w:spacing w:line="560" w:lineRule="exact"/>
              <w:ind w:firstLine="0" w:firstLineChars="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凤翔区医院财务管理相关软件采购</w:t>
            </w:r>
            <w:r>
              <w:rPr>
                <w:rFonts w:hint="eastAsia" w:ascii="仿宋" w:hAnsi="仿宋" w:eastAsia="仿宋" w:cs="仿宋"/>
                <w:color w:val="auto"/>
                <w:sz w:val="24"/>
                <w:szCs w:val="24"/>
                <w:highlight w:val="none"/>
              </w:rPr>
              <w:t>（具体要求详见招标文件第三章</w:t>
            </w:r>
            <w:r>
              <w:rPr>
                <w:rFonts w:hint="eastAsia" w:ascii="仿宋" w:hAnsi="仿宋" w:eastAsia="仿宋" w:cs="仿宋"/>
                <w:color w:val="auto"/>
                <w:sz w:val="24"/>
                <w:szCs w:val="24"/>
                <w:highlight w:val="none"/>
                <w:lang w:val="en-US" w:eastAsia="zh-CN" w:bidi="ar-SA"/>
              </w:rPr>
              <w:t>采购内容及技术要求</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10</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投标人</w:t>
            </w:r>
          </w:p>
        </w:tc>
        <w:tc>
          <w:tcPr>
            <w:tcW w:w="6195" w:type="dxa"/>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响应</w:t>
            </w:r>
            <w:r>
              <w:rPr>
                <w:color w:val="auto"/>
                <w:highlight w:val="none"/>
              </w:rPr>
              <w:fldChar w:fldCharType="begin"/>
            </w:r>
            <w:r>
              <w:rPr>
                <w:color w:val="auto"/>
                <w:highlight w:val="none"/>
              </w:rPr>
              <w:instrText xml:space="preserve"> HYPERLINK "http://baike.baidu.com/view/8707.htm" \t "_blank" </w:instrText>
            </w:r>
            <w:r>
              <w:rPr>
                <w:color w:val="auto"/>
                <w:highlight w:val="none"/>
              </w:rPr>
              <w:fldChar w:fldCharType="separate"/>
            </w:r>
            <w:r>
              <w:rPr>
                <w:rFonts w:hint="eastAsia" w:ascii="仿宋" w:hAnsi="仿宋" w:eastAsia="仿宋" w:cs="仿宋"/>
                <w:color w:val="auto"/>
                <w:szCs w:val="24"/>
                <w:highlight w:val="none"/>
              </w:rPr>
              <w:t>招标</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11</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投标人资格要求</w:t>
            </w:r>
          </w:p>
        </w:tc>
        <w:tc>
          <w:tcPr>
            <w:tcW w:w="6195" w:type="dxa"/>
          </w:tcPr>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40"/>
              <w:pageBreakBefore w:val="0"/>
              <w:wordWrap w:val="0"/>
              <w:topLinePunct/>
              <w:bidi w:val="0"/>
              <w:spacing w:line="560" w:lineRule="exac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color w:val="auto"/>
                <w:sz w:val="24"/>
                <w:szCs w:val="24"/>
                <w:highlight w:val="none"/>
                <w:lang w:eastAsia="zh-CN"/>
              </w:rPr>
              <w:t>；</w:t>
            </w:r>
          </w:p>
          <w:p>
            <w:pPr>
              <w:pStyle w:val="40"/>
              <w:pageBreakBefore w:val="0"/>
              <w:wordWrap w:val="0"/>
              <w:topLinePunct/>
              <w:bidi w:val="0"/>
              <w:spacing w:line="560" w:lineRule="exac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2、财务状况报告：提供具有财务审计资质单位出具的</w:t>
            </w:r>
            <w:r>
              <w:rPr>
                <w:rFonts w:hint="eastAsia" w:ascii="仿宋" w:hAnsi="仿宋" w:eastAsia="仿宋" w:cs="仿宋"/>
                <w:color w:val="auto"/>
                <w:sz w:val="24"/>
                <w:szCs w:val="24"/>
                <w:highlight w:val="none"/>
                <w:lang w:eastAsia="zh-CN"/>
              </w:rPr>
              <w:t>2021年度或2022年度财务报告</w:t>
            </w:r>
            <w:r>
              <w:rPr>
                <w:rFonts w:hint="eastAsia" w:ascii="仿宋" w:hAnsi="仿宋" w:eastAsia="仿宋" w:cs="仿宋"/>
                <w:color w:val="auto"/>
                <w:sz w:val="24"/>
                <w:szCs w:val="24"/>
                <w:highlight w:val="none"/>
              </w:rPr>
              <w:t>（成立时间至开标时间不足一年的可提供成立后任意时段的资产负债表）或开标前六个月内其基本账户银行出具的资信证明（附开户许可证或基本账户证明）或政府采购信用担保机构出具的投标担保函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color w:val="auto"/>
                <w:sz w:val="24"/>
                <w:szCs w:val="24"/>
                <w:highlight w:val="none"/>
                <w:lang w:eastAsia="zh-CN"/>
              </w:rPr>
              <w:t>；</w:t>
            </w:r>
          </w:p>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3、税收缴纳证明：</w:t>
            </w:r>
            <w:r>
              <w:rPr>
                <w:rFonts w:hint="eastAsia" w:ascii="仿宋" w:hAnsi="仿宋" w:eastAsia="仿宋" w:cs="仿宋"/>
                <w:color w:val="auto"/>
                <w:sz w:val="24"/>
                <w:szCs w:val="24"/>
                <w:highlight w:val="none"/>
                <w:lang w:eastAsia="zh-CN"/>
              </w:rPr>
              <w:t>提供2022年1月1日至今任意一个月</w:t>
            </w:r>
            <w:r>
              <w:rPr>
                <w:rFonts w:hint="eastAsia" w:ascii="仿宋" w:hAnsi="仿宋" w:eastAsia="仿宋" w:cs="仿宋"/>
                <w:color w:val="auto"/>
                <w:sz w:val="24"/>
                <w:szCs w:val="24"/>
                <w:highlight w:val="none"/>
                <w:lang w:val="en-US" w:eastAsia="zh-CN"/>
              </w:rPr>
              <w:t>已缴纳的纳税证明或完税证明（包含增值税、企业所得税、营业税至少一种）；</w:t>
            </w:r>
            <w:r>
              <w:rPr>
                <w:rFonts w:hint="eastAsia" w:ascii="仿宋" w:hAnsi="仿宋" w:eastAsia="仿宋" w:cs="仿宋"/>
                <w:color w:val="auto"/>
                <w:sz w:val="24"/>
                <w:szCs w:val="24"/>
                <w:highlight w:val="none"/>
              </w:rPr>
              <w:t>（依法免税的投标人应提供相关文件证明）</w:t>
            </w:r>
          </w:p>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4、社会保障资金缴纳证明：</w:t>
            </w:r>
            <w:r>
              <w:rPr>
                <w:rFonts w:hint="eastAsia" w:ascii="仿宋" w:hAnsi="仿宋" w:eastAsia="仿宋" w:cs="仿宋"/>
                <w:color w:val="auto"/>
                <w:sz w:val="24"/>
                <w:szCs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szCs w:val="24"/>
                <w:highlight w:val="none"/>
              </w:rPr>
              <w:t xml:space="preserve">；（依法不需要缴纳社会保障资金的投标人应提供相关证明） </w:t>
            </w:r>
          </w:p>
          <w:p>
            <w:pPr>
              <w:pStyle w:val="40"/>
              <w:pageBreakBefore w:val="0"/>
              <w:wordWrap w:val="0"/>
              <w:topLinePunct/>
              <w:bidi w:val="0"/>
              <w:spacing w:line="560" w:lineRule="exac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5、提供具有履行本合同所必需的设备和专业技术能力的说明及承诺；（格式自拟，加盖投标人公章）</w:t>
            </w:r>
          </w:p>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6、提供参加政府采购活动前三年内在经营活动中没有重大违法记录的书面声明。（格式自拟，加盖投标人公章）</w:t>
            </w:r>
          </w:p>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（2）、特定资格条件：</w:t>
            </w:r>
          </w:p>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1、法定代表人或负责人参与投标时需提供法定代表人或负责人资格证明书（附法定代表人或负责人身份证复印件）；</w:t>
            </w:r>
          </w:p>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2、被授权人参与投标时需提供法定代表人或负责人授权委托书（附法定代表人或负责人及被授权人身份证复印件）；</w:t>
            </w:r>
          </w:p>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3、投标保证金交纳凭证；（保证金交纳凭证复印件加盖公章）           </w:t>
            </w:r>
          </w:p>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40"/>
              <w:pageBreakBefore w:val="0"/>
              <w:wordWrap w:val="0"/>
              <w:topLinePunct/>
              <w:bidi w:val="0"/>
              <w:spacing w:line="56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5、单位负责人为同一人或者存在直接控股、管理关系的不同投标人，不得参加同一合同项下的政府采购活动；（提供书面承诺函，格式自拟加盖投标人公章）</w:t>
            </w:r>
          </w:p>
          <w:p>
            <w:pPr>
              <w:pageBreakBefore w:val="0"/>
              <w:bidi w:val="0"/>
              <w:spacing w:line="560" w:lineRule="exact"/>
              <w:ind w:firstLine="240" w:firstLine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本项目专门面向中小企业采购；须符合《政府采购促进中小企业发展管理办法》（财库〔2020〕46号）规定的中小企业参加；(提供《中小企业声明函》，式样见投标文件格式)</w:t>
            </w:r>
          </w:p>
          <w:p>
            <w:pPr>
              <w:pageBreakBefore w:val="0"/>
              <w:bidi w:val="0"/>
              <w:spacing w:line="560" w:lineRule="exact"/>
              <w:ind w:firstLine="240" w:firstLineChars="1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本项目不接受联合体投标</w:t>
            </w:r>
            <w:r>
              <w:rPr>
                <w:rFonts w:hint="eastAsia" w:ascii="仿宋" w:hAnsi="仿宋" w:eastAsia="仿宋" w:cs="仿宋"/>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12</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交货期、交货地点</w:t>
            </w:r>
          </w:p>
        </w:tc>
        <w:tc>
          <w:tcPr>
            <w:tcW w:w="6195" w:type="dxa"/>
          </w:tcPr>
          <w:p>
            <w:pPr>
              <w:pageBreakBefore w:val="0"/>
              <w:bidi w:val="0"/>
              <w:spacing w:line="560" w:lineRule="exact"/>
              <w:textAlignment w:val="auto"/>
              <w:rPr>
                <w:rFonts w:ascii="仿宋" w:hAnsi="仿宋" w:eastAsia="仿宋" w:cs="仿宋"/>
                <w:color w:val="auto"/>
                <w:sz w:val="32"/>
                <w:szCs w:val="32"/>
                <w:highlight w:val="none"/>
              </w:rPr>
            </w:pPr>
            <w:r>
              <w:rPr>
                <w:rFonts w:hint="eastAsia" w:ascii="仿宋" w:hAnsi="仿宋" w:eastAsia="仿宋" w:cs="仿宋"/>
                <w:color w:val="auto"/>
                <w:szCs w:val="24"/>
                <w:highlight w:val="none"/>
              </w:rPr>
              <w:t>交 货 期：</w:t>
            </w:r>
            <w:r>
              <w:rPr>
                <w:rFonts w:hint="eastAsia" w:ascii="仿宋" w:hAnsi="仿宋" w:eastAsia="仿宋" w:cs="仿宋"/>
                <w:color w:val="auto"/>
                <w:szCs w:val="24"/>
                <w:highlight w:val="none"/>
                <w:lang w:eastAsia="zh-CN"/>
              </w:rPr>
              <w:t>自合同签订之日起</w:t>
            </w:r>
            <w:r>
              <w:rPr>
                <w:rFonts w:hint="eastAsia" w:ascii="仿宋" w:hAnsi="仿宋" w:eastAsia="仿宋" w:cs="仿宋"/>
                <w:color w:val="auto"/>
                <w:szCs w:val="24"/>
                <w:highlight w:val="none"/>
                <w:lang w:val="en-US" w:eastAsia="zh-CN"/>
              </w:rPr>
              <w:t>70个日历日</w:t>
            </w:r>
            <w:r>
              <w:rPr>
                <w:rFonts w:hint="eastAsia" w:ascii="仿宋" w:hAnsi="仿宋" w:eastAsia="仿宋" w:cs="仿宋"/>
                <w:color w:val="auto"/>
                <w:szCs w:val="24"/>
                <w:highlight w:val="none"/>
                <w:lang w:eastAsia="zh-CN"/>
              </w:rPr>
              <w:t>内交付完毕</w:t>
            </w:r>
            <w:r>
              <w:rPr>
                <w:rFonts w:hint="eastAsia" w:ascii="仿宋" w:hAnsi="仿宋" w:eastAsia="仿宋" w:cs="仿宋"/>
                <w:color w:val="auto"/>
                <w:szCs w:val="24"/>
                <w:highlight w:val="none"/>
              </w:rPr>
              <w:t>。</w:t>
            </w:r>
          </w:p>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交货地点：</w:t>
            </w:r>
            <w:r>
              <w:rPr>
                <w:rFonts w:hint="eastAsia" w:ascii="仿宋" w:hAnsi="仿宋" w:eastAsia="仿宋" w:cs="仿宋"/>
                <w:color w:val="auto"/>
                <w:szCs w:val="24"/>
                <w:highlight w:val="none"/>
                <w:lang w:eastAsia="zh-CN"/>
              </w:rPr>
              <w:t>宝鸡市凤翔区医院</w:t>
            </w:r>
            <w:r>
              <w:rPr>
                <w:rFonts w:hint="eastAsia" w:ascii="仿宋" w:hAnsi="仿宋" w:eastAsia="仿宋" w:cs="仿宋"/>
                <w:color w:val="auto"/>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13</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u w:val="wavyHeavy" w:color="5B9BD5"/>
              </w:rPr>
            </w:pPr>
            <w:r>
              <w:rPr>
                <w:rFonts w:hint="eastAsia" w:ascii="仿宋" w:hAnsi="仿宋" w:eastAsia="仿宋" w:cs="仿宋"/>
                <w:color w:val="auto"/>
                <w:szCs w:val="24"/>
                <w:highlight w:val="none"/>
              </w:rPr>
              <w:t>招标文件发售</w:t>
            </w:r>
          </w:p>
        </w:tc>
        <w:tc>
          <w:tcPr>
            <w:tcW w:w="6195" w:type="dxa"/>
          </w:tcPr>
          <w:p>
            <w:pPr>
              <w:pStyle w:val="41"/>
              <w:pageBreakBefore w:val="0"/>
              <w:bidi w:val="0"/>
              <w:spacing w:line="56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default" w:ascii="仿宋" w:hAnsi="仿宋" w:eastAsia="仿宋" w:cs="仿宋"/>
                <w:color w:val="auto"/>
                <w:sz w:val="24"/>
                <w:szCs w:val="24"/>
                <w:highlight w:val="none"/>
                <w:lang w:val="en-US"/>
              </w:rPr>
              <w:t>12</w:t>
            </w:r>
            <w:r>
              <w:rPr>
                <w:rFonts w:hint="eastAsia" w:ascii="仿宋" w:hAnsi="仿宋" w:eastAsia="仿宋" w:cs="仿宋"/>
                <w:color w:val="auto"/>
                <w:sz w:val="24"/>
                <w:szCs w:val="24"/>
                <w:highlight w:val="none"/>
              </w:rPr>
              <w:t>月</w:t>
            </w:r>
            <w:r>
              <w:rPr>
                <w:rFonts w:hint="default"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default" w:ascii="仿宋" w:hAnsi="仿宋" w:eastAsia="仿宋" w:cs="仿宋"/>
                <w:color w:val="auto"/>
                <w:sz w:val="24"/>
                <w:szCs w:val="24"/>
                <w:highlight w:val="none"/>
                <w:lang w:val="en-US"/>
              </w:rPr>
              <w:t>12</w:t>
            </w:r>
            <w:r>
              <w:rPr>
                <w:rFonts w:hint="eastAsia" w:ascii="仿宋" w:hAnsi="仿宋" w:eastAsia="仿宋" w:cs="仿宋"/>
                <w:color w:val="auto"/>
                <w:sz w:val="24"/>
                <w:szCs w:val="24"/>
                <w:highlight w:val="none"/>
              </w:rPr>
              <w:t>月</w:t>
            </w:r>
            <w:r>
              <w:rPr>
                <w:rFonts w:hint="default" w:ascii="仿宋" w:hAnsi="仿宋" w:eastAsia="仿宋" w:cs="仿宋"/>
                <w:color w:val="auto"/>
                <w:sz w:val="24"/>
                <w:szCs w:val="24"/>
                <w:highlight w:val="none"/>
                <w:lang w:val="en-US"/>
              </w:rPr>
              <w:t>15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上午9:00-12:00，下午2:00-5:00时止（节假日除外）。</w:t>
            </w:r>
          </w:p>
          <w:p>
            <w:pPr>
              <w:pStyle w:val="41"/>
              <w:pageBreakBefore w:val="0"/>
              <w:bidi w:val="0"/>
              <w:spacing w:line="56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发售地点：全国公共资源交易平台（陕西省 </w:t>
            </w:r>
            <w:r>
              <w:rPr>
                <w:rFonts w:hint="eastAsia" w:ascii="仿宋" w:hAnsi="仿宋" w:eastAsia="仿宋" w:cs="仿宋"/>
                <w:color w:val="auto"/>
                <w:sz w:val="24"/>
                <w:szCs w:val="24"/>
                <w:highlight w:val="none"/>
                <w:lang w:eastAsia="zh-CN"/>
              </w:rPr>
              <w:t>宝鸡</w:t>
            </w:r>
            <w:r>
              <w:rPr>
                <w:rFonts w:hint="eastAsia" w:ascii="仿宋" w:hAnsi="仿宋" w:eastAsia="仿宋" w:cs="仿宋"/>
                <w:color w:val="auto"/>
                <w:sz w:val="24"/>
                <w:szCs w:val="24"/>
                <w:highlight w:val="none"/>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14</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联合体投标</w:t>
            </w:r>
          </w:p>
        </w:tc>
        <w:tc>
          <w:tcPr>
            <w:tcW w:w="6195" w:type="dxa"/>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15</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现场勘查、标前答疑会</w:t>
            </w:r>
          </w:p>
        </w:tc>
        <w:tc>
          <w:tcPr>
            <w:tcW w:w="6195" w:type="dxa"/>
            <w:vAlign w:val="center"/>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16</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投标人对招标文件提出质疑的时间</w:t>
            </w:r>
          </w:p>
        </w:tc>
        <w:tc>
          <w:tcPr>
            <w:tcW w:w="6195" w:type="dxa"/>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17</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构成招标文件的其他文件</w:t>
            </w:r>
          </w:p>
        </w:tc>
        <w:tc>
          <w:tcPr>
            <w:tcW w:w="6195" w:type="dxa"/>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18</w:t>
            </w:r>
          </w:p>
        </w:tc>
        <w:tc>
          <w:tcPr>
            <w:tcW w:w="2552" w:type="dxa"/>
            <w:vAlign w:val="center"/>
          </w:tcPr>
          <w:p>
            <w:pPr>
              <w:pStyle w:val="41"/>
              <w:pageBreakBefore w:val="0"/>
              <w:bidi w:val="0"/>
              <w:spacing w:line="560" w:lineRule="exact"/>
              <w:textAlignment w:val="auto"/>
              <w:rPr>
                <w:rFonts w:ascii="仿宋" w:hAnsi="仿宋" w:eastAsia="仿宋" w:cs="仿宋"/>
                <w:color w:val="auto"/>
                <w:sz w:val="24"/>
                <w:szCs w:val="24"/>
                <w:highlight w:val="none"/>
                <w:u w:val="wavyHeavy" w:color="FF0000"/>
              </w:rPr>
            </w:pPr>
          </w:p>
          <w:p>
            <w:pPr>
              <w:pStyle w:val="41"/>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 w:val="24"/>
                <w:szCs w:val="24"/>
                <w:highlight w:val="none"/>
              </w:rPr>
              <w:t>投标文件递交截止时间及开标时间和地点</w:t>
            </w:r>
          </w:p>
        </w:tc>
        <w:tc>
          <w:tcPr>
            <w:tcW w:w="6195" w:type="dxa"/>
          </w:tcPr>
          <w:p>
            <w:pPr>
              <w:pStyle w:val="41"/>
              <w:pageBreakBefore w:val="0"/>
              <w:numPr>
                <w:ilvl w:val="0"/>
                <w:numId w:val="2"/>
              </w:numPr>
              <w:bidi w:val="0"/>
              <w:spacing w:line="56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投标文件递交截止时间：202</w:t>
            </w:r>
            <w:r>
              <w:rPr>
                <w:rFonts w:hint="default"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年</w:t>
            </w:r>
            <w:r>
              <w:rPr>
                <w:rFonts w:hint="default"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月</w:t>
            </w:r>
            <w:r>
              <w:rPr>
                <w:rFonts w:hint="default"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default"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 xml:space="preserve">0 </w:t>
            </w:r>
          </w:p>
          <w:p>
            <w:pPr>
              <w:pStyle w:val="41"/>
              <w:pageBreakBefore w:val="0"/>
              <w:bidi w:val="0"/>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2、投标地点：</w:t>
            </w:r>
            <w:r>
              <w:rPr>
                <w:rFonts w:hint="eastAsia" w:ascii="仿宋" w:hAnsi="仿宋" w:eastAsia="仿宋" w:cs="仿宋"/>
                <w:color w:val="auto"/>
                <w:sz w:val="24"/>
                <w:szCs w:val="24"/>
                <w:highlight w:val="none"/>
                <w:lang w:eastAsia="zh-CN"/>
              </w:rPr>
              <w:t>全国公共资源交易平台（陕西省 宝鸡市）</w:t>
            </w:r>
          </w:p>
          <w:p>
            <w:pPr>
              <w:pStyle w:val="40"/>
              <w:pageBreakBefore w:val="0"/>
              <w:bidi w:val="0"/>
              <w:spacing w:line="560" w:lineRule="exact"/>
              <w:ind w:firstLine="0" w:firstLineChars="0"/>
              <w:textAlignment w:val="auto"/>
              <w:rPr>
                <w:rFonts w:ascii="仿宋" w:hAnsi="仿宋" w:eastAsia="仿宋" w:cs="仿宋"/>
                <w:b/>
                <w:color w:val="auto"/>
                <w:sz w:val="18"/>
                <w:szCs w:val="18"/>
                <w:highlight w:val="none"/>
              </w:rPr>
            </w:pPr>
            <w:r>
              <w:rPr>
                <w:rFonts w:hint="eastAsia" w:ascii="仿宋" w:hAnsi="仿宋" w:eastAsia="仿宋" w:cs="仿宋"/>
                <w:color w:val="auto"/>
                <w:sz w:val="24"/>
                <w:szCs w:val="24"/>
                <w:highlight w:val="none"/>
              </w:rPr>
              <w:t>3、开标时间：202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default"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月</w:t>
            </w:r>
            <w:r>
              <w:rPr>
                <w:rFonts w:hint="default"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default" w:ascii="仿宋" w:hAnsi="仿宋" w:eastAsia="仿宋" w:cs="仿宋"/>
                <w:color w:val="auto"/>
                <w:sz w:val="24"/>
                <w:szCs w:val="24"/>
                <w:highlight w:val="none"/>
                <w:lang w:val="en-US"/>
              </w:rPr>
              <w:t>30</w:t>
            </w:r>
          </w:p>
          <w:p>
            <w:pPr>
              <w:pageBreakBefore w:val="0"/>
              <w:bidi w:val="0"/>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4、开标地点：</w:t>
            </w:r>
            <w:r>
              <w:rPr>
                <w:rFonts w:hint="eastAsia" w:ascii="仿宋" w:hAnsi="仿宋" w:eastAsia="仿宋" w:cs="仿宋"/>
                <w:color w:val="auto"/>
                <w:szCs w:val="24"/>
                <w:highlight w:val="none"/>
                <w:lang w:eastAsia="zh-CN"/>
              </w:rPr>
              <w:t>全国公共资源交易平台（陕西省 宝鸡市）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19</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投标有效期</w:t>
            </w:r>
          </w:p>
        </w:tc>
        <w:tc>
          <w:tcPr>
            <w:tcW w:w="6195" w:type="dxa"/>
          </w:tcPr>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20</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投标担保</w:t>
            </w:r>
          </w:p>
        </w:tc>
        <w:tc>
          <w:tcPr>
            <w:tcW w:w="6195" w:type="dxa"/>
          </w:tcPr>
          <w:p>
            <w:pPr>
              <w:pStyle w:val="10"/>
              <w:pageBreakBefore w:val="0"/>
              <w:bidi w:val="0"/>
              <w:spacing w:line="560" w:lineRule="exact"/>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1、投标保证金</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rPr>
              <w:t>人民币</w:t>
            </w:r>
            <w:r>
              <w:rPr>
                <w:rFonts w:hint="eastAsia" w:ascii="仿宋" w:hAnsi="仿宋" w:eastAsia="仿宋" w:cs="仿宋"/>
                <w:b/>
                <w:bCs/>
                <w:color w:val="auto"/>
                <w:szCs w:val="24"/>
                <w:highlight w:val="none"/>
                <w:lang w:val="en-US" w:eastAsia="zh-CN"/>
              </w:rPr>
              <w:t>壹万贰仟元整</w:t>
            </w:r>
            <w:r>
              <w:rPr>
                <w:rFonts w:hint="eastAsia" w:ascii="仿宋" w:hAnsi="仿宋" w:eastAsia="仿宋" w:cs="仿宋"/>
                <w:b/>
                <w:bCs/>
                <w:color w:val="auto"/>
                <w:szCs w:val="24"/>
                <w:highlight w:val="none"/>
              </w:rPr>
              <w:t xml:space="preserve"> </w:t>
            </w:r>
          </w:p>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2、投标保证金交纳方式：投标人可自主选择以银行网银转账、支票、汇票、本票、保函等非现金形式交纳或提交投标保证金。</w:t>
            </w:r>
          </w:p>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3、请投标人按规定时间</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rPr>
              <w:t>202</w:t>
            </w:r>
            <w:r>
              <w:rPr>
                <w:rFonts w:hint="default" w:ascii="仿宋" w:hAnsi="仿宋" w:eastAsia="仿宋" w:cs="仿宋"/>
                <w:b/>
                <w:bCs/>
                <w:color w:val="auto"/>
                <w:szCs w:val="24"/>
                <w:highlight w:val="none"/>
                <w:lang w:val="en-US"/>
              </w:rPr>
              <w:t>4</w:t>
            </w:r>
            <w:r>
              <w:rPr>
                <w:rFonts w:hint="eastAsia" w:ascii="仿宋" w:hAnsi="仿宋" w:eastAsia="仿宋" w:cs="仿宋"/>
                <w:b/>
                <w:bCs/>
                <w:color w:val="auto"/>
                <w:szCs w:val="24"/>
                <w:highlight w:val="none"/>
              </w:rPr>
              <w:t>年</w:t>
            </w:r>
            <w:r>
              <w:rPr>
                <w:rFonts w:hint="default" w:ascii="仿宋" w:hAnsi="仿宋" w:eastAsia="仿宋" w:cs="仿宋"/>
                <w:b/>
                <w:bCs/>
                <w:color w:val="auto"/>
                <w:szCs w:val="24"/>
                <w:highlight w:val="none"/>
                <w:lang w:val="en-US"/>
              </w:rPr>
              <w:t>1</w:t>
            </w:r>
            <w:r>
              <w:rPr>
                <w:rFonts w:hint="eastAsia" w:ascii="仿宋" w:hAnsi="仿宋" w:eastAsia="仿宋" w:cs="仿宋"/>
                <w:b/>
                <w:bCs/>
                <w:color w:val="auto"/>
                <w:szCs w:val="24"/>
                <w:highlight w:val="none"/>
              </w:rPr>
              <w:t>月</w:t>
            </w:r>
            <w:r>
              <w:rPr>
                <w:rFonts w:hint="default" w:ascii="仿宋" w:hAnsi="仿宋" w:eastAsia="仿宋" w:cs="仿宋"/>
                <w:b/>
                <w:bCs/>
                <w:color w:val="auto"/>
                <w:szCs w:val="24"/>
                <w:highlight w:val="none"/>
                <w:lang w:val="en-US"/>
              </w:rPr>
              <w:t>3</w:t>
            </w:r>
            <w:r>
              <w:rPr>
                <w:rFonts w:hint="eastAsia" w:ascii="仿宋" w:hAnsi="仿宋" w:eastAsia="仿宋" w:cs="仿宋"/>
                <w:b/>
                <w:bCs/>
                <w:color w:val="auto"/>
                <w:szCs w:val="24"/>
                <w:highlight w:val="none"/>
              </w:rPr>
              <w:t>日</w:t>
            </w:r>
            <w:r>
              <w:rPr>
                <w:rFonts w:hint="eastAsia" w:ascii="仿宋" w:hAnsi="仿宋" w:eastAsia="仿宋" w:cs="仿宋"/>
                <w:b/>
                <w:bCs/>
                <w:color w:val="auto"/>
                <w:szCs w:val="24"/>
                <w:highlight w:val="none"/>
                <w:lang w:val="en-US" w:eastAsia="zh-CN"/>
              </w:rPr>
              <w:t>9</w:t>
            </w:r>
            <w:r>
              <w:rPr>
                <w:rFonts w:hint="eastAsia" w:ascii="仿宋" w:hAnsi="仿宋" w:eastAsia="仿宋" w:cs="仿宋"/>
                <w:b/>
                <w:bCs/>
                <w:color w:val="auto"/>
                <w:szCs w:val="24"/>
                <w:highlight w:val="none"/>
              </w:rPr>
              <w:t>:</w:t>
            </w:r>
            <w:r>
              <w:rPr>
                <w:rFonts w:hint="default" w:ascii="仿宋" w:hAnsi="仿宋" w:eastAsia="仿宋" w:cs="仿宋"/>
                <w:b/>
                <w:bCs/>
                <w:color w:val="auto"/>
                <w:szCs w:val="24"/>
                <w:highlight w:val="none"/>
                <w:lang w:val="en-US"/>
              </w:rPr>
              <w:t>3</w:t>
            </w:r>
            <w:r>
              <w:rPr>
                <w:rFonts w:hint="eastAsia" w:ascii="仿宋" w:hAnsi="仿宋" w:eastAsia="仿宋" w:cs="仿宋"/>
                <w:b/>
                <w:bCs/>
                <w:color w:val="auto"/>
                <w:szCs w:val="24"/>
                <w:highlight w:val="none"/>
              </w:rPr>
              <w:t>0前</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rPr>
              <w:t>和方式提交保证金，避免银行退票等原因出现保证金未按时到账等情况影响正常投标。请务必在转账时在摘要处注明：项目编号</w:t>
            </w:r>
            <w:r>
              <w:rPr>
                <w:rFonts w:hint="eastAsia" w:ascii="仿宋" w:hAnsi="仿宋" w:eastAsia="仿宋" w:cs="仿宋"/>
                <w:color w:val="auto"/>
                <w:szCs w:val="24"/>
                <w:highlight w:val="none"/>
                <w:lang w:val="en-US" w:eastAsia="zh-CN"/>
              </w:rPr>
              <w:t>或项目简称</w:t>
            </w:r>
            <w:r>
              <w:rPr>
                <w:rFonts w:hint="eastAsia" w:ascii="仿宋" w:hAnsi="仿宋" w:eastAsia="仿宋" w:cs="仿宋"/>
                <w:color w:val="auto"/>
                <w:szCs w:val="24"/>
                <w:highlight w:val="none"/>
              </w:rPr>
              <w:t xml:space="preserve">。 </w:t>
            </w:r>
          </w:p>
          <w:p>
            <w:pPr>
              <w:pStyle w:val="10"/>
              <w:pageBreakBefore w:val="0"/>
              <w:bidi w:val="0"/>
              <w:spacing w:line="56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4、投标人未按照招标文件要求提交保证金的，投标响应文件无效。投标保证金提交以到账时间为准。</w:t>
            </w:r>
          </w:p>
          <w:p>
            <w:pPr>
              <w:pStyle w:val="10"/>
              <w:keepNext w:val="0"/>
              <w:keepLines w:val="0"/>
              <w:pageBreakBefore w:val="0"/>
              <w:widowControl w:val="0"/>
              <w:kinsoku/>
              <w:wordWrap w:val="0"/>
              <w:overflowPunct/>
              <w:topLinePunct/>
              <w:autoSpaceDE/>
              <w:autoSpaceDN/>
              <w:bidi w:val="0"/>
              <w:adjustRightInd/>
              <w:snapToGrid/>
              <w:spacing w:line="56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5、宝鸡市公共资源交易中心保证金咨询电话:0917-3262731。</w:t>
            </w:r>
          </w:p>
          <w:p>
            <w:pPr>
              <w:pStyle w:val="10"/>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b/>
                <w:bCs/>
                <w:color w:val="auto"/>
                <w:szCs w:val="24"/>
                <w:highlight w:val="none"/>
              </w:rPr>
              <w:t>备注：以保函形式提交投标保证金的，投标响应文件递交截止前持保函原件来我公司购标处进行备案登记。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21</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汇款账户</w:t>
            </w:r>
          </w:p>
        </w:tc>
        <w:tc>
          <w:tcPr>
            <w:tcW w:w="6195" w:type="dxa"/>
          </w:tcPr>
          <w:p>
            <w:pPr>
              <w:pStyle w:val="4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保证金账户</w:t>
            </w:r>
          </w:p>
          <w:p>
            <w:pPr>
              <w:pStyle w:val="40"/>
              <w:pageBreakBefore w:val="0"/>
              <w:bidi w:val="0"/>
              <w:spacing w:line="560" w:lineRule="exact"/>
              <w:ind w:firstLine="0" w:firstLineChars="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开户名称：</w:t>
            </w:r>
            <w:r>
              <w:rPr>
                <w:rFonts w:hint="eastAsia" w:ascii="仿宋" w:hAnsi="仿宋" w:eastAsia="仿宋" w:cs="仿宋"/>
                <w:b w:val="0"/>
                <w:bCs/>
                <w:color w:val="auto"/>
                <w:sz w:val="24"/>
                <w:szCs w:val="24"/>
                <w:highlight w:val="none"/>
              </w:rPr>
              <w:t>宝鸡市</w:t>
            </w:r>
            <w:r>
              <w:rPr>
                <w:rFonts w:hint="eastAsia" w:ascii="仿宋" w:hAnsi="仿宋" w:eastAsia="仿宋" w:cs="仿宋"/>
                <w:b w:val="0"/>
                <w:bCs/>
                <w:color w:val="auto"/>
                <w:sz w:val="24"/>
                <w:szCs w:val="24"/>
                <w:highlight w:val="none"/>
                <w:lang w:val="zh-CN"/>
              </w:rPr>
              <w:t>公共资源交易</w:t>
            </w:r>
            <w:r>
              <w:rPr>
                <w:rFonts w:hint="eastAsia" w:ascii="仿宋" w:hAnsi="仿宋" w:eastAsia="仿宋" w:cs="仿宋"/>
                <w:b w:val="0"/>
                <w:bCs/>
                <w:color w:val="auto"/>
                <w:sz w:val="24"/>
                <w:szCs w:val="24"/>
                <w:highlight w:val="none"/>
              </w:rPr>
              <w:t>中心</w:t>
            </w:r>
            <w:r>
              <w:rPr>
                <w:rFonts w:hint="eastAsia" w:ascii="仿宋" w:hAnsi="仿宋" w:eastAsia="仿宋" w:cs="仿宋"/>
                <w:b w:val="0"/>
                <w:bCs/>
                <w:color w:val="auto"/>
                <w:sz w:val="24"/>
                <w:szCs w:val="24"/>
                <w:highlight w:val="none"/>
                <w:lang w:val="zh-CN"/>
              </w:rPr>
              <w:t>保证金专户</w:t>
            </w:r>
          </w:p>
          <w:p>
            <w:pPr>
              <w:pStyle w:val="40"/>
              <w:pageBreakBefore w:val="0"/>
              <w:bidi w:val="0"/>
              <w:spacing w:line="560" w:lineRule="exact"/>
              <w:ind w:firstLine="0" w:firstLineChars="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 xml:space="preserve">开户银行：长安银行股份有限公司宝鸡分行营业部 </w:t>
            </w:r>
          </w:p>
          <w:p>
            <w:pPr>
              <w:pStyle w:val="4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号：80602000142101980608176</w:t>
            </w:r>
          </w:p>
          <w:p>
            <w:pPr>
              <w:pStyle w:val="4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sz w:val="24"/>
                <w:szCs w:val="24"/>
                <w:highlight w:val="none"/>
              </w:rPr>
            </w:pPr>
          </w:p>
          <w:p>
            <w:pPr>
              <w:pStyle w:val="4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招标服务费</w:t>
            </w:r>
            <w:r>
              <w:rPr>
                <w:rFonts w:hint="eastAsia" w:ascii="仿宋" w:hAnsi="仿宋" w:eastAsia="仿宋" w:cs="仿宋"/>
                <w:b/>
                <w:bCs/>
                <w:color w:val="auto"/>
                <w:sz w:val="24"/>
                <w:szCs w:val="24"/>
                <w:highlight w:val="none"/>
                <w:lang w:eastAsia="zh-CN"/>
              </w:rPr>
              <w:t>账户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开户名称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中国建设银行股份有限公司西安金泰假日花城支行</w:t>
            </w:r>
          </w:p>
          <w:p>
            <w:pPr>
              <w:pStyle w:val="4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lang w:val="en-US" w:eastAsia="zh-CN"/>
              </w:rPr>
              <w:t>6105 0186 5800 0000 0059</w:t>
            </w:r>
          </w:p>
          <w:p>
            <w:pPr>
              <w:pStyle w:val="40"/>
              <w:pageBreakBefore w:val="0"/>
              <w:bidi w:val="0"/>
              <w:spacing w:line="560" w:lineRule="exact"/>
              <w:ind w:firstLine="0" w:firstLineChars="0"/>
              <w:textAlignment w:val="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注:招标服务费采用转账形式交纳；投标保证金仅限于通过对公账户以转账形式交纳。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22</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备选投标方案</w:t>
            </w:r>
          </w:p>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和报价</w:t>
            </w:r>
          </w:p>
        </w:tc>
        <w:tc>
          <w:tcPr>
            <w:tcW w:w="6195" w:type="dxa"/>
            <w:vAlign w:val="center"/>
          </w:tcPr>
          <w:p>
            <w:pPr>
              <w:pageBreakBefore w:val="0"/>
              <w:tabs>
                <w:tab w:val="left" w:pos="7013"/>
              </w:tabs>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23</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盖章签字</w:t>
            </w:r>
          </w:p>
        </w:tc>
        <w:tc>
          <w:tcPr>
            <w:tcW w:w="6195" w:type="dxa"/>
            <w:vAlign w:val="center"/>
          </w:tcPr>
          <w:p>
            <w:pPr>
              <w:pageBreakBefore w:val="0"/>
              <w:tabs>
                <w:tab w:val="left" w:pos="7013"/>
              </w:tabs>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24</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投标文件数量</w:t>
            </w:r>
          </w:p>
        </w:tc>
        <w:tc>
          <w:tcPr>
            <w:tcW w:w="6195" w:type="dxa"/>
            <w:vAlign w:val="center"/>
          </w:tcPr>
          <w:p>
            <w:pPr>
              <w:pageBreakBefore w:val="0"/>
              <w:bidi w:val="0"/>
              <w:spacing w:line="560" w:lineRule="exact"/>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 w:val="24"/>
                <w:highlight w:val="none"/>
                <w:lang w:val="en-US" w:eastAsia="zh-CN"/>
              </w:rPr>
              <w:t>本项目为不见面开标，中标单位在领取中标通知书时，提供与上传至陕西省宝鸡市公共资源交易平台的电子投标文件一致的纸质投标文件</w:t>
            </w:r>
            <w:r>
              <w:rPr>
                <w:rFonts w:hint="eastAsia" w:ascii="仿宋" w:hAnsi="仿宋" w:eastAsia="仿宋" w:cs="仿宋"/>
                <w:color w:val="auto"/>
                <w:szCs w:val="24"/>
                <w:highlight w:val="none"/>
              </w:rPr>
              <w:t>正本一份，副本</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份，电子文件</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份（扩展名为“.</w:t>
            </w:r>
            <w:r>
              <w:rPr>
                <w:rFonts w:hint="eastAsia" w:ascii="仿宋" w:hAnsi="仿宋" w:eastAsia="仿宋" w:cs="仿宋"/>
                <w:color w:val="auto"/>
                <w:szCs w:val="24"/>
                <w:highlight w:val="none"/>
                <w:lang w:val="en-US" w:eastAsia="zh-CN"/>
              </w:rPr>
              <w:t>n</w:t>
            </w:r>
            <w:r>
              <w:rPr>
                <w:rFonts w:hint="eastAsia" w:ascii="仿宋" w:hAnsi="仿宋" w:eastAsia="仿宋" w:cs="仿宋"/>
                <w:color w:val="auto"/>
                <w:szCs w:val="24"/>
                <w:highlight w:val="none"/>
              </w:rPr>
              <w:t>SXSTF”的非加密电子化</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文件1份，与纸质版</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文件一致的电子版</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文件1份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word版本及PDF版本（PDF文件为完整签字、盖章的正本扫描件）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“开标一览表”一份。纸质</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文件均须A4纸打印（提倡双面打印），分别各自装订成册并编制目录和页码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w:t>
            </w:r>
            <w:r>
              <w:rPr>
                <w:rFonts w:hint="eastAsia" w:ascii="仿宋" w:hAnsi="仿宋" w:eastAsia="仿宋" w:cs="仿宋"/>
                <w:color w:val="auto"/>
                <w:szCs w:val="24"/>
                <w:highlight w:val="none"/>
                <w:lang w:eastAsia="zh-CN"/>
              </w:rPr>
              <w:t>文件</w:t>
            </w:r>
            <w:r>
              <w:rPr>
                <w:rFonts w:hint="eastAsia" w:ascii="仿宋" w:hAnsi="仿宋" w:eastAsia="仿宋" w:cs="仿宋"/>
                <w:color w:val="auto"/>
                <w:szCs w:val="24"/>
                <w:highlight w:val="none"/>
              </w:rPr>
              <w:t>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25</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投标报价</w:t>
            </w:r>
          </w:p>
        </w:tc>
        <w:tc>
          <w:tcPr>
            <w:tcW w:w="6195" w:type="dxa"/>
            <w:vAlign w:val="center"/>
          </w:tcPr>
          <w:p>
            <w:pPr>
              <w:pStyle w:val="41"/>
              <w:pageBreakBefore w:val="0"/>
              <w:bidi w:val="0"/>
              <w:spacing w:line="560" w:lineRule="exact"/>
              <w:textAlignment w:val="auto"/>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本项目属于交钥匙项目，投标报价=设备价（含税）+运输费+安装费+调试费+培训费+产品辅材费+售后服务费+保险费+相关伴随费用等。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26</w:t>
            </w:r>
          </w:p>
        </w:tc>
        <w:tc>
          <w:tcPr>
            <w:tcW w:w="2552" w:type="dxa"/>
            <w:vAlign w:val="center"/>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电子</w:t>
            </w:r>
            <w:r>
              <w:rPr>
                <w:rFonts w:hint="eastAsia" w:ascii="仿宋" w:hAnsi="仿宋" w:eastAsia="仿宋" w:cs="仿宋"/>
                <w:sz w:val="24"/>
                <w:szCs w:val="24"/>
                <w:highlight w:val="none"/>
                <w:lang w:val="en-US" w:eastAsia="zh-CN"/>
              </w:rPr>
              <w:t>投标</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sz w:val="24"/>
                <w:szCs w:val="24"/>
                <w:highlight w:val="none"/>
              </w:rPr>
              <w:t>文件编制要求</w:t>
            </w:r>
          </w:p>
        </w:tc>
        <w:tc>
          <w:tcPr>
            <w:tcW w:w="6195" w:type="dxa"/>
            <w:vAlign w:val="center"/>
          </w:tcPr>
          <w:p>
            <w:pPr>
              <w:keepNext w:val="0"/>
              <w:keepLines w:val="0"/>
              <w:pageBreakBefore w:val="0"/>
              <w:widowControl w:val="0"/>
              <w:tabs>
                <w:tab w:val="left" w:pos="7013"/>
              </w:tabs>
              <w:kinsoku/>
              <w:wordWrap w:val="0"/>
              <w:overflowPunct/>
              <w:topLinePunct/>
              <w:autoSpaceDE/>
              <w:autoSpaceDN/>
              <w:bidi w:val="0"/>
              <w:adjustRightInd/>
              <w:snapToGrid/>
              <w:spacing w:line="56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sz w:val="24"/>
                <w:szCs w:val="24"/>
                <w:highlight w:val="none"/>
              </w:rPr>
              <w:t>本项目的电子</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文件必须使用专用工具软件编制，并通过</w:t>
            </w:r>
            <w:r>
              <w:rPr>
                <w:rFonts w:hint="eastAsia" w:ascii="仿宋" w:hAnsi="仿宋" w:eastAsia="仿宋" w:cs="仿宋"/>
                <w:b/>
                <w:bCs/>
                <w:sz w:val="24"/>
                <w:szCs w:val="24"/>
                <w:highlight w:val="none"/>
              </w:rPr>
              <w:t>“陕西省</w:t>
            </w:r>
            <w:r>
              <w:rPr>
                <w:rFonts w:hint="eastAsia" w:ascii="仿宋" w:hAnsi="仿宋" w:eastAsia="仿宋" w:cs="仿宋"/>
                <w:b/>
                <w:bCs/>
                <w:sz w:val="24"/>
                <w:szCs w:val="24"/>
                <w:highlight w:val="none"/>
                <w:lang w:val="en-US" w:eastAsia="zh-CN"/>
              </w:rPr>
              <w:t>宝鸡</w:t>
            </w:r>
            <w:r>
              <w:rPr>
                <w:rFonts w:hint="eastAsia" w:ascii="仿宋" w:hAnsi="仿宋" w:eastAsia="仿宋" w:cs="仿宋"/>
                <w:b/>
                <w:bCs/>
                <w:sz w:val="24"/>
                <w:szCs w:val="24"/>
                <w:highlight w:val="none"/>
              </w:rPr>
              <w:t>市公共资源交易平台”(http://ggzy.baoji.gov.cn/)</w:t>
            </w:r>
            <w:r>
              <w:rPr>
                <w:rFonts w:hint="eastAsia" w:ascii="仿宋" w:hAnsi="仿宋" w:eastAsia="仿宋" w:cs="仿宋"/>
                <w:sz w:val="24"/>
                <w:szCs w:val="24"/>
                <w:highlight w:val="none"/>
              </w:rPr>
              <w:t>完成电子</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文件编制要求过程，</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在电子</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文件的编制、加密和递交，应按照电子</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文件的规定进行。如未按照电子</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文件要求编制、加密、递交电子</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文件，将可能导致</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无效，其后果由</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27</w:t>
            </w:r>
          </w:p>
        </w:tc>
        <w:tc>
          <w:tcPr>
            <w:tcW w:w="2552" w:type="dxa"/>
            <w:vAlign w:val="center"/>
          </w:tcPr>
          <w:p>
            <w:pPr>
              <w:keepNext w:val="0"/>
              <w:keepLines w:val="0"/>
              <w:pageBreakBefore w:val="0"/>
              <w:widowControl w:val="0"/>
              <w:kinsoku/>
              <w:overflowPunct/>
              <w:autoSpaceDE/>
              <w:autoSpaceDN/>
              <w:bidi w:val="0"/>
              <w:adjustRightInd/>
              <w:snapToGrid/>
              <w:spacing w:line="56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电子</w:t>
            </w:r>
            <w:r>
              <w:rPr>
                <w:rFonts w:hint="eastAsia" w:ascii="仿宋" w:hAnsi="仿宋" w:eastAsia="仿宋" w:cs="仿宋"/>
                <w:sz w:val="24"/>
                <w:szCs w:val="24"/>
                <w:highlight w:val="none"/>
                <w:lang w:val="en-US" w:eastAsia="zh-CN"/>
              </w:rPr>
              <w:t>投标</w:t>
            </w:r>
          </w:p>
          <w:p>
            <w:pPr>
              <w:keepNext w:val="0"/>
              <w:keepLines w:val="0"/>
              <w:pageBreakBefore w:val="0"/>
              <w:widowControl w:val="0"/>
              <w:kinsoku/>
              <w:overflowPunct/>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sz w:val="24"/>
                <w:szCs w:val="24"/>
                <w:highlight w:val="none"/>
              </w:rPr>
              <w:t>文件签章要求</w:t>
            </w:r>
          </w:p>
        </w:tc>
        <w:tc>
          <w:tcPr>
            <w:tcW w:w="6195" w:type="dxa"/>
          </w:tcPr>
          <w:p>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sz w:val="24"/>
                <w:szCs w:val="24"/>
                <w:highlight w:val="none"/>
              </w:rPr>
              <w:t>电子</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文件中涉及加盖单位公章的地方可使用电子印章、纸质加盖公章文件扫描件或其他电子</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文件约定的方式。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28</w:t>
            </w:r>
          </w:p>
        </w:tc>
        <w:tc>
          <w:tcPr>
            <w:tcW w:w="2552" w:type="dxa"/>
            <w:vAlign w:val="center"/>
          </w:tcPr>
          <w:p>
            <w:pPr>
              <w:keepNext w:val="0"/>
              <w:keepLines w:val="0"/>
              <w:pageBreakBefore w:val="0"/>
              <w:widowControl w:val="0"/>
              <w:kinsoku/>
              <w:overflowPunct/>
              <w:autoSpaceDE/>
              <w:autoSpaceDN/>
              <w:bidi w:val="0"/>
              <w:adjustRightInd/>
              <w:snapToGrid/>
              <w:spacing w:line="56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电子投标</w:t>
            </w:r>
          </w:p>
          <w:p>
            <w:pPr>
              <w:keepNext w:val="0"/>
              <w:keepLines w:val="0"/>
              <w:pageBreakBefore w:val="0"/>
              <w:widowControl w:val="0"/>
              <w:kinsoku/>
              <w:overflowPunct/>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sz w:val="24"/>
                <w:szCs w:val="24"/>
                <w:highlight w:val="none"/>
              </w:rPr>
              <w:t>注意事项</w:t>
            </w:r>
          </w:p>
        </w:tc>
        <w:tc>
          <w:tcPr>
            <w:tcW w:w="6195" w:type="dxa"/>
          </w:tcPr>
          <w:p>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应及时下载电子</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文件等相关文件，在</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时间截止前必须上传电子</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文件；在评审会议时需使用生成项(加密)电子投标文件的加密锁(CA锁)，在规定时间内对电子投标文件进行在线解密，因</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原因造成其电子投标文件无法解密的,按无效</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9</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评标办法及标准</w:t>
            </w:r>
          </w:p>
        </w:tc>
        <w:tc>
          <w:tcPr>
            <w:tcW w:w="6195" w:type="dxa"/>
            <w:vAlign w:val="center"/>
          </w:tcPr>
          <w:p>
            <w:pPr>
              <w:pStyle w:val="41"/>
              <w:pageBreakBefore w:val="0"/>
              <w:bidi w:val="0"/>
              <w:spacing w:line="56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ageBreakBefore w:val="0"/>
              <w:bidi w:val="0"/>
              <w:spacing w:line="560" w:lineRule="exact"/>
              <w:jc w:val="center"/>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30</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其它事项</w:t>
            </w:r>
          </w:p>
        </w:tc>
        <w:tc>
          <w:tcPr>
            <w:tcW w:w="6195" w:type="dxa"/>
            <w:vAlign w:val="center"/>
          </w:tcPr>
          <w:p>
            <w:pPr>
              <w:pageBreakBefore w:val="0"/>
              <w:bidi w:val="0"/>
              <w:adjustRightInd w:val="0"/>
              <w:snapToGrid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本次采购、投标报价、评审和合同授予均以项目为单位，投标人必须就一个完整项目进行响应。中标投标人与采购人在中标通知书发出</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天内签订合同，不及时签订视为自动放弃。非经采购人同意，本项目不允许中标后另行转包或者分包。</w:t>
            </w:r>
            <w:r>
              <w:rPr>
                <w:rFonts w:hint="eastAsia" w:ascii="仿宋" w:hAnsi="仿宋" w:eastAsia="仿宋" w:cs="仿宋"/>
                <w:color w:val="auto"/>
                <w:kern w:val="0"/>
                <w:szCs w:val="24"/>
                <w:highlight w:val="none"/>
              </w:rPr>
              <w:t>中标人无正当理由不得放弃中标。</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 w:val="24"/>
                <w:highlight w:val="none"/>
                <w:lang w:val="en-US" w:eastAsia="zh-CN"/>
              </w:rPr>
              <w:t>31</w:t>
            </w:r>
          </w:p>
        </w:tc>
        <w:tc>
          <w:tcPr>
            <w:tcW w:w="2552" w:type="dxa"/>
            <w:vAlign w:val="center"/>
          </w:tcPr>
          <w:p>
            <w:pPr>
              <w:pageBreakBefore w:val="0"/>
              <w:bidi w:val="0"/>
              <w:spacing w:line="560" w:lineRule="exact"/>
              <w:jc w:val="center"/>
              <w:textAlignment w:val="auto"/>
              <w:rPr>
                <w:rFonts w:ascii="仿宋" w:hAnsi="仿宋" w:eastAsia="仿宋" w:cs="仿宋"/>
                <w:color w:val="auto"/>
                <w:szCs w:val="24"/>
                <w:highlight w:val="none"/>
              </w:rPr>
            </w:pPr>
            <w:r>
              <w:rPr>
                <w:rFonts w:hint="eastAsia" w:ascii="仿宋" w:hAnsi="仿宋" w:eastAsia="仿宋" w:cs="仿宋"/>
                <w:sz w:val="24"/>
                <w:highlight w:val="none"/>
                <w:lang w:eastAsia="zh-CN"/>
              </w:rPr>
              <w:t>本项目是否专门面向中小企业</w:t>
            </w:r>
          </w:p>
        </w:tc>
        <w:tc>
          <w:tcPr>
            <w:tcW w:w="6195" w:type="dxa"/>
            <w:vAlign w:val="center"/>
          </w:tcPr>
          <w:p>
            <w:pPr>
              <w:pStyle w:val="41"/>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kern w:val="2"/>
                <w:sz w:val="24"/>
                <w:szCs w:val="24"/>
                <w:highlight w:val="none"/>
                <w:lang w:eastAsia="zh-CN"/>
              </w:rPr>
              <w:t>☑是</w:t>
            </w:r>
            <w:r>
              <w:rPr>
                <w:rFonts w:hint="eastAsia" w:ascii="仿宋" w:hAnsi="仿宋" w:eastAsia="仿宋" w:cs="仿宋"/>
                <w:kern w:val="2"/>
                <w:sz w:val="24"/>
                <w:szCs w:val="24"/>
                <w:highlight w:val="none"/>
                <w:lang w:val="en-US" w:eastAsia="zh-CN"/>
              </w:rPr>
              <w:t xml:space="preserve">   </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 w:val="24"/>
                <w:highlight w:val="none"/>
                <w:lang w:val="en-US" w:eastAsia="zh-CN"/>
              </w:rPr>
              <w:t>32</w:t>
            </w:r>
          </w:p>
        </w:tc>
        <w:tc>
          <w:tcPr>
            <w:tcW w:w="2552"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eastAsia="zh-CN"/>
              </w:rPr>
              <w:t>本项目所属行业</w:t>
            </w:r>
          </w:p>
        </w:tc>
        <w:tc>
          <w:tcPr>
            <w:tcW w:w="6195" w:type="dxa"/>
            <w:vAlign w:val="center"/>
          </w:tcPr>
          <w:p>
            <w:pPr>
              <w:pStyle w:val="41"/>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Cs w:val="24"/>
                <w:highlight w:val="none"/>
                <w:lang w:val="en-US"/>
              </w:rPr>
            </w:pPr>
            <w:r>
              <w:rPr>
                <w:rFonts w:hint="eastAsia" w:ascii="仿宋" w:hAnsi="仿宋" w:eastAsia="仿宋" w:cs="仿宋"/>
                <w:color w:val="auto"/>
                <w:kern w:val="2"/>
                <w:sz w:val="24"/>
                <w:szCs w:val="24"/>
                <w:highlight w:val="none"/>
                <w:lang w:val="en-US" w:eastAsia="zh-CN"/>
              </w:rPr>
              <w:t>软件和信息技术服务业</w:t>
            </w:r>
          </w:p>
        </w:tc>
      </w:tr>
    </w:tbl>
    <w:p>
      <w:pPr>
        <w:keepNext/>
        <w:keepLines/>
        <w:pageBreakBefore w:val="0"/>
        <w:bidi w:val="0"/>
        <w:spacing w:line="560" w:lineRule="exac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11" w:name="_Toc1429"/>
      <w:r>
        <w:rPr>
          <w:rFonts w:hint="eastAsia" w:ascii="仿宋" w:hAnsi="仿宋" w:eastAsia="仿宋" w:cs="仿宋"/>
          <w:color w:val="auto"/>
          <w:kern w:val="0"/>
          <w:sz w:val="28"/>
          <w:szCs w:val="28"/>
          <w:highlight w:val="none"/>
        </w:rPr>
        <w:t>二、项目说明</w:t>
      </w:r>
      <w:bookmarkEnd w:id="11"/>
    </w:p>
    <w:p>
      <w:pPr>
        <w:pageBreakBefore w:val="0"/>
        <w:bidi w:val="0"/>
        <w:spacing w:line="560" w:lineRule="exact"/>
        <w:ind w:firstLine="570"/>
        <w:textAlignment w:val="auto"/>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1、本项目说明详见投标人须知前附表。</w:t>
      </w:r>
      <w:bookmarkStart w:id="12" w:name="_Toc458617455"/>
      <w:bookmarkStart w:id="13" w:name="_Toc458617732"/>
    </w:p>
    <w:p>
      <w:pPr>
        <w:pageBreakBefore w:val="0"/>
        <w:bidi w:val="0"/>
        <w:spacing w:line="560" w:lineRule="exact"/>
        <w:ind w:firstLine="57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2、本项目按照《中华人民共和国政府采购法》等有关法律、行政法规和部门规章，通过公开招标方式择优选定中标人。</w:t>
      </w:r>
    </w:p>
    <w:bookmarkEnd w:id="12"/>
    <w:bookmarkEnd w:id="13"/>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14" w:name="_Toc458617456"/>
      <w:bookmarkStart w:id="15" w:name="_Toc19356"/>
      <w:bookmarkStart w:id="16" w:name="_Toc458617733"/>
      <w:r>
        <w:rPr>
          <w:rFonts w:hint="eastAsia" w:ascii="仿宋" w:hAnsi="仿宋" w:eastAsia="仿宋" w:cs="仿宋"/>
          <w:color w:val="auto"/>
          <w:kern w:val="0"/>
          <w:sz w:val="28"/>
          <w:szCs w:val="28"/>
          <w:highlight w:val="none"/>
        </w:rPr>
        <w:t>三、招标文件</w:t>
      </w:r>
      <w:bookmarkEnd w:id="14"/>
      <w:bookmarkEnd w:id="15"/>
      <w:bookmarkEnd w:id="16"/>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1、招标文件购买：投标人须经过正常渠道购买招标文件，且投标人名称与登记领取招标文件的单位名称一致，否则将作为无效投标处理。</w:t>
      </w:r>
    </w:p>
    <w:p>
      <w:pPr>
        <w:pageBreakBefore w:val="0"/>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2、招标文件的组成：包括目录中所列的前五章。 </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3、投标人应认真审阅和充分理解招标文件所有的事项、格式、条款和规范要求等，在投标文件中对招标文件的各方面都做出实质性的响应，按照招标文件的要求提交全部资料。</w:t>
      </w:r>
    </w:p>
    <w:p>
      <w:pPr>
        <w:pageBreakBefore w:val="0"/>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4、招标文件的澄清或修改：</w:t>
      </w:r>
    </w:p>
    <w:p>
      <w:pPr>
        <w:pageBreakBefore w:val="0"/>
        <w:bidi w:val="0"/>
        <w:spacing w:line="560" w:lineRule="exact"/>
        <w:ind w:firstLine="480" w:firstLineChars="200"/>
        <w:textAlignment w:val="auto"/>
        <w:rPr>
          <w:rFonts w:ascii="仿宋" w:hAnsi="仿宋" w:eastAsia="仿宋" w:cs="仿宋"/>
          <w:b/>
          <w:color w:val="auto"/>
          <w:kern w:val="0"/>
          <w:sz w:val="18"/>
          <w:szCs w:val="18"/>
          <w:highlight w:val="none"/>
          <w:u w:color="FF0000"/>
        </w:rPr>
      </w:pPr>
      <w:bookmarkStart w:id="17" w:name="_Toc458617734"/>
      <w:bookmarkStart w:id="18" w:name="_Toc458617457"/>
      <w:r>
        <w:rPr>
          <w:rFonts w:hint="eastAsia" w:ascii="仿宋" w:hAnsi="仿宋" w:eastAsia="仿宋" w:cs="仿宋"/>
          <w:color w:val="auto"/>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5、投标人若对招标文件有任何疑问，可以以书面形式向采购代理机构提出询问。</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6、投标人认为招标文件使自己的权益受到损害的，在收到采购文件之日</w:t>
      </w:r>
      <w:r>
        <w:rPr>
          <w:rFonts w:hint="eastAsia" w:ascii="仿宋" w:hAnsi="仿宋" w:eastAsia="仿宋" w:cs="仿宋"/>
          <w:color w:val="auto"/>
          <w:kern w:val="0"/>
          <w:szCs w:val="24"/>
          <w:highlight w:val="none"/>
        </w:rPr>
        <w:t>起七个工作日内</w:t>
      </w:r>
      <w:r>
        <w:rPr>
          <w:rFonts w:hint="eastAsia" w:ascii="仿宋" w:hAnsi="仿宋" w:eastAsia="仿宋" w:cs="仿宋"/>
          <w:color w:val="auto"/>
          <w:szCs w:val="24"/>
          <w:highlight w:val="none"/>
        </w:rPr>
        <w:t>以书面形式向采购代理机构提出质疑，逾期提出的无效，</w:t>
      </w:r>
      <w:bookmarkStart w:id="19" w:name="OLE_LINK6"/>
      <w:r>
        <w:rPr>
          <w:rFonts w:hint="eastAsia" w:ascii="仿宋" w:hAnsi="仿宋" w:eastAsia="仿宋" w:cs="仿宋"/>
          <w:color w:val="auto"/>
          <w:szCs w:val="24"/>
          <w:highlight w:val="none"/>
        </w:rPr>
        <w:t>因此带来的一切不利后果由投标人自负。</w:t>
      </w:r>
      <w:bookmarkEnd w:id="19"/>
    </w:p>
    <w:p>
      <w:pPr>
        <w:pageBreakBefore w:val="0"/>
        <w:kinsoku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color w:val="auto"/>
          <w:szCs w:val="24"/>
          <w:highlight w:val="none"/>
        </w:rPr>
        <w:t>采购代理机构和投标人的权利和义务将受到新的截止期的约束。</w:t>
      </w:r>
    </w:p>
    <w:bookmarkEnd w:id="20"/>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8、投标人必须从采购代理机构购买招标文件，投标人自行转让或复制招标文件视为无效。招标文件售后不退，仅作为本次招标使用。</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9、如发现招标文件内容与现行法律法规不相符的情况，以现行法律法规为准。</w:t>
      </w:r>
    </w:p>
    <w:p>
      <w:pPr>
        <w:pageBreakBefore w:val="0"/>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10、现场勘查、标前答疑会：见须知前附表。</w:t>
      </w:r>
    </w:p>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21" w:name="_Toc4480"/>
      <w:r>
        <w:rPr>
          <w:rFonts w:hint="eastAsia" w:ascii="仿宋" w:hAnsi="仿宋" w:eastAsia="仿宋" w:cs="仿宋"/>
          <w:color w:val="auto"/>
          <w:kern w:val="0"/>
          <w:sz w:val="28"/>
          <w:szCs w:val="28"/>
          <w:highlight w:val="none"/>
        </w:rPr>
        <w:t>四、投标文件</w:t>
      </w:r>
      <w:bookmarkEnd w:id="17"/>
      <w:bookmarkEnd w:id="18"/>
      <w:bookmarkEnd w:id="21"/>
    </w:p>
    <w:p>
      <w:pPr>
        <w:pageBreakBefore w:val="0"/>
        <w:bidi w:val="0"/>
        <w:spacing w:line="560" w:lineRule="exact"/>
        <w:textAlignment w:val="auto"/>
        <w:outlineLvl w:val="2"/>
        <w:rPr>
          <w:rFonts w:ascii="仿宋" w:hAnsi="仿宋" w:eastAsia="仿宋" w:cs="仿宋"/>
          <w:color w:val="auto"/>
          <w:highlight w:val="none"/>
        </w:rPr>
      </w:pPr>
      <w:r>
        <w:rPr>
          <w:rFonts w:hint="eastAsia" w:ascii="仿宋" w:hAnsi="仿宋" w:eastAsia="仿宋" w:cs="仿宋"/>
          <w:color w:val="auto"/>
          <w:highlight w:val="none"/>
        </w:rPr>
        <w:t>1、投标人资格要求</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（1）基本资格条件：符合《中华人民共和国政府采购法》第二十二条的规定：</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 xml:space="preserve">  </w:t>
      </w:r>
    </w:p>
    <w:p>
      <w:pPr>
        <w:pageBreakBefore w:val="0"/>
        <w:bidi w:val="0"/>
        <w:spacing w:line="560" w:lineRule="exact"/>
        <w:ind w:firstLine="240" w:firstLineChars="1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1-2、财务状况报告：提供具有财务审计资质单位出具的</w:t>
      </w:r>
      <w:r>
        <w:rPr>
          <w:rFonts w:hint="eastAsia" w:ascii="仿宋" w:hAnsi="仿宋" w:eastAsia="仿宋" w:cs="仿宋"/>
          <w:color w:val="auto"/>
          <w:szCs w:val="24"/>
          <w:highlight w:val="none"/>
          <w:lang w:eastAsia="zh-CN"/>
        </w:rPr>
        <w:t>2021年度或2022年度财务报告</w:t>
      </w:r>
      <w:r>
        <w:rPr>
          <w:rFonts w:hint="eastAsia" w:ascii="仿宋" w:hAnsi="仿宋" w:eastAsia="仿宋" w:cs="仿宋"/>
          <w:color w:val="auto"/>
          <w:szCs w:val="24"/>
          <w:highlight w:val="none"/>
        </w:rPr>
        <w:t>（成立时间至开标时间不足一年的可提供成立后任意时段的资产负债表）或开标前六个月内其基本账户银行出具的资信证明（附开户许可证或基本账户证明）或政府采购信用担保机构出具的投标担保函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color w:val="auto"/>
          <w:szCs w:val="24"/>
          <w:highlight w:val="none"/>
          <w:lang w:eastAsia="zh-CN"/>
        </w:rPr>
        <w:t>；</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1-3、</w:t>
      </w:r>
      <w:r>
        <w:rPr>
          <w:rFonts w:hint="eastAsia" w:ascii="仿宋" w:hAnsi="仿宋" w:eastAsia="仿宋" w:cs="仿宋"/>
          <w:color w:val="auto"/>
          <w:sz w:val="24"/>
          <w:szCs w:val="24"/>
          <w:highlight w:val="none"/>
        </w:rPr>
        <w:t>税收缴纳证明：</w:t>
      </w:r>
      <w:r>
        <w:rPr>
          <w:rFonts w:hint="eastAsia" w:ascii="仿宋" w:hAnsi="仿宋" w:eastAsia="仿宋" w:cs="仿宋"/>
          <w:color w:val="auto"/>
          <w:sz w:val="24"/>
          <w:szCs w:val="24"/>
          <w:highlight w:val="none"/>
          <w:lang w:eastAsia="zh-CN"/>
        </w:rPr>
        <w:t>提供2022年1月1日至今任意一个月</w:t>
      </w:r>
      <w:r>
        <w:rPr>
          <w:rFonts w:hint="eastAsia" w:ascii="仿宋" w:hAnsi="仿宋" w:eastAsia="仿宋" w:cs="仿宋"/>
          <w:color w:val="auto"/>
          <w:sz w:val="24"/>
          <w:szCs w:val="24"/>
          <w:highlight w:val="none"/>
          <w:lang w:val="en-US" w:eastAsia="zh-CN"/>
        </w:rPr>
        <w:t>已缴纳的纳税证明或完税证明（包含增值税、企业所得税、营业税至少一种）；</w:t>
      </w:r>
      <w:r>
        <w:rPr>
          <w:rFonts w:hint="eastAsia" w:ascii="仿宋" w:hAnsi="仿宋" w:eastAsia="仿宋" w:cs="仿宋"/>
          <w:color w:val="auto"/>
          <w:sz w:val="24"/>
          <w:szCs w:val="24"/>
          <w:highlight w:val="none"/>
        </w:rPr>
        <w:t>（依法免税的投标人应提供相关文件证明）</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1-4、社会保障资金缴纳证明：</w:t>
      </w:r>
      <w:r>
        <w:rPr>
          <w:rFonts w:hint="eastAsia" w:ascii="仿宋" w:hAnsi="仿宋" w:eastAsia="仿宋" w:cs="仿宋"/>
          <w:color w:val="auto"/>
          <w:szCs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Cs w:val="24"/>
          <w:highlight w:val="none"/>
        </w:rPr>
        <w:t>；（依法不需要缴纳社会保障资金的投标人应提供相关证明）</w:t>
      </w:r>
    </w:p>
    <w:p>
      <w:pPr>
        <w:pageBreakBefore w:val="0"/>
        <w:bidi w:val="0"/>
        <w:spacing w:line="560" w:lineRule="exact"/>
        <w:ind w:firstLine="240" w:firstLineChars="1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1-5、提供具有履行本合同所必需的设备和专业技术能力的说明及承诺；（格式自拟，加盖投标人公章）</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1-6、提供参加政府采购活动前三年内在经营活动中没有重大违法记录的书面声明。（格式自拟，加盖投标人公章）</w:t>
      </w:r>
    </w:p>
    <w:p>
      <w:pPr>
        <w:pageBreakBefore w:val="0"/>
        <w:bidi w:val="0"/>
        <w:spacing w:line="560" w:lineRule="exact"/>
        <w:ind w:firstLine="240" w:firstLineChars="100"/>
        <w:textAlignment w:val="auto"/>
        <w:outlineLvl w:val="3"/>
        <w:rPr>
          <w:rFonts w:ascii="仿宋" w:hAnsi="仿宋" w:eastAsia="仿宋" w:cs="仿宋"/>
          <w:color w:val="auto"/>
          <w:szCs w:val="24"/>
          <w:highlight w:val="none"/>
        </w:rPr>
      </w:pPr>
      <w:r>
        <w:rPr>
          <w:rFonts w:hint="eastAsia" w:ascii="仿宋" w:hAnsi="仿宋" w:eastAsia="仿宋" w:cs="仿宋"/>
          <w:color w:val="auto"/>
          <w:szCs w:val="24"/>
          <w:highlight w:val="none"/>
        </w:rPr>
        <w:t>（2）、特定资格条件：</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2-1、法定代表人或负责人参与投标时需提供法定代表人或负责人资格证明书（附法定代表人或负责人身份证复印件）；</w:t>
      </w:r>
    </w:p>
    <w:p>
      <w:pPr>
        <w:pageBreakBefore w:val="0"/>
        <w:bidi w:val="0"/>
        <w:spacing w:line="560" w:lineRule="exact"/>
        <w:ind w:firstLine="240" w:firstLine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2-2、被授权人参与投标时需提供法定代表人或负责人授权委托书（附法定代表人或负责人及被授权人身份证复印件）；</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2-3、投标保证金交纳凭证；（保证金交纳凭证复印件加盖公章）           </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2-5、单位负责人为同一人或者存在直接控股、管理关系的不同投标人，不得参加同一合同项下的政府采购活动；（提供书面承诺函，格式自拟加盖投标人公章）</w:t>
      </w:r>
    </w:p>
    <w:p>
      <w:pPr>
        <w:pageBreakBefore w:val="0"/>
        <w:bidi w:val="0"/>
        <w:spacing w:line="560" w:lineRule="exact"/>
        <w:ind w:firstLine="240" w:firstLine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2-6、</w:t>
      </w:r>
      <w:r>
        <w:rPr>
          <w:rFonts w:hint="eastAsia" w:ascii="仿宋" w:hAnsi="仿宋" w:eastAsia="仿宋" w:cs="仿宋"/>
          <w:color w:val="auto"/>
          <w:szCs w:val="24"/>
          <w:highlight w:val="none"/>
          <w:lang w:val="en-US" w:eastAsia="zh-CN"/>
        </w:rPr>
        <w:t>本项目专门面向中小企业采购；须符合《政府采购促进中小企业发展管理办法》（财库〔2020〕46号）规定的中小企业参加；(提供《中小企业声明函》，式样见投标文件格式)</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2-6</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本项目不接受联合体投标。</w:t>
      </w:r>
    </w:p>
    <w:p>
      <w:pPr>
        <w:pageBreakBefore w:val="0"/>
        <w:bidi w:val="0"/>
        <w:spacing w:line="560" w:lineRule="exact"/>
        <w:ind w:firstLine="240" w:firstLineChars="1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2、合格投标人</w:t>
      </w:r>
    </w:p>
    <w:p>
      <w:pPr>
        <w:pageBreakBefore w:val="0"/>
        <w:bidi w:val="0"/>
        <w:spacing w:line="560" w:lineRule="exact"/>
        <w:ind w:firstLine="470" w:firstLineChars="196"/>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color w:val="auto"/>
          <w:szCs w:val="24"/>
          <w:highlight w:val="none"/>
        </w:rPr>
        <w:t>及其实施条例等有关法律法规的规定</w:t>
      </w:r>
      <w:bookmarkEnd w:id="22"/>
      <w:r>
        <w:rPr>
          <w:rFonts w:hint="eastAsia" w:ascii="仿宋" w:hAnsi="仿宋" w:eastAsia="仿宋" w:cs="仿宋"/>
          <w:color w:val="auto"/>
          <w:szCs w:val="24"/>
          <w:highlight w:val="none"/>
        </w:rPr>
        <w:t>并满足本项目资格条件。不符合上述规定的投标人，投标无效。</w:t>
      </w:r>
    </w:p>
    <w:p>
      <w:pPr>
        <w:pageBreakBefore w:val="0"/>
        <w:bidi w:val="0"/>
        <w:spacing w:line="560" w:lineRule="exact"/>
        <w:ind w:firstLine="240" w:firstLineChars="1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3、投标人信用信息：</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3-1、采购人或采购代理机构将于本项目投标截止日在‘信用中国’网站、‘中国政府采购网’网站等渠道对供应商进行信用记录查询，查询的信用记录将进行打印存档，凡被列入失信被执行人、重大税收违法案件当事人名单、政府采购严重违法失信行为记录名单的，视为存在不良信用记录，参与本项目的将被拒绝。 </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3-2、特别说明：</w:t>
      </w:r>
    </w:p>
    <w:p>
      <w:pPr>
        <w:pageBreakBefore w:val="0"/>
        <w:bidi w:val="0"/>
        <w:spacing w:line="560" w:lineRule="exact"/>
        <w:ind w:firstLine="470" w:firstLineChars="196"/>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（1）投标人如在中标通知书发出前出现违法失信行为，采购人仍有权利提请评标委员会取消其中标资格；</w:t>
      </w:r>
    </w:p>
    <w:p>
      <w:pPr>
        <w:pageBreakBefore w:val="0"/>
        <w:bidi w:val="0"/>
        <w:spacing w:line="560" w:lineRule="exact"/>
        <w:ind w:firstLine="470" w:firstLineChars="196"/>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（2）投标人在投标文件中已出具的信用查询结果并不能取代采购人或采购代理机构在评标前进行复查。</w:t>
      </w:r>
    </w:p>
    <w:p>
      <w:pPr>
        <w:pageBreakBefore w:val="0"/>
        <w:bidi w:val="0"/>
        <w:spacing w:line="560" w:lineRule="exact"/>
        <w:ind w:firstLine="240" w:firstLineChars="100"/>
        <w:textAlignment w:val="auto"/>
        <w:outlineLvl w:val="2"/>
        <w:rPr>
          <w:rFonts w:ascii="仿宋" w:hAnsi="仿宋" w:eastAsia="仿宋" w:cs="仿宋"/>
          <w:b/>
          <w:bCs/>
          <w:color w:val="auto"/>
          <w:szCs w:val="24"/>
          <w:highlight w:val="none"/>
        </w:rPr>
      </w:pPr>
      <w:r>
        <w:rPr>
          <w:rFonts w:hint="eastAsia" w:ascii="仿宋" w:hAnsi="仿宋" w:eastAsia="仿宋" w:cs="仿宋"/>
          <w:color w:val="auto"/>
          <w:szCs w:val="24"/>
          <w:highlight w:val="none"/>
        </w:rPr>
        <w:t xml:space="preserve">4、投标文件的组成 </w:t>
      </w:r>
    </w:p>
    <w:p>
      <w:pPr>
        <w:pageBreakBefore w:val="0"/>
        <w:bidi w:val="0"/>
        <w:spacing w:line="560" w:lineRule="exact"/>
        <w:ind w:firstLine="240" w:firstLineChars="100"/>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4-1、投标函（格式）</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4-2、开标一览表（格式）</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4-3、投标分项报价表（格式）</w:t>
      </w:r>
    </w:p>
    <w:p>
      <w:pPr>
        <w:pageBreakBefore w:val="0"/>
        <w:bidi w:val="0"/>
        <w:spacing w:line="560" w:lineRule="exact"/>
        <w:ind w:firstLine="240" w:firstLineChars="100"/>
        <w:textAlignment w:val="auto"/>
        <w:rPr>
          <w:rFonts w:ascii="仿宋" w:hAnsi="仿宋" w:eastAsia="仿宋" w:cs="仿宋"/>
          <w:color w:val="auto"/>
          <w:szCs w:val="24"/>
          <w:highlight w:val="yellow"/>
        </w:rPr>
      </w:pPr>
      <w:r>
        <w:rPr>
          <w:rFonts w:hint="eastAsia" w:ascii="仿宋" w:hAnsi="仿宋" w:eastAsia="仿宋" w:cs="仿宋"/>
          <w:color w:val="auto"/>
          <w:szCs w:val="24"/>
          <w:highlight w:val="none"/>
        </w:rPr>
        <w:t>4-4、选配件报价表（格式，若有）</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4-5、货物说明一览表（格式）</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4-6、技术响应及偏离表（格式）</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4-7、商务响应及偏离表（格式）</w:t>
      </w:r>
    </w:p>
    <w:p>
      <w:pPr>
        <w:pageBreakBefore w:val="0"/>
        <w:bidi w:val="0"/>
        <w:spacing w:line="560" w:lineRule="exact"/>
        <w:ind w:firstLine="240" w:firstLineChars="100"/>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4-8、</w:t>
      </w:r>
      <w:r>
        <w:rPr>
          <w:rFonts w:hint="eastAsia" w:ascii="仿宋" w:hAnsi="仿宋" w:eastAsia="仿宋" w:cs="仿宋"/>
          <w:color w:val="auto"/>
          <w:kern w:val="0"/>
          <w:szCs w:val="24"/>
          <w:highlight w:val="none"/>
        </w:rPr>
        <w:t>资格证明文件</w:t>
      </w:r>
    </w:p>
    <w:p>
      <w:pPr>
        <w:pageBreakBefore w:val="0"/>
        <w:bidi w:val="0"/>
        <w:spacing w:line="560" w:lineRule="exact"/>
        <w:ind w:firstLine="240" w:firstLineChars="1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4-9、</w:t>
      </w:r>
      <w:r>
        <w:rPr>
          <w:rFonts w:hint="eastAsia" w:ascii="仿宋" w:hAnsi="仿宋" w:eastAsia="仿宋" w:cs="仿宋"/>
          <w:color w:val="auto"/>
          <w:kern w:val="0"/>
          <w:szCs w:val="24"/>
          <w:highlight w:val="none"/>
          <w:lang w:eastAsia="zh-CN"/>
        </w:rPr>
        <w:t>20</w:t>
      </w:r>
      <w:r>
        <w:rPr>
          <w:rFonts w:hint="eastAsia" w:ascii="仿宋" w:hAnsi="仿宋" w:eastAsia="仿宋" w:cs="仿宋"/>
          <w:color w:val="auto"/>
          <w:kern w:val="0"/>
          <w:szCs w:val="24"/>
          <w:highlight w:val="none"/>
          <w:lang w:val="en-US" w:eastAsia="zh-CN"/>
        </w:rPr>
        <w:t>20</w:t>
      </w:r>
      <w:r>
        <w:rPr>
          <w:rFonts w:hint="eastAsia" w:ascii="仿宋" w:hAnsi="仿宋" w:eastAsia="仿宋" w:cs="仿宋"/>
          <w:color w:val="auto"/>
          <w:kern w:val="0"/>
          <w:szCs w:val="24"/>
          <w:highlight w:val="none"/>
          <w:lang w:eastAsia="zh-CN"/>
        </w:rPr>
        <w:t>年1月1日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val="en-US" w:eastAsia="zh-CN"/>
        </w:rPr>
        <w:t>类似</w:t>
      </w:r>
      <w:r>
        <w:rPr>
          <w:rFonts w:hint="eastAsia" w:ascii="仿宋" w:hAnsi="仿宋" w:eastAsia="仿宋" w:cs="仿宋"/>
          <w:color w:val="auto"/>
          <w:kern w:val="0"/>
          <w:szCs w:val="24"/>
          <w:highlight w:val="none"/>
        </w:rPr>
        <w:t>项目业绩（以合同为准，复印件加盖公章）</w:t>
      </w:r>
    </w:p>
    <w:p>
      <w:pPr>
        <w:pageBreakBefore w:val="0"/>
        <w:bidi w:val="0"/>
        <w:spacing w:line="560" w:lineRule="exact"/>
        <w:ind w:firstLine="240" w:firstLineChars="1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4-10、产品的合法渠道证明文件</w:t>
      </w:r>
    </w:p>
    <w:p>
      <w:pPr>
        <w:pageBreakBefore w:val="0"/>
        <w:bidi w:val="0"/>
        <w:spacing w:line="560" w:lineRule="exact"/>
        <w:ind w:firstLine="240" w:firstLineChars="1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4-11、项目实施方案</w:t>
      </w:r>
    </w:p>
    <w:p>
      <w:pPr>
        <w:pageBreakBefore w:val="0"/>
        <w:bidi w:val="0"/>
        <w:spacing w:line="560" w:lineRule="exact"/>
        <w:ind w:firstLine="240" w:firstLineChars="100"/>
        <w:textAlignment w:val="auto"/>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4-12、</w:t>
      </w:r>
      <w:r>
        <w:rPr>
          <w:rFonts w:hint="eastAsia" w:ascii="仿宋" w:hAnsi="仿宋" w:eastAsia="仿宋" w:cs="仿宋"/>
          <w:color w:val="auto"/>
          <w:kern w:val="0"/>
          <w:szCs w:val="24"/>
          <w:highlight w:val="none"/>
          <w:lang w:val="en-US" w:eastAsia="zh-CN"/>
        </w:rPr>
        <w:t>产品的技术文件</w:t>
      </w:r>
    </w:p>
    <w:p>
      <w:pPr>
        <w:pageBreakBefore w:val="0"/>
        <w:bidi w:val="0"/>
        <w:spacing w:line="560" w:lineRule="exact"/>
        <w:ind w:firstLine="240" w:firstLineChars="1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4-13、质量保证</w:t>
      </w:r>
    </w:p>
    <w:p>
      <w:pPr>
        <w:pageBreakBefore w:val="0"/>
        <w:bidi w:val="0"/>
        <w:spacing w:line="560" w:lineRule="exact"/>
        <w:ind w:firstLine="240" w:firstLineChars="1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4-14、售后服务及培训计划</w:t>
      </w:r>
    </w:p>
    <w:p>
      <w:pPr>
        <w:pageBreakBefore w:val="0"/>
        <w:bidi w:val="0"/>
        <w:spacing w:line="560" w:lineRule="exact"/>
        <w:ind w:firstLine="240" w:firstLineChars="1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4-15、招标文件要求的其他证明资料及投标人认为需要提供的资料</w:t>
      </w:r>
    </w:p>
    <w:p>
      <w:pPr>
        <w:pageBreakBefore w:val="0"/>
        <w:bidi w:val="0"/>
        <w:spacing w:line="560" w:lineRule="exact"/>
        <w:ind w:firstLine="240" w:firstLineChars="100"/>
        <w:textAlignment w:val="auto"/>
        <w:outlineLvl w:val="2"/>
        <w:rPr>
          <w:rFonts w:ascii="仿宋" w:hAnsi="仿宋" w:eastAsia="仿宋" w:cs="仿宋"/>
          <w:b/>
          <w:bCs/>
          <w:color w:val="auto"/>
          <w:szCs w:val="24"/>
          <w:highlight w:val="none"/>
        </w:rPr>
      </w:pPr>
      <w:r>
        <w:rPr>
          <w:rFonts w:hint="eastAsia" w:ascii="仿宋" w:hAnsi="仿宋" w:eastAsia="仿宋" w:cs="仿宋"/>
          <w:color w:val="auto"/>
          <w:szCs w:val="24"/>
          <w:highlight w:val="none"/>
        </w:rPr>
        <w:t>5、投标文件编写说明</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pageBreakBefore w:val="0"/>
        <w:bidi w:val="0"/>
        <w:spacing w:line="560" w:lineRule="exact"/>
        <w:ind w:firstLine="240" w:firstLineChars="100"/>
        <w:textAlignment w:val="auto"/>
        <w:rPr>
          <w:rFonts w:ascii="仿宋" w:hAnsi="仿宋" w:eastAsia="仿宋" w:cs="仿宋"/>
          <w:color w:val="auto"/>
          <w:highlight w:val="none"/>
        </w:rPr>
      </w:pPr>
      <w:r>
        <w:rPr>
          <w:rFonts w:hint="eastAsia" w:ascii="仿宋" w:hAnsi="仿宋" w:eastAsia="仿宋" w:cs="仿宋"/>
          <w:color w:val="auto"/>
          <w:szCs w:val="24"/>
          <w:highlight w:val="none"/>
        </w:rPr>
        <w:t>5-3、投标文件中的法人授权书须为原件，其它资质证明文件为复印件加盖投标人公章（鲜章）。</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5-4、投标文件因书写潦草、内容表达不清、印章或证明材料内容模糊难辨等导致的不利后果由投标人自行承担。</w:t>
      </w:r>
    </w:p>
    <w:p>
      <w:pPr>
        <w:pageBreakBefore w:val="0"/>
        <w:bidi w:val="0"/>
        <w:spacing w:line="560" w:lineRule="exact"/>
        <w:ind w:firstLine="232" w:firstLineChars="100"/>
        <w:textAlignment w:val="auto"/>
        <w:rPr>
          <w:rFonts w:ascii="仿宋" w:hAnsi="仿宋" w:eastAsia="仿宋" w:cs="仿宋"/>
          <w:color w:val="auto"/>
          <w:szCs w:val="24"/>
          <w:highlight w:val="none"/>
        </w:rPr>
      </w:pPr>
      <w:r>
        <w:rPr>
          <w:rFonts w:hint="eastAsia" w:ascii="仿宋" w:hAnsi="仿宋" w:eastAsia="仿宋" w:cs="仿宋"/>
          <w:color w:val="auto"/>
          <w:spacing w:val="-4"/>
          <w:szCs w:val="24"/>
          <w:highlight w:val="none"/>
        </w:rPr>
        <w:t>5-</w:t>
      </w:r>
      <w:r>
        <w:rPr>
          <w:rFonts w:hint="eastAsia" w:ascii="仿宋" w:hAnsi="仿宋" w:eastAsia="仿宋" w:cs="仿宋"/>
          <w:color w:val="auto"/>
          <w:spacing w:val="-4"/>
          <w:szCs w:val="24"/>
          <w:highlight w:val="none"/>
          <w:lang w:val="en-US" w:eastAsia="zh-CN"/>
        </w:rPr>
        <w:t>5</w:t>
      </w:r>
      <w:r>
        <w:rPr>
          <w:rFonts w:hint="eastAsia" w:ascii="仿宋" w:hAnsi="仿宋" w:eastAsia="仿宋" w:cs="仿宋"/>
          <w:color w:val="auto"/>
          <w:spacing w:val="-4"/>
          <w:szCs w:val="24"/>
          <w:highlight w:val="none"/>
        </w:rPr>
        <w:t>、“开标一览表”为在</w:t>
      </w:r>
      <w:r>
        <w:rPr>
          <w:rFonts w:hint="eastAsia" w:ascii="仿宋" w:hAnsi="仿宋" w:eastAsia="仿宋" w:cs="仿宋"/>
          <w:color w:val="auto"/>
          <w:spacing w:val="-4"/>
          <w:szCs w:val="24"/>
          <w:highlight w:val="none"/>
          <w:lang w:val="en-US" w:eastAsia="zh-CN"/>
        </w:rPr>
        <w:t>不见面大厅</w:t>
      </w:r>
      <w:r>
        <w:rPr>
          <w:rFonts w:hint="eastAsia" w:ascii="仿宋" w:hAnsi="仿宋" w:eastAsia="仿宋" w:cs="仿宋"/>
          <w:color w:val="auto"/>
          <w:spacing w:val="-4"/>
          <w:szCs w:val="24"/>
          <w:highlight w:val="none"/>
        </w:rPr>
        <w:t>开标会议上唱标的内</w:t>
      </w:r>
      <w:r>
        <w:rPr>
          <w:rFonts w:hint="eastAsia" w:ascii="仿宋" w:hAnsi="仿宋" w:eastAsia="仿宋" w:cs="仿宋"/>
          <w:color w:val="auto"/>
          <w:szCs w:val="24"/>
          <w:highlight w:val="none"/>
        </w:rPr>
        <w:t>容，按格式要求填写。</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、开标一览表必须由法定代表人或被授权人签字并加盖投标人公章，</w:t>
      </w:r>
      <w:r>
        <w:rPr>
          <w:rFonts w:hint="eastAsia" w:ascii="仿宋" w:hAnsi="仿宋" w:eastAsia="仿宋" w:cs="仿宋"/>
          <w:b/>
          <w:bCs/>
          <w:color w:val="auto"/>
          <w:szCs w:val="24"/>
          <w:highlight w:val="none"/>
        </w:rPr>
        <w:t>否则将作为无效投标处理</w:t>
      </w:r>
      <w:r>
        <w:rPr>
          <w:rFonts w:hint="eastAsia" w:ascii="仿宋" w:hAnsi="仿宋" w:eastAsia="仿宋" w:cs="仿宋"/>
          <w:color w:val="auto"/>
          <w:szCs w:val="24"/>
          <w:highlight w:val="none"/>
        </w:rPr>
        <w:t>。</w:t>
      </w:r>
    </w:p>
    <w:p>
      <w:pPr>
        <w:pageBreakBefore w:val="0"/>
        <w:bidi w:val="0"/>
        <w:spacing w:line="560" w:lineRule="exact"/>
        <w:ind w:firstLine="240" w:firstLineChars="100"/>
        <w:textAlignment w:val="auto"/>
        <w:outlineLvl w:val="2"/>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6、投标文件的</w:t>
      </w:r>
      <w:r>
        <w:rPr>
          <w:rFonts w:hint="eastAsia" w:ascii="仿宋" w:hAnsi="仿宋" w:eastAsia="仿宋" w:cs="仿宋"/>
          <w:color w:val="auto"/>
          <w:szCs w:val="24"/>
          <w:highlight w:val="none"/>
          <w:lang w:val="en-US" w:eastAsia="zh-CN"/>
        </w:rPr>
        <w:t>数量</w:t>
      </w:r>
    </w:p>
    <w:p>
      <w:pPr>
        <w:pageBreakBefore w:val="0"/>
        <w:bidi w:val="0"/>
        <w:spacing w:line="560" w:lineRule="exact"/>
        <w:ind w:firstLine="240" w:firstLineChars="100"/>
        <w:textAlignment w:val="auto"/>
        <w:rPr>
          <w:rFonts w:ascii="仿宋" w:hAnsi="仿宋" w:eastAsia="仿宋" w:cs="仿宋"/>
          <w:color w:val="auto"/>
          <w:szCs w:val="24"/>
          <w:highlight w:val="none"/>
        </w:rPr>
      </w:pPr>
      <w:r>
        <w:rPr>
          <w:rFonts w:hint="eastAsia" w:ascii="仿宋" w:hAnsi="仿宋" w:eastAsia="仿宋" w:cs="仿宋"/>
          <w:color w:val="auto"/>
          <w:sz w:val="24"/>
          <w:highlight w:val="none"/>
          <w:lang w:val="en-US" w:eastAsia="zh-CN"/>
        </w:rPr>
        <w:t>本项目为不见面开标，中标单位在领取中标通知书时，提供与上传至陕西省宝鸡市公共资源交易平台的电子投标文件一致的纸质投标文件</w:t>
      </w:r>
      <w:r>
        <w:rPr>
          <w:rFonts w:hint="eastAsia" w:ascii="仿宋" w:hAnsi="仿宋" w:eastAsia="仿宋" w:cs="仿宋"/>
          <w:color w:val="auto"/>
          <w:szCs w:val="24"/>
          <w:highlight w:val="none"/>
        </w:rPr>
        <w:t>正本一份，副本</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份，电子文件</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份（扩展名为“.</w:t>
      </w:r>
      <w:r>
        <w:rPr>
          <w:rFonts w:hint="eastAsia" w:ascii="仿宋" w:hAnsi="仿宋" w:eastAsia="仿宋" w:cs="仿宋"/>
          <w:color w:val="auto"/>
          <w:szCs w:val="24"/>
          <w:highlight w:val="none"/>
          <w:lang w:val="en-US" w:eastAsia="zh-CN"/>
        </w:rPr>
        <w:t>n</w:t>
      </w:r>
      <w:r>
        <w:rPr>
          <w:rFonts w:hint="eastAsia" w:ascii="仿宋" w:hAnsi="仿宋" w:eastAsia="仿宋" w:cs="仿宋"/>
          <w:color w:val="auto"/>
          <w:szCs w:val="24"/>
          <w:highlight w:val="none"/>
        </w:rPr>
        <w:t>SXSTF”的非加密电子化</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文件1份，与纸质版</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文件一致的电子版</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文件1份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word版本及PDF版本（PDF文件为完整签字、盖章的正本扫描件）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“开标一览表”一份。纸质</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文件均须A4纸打印（提倡双面打印），分别各自装订成册并编制目录和页码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w:t>
      </w:r>
      <w:r>
        <w:rPr>
          <w:rFonts w:hint="eastAsia" w:ascii="仿宋" w:hAnsi="仿宋" w:eastAsia="仿宋" w:cs="仿宋"/>
          <w:color w:val="auto"/>
          <w:szCs w:val="24"/>
          <w:highlight w:val="none"/>
          <w:lang w:eastAsia="zh-CN"/>
        </w:rPr>
        <w:t>文件</w:t>
      </w:r>
      <w:r>
        <w:rPr>
          <w:rFonts w:hint="eastAsia" w:ascii="仿宋" w:hAnsi="仿宋" w:eastAsia="仿宋" w:cs="仿宋"/>
          <w:color w:val="auto"/>
          <w:szCs w:val="24"/>
          <w:highlight w:val="none"/>
        </w:rPr>
        <w:t>放置“开标一览表”标袋内。</w:t>
      </w:r>
    </w:p>
    <w:p>
      <w:pPr>
        <w:pageBreakBefore w:val="0"/>
        <w:bidi w:val="0"/>
        <w:spacing w:line="560" w:lineRule="exact"/>
        <w:ind w:firstLine="470" w:firstLineChars="196"/>
        <w:textAlignment w:val="auto"/>
        <w:outlineLvl w:val="2"/>
        <w:rPr>
          <w:rFonts w:ascii="仿宋" w:hAnsi="仿宋" w:eastAsia="仿宋" w:cs="仿宋"/>
          <w:b/>
          <w:bCs/>
          <w:color w:val="auto"/>
          <w:szCs w:val="24"/>
          <w:highlight w:val="none"/>
        </w:rPr>
      </w:pPr>
      <w:r>
        <w:rPr>
          <w:rFonts w:hint="eastAsia" w:ascii="仿宋" w:hAnsi="仿宋" w:eastAsia="仿宋" w:cs="仿宋"/>
          <w:color w:val="auto"/>
          <w:szCs w:val="24"/>
          <w:highlight w:val="none"/>
        </w:rPr>
        <w:t>7、投标文件的计量单位</w:t>
      </w:r>
    </w:p>
    <w:p>
      <w:pPr>
        <w:pageBreakBefore w:val="0"/>
        <w:bidi w:val="0"/>
        <w:spacing w:line="560" w:lineRule="exact"/>
        <w:ind w:firstLine="480" w:firstLineChars="200"/>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投标文件中所使用的计量单位，除有特殊要求外，均采用国家法定计量单位。</w:t>
      </w:r>
    </w:p>
    <w:p>
      <w:pPr>
        <w:pageBreakBefore w:val="0"/>
        <w:bidi w:val="0"/>
        <w:spacing w:line="560" w:lineRule="exact"/>
        <w:ind w:firstLine="470" w:firstLineChars="196"/>
        <w:textAlignment w:val="auto"/>
        <w:outlineLvl w:val="2"/>
        <w:rPr>
          <w:rFonts w:ascii="仿宋" w:hAnsi="仿宋" w:eastAsia="仿宋" w:cs="仿宋"/>
          <w:b/>
          <w:bCs/>
          <w:color w:val="auto"/>
          <w:szCs w:val="24"/>
          <w:highlight w:val="none"/>
        </w:rPr>
      </w:pPr>
      <w:r>
        <w:rPr>
          <w:rFonts w:hint="eastAsia" w:ascii="仿宋" w:hAnsi="仿宋" w:eastAsia="仿宋" w:cs="仿宋"/>
          <w:bCs/>
          <w:color w:val="auto"/>
          <w:szCs w:val="24"/>
          <w:highlight w:val="none"/>
        </w:rPr>
        <w:t>8、投标报价</w:t>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8-1、投标货币：人民币      单位:元（保留小数点后两位）。</w:t>
      </w:r>
    </w:p>
    <w:p>
      <w:pPr>
        <w:pageBreakBefore w:val="0"/>
        <w:bidi w:val="0"/>
        <w:spacing w:line="560" w:lineRule="exact"/>
        <w:ind w:firstLine="470" w:firstLineChars="196"/>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8-2、投标</w:t>
      </w:r>
      <w:bookmarkStart w:id="23" w:name="OLE_LINK11"/>
      <w:r>
        <w:rPr>
          <w:rFonts w:hint="eastAsia" w:ascii="仿宋" w:hAnsi="仿宋" w:eastAsia="仿宋" w:cs="仿宋"/>
          <w:color w:val="auto"/>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pageBreakBefore w:val="0"/>
        <w:bidi w:val="0"/>
        <w:spacing w:line="560" w:lineRule="exact"/>
        <w:ind w:firstLine="482" w:firstLineChars="200"/>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8-3、本项目为交钥匙项目，投标报价=设备价（含税）</w:t>
      </w:r>
      <w:r>
        <w:rPr>
          <w:rFonts w:hint="eastAsia" w:ascii="仿宋" w:hAnsi="仿宋" w:eastAsia="仿宋" w:cs="仿宋"/>
          <w:color w:val="auto"/>
          <w:szCs w:val="24"/>
          <w:highlight w:val="none"/>
        </w:rPr>
        <w:t>+</w:t>
      </w:r>
      <w:r>
        <w:rPr>
          <w:rFonts w:hint="eastAsia" w:ascii="仿宋" w:hAnsi="仿宋" w:eastAsia="仿宋" w:cs="仿宋"/>
          <w:b/>
          <w:color w:val="auto"/>
          <w:szCs w:val="24"/>
          <w:highlight w:val="none"/>
        </w:rPr>
        <w:t>运输费+安装费+调试费+培训费+产品辅材费+售后服务费+保险费+相关伴随费用等。</w:t>
      </w:r>
    </w:p>
    <w:bookmarkEnd w:id="23"/>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pageBreakBefore w:val="0"/>
        <w:bidi w:val="0"/>
        <w:spacing w:line="560" w:lineRule="exact"/>
        <w:ind w:firstLine="588" w:firstLineChars="245"/>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8-5、不接受超过招标文件中规定的预算金额或者最高限价的报价、可变动性报价、赠送及“零”报价，</w:t>
      </w:r>
      <w:r>
        <w:rPr>
          <w:rFonts w:hint="eastAsia" w:ascii="仿宋" w:hAnsi="仿宋" w:eastAsia="仿宋" w:cs="仿宋"/>
          <w:b/>
          <w:bCs/>
          <w:color w:val="auto"/>
          <w:szCs w:val="24"/>
          <w:highlight w:val="none"/>
        </w:rPr>
        <w:t>否则视为无效投标</w:t>
      </w:r>
      <w:r>
        <w:rPr>
          <w:rFonts w:hint="eastAsia" w:ascii="仿宋" w:hAnsi="仿宋" w:eastAsia="仿宋" w:cs="仿宋"/>
          <w:color w:val="auto"/>
          <w:szCs w:val="24"/>
          <w:highlight w:val="none"/>
        </w:rPr>
        <w:t>。</w:t>
      </w:r>
    </w:p>
    <w:p>
      <w:pPr>
        <w:pageBreakBefore w:val="0"/>
        <w:bidi w:val="0"/>
        <w:spacing w:line="560" w:lineRule="exact"/>
        <w:ind w:firstLine="588" w:firstLineChars="245"/>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8-6、投标人要按所报产品分项报价表内容填写货物品名、单价及总价、制造厂家等内容，并由法人代表或被授权人签署。投标分项报价表上的价格应按下列要求分项填写：</w:t>
      </w:r>
    </w:p>
    <w:p>
      <w:pPr>
        <w:pageBreakBefore w:val="0"/>
        <w:bidi w:val="0"/>
        <w:spacing w:line="560" w:lineRule="exact"/>
        <w:ind w:firstLine="470" w:firstLineChars="196"/>
        <w:textAlignment w:val="auto"/>
        <w:outlineLvl w:val="3"/>
        <w:rPr>
          <w:rFonts w:ascii="仿宋" w:hAnsi="仿宋" w:eastAsia="仿宋" w:cs="仿宋"/>
          <w:b/>
          <w:bCs/>
          <w:color w:val="auto"/>
          <w:szCs w:val="24"/>
          <w:highlight w:val="none"/>
        </w:rPr>
      </w:pPr>
      <w:r>
        <w:rPr>
          <w:rFonts w:hint="eastAsia" w:ascii="仿宋" w:hAnsi="仿宋" w:eastAsia="仿宋" w:cs="仿宋"/>
          <w:color w:val="auto"/>
          <w:szCs w:val="24"/>
          <w:highlight w:val="none"/>
        </w:rPr>
        <w:t>（1）所投货物的设备价</w:t>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（2）备品备件价（根据招标文件要求和货物技术状况列出质量保证期内需要的备品备件清单和价格）</w:t>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（3）专用工具价（如果需要使用）</w:t>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（4）安装调试费用</w:t>
      </w:r>
    </w:p>
    <w:p>
      <w:pPr>
        <w:pageBreakBefore w:val="0"/>
        <w:bidi w:val="0"/>
        <w:spacing w:line="560" w:lineRule="exact"/>
        <w:ind w:firstLine="470" w:firstLineChars="196"/>
        <w:textAlignment w:val="auto"/>
        <w:rPr>
          <w:rFonts w:ascii="仿宋" w:hAnsi="仿宋" w:eastAsia="仿宋" w:cs="仿宋"/>
          <w:color w:val="auto"/>
          <w:szCs w:val="24"/>
          <w:highlight w:val="green"/>
        </w:rPr>
      </w:pPr>
      <w:r>
        <w:rPr>
          <w:rFonts w:hint="eastAsia" w:ascii="仿宋" w:hAnsi="仿宋" w:eastAsia="仿宋" w:cs="仿宋"/>
          <w:color w:val="auto"/>
          <w:szCs w:val="24"/>
          <w:highlight w:val="none"/>
        </w:rPr>
        <w:t>（5）货物运至指定地点的运输（含保险）费用</w:t>
      </w:r>
    </w:p>
    <w:p>
      <w:pPr>
        <w:pageBreakBefore w:val="0"/>
        <w:bidi w:val="0"/>
        <w:spacing w:line="560" w:lineRule="exact"/>
        <w:ind w:firstLine="470" w:firstLineChars="196"/>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（6）售后服务费</w:t>
      </w:r>
    </w:p>
    <w:p>
      <w:pPr>
        <w:pageBreakBefore w:val="0"/>
        <w:bidi w:val="0"/>
        <w:spacing w:line="560" w:lineRule="exact"/>
        <w:ind w:firstLine="470" w:firstLineChars="196"/>
        <w:textAlignment w:val="auto"/>
        <w:rPr>
          <w:rFonts w:ascii="仿宋" w:hAnsi="仿宋" w:eastAsia="仿宋" w:cs="仿宋"/>
          <w:color w:val="auto"/>
          <w:highlight w:val="none"/>
        </w:rPr>
      </w:pPr>
      <w:r>
        <w:rPr>
          <w:rFonts w:hint="eastAsia" w:ascii="仿宋" w:hAnsi="仿宋" w:eastAsia="仿宋" w:cs="仿宋"/>
          <w:color w:val="auto"/>
          <w:szCs w:val="24"/>
          <w:highlight w:val="none"/>
        </w:rPr>
        <w:t>（7）培训费</w:t>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（8）招标文件要求的所有伴随服务的费用</w:t>
      </w:r>
      <w:r>
        <w:rPr>
          <w:rFonts w:hint="eastAsia" w:ascii="仿宋" w:hAnsi="仿宋" w:eastAsia="仿宋" w:cs="仿宋"/>
          <w:color w:val="auto"/>
          <w:szCs w:val="24"/>
          <w:highlight w:val="none"/>
        </w:rPr>
        <w:tab/>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（9）所有根据合同或其它原因应由投标人支付的税款和其它应交纳的费用都要包括在投标人提交的投标价格中。</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8-7、投标人所报的投标价在合同执行过程中是固定不变的，不得以任何理由予以变更。任何包含价格调整要求的投标，将被认为是非响应性投标而予以拒绝。</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8-8、选配件是投标产品的附件，仅作为采购人后期选择购买，其报价不包含在本次投标总价内。</w:t>
      </w:r>
    </w:p>
    <w:p>
      <w:pPr>
        <w:pageBreakBefore w:val="0"/>
        <w:bidi w:val="0"/>
        <w:spacing w:line="560" w:lineRule="exact"/>
        <w:ind w:firstLine="470" w:firstLineChars="196"/>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9、对投标人的其他要求：</w:t>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9-1、投标人不得以他人名义投标和串通投标。</w:t>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9-2、必须根据招标文件要求进行生产、供货等。</w:t>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pageBreakBefore w:val="0"/>
        <w:bidi w:val="0"/>
        <w:spacing w:line="560" w:lineRule="exact"/>
        <w:ind w:firstLine="470" w:firstLineChars="196"/>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9-4、接受采购人委托的相关单位对货物内容、质量、进度、实施方案、价款支付与结算审核等的监督和管理。</w:t>
      </w:r>
    </w:p>
    <w:p>
      <w:pPr>
        <w:pageBreakBefore w:val="0"/>
        <w:bidi w:val="0"/>
        <w:spacing w:line="560" w:lineRule="exact"/>
        <w:ind w:firstLine="470" w:firstLineChars="196"/>
        <w:textAlignment w:val="auto"/>
        <w:rPr>
          <w:rFonts w:ascii="仿宋" w:hAnsi="仿宋" w:eastAsia="仿宋" w:cs="仿宋"/>
          <w:b/>
          <w:bCs/>
          <w:color w:val="auto"/>
          <w:szCs w:val="24"/>
          <w:highlight w:val="none"/>
        </w:rPr>
      </w:pPr>
      <w:r>
        <w:rPr>
          <w:rFonts w:hint="eastAsia" w:ascii="仿宋" w:hAnsi="仿宋" w:eastAsia="仿宋" w:cs="仿宋"/>
          <w:color w:val="auto"/>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pageBreakBefore w:val="0"/>
        <w:bidi w:val="0"/>
        <w:spacing w:line="560" w:lineRule="exact"/>
        <w:ind w:firstLine="470" w:firstLineChars="196"/>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pageBreakBefore w:val="0"/>
        <w:bidi w:val="0"/>
        <w:spacing w:line="560" w:lineRule="exact"/>
        <w:ind w:firstLine="470" w:firstLineChars="196"/>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458"/>
      <w:bookmarkStart w:id="25" w:name="_Toc458617735"/>
    </w:p>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26" w:name="_Toc14492"/>
      <w:r>
        <w:rPr>
          <w:rFonts w:hint="eastAsia" w:ascii="仿宋" w:hAnsi="仿宋" w:eastAsia="仿宋" w:cs="仿宋"/>
          <w:color w:val="auto"/>
          <w:kern w:val="0"/>
          <w:sz w:val="28"/>
          <w:szCs w:val="28"/>
          <w:highlight w:val="none"/>
        </w:rPr>
        <w:t>五、投标担保</w:t>
      </w:r>
      <w:bookmarkEnd w:id="24"/>
      <w:bookmarkEnd w:id="25"/>
      <w:bookmarkEnd w:id="26"/>
    </w:p>
    <w:p>
      <w:pPr>
        <w:pageBreakBefore w:val="0"/>
        <w:tabs>
          <w:tab w:val="left" w:pos="7013"/>
        </w:tabs>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1、担保方式：见投标人须知前附表。</w:t>
      </w:r>
      <w:r>
        <w:rPr>
          <w:rFonts w:hint="eastAsia" w:ascii="仿宋" w:hAnsi="仿宋" w:eastAsia="仿宋" w:cs="仿宋"/>
          <w:color w:val="auto"/>
          <w:szCs w:val="24"/>
          <w:highlight w:val="none"/>
        </w:rPr>
        <w:tab/>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2、投标担保递交截止时间：见投标人须知前附表。</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3、投标人投标时，必须以招标文件规定的方式提交投标担保，并作为其投标的一部分。开标现场不办理投标担保收取事宜。若陕西省</w:t>
      </w:r>
      <w:r>
        <w:rPr>
          <w:rFonts w:hint="eastAsia" w:ascii="仿宋" w:hAnsi="仿宋" w:eastAsia="仿宋" w:cs="仿宋"/>
          <w:color w:val="auto"/>
          <w:szCs w:val="24"/>
          <w:highlight w:val="none"/>
          <w:lang w:val="en-US" w:eastAsia="zh-CN"/>
        </w:rPr>
        <w:t>宝鸡</w:t>
      </w:r>
      <w:r>
        <w:rPr>
          <w:rFonts w:hint="eastAsia" w:ascii="仿宋" w:hAnsi="仿宋" w:eastAsia="仿宋" w:cs="仿宋"/>
          <w:color w:val="auto"/>
          <w:szCs w:val="24"/>
          <w:highlight w:val="none"/>
        </w:rPr>
        <w:t>市公共资源交易中心未在投标担保递交截止时间收到足额投标保证金或有效投标担保函的，或未在投标文件中附投标担保凭证的，其投标无效。</w:t>
      </w:r>
    </w:p>
    <w:p>
      <w:pPr>
        <w:pageBreakBefore w:val="0"/>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4、退还投标保证金：</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（1）在</w:t>
      </w:r>
      <w:r>
        <w:rPr>
          <w:rFonts w:hint="eastAsia" w:ascii="仿宋" w:hAnsi="仿宋" w:eastAsia="仿宋" w:cs="仿宋"/>
          <w:b/>
          <w:bCs/>
          <w:color w:val="auto"/>
          <w:sz w:val="24"/>
          <w:highlight w:val="none"/>
          <w:u w:val="single"/>
          <w:lang w:val="en-US" w:eastAsia="zh-CN"/>
        </w:rPr>
        <w:t>投标</w:t>
      </w:r>
      <w:r>
        <w:rPr>
          <w:rFonts w:hint="eastAsia" w:ascii="仿宋" w:hAnsi="仿宋" w:eastAsia="仿宋" w:cs="仿宋"/>
          <w:b/>
          <w:bCs/>
          <w:color w:val="auto"/>
          <w:sz w:val="24"/>
          <w:highlight w:val="none"/>
          <w:u w:val="single"/>
        </w:rPr>
        <w:t>截止时间前撤回已提交</w:t>
      </w:r>
      <w:r>
        <w:rPr>
          <w:rFonts w:hint="eastAsia" w:ascii="仿宋" w:hAnsi="仿宋" w:eastAsia="仿宋" w:cs="仿宋"/>
          <w:b/>
          <w:bCs/>
          <w:color w:val="auto"/>
          <w:sz w:val="24"/>
          <w:highlight w:val="none"/>
          <w:u w:val="single"/>
          <w:lang w:val="en-US" w:eastAsia="zh-CN"/>
        </w:rPr>
        <w:t>投标</w:t>
      </w:r>
      <w:r>
        <w:rPr>
          <w:rFonts w:hint="eastAsia" w:ascii="仿宋" w:hAnsi="仿宋" w:eastAsia="仿宋" w:cs="仿宋"/>
          <w:b/>
          <w:bCs/>
          <w:color w:val="auto"/>
          <w:sz w:val="24"/>
          <w:highlight w:val="none"/>
          <w:u w:val="single"/>
        </w:rPr>
        <w:t>文件的</w:t>
      </w:r>
      <w:r>
        <w:rPr>
          <w:rFonts w:hint="eastAsia" w:ascii="仿宋" w:hAnsi="仿宋" w:eastAsia="仿宋" w:cs="仿宋"/>
          <w:b/>
          <w:bCs/>
          <w:color w:val="auto"/>
          <w:sz w:val="24"/>
          <w:highlight w:val="none"/>
          <w:u w:val="single"/>
          <w:lang w:val="en-US" w:eastAsia="zh-CN"/>
        </w:rPr>
        <w:t>投标人</w:t>
      </w:r>
      <w:r>
        <w:rPr>
          <w:rFonts w:hint="eastAsia" w:ascii="仿宋" w:hAnsi="仿宋" w:eastAsia="仿宋" w:cs="仿宋"/>
          <w:b/>
          <w:bCs/>
          <w:color w:val="auto"/>
          <w:sz w:val="24"/>
          <w:highlight w:val="none"/>
          <w:u w:val="single"/>
        </w:rPr>
        <w:t>的</w:t>
      </w:r>
      <w:r>
        <w:rPr>
          <w:rFonts w:hint="eastAsia" w:ascii="仿宋" w:hAnsi="仿宋" w:eastAsia="仿宋" w:cs="仿宋"/>
          <w:b/>
          <w:bCs/>
          <w:color w:val="auto"/>
          <w:sz w:val="24"/>
          <w:highlight w:val="none"/>
          <w:u w:val="single"/>
          <w:lang w:val="en-US" w:eastAsia="zh-CN"/>
        </w:rPr>
        <w:t>投标</w:t>
      </w:r>
      <w:r>
        <w:rPr>
          <w:rFonts w:hint="eastAsia" w:ascii="仿宋" w:hAnsi="仿宋" w:eastAsia="仿宋" w:cs="仿宋"/>
          <w:b/>
          <w:bCs/>
          <w:color w:val="auto"/>
          <w:sz w:val="24"/>
          <w:highlight w:val="none"/>
          <w:u w:val="single"/>
        </w:rPr>
        <w:t>保证金，将在采购代理机构收到</w:t>
      </w:r>
      <w:r>
        <w:rPr>
          <w:rFonts w:hint="eastAsia" w:ascii="仿宋" w:hAnsi="仿宋" w:eastAsia="仿宋" w:cs="仿宋"/>
          <w:b/>
          <w:bCs/>
          <w:color w:val="auto"/>
          <w:sz w:val="24"/>
          <w:highlight w:val="none"/>
          <w:u w:val="single"/>
          <w:lang w:val="en-US" w:eastAsia="zh-CN"/>
        </w:rPr>
        <w:t>投标人</w:t>
      </w:r>
      <w:r>
        <w:rPr>
          <w:rFonts w:hint="eastAsia" w:ascii="仿宋" w:hAnsi="仿宋" w:eastAsia="仿宋" w:cs="仿宋"/>
          <w:b/>
          <w:bCs/>
          <w:color w:val="auto"/>
          <w:sz w:val="24"/>
          <w:highlight w:val="none"/>
          <w:u w:val="single"/>
        </w:rPr>
        <w:t>书面撤回通知之日起5个工作日内，由</w:t>
      </w:r>
      <w:r>
        <w:rPr>
          <w:rFonts w:hint="eastAsia" w:ascii="仿宋" w:hAnsi="仿宋" w:eastAsia="仿宋" w:cs="仿宋"/>
          <w:b/>
          <w:bCs/>
          <w:color w:val="auto"/>
          <w:sz w:val="24"/>
          <w:highlight w:val="none"/>
          <w:u w:val="single"/>
          <w:lang w:val="en-US" w:eastAsia="zh-CN"/>
        </w:rPr>
        <w:t>采购</w:t>
      </w:r>
      <w:r>
        <w:rPr>
          <w:rFonts w:hint="eastAsia" w:ascii="仿宋" w:hAnsi="仿宋" w:eastAsia="仿宋" w:cs="仿宋"/>
          <w:b/>
          <w:bCs/>
          <w:color w:val="auto"/>
          <w:sz w:val="24"/>
          <w:highlight w:val="none"/>
          <w:u w:val="single"/>
        </w:rPr>
        <w:t>代理机构向公共资源交易中心提交申请，予以退还（无息）。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（2）所有未</w:t>
      </w:r>
      <w:r>
        <w:rPr>
          <w:rFonts w:hint="eastAsia" w:ascii="仿宋" w:hAnsi="仿宋" w:eastAsia="仿宋" w:cs="仿宋"/>
          <w:b/>
          <w:bCs/>
          <w:color w:val="auto"/>
          <w:sz w:val="24"/>
          <w:highlight w:val="none"/>
          <w:u w:val="single"/>
          <w:lang w:val="en-US" w:eastAsia="zh-CN"/>
        </w:rPr>
        <w:t>中标</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投标</w:t>
      </w:r>
      <w:r>
        <w:rPr>
          <w:rFonts w:hint="eastAsia" w:ascii="仿宋" w:hAnsi="仿宋" w:eastAsia="仿宋" w:cs="仿宋"/>
          <w:b/>
          <w:bCs/>
          <w:color w:val="auto"/>
          <w:sz w:val="24"/>
          <w:highlight w:val="none"/>
          <w:u w:val="single"/>
        </w:rPr>
        <w:t>保证金，将在</w:t>
      </w:r>
      <w:r>
        <w:rPr>
          <w:rFonts w:hint="eastAsia" w:ascii="仿宋" w:hAnsi="仿宋" w:eastAsia="仿宋" w:cs="仿宋"/>
          <w:b/>
          <w:bCs/>
          <w:color w:val="auto"/>
          <w:sz w:val="24"/>
          <w:highlight w:val="none"/>
          <w:u w:val="single"/>
          <w:lang w:val="en-US" w:eastAsia="zh-CN"/>
        </w:rPr>
        <w:t>中标</w:t>
      </w:r>
      <w:r>
        <w:rPr>
          <w:rFonts w:hint="eastAsia" w:ascii="仿宋" w:hAnsi="仿宋" w:eastAsia="仿宋" w:cs="仿宋"/>
          <w:b/>
          <w:bCs/>
          <w:color w:val="auto"/>
          <w:sz w:val="24"/>
          <w:highlight w:val="none"/>
          <w:u w:val="single"/>
        </w:rPr>
        <w:t>通知书发出后5个工作日内，由</w:t>
      </w:r>
      <w:r>
        <w:rPr>
          <w:rFonts w:hint="eastAsia" w:ascii="仿宋" w:hAnsi="仿宋" w:eastAsia="仿宋" w:cs="仿宋"/>
          <w:b/>
          <w:bCs/>
          <w:color w:val="auto"/>
          <w:sz w:val="24"/>
          <w:highlight w:val="none"/>
          <w:u w:val="single"/>
          <w:lang w:val="en-US" w:eastAsia="zh-CN"/>
        </w:rPr>
        <w:t>采购</w:t>
      </w:r>
      <w:r>
        <w:rPr>
          <w:rFonts w:hint="eastAsia" w:ascii="仿宋" w:hAnsi="仿宋" w:eastAsia="仿宋" w:cs="仿宋"/>
          <w:b/>
          <w:bCs/>
          <w:color w:val="auto"/>
          <w:sz w:val="24"/>
          <w:highlight w:val="none"/>
          <w:u w:val="single"/>
        </w:rPr>
        <w:t>代理机构向公共资源交易中心提交申请，予以退还（无息）。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（3）</w:t>
      </w:r>
      <w:r>
        <w:rPr>
          <w:rFonts w:hint="eastAsia" w:ascii="仿宋" w:hAnsi="仿宋" w:eastAsia="仿宋" w:cs="仿宋"/>
          <w:b/>
          <w:bCs/>
          <w:color w:val="auto"/>
          <w:sz w:val="24"/>
          <w:highlight w:val="none"/>
          <w:u w:val="single"/>
          <w:lang w:val="en-US" w:eastAsia="zh-CN"/>
        </w:rPr>
        <w:t>中标</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投标</w:t>
      </w:r>
      <w:r>
        <w:rPr>
          <w:rFonts w:hint="eastAsia" w:ascii="仿宋" w:hAnsi="仿宋" w:eastAsia="仿宋" w:cs="仿宋"/>
          <w:b/>
          <w:bCs/>
          <w:color w:val="auto"/>
          <w:sz w:val="24"/>
          <w:highlight w:val="none"/>
          <w:u w:val="single"/>
        </w:rPr>
        <w:t>保证金，将在签订合同后5个工作日内，由</w:t>
      </w:r>
      <w:r>
        <w:rPr>
          <w:rFonts w:hint="eastAsia" w:ascii="仿宋" w:hAnsi="仿宋" w:eastAsia="仿宋" w:cs="仿宋"/>
          <w:b/>
          <w:bCs/>
          <w:color w:val="auto"/>
          <w:sz w:val="24"/>
          <w:highlight w:val="none"/>
          <w:u w:val="single"/>
          <w:lang w:val="en-US" w:eastAsia="zh-CN"/>
        </w:rPr>
        <w:t>采购</w:t>
      </w:r>
      <w:r>
        <w:rPr>
          <w:rFonts w:hint="eastAsia" w:ascii="仿宋" w:hAnsi="仿宋" w:eastAsia="仿宋" w:cs="仿宋"/>
          <w:b/>
          <w:bCs/>
          <w:color w:val="auto"/>
          <w:sz w:val="24"/>
          <w:highlight w:val="none"/>
          <w:u w:val="single"/>
        </w:rPr>
        <w:t>代理机构向公共资源交易中心提交申请，予以退还（无息）。（</w:t>
      </w:r>
      <w:r>
        <w:rPr>
          <w:rFonts w:hint="eastAsia" w:ascii="仿宋" w:hAnsi="仿宋" w:eastAsia="仿宋" w:cs="仿宋"/>
          <w:b/>
          <w:bCs/>
          <w:color w:val="auto"/>
          <w:sz w:val="24"/>
          <w:highlight w:val="none"/>
          <w:u w:val="single"/>
          <w:lang w:val="en-US" w:eastAsia="zh-CN"/>
        </w:rPr>
        <w:t>中标</w:t>
      </w:r>
      <w:r>
        <w:rPr>
          <w:rFonts w:hint="eastAsia" w:ascii="仿宋" w:hAnsi="仿宋" w:eastAsia="仿宋" w:cs="仿宋"/>
          <w:b/>
          <w:bCs/>
          <w:color w:val="auto"/>
          <w:sz w:val="24"/>
          <w:highlight w:val="none"/>
          <w:u w:val="single"/>
        </w:rPr>
        <w:t>人须携带合同原件、合同复印件（加盖单位鲜章）各一份，同时将合同扫描件发送至hzghxmglyxgs@163.com邮箱），但因</w:t>
      </w:r>
      <w:r>
        <w:rPr>
          <w:rFonts w:hint="eastAsia" w:ascii="仿宋" w:hAnsi="仿宋" w:eastAsia="仿宋" w:cs="仿宋"/>
          <w:b/>
          <w:bCs/>
          <w:color w:val="auto"/>
          <w:sz w:val="24"/>
          <w:highlight w:val="none"/>
          <w:u w:val="single"/>
          <w:lang w:val="en-US" w:eastAsia="zh-CN"/>
        </w:rPr>
        <w:t>中标</w:t>
      </w:r>
      <w:r>
        <w:rPr>
          <w:rFonts w:hint="eastAsia" w:ascii="仿宋" w:hAnsi="仿宋" w:eastAsia="仿宋" w:cs="仿宋"/>
          <w:b/>
          <w:bCs/>
          <w:color w:val="auto"/>
          <w:sz w:val="24"/>
          <w:highlight w:val="none"/>
          <w:u w:val="single"/>
        </w:rPr>
        <w:t>人自身原因导致无法及时退还的除外。</w:t>
      </w:r>
    </w:p>
    <w:p>
      <w:pPr>
        <w:pageBreakBefore w:val="0"/>
        <w:tabs>
          <w:tab w:val="left" w:pos="2700"/>
        </w:tabs>
        <w:kinsoku/>
        <w:overflowPunct/>
        <w:autoSpaceDE/>
        <w:autoSpaceDN/>
        <w:bidi w:val="0"/>
        <w:adjustRightInd/>
        <w:snapToGrid/>
        <w:spacing w:line="560" w:lineRule="exact"/>
        <w:ind w:firstLine="482" w:firstLineChars="200"/>
        <w:textAlignment w:val="auto"/>
        <w:outlineLvl w:val="3"/>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（4）出现</w:t>
      </w:r>
      <w:r>
        <w:rPr>
          <w:rFonts w:hint="eastAsia" w:ascii="仿宋" w:hAnsi="仿宋" w:eastAsia="仿宋" w:cs="仿宋"/>
          <w:b/>
          <w:bCs/>
          <w:color w:val="auto"/>
          <w:sz w:val="24"/>
          <w:highlight w:val="none"/>
          <w:u w:val="single"/>
          <w:lang w:val="en-US" w:eastAsia="zh-CN"/>
        </w:rPr>
        <w:t>投标</w:t>
      </w:r>
      <w:r>
        <w:rPr>
          <w:rFonts w:hint="eastAsia" w:ascii="仿宋" w:hAnsi="仿宋" w:eastAsia="仿宋" w:cs="仿宋"/>
          <w:b/>
          <w:bCs/>
          <w:color w:val="auto"/>
          <w:sz w:val="24"/>
          <w:highlight w:val="none"/>
          <w:u w:val="single"/>
        </w:rPr>
        <w:t>保证金异常退款情况的处理</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lang w:val="en-US" w:eastAsia="zh-CN"/>
        </w:rPr>
        <w:t>投标</w:t>
      </w:r>
      <w:r>
        <w:rPr>
          <w:rFonts w:hint="eastAsia" w:ascii="仿宋" w:hAnsi="仿宋" w:eastAsia="仿宋" w:cs="仿宋"/>
          <w:b/>
          <w:bCs/>
          <w:color w:val="auto"/>
          <w:sz w:val="24"/>
          <w:highlight w:val="none"/>
          <w:u w:val="single"/>
        </w:rPr>
        <w:t>保证金出现异常退款情况，如没收</w:t>
      </w:r>
      <w:r>
        <w:rPr>
          <w:rFonts w:hint="eastAsia" w:ascii="仿宋" w:hAnsi="仿宋" w:eastAsia="仿宋" w:cs="仿宋"/>
          <w:b/>
          <w:bCs/>
          <w:color w:val="auto"/>
          <w:sz w:val="24"/>
          <w:highlight w:val="none"/>
          <w:u w:val="single"/>
          <w:lang w:val="en-US" w:eastAsia="zh-CN"/>
        </w:rPr>
        <w:t>投标</w:t>
      </w:r>
      <w:r>
        <w:rPr>
          <w:rFonts w:hint="eastAsia" w:ascii="仿宋" w:hAnsi="仿宋" w:eastAsia="仿宋" w:cs="仿宋"/>
          <w:b/>
          <w:bCs/>
          <w:color w:val="auto"/>
          <w:sz w:val="24"/>
          <w:highlight w:val="none"/>
          <w:u w:val="single"/>
        </w:rPr>
        <w:t>保证金的情况，由</w:t>
      </w:r>
      <w:r>
        <w:rPr>
          <w:rFonts w:hint="eastAsia" w:ascii="仿宋" w:hAnsi="仿宋" w:eastAsia="仿宋" w:cs="仿宋"/>
          <w:b/>
          <w:bCs/>
          <w:color w:val="auto"/>
          <w:sz w:val="24"/>
          <w:highlight w:val="none"/>
          <w:u w:val="single"/>
          <w:lang w:val="en-US" w:eastAsia="zh-CN"/>
        </w:rPr>
        <w:t>采购</w:t>
      </w:r>
      <w:r>
        <w:rPr>
          <w:rFonts w:hint="eastAsia" w:ascii="仿宋" w:hAnsi="仿宋" w:eastAsia="仿宋" w:cs="仿宋"/>
          <w:b/>
          <w:bCs/>
          <w:color w:val="auto"/>
          <w:sz w:val="24"/>
          <w:highlight w:val="none"/>
          <w:u w:val="single"/>
        </w:rPr>
        <w:t>代理公司提出申请，经采购人签字同意，并经行业监管机构审批后，公共资源交易中心按审批意见执行。</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（5）若招标终止，采购代理机构将在发布招标终止公告后5个工作日内，向公共资源交易中心提交申请，退还</w:t>
      </w:r>
      <w:r>
        <w:rPr>
          <w:rFonts w:hint="eastAsia" w:ascii="仿宋" w:hAnsi="仿宋" w:eastAsia="仿宋" w:cs="仿宋"/>
          <w:b/>
          <w:bCs/>
          <w:color w:val="auto"/>
          <w:sz w:val="24"/>
          <w:highlight w:val="none"/>
          <w:u w:val="single"/>
          <w:lang w:val="en-US" w:eastAsia="zh-CN"/>
        </w:rPr>
        <w:t>投标</w:t>
      </w:r>
      <w:r>
        <w:rPr>
          <w:rFonts w:hint="eastAsia" w:ascii="仿宋" w:hAnsi="仿宋" w:eastAsia="仿宋" w:cs="仿宋"/>
          <w:b/>
          <w:bCs/>
          <w:color w:val="auto"/>
          <w:sz w:val="24"/>
          <w:highlight w:val="none"/>
          <w:u w:val="single"/>
        </w:rPr>
        <w:t>保证金（无息）。</w:t>
      </w:r>
    </w:p>
    <w:p>
      <w:pPr>
        <w:pageBreakBefore w:val="0"/>
        <w:widowControl/>
        <w:bidi w:val="0"/>
        <w:spacing w:line="560" w:lineRule="exact"/>
        <w:ind w:firstLine="560"/>
        <w:jc w:val="left"/>
        <w:textAlignment w:val="auto"/>
        <w:rPr>
          <w:rFonts w:ascii="仿宋" w:hAnsi="仿宋" w:eastAsia="仿宋" w:cs="仿宋"/>
          <w:color w:val="auto"/>
          <w:sz w:val="18"/>
          <w:szCs w:val="18"/>
          <w:highlight w:val="none"/>
        </w:rPr>
      </w:pPr>
      <w:r>
        <w:rPr>
          <w:rFonts w:hint="eastAsia" w:ascii="仿宋" w:hAnsi="仿宋" w:eastAsia="仿宋" w:cs="仿宋"/>
          <w:color w:val="auto"/>
          <w:szCs w:val="24"/>
          <w:highlight w:val="none"/>
        </w:rPr>
        <w:t>5、如投标发生下列情况之一时，投标保证金将不予退还，提供担保函的投标人将由专业担保机构先行偿付采购人损失：</w:t>
      </w:r>
    </w:p>
    <w:p>
      <w:pPr>
        <w:pageBreakBefore w:val="0"/>
        <w:bidi w:val="0"/>
        <w:spacing w:line="560" w:lineRule="exact"/>
        <w:ind w:left="574" w:leftChars="239"/>
        <w:textAlignment w:val="auto"/>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5-1、</w:t>
      </w:r>
      <w:r>
        <w:rPr>
          <w:rFonts w:hint="eastAsia" w:ascii="仿宋" w:hAnsi="仿宋" w:eastAsia="仿宋" w:cs="仿宋"/>
          <w:color w:val="auto"/>
          <w:szCs w:val="24"/>
          <w:highlight w:val="none"/>
          <w:u w:val="single"/>
        </w:rPr>
        <w:t>投标人提供虚假资质谋取中标的；</w:t>
      </w:r>
    </w:p>
    <w:p>
      <w:pPr>
        <w:pageBreakBefore w:val="0"/>
        <w:bidi w:val="0"/>
        <w:spacing w:line="560" w:lineRule="exact"/>
        <w:ind w:left="574" w:leftChars="239"/>
        <w:textAlignment w:val="auto"/>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5-2、</w:t>
      </w:r>
      <w:r>
        <w:rPr>
          <w:rFonts w:hint="eastAsia" w:ascii="仿宋" w:hAnsi="仿宋" w:eastAsia="仿宋" w:cs="仿宋"/>
          <w:color w:val="auto"/>
          <w:szCs w:val="24"/>
          <w:highlight w:val="none"/>
          <w:u w:val="single"/>
        </w:rPr>
        <w:t>有围标、串标现象，经查证属实的；</w:t>
      </w:r>
    </w:p>
    <w:p>
      <w:pPr>
        <w:pageBreakBefore w:val="0"/>
        <w:bidi w:val="0"/>
        <w:spacing w:line="560" w:lineRule="exact"/>
        <w:ind w:left="574" w:leftChars="239"/>
        <w:textAlignment w:val="auto"/>
        <w:rPr>
          <w:rFonts w:ascii="仿宋" w:hAnsi="仿宋" w:eastAsia="仿宋" w:cs="仿宋"/>
          <w:color w:val="auto"/>
          <w:szCs w:val="24"/>
          <w:highlight w:val="none"/>
          <w:u w:val="single"/>
        </w:rPr>
      </w:pPr>
      <w:r>
        <w:rPr>
          <w:rFonts w:hint="eastAsia" w:ascii="仿宋" w:hAnsi="仿宋" w:eastAsia="仿宋" w:cs="仿宋"/>
          <w:color w:val="auto"/>
          <w:szCs w:val="24"/>
          <w:highlight w:val="none"/>
        </w:rPr>
        <w:t>5-3、</w:t>
      </w:r>
      <w:r>
        <w:rPr>
          <w:rFonts w:hint="eastAsia" w:ascii="仿宋" w:hAnsi="仿宋" w:eastAsia="仿宋" w:cs="仿宋"/>
          <w:color w:val="auto"/>
          <w:szCs w:val="24"/>
          <w:highlight w:val="none"/>
          <w:u w:val="single"/>
        </w:rPr>
        <w:t>投标人在招标文件规定的投标有效期内撤回投标的；</w:t>
      </w:r>
    </w:p>
    <w:p>
      <w:pPr>
        <w:pageBreakBefore w:val="0"/>
        <w:bidi w:val="0"/>
        <w:spacing w:line="560" w:lineRule="exact"/>
        <w:ind w:left="1294" w:leftChars="239" w:hanging="720" w:hangingChars="300"/>
        <w:textAlignment w:val="auto"/>
        <w:rPr>
          <w:rFonts w:ascii="仿宋" w:hAnsi="仿宋" w:eastAsia="仿宋" w:cs="仿宋"/>
          <w:color w:val="auto"/>
          <w:szCs w:val="24"/>
          <w:highlight w:val="none"/>
          <w:u w:val="single"/>
        </w:rPr>
      </w:pPr>
      <w:r>
        <w:rPr>
          <w:rFonts w:hint="eastAsia" w:ascii="仿宋" w:hAnsi="仿宋" w:eastAsia="仿宋" w:cs="仿宋"/>
          <w:color w:val="auto"/>
          <w:szCs w:val="24"/>
          <w:highlight w:val="none"/>
        </w:rPr>
        <w:t>5-4、</w:t>
      </w:r>
      <w:r>
        <w:rPr>
          <w:rFonts w:hint="eastAsia" w:ascii="仿宋" w:hAnsi="仿宋" w:eastAsia="仿宋" w:cs="仿宋"/>
          <w:color w:val="auto"/>
          <w:szCs w:val="24"/>
          <w:highlight w:val="none"/>
          <w:u w:val="single"/>
        </w:rPr>
        <w:t>投标人自行放弃投标资格而未在开标会议前一天以书面形式告知采购代理</w:t>
      </w:r>
    </w:p>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u w:val="single"/>
        </w:rPr>
        <w:t>机构的；</w:t>
      </w:r>
    </w:p>
    <w:p>
      <w:pPr>
        <w:pageBreakBefore w:val="0"/>
        <w:bidi w:val="0"/>
        <w:spacing w:line="560" w:lineRule="exact"/>
        <w:ind w:left="1294" w:leftChars="239" w:hanging="720" w:hangingChars="300"/>
        <w:textAlignment w:val="auto"/>
        <w:rPr>
          <w:rFonts w:ascii="仿宋" w:hAnsi="仿宋" w:eastAsia="仿宋" w:cs="仿宋"/>
          <w:color w:val="auto"/>
          <w:szCs w:val="24"/>
          <w:highlight w:val="none"/>
          <w:u w:val="single"/>
        </w:rPr>
      </w:pPr>
      <w:r>
        <w:rPr>
          <w:rFonts w:hint="eastAsia" w:ascii="仿宋" w:hAnsi="仿宋" w:eastAsia="仿宋" w:cs="仿宋"/>
          <w:color w:val="auto"/>
          <w:szCs w:val="24"/>
          <w:highlight w:val="none"/>
        </w:rPr>
        <w:t>5-5、</w:t>
      </w:r>
      <w:r>
        <w:rPr>
          <w:rFonts w:hint="eastAsia" w:ascii="仿宋" w:hAnsi="仿宋" w:eastAsia="仿宋" w:cs="仿宋"/>
          <w:color w:val="auto"/>
          <w:szCs w:val="24"/>
          <w:highlight w:val="none"/>
          <w:u w:val="single"/>
        </w:rPr>
        <w:t>投标人自行放弃中标资格的；</w:t>
      </w:r>
    </w:p>
    <w:p>
      <w:pPr>
        <w:pageBreakBefore w:val="0"/>
        <w:bidi w:val="0"/>
        <w:spacing w:line="560" w:lineRule="exact"/>
        <w:ind w:left="1294" w:leftChars="239" w:hanging="720" w:hangingChars="300"/>
        <w:textAlignment w:val="auto"/>
        <w:rPr>
          <w:rFonts w:ascii="仿宋" w:hAnsi="仿宋" w:eastAsia="仿宋" w:cs="仿宋"/>
          <w:color w:val="auto"/>
          <w:szCs w:val="24"/>
          <w:highlight w:val="none"/>
          <w:u w:val="single"/>
        </w:rPr>
      </w:pPr>
      <w:r>
        <w:rPr>
          <w:rFonts w:hint="eastAsia" w:ascii="仿宋" w:hAnsi="仿宋" w:eastAsia="仿宋" w:cs="仿宋"/>
          <w:color w:val="auto"/>
          <w:szCs w:val="24"/>
          <w:highlight w:val="none"/>
        </w:rPr>
        <w:t>5-6、</w:t>
      </w:r>
      <w:r>
        <w:rPr>
          <w:rFonts w:hint="eastAsia" w:ascii="仿宋" w:hAnsi="仿宋" w:eastAsia="仿宋" w:cs="仿宋"/>
          <w:color w:val="auto"/>
          <w:szCs w:val="24"/>
          <w:highlight w:val="none"/>
          <w:u w:val="single"/>
        </w:rPr>
        <w:t>中标单位不在规定的时效内领取《中标通知书》的；</w:t>
      </w:r>
    </w:p>
    <w:p>
      <w:pPr>
        <w:pageBreakBefore w:val="0"/>
        <w:bidi w:val="0"/>
        <w:spacing w:line="560" w:lineRule="exact"/>
        <w:ind w:left="1294" w:leftChars="239" w:hanging="720" w:hangingChars="300"/>
        <w:textAlignment w:val="auto"/>
        <w:rPr>
          <w:rFonts w:ascii="仿宋" w:hAnsi="仿宋" w:eastAsia="仿宋" w:cs="仿宋"/>
          <w:color w:val="auto"/>
          <w:szCs w:val="24"/>
          <w:highlight w:val="none"/>
          <w:u w:val="single"/>
        </w:rPr>
      </w:pPr>
      <w:r>
        <w:rPr>
          <w:rFonts w:hint="eastAsia" w:ascii="仿宋" w:hAnsi="仿宋" w:eastAsia="仿宋" w:cs="仿宋"/>
          <w:color w:val="auto"/>
          <w:szCs w:val="24"/>
          <w:highlight w:val="none"/>
        </w:rPr>
        <w:t>5-7、</w:t>
      </w:r>
      <w:r>
        <w:rPr>
          <w:rFonts w:hint="eastAsia" w:ascii="仿宋" w:hAnsi="仿宋" w:eastAsia="仿宋" w:cs="仿宋"/>
          <w:color w:val="auto"/>
          <w:szCs w:val="24"/>
          <w:highlight w:val="none"/>
          <w:u w:val="single"/>
        </w:rPr>
        <w:t>中标人不按规定支付招标服务费的；</w:t>
      </w:r>
    </w:p>
    <w:p>
      <w:pPr>
        <w:pageBreakBefore w:val="0"/>
        <w:bidi w:val="0"/>
        <w:spacing w:line="560" w:lineRule="exact"/>
        <w:ind w:left="1294" w:leftChars="239" w:hanging="720" w:hangingChars="300"/>
        <w:textAlignment w:val="auto"/>
        <w:rPr>
          <w:rFonts w:ascii="仿宋" w:hAnsi="仿宋" w:eastAsia="仿宋" w:cs="仿宋"/>
          <w:color w:val="auto"/>
          <w:szCs w:val="24"/>
          <w:highlight w:val="none"/>
          <w:u w:val="single"/>
        </w:rPr>
      </w:pPr>
      <w:r>
        <w:rPr>
          <w:rFonts w:hint="eastAsia" w:ascii="仿宋" w:hAnsi="仿宋" w:eastAsia="仿宋" w:cs="仿宋"/>
          <w:color w:val="auto"/>
          <w:szCs w:val="24"/>
          <w:highlight w:val="none"/>
        </w:rPr>
        <w:t>5-8、</w:t>
      </w:r>
      <w:r>
        <w:rPr>
          <w:rFonts w:hint="eastAsia" w:ascii="仿宋" w:hAnsi="仿宋" w:eastAsia="仿宋" w:cs="仿宋"/>
          <w:color w:val="auto"/>
          <w:szCs w:val="24"/>
          <w:highlight w:val="none"/>
          <w:u w:val="single"/>
        </w:rPr>
        <w:t>中标人因自身原因未能在规定期限内与采购人签订合同的。</w:t>
      </w:r>
    </w:p>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27" w:name="_Toc458617736"/>
      <w:bookmarkStart w:id="28" w:name="_Toc458617459"/>
      <w:bookmarkStart w:id="29" w:name="_Toc22244"/>
      <w:r>
        <w:rPr>
          <w:rFonts w:hint="eastAsia" w:ascii="仿宋" w:hAnsi="仿宋" w:eastAsia="仿宋" w:cs="仿宋"/>
          <w:color w:val="auto"/>
          <w:kern w:val="0"/>
          <w:sz w:val="28"/>
          <w:szCs w:val="28"/>
          <w:highlight w:val="none"/>
        </w:rPr>
        <w:t>六、投标</w:t>
      </w:r>
      <w:bookmarkEnd w:id="27"/>
      <w:bookmarkEnd w:id="28"/>
      <w:bookmarkEnd w:id="29"/>
    </w:p>
    <w:p>
      <w:pPr>
        <w:pageBreakBefore w:val="0"/>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1、投标文件、必备资质文件的提交：</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1-1、投标人应在投标截止时间前将投标文件</w:t>
      </w:r>
      <w:r>
        <w:rPr>
          <w:rFonts w:hint="eastAsia" w:ascii="仿宋" w:hAnsi="仿宋" w:eastAsia="仿宋" w:cs="仿宋"/>
          <w:color w:val="auto"/>
          <w:szCs w:val="24"/>
          <w:highlight w:val="none"/>
          <w:lang w:val="en-US" w:eastAsia="zh-CN"/>
        </w:rPr>
        <w:t>上传至宝鸡市公共资源交易中心平台</w:t>
      </w:r>
      <w:r>
        <w:rPr>
          <w:rFonts w:hint="eastAsia" w:ascii="仿宋" w:hAnsi="仿宋" w:eastAsia="仿宋" w:cs="仿宋"/>
          <w:color w:val="auto"/>
          <w:szCs w:val="24"/>
          <w:highlight w:val="none"/>
        </w:rPr>
        <w:t>；</w:t>
      </w:r>
    </w:p>
    <w:p>
      <w:pPr>
        <w:pageBreakBefore w:val="0"/>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1-1-1、本项目采用</w:t>
      </w:r>
      <w:r>
        <w:rPr>
          <w:rFonts w:hint="eastAsia" w:ascii="仿宋" w:hAnsi="仿宋" w:eastAsia="仿宋" w:cs="仿宋"/>
          <w:b/>
          <w:bCs/>
          <w:color w:val="auto"/>
          <w:sz w:val="24"/>
          <w:highlight w:val="none"/>
          <w:lang w:val="en-US" w:eastAsia="zh-CN"/>
        </w:rPr>
        <w:t>不见面开标的</w:t>
      </w:r>
      <w:r>
        <w:rPr>
          <w:rFonts w:hint="eastAsia" w:ascii="仿宋" w:hAnsi="仿宋" w:eastAsia="仿宋" w:cs="仿宋"/>
          <w:b/>
          <w:bCs/>
          <w:color w:val="auto"/>
          <w:sz w:val="24"/>
          <w:highlight w:val="none"/>
        </w:rPr>
        <w:t>电子化投标的方式。</w:t>
      </w:r>
      <w:r>
        <w:rPr>
          <w:rFonts w:hint="eastAsia" w:ascii="仿宋" w:hAnsi="仿宋" w:eastAsia="仿宋" w:cs="仿宋"/>
          <w:b/>
          <w:bCs/>
          <w:color w:val="auto"/>
          <w:sz w:val="24"/>
          <w:highlight w:val="none"/>
          <w:lang w:val="en-US" w:eastAsia="zh-CN"/>
        </w:rPr>
        <w:t>投标人</w:t>
      </w:r>
      <w:r>
        <w:rPr>
          <w:rFonts w:hint="eastAsia" w:ascii="仿宋" w:hAnsi="仿宋" w:eastAsia="仿宋" w:cs="仿宋"/>
          <w:b/>
          <w:bCs/>
          <w:color w:val="auto"/>
          <w:sz w:val="24"/>
          <w:highlight w:val="none"/>
        </w:rPr>
        <w:t>须使用数字认证证书（CA锁）对</w:t>
      </w:r>
      <w:r>
        <w:rPr>
          <w:rFonts w:hint="eastAsia" w:ascii="仿宋" w:hAnsi="仿宋" w:eastAsia="仿宋" w:cs="仿宋"/>
          <w:b/>
          <w:bCs/>
          <w:color w:val="auto"/>
          <w:sz w:val="24"/>
          <w:highlight w:val="none"/>
          <w:lang w:val="en-US" w:eastAsia="zh-CN"/>
        </w:rPr>
        <w:t>投标</w:t>
      </w:r>
      <w:r>
        <w:rPr>
          <w:rFonts w:hint="eastAsia" w:ascii="仿宋" w:hAnsi="仿宋" w:eastAsia="仿宋" w:cs="仿宋"/>
          <w:b/>
          <w:bCs/>
          <w:color w:val="auto"/>
          <w:sz w:val="24"/>
          <w:highlight w:val="none"/>
        </w:rPr>
        <w:t>文件进行签章、加密、递交及开标时解密等相关招投标事宜。</w:t>
      </w:r>
    </w:p>
    <w:p>
      <w:pPr>
        <w:pageBreakBefore w:val="0"/>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1-1-2、制作电子</w:t>
      </w:r>
      <w:r>
        <w:rPr>
          <w:rFonts w:hint="eastAsia" w:ascii="仿宋" w:hAnsi="仿宋" w:eastAsia="仿宋" w:cs="仿宋"/>
          <w:b/>
          <w:bCs/>
          <w:color w:val="auto"/>
          <w:sz w:val="24"/>
          <w:highlight w:val="none"/>
          <w:lang w:val="en-US" w:eastAsia="zh-CN"/>
        </w:rPr>
        <w:t>投标</w:t>
      </w:r>
      <w:r>
        <w:rPr>
          <w:rFonts w:hint="eastAsia" w:ascii="仿宋" w:hAnsi="仿宋" w:eastAsia="仿宋" w:cs="仿宋"/>
          <w:b/>
          <w:bCs/>
          <w:color w:val="auto"/>
          <w:sz w:val="24"/>
          <w:highlight w:val="none"/>
        </w:rPr>
        <w:t>文件。</w:t>
      </w:r>
      <w:r>
        <w:rPr>
          <w:rFonts w:hint="eastAsia" w:ascii="仿宋" w:hAnsi="仿宋" w:eastAsia="仿宋" w:cs="仿宋"/>
          <w:b/>
          <w:bCs/>
          <w:color w:val="auto"/>
          <w:sz w:val="24"/>
          <w:highlight w:val="none"/>
          <w:lang w:val="en-US" w:eastAsia="zh-CN"/>
        </w:rPr>
        <w:t>投标人</w:t>
      </w:r>
      <w:r>
        <w:rPr>
          <w:rFonts w:hint="eastAsia" w:ascii="仿宋" w:hAnsi="仿宋" w:eastAsia="仿宋" w:cs="仿宋"/>
          <w:b/>
          <w:bCs/>
          <w:color w:val="auto"/>
          <w:sz w:val="24"/>
          <w:highlight w:val="none"/>
        </w:rPr>
        <w:t>须在“</w:t>
      </w:r>
      <w:r>
        <w:rPr>
          <w:rFonts w:hint="eastAsia" w:ascii="仿宋" w:hAnsi="仿宋" w:eastAsia="仿宋" w:cs="仿宋"/>
          <w:b/>
          <w:bCs/>
          <w:color w:val="auto"/>
          <w:sz w:val="24"/>
          <w:highlight w:val="none"/>
          <w:lang w:val="en-US" w:eastAsia="zh-CN"/>
        </w:rPr>
        <w:t>宝鸡</w:t>
      </w:r>
      <w:r>
        <w:rPr>
          <w:rFonts w:hint="eastAsia" w:ascii="仿宋" w:hAnsi="仿宋" w:eastAsia="仿宋" w:cs="仿宋"/>
          <w:b/>
          <w:bCs/>
          <w:color w:val="auto"/>
          <w:sz w:val="24"/>
          <w:highlight w:val="none"/>
        </w:rPr>
        <w:t>市公共资源交易中心平台（ http://ggzy.baoji.gov.cn/）”的“服务指南”栏目“下载专区”中，免费下载“政府采购电子标书制作工具”，并使用该客户端制作电子</w:t>
      </w:r>
      <w:r>
        <w:rPr>
          <w:rFonts w:hint="eastAsia" w:ascii="仿宋" w:hAnsi="仿宋" w:eastAsia="仿宋" w:cs="仿宋"/>
          <w:b/>
          <w:bCs/>
          <w:color w:val="auto"/>
          <w:sz w:val="24"/>
          <w:highlight w:val="none"/>
          <w:lang w:val="en-US" w:eastAsia="zh-CN"/>
        </w:rPr>
        <w:t>投标</w:t>
      </w:r>
      <w:r>
        <w:rPr>
          <w:rFonts w:hint="eastAsia" w:ascii="仿宋" w:hAnsi="仿宋" w:eastAsia="仿宋" w:cs="仿宋"/>
          <w:b/>
          <w:bCs/>
          <w:color w:val="auto"/>
          <w:sz w:val="24"/>
          <w:highlight w:val="none"/>
        </w:rPr>
        <w:t>文件，制作扩展名为“.SXSTF”的电子</w:t>
      </w:r>
      <w:r>
        <w:rPr>
          <w:rFonts w:hint="eastAsia" w:ascii="仿宋" w:hAnsi="仿宋" w:eastAsia="仿宋" w:cs="仿宋"/>
          <w:b/>
          <w:bCs/>
          <w:color w:val="auto"/>
          <w:sz w:val="24"/>
          <w:highlight w:val="none"/>
          <w:lang w:val="en-US" w:eastAsia="zh-CN"/>
        </w:rPr>
        <w:t>投标</w:t>
      </w:r>
      <w:r>
        <w:rPr>
          <w:rFonts w:hint="eastAsia" w:ascii="仿宋" w:hAnsi="仿宋" w:eastAsia="仿宋" w:cs="仿宋"/>
          <w:b/>
          <w:bCs/>
          <w:color w:val="auto"/>
          <w:sz w:val="24"/>
          <w:highlight w:val="none"/>
        </w:rPr>
        <w:t>文件。递交电子</w:t>
      </w:r>
      <w:r>
        <w:rPr>
          <w:rFonts w:hint="eastAsia" w:ascii="仿宋" w:hAnsi="仿宋" w:eastAsia="仿宋" w:cs="仿宋"/>
          <w:b/>
          <w:bCs/>
          <w:color w:val="auto"/>
          <w:sz w:val="24"/>
          <w:highlight w:val="none"/>
          <w:lang w:val="en-US" w:eastAsia="zh-CN"/>
        </w:rPr>
        <w:t>投标</w:t>
      </w:r>
      <w:r>
        <w:rPr>
          <w:rFonts w:hint="eastAsia" w:ascii="仿宋" w:hAnsi="仿宋" w:eastAsia="仿宋" w:cs="仿宋"/>
          <w:b/>
          <w:bCs/>
          <w:color w:val="auto"/>
          <w:sz w:val="24"/>
          <w:highlight w:val="none"/>
        </w:rPr>
        <w:t>文件。登录</w:t>
      </w:r>
      <w:r>
        <w:rPr>
          <w:rFonts w:hint="eastAsia" w:ascii="仿宋" w:hAnsi="仿宋" w:eastAsia="仿宋" w:cs="仿宋"/>
          <w:b/>
          <w:bCs/>
          <w:color w:val="auto"/>
          <w:sz w:val="24"/>
          <w:highlight w:val="none"/>
          <w:lang w:val="en-US" w:eastAsia="zh-CN"/>
        </w:rPr>
        <w:t>宝鸡</w:t>
      </w:r>
      <w:r>
        <w:rPr>
          <w:rFonts w:hint="eastAsia" w:ascii="仿宋" w:hAnsi="仿宋" w:eastAsia="仿宋" w:cs="仿宋"/>
          <w:b/>
          <w:bCs/>
          <w:color w:val="auto"/>
          <w:sz w:val="24"/>
          <w:highlight w:val="none"/>
        </w:rPr>
        <w:t xml:space="preserve">市公共资源交易中心平台（ </w:t>
      </w:r>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 HYPERLINK "http://xxxq.sxggzyjy.cn/），选择" </w:instrText>
      </w:r>
      <w:r>
        <w:rPr>
          <w:rFonts w:hint="eastAsia" w:ascii="仿宋" w:hAnsi="仿宋" w:eastAsia="仿宋" w:cs="仿宋"/>
          <w:b/>
          <w:bCs/>
          <w:color w:val="auto"/>
          <w:sz w:val="24"/>
          <w:highlight w:val="none"/>
        </w:rPr>
        <w:fldChar w:fldCharType="separate"/>
      </w:r>
      <w:r>
        <w:rPr>
          <w:rFonts w:hint="eastAsia" w:ascii="仿宋" w:hAnsi="仿宋" w:eastAsia="仿宋" w:cs="仿宋"/>
          <w:b/>
          <w:bCs/>
          <w:color w:val="auto"/>
          <w:sz w:val="24"/>
          <w:highlight w:val="none"/>
        </w:rPr>
        <w:t>http://ggzy.baoji.gov.cn/），选择“电子交易平台-陕西政府采购交易系统-</w:t>
      </w:r>
      <w:r>
        <w:rPr>
          <w:rFonts w:hint="eastAsia" w:ascii="仿宋" w:hAnsi="仿宋" w:eastAsia="仿宋" w:cs="仿宋"/>
          <w:b/>
          <w:bCs/>
          <w:color w:val="auto"/>
          <w:sz w:val="24"/>
          <w:highlight w:val="none"/>
          <w:lang w:val="en-US" w:eastAsia="zh-CN"/>
        </w:rPr>
        <w:t>宝鸡</w:t>
      </w:r>
      <w:r>
        <w:rPr>
          <w:rFonts w:hint="eastAsia" w:ascii="仿宋" w:hAnsi="仿宋" w:eastAsia="仿宋" w:cs="仿宋"/>
          <w:b/>
          <w:bCs/>
          <w:color w:val="auto"/>
          <w:sz w:val="24"/>
          <w:highlight w:val="none"/>
        </w:rPr>
        <w:t>市公共资源交易平台-供应商”进行登录，登录后选择“交易乙方”身份进入，选择“上传投标文件”菜单页面，上传加密的电子</w:t>
      </w:r>
      <w:r>
        <w:rPr>
          <w:rFonts w:hint="eastAsia" w:ascii="仿宋" w:hAnsi="仿宋" w:eastAsia="仿宋" w:cs="仿宋"/>
          <w:b/>
          <w:bCs/>
          <w:color w:val="auto"/>
          <w:sz w:val="24"/>
          <w:highlight w:val="none"/>
          <w:lang w:val="en-US" w:eastAsia="zh-CN"/>
        </w:rPr>
        <w:t>投标</w:t>
      </w:r>
      <w:r>
        <w:rPr>
          <w:rFonts w:hint="eastAsia" w:ascii="仿宋" w:hAnsi="仿宋" w:eastAsia="仿宋" w:cs="仿宋"/>
          <w:b/>
          <w:bCs/>
          <w:color w:val="auto"/>
          <w:sz w:val="24"/>
          <w:highlight w:val="none"/>
        </w:rPr>
        <w:t>文件。上传成功后，电子化平台将予以记录。</w:t>
      </w:r>
      <w:r>
        <w:rPr>
          <w:rFonts w:hint="eastAsia" w:ascii="仿宋" w:hAnsi="仿宋" w:eastAsia="仿宋" w:cs="仿宋"/>
          <w:b/>
          <w:bCs/>
          <w:color w:val="auto"/>
          <w:sz w:val="24"/>
          <w:highlight w:val="none"/>
        </w:rPr>
        <w:fldChar w:fldCharType="end"/>
      </w:r>
      <w:r>
        <w:rPr>
          <w:rFonts w:hint="eastAsia" w:ascii="仿宋" w:hAnsi="仿宋" w:eastAsia="仿宋" w:cs="仿宋"/>
          <w:b/>
          <w:bCs/>
          <w:color w:val="auto"/>
          <w:sz w:val="24"/>
          <w:highlight w:val="none"/>
          <w:lang w:val="zh-CN"/>
        </w:rPr>
        <w:t>具体流程</w:t>
      </w:r>
      <w:r>
        <w:rPr>
          <w:rFonts w:hint="eastAsia" w:ascii="仿宋" w:hAnsi="仿宋" w:eastAsia="仿宋" w:cs="仿宋"/>
          <w:b/>
          <w:bCs/>
          <w:color w:val="auto"/>
          <w:sz w:val="24"/>
          <w:highlight w:val="none"/>
        </w:rPr>
        <w:t>可在“</w:t>
      </w:r>
      <w:r>
        <w:rPr>
          <w:rFonts w:hint="eastAsia" w:ascii="仿宋" w:hAnsi="仿宋" w:eastAsia="仿宋" w:cs="仿宋"/>
          <w:b/>
          <w:bCs/>
          <w:color w:val="auto"/>
          <w:sz w:val="24"/>
          <w:highlight w:val="none"/>
          <w:lang w:val="en-US" w:eastAsia="zh-CN"/>
        </w:rPr>
        <w:t>宝鸡市</w:t>
      </w:r>
      <w:r>
        <w:rPr>
          <w:rFonts w:hint="eastAsia" w:ascii="仿宋" w:hAnsi="仿宋" w:eastAsia="仿宋" w:cs="仿宋"/>
          <w:b/>
          <w:bCs/>
          <w:color w:val="auto"/>
          <w:sz w:val="24"/>
          <w:highlight w:val="none"/>
        </w:rPr>
        <w:t>公共资源交易中心平台”—“服务指南”栏目“下载专区”中免费下载“政府采购投标单位操作手册</w:t>
      </w:r>
      <w:r>
        <w:rPr>
          <w:rFonts w:hint="eastAsia" w:ascii="仿宋" w:hAnsi="仿宋" w:eastAsia="仿宋" w:cs="仿宋"/>
          <w:b/>
          <w:bCs/>
          <w:color w:val="auto"/>
          <w:sz w:val="24"/>
          <w:highlight w:val="none"/>
          <w:lang w:val="en-US" w:eastAsia="zh-CN"/>
        </w:rPr>
        <w:t>及宝鸡市不见面大厅投标人操作手册</w:t>
      </w:r>
      <w:r>
        <w:rPr>
          <w:rFonts w:hint="eastAsia" w:ascii="仿宋" w:hAnsi="仿宋" w:eastAsia="仿宋" w:cs="仿宋"/>
          <w:b/>
          <w:bCs/>
          <w:color w:val="auto"/>
          <w:sz w:val="24"/>
          <w:highlight w:val="none"/>
        </w:rPr>
        <w:t>”，并仔细阅读</w:t>
      </w:r>
      <w:r>
        <w:rPr>
          <w:rFonts w:hint="eastAsia" w:ascii="仿宋" w:hAnsi="仿宋" w:eastAsia="仿宋" w:cs="仿宋"/>
          <w:b/>
          <w:bCs/>
          <w:color w:val="auto"/>
          <w:sz w:val="24"/>
          <w:highlight w:val="none"/>
          <w:lang w:eastAsia="zh-CN"/>
        </w:rPr>
        <w:t>。</w:t>
      </w:r>
    </w:p>
    <w:p>
      <w:pPr>
        <w:pageBreakBefore w:val="0"/>
        <w:bidi w:val="0"/>
        <w:spacing w:line="56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1-1-3、如因</w:t>
      </w:r>
      <w:r>
        <w:rPr>
          <w:rFonts w:hint="eastAsia" w:ascii="仿宋" w:hAnsi="仿宋" w:eastAsia="仿宋" w:cs="仿宋"/>
          <w:b/>
          <w:bCs/>
          <w:color w:val="auto"/>
          <w:sz w:val="24"/>
          <w:highlight w:val="none"/>
          <w:lang w:val="en-US" w:eastAsia="zh-CN"/>
        </w:rPr>
        <w:t>供应商</w:t>
      </w:r>
      <w:r>
        <w:rPr>
          <w:rFonts w:hint="eastAsia" w:ascii="仿宋" w:hAnsi="仿宋" w:eastAsia="仿宋" w:cs="仿宋"/>
          <w:b/>
          <w:bCs/>
          <w:color w:val="auto"/>
          <w:sz w:val="24"/>
          <w:highlight w:val="none"/>
        </w:rPr>
        <w:t>自身原因造成无法解密</w:t>
      </w:r>
      <w:r>
        <w:rPr>
          <w:rFonts w:hint="eastAsia" w:ascii="仿宋" w:hAnsi="仿宋" w:eastAsia="仿宋" w:cs="仿宋"/>
          <w:b/>
          <w:bCs/>
          <w:color w:val="auto"/>
          <w:sz w:val="24"/>
          <w:highlight w:val="none"/>
          <w:lang w:val="en-US" w:eastAsia="zh-CN"/>
        </w:rPr>
        <w:t>投标</w:t>
      </w:r>
      <w:r>
        <w:rPr>
          <w:rFonts w:hint="eastAsia" w:ascii="仿宋" w:hAnsi="仿宋" w:eastAsia="仿宋" w:cs="仿宋"/>
          <w:b/>
          <w:bCs/>
          <w:color w:val="auto"/>
          <w:sz w:val="24"/>
          <w:highlight w:val="none"/>
        </w:rPr>
        <w:t>文件，将按无效投标处理。</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1-2、逾期送达或者未按照招标文件要求</w:t>
      </w:r>
      <w:r>
        <w:rPr>
          <w:rFonts w:hint="eastAsia" w:ascii="仿宋" w:hAnsi="仿宋" w:eastAsia="仿宋" w:cs="仿宋"/>
          <w:color w:val="auto"/>
          <w:szCs w:val="24"/>
          <w:highlight w:val="none"/>
          <w:lang w:val="en-US" w:eastAsia="zh-CN"/>
        </w:rPr>
        <w:t>加密</w:t>
      </w:r>
      <w:r>
        <w:rPr>
          <w:rFonts w:hint="eastAsia" w:ascii="仿宋" w:hAnsi="仿宋" w:eastAsia="仿宋" w:cs="仿宋"/>
          <w:color w:val="auto"/>
          <w:szCs w:val="24"/>
          <w:highlight w:val="none"/>
        </w:rPr>
        <w:t>的投标文件，将被拒收；</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、本次招标不接受邮寄的投标文件、必备资质文件。</w:t>
      </w:r>
    </w:p>
    <w:p>
      <w:pPr>
        <w:pageBreakBefore w:val="0"/>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2、投标文件的补充、修改与撤回：</w:t>
      </w:r>
    </w:p>
    <w:p>
      <w:pPr>
        <w:pageBreakBefore w:val="0"/>
        <w:bidi w:val="0"/>
        <w:spacing w:line="56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-1、投标人在提交投标文件以后到投标截止时间之前,可以书面形式补充、修改或撤回已提交的投标文件，并以书面形式通知采购代理机构。补充、修改的内容应当密封、签署、盖章，并作为投标文件的组成部分；补充、修改的内容与相应文件不一致的，以补充、修改的内容为准。</w:t>
      </w:r>
      <w:r>
        <w:rPr>
          <w:rFonts w:hint="eastAsia" w:ascii="仿宋" w:hAnsi="仿宋" w:eastAsia="仿宋" w:cs="仿宋"/>
          <w:color w:val="auto"/>
          <w:szCs w:val="24"/>
          <w:highlight w:val="none"/>
          <w:lang w:val="en-US" w:eastAsia="zh-CN"/>
        </w:rPr>
        <w:t>补充、修改的内容需按要求上传至宝鸡市公共资源交易中心平台。</w:t>
      </w:r>
    </w:p>
    <w:p>
      <w:pPr>
        <w:pageBreakBefore w:val="0"/>
        <w:bidi w:val="0"/>
        <w:spacing w:line="56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2-2、投标人提出修改要求的，须</w:t>
      </w:r>
      <w:r>
        <w:rPr>
          <w:rFonts w:hint="eastAsia" w:ascii="仿宋" w:hAnsi="仿宋" w:eastAsia="仿宋" w:cs="仿宋"/>
          <w:color w:val="auto"/>
          <w:szCs w:val="24"/>
          <w:highlight w:val="none"/>
          <w:lang w:val="en-US" w:eastAsia="zh-CN"/>
        </w:rPr>
        <w:t>将修改的内容需按要求上传至宝鸡市公共资源交易中心平台。</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2-4、投标截止时间之后，投标人不得补充、修改投标文件。</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2-5、在投标截止时间至投标有效期满之前，投标人不得撤回其投标文件，否则其投标保证金将不予退还。提供投标担保的投标人将由专业担保机构先行偿付采购人损失。</w:t>
      </w:r>
    </w:p>
    <w:p>
      <w:pPr>
        <w:pageBreakBefore w:val="0"/>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3、投标有效期：</w:t>
      </w:r>
    </w:p>
    <w:p>
      <w:pPr>
        <w:pStyle w:val="40"/>
        <w:pageBreakBefore w:val="0"/>
        <w:bidi w:val="0"/>
        <w:spacing w:line="560" w:lineRule="exact"/>
        <w:ind w:firstLine="464"/>
        <w:textAlignment w:val="auto"/>
        <w:rPr>
          <w:rFonts w:ascii="仿宋" w:hAnsi="仿宋" w:eastAsia="仿宋" w:cs="仿宋"/>
          <w:color w:val="auto"/>
          <w:kern w:val="2"/>
          <w:sz w:val="24"/>
          <w:szCs w:val="24"/>
          <w:highlight w:val="none"/>
        </w:rPr>
      </w:pPr>
      <w:r>
        <w:rPr>
          <w:rFonts w:hint="eastAsia" w:ascii="仿宋" w:hAnsi="仿宋" w:eastAsia="仿宋" w:cs="仿宋"/>
          <w:color w:val="auto"/>
          <w:spacing w:val="-4"/>
          <w:sz w:val="24"/>
          <w:szCs w:val="24"/>
          <w:highlight w:val="none"/>
        </w:rPr>
        <w:t>3-1、自提交投标文件的截止之日起90个日历日。</w:t>
      </w:r>
      <w:bookmarkStart w:id="30" w:name="OLE_LINK15"/>
      <w:r>
        <w:rPr>
          <w:rFonts w:hint="eastAsia" w:ascii="仿宋" w:hAnsi="仿宋" w:eastAsia="仿宋" w:cs="仿宋"/>
          <w:color w:val="auto"/>
          <w:spacing w:val="-4"/>
          <w:sz w:val="24"/>
          <w:szCs w:val="24"/>
          <w:highlight w:val="none"/>
        </w:rPr>
        <w:t>投标人投标有效期短于招标文件规定</w:t>
      </w:r>
      <w:r>
        <w:rPr>
          <w:rFonts w:hint="eastAsia" w:ascii="仿宋" w:hAnsi="仿宋" w:eastAsia="仿宋" w:cs="仿宋"/>
          <w:color w:val="auto"/>
          <w:kern w:val="2"/>
          <w:sz w:val="24"/>
          <w:szCs w:val="24"/>
          <w:highlight w:val="none"/>
        </w:rPr>
        <w:t>的投标有效期，按无效投标处理。中标单位的投标有效期延长至合同执行完毕。</w:t>
      </w:r>
    </w:p>
    <w:p>
      <w:pPr>
        <w:pStyle w:val="40"/>
        <w:pageBreakBefore w:val="0"/>
        <w:bidi w:val="0"/>
        <w:spacing w:line="560" w:lineRule="exact"/>
        <w:ind w:firstLine="48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460"/>
      <w:bookmarkStart w:id="32" w:name="_Toc458617737"/>
    </w:p>
    <w:p>
      <w:pPr>
        <w:pStyle w:val="40"/>
        <w:pageBreakBefore w:val="0"/>
        <w:bidi w:val="0"/>
        <w:spacing w:line="560" w:lineRule="exact"/>
        <w:ind w:firstLine="48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4、投标人</w:t>
      </w:r>
      <w:r>
        <w:rPr>
          <w:rFonts w:hint="eastAsia" w:ascii="仿宋" w:hAnsi="仿宋" w:eastAsia="仿宋" w:cs="仿宋"/>
          <w:color w:val="auto"/>
          <w:kern w:val="2"/>
          <w:sz w:val="24"/>
          <w:szCs w:val="24"/>
          <w:highlight w:val="none"/>
        </w:rPr>
        <w:t>有下列情形之一的，属于恶意串通，对其依照《中华人民共和国政府采购法》第七十七条第一款的规定追究法律责任，投标无效：</w:t>
      </w:r>
    </w:p>
    <w:p>
      <w:pPr>
        <w:pStyle w:val="40"/>
        <w:pageBreakBefore w:val="0"/>
        <w:bidi w:val="0"/>
        <w:spacing w:line="560" w:lineRule="exact"/>
        <w:ind w:firstLine="48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4-1、投标人直接或者间接从采购人或采购代理机构处获得其他投标人的相关情况并修改其投标文件；</w:t>
      </w:r>
    </w:p>
    <w:p>
      <w:pPr>
        <w:pStyle w:val="40"/>
        <w:pageBreakBefore w:val="0"/>
        <w:bidi w:val="0"/>
        <w:spacing w:line="560" w:lineRule="exact"/>
        <w:ind w:firstLine="48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4-2、投标人按照采购人或采购代理机构的授意撤换、修改投标文件；</w:t>
      </w:r>
    </w:p>
    <w:p>
      <w:pPr>
        <w:pStyle w:val="40"/>
        <w:pageBreakBefore w:val="0"/>
        <w:bidi w:val="0"/>
        <w:spacing w:line="560" w:lineRule="exact"/>
        <w:ind w:firstLine="48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4-3、投标人之间协商报价、技术方案等投标文件的实质性内容；</w:t>
      </w:r>
    </w:p>
    <w:p>
      <w:pPr>
        <w:pStyle w:val="40"/>
        <w:pageBreakBefore w:val="0"/>
        <w:bidi w:val="0"/>
        <w:spacing w:line="560" w:lineRule="exact"/>
        <w:ind w:firstLine="48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4-4、属于同一集团、协会、商会等组织成员的投标人按照该组织要求协同参加政府采购活动；</w:t>
      </w:r>
    </w:p>
    <w:p>
      <w:pPr>
        <w:pStyle w:val="40"/>
        <w:pageBreakBefore w:val="0"/>
        <w:bidi w:val="0"/>
        <w:spacing w:line="560" w:lineRule="exact"/>
        <w:ind w:firstLine="48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4-5、投标人之间事先约定由某一特定投标人中标；</w:t>
      </w:r>
    </w:p>
    <w:p>
      <w:pPr>
        <w:pStyle w:val="40"/>
        <w:pageBreakBefore w:val="0"/>
        <w:bidi w:val="0"/>
        <w:spacing w:line="560" w:lineRule="exact"/>
        <w:ind w:firstLine="48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4-6、投标人之间商定部分投标人放弃参加政府采购活动或放弃中标；</w:t>
      </w:r>
    </w:p>
    <w:p>
      <w:pPr>
        <w:pStyle w:val="40"/>
        <w:pageBreakBefore w:val="0"/>
        <w:bidi w:val="0"/>
        <w:spacing w:line="560" w:lineRule="exact"/>
        <w:ind w:firstLine="48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4-7、投标人相互之间，为谋求特定投标人中标或排斥其他投标人的其他串通行为。</w:t>
      </w:r>
    </w:p>
    <w:p>
      <w:pPr>
        <w:pStyle w:val="40"/>
        <w:pageBreakBefore w:val="0"/>
        <w:bidi w:val="0"/>
        <w:spacing w:line="560" w:lineRule="exact"/>
        <w:ind w:firstLine="480"/>
        <w:textAlignment w:val="auto"/>
        <w:outlineLvl w:val="2"/>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5、有下列情形之一的，视为投标人串通投标，其投标无效：</w:t>
      </w:r>
    </w:p>
    <w:p>
      <w:pPr>
        <w:pStyle w:val="40"/>
        <w:pageBreakBefore w:val="0"/>
        <w:bidi w:val="0"/>
        <w:spacing w:line="560" w:lineRule="exact"/>
        <w:ind w:firstLine="480"/>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5-1、不同投标人的投标文件由同一单位或者个人编制；</w:t>
      </w:r>
    </w:p>
    <w:p>
      <w:pPr>
        <w:pStyle w:val="40"/>
        <w:pageBreakBefore w:val="0"/>
        <w:bidi w:val="0"/>
        <w:spacing w:line="560" w:lineRule="exact"/>
        <w:ind w:firstLine="480"/>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5-2、不同投标人委托同一单位或者个人办理投标事宜；</w:t>
      </w:r>
    </w:p>
    <w:p>
      <w:pPr>
        <w:pStyle w:val="40"/>
        <w:pageBreakBefore w:val="0"/>
        <w:bidi w:val="0"/>
        <w:spacing w:line="560" w:lineRule="exact"/>
        <w:ind w:firstLine="480"/>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5-3、不同投标人的投标文件载明的项目管理成员或者联系人为同一人；</w:t>
      </w:r>
    </w:p>
    <w:p>
      <w:pPr>
        <w:pStyle w:val="40"/>
        <w:pageBreakBefore w:val="0"/>
        <w:bidi w:val="0"/>
        <w:spacing w:line="560" w:lineRule="exact"/>
        <w:ind w:firstLine="480"/>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5-4、不同投标人的投标文件异常一致或者投标报价呈现规律性差异；</w:t>
      </w:r>
    </w:p>
    <w:p>
      <w:pPr>
        <w:pStyle w:val="40"/>
        <w:pageBreakBefore w:val="0"/>
        <w:bidi w:val="0"/>
        <w:spacing w:line="560" w:lineRule="exact"/>
        <w:ind w:firstLine="480"/>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5-5、不同投标人的投标文件相互混装；</w:t>
      </w:r>
    </w:p>
    <w:p>
      <w:pPr>
        <w:pStyle w:val="40"/>
        <w:pageBreakBefore w:val="0"/>
        <w:bidi w:val="0"/>
        <w:spacing w:line="560" w:lineRule="exact"/>
        <w:ind w:firstLine="480"/>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5-6、不同投标人的投标保证金从同一单位或者个人的账户转出。</w:t>
      </w:r>
    </w:p>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33" w:name="_Toc1895"/>
      <w:r>
        <w:rPr>
          <w:rFonts w:hint="eastAsia" w:ascii="仿宋" w:hAnsi="仿宋" w:eastAsia="仿宋" w:cs="仿宋"/>
          <w:color w:val="auto"/>
          <w:kern w:val="0"/>
          <w:sz w:val="28"/>
          <w:szCs w:val="28"/>
          <w:highlight w:val="none"/>
        </w:rPr>
        <w:t>七、开标、资格审查、评标和定标</w:t>
      </w:r>
      <w:bookmarkEnd w:id="31"/>
      <w:bookmarkEnd w:id="32"/>
      <w:bookmarkEnd w:id="33"/>
    </w:p>
    <w:p>
      <w:pPr>
        <w:pageBreakBefore w:val="0"/>
        <w:bidi w:val="0"/>
        <w:spacing w:line="560" w:lineRule="exact"/>
        <w:ind w:firstLine="482" w:firstLineChars="200"/>
        <w:textAlignment w:val="auto"/>
        <w:outlineLvl w:val="2"/>
        <w:rPr>
          <w:rFonts w:ascii="仿宋" w:hAnsi="仿宋" w:eastAsia="仿宋" w:cs="仿宋"/>
          <w:b/>
          <w:color w:val="auto"/>
          <w:szCs w:val="24"/>
          <w:highlight w:val="none"/>
        </w:rPr>
      </w:pPr>
      <w:r>
        <w:rPr>
          <w:rFonts w:hint="eastAsia" w:ascii="仿宋" w:hAnsi="仿宋" w:eastAsia="仿宋" w:cs="仿宋"/>
          <w:b/>
          <w:bCs/>
          <w:color w:val="auto"/>
          <w:szCs w:val="24"/>
          <w:highlight w:val="none"/>
        </w:rPr>
        <w:t>1、开标</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1-1、采购代理机构按招标文件规定的时间和地点组织开标。</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1-2、所有参会人员应签名报到，以证明其出席。投标人未参加开标的，视同认可开标结果。</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1-3、开标会议由采购代理机构主持。主持人宣读开标会议开始，宣读会场纪律，宣布参加会议的投标人名单。</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、采购代理机构依照</w:t>
      </w:r>
      <w:r>
        <w:rPr>
          <w:rFonts w:hint="eastAsia" w:ascii="仿宋" w:hAnsi="仿宋" w:eastAsia="仿宋" w:cs="仿宋"/>
          <w:color w:val="auto"/>
          <w:szCs w:val="24"/>
          <w:highlight w:val="none"/>
          <w:lang w:val="en-US" w:eastAsia="zh-CN"/>
        </w:rPr>
        <w:t>各投标人上传至宝鸡市公共资源交易中心平台</w:t>
      </w:r>
      <w:r>
        <w:rPr>
          <w:rFonts w:hint="eastAsia" w:ascii="仿宋" w:hAnsi="仿宋" w:eastAsia="仿宋" w:cs="仿宋"/>
          <w:color w:val="auto"/>
          <w:szCs w:val="24"/>
          <w:highlight w:val="none"/>
        </w:rPr>
        <w:t>的“开标一览表”的顺序，宣读投标人名称、投标价格和投标文件的其它主要内容并做记录。投标人</w:t>
      </w:r>
      <w:r>
        <w:rPr>
          <w:rFonts w:hint="eastAsia" w:ascii="仿宋" w:hAnsi="仿宋" w:eastAsia="仿宋" w:cs="仿宋"/>
          <w:color w:val="auto"/>
          <w:szCs w:val="24"/>
          <w:highlight w:val="none"/>
          <w:lang w:val="en-US" w:eastAsia="zh-CN"/>
        </w:rPr>
        <w:t>可通过不见面大厅确认</w:t>
      </w:r>
      <w:r>
        <w:rPr>
          <w:rFonts w:hint="eastAsia" w:ascii="仿宋" w:hAnsi="仿宋" w:eastAsia="仿宋" w:cs="仿宋"/>
          <w:color w:val="auto"/>
          <w:szCs w:val="24"/>
          <w:highlight w:val="none"/>
        </w:rPr>
        <w:t>。如投标人对宣读的“开标一览表”上的内容有异议，应在获得主持人同意后当场提出，如属于宣读错误，经现场监督人员核实后，当场予以更正。</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、主持人</w:t>
      </w:r>
      <w:r>
        <w:rPr>
          <w:rFonts w:hint="eastAsia" w:ascii="仿宋" w:hAnsi="仿宋" w:eastAsia="仿宋" w:cs="仿宋"/>
          <w:color w:val="auto"/>
          <w:szCs w:val="24"/>
          <w:highlight w:val="none"/>
          <w:lang w:val="en-US" w:eastAsia="zh-CN"/>
        </w:rPr>
        <w:t>在不见面大厅点击</w:t>
      </w:r>
      <w:r>
        <w:rPr>
          <w:rFonts w:hint="eastAsia" w:ascii="仿宋" w:hAnsi="仿宋" w:eastAsia="仿宋" w:cs="仿宋"/>
          <w:color w:val="auto"/>
          <w:szCs w:val="24"/>
          <w:highlight w:val="none"/>
        </w:rPr>
        <w:t>开标会议结束，所有投标人</w:t>
      </w:r>
      <w:r>
        <w:rPr>
          <w:rFonts w:hint="eastAsia" w:ascii="仿宋" w:hAnsi="仿宋" w:eastAsia="仿宋" w:cs="仿宋"/>
          <w:color w:val="auto"/>
          <w:szCs w:val="24"/>
          <w:highlight w:val="none"/>
          <w:lang w:val="en-US" w:eastAsia="zh-CN"/>
        </w:rPr>
        <w:t>可退出不见面大厅</w:t>
      </w:r>
      <w:r>
        <w:rPr>
          <w:rFonts w:hint="eastAsia" w:ascii="仿宋" w:hAnsi="仿宋" w:eastAsia="仿宋" w:cs="仿宋"/>
          <w:color w:val="auto"/>
          <w:szCs w:val="24"/>
          <w:highlight w:val="none"/>
        </w:rPr>
        <w:t>。</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宝鸡市公共资源交易中心</w:t>
      </w:r>
      <w:r>
        <w:rPr>
          <w:rFonts w:hint="eastAsia" w:ascii="仿宋" w:hAnsi="仿宋" w:eastAsia="仿宋" w:cs="仿宋"/>
          <w:color w:val="auto"/>
          <w:szCs w:val="24"/>
          <w:highlight w:val="none"/>
        </w:rPr>
        <w:t>对开标过程进行全程录音录像，并存档备查。</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、采购代理机构对开标过程进行文字记录，参加开标的各投标人代表</w:t>
      </w:r>
      <w:r>
        <w:rPr>
          <w:rFonts w:hint="eastAsia" w:ascii="仿宋" w:hAnsi="仿宋" w:eastAsia="仿宋" w:cs="仿宋"/>
          <w:color w:val="auto"/>
          <w:szCs w:val="24"/>
          <w:highlight w:val="none"/>
          <w:lang w:val="en-US" w:eastAsia="zh-CN"/>
        </w:rPr>
        <w:t>可通过不见面大厅确认</w:t>
      </w:r>
      <w:r>
        <w:rPr>
          <w:rFonts w:hint="eastAsia" w:ascii="仿宋" w:hAnsi="仿宋" w:eastAsia="仿宋" w:cs="仿宋"/>
          <w:color w:val="auto"/>
          <w:szCs w:val="24"/>
          <w:highlight w:val="none"/>
        </w:rPr>
        <w:t>，并存档备查。投标人代表对开标过程和开标记录有疑义的，以及认为采购人、采购代理机构相关工作人员有需要回避的情形的，应当场提出询问或回避申请。</w:t>
      </w:r>
    </w:p>
    <w:p>
      <w:pPr>
        <w:pageBreakBefore w:val="0"/>
        <w:bidi w:val="0"/>
        <w:spacing w:line="560" w:lineRule="exact"/>
        <w:ind w:firstLine="482" w:firstLineChars="200"/>
        <w:textAlignment w:val="auto"/>
        <w:outlineLvl w:val="2"/>
        <w:rPr>
          <w:rFonts w:ascii="仿宋" w:hAnsi="仿宋" w:eastAsia="仿宋" w:cs="仿宋"/>
          <w:b/>
          <w:color w:val="auto"/>
          <w:szCs w:val="24"/>
          <w:highlight w:val="none"/>
        </w:rPr>
      </w:pPr>
      <w:r>
        <w:rPr>
          <w:rFonts w:hint="eastAsia" w:ascii="仿宋" w:hAnsi="仿宋" w:eastAsia="仿宋" w:cs="仿宋"/>
          <w:b/>
          <w:color w:val="auto"/>
          <w:szCs w:val="24"/>
          <w:highlight w:val="none"/>
        </w:rPr>
        <w:t>2、资格审查</w:t>
      </w:r>
    </w:p>
    <w:p>
      <w:pPr>
        <w:pageBreakBefore w:val="0"/>
        <w:bidi w:val="0"/>
        <w:spacing w:line="560" w:lineRule="exact"/>
        <w:ind w:firstLine="482" w:firstLineChars="200"/>
        <w:textAlignment w:val="auto"/>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开标结束后，由采购人依法对投标人</w:t>
      </w:r>
      <w:r>
        <w:rPr>
          <w:rFonts w:hint="eastAsia" w:ascii="仿宋" w:hAnsi="仿宋" w:eastAsia="仿宋" w:cs="仿宋"/>
          <w:b/>
          <w:bCs/>
          <w:color w:val="auto"/>
          <w:szCs w:val="24"/>
          <w:highlight w:val="none"/>
          <w:lang w:val="en-US" w:eastAsia="zh-CN"/>
        </w:rPr>
        <w:t>在全国公共资源交易平台（陕西省 宝鸡市）所提交的投标文件中</w:t>
      </w:r>
      <w:r>
        <w:rPr>
          <w:rFonts w:hint="eastAsia" w:ascii="仿宋" w:hAnsi="仿宋" w:eastAsia="仿宋" w:cs="仿宋"/>
          <w:b/>
          <w:bCs/>
          <w:color w:val="auto"/>
          <w:szCs w:val="24"/>
          <w:highlight w:val="none"/>
        </w:rPr>
        <w:t>的资格进行审查，缺项或一项不合格要求即不合格，审查合格的投标人方可进入评标阶段，不合格的投标人其投标无效。逾期不接受任何补充资料：</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（1）基本资格条件：符合《中华人民共和国政府采购法》第二十二条的规定：</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2、财务状况报告：提供具有财务审计资质单位出具的</w:t>
      </w:r>
      <w:r>
        <w:rPr>
          <w:rFonts w:hint="eastAsia" w:ascii="仿宋" w:hAnsi="仿宋" w:eastAsia="仿宋" w:cs="仿宋"/>
          <w:bCs/>
          <w:color w:val="auto"/>
          <w:szCs w:val="24"/>
          <w:highlight w:val="none"/>
          <w:lang w:eastAsia="zh-CN"/>
        </w:rPr>
        <w:t>2021年度或2022年度财务报告</w:t>
      </w:r>
      <w:r>
        <w:rPr>
          <w:rFonts w:hint="eastAsia" w:ascii="仿宋" w:hAnsi="仿宋" w:eastAsia="仿宋" w:cs="仿宋"/>
          <w:bCs/>
          <w:color w:val="auto"/>
          <w:szCs w:val="24"/>
          <w:highlight w:val="none"/>
        </w:rPr>
        <w:t xml:space="preserve">（成立时间至开标时间不足一年的可提供成立后任意时段的资产负债表）或开标前六个月内其基本账户银行出具的资信证明（附开户许可证或基本账户证明）或政府采购信用担保机构出具的投标担保函。 </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3、税收缴纳证明：</w:t>
      </w:r>
      <w:r>
        <w:rPr>
          <w:rFonts w:hint="eastAsia" w:ascii="仿宋" w:hAnsi="仿宋" w:eastAsia="仿宋" w:cs="仿宋"/>
          <w:bCs/>
          <w:color w:val="auto"/>
          <w:szCs w:val="24"/>
          <w:highlight w:val="none"/>
          <w:lang w:eastAsia="zh-CN"/>
        </w:rPr>
        <w:t>提供2022年1月1日至今任意一个月</w:t>
      </w:r>
      <w:r>
        <w:rPr>
          <w:rFonts w:hint="eastAsia" w:ascii="仿宋" w:hAnsi="仿宋" w:eastAsia="仿宋" w:cs="仿宋"/>
          <w:bCs/>
          <w:color w:val="auto"/>
          <w:szCs w:val="24"/>
          <w:highlight w:val="none"/>
          <w:lang w:val="en-US" w:eastAsia="zh-CN"/>
        </w:rPr>
        <w:t>已缴纳的纳税证明或完税证明（包含增值税、企业所得税、营业税至少一种）；</w:t>
      </w:r>
      <w:r>
        <w:rPr>
          <w:rFonts w:hint="eastAsia" w:ascii="仿宋" w:hAnsi="仿宋" w:eastAsia="仿宋" w:cs="仿宋"/>
          <w:bCs/>
          <w:color w:val="auto"/>
          <w:szCs w:val="24"/>
          <w:highlight w:val="none"/>
        </w:rPr>
        <w:t xml:space="preserve">（依法免税的投标人应提供相关文件证明）。 </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4、社会保障资金缴纳证明：</w:t>
      </w:r>
      <w:r>
        <w:rPr>
          <w:rFonts w:hint="eastAsia" w:ascii="仿宋" w:hAnsi="仿宋" w:eastAsia="仿宋" w:cs="仿宋"/>
          <w:bCs/>
          <w:color w:val="auto"/>
          <w:szCs w:val="24"/>
          <w:highlight w:val="none"/>
          <w:lang w:eastAsia="zh-CN"/>
        </w:rPr>
        <w:t>提供2022年1月1日至今任意一个月的社保缴费凭据或社保机构开具的社会保险参保缴费情况证明</w:t>
      </w:r>
      <w:r>
        <w:rPr>
          <w:rFonts w:hint="eastAsia" w:ascii="仿宋" w:hAnsi="仿宋" w:eastAsia="仿宋" w:cs="仿宋"/>
          <w:bCs/>
          <w:color w:val="auto"/>
          <w:szCs w:val="24"/>
          <w:highlight w:val="none"/>
        </w:rPr>
        <w:t xml:space="preserve">；（依法不需要缴纳社会保障资金的投标人应提供相关证明）。 </w:t>
      </w:r>
    </w:p>
    <w:p>
      <w:pPr>
        <w:pageBreakBefore w:val="0"/>
        <w:bidi w:val="0"/>
        <w:spacing w:line="560" w:lineRule="exact"/>
        <w:ind w:firstLine="480" w:firstLineChars="200"/>
        <w:textAlignment w:val="auto"/>
        <w:rPr>
          <w:rFonts w:hint="eastAsia" w:ascii="仿宋" w:hAnsi="仿宋" w:eastAsia="仿宋" w:cs="仿宋"/>
          <w:bCs/>
          <w:color w:val="auto"/>
          <w:szCs w:val="24"/>
          <w:highlight w:val="none"/>
          <w:lang w:eastAsia="zh-CN"/>
        </w:rPr>
      </w:pPr>
      <w:r>
        <w:rPr>
          <w:rFonts w:hint="eastAsia" w:ascii="仿宋" w:hAnsi="仿宋" w:eastAsia="仿宋" w:cs="仿宋"/>
          <w:bCs/>
          <w:color w:val="auto"/>
          <w:szCs w:val="24"/>
          <w:highlight w:val="none"/>
        </w:rPr>
        <w:t>5、提供具有履行本合同所必需的设备和专业技术能力的说明及承诺；（格式自拟，加盖投标人公章）</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6、提供参加政府采购活动前三年内在经营活动中没有重大违法记录的书面声明。（格式自拟，加盖投标人公章）</w:t>
      </w:r>
    </w:p>
    <w:p>
      <w:pPr>
        <w:pageBreakBefore w:val="0"/>
        <w:bidi w:val="0"/>
        <w:spacing w:line="560" w:lineRule="exact"/>
        <w:ind w:firstLine="480" w:firstLineChars="200"/>
        <w:textAlignment w:val="auto"/>
        <w:outlineLvl w:val="3"/>
        <w:rPr>
          <w:rFonts w:ascii="仿宋" w:hAnsi="仿宋" w:eastAsia="仿宋" w:cs="仿宋"/>
          <w:bCs/>
          <w:color w:val="auto"/>
          <w:szCs w:val="24"/>
          <w:highlight w:val="none"/>
        </w:rPr>
      </w:pPr>
      <w:r>
        <w:rPr>
          <w:rFonts w:hint="eastAsia" w:ascii="仿宋" w:hAnsi="仿宋" w:eastAsia="仿宋" w:cs="仿宋"/>
          <w:bCs/>
          <w:color w:val="auto"/>
          <w:szCs w:val="24"/>
          <w:highlight w:val="none"/>
        </w:rPr>
        <w:t>（2）、特定资格条件：</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1、法定代表人或负责人参与投标时需提供法定代表人或负责人资格证明书（附法定代表人或负责人身份证复印件）；</w:t>
      </w:r>
    </w:p>
    <w:p>
      <w:pPr>
        <w:pageBreakBefore w:val="0"/>
        <w:bidi w:val="0"/>
        <w:spacing w:line="560" w:lineRule="exact"/>
        <w:ind w:firstLine="480" w:firstLineChars="200"/>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2、被授权人参与投标时需提供法定代表人或负责人授权委托书（附法定代表人或负责人及被授权人身份证复印件）；</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 xml:space="preserve">3、投标保证金交纳凭证；（保证金交纳凭证复印件加盖公章）           </w:t>
      </w:r>
    </w:p>
    <w:p>
      <w:pPr>
        <w:pageBreakBefore w:val="0"/>
        <w:bidi w:val="0"/>
        <w:spacing w:line="560" w:lineRule="exact"/>
        <w:ind w:firstLine="480" w:firstLineChars="200"/>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ageBreakBefore w:val="0"/>
        <w:bidi w:val="0"/>
        <w:spacing w:line="560" w:lineRule="exact"/>
        <w:ind w:firstLine="480" w:firstLineChars="200"/>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5、单位负责人为同一人或者存在直接控股、管理关系的不同投标人，不得参加同一合同项下的政府采购活动；（提供书面承诺函，格式自拟加盖投标人公章）</w:t>
      </w:r>
    </w:p>
    <w:p>
      <w:pPr>
        <w:pageBreakBefore w:val="0"/>
        <w:bidi w:val="0"/>
        <w:spacing w:line="560" w:lineRule="exact"/>
        <w:ind w:firstLine="480" w:firstLineChars="200"/>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6、</w:t>
      </w:r>
      <w:r>
        <w:rPr>
          <w:rFonts w:hint="eastAsia" w:ascii="仿宋" w:hAnsi="仿宋" w:eastAsia="仿宋" w:cs="仿宋"/>
          <w:color w:val="auto"/>
          <w:szCs w:val="24"/>
          <w:highlight w:val="none"/>
          <w:lang w:val="en-US" w:eastAsia="zh-CN"/>
        </w:rPr>
        <w:t>本项目专门面向中小企业采购；须符合《政府采购促进中小企业发展管理办法》（财库〔2020〕46号）规定的中小企业参加；(提供《中小企业声明函》，式样见投标文件格式)</w:t>
      </w:r>
    </w:p>
    <w:p>
      <w:pPr>
        <w:pageBreakBefore w:val="0"/>
        <w:bidi w:val="0"/>
        <w:spacing w:line="560" w:lineRule="exact"/>
        <w:ind w:firstLine="480" w:firstLineChars="200"/>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7、本项目不接受联合体投标。</w:t>
      </w:r>
    </w:p>
    <w:p>
      <w:pPr>
        <w:pageBreakBefore w:val="0"/>
        <w:bidi w:val="0"/>
        <w:spacing w:line="560" w:lineRule="exact"/>
        <w:ind w:firstLine="482" w:firstLineChars="200"/>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3、评标</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3-1、</w:t>
      </w:r>
      <w:r>
        <w:rPr>
          <w:rFonts w:hint="eastAsia" w:ascii="仿宋" w:hAnsi="仿宋" w:eastAsia="仿宋" w:cs="仿宋"/>
          <w:bCs/>
          <w:color w:val="auto"/>
          <w:szCs w:val="24"/>
          <w:highlight w:val="none"/>
        </w:rPr>
        <w:t>评标委员会</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（1）采购代理机构根据《中华人民共和国政府采购法》及其实施条例、《政府采购货物和服务招标投标管理办法》（财政部令第87号）等规定，依法组建评标委员会。</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（2）采购人派代表进入评标委员会时，须向采购代理机构出具授权函。</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（3）评标委员会应推荐一名评审专家担任评审组长，并由评审组长牵头组织该项目评审工作，采购人代表不得担任评审组长。</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（4）评标委员会成员不得参加开标活动。</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（5）评标委员会成员应当遵守并履行下列职责义务：</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a、遵纪守法，客观、公正、认真负责地履行职责，根据招标文件规定的评标程序、评标方法和评标标准审查投标文件；</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b、符合性审查、评价投标文件是否符合招标文件的商务、技术等实质性要求；</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c、要求投标人对投标文件有关事项作出澄清或者说明；</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d、对投标文件进行比较和评价；</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e、确定中标候选人名单，以及根据采购人委托直接确定中标人；</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f、向采购人、采购代理机构或者有关部门报告评标中发现的违法行为； </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g、对评标过程及各投标人的商业机密予以保密；</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h、配合采购人、采购代理机构答复各投标人提出的质疑；</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i、配合各部门的投诉处理和监督检查工作。</w:t>
      </w:r>
    </w:p>
    <w:p>
      <w:pPr>
        <w:pageBreakBefore w:val="0"/>
        <w:bidi w:val="0"/>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3-2、在政府采购活动中，采购人员及相关人员（包括评标委员会）与投标人有下列利害关系之一的，应当回避：</w:t>
      </w:r>
    </w:p>
    <w:p>
      <w:pPr>
        <w:pageBreakBefore w:val="0"/>
        <w:bidi w:val="0"/>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（1）参加采购活动前3年内与投标人存在劳动关系；</w:t>
      </w:r>
    </w:p>
    <w:p>
      <w:pPr>
        <w:pageBreakBefore w:val="0"/>
        <w:bidi w:val="0"/>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（2）参加采购活动前3年内担任投标人的董事、监事；</w:t>
      </w:r>
    </w:p>
    <w:p>
      <w:pPr>
        <w:pageBreakBefore w:val="0"/>
        <w:bidi w:val="0"/>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（3）参加采购活动前3年内是投标人的控股股东或者实际控制人；</w:t>
      </w:r>
    </w:p>
    <w:p>
      <w:pPr>
        <w:pageBreakBefore w:val="0"/>
        <w:bidi w:val="0"/>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（4）与投标人的法定代表人或者负责人有夫妻、直系血亲、三代以内旁系血亲或者近姻亲关系；</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（5）与投标人有其他可能影响政府采购活动公平、公正进行的关系。</w:t>
      </w:r>
    </w:p>
    <w:p>
      <w:pPr>
        <w:pageBreakBefore w:val="0"/>
        <w:bidi w:val="0"/>
        <w:spacing w:line="560" w:lineRule="exact"/>
        <w:ind w:firstLine="480" w:firstLineChars="200"/>
        <w:textAlignment w:val="auto"/>
        <w:rPr>
          <w:rFonts w:hint="eastAsia" w:ascii="仿宋" w:hAnsi="仿宋" w:eastAsia="仿宋" w:cs="仿宋"/>
          <w:bCs/>
          <w:color w:val="auto"/>
          <w:szCs w:val="24"/>
          <w:highlight w:val="none"/>
          <w:lang w:eastAsia="zh-CN"/>
        </w:rPr>
      </w:pPr>
      <w:r>
        <w:rPr>
          <w:rFonts w:hint="eastAsia" w:ascii="仿宋" w:hAnsi="仿宋" w:eastAsia="仿宋" w:cs="仿宋"/>
          <w:bCs/>
          <w:color w:val="auto"/>
          <w:szCs w:val="24"/>
          <w:highlight w:val="none"/>
        </w:rPr>
        <w:t>3-3、采购人、采购代理机构应当采取必要的措施，保证评标在严格保密的情况下进行。除采购人代表、评标现场组织人员外，采购人的其他工作人员以及与评标工作无关的人员不得进入评标现场。</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3-4、有关人员对评标情况以及在评标过程中获悉的国家秘密、商业秘密负有保密责任。</w:t>
      </w:r>
    </w:p>
    <w:p>
      <w:pPr>
        <w:pageBreakBefore w:val="0"/>
        <w:bidi w:val="0"/>
        <w:spacing w:line="560" w:lineRule="exact"/>
        <w:ind w:firstLine="480" w:firstLineChars="20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3-5、评标原则：</w:t>
      </w:r>
      <w:r>
        <w:rPr>
          <w:rFonts w:hint="eastAsia" w:ascii="仿宋" w:hAnsi="仿宋" w:eastAsia="仿宋" w:cs="仿宋"/>
          <w:color w:val="auto"/>
          <w:szCs w:val="24"/>
          <w:highlight w:val="none"/>
        </w:rPr>
        <w:t>坚持公平、公正、科学、择优原则，禁止不正当竞争。</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bCs/>
          <w:color w:val="auto"/>
          <w:szCs w:val="24"/>
          <w:highlight w:val="none"/>
        </w:rPr>
        <w:t>3-6、评标办法</w:t>
      </w:r>
      <w:r>
        <w:rPr>
          <w:rFonts w:hint="eastAsia" w:ascii="仿宋" w:hAnsi="仿宋" w:eastAsia="仿宋" w:cs="仿宋"/>
          <w:color w:val="auto"/>
          <w:szCs w:val="24"/>
          <w:highlight w:val="none"/>
        </w:rPr>
        <w:t>：本次招标采用综合评分法（详见本节评分标准）。</w:t>
      </w:r>
    </w:p>
    <w:p>
      <w:pPr>
        <w:pageBreakBefore w:val="0"/>
        <w:bidi w:val="0"/>
        <w:spacing w:line="560" w:lineRule="exact"/>
        <w:ind w:firstLine="482" w:firstLineChars="200"/>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3-7、评标工作程序：</w:t>
      </w:r>
      <w:r>
        <w:rPr>
          <w:rFonts w:hint="eastAsia" w:ascii="仿宋" w:hAnsi="仿宋" w:eastAsia="仿宋" w:cs="仿宋"/>
          <w:color w:val="auto"/>
          <w:szCs w:val="24"/>
          <w:highlight w:val="none"/>
        </w:rPr>
        <w:t>符合性审查、澄清、评价、推荐中标候选人的工作程序进行评标。</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3-7-1、投标文件符合性审查</w:t>
      </w:r>
    </w:p>
    <w:p>
      <w:pPr>
        <w:pageBreakBefore w:val="0"/>
        <w:bidi w:val="0"/>
        <w:spacing w:line="560" w:lineRule="exact"/>
        <w:ind w:firstLine="720" w:firstLineChars="3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（1）投标人名称与购买招标文件的单位名称不一致；</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（2）投标文件未按照招标文件的要求盖章签字；</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xml:space="preserve">）投标报价超过采购预算； </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）投标有效期不符合招标文件的要求；</w:t>
      </w:r>
    </w:p>
    <w:p>
      <w:pPr>
        <w:pageBreakBefore w:val="0"/>
        <w:bidi w:val="0"/>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）未对招标文件商务要求作出明确且实质性响应</w:t>
      </w:r>
      <w:r>
        <w:rPr>
          <w:rFonts w:hint="eastAsia" w:ascii="仿宋" w:hAnsi="仿宋" w:eastAsia="仿宋" w:cs="仿宋"/>
          <w:color w:val="auto"/>
          <w:szCs w:val="24"/>
          <w:highlight w:val="none"/>
          <w:lang w:eastAsia="zh-CN"/>
        </w:rPr>
        <w:t>；</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szCs w:val="24"/>
          <w:highlight w:val="none"/>
        </w:rPr>
        <w:t xml:space="preserve"> 3-7-2、投标文件的澄清：</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 xml:space="preserve"> （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pageBreakBefore w:val="0"/>
        <w:overflowPunct w:val="0"/>
        <w:bidi w:val="0"/>
        <w:adjustRightInd w:val="0"/>
        <w:snapToGrid w:val="0"/>
        <w:spacing w:line="560" w:lineRule="exact"/>
        <w:ind w:firstLine="480" w:firstLineChars="200"/>
        <w:textAlignment w:val="auto"/>
        <w:outlineLvl w:val="3"/>
        <w:rPr>
          <w:rFonts w:ascii="仿宋" w:hAnsi="仿宋" w:eastAsia="仿宋" w:cs="仿宋"/>
          <w:color w:val="auto"/>
          <w:highlight w:val="none"/>
        </w:rPr>
      </w:pPr>
      <w:r>
        <w:rPr>
          <w:rFonts w:hint="eastAsia" w:ascii="仿宋" w:hAnsi="仿宋" w:eastAsia="仿宋" w:cs="仿宋"/>
          <w:color w:val="auto"/>
          <w:szCs w:val="24"/>
          <w:highlight w:val="none"/>
        </w:rPr>
        <w:t>（2）书写错误的评审标准：</w:t>
      </w:r>
    </w:p>
    <w:p>
      <w:pPr>
        <w:pageBreakBefore w:val="0"/>
        <w:overflowPunct w:val="0"/>
        <w:bidi w:val="0"/>
        <w:adjustRightInd w:val="0"/>
        <w:snapToGrid w:val="0"/>
        <w:spacing w:line="560" w:lineRule="exact"/>
        <w:ind w:firstLine="720" w:firstLineChars="300"/>
        <w:textAlignment w:val="auto"/>
        <w:rPr>
          <w:rFonts w:ascii="仿宋" w:hAnsi="仿宋" w:eastAsia="仿宋" w:cs="仿宋"/>
          <w:color w:val="auto"/>
          <w:highlight w:val="none"/>
        </w:rPr>
      </w:pPr>
      <w:r>
        <w:rPr>
          <w:rFonts w:hint="eastAsia" w:ascii="仿宋" w:hAnsi="仿宋" w:eastAsia="仿宋" w:cs="仿宋"/>
          <w:color w:val="auto"/>
          <w:highlight w:val="none"/>
        </w:rPr>
        <w:t>评标委员会在评标过程中，发现投标文件出现下列情况之一者，按以下原则修正：</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szCs w:val="24"/>
          <w:highlight w:val="none"/>
        </w:rPr>
        <w:t>投标文件有关内容与“开标一览表”不一致的，以“开标一览表”为准</w:t>
      </w:r>
      <w:r>
        <w:rPr>
          <w:rFonts w:hint="eastAsia" w:ascii="仿宋" w:hAnsi="仿宋" w:eastAsia="仿宋" w:cs="仿宋"/>
          <w:color w:val="auto"/>
          <w:highlight w:val="none"/>
        </w:rPr>
        <w:t>；</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szCs w:val="24"/>
          <w:highlight w:val="none"/>
        </w:rPr>
        <w:t>大写金额与小写金额不一致的，以大写金额为准</w:t>
      </w:r>
      <w:r>
        <w:rPr>
          <w:rFonts w:hint="eastAsia" w:ascii="仿宋" w:hAnsi="仿宋" w:eastAsia="仿宋" w:cs="仿宋"/>
          <w:color w:val="auto"/>
          <w:highlight w:val="none"/>
        </w:rPr>
        <w:t>；</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c、单价金额小数点或者百分比有明显错位的，以“</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”的总价为准，并修改单价；</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highlight w:val="none"/>
        </w:rPr>
        <w:t>d、总价金额与按</w:t>
      </w:r>
      <w:r>
        <w:rPr>
          <w:rFonts w:hint="eastAsia" w:ascii="仿宋" w:hAnsi="仿宋" w:eastAsia="仿宋" w:cs="仿宋"/>
          <w:color w:val="auto"/>
          <w:szCs w:val="24"/>
          <w:highlight w:val="none"/>
        </w:rPr>
        <w:t>单价汇总金额不一致的，以单价乘以数量的计算结果为准</w:t>
      </w:r>
      <w:r>
        <w:rPr>
          <w:rFonts w:hint="eastAsia" w:ascii="仿宋" w:hAnsi="仿宋" w:eastAsia="仿宋" w:cs="仿宋"/>
          <w:color w:val="auto"/>
          <w:highlight w:val="none"/>
        </w:rPr>
        <w:t>；</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e、</w:t>
      </w:r>
      <w:r>
        <w:rPr>
          <w:rFonts w:hint="eastAsia" w:ascii="仿宋" w:hAnsi="仿宋" w:eastAsia="仿宋" w:cs="仿宋"/>
          <w:color w:val="auto"/>
          <w:szCs w:val="24"/>
          <w:highlight w:val="none"/>
        </w:rPr>
        <w:t>投标文件图表与文字不符时，以文字为准</w:t>
      </w:r>
      <w:r>
        <w:rPr>
          <w:rFonts w:hint="eastAsia" w:ascii="仿宋" w:hAnsi="仿宋" w:eastAsia="仿宋" w:cs="仿宋"/>
          <w:color w:val="auto"/>
          <w:highlight w:val="none"/>
        </w:rPr>
        <w:t>；</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szCs w:val="24"/>
          <w:highlight w:val="none"/>
        </w:rPr>
        <w:t>f、投标文件正本与副本不符时，以正本为准；</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g、对不同文字文本投标文件的解释发生异议的，以中文文本为准；</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highlight w:val="none"/>
        </w:rPr>
        <w:t>h、</w:t>
      </w:r>
      <w:r>
        <w:rPr>
          <w:rFonts w:hint="eastAsia" w:ascii="仿宋" w:hAnsi="仿宋" w:eastAsia="仿宋" w:cs="仿宋"/>
          <w:color w:val="auto"/>
          <w:szCs w:val="24"/>
          <w:highlight w:val="none"/>
        </w:rPr>
        <w:t>多处内容交叉不符时，以评标委员会评审结果为准。</w:t>
      </w:r>
    </w:p>
    <w:p>
      <w:pPr>
        <w:pageBreakBefore w:val="0"/>
        <w:bidi w:val="0"/>
        <w:spacing w:line="560" w:lineRule="exact"/>
        <w:ind w:firstLine="482" w:firstLineChars="200"/>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注：按上述方法修正的内容（其中，同时出现上述a至d两种以上不一致的，按上述规定的顺序修正），经投标人确认后产生约束力，投标人不确认的，其投标无效。</w:t>
      </w:r>
    </w:p>
    <w:p>
      <w:pPr>
        <w:pageBreakBefore w:val="0"/>
        <w:bidi w:val="0"/>
        <w:spacing w:line="560" w:lineRule="exact"/>
        <w:ind w:firstLine="465"/>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bidi w:val="0"/>
        <w:spacing w:line="560" w:lineRule="exact"/>
        <w:ind w:firstLine="465"/>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3-7-3、评价：</w:t>
      </w:r>
    </w:p>
    <w:p>
      <w:pPr>
        <w:pageBreakBefore w:val="0"/>
        <w:bidi w:val="0"/>
        <w:spacing w:line="560" w:lineRule="exact"/>
        <w:ind w:firstLine="465"/>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（1）评标委员会评审投标文件符合性只根据投标文件本身的内容，而不寻求其他外部证据。</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highlight w:val="none"/>
        </w:rPr>
        <w:t>评标采取逐项分步评审方式，每一步评审不符合者，不进入下一步评审，全部评审合格的投标人进行最后的综合评审和打分，按最后得分由高向低排序，推荐中标候选人。</w:t>
      </w:r>
    </w:p>
    <w:p>
      <w:pPr>
        <w:pageBreakBefore w:val="0"/>
        <w:overflowPunct w:val="0"/>
        <w:bidi w:val="0"/>
        <w:adjustRightInd w:val="0"/>
        <w:snapToGrid w:val="0"/>
        <w:spacing w:line="560" w:lineRule="exact"/>
        <w:ind w:firstLine="480" w:firstLineChars="200"/>
        <w:textAlignment w:val="auto"/>
        <w:outlineLvl w:val="3"/>
        <w:rPr>
          <w:rFonts w:ascii="仿宋" w:hAnsi="仿宋" w:eastAsia="仿宋" w:cs="仿宋"/>
          <w:color w:val="auto"/>
          <w:highlight w:val="none"/>
        </w:rPr>
      </w:pPr>
      <w:r>
        <w:rPr>
          <w:rFonts w:hint="eastAsia" w:ascii="仿宋" w:hAnsi="仿宋" w:eastAsia="仿宋" w:cs="仿宋"/>
          <w:color w:val="auto"/>
          <w:highlight w:val="none"/>
        </w:rPr>
        <w:t>（3）其他需说明的情况：</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a、对于投标文件中不构成实质性偏差的小的不正规、不一致或不规则，采购人可以接受，但这种接受不能损害或影响任何投标人的相对排序；</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highlight w:val="none"/>
        </w:rPr>
        <w:t>b、最低报价不是中标的唯一条件；</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c、如果投标实质上没有响应招标文件的要求，其投标将被拒绝，投标人不得通过修正或撤消不合要求的偏离或保留从而使其投标成为实质上响应的投标。</w:t>
      </w:r>
    </w:p>
    <w:p>
      <w:pPr>
        <w:pageBreakBefore w:val="0"/>
        <w:overflowPunct w:val="0"/>
        <w:bidi w:val="0"/>
        <w:adjustRightInd w:val="0"/>
        <w:snapToGrid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szCs w:val="24"/>
          <w:highlight w:val="none"/>
        </w:rPr>
        <w:t>无论投标的结果如何，投标期间一切费用自理。</w:t>
      </w:r>
    </w:p>
    <w:p>
      <w:pPr>
        <w:pageBreakBefore w:val="0"/>
        <w:bidi w:val="0"/>
        <w:spacing w:line="560" w:lineRule="exact"/>
        <w:ind w:firstLine="600" w:firstLineChars="249"/>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3-8、评分标准：</w:t>
      </w:r>
    </w:p>
    <w:tbl>
      <w:tblPr>
        <w:tblStyle w:val="22"/>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5" w:type="dxa"/>
            <w:vAlign w:val="center"/>
          </w:tcPr>
          <w:p>
            <w:pPr>
              <w:keepNext w:val="0"/>
              <w:keepLines w:val="0"/>
              <w:pageBreakBefore w:val="0"/>
              <w:kinsoku/>
              <w:wordWrap/>
              <w:overflowPunct/>
              <w:topLinePunct w:val="0"/>
              <w:autoSpaceDE/>
              <w:autoSpaceDN/>
              <w:bidi w:val="0"/>
              <w:adjustRightInd/>
              <w:snapToGrid/>
              <w:spacing w:line="560" w:lineRule="exact"/>
              <w:ind w:right="-108" w:rightChars="-45"/>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报价</w:t>
            </w:r>
          </w:p>
        </w:tc>
        <w:tc>
          <w:tcPr>
            <w:tcW w:w="766" w:type="dxa"/>
            <w:vAlign w:val="center"/>
          </w:tcPr>
          <w:p>
            <w:pPr>
              <w:keepNext w:val="0"/>
              <w:keepLines w:val="0"/>
              <w:pageBreakBefore w:val="0"/>
              <w:kinsoku/>
              <w:wordWrap/>
              <w:overflowPunct/>
              <w:topLinePunct w:val="0"/>
              <w:autoSpaceDE/>
              <w:autoSpaceDN/>
              <w:bidi w:val="0"/>
              <w:adjustRightInd/>
              <w:snapToGrid/>
              <w:spacing w:line="560" w:lineRule="exact"/>
              <w:ind w:left="-134" w:leftChars="-56" w:right="-108" w:rightChars="-45"/>
              <w:jc w:val="center"/>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35</w:t>
            </w:r>
            <w:r>
              <w:rPr>
                <w:rFonts w:hint="eastAsia" w:ascii="仿宋" w:hAnsi="仿宋" w:eastAsia="仿宋" w:cs="仿宋"/>
                <w:color w:val="auto"/>
                <w:szCs w:val="24"/>
                <w:highlight w:val="none"/>
              </w:rPr>
              <w:t>分</w:t>
            </w:r>
          </w:p>
        </w:tc>
        <w:tc>
          <w:tcPr>
            <w:tcW w:w="7641" w:type="dxa"/>
            <w:vAlign w:val="center"/>
          </w:tcPr>
          <w:p>
            <w:pPr>
              <w:pStyle w:val="4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技术</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响应</w:t>
            </w:r>
          </w:p>
        </w:tc>
        <w:tc>
          <w:tcPr>
            <w:tcW w:w="76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32</w:t>
            </w:r>
            <w:r>
              <w:rPr>
                <w:rFonts w:hint="eastAsia" w:ascii="仿宋" w:hAnsi="仿宋" w:eastAsia="仿宋" w:cs="仿宋"/>
                <w:color w:val="auto"/>
                <w:kern w:val="0"/>
                <w:szCs w:val="24"/>
                <w:highlight w:val="none"/>
              </w:rPr>
              <w:t>分</w:t>
            </w:r>
          </w:p>
        </w:tc>
        <w:tc>
          <w:tcPr>
            <w:tcW w:w="7641" w:type="dxa"/>
          </w:tcPr>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1、</w:t>
            </w:r>
            <w:r>
              <w:rPr>
                <w:rFonts w:hint="default" w:ascii="仿宋" w:hAnsi="仿宋" w:eastAsia="仿宋" w:cs="仿宋"/>
                <w:color w:val="auto"/>
                <w:kern w:val="2"/>
                <w:sz w:val="24"/>
                <w:szCs w:val="22"/>
                <w:highlight w:val="none"/>
                <w:lang w:val="en-US" w:eastAsia="zh-CN" w:bidi="ar-SA"/>
              </w:rPr>
              <w:t>投标人所投产品的技术参数和性能要求完全满足招标文件要求的得</w:t>
            </w:r>
            <w:r>
              <w:rPr>
                <w:rFonts w:hint="eastAsia" w:ascii="仿宋" w:hAnsi="仿宋" w:eastAsia="仿宋" w:cs="仿宋"/>
                <w:color w:val="auto"/>
                <w:kern w:val="2"/>
                <w:sz w:val="24"/>
                <w:szCs w:val="22"/>
                <w:highlight w:val="none"/>
                <w:lang w:val="en-US" w:eastAsia="zh-CN" w:bidi="ar-SA"/>
              </w:rPr>
              <w:t>15</w:t>
            </w:r>
            <w:r>
              <w:rPr>
                <w:rFonts w:hint="default" w:ascii="仿宋" w:hAnsi="仿宋" w:eastAsia="仿宋" w:cs="仿宋"/>
                <w:color w:val="auto"/>
                <w:kern w:val="2"/>
                <w:sz w:val="24"/>
                <w:szCs w:val="22"/>
                <w:highlight w:val="none"/>
                <w:lang w:val="en-US" w:eastAsia="zh-CN" w:bidi="ar-SA"/>
              </w:rPr>
              <w:t>分；参数每负偏离一项扣</w:t>
            </w:r>
            <w:r>
              <w:rPr>
                <w:rFonts w:hint="eastAsia" w:ascii="仿宋" w:hAnsi="仿宋" w:eastAsia="仿宋" w:cs="仿宋"/>
                <w:color w:val="auto"/>
                <w:kern w:val="2"/>
                <w:sz w:val="24"/>
                <w:szCs w:val="22"/>
                <w:highlight w:val="none"/>
                <w:lang w:val="en-US" w:eastAsia="zh-CN" w:bidi="ar-SA"/>
              </w:rPr>
              <w:t>1</w:t>
            </w:r>
            <w:r>
              <w:rPr>
                <w:rFonts w:hint="default" w:ascii="仿宋" w:hAnsi="仿宋" w:eastAsia="仿宋" w:cs="仿宋"/>
                <w:color w:val="auto"/>
                <w:kern w:val="2"/>
                <w:sz w:val="24"/>
                <w:szCs w:val="22"/>
                <w:highlight w:val="none"/>
                <w:lang w:val="en-US" w:eastAsia="zh-CN" w:bidi="ar-SA"/>
              </w:rPr>
              <w:t>分，扣完为止；</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2"/>
                <w:highlight w:val="none"/>
                <w:lang w:val="en-US" w:eastAsia="zh-CN" w:bidi="ar-SA"/>
              </w:rPr>
            </w:pPr>
            <w:r>
              <w:rPr>
                <w:rFonts w:hint="default" w:ascii="仿宋" w:hAnsi="仿宋" w:eastAsia="仿宋" w:cs="仿宋"/>
                <w:color w:val="auto"/>
                <w:kern w:val="2"/>
                <w:sz w:val="24"/>
                <w:szCs w:val="22"/>
                <w:highlight w:val="none"/>
                <w:lang w:val="en-US" w:eastAsia="zh-CN" w:bidi="ar-SA"/>
              </w:rPr>
              <w:t>2、产品有详细的使用说明介绍，技术指标满足招标文件要求及用户实际使用需求且技术资料齐全，并能提供生产厂家出具的、响应的功能证明材料（包括但不限于检测报告、官网和功能截图、彩页、说明书等相关资料），每提供一项证明材料得1分，最多得</w:t>
            </w:r>
            <w:r>
              <w:rPr>
                <w:rFonts w:hint="eastAsia" w:ascii="仿宋" w:hAnsi="仿宋" w:eastAsia="仿宋" w:cs="仿宋"/>
                <w:color w:val="auto"/>
                <w:kern w:val="2"/>
                <w:sz w:val="24"/>
                <w:szCs w:val="22"/>
                <w:highlight w:val="none"/>
                <w:lang w:val="en-US" w:eastAsia="zh-CN" w:bidi="ar-SA"/>
              </w:rPr>
              <w:t>3</w:t>
            </w:r>
            <w:r>
              <w:rPr>
                <w:rFonts w:hint="default" w:ascii="仿宋" w:hAnsi="仿宋" w:eastAsia="仿宋" w:cs="仿宋"/>
                <w:color w:val="auto"/>
                <w:kern w:val="2"/>
                <w:sz w:val="24"/>
                <w:szCs w:val="22"/>
                <w:highlight w:val="none"/>
                <w:lang w:val="en-US" w:eastAsia="zh-CN" w:bidi="ar-SA"/>
              </w:rPr>
              <w:t>分；</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3、投标人根据技术参数部分做出详细方案进行应答；方案总体设计科学合理，对招标要求应答完整、清晰、有针对性的得（6-8]分，方案总体设计较合理得（3-6]分，方案总体设计一般得（0-3]分，不提供不得分；</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2"/>
                <w:highlight w:val="none"/>
                <w:lang w:val="en-US" w:eastAsia="zh-CN" w:bidi="ar-SA"/>
              </w:rPr>
              <w:t>4</w:t>
            </w:r>
            <w:r>
              <w:rPr>
                <w:rFonts w:hint="default" w:ascii="仿宋" w:hAnsi="仿宋" w:eastAsia="仿宋" w:cs="仿宋"/>
                <w:color w:val="auto"/>
                <w:kern w:val="2"/>
                <w:sz w:val="24"/>
                <w:szCs w:val="22"/>
                <w:highlight w:val="none"/>
                <w:lang w:val="en-US" w:eastAsia="zh-CN" w:bidi="ar-SA"/>
              </w:rPr>
              <w:t>、投标人具有成熟可靠的项目实施方案、并具有必要的质量管理措施，能保证项目正常稳定实施并保证产品稳定运行</w:t>
            </w:r>
            <w:r>
              <w:rPr>
                <w:rFonts w:hint="eastAsia" w:ascii="仿宋" w:hAnsi="仿宋" w:eastAsia="仿宋" w:cs="仿宋"/>
                <w:color w:val="auto"/>
                <w:kern w:val="2"/>
                <w:sz w:val="24"/>
                <w:szCs w:val="22"/>
                <w:highlight w:val="none"/>
                <w:lang w:val="en-US" w:eastAsia="zh-CN" w:bidi="ar-SA"/>
              </w:rPr>
              <w:t>。方案优秀得（4-6]分，方案良好得（3-4]分,方案一般得（0-3]分，不提供不得分。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拟投入项目人员</w:t>
            </w:r>
          </w:p>
        </w:tc>
        <w:tc>
          <w:tcPr>
            <w:tcW w:w="76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6分</w:t>
            </w:r>
          </w:p>
        </w:tc>
        <w:tc>
          <w:tcPr>
            <w:tcW w:w="7641" w:type="dxa"/>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Cs w:val="24"/>
                <w:highlight w:val="none"/>
                <w:lang w:eastAsia="zh-CN"/>
              </w:rPr>
            </w:pPr>
            <w:r>
              <w:rPr>
                <w:rFonts w:hint="eastAsia" w:ascii="仿宋" w:hAnsi="仿宋" w:eastAsia="仿宋" w:cs="仿宋"/>
                <w:b w:val="0"/>
                <w:bCs w:val="0"/>
                <w:color w:val="auto"/>
                <w:szCs w:val="24"/>
                <w:highlight w:val="none"/>
                <w:lang w:val="en-US" w:eastAsia="zh-CN"/>
              </w:rPr>
              <w:t>1、</w:t>
            </w:r>
            <w:r>
              <w:rPr>
                <w:rFonts w:hint="eastAsia" w:ascii="仿宋" w:hAnsi="仿宋" w:eastAsia="仿宋" w:cs="仿宋"/>
                <w:b w:val="0"/>
                <w:bCs w:val="0"/>
                <w:color w:val="auto"/>
                <w:szCs w:val="24"/>
                <w:highlight w:val="none"/>
              </w:rPr>
              <w:t>拟配备的项目团队成员数量达到6人以上(含)，团队成员均具有实施过类似HRP项目的经验。须提供劳动合同、社保缴费证明、实施类似HRP项目证明材料。满足条件得4分，不满足不得分</w:t>
            </w:r>
            <w:r>
              <w:rPr>
                <w:rFonts w:hint="eastAsia" w:ascii="仿宋" w:hAnsi="仿宋" w:eastAsia="仿宋" w:cs="仿宋"/>
                <w:b w:val="0"/>
                <w:bCs w:val="0"/>
                <w:color w:val="auto"/>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Cs w:val="24"/>
                <w:highlight w:val="none"/>
              </w:rPr>
            </w:pPr>
            <w:r>
              <w:rPr>
                <w:rFonts w:hint="eastAsia" w:ascii="仿宋" w:hAnsi="仿宋" w:eastAsia="仿宋" w:cs="仿宋"/>
                <w:b w:val="0"/>
                <w:bCs w:val="0"/>
                <w:color w:val="auto"/>
                <w:szCs w:val="24"/>
                <w:highlight w:val="none"/>
                <w:lang w:val="en-US" w:eastAsia="zh-CN"/>
              </w:rPr>
              <w:t>2、</w:t>
            </w:r>
            <w:r>
              <w:rPr>
                <w:rFonts w:hint="eastAsia" w:ascii="仿宋" w:hAnsi="仿宋" w:eastAsia="仿宋" w:cs="仿宋"/>
                <w:b w:val="0"/>
                <w:bCs w:val="0"/>
                <w:color w:val="auto"/>
                <w:szCs w:val="24"/>
                <w:highlight w:val="none"/>
              </w:rPr>
              <w:t>项目经理需具备七年以上HRP系统实施工作经验(需附三个以上验收项目的客户证明)，并连续在投标人单位工作6个月以上(提供项目经理基本情况介绍及投标</w:t>
            </w:r>
            <w:r>
              <w:rPr>
                <w:rFonts w:hint="eastAsia" w:ascii="仿宋" w:hAnsi="仿宋" w:eastAsia="仿宋" w:cs="仿宋"/>
                <w:b w:val="0"/>
                <w:bCs w:val="0"/>
                <w:color w:val="auto"/>
                <w:szCs w:val="24"/>
                <w:highlight w:val="none"/>
                <w:lang w:val="en-US" w:eastAsia="zh-CN"/>
              </w:rPr>
              <w:t>单位</w:t>
            </w:r>
            <w:r>
              <w:rPr>
                <w:rFonts w:hint="eastAsia" w:ascii="仿宋" w:hAnsi="仿宋" w:eastAsia="仿宋" w:cs="仿宋"/>
                <w:b w:val="0"/>
                <w:bCs w:val="0"/>
                <w:color w:val="auto"/>
                <w:szCs w:val="24"/>
                <w:highlight w:val="none"/>
              </w:rPr>
              <w:t>为其缴纳的连续6个月社保缴费记录) 满足要求得2分</w:t>
            </w:r>
            <w:r>
              <w:rPr>
                <w:rFonts w:hint="eastAsia" w:ascii="仿宋" w:hAnsi="仿宋" w:eastAsia="仿宋" w:cs="仿宋"/>
                <w:b w:val="0"/>
                <w:bCs w:val="0"/>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pageBreakBefore w:val="0"/>
              <w:shd w:val="clear" w:color="auto" w:fill="auto"/>
              <w:bidi w:val="0"/>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w:t>
            </w:r>
          </w:p>
          <w:p>
            <w:pPr>
              <w:pageBreakBefore w:val="0"/>
              <w:shd w:val="clear" w:color="auto" w:fill="auto"/>
              <w:bidi w:val="0"/>
              <w:spacing w:line="560" w:lineRule="exact"/>
              <w:jc w:val="center"/>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sz w:val="24"/>
                <w:szCs w:val="24"/>
                <w:highlight w:val="none"/>
              </w:rPr>
              <w:t>渠道</w:t>
            </w:r>
          </w:p>
        </w:tc>
        <w:tc>
          <w:tcPr>
            <w:tcW w:w="766" w:type="dxa"/>
            <w:vAlign w:val="center"/>
          </w:tcPr>
          <w:p>
            <w:pPr>
              <w:pageBreakBefore w:val="0"/>
              <w:shd w:val="clear" w:color="auto" w:fill="auto"/>
              <w:bidi w:val="0"/>
              <w:spacing w:line="560" w:lineRule="exact"/>
              <w:jc w:val="center"/>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7641" w:type="dxa"/>
            <w:vAlign w:val="center"/>
          </w:tcPr>
          <w:p>
            <w:pPr>
              <w:shd w:val="clear" w:color="auto" w:fill="auto"/>
              <w:spacing w:line="5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能提供所投产品的合法来源渠道证明文件（包括但不限于产品制造商授权、销售协议、代理协议等），根据</w:t>
            </w:r>
            <w:r>
              <w:rPr>
                <w:rFonts w:hint="eastAsia" w:ascii="仿宋" w:hAnsi="仿宋" w:eastAsia="仿宋" w:cs="仿宋"/>
                <w:color w:val="auto"/>
                <w:sz w:val="24"/>
                <w:szCs w:val="24"/>
                <w:highlight w:val="none"/>
                <w:lang w:eastAsia="zh-CN"/>
              </w:rPr>
              <w:t>多寡</w:t>
            </w:r>
            <w:r>
              <w:rPr>
                <w:rFonts w:hint="eastAsia" w:ascii="仿宋" w:hAnsi="仿宋" w:eastAsia="仿宋" w:cs="仿宋"/>
                <w:color w:val="auto"/>
                <w:sz w:val="24"/>
                <w:szCs w:val="24"/>
                <w:highlight w:val="none"/>
              </w:rPr>
              <w:t>程度计0-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560" w:lineRule="exact"/>
              <w:ind w:right="-95"/>
              <w:jc w:val="center"/>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业绩</w:t>
            </w:r>
          </w:p>
        </w:tc>
        <w:tc>
          <w:tcPr>
            <w:tcW w:w="76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560" w:lineRule="exact"/>
              <w:ind w:right="-95"/>
              <w:jc w:val="center"/>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分</w:t>
            </w:r>
          </w:p>
        </w:tc>
        <w:tc>
          <w:tcPr>
            <w:tcW w:w="7641" w:type="dxa"/>
            <w:shd w:val="clear" w:color="auto" w:fill="FFFFFF"/>
            <w:vAlign w:val="center"/>
          </w:tcPr>
          <w:p>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以合同复印件形式提供投标人20</w:t>
            </w:r>
            <w:r>
              <w:rPr>
                <w:rFonts w:hint="eastAsia" w:ascii="仿宋" w:hAnsi="仿宋" w:eastAsia="仿宋" w:cs="仿宋"/>
                <w:color w:val="auto"/>
                <w:kern w:val="0"/>
                <w:szCs w:val="24"/>
                <w:highlight w:val="none"/>
                <w:lang w:val="en-US" w:eastAsia="zh-CN"/>
              </w:rPr>
              <w:t>20</w:t>
            </w:r>
            <w:r>
              <w:rPr>
                <w:rFonts w:hint="eastAsia" w:ascii="仿宋" w:hAnsi="仿宋" w:eastAsia="仿宋" w:cs="仿宋"/>
                <w:color w:val="auto"/>
                <w:kern w:val="0"/>
                <w:szCs w:val="24"/>
                <w:highlight w:val="none"/>
              </w:rPr>
              <w:t>年1月</w:t>
            </w:r>
            <w:r>
              <w:rPr>
                <w:rFonts w:hint="eastAsia" w:ascii="仿宋" w:hAnsi="仿宋" w:eastAsia="仿宋" w:cs="仿宋"/>
                <w:color w:val="auto"/>
                <w:kern w:val="0"/>
                <w:szCs w:val="24"/>
                <w:highlight w:val="none"/>
                <w:lang w:val="en-US" w:eastAsia="zh-CN"/>
              </w:rPr>
              <w:t>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，每份计1分，计满</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分为止。</w:t>
            </w:r>
          </w:p>
          <w:p>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注：投标人需提供采购合同（含首页、</w:t>
            </w:r>
            <w:r>
              <w:rPr>
                <w:rFonts w:hint="eastAsia" w:ascii="仿宋" w:hAnsi="仿宋" w:eastAsia="仿宋" w:cs="仿宋"/>
                <w:color w:val="auto"/>
                <w:kern w:val="0"/>
                <w:szCs w:val="24"/>
                <w:highlight w:val="none"/>
                <w:lang w:val="en-US" w:eastAsia="zh-CN"/>
              </w:rPr>
              <w:t>产品</w:t>
            </w:r>
            <w:r>
              <w:rPr>
                <w:rFonts w:hint="eastAsia" w:ascii="仿宋" w:hAnsi="仿宋" w:eastAsia="仿宋" w:cs="仿宋"/>
                <w:color w:val="auto"/>
                <w:kern w:val="0"/>
                <w:szCs w:val="24"/>
                <w:highlight w:val="none"/>
              </w:rPr>
              <w:t>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560" w:lineRule="exact"/>
              <w:ind w:right="-95"/>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演示</w:t>
            </w:r>
          </w:p>
        </w:tc>
        <w:tc>
          <w:tcPr>
            <w:tcW w:w="76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560" w:lineRule="exact"/>
              <w:ind w:right="-95"/>
              <w:jc w:val="center"/>
              <w:textAlignment w:val="auto"/>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20</w:t>
            </w:r>
            <w:r>
              <w:rPr>
                <w:rFonts w:hint="eastAsia" w:ascii="仿宋" w:hAnsi="仿宋" w:eastAsia="仿宋" w:cs="仿宋"/>
                <w:color w:val="auto"/>
                <w:kern w:val="0"/>
                <w:szCs w:val="24"/>
                <w:highlight w:val="none"/>
                <w:lang w:val="en-US" w:eastAsia="zh-CN"/>
              </w:rPr>
              <w:t>分</w:t>
            </w:r>
          </w:p>
        </w:tc>
        <w:tc>
          <w:tcPr>
            <w:tcW w:w="764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投标人需对采购内容及技术要求中带“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”条款（共20</w:t>
            </w:r>
            <w:r>
              <w:rPr>
                <w:rFonts w:hint="eastAsia" w:ascii="仿宋" w:hAnsi="仿宋" w:eastAsia="仿宋" w:cs="仿宋"/>
                <w:color w:val="auto"/>
                <w:sz w:val="24"/>
                <w:szCs w:val="24"/>
                <w:highlight w:val="none"/>
                <w:lang w:val="en-US" w:eastAsia="zh-CN"/>
              </w:rPr>
              <w:t>条，具体演示内容详见第三章采购内容及技术要求）进行演示，评标委员会根据演示功能说明系统的稳定性、系统软件界面友好性、操作简便、功能应答招标文件的完整性等方面比较评分（须使用类似业绩中的实际生产环境或开发环境，不能使用 PPT 演示或录制讲解视频)，每一个演示点1</w:t>
            </w:r>
            <w:r>
              <w:rPr>
                <w:rFonts w:hint="eastAsia" w:ascii="仿宋" w:hAnsi="仿宋" w:eastAsia="仿宋" w:cs="仿宋"/>
                <w:color w:val="auto"/>
                <w:sz w:val="24"/>
                <w:szCs w:val="24"/>
                <w:highlight w:val="none"/>
                <w:lang w:val="en-US" w:eastAsia="zh-CN"/>
              </w:rPr>
              <w:t>分，满分为 20</w:t>
            </w:r>
            <w:r>
              <w:rPr>
                <w:rFonts w:hint="eastAsia" w:ascii="仿宋" w:hAnsi="仿宋" w:eastAsia="仿宋" w:cs="仿宋"/>
                <w:color w:val="auto"/>
                <w:sz w:val="24"/>
                <w:szCs w:val="24"/>
                <w:highlight w:val="none"/>
                <w:lang w:val="en-US" w:eastAsia="zh-CN"/>
              </w:rPr>
              <w:t>分。不演示不得分。</w:t>
            </w: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rPr>
            </w:pPr>
            <w:r>
              <w:rPr>
                <w:rFonts w:hint="eastAsia" w:ascii="仿宋" w:hAnsi="仿宋" w:eastAsia="仿宋" w:cs="仿宋"/>
                <w:b/>
                <w:bCs/>
                <w:color w:val="auto"/>
                <w:sz w:val="24"/>
                <w:szCs w:val="24"/>
                <w:highlight w:val="none"/>
                <w:lang w:val="en-US" w:eastAsia="zh-CN"/>
              </w:rPr>
              <w:t>注：各投标单位自行准备演示所需材料及设备，在宝鸡市不见面开标大厅系统进行远程演示。</w:t>
            </w:r>
          </w:p>
        </w:tc>
      </w:tr>
    </w:tbl>
    <w:p>
      <w:pPr>
        <w:pageBreakBefore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注：1）评委打分超过得分界限或未按本方法赋分时，该评委的打分按废票处理。</w:t>
      </w:r>
    </w:p>
    <w:p>
      <w:pPr>
        <w:pageBreakBefore w:val="0"/>
        <w:numPr>
          <w:ilvl w:val="0"/>
          <w:numId w:val="3"/>
        </w:numPr>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各种计算数字均保留两位小数，第三位“四舍五入”。 </w:t>
      </w:r>
    </w:p>
    <w:p>
      <w:pPr>
        <w:pageBreakBefore w:val="0"/>
        <w:bidi w:val="0"/>
        <w:spacing w:line="560" w:lineRule="exact"/>
        <w:ind w:firstLine="482" w:firstLineChars="200"/>
        <w:textAlignment w:val="auto"/>
        <w:rPr>
          <w:rFonts w:ascii="仿宋" w:hAnsi="仿宋" w:eastAsia="仿宋" w:cs="仿宋"/>
          <w:color w:val="auto"/>
          <w:szCs w:val="24"/>
          <w:highlight w:val="none"/>
        </w:rPr>
      </w:pPr>
      <w:r>
        <w:rPr>
          <w:rFonts w:hint="eastAsia" w:ascii="仿宋" w:hAnsi="仿宋" w:eastAsia="仿宋" w:cs="仿宋"/>
          <w:b/>
          <w:bCs/>
          <w:color w:val="auto"/>
          <w:szCs w:val="24"/>
          <w:highlight w:val="none"/>
        </w:rPr>
        <w:t>3）特殊情况处理</w:t>
      </w:r>
      <w:r>
        <w:rPr>
          <w:rFonts w:hint="eastAsia" w:ascii="仿宋" w:hAnsi="仿宋" w:eastAsia="仿宋" w:cs="仿宋"/>
          <w:color w:val="auto"/>
          <w:szCs w:val="24"/>
          <w:highlight w:val="none"/>
        </w:rPr>
        <w:t>：</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a、当投标人某评分项出现未报、漏报或零报价时，该分项得零分，并不参与投标报价分的计算。</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b、相同品牌产品</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非单一产品采购项目，多家投标人提供的核心产品品牌相同的，按照前款规定处理。</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d、评标过程中，若出现本评标方法以外的特殊情况时，将暂停评标，待评委商榷后再进行复会。</w:t>
      </w:r>
    </w:p>
    <w:p>
      <w:pPr>
        <w:pageBreakBefore w:val="0"/>
        <w:bidi w:val="0"/>
        <w:spacing w:line="560" w:lineRule="exact"/>
        <w:ind w:firstLine="600" w:firstLineChars="249"/>
        <w:textAlignment w:val="auto"/>
        <w:outlineLvl w:val="4"/>
        <w:rPr>
          <w:rFonts w:ascii="仿宋" w:hAnsi="仿宋" w:eastAsia="仿宋" w:cs="仿宋"/>
          <w:b/>
          <w:bCs/>
          <w:color w:val="auto"/>
          <w:szCs w:val="24"/>
          <w:highlight w:val="none"/>
        </w:rPr>
      </w:pPr>
      <w:r>
        <w:rPr>
          <w:rFonts w:hint="eastAsia" w:ascii="仿宋" w:hAnsi="仿宋" w:eastAsia="仿宋" w:cs="仿宋"/>
          <w:b/>
          <w:bCs/>
          <w:color w:val="auto"/>
          <w:szCs w:val="24"/>
          <w:highlight w:val="none"/>
        </w:rPr>
        <w:t>3-9、政府采购政策评分标准</w:t>
      </w:r>
    </w:p>
    <w:p>
      <w:pPr>
        <w:pageBreakBefore w:val="0"/>
        <w:bidi w:val="0"/>
        <w:spacing w:line="560" w:lineRule="exact"/>
        <w:ind w:firstLine="597" w:firstLineChars="249"/>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3-9-1、小微企业的价格评分标准</w:t>
      </w:r>
    </w:p>
    <w:p>
      <w:pPr>
        <w:spacing w:line="560" w:lineRule="exact"/>
        <w:ind w:firstLine="480" w:firstLineChars="200"/>
        <w:rPr>
          <w:rFonts w:ascii="仿宋" w:hAnsi="仿宋" w:eastAsia="仿宋" w:cs="仿宋"/>
          <w:szCs w:val="24"/>
        </w:rPr>
      </w:pPr>
      <w:r>
        <w:rPr>
          <w:rFonts w:hint="eastAsia" w:ascii="仿宋" w:hAnsi="仿宋" w:eastAsia="仿宋" w:cs="仿宋"/>
          <w:szCs w:val="24"/>
        </w:rPr>
        <w:t>（1）根据《政府采购促进中小企业发展管理办法》（财库【2020】46号）及</w:t>
      </w:r>
      <w:bookmarkStart w:id="34" w:name="_Toc14639"/>
      <w:r>
        <w:rPr>
          <w:rFonts w:hint="eastAsia" w:ascii="仿宋" w:hAnsi="仿宋" w:eastAsia="仿宋" w:cs="仿宋"/>
          <w:szCs w:val="24"/>
        </w:rPr>
        <w:t>《关于进一步加大政府采购支持中小企业力度的通知》（财库【2022】19号）</w:t>
      </w:r>
      <w:bookmarkEnd w:id="34"/>
      <w:r>
        <w:rPr>
          <w:rFonts w:hint="eastAsia" w:ascii="仿宋" w:hAnsi="仿宋" w:eastAsia="仿宋" w:cs="仿宋"/>
          <w:szCs w:val="24"/>
        </w:rPr>
        <w:t>的通知，对于专门面向中小企业采购的项目或者采购包,不再执行价格评审优惠的扶持政策。</w:t>
      </w:r>
    </w:p>
    <w:p>
      <w:pPr>
        <w:spacing w:line="560" w:lineRule="exact"/>
        <w:ind w:firstLine="480" w:firstLineChars="200"/>
        <w:rPr>
          <w:rFonts w:ascii="仿宋" w:hAnsi="仿宋" w:eastAsia="仿宋" w:cs="仿宋"/>
          <w:szCs w:val="24"/>
        </w:rPr>
      </w:pPr>
      <w:r>
        <w:rPr>
          <w:rFonts w:hint="eastAsia" w:ascii="仿宋" w:hAnsi="仿宋" w:eastAsia="仿宋" w:cs="仿宋"/>
          <w:szCs w:val="24"/>
        </w:rPr>
        <w:t>（2）以联合体形式参加政府采购活动，联合体各方均为中小企业的，联合体视同中小企业。其中，联合体各方均为小微企业的，联合体视同小微企业。</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3-9-2、监狱企业的价格评分标准</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（1）在政府采购活动中，监狱企业视同小型、微型企业，享受预留份额、评审中价格扣除等政府采购促进中小企业发展的政府采购政策。</w:t>
      </w:r>
    </w:p>
    <w:p>
      <w:pPr>
        <w:pageBreakBefore w:val="0"/>
        <w:bidi w:val="0"/>
        <w:spacing w:line="560" w:lineRule="exact"/>
        <w:ind w:firstLine="480" w:firstLineChars="200"/>
        <w:textAlignment w:val="auto"/>
        <w:outlineLvl w:val="3"/>
        <w:rPr>
          <w:rFonts w:ascii="仿宋" w:hAnsi="仿宋" w:eastAsia="仿宋" w:cs="仿宋"/>
          <w:color w:val="auto"/>
          <w:kern w:val="0"/>
          <w:szCs w:val="24"/>
          <w:highlight w:val="none"/>
        </w:rPr>
      </w:pPr>
      <w:r>
        <w:rPr>
          <w:rFonts w:hint="eastAsia" w:ascii="仿宋" w:hAnsi="仿宋" w:eastAsia="仿宋" w:cs="仿宋"/>
          <w:color w:val="auto"/>
          <w:szCs w:val="24"/>
          <w:highlight w:val="none"/>
        </w:rPr>
        <w:t>（2）监狱企业</w:t>
      </w:r>
      <w:r>
        <w:rPr>
          <w:rFonts w:hint="eastAsia" w:ascii="仿宋" w:hAnsi="仿宋" w:eastAsia="仿宋" w:cs="仿宋"/>
          <w:color w:val="auto"/>
          <w:kern w:val="0"/>
          <w:szCs w:val="24"/>
          <w:highlight w:val="none"/>
        </w:rPr>
        <w:t xml:space="preserve">属于小型、微型企业的，不重复享受政策。 </w:t>
      </w:r>
    </w:p>
    <w:p>
      <w:pPr>
        <w:pageBreakBefore w:val="0"/>
        <w:bidi w:val="0"/>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（3）监狱企业参加政府采购活动时，应当提供由省级以上监狱管理局、戒毒管理局（含新疆生产建设兵团）出具的属于监狱企业的证明文件。</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（4）监狱企业按《财政部、司法部关于政府采购支持监狱企业发展有关问题的通知》（财库〔2014〕68号）文件规定标准执行。</w:t>
      </w:r>
    </w:p>
    <w:p>
      <w:pPr>
        <w:pageBreakBefore w:val="0"/>
        <w:bidi w:val="0"/>
        <w:spacing w:line="560" w:lineRule="exact"/>
        <w:ind w:firstLine="600" w:firstLineChars="25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3-9-3、残疾人福利性单位的价格评分标准</w:t>
      </w:r>
    </w:p>
    <w:p>
      <w:pPr>
        <w:pageBreakBefore w:val="0"/>
        <w:bidi w:val="0"/>
        <w:spacing w:line="560" w:lineRule="exact"/>
        <w:ind w:firstLine="600" w:firstLineChars="25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（1）在政府采购活动中，残疾人福利性单位视同小型、微型企业，享受预留份额、评审中价格扣除等政府采购促进中小企业发展的政府采购政策。</w:t>
      </w:r>
    </w:p>
    <w:p>
      <w:pPr>
        <w:pageBreakBefore w:val="0"/>
        <w:bidi w:val="0"/>
        <w:spacing w:line="560" w:lineRule="exact"/>
        <w:ind w:firstLine="480" w:firstLineChars="200"/>
        <w:textAlignment w:val="auto"/>
        <w:outlineLvl w:val="3"/>
        <w:rPr>
          <w:rFonts w:ascii="仿宋" w:hAnsi="仿宋" w:eastAsia="仿宋" w:cs="仿宋"/>
          <w:color w:val="auto"/>
          <w:kern w:val="0"/>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kern w:val="0"/>
          <w:szCs w:val="24"/>
          <w:highlight w:val="none"/>
        </w:rPr>
        <w:t>残疾人福利性单位属于小型、微型企业的，不重复享受政策。</w:t>
      </w:r>
    </w:p>
    <w:p>
      <w:pPr>
        <w:pageBreakBefore w:val="0"/>
        <w:bidi w:val="0"/>
        <w:spacing w:line="560" w:lineRule="exact"/>
        <w:ind w:firstLine="480" w:firstLineChars="200"/>
        <w:textAlignment w:val="auto"/>
        <w:rPr>
          <w:rFonts w:ascii="仿宋" w:hAnsi="仿宋" w:eastAsia="仿宋" w:cs="仿宋"/>
          <w:color w:val="auto"/>
          <w:kern w:val="0"/>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color w:val="auto"/>
          <w:szCs w:val="24"/>
          <w:highlight w:val="none"/>
        </w:rPr>
        <w:t>未提供的不视为</w:t>
      </w:r>
      <w:r>
        <w:rPr>
          <w:rFonts w:hint="eastAsia" w:ascii="仿宋" w:hAnsi="仿宋" w:eastAsia="仿宋" w:cs="仿宋"/>
          <w:color w:val="auto"/>
          <w:kern w:val="0"/>
          <w:szCs w:val="24"/>
          <w:highlight w:val="none"/>
        </w:rPr>
        <w:t xml:space="preserve">残疾人福利性单位。 </w:t>
      </w:r>
    </w:p>
    <w:p>
      <w:pPr>
        <w:pageBreakBefore w:val="0"/>
        <w:bidi w:val="0"/>
        <w:spacing w:line="560" w:lineRule="exact"/>
        <w:ind w:firstLine="597" w:firstLineChars="249"/>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3-9-4、节能产品、环境标志产品政策</w:t>
      </w:r>
    </w:p>
    <w:p>
      <w:pPr>
        <w:pageBreakBefore w:val="0"/>
        <w:autoSpaceDE w:val="0"/>
        <w:autoSpaceDN w:val="0"/>
        <w:bidi w:val="0"/>
        <w:adjustRightInd w:val="0"/>
        <w:spacing w:line="560" w:lineRule="exact"/>
        <w:ind w:firstLine="480" w:firstLineChars="200"/>
        <w:textAlignment w:val="auto"/>
        <w:rPr>
          <w:rFonts w:ascii="仿宋" w:hAnsi="仿宋" w:eastAsia="仿宋" w:cs="仿宋"/>
          <w:bCs/>
          <w:color w:val="auto"/>
          <w:highlight w:val="none"/>
        </w:rPr>
      </w:pPr>
      <w:r>
        <w:rPr>
          <w:rFonts w:hint="eastAsia" w:ascii="仿宋" w:hAnsi="仿宋" w:eastAsia="仿宋" w:cs="仿宋"/>
          <w:bCs/>
          <w:color w:val="auto"/>
          <w:highlight w:val="none"/>
        </w:rPr>
        <w:t>（1）根据《财政部、国家发展改革委、生态环境部、市场监管总局&lt;关于调整优化节能产品、环境标志产品政府采购执行机制&gt;的通知》的</w:t>
      </w:r>
      <w:r>
        <w:rPr>
          <w:rFonts w:hint="eastAsia" w:ascii="仿宋" w:hAnsi="仿宋" w:eastAsia="仿宋" w:cs="仿宋"/>
          <w:color w:val="auto"/>
          <w:szCs w:val="24"/>
          <w:highlight w:val="none"/>
        </w:rPr>
        <w:t>有关规定</w:t>
      </w:r>
      <w:r>
        <w:rPr>
          <w:rFonts w:hint="eastAsia" w:ascii="仿宋" w:hAnsi="仿宋" w:eastAsia="仿宋" w:cs="仿宋"/>
          <w:bCs/>
          <w:color w:val="auto"/>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ageBreakBefore w:val="0"/>
        <w:autoSpaceDE w:val="0"/>
        <w:autoSpaceDN w:val="0"/>
        <w:bidi w:val="0"/>
        <w:adjustRightInd w:val="0"/>
        <w:spacing w:line="560" w:lineRule="exact"/>
        <w:ind w:firstLine="480" w:firstLineChars="200"/>
        <w:textAlignment w:val="auto"/>
        <w:rPr>
          <w:rFonts w:ascii="仿宋" w:hAnsi="仿宋" w:eastAsia="仿宋" w:cs="仿宋"/>
          <w:bCs/>
          <w:color w:val="auto"/>
          <w:highlight w:val="none"/>
        </w:rPr>
      </w:pPr>
      <w:r>
        <w:rPr>
          <w:rFonts w:hint="eastAsia" w:ascii="仿宋" w:hAnsi="仿宋" w:eastAsia="仿宋" w:cs="仿宋"/>
          <w:bCs/>
          <w:color w:val="auto"/>
          <w:highlight w:val="none"/>
        </w:rPr>
        <w:t>（2）投标人在投标文件中对所投标产品为节能、环境标志产品清单中的产品，在投标报价时必须对此类产品单独分项报价，并提供属于清单内产品的证明资料，否则评审时不给予计分。 </w:t>
      </w:r>
    </w:p>
    <w:p>
      <w:pPr>
        <w:pageBreakBefore w:val="0"/>
        <w:autoSpaceDE w:val="0"/>
        <w:autoSpaceDN w:val="0"/>
        <w:bidi w:val="0"/>
        <w:adjustRightInd w:val="0"/>
        <w:spacing w:line="560" w:lineRule="exact"/>
        <w:ind w:firstLine="480" w:firstLineChars="200"/>
        <w:textAlignment w:val="auto"/>
        <w:rPr>
          <w:rFonts w:ascii="仿宋" w:hAnsi="仿宋" w:eastAsia="仿宋" w:cs="仿宋"/>
          <w:bCs/>
          <w:color w:val="auto"/>
          <w:highlight w:val="none"/>
        </w:rPr>
      </w:pPr>
      <w:r>
        <w:rPr>
          <w:rFonts w:hint="eastAsia" w:ascii="仿宋" w:hAnsi="仿宋" w:eastAsia="仿宋" w:cs="仿宋"/>
          <w:bCs/>
          <w:color w:val="auto"/>
          <w:highlight w:val="none"/>
        </w:rPr>
        <w:t>（3）产品同时属于“非强制采购节能产品”、环境标志产品的，评审时可同时享受优先待遇。</w:t>
      </w:r>
    </w:p>
    <w:p>
      <w:pPr>
        <w:pageBreakBefore w:val="0"/>
        <w:autoSpaceDE w:val="0"/>
        <w:autoSpaceDN w:val="0"/>
        <w:bidi w:val="0"/>
        <w:adjustRightInd w:val="0"/>
        <w:spacing w:line="560" w:lineRule="exact"/>
        <w:ind w:firstLine="480" w:firstLineChars="200"/>
        <w:textAlignment w:val="auto"/>
        <w:rPr>
          <w:rFonts w:ascii="仿宋" w:hAnsi="仿宋" w:eastAsia="仿宋" w:cs="仿宋"/>
          <w:bCs/>
          <w:color w:val="auto"/>
          <w:highlight w:val="none"/>
        </w:rPr>
      </w:pPr>
      <w:r>
        <w:rPr>
          <w:rFonts w:hint="eastAsia" w:ascii="仿宋" w:hAnsi="仿宋" w:eastAsia="仿宋" w:cs="仿宋"/>
          <w:bCs/>
          <w:color w:val="auto"/>
          <w:highlight w:val="none"/>
        </w:rPr>
        <w:t xml:space="preserve">（4）若节能、环境标志品目清单内的产品仅是构成投标产品的部件、组件或零件 </w:t>
      </w:r>
    </w:p>
    <w:p>
      <w:pPr>
        <w:pageBreakBefore w:val="0"/>
        <w:autoSpaceDE w:val="0"/>
        <w:autoSpaceDN w:val="0"/>
        <w:bidi w:val="0"/>
        <w:adjustRightInd w:val="0"/>
        <w:spacing w:line="560" w:lineRule="exact"/>
        <w:textAlignment w:val="auto"/>
        <w:rPr>
          <w:rFonts w:ascii="仿宋" w:hAnsi="仿宋" w:eastAsia="仿宋" w:cs="仿宋"/>
          <w:bCs/>
          <w:color w:val="auto"/>
          <w:highlight w:val="none"/>
        </w:rPr>
      </w:pPr>
      <w:r>
        <w:rPr>
          <w:rFonts w:hint="eastAsia" w:ascii="仿宋" w:hAnsi="仿宋" w:eastAsia="仿宋" w:cs="仿宋"/>
          <w:bCs/>
          <w:color w:val="auto"/>
          <w:highlight w:val="none"/>
        </w:rPr>
        <w:t xml:space="preserve">的，则该投标产品不享受鼓励优惠政策。 </w:t>
      </w:r>
    </w:p>
    <w:p>
      <w:pPr>
        <w:pageBreakBefore w:val="0"/>
        <w:autoSpaceDE w:val="0"/>
        <w:autoSpaceDN w:val="0"/>
        <w:bidi w:val="0"/>
        <w:adjustRightInd w:val="0"/>
        <w:spacing w:line="560" w:lineRule="exact"/>
        <w:ind w:firstLine="480" w:firstLineChars="200"/>
        <w:textAlignment w:val="auto"/>
        <w:rPr>
          <w:rFonts w:ascii="仿宋" w:hAnsi="仿宋" w:eastAsia="仿宋" w:cs="仿宋"/>
          <w:bCs/>
          <w:color w:val="auto"/>
          <w:highlight w:val="none"/>
        </w:rPr>
      </w:pPr>
      <w:r>
        <w:rPr>
          <w:rFonts w:hint="eastAsia" w:ascii="仿宋" w:hAnsi="仿宋" w:eastAsia="仿宋" w:cs="仿宋"/>
          <w:bCs/>
          <w:color w:val="auto"/>
          <w:highlight w:val="none"/>
        </w:rPr>
        <w:t xml:space="preserve">（5）节能、环境标志产品部分计分只对属于品目清单内的非强制类产品进行计分， </w:t>
      </w:r>
    </w:p>
    <w:p>
      <w:pPr>
        <w:pageBreakBefore w:val="0"/>
        <w:autoSpaceDE w:val="0"/>
        <w:autoSpaceDN w:val="0"/>
        <w:bidi w:val="0"/>
        <w:adjustRightInd w:val="0"/>
        <w:spacing w:line="560" w:lineRule="exact"/>
        <w:textAlignment w:val="auto"/>
        <w:rPr>
          <w:rFonts w:ascii="仿宋" w:hAnsi="仿宋" w:eastAsia="仿宋" w:cs="仿宋"/>
          <w:bCs/>
          <w:color w:val="auto"/>
          <w:highlight w:val="none"/>
        </w:rPr>
      </w:pPr>
      <w:r>
        <w:rPr>
          <w:rFonts w:hint="eastAsia" w:ascii="仿宋" w:hAnsi="仿宋" w:eastAsia="仿宋" w:cs="仿宋"/>
          <w:bCs/>
          <w:color w:val="auto"/>
          <w:highlight w:val="none"/>
        </w:rPr>
        <w:t xml:space="preserve">强制类产品不给予计分。 </w:t>
      </w:r>
    </w:p>
    <w:p>
      <w:pPr>
        <w:pageBreakBefore w:val="0"/>
        <w:bidi w:val="0"/>
        <w:spacing w:line="560" w:lineRule="exact"/>
        <w:ind w:firstLine="482" w:firstLineChars="200"/>
        <w:textAlignment w:val="auto"/>
        <w:rPr>
          <w:rFonts w:ascii="仿宋" w:hAnsi="仿宋" w:eastAsia="仿宋" w:cs="仿宋"/>
          <w:b/>
          <w:color w:val="auto"/>
          <w:highlight w:val="none"/>
        </w:rPr>
      </w:pPr>
      <w:r>
        <w:rPr>
          <w:rFonts w:hint="eastAsia" w:ascii="仿宋" w:hAnsi="仿宋" w:eastAsia="仿宋" w:cs="仿宋"/>
          <w:b/>
          <w:color w:val="auto"/>
          <w:highlight w:val="none"/>
        </w:rPr>
        <w:t>3-10、</w:t>
      </w:r>
      <w:bookmarkStart w:id="35" w:name="_Toc22138"/>
      <w:bookmarkStart w:id="36" w:name="_Toc14886425"/>
      <w:r>
        <w:rPr>
          <w:rFonts w:hint="eastAsia" w:ascii="仿宋" w:hAnsi="仿宋" w:eastAsia="仿宋" w:cs="仿宋"/>
          <w:b/>
          <w:color w:val="auto"/>
          <w:highlight w:val="none"/>
        </w:rPr>
        <w:t>信用担保</w:t>
      </w:r>
      <w:bookmarkEnd w:id="35"/>
      <w:bookmarkEnd w:id="36"/>
      <w:r>
        <w:rPr>
          <w:rFonts w:hint="eastAsia" w:ascii="仿宋" w:hAnsi="仿宋" w:eastAsia="仿宋" w:cs="仿宋"/>
          <w:b/>
          <w:color w:val="auto"/>
          <w:highlight w:val="none"/>
        </w:rPr>
        <w:t>及融资</w:t>
      </w:r>
    </w:p>
    <w:p>
      <w:pPr>
        <w:pageBreakBefore w:val="0"/>
        <w:bidi w:val="0"/>
        <w:spacing w:line="560" w:lineRule="exact"/>
        <w:ind w:firstLine="480" w:firstLineChars="200"/>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bidi w:val="0"/>
        <w:spacing w:line="560" w:lineRule="exact"/>
        <w:ind w:firstLine="480" w:firstLineChars="200"/>
        <w:textAlignment w:val="auto"/>
        <w:rPr>
          <w:rFonts w:ascii="仿宋" w:hAnsi="仿宋" w:eastAsia="仿宋" w:cs="仿宋"/>
          <w:bCs/>
          <w:color w:val="auto"/>
          <w:highlight w:val="none"/>
        </w:rPr>
      </w:pPr>
      <w:r>
        <w:rPr>
          <w:rFonts w:hint="eastAsia" w:ascii="仿宋" w:hAnsi="仿宋" w:eastAsia="仿宋" w:cs="仿宋"/>
          <w:bCs/>
          <w:color w:val="auto"/>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pageBreakBefore w:val="0"/>
        <w:bidi w:val="0"/>
        <w:spacing w:line="560" w:lineRule="exact"/>
        <w:ind w:firstLine="482" w:firstLineChars="200"/>
        <w:textAlignment w:val="auto"/>
        <w:outlineLvl w:val="2"/>
        <w:rPr>
          <w:rFonts w:ascii="仿宋" w:hAnsi="仿宋" w:eastAsia="仿宋" w:cs="仿宋"/>
          <w:b/>
          <w:color w:val="auto"/>
          <w:szCs w:val="24"/>
          <w:highlight w:val="none"/>
        </w:rPr>
      </w:pPr>
      <w:r>
        <w:rPr>
          <w:rFonts w:hint="eastAsia" w:ascii="仿宋" w:hAnsi="仿宋" w:eastAsia="仿宋" w:cs="仿宋"/>
          <w:b/>
          <w:color w:val="auto"/>
          <w:szCs w:val="24"/>
          <w:highlight w:val="none"/>
        </w:rPr>
        <w:t>4、</w:t>
      </w:r>
      <w:r>
        <w:rPr>
          <w:rFonts w:hint="eastAsia" w:ascii="仿宋" w:hAnsi="仿宋" w:eastAsia="仿宋" w:cs="仿宋"/>
          <w:b/>
          <w:bCs/>
          <w:color w:val="auto"/>
          <w:szCs w:val="24"/>
          <w:highlight w:val="none"/>
        </w:rPr>
        <w:t>定标</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4-1、定标程序</w:t>
      </w:r>
    </w:p>
    <w:p>
      <w:pPr>
        <w:pageBreakBefore w:val="0"/>
        <w:numPr>
          <w:ilvl w:val="0"/>
          <w:numId w:val="4"/>
        </w:numPr>
        <w:bidi w:val="0"/>
        <w:spacing w:line="560" w:lineRule="exact"/>
        <w:ind w:firstLine="480" w:firstLineChars="200"/>
        <w:textAlignment w:val="auto"/>
        <w:rPr>
          <w:rFonts w:ascii="仿宋" w:hAnsi="仿宋" w:eastAsia="仿宋" w:cs="仿宋"/>
          <w:color w:val="auto"/>
          <w:kern w:val="0"/>
          <w:szCs w:val="24"/>
          <w:highlight w:val="none"/>
        </w:rPr>
      </w:pPr>
      <w:r>
        <w:rPr>
          <w:rFonts w:hint="eastAsia" w:ascii="仿宋" w:hAnsi="仿宋" w:eastAsia="仿宋" w:cs="仿宋"/>
          <w:color w:val="auto"/>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7" w:name="OLE_LINK4"/>
      <w:r>
        <w:rPr>
          <w:rFonts w:hint="eastAsia" w:ascii="仿宋" w:hAnsi="仿宋" w:eastAsia="仿宋" w:cs="仿宋"/>
          <w:color w:val="auto"/>
          <w:szCs w:val="24"/>
          <w:highlight w:val="none"/>
        </w:rPr>
        <w:t>评标</w:t>
      </w:r>
      <w:bookmarkEnd w:id="37"/>
      <w:r>
        <w:rPr>
          <w:rFonts w:hint="eastAsia" w:ascii="仿宋" w:hAnsi="仿宋" w:eastAsia="仿宋" w:cs="仿宋"/>
          <w:color w:val="auto"/>
          <w:szCs w:val="24"/>
          <w:highlight w:val="none"/>
        </w:rPr>
        <w:t>报告。</w:t>
      </w:r>
    </w:p>
    <w:p>
      <w:pPr>
        <w:pageBreakBefore w:val="0"/>
        <w:numPr>
          <w:ilvl w:val="0"/>
          <w:numId w:val="4"/>
        </w:numPr>
        <w:bidi w:val="0"/>
        <w:spacing w:line="560" w:lineRule="exact"/>
        <w:ind w:firstLine="480" w:firstLineChars="200"/>
        <w:textAlignment w:val="auto"/>
        <w:rPr>
          <w:rFonts w:ascii="仿宋" w:hAnsi="仿宋" w:eastAsia="仿宋" w:cs="仿宋"/>
          <w:color w:val="auto"/>
          <w:szCs w:val="24"/>
          <w:highlight w:val="none"/>
        </w:rPr>
      </w:pPr>
      <w:bookmarkStart w:id="38" w:name="OLE_LINK18"/>
      <w:r>
        <w:rPr>
          <w:rFonts w:hint="eastAsia" w:ascii="仿宋" w:hAnsi="仿宋" w:eastAsia="仿宋" w:cs="仿宋"/>
          <w:color w:val="auto"/>
          <w:szCs w:val="24"/>
          <w:highlight w:val="none"/>
        </w:rPr>
        <w:t>评标委员会成员应当在评标报告上签字，对自己的评审意见承担法律责任。</w:t>
      </w: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8"/>
    <w:p>
      <w:pPr>
        <w:pageBreakBefore w:val="0"/>
        <w:numPr>
          <w:ilvl w:val="0"/>
          <w:numId w:val="4"/>
        </w:numPr>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pageBreakBefore w:val="0"/>
        <w:numPr>
          <w:ilvl w:val="0"/>
          <w:numId w:val="4"/>
        </w:numPr>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采购代理机构接到采购人的《定标复函》后，在2个工作日内，将中标结果在陕西省政府采购网上进行公告。公告发布1个工作日，其他投标人若有异议，按《政府采购法》第52条执行。</w:t>
      </w:r>
    </w:p>
    <w:p>
      <w:pPr>
        <w:pageBreakBefore w:val="0"/>
        <w:bidi w:val="0"/>
        <w:spacing w:line="560" w:lineRule="exact"/>
        <w:ind w:firstLine="600" w:firstLineChars="25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4-2、中标人确定后，采购人和采购代理机构对未中标原因不作任何解释，投标文件不予退还（含纸质及电子版文件）。</w:t>
      </w:r>
    </w:p>
    <w:p>
      <w:pPr>
        <w:pageBreakBefore w:val="0"/>
        <w:bidi w:val="0"/>
        <w:adjustRightInd w:val="0"/>
        <w:snapToGrid w:val="0"/>
        <w:spacing w:line="560" w:lineRule="exact"/>
        <w:ind w:firstLine="482" w:firstLineChars="200"/>
        <w:textAlignment w:val="auto"/>
        <w:outlineLvl w:val="2"/>
        <w:rPr>
          <w:rFonts w:ascii="仿宋" w:hAnsi="仿宋" w:eastAsia="仿宋" w:cs="仿宋"/>
          <w:color w:val="auto"/>
          <w:szCs w:val="24"/>
          <w:highlight w:val="none"/>
        </w:rPr>
      </w:pPr>
      <w:bookmarkStart w:id="39" w:name="_Toc458617461"/>
      <w:bookmarkStart w:id="40" w:name="_Toc458617738"/>
      <w:r>
        <w:rPr>
          <w:rFonts w:hint="eastAsia" w:ascii="仿宋" w:hAnsi="仿宋" w:eastAsia="仿宋" w:cs="仿宋"/>
          <w:b/>
          <w:color w:val="auto"/>
          <w:szCs w:val="24"/>
          <w:highlight w:val="none"/>
        </w:rPr>
        <w:t>5、投标无效的情形：</w:t>
      </w:r>
    </w:p>
    <w:p>
      <w:pPr>
        <w:pageBreakBefore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5-1、未按照招标文件的规定提交投标保证金的；</w:t>
      </w:r>
    </w:p>
    <w:p>
      <w:pPr>
        <w:pageBreakBefore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5-2、投标文件未按招标文件要求签署、盖章的；</w:t>
      </w:r>
    </w:p>
    <w:p>
      <w:pPr>
        <w:pageBreakBefore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5-3、不具备招标文件中规定的资格要求的；</w:t>
      </w:r>
    </w:p>
    <w:p>
      <w:pPr>
        <w:pageBreakBefore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5-4、报价超过招标文件中规定的预算金额的；</w:t>
      </w:r>
    </w:p>
    <w:p>
      <w:pPr>
        <w:pageBreakBefore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5-5、投标文件含有采购人不能接受的附加条件的；</w:t>
      </w:r>
    </w:p>
    <w:p>
      <w:pPr>
        <w:pageBreakBefore w:val="0"/>
        <w:bidi w:val="0"/>
        <w:adjustRightInd w:val="0"/>
        <w:snapToGrid w:val="0"/>
        <w:spacing w:line="560" w:lineRule="exact"/>
        <w:ind w:firstLine="480" w:firstLineChars="200"/>
        <w:textAlignment w:val="auto"/>
        <w:rPr>
          <w:rFonts w:ascii="仿宋" w:hAnsi="仿宋" w:eastAsia="仿宋" w:cs="仿宋"/>
          <w:color w:val="auto"/>
          <w:kern w:val="0"/>
          <w:szCs w:val="24"/>
          <w:highlight w:val="none"/>
        </w:rPr>
      </w:pPr>
      <w:r>
        <w:rPr>
          <w:rFonts w:hint="eastAsia" w:ascii="仿宋" w:hAnsi="仿宋" w:eastAsia="仿宋" w:cs="仿宋"/>
          <w:color w:val="auto"/>
          <w:szCs w:val="24"/>
          <w:highlight w:val="none"/>
        </w:rPr>
        <w:t>5-6、</w:t>
      </w:r>
      <w:r>
        <w:rPr>
          <w:rFonts w:hint="eastAsia" w:ascii="仿宋" w:hAnsi="仿宋" w:eastAsia="仿宋" w:cs="仿宋"/>
          <w:color w:val="auto"/>
          <w:kern w:val="0"/>
          <w:szCs w:val="24"/>
          <w:highlight w:val="none"/>
        </w:rPr>
        <w:t>提供虚假材料谋取中标的；</w:t>
      </w:r>
    </w:p>
    <w:p>
      <w:pPr>
        <w:pageBreakBefore w:val="0"/>
        <w:bidi w:val="0"/>
        <w:adjustRightInd w:val="0"/>
        <w:snapToGrid w:val="0"/>
        <w:spacing w:line="560" w:lineRule="exact"/>
        <w:ind w:firstLine="480" w:firstLineChars="2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5-7、采取不正当手段诋毁、排挤其他投标人的；</w:t>
      </w:r>
    </w:p>
    <w:p>
      <w:pPr>
        <w:pageBreakBefore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kern w:val="0"/>
          <w:szCs w:val="24"/>
          <w:highlight w:val="none"/>
        </w:rPr>
        <w:t>5-8、</w:t>
      </w:r>
      <w:r>
        <w:rPr>
          <w:rFonts w:hint="eastAsia" w:ascii="仿宋" w:hAnsi="仿宋" w:eastAsia="仿宋" w:cs="仿宋"/>
          <w:color w:val="auto"/>
          <w:szCs w:val="24"/>
          <w:highlight w:val="none"/>
        </w:rPr>
        <w:t>法律、法规和招标文件规定的其他无效情形。</w:t>
      </w:r>
    </w:p>
    <w:p>
      <w:pPr>
        <w:pageBreakBefore w:val="0"/>
        <w:bidi w:val="0"/>
        <w:spacing w:line="560" w:lineRule="exact"/>
        <w:ind w:firstLine="472" w:firstLineChars="196"/>
        <w:textAlignment w:val="auto"/>
        <w:outlineLvl w:val="2"/>
        <w:rPr>
          <w:rFonts w:ascii="仿宋" w:hAnsi="仿宋" w:eastAsia="仿宋" w:cs="仿宋"/>
          <w:b/>
          <w:color w:val="auto"/>
          <w:szCs w:val="24"/>
          <w:highlight w:val="none"/>
        </w:rPr>
      </w:pPr>
      <w:r>
        <w:rPr>
          <w:rFonts w:hint="eastAsia" w:ascii="仿宋" w:hAnsi="仿宋" w:eastAsia="仿宋" w:cs="仿宋"/>
          <w:b/>
          <w:color w:val="auto"/>
          <w:szCs w:val="24"/>
          <w:highlight w:val="none"/>
        </w:rPr>
        <w:t>6、中标通知</w:t>
      </w:r>
      <w:bookmarkEnd w:id="39"/>
      <w:bookmarkEnd w:id="40"/>
      <w:r>
        <w:rPr>
          <w:rFonts w:hint="eastAsia" w:ascii="仿宋" w:hAnsi="仿宋" w:eastAsia="仿宋" w:cs="仿宋"/>
          <w:b/>
          <w:color w:val="auto"/>
          <w:szCs w:val="24"/>
          <w:highlight w:val="none"/>
        </w:rPr>
        <w:t>书及未中标通知书</w:t>
      </w:r>
    </w:p>
    <w:p>
      <w:pPr>
        <w:pageBreakBefore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6-1、中标通知书及未中标通知书将在中标公告发布的同时由采购代理机构发出。</w:t>
      </w:r>
    </w:p>
    <w:p>
      <w:pPr>
        <w:pageBreakBefore w:val="0"/>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6-2、中标人应在接到采购代理机构通知之日起</w:t>
      </w:r>
      <w:r>
        <w:rPr>
          <w:rFonts w:hint="eastAsia" w:ascii="仿宋" w:hAnsi="仿宋" w:eastAsia="仿宋" w:cs="仿宋"/>
          <w:color w:val="auto"/>
          <w:szCs w:val="24"/>
          <w:highlight w:val="none"/>
          <w:lang w:val="en-US" w:eastAsia="zh-CN"/>
        </w:rPr>
        <w:t>二十五</w:t>
      </w:r>
      <w:r>
        <w:rPr>
          <w:rFonts w:hint="eastAsia" w:ascii="仿宋" w:hAnsi="仿宋" w:eastAsia="仿宋" w:cs="仿宋"/>
          <w:color w:val="auto"/>
          <w:szCs w:val="24"/>
          <w:highlight w:val="none"/>
        </w:rPr>
        <w:t>日内领取中标通知书。未在规定时间内领取中标通知书的，投标保证金不予退还。提供投标担保的投标人将由专业担保机构先行偿付采购人损失。</w:t>
      </w:r>
      <w:bookmarkStart w:id="41" w:name="_Toc458617462"/>
      <w:bookmarkStart w:id="42" w:name="_Toc458617790"/>
      <w:bookmarkStart w:id="43" w:name="_Toc458617739"/>
    </w:p>
    <w:p>
      <w:pPr>
        <w:pageBreakBefore w:val="0"/>
        <w:bidi w:val="0"/>
        <w:adjustRightInd w:val="0"/>
        <w:snapToGrid w:val="0"/>
        <w:spacing w:line="560" w:lineRule="exact"/>
        <w:ind w:firstLine="480" w:firstLineChars="200"/>
        <w:textAlignment w:val="auto"/>
        <w:rPr>
          <w:rFonts w:ascii="仿宋" w:hAnsi="仿宋" w:eastAsia="仿宋" w:cs="仿宋"/>
          <w:color w:val="auto"/>
          <w:kern w:val="0"/>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kern w:val="0"/>
          <w:szCs w:val="24"/>
          <w:highlight w:val="none"/>
        </w:rPr>
        <w:t>中标通知书发出后，采购人不得违法改变中标结果，中标人无正当理由不得弃中标。</w:t>
      </w:r>
    </w:p>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44" w:name="_Toc16697"/>
      <w:r>
        <w:rPr>
          <w:rFonts w:hint="eastAsia" w:ascii="仿宋" w:hAnsi="仿宋" w:eastAsia="仿宋" w:cs="仿宋"/>
          <w:color w:val="auto"/>
          <w:kern w:val="0"/>
          <w:sz w:val="28"/>
          <w:szCs w:val="28"/>
          <w:highlight w:val="none"/>
        </w:rPr>
        <w:t>八、合同</w:t>
      </w:r>
      <w:bookmarkEnd w:id="41"/>
      <w:bookmarkEnd w:id="42"/>
      <w:bookmarkEnd w:id="43"/>
      <w:bookmarkEnd w:id="44"/>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1、中标人在收到中标通知书后</w:t>
      </w:r>
      <w:r>
        <w:rPr>
          <w:rFonts w:hint="eastAsia" w:ascii="仿宋" w:hAnsi="仿宋" w:eastAsia="仿宋" w:cs="仿宋"/>
          <w:color w:val="auto"/>
          <w:szCs w:val="24"/>
          <w:highlight w:val="none"/>
          <w:lang w:val="en-US" w:eastAsia="zh-CN"/>
        </w:rPr>
        <w:t>二十五</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）个日历日内，应按招标文件的要求与采购人签订合同。</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color w:val="auto"/>
          <w:highlight w:val="none"/>
        </w:rPr>
        <w:t>同时，采购人可以按照评审报告推荐的中标候选人名单排序，确定下一候选人为中标人，</w:t>
      </w:r>
      <w:r>
        <w:rPr>
          <w:rFonts w:hint="eastAsia" w:ascii="仿宋" w:hAnsi="仿宋" w:eastAsia="仿宋" w:cs="仿宋"/>
          <w:color w:val="auto"/>
          <w:szCs w:val="24"/>
          <w:highlight w:val="none"/>
        </w:rPr>
        <w:t>以此类推，</w:t>
      </w:r>
      <w:r>
        <w:rPr>
          <w:rFonts w:hint="eastAsia" w:ascii="仿宋" w:hAnsi="仿宋" w:eastAsia="仿宋" w:cs="仿宋"/>
          <w:color w:val="auto"/>
          <w:highlight w:val="none"/>
        </w:rPr>
        <w:t>也可以重新开展政府采购活动。</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3、中标通知书将是合同的重要组成部分。招标文件、中标人的投标文件及评议过程中有关的澄清文件均作为合同附件。</w:t>
      </w:r>
    </w:p>
    <w:p>
      <w:pPr>
        <w:pageBreakBefore w:val="0"/>
        <w:bidi w:val="0"/>
        <w:spacing w:line="560" w:lineRule="exact"/>
        <w:ind w:left="480" w:left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、所签订的合同不得对招标文件确定的事项和中标人投标文件作实质性修改。</w:t>
      </w:r>
    </w:p>
    <w:p>
      <w:pPr>
        <w:pageBreakBefore w:val="0"/>
        <w:bidi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、采购人需追加与合同标的相同的货物、工程或服务的，在不改变合同其他条款的前提下，可以与中标人协商签订补充合同，但所有补充合同的采购金额不得超过原合同采购金额的百分之十。</w:t>
      </w:r>
      <w:bookmarkStart w:id="45" w:name="_Toc458617463"/>
      <w:bookmarkStart w:id="46" w:name="_Toc458617740"/>
    </w:p>
    <w:p>
      <w:pPr>
        <w:pageBreakBefore w:val="0"/>
        <w:bidi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中标后，中标人应按照合同约定履行义务，完成招标项目的供货。中标人、供货人名称必须一致，否则作违约处理。</w:t>
      </w:r>
    </w:p>
    <w:p>
      <w:pPr>
        <w:pageBreakBefore w:val="0"/>
        <w:bidi w:val="0"/>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7、合同组成：中标通知书，合同文件，技术规格要求及参数表，招标文件，投标文件、评议过程中有关的澄清文件、货物清单、国家相关规范及标准、供货产品技术规格要求及参数表。</w:t>
      </w:r>
    </w:p>
    <w:p>
      <w:pPr>
        <w:pStyle w:val="4"/>
        <w:pageBreakBefore w:val="0"/>
        <w:bidi w:val="0"/>
        <w:spacing w:line="560" w:lineRule="exact"/>
        <w:textAlignment w:val="auto"/>
        <w:rPr>
          <w:rFonts w:hint="eastAsia" w:ascii="仿宋" w:hAnsi="仿宋" w:eastAsia="仿宋" w:cs="仿宋"/>
          <w:color w:val="auto"/>
          <w:kern w:val="0"/>
          <w:sz w:val="28"/>
          <w:szCs w:val="28"/>
          <w:highlight w:val="none"/>
        </w:rPr>
      </w:pPr>
      <w:bookmarkStart w:id="47" w:name="_Toc10597"/>
      <w:r>
        <w:rPr>
          <w:rFonts w:hint="eastAsia" w:ascii="仿宋" w:hAnsi="仿宋" w:eastAsia="仿宋" w:cs="仿宋"/>
          <w:color w:val="auto"/>
          <w:kern w:val="0"/>
          <w:sz w:val="28"/>
          <w:szCs w:val="28"/>
          <w:highlight w:val="none"/>
        </w:rPr>
        <w:t>九、合同的履约验收</w:t>
      </w:r>
      <w:bookmarkEnd w:id="47"/>
    </w:p>
    <w:p>
      <w:pPr>
        <w:pStyle w:val="4"/>
        <w:pageBreakBefore w:val="0"/>
        <w:bidi w:val="0"/>
        <w:spacing w:line="560" w:lineRule="exact"/>
        <w:ind w:firstLine="480" w:firstLineChars="200"/>
        <w:textAlignment w:val="auto"/>
        <w:rPr>
          <w:rFonts w:hint="eastAsia" w:ascii="仿宋" w:hAnsi="仿宋" w:eastAsia="仿宋" w:cs="仿宋"/>
          <w:b w:val="0"/>
          <w:bCs w:val="0"/>
          <w:color w:val="auto"/>
          <w:kern w:val="2"/>
          <w:sz w:val="24"/>
          <w:szCs w:val="24"/>
          <w:highlight w:val="cyan"/>
          <w:lang w:val="en-US" w:eastAsia="zh-CN" w:bidi="ar-SA"/>
        </w:rPr>
      </w:pPr>
      <w:r>
        <w:rPr>
          <w:rFonts w:hint="eastAsia" w:ascii="仿宋" w:hAnsi="仿宋" w:eastAsia="仿宋" w:cs="仿宋"/>
          <w:b w:val="0"/>
          <w:bCs w:val="0"/>
          <w:color w:val="auto"/>
          <w:kern w:val="2"/>
          <w:sz w:val="24"/>
          <w:szCs w:val="24"/>
          <w:highlight w:val="none"/>
          <w:lang w:val="en-US" w:eastAsia="zh-CN" w:bidi="ar-SA"/>
        </w:rPr>
        <w:t>采购人应按照政府采购合同约定的技术、服务、安全标准组织对投标人每一项技术、服务、安全标准的履约情况进行验收，并出具验收书。</w:t>
      </w:r>
    </w:p>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48" w:name="_Toc2283"/>
      <w:r>
        <w:rPr>
          <w:rFonts w:hint="eastAsia" w:ascii="仿宋" w:hAnsi="仿宋" w:eastAsia="仿宋" w:cs="仿宋"/>
          <w:color w:val="auto"/>
          <w:kern w:val="0"/>
          <w:sz w:val="28"/>
          <w:szCs w:val="28"/>
          <w:highlight w:val="none"/>
        </w:rPr>
        <w:t>十、招标服务费</w:t>
      </w:r>
      <w:bookmarkEnd w:id="45"/>
      <w:bookmarkEnd w:id="46"/>
      <w:bookmarkEnd w:id="48"/>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color w:val="auto"/>
          <w:szCs w:val="24"/>
          <w:highlight w:val="none"/>
        </w:rPr>
        <w:t>中标人在领取中标通知书时，</w:t>
      </w:r>
      <w:bookmarkStart w:id="49" w:name="_Toc193187089"/>
      <w:bookmarkStart w:id="50" w:name="_Toc193126874"/>
      <w:bookmarkStart w:id="51" w:name="_Toc188808820"/>
      <w:bookmarkStart w:id="52" w:name="_Toc194663910"/>
      <w:r>
        <w:rPr>
          <w:rFonts w:hint="eastAsia" w:ascii="仿宋" w:hAnsi="仿宋" w:eastAsia="仿宋" w:cs="仿宋"/>
          <w:color w:val="auto"/>
          <w:szCs w:val="24"/>
          <w:highlight w:val="none"/>
        </w:rPr>
        <w:t>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pageBreakBefore w:val="0"/>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2、招标服务费应采用转账形式交纳。 </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3、中标人如未按上述第1条规定办理，采购代理机构将没收其投标保证金。提供投标担保的投标人将由专业担保机构先行偿付采购代理机构损失。</w:t>
      </w:r>
      <w:bookmarkStart w:id="53" w:name="_Toc458617464"/>
      <w:bookmarkStart w:id="54" w:name="_Toc458617741"/>
    </w:p>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55" w:name="_Toc22375"/>
      <w:r>
        <w:rPr>
          <w:rFonts w:hint="eastAsia" w:ascii="仿宋" w:hAnsi="仿宋" w:eastAsia="仿宋" w:cs="仿宋"/>
          <w:color w:val="auto"/>
          <w:kern w:val="0"/>
          <w:sz w:val="28"/>
          <w:szCs w:val="28"/>
          <w:highlight w:val="none"/>
        </w:rPr>
        <w:t>十一、</w:t>
      </w:r>
      <w:bookmarkEnd w:id="49"/>
      <w:bookmarkEnd w:id="50"/>
      <w:bookmarkEnd w:id="51"/>
      <w:bookmarkEnd w:id="52"/>
      <w:bookmarkEnd w:id="53"/>
      <w:bookmarkEnd w:id="54"/>
      <w:r>
        <w:rPr>
          <w:rFonts w:hint="eastAsia" w:ascii="仿宋" w:hAnsi="仿宋" w:eastAsia="仿宋" w:cs="仿宋"/>
          <w:color w:val="auto"/>
          <w:kern w:val="0"/>
          <w:sz w:val="28"/>
          <w:szCs w:val="28"/>
          <w:highlight w:val="none"/>
        </w:rPr>
        <w:t>重新组织采购活动</w:t>
      </w:r>
      <w:bookmarkEnd w:id="55"/>
    </w:p>
    <w:p>
      <w:pPr>
        <w:pageBreakBefore w:val="0"/>
        <w:bidi w:val="0"/>
        <w:spacing w:line="560" w:lineRule="exact"/>
        <w:ind w:firstLine="720" w:firstLineChars="3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如果发生下列情况之一，采购人和采购代理机构将按《政府采购法》、《政府采购货物和服务招标投标管理办法》（财政部第87号）等有关规定重新组织采购活动：</w:t>
      </w:r>
    </w:p>
    <w:p>
      <w:pPr>
        <w:pageBreakBefore w:val="0"/>
        <w:bidi w:val="0"/>
        <w:spacing w:line="560" w:lineRule="exact"/>
        <w:ind w:firstLine="480"/>
        <w:textAlignment w:val="auto"/>
        <w:rPr>
          <w:rFonts w:ascii="仿宋" w:hAnsi="仿宋" w:eastAsia="仿宋" w:cs="仿宋"/>
          <w:color w:val="auto"/>
          <w:kern w:val="96"/>
          <w:szCs w:val="24"/>
          <w:highlight w:val="none"/>
        </w:rPr>
      </w:pPr>
      <w:r>
        <w:rPr>
          <w:rFonts w:hint="eastAsia" w:ascii="仿宋" w:hAnsi="仿宋" w:eastAsia="仿宋" w:cs="仿宋"/>
          <w:color w:val="auto"/>
          <w:kern w:val="96"/>
          <w:szCs w:val="24"/>
          <w:highlight w:val="none"/>
        </w:rPr>
        <w:t>（1）因重大变故，采购任务取消的；</w:t>
      </w:r>
    </w:p>
    <w:p>
      <w:pPr>
        <w:pageBreakBefore w:val="0"/>
        <w:bidi w:val="0"/>
        <w:spacing w:line="560" w:lineRule="exact"/>
        <w:ind w:firstLine="480"/>
        <w:textAlignment w:val="auto"/>
        <w:rPr>
          <w:rFonts w:ascii="仿宋" w:hAnsi="仿宋" w:eastAsia="仿宋" w:cs="仿宋"/>
          <w:color w:val="auto"/>
          <w:kern w:val="96"/>
          <w:szCs w:val="24"/>
          <w:highlight w:val="none"/>
        </w:rPr>
      </w:pPr>
      <w:r>
        <w:rPr>
          <w:rFonts w:hint="eastAsia" w:ascii="仿宋" w:hAnsi="仿宋" w:eastAsia="仿宋" w:cs="仿宋"/>
          <w:color w:val="auto"/>
          <w:kern w:val="96"/>
          <w:szCs w:val="24"/>
          <w:highlight w:val="none"/>
        </w:rPr>
        <w:t>（2）招标文件存在不合理条款或者招标程序不符合规定的；</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kern w:val="96"/>
          <w:szCs w:val="24"/>
          <w:highlight w:val="none"/>
        </w:rPr>
        <w:t>（3）</w:t>
      </w:r>
      <w:r>
        <w:rPr>
          <w:rFonts w:hint="eastAsia" w:ascii="仿宋" w:hAnsi="仿宋" w:eastAsia="仿宋" w:cs="仿宋"/>
          <w:color w:val="auto"/>
          <w:szCs w:val="24"/>
          <w:highlight w:val="none"/>
        </w:rPr>
        <w:t>出现影响采购公正的违法、违规行为的；</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（4）投标截止后投标人不足3家或者通过资格审查或符合性审查的投标人不足3家的；</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（5）所有投标人的报价均超出采购预算或最高限价，采购人不能支付的。</w:t>
      </w:r>
    </w:p>
    <w:p>
      <w:pPr>
        <w:pStyle w:val="4"/>
        <w:pageBreakBefore w:val="0"/>
        <w:tabs>
          <w:tab w:val="left" w:pos="6899"/>
        </w:tabs>
        <w:bidi w:val="0"/>
        <w:spacing w:line="560" w:lineRule="exact"/>
        <w:textAlignment w:val="auto"/>
        <w:rPr>
          <w:rFonts w:ascii="仿宋" w:hAnsi="仿宋" w:eastAsia="仿宋" w:cs="仿宋"/>
          <w:color w:val="auto"/>
          <w:kern w:val="0"/>
          <w:sz w:val="28"/>
          <w:szCs w:val="28"/>
          <w:highlight w:val="none"/>
        </w:rPr>
      </w:pPr>
      <w:bookmarkStart w:id="56" w:name="_Toc458617465"/>
      <w:bookmarkStart w:id="57" w:name="_Toc458617742"/>
      <w:bookmarkStart w:id="58" w:name="_Toc17723"/>
      <w:r>
        <w:rPr>
          <w:rFonts w:hint="eastAsia" w:ascii="仿宋" w:hAnsi="仿宋" w:eastAsia="仿宋" w:cs="仿宋"/>
          <w:color w:val="auto"/>
          <w:kern w:val="0"/>
          <w:sz w:val="28"/>
          <w:szCs w:val="28"/>
          <w:highlight w:val="none"/>
        </w:rPr>
        <w:t>十二、</w:t>
      </w:r>
      <w:bookmarkEnd w:id="56"/>
      <w:bookmarkEnd w:id="57"/>
      <w:bookmarkStart w:id="59" w:name="_Toc458617466"/>
      <w:bookmarkStart w:id="60" w:name="_Toc458617743"/>
      <w:r>
        <w:rPr>
          <w:rFonts w:hint="eastAsia" w:ascii="仿宋" w:hAnsi="仿宋" w:eastAsia="仿宋" w:cs="仿宋"/>
          <w:color w:val="auto"/>
          <w:kern w:val="0"/>
          <w:sz w:val="28"/>
          <w:szCs w:val="28"/>
          <w:highlight w:val="none"/>
        </w:rPr>
        <w:t>询问、质疑与投诉</w:t>
      </w:r>
      <w:bookmarkEnd w:id="58"/>
      <w:r>
        <w:rPr>
          <w:rFonts w:hint="eastAsia" w:ascii="仿宋" w:hAnsi="仿宋" w:eastAsia="仿宋" w:cs="仿宋"/>
          <w:color w:val="auto"/>
          <w:kern w:val="0"/>
          <w:sz w:val="28"/>
          <w:szCs w:val="28"/>
          <w:highlight w:val="none"/>
        </w:rPr>
        <w:tab/>
      </w:r>
    </w:p>
    <w:p>
      <w:pPr>
        <w:pageBreakBefore w:val="0"/>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1、询问</w:t>
      </w:r>
    </w:p>
    <w:p>
      <w:pPr>
        <w:pageBreakBefore w:val="0"/>
        <w:bidi w:val="0"/>
        <w:spacing w:line="560" w:lineRule="exact"/>
        <w:ind w:firstLine="480" w:firstLineChars="2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投标人对政府采购活动事项有疑问的，可以向采购人、采购代理机构提出询问。</w:t>
      </w:r>
    </w:p>
    <w:p>
      <w:pPr>
        <w:pageBreakBefore w:val="0"/>
        <w:bidi w:val="0"/>
        <w:spacing w:line="560" w:lineRule="exact"/>
        <w:ind w:firstLine="480" w:firstLineChars="200"/>
        <w:textAlignment w:val="auto"/>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2、质疑</w:t>
      </w:r>
    </w:p>
    <w:p>
      <w:pPr>
        <w:pageBreakBefore w:val="0"/>
        <w:bidi w:val="0"/>
        <w:spacing w:line="560" w:lineRule="exact"/>
        <w:ind w:firstLine="48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pageBreakBefore w:val="0"/>
        <w:bidi w:val="0"/>
        <w:spacing w:line="560" w:lineRule="exact"/>
        <w:ind w:firstLine="480" w:firstLineChars="200"/>
        <w:textAlignment w:val="auto"/>
        <w:rPr>
          <w:rFonts w:ascii="仿宋" w:hAnsi="仿宋" w:eastAsia="仿宋" w:cs="仿宋"/>
          <w:color w:val="auto"/>
          <w:spacing w:val="-11"/>
          <w:highlight w:val="none"/>
        </w:rPr>
      </w:pPr>
      <w:r>
        <w:rPr>
          <w:rFonts w:hint="eastAsia" w:ascii="仿宋" w:hAnsi="仿宋" w:eastAsia="仿宋" w:cs="仿宋"/>
          <w:color w:val="auto"/>
          <w:highlight w:val="none"/>
        </w:rPr>
        <w:t>（1）</w:t>
      </w:r>
      <w:r>
        <w:rPr>
          <w:rFonts w:hint="eastAsia" w:ascii="仿宋" w:hAnsi="仿宋" w:eastAsia="仿宋" w:cs="仿宋"/>
          <w:color w:val="auto"/>
          <w:spacing w:val="-11"/>
          <w:highlight w:val="none"/>
        </w:rPr>
        <w:t>对采购文件提出质疑的，为收到采购文件之日或者采购文件公告期限届满之日；</w:t>
      </w:r>
    </w:p>
    <w:p>
      <w:pPr>
        <w:pageBreakBefore w:val="0"/>
        <w:bidi w:val="0"/>
        <w:spacing w:line="560" w:lineRule="exact"/>
        <w:ind w:firstLine="480" w:firstLineChars="200"/>
        <w:textAlignment w:val="auto"/>
        <w:outlineLvl w:val="3"/>
        <w:rPr>
          <w:rFonts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pPr>
        <w:pageBreakBefore w:val="0"/>
        <w:bidi w:val="0"/>
        <w:spacing w:line="560" w:lineRule="exact"/>
        <w:ind w:firstLine="240" w:firstLineChars="100"/>
        <w:jc w:val="center"/>
        <w:textAlignment w:val="auto"/>
        <w:rPr>
          <w:rFonts w:ascii="仿宋" w:hAnsi="仿宋" w:eastAsia="仿宋" w:cs="仿宋"/>
          <w:color w:val="auto"/>
          <w:kern w:val="0"/>
          <w:szCs w:val="24"/>
          <w:highlight w:val="none"/>
        </w:rPr>
      </w:pPr>
      <w:r>
        <w:rPr>
          <w:rFonts w:hint="eastAsia" w:ascii="仿宋" w:hAnsi="仿宋" w:eastAsia="仿宋" w:cs="仿宋"/>
          <w:color w:val="auto"/>
          <w:highlight w:val="none"/>
        </w:rPr>
        <w:t xml:space="preserve">  （3）对中标或者成交结果提出质疑的，为中标或者成交结果公告期限届满之日。</w:t>
      </w:r>
      <w:r>
        <w:rPr>
          <w:rFonts w:hint="eastAsia" w:ascii="仿宋" w:hAnsi="仿宋" w:eastAsia="仿宋" w:cs="仿宋"/>
          <w:color w:val="auto"/>
          <w:kern w:val="0"/>
          <w:szCs w:val="24"/>
          <w:highlight w:val="none"/>
        </w:rPr>
        <w:t xml:space="preserve"> </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highlight w:val="none"/>
        </w:rPr>
        <w:t>2-2、投标人须在法</w:t>
      </w:r>
      <w:r>
        <w:rPr>
          <w:rFonts w:hint="eastAsia" w:ascii="仿宋" w:hAnsi="仿宋" w:eastAsia="仿宋" w:cs="仿宋"/>
          <w:color w:val="auto"/>
          <w:szCs w:val="24"/>
          <w:highlight w:val="none"/>
        </w:rPr>
        <w:t>定质疑期内一次性提出针对同一采购程序环节的质疑。</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2-3、投标人须按照财政部发布的《政府采购供应商质疑函范本》及其制作说明提出质疑，详见“中国政府采购网（www.ccgp.gov.cn）”下载专区。</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pageBreakBefore w:val="0"/>
        <w:bidi w:val="0"/>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2-6、投标人应在法定期限内以书面形式提出质疑，联系人： </w:t>
      </w:r>
      <w:r>
        <w:rPr>
          <w:rFonts w:hint="eastAsia" w:ascii="仿宋" w:hAnsi="仿宋" w:eastAsia="仿宋" w:cs="仿宋"/>
          <w:color w:val="auto"/>
          <w:szCs w:val="24"/>
          <w:highlight w:val="none"/>
          <w:lang w:eastAsia="zh-CN"/>
        </w:rPr>
        <w:t>马工</w:t>
      </w:r>
      <w:r>
        <w:rPr>
          <w:rFonts w:hint="eastAsia" w:ascii="仿宋" w:hAnsi="仿宋" w:eastAsia="仿宋" w:cs="仿宋"/>
          <w:color w:val="auto"/>
          <w:szCs w:val="24"/>
          <w:highlight w:val="none"/>
        </w:rPr>
        <w:t>，联系方式：029-87592321，地址：华招广和项目管理有限公司。</w:t>
      </w:r>
    </w:p>
    <w:p>
      <w:pPr>
        <w:pageBreakBefore w:val="0"/>
        <w:bidi w:val="0"/>
        <w:spacing w:line="560" w:lineRule="exact"/>
        <w:ind w:firstLine="480" w:firstLineChars="200"/>
        <w:textAlignment w:val="auto"/>
        <w:outlineLvl w:val="2"/>
        <w:rPr>
          <w:rFonts w:ascii="仿宋" w:hAnsi="仿宋" w:eastAsia="仿宋" w:cs="仿宋"/>
          <w:color w:val="auto"/>
          <w:highlight w:val="none"/>
        </w:rPr>
      </w:pPr>
      <w:r>
        <w:rPr>
          <w:rFonts w:hint="eastAsia" w:ascii="仿宋" w:hAnsi="仿宋" w:eastAsia="仿宋" w:cs="仿宋"/>
          <w:color w:val="auto"/>
          <w:highlight w:val="none"/>
        </w:rPr>
        <w:t>3、投诉</w:t>
      </w:r>
    </w:p>
    <w:p>
      <w:pPr>
        <w:pStyle w:val="40"/>
        <w:pageBreakBefore w:val="0"/>
        <w:bidi w:val="0"/>
        <w:spacing w:line="560" w:lineRule="exact"/>
        <w:ind w:firstLine="480"/>
        <w:textAlignment w:val="auto"/>
        <w:rPr>
          <w:rFonts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40"/>
        <w:pageBreakBefore w:val="0"/>
        <w:bidi w:val="0"/>
        <w:spacing w:line="560" w:lineRule="exact"/>
        <w:ind w:firstLine="480"/>
        <w:textAlignment w:val="auto"/>
        <w:rPr>
          <w:rFonts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color w:val="auto"/>
          <w:kern w:val="2"/>
          <w:sz w:val="24"/>
          <w:szCs w:val="20"/>
          <w:highlight w:val="none"/>
          <w:u w:val="single"/>
        </w:rPr>
        <w:t xml:space="preserve"> 宝鸡市凤翔区财政局 </w:t>
      </w:r>
      <w:r>
        <w:rPr>
          <w:rFonts w:hint="eastAsia" w:ascii="仿宋" w:hAnsi="仿宋" w:eastAsia="仿宋" w:cs="仿宋"/>
          <w:color w:val="auto"/>
          <w:kern w:val="2"/>
          <w:sz w:val="24"/>
          <w:szCs w:val="20"/>
          <w:highlight w:val="none"/>
        </w:rPr>
        <w:t>提起投诉。</w:t>
      </w:r>
    </w:p>
    <w:p>
      <w:pPr>
        <w:pStyle w:val="4"/>
        <w:pageBreakBefore w:val="0"/>
        <w:bidi w:val="0"/>
        <w:spacing w:line="560" w:lineRule="exact"/>
        <w:textAlignment w:val="auto"/>
        <w:rPr>
          <w:rFonts w:ascii="仿宋" w:hAnsi="仿宋" w:eastAsia="仿宋" w:cs="仿宋"/>
          <w:color w:val="auto"/>
          <w:kern w:val="0"/>
          <w:sz w:val="28"/>
          <w:szCs w:val="28"/>
          <w:highlight w:val="none"/>
        </w:rPr>
      </w:pPr>
      <w:bookmarkStart w:id="61" w:name="_Toc20119"/>
      <w:r>
        <w:rPr>
          <w:rFonts w:hint="eastAsia" w:ascii="仿宋" w:hAnsi="仿宋" w:eastAsia="仿宋" w:cs="仿宋"/>
          <w:color w:val="auto"/>
          <w:kern w:val="0"/>
          <w:sz w:val="28"/>
          <w:szCs w:val="28"/>
          <w:highlight w:val="none"/>
        </w:rPr>
        <w:t>十三、拒绝商业贿赂</w:t>
      </w:r>
      <w:bookmarkEnd w:id="59"/>
      <w:bookmarkEnd w:id="60"/>
      <w:bookmarkEnd w:id="61"/>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pageBreakBefore w:val="0"/>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2、投标人必须填写《拒绝政府采购领域商业贿赂承诺书》并附在投标文件中，同时应保证投标文件正、副本中一致。</w:t>
      </w:r>
    </w:p>
    <w:p>
      <w:pPr>
        <w:pStyle w:val="3"/>
        <w:pageBreakBefore w:val="0"/>
        <w:bidi w:val="0"/>
        <w:spacing w:line="560" w:lineRule="exact"/>
        <w:textAlignment w:val="auto"/>
        <w:outlineLvl w:val="9"/>
        <w:rPr>
          <w:rFonts w:ascii="仿宋" w:hAnsi="仿宋" w:eastAsia="仿宋" w:cs="仿宋"/>
          <w:color w:val="auto"/>
          <w:kern w:val="0"/>
          <w:highlight w:val="none"/>
        </w:rPr>
        <w:sectPr>
          <w:headerReference r:id="rId11" w:type="first"/>
          <w:footerReference r:id="rId13" w:type="first"/>
          <w:footerReference r:id="rId12" w:type="default"/>
          <w:pgSz w:w="11907" w:h="16840"/>
          <w:pgMar w:top="1417" w:right="1134" w:bottom="1417" w:left="1304" w:header="935" w:footer="771" w:gutter="567"/>
          <w:pgNumType w:start="1"/>
          <w:cols w:space="0" w:num="1"/>
          <w:titlePg/>
          <w:docGrid w:linePitch="312" w:charSpace="0"/>
        </w:sectPr>
      </w:pPr>
      <w:bookmarkStart w:id="62" w:name="_Toc458617467"/>
      <w:bookmarkStart w:id="63" w:name="_Toc458617744"/>
    </w:p>
    <w:p>
      <w:pPr>
        <w:pStyle w:val="3"/>
        <w:numPr>
          <w:ilvl w:val="0"/>
          <w:numId w:val="0"/>
        </w:numPr>
        <w:spacing w:line="560" w:lineRule="exact"/>
        <w:ind w:left="0" w:leftChars="0" w:firstLine="0" w:firstLineChars="0"/>
        <w:jc w:val="center"/>
        <w:rPr>
          <w:rFonts w:hint="eastAsia" w:ascii="仿宋" w:hAnsi="仿宋" w:eastAsia="仿宋" w:cs="仿宋"/>
          <w:color w:val="auto"/>
          <w:kern w:val="0"/>
          <w:highlight w:val="none"/>
        </w:rPr>
      </w:pPr>
      <w:bookmarkStart w:id="64" w:name="_Toc24042"/>
      <w:r>
        <w:rPr>
          <w:rFonts w:hint="eastAsia" w:ascii="仿宋" w:hAnsi="仿宋" w:eastAsia="仿宋" w:cs="仿宋"/>
          <w:b/>
          <w:bCs/>
          <w:color w:val="auto"/>
          <w:kern w:val="0"/>
          <w:sz w:val="44"/>
          <w:szCs w:val="44"/>
          <w:lang w:val="en-US" w:eastAsia="zh-CN" w:bidi="ar-SA"/>
        </w:rPr>
        <w:t>第三章</w:t>
      </w:r>
      <w:r>
        <w:rPr>
          <w:rFonts w:hint="eastAsia" w:ascii="仿宋" w:hAnsi="仿宋" w:eastAsia="仿宋" w:cs="仿宋"/>
          <w:color w:val="auto"/>
          <w:kern w:val="0"/>
          <w:highlight w:val="none"/>
        </w:rPr>
        <w:t xml:space="preserve"> 采购内容及技术要求</w:t>
      </w:r>
      <w:bookmarkEnd w:id="62"/>
      <w:bookmarkEnd w:id="63"/>
      <w:bookmarkEnd w:id="64"/>
      <w:bookmarkStart w:id="65" w:name="_Toc492"/>
      <w:bookmarkStart w:id="66" w:name="_Toc458617468"/>
      <w:bookmarkStart w:id="67" w:name="_Toc458617745"/>
    </w:p>
    <w:p>
      <w:pPr>
        <w:pStyle w:val="3"/>
        <w:numPr>
          <w:ilvl w:val="0"/>
          <w:numId w:val="0"/>
        </w:numPr>
        <w:snapToGrid w:val="0"/>
        <w:spacing w:before="240" w:after="240" w:line="360" w:lineRule="auto"/>
        <w:ind w:left="660" w:leftChars="0" w:hanging="660" w:firstLineChars="0"/>
        <w:rPr>
          <w:rFonts w:hint="eastAsia" w:ascii="仿宋" w:hAnsi="仿宋" w:eastAsia="仿宋" w:cs="仿宋"/>
          <w:sz w:val="24"/>
          <w:szCs w:val="24"/>
        </w:rPr>
      </w:pPr>
      <w:bookmarkStart w:id="68" w:name="_Toc5912"/>
      <w:bookmarkStart w:id="69" w:name="_Hlk37145396"/>
      <w:r>
        <w:rPr>
          <w:rFonts w:hint="eastAsia" w:ascii="仿宋" w:hAnsi="仿宋" w:eastAsia="仿宋" w:cs="仿宋"/>
          <w:b/>
          <w:bCs/>
          <w:kern w:val="44"/>
          <w:sz w:val="24"/>
          <w:szCs w:val="24"/>
          <w:lang w:val="en-US" w:eastAsia="zh-CN" w:bidi="ar-SA"/>
        </w:rPr>
        <w:t>一、</w:t>
      </w:r>
      <w:r>
        <w:rPr>
          <w:rFonts w:hint="eastAsia" w:ascii="仿宋" w:hAnsi="仿宋" w:eastAsia="仿宋" w:cs="仿宋"/>
          <w:sz w:val="24"/>
          <w:szCs w:val="24"/>
        </w:rPr>
        <w:t>采购内容：</w:t>
      </w:r>
      <w:r>
        <w:rPr>
          <w:rFonts w:hint="eastAsia" w:ascii="仿宋" w:hAnsi="仿宋" w:eastAsia="仿宋" w:cs="仿宋"/>
          <w:sz w:val="24"/>
          <w:szCs w:val="24"/>
          <w:lang w:eastAsia="zh-CN"/>
        </w:rPr>
        <w:t>凤翔区医院财务管理相关软件采购</w:t>
      </w:r>
    </w:p>
    <w:p>
      <w:pPr>
        <w:pStyle w:val="3"/>
        <w:numPr>
          <w:ilvl w:val="0"/>
          <w:numId w:val="0"/>
        </w:numPr>
        <w:snapToGrid w:val="0"/>
        <w:spacing w:before="240" w:after="240" w:line="360" w:lineRule="auto"/>
        <w:ind w:left="660" w:leftChars="0" w:hanging="660" w:firstLineChars="0"/>
        <w:rPr>
          <w:rFonts w:hint="eastAsia" w:ascii="仿宋" w:hAnsi="仿宋" w:eastAsia="仿宋" w:cs="仿宋"/>
          <w:sz w:val="24"/>
          <w:szCs w:val="24"/>
        </w:rPr>
      </w:pPr>
      <w:r>
        <w:rPr>
          <w:rFonts w:hint="eastAsia" w:ascii="仿宋" w:hAnsi="仿宋" w:eastAsia="仿宋" w:cs="仿宋"/>
          <w:b/>
          <w:bCs/>
          <w:kern w:val="44"/>
          <w:sz w:val="24"/>
          <w:szCs w:val="24"/>
          <w:lang w:val="en-US" w:eastAsia="zh-CN" w:bidi="ar-SA"/>
        </w:rPr>
        <w:t>二、</w:t>
      </w:r>
      <w:r>
        <w:rPr>
          <w:rFonts w:hint="eastAsia" w:ascii="仿宋" w:hAnsi="仿宋" w:eastAsia="仿宋" w:cs="仿宋"/>
          <w:sz w:val="24"/>
          <w:szCs w:val="24"/>
        </w:rPr>
        <w:t>采购清单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本项目建设要求基于统一平台完成医院运营业务管理及相应的系统项目建设，内含的各分系统之间必须无缝衔接，统一运行。</w:t>
      </w:r>
    </w:p>
    <w:tbl>
      <w:tblPr>
        <w:tblStyle w:val="22"/>
        <w:tblW w:w="4999" w:type="pct"/>
        <w:tblInd w:w="0" w:type="dxa"/>
        <w:tblLayout w:type="autofit"/>
        <w:tblCellMar>
          <w:top w:w="0" w:type="dxa"/>
          <w:left w:w="108" w:type="dxa"/>
          <w:bottom w:w="0" w:type="dxa"/>
          <w:right w:w="108" w:type="dxa"/>
        </w:tblCellMar>
      </w:tblPr>
      <w:tblGrid>
        <w:gridCol w:w="2775"/>
        <w:gridCol w:w="6341"/>
      </w:tblGrid>
      <w:tr>
        <w:tblPrEx>
          <w:tblCellMar>
            <w:top w:w="0" w:type="dxa"/>
            <w:left w:w="108" w:type="dxa"/>
            <w:bottom w:w="0" w:type="dxa"/>
            <w:right w:w="108" w:type="dxa"/>
          </w:tblCellMar>
        </w:tblPrEx>
        <w:trPr>
          <w:trHeight w:val="320" w:hRule="atLeast"/>
        </w:trPr>
        <w:tc>
          <w:tcPr>
            <w:tcW w:w="15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3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平台及系统</w:t>
            </w:r>
          </w:p>
        </w:tc>
      </w:tr>
      <w:tr>
        <w:tblPrEx>
          <w:tblCellMar>
            <w:top w:w="0" w:type="dxa"/>
            <w:left w:w="108" w:type="dxa"/>
            <w:bottom w:w="0" w:type="dxa"/>
            <w:right w:w="108" w:type="dxa"/>
          </w:tblCellMar>
        </w:tblPrEx>
        <w:trPr>
          <w:trHeight w:val="320" w:hRule="atLeast"/>
        </w:trPr>
        <w:tc>
          <w:tcPr>
            <w:tcW w:w="15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3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系统平台</w:t>
            </w:r>
          </w:p>
        </w:tc>
      </w:tr>
      <w:tr>
        <w:tblPrEx>
          <w:tblCellMar>
            <w:top w:w="0" w:type="dxa"/>
            <w:left w:w="108" w:type="dxa"/>
            <w:bottom w:w="0" w:type="dxa"/>
            <w:right w:w="108" w:type="dxa"/>
          </w:tblCellMar>
        </w:tblPrEx>
        <w:trPr>
          <w:trHeight w:val="320" w:hRule="atLeast"/>
        </w:trPr>
        <w:tc>
          <w:tcPr>
            <w:tcW w:w="15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3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财务核算</w:t>
            </w:r>
          </w:p>
        </w:tc>
      </w:tr>
      <w:tr>
        <w:tblPrEx>
          <w:tblCellMar>
            <w:top w:w="0" w:type="dxa"/>
            <w:left w:w="108" w:type="dxa"/>
            <w:bottom w:w="0" w:type="dxa"/>
            <w:right w:w="108" w:type="dxa"/>
          </w:tblCellMar>
        </w:tblPrEx>
        <w:trPr>
          <w:trHeight w:val="320" w:hRule="atLeast"/>
        </w:trPr>
        <w:tc>
          <w:tcPr>
            <w:tcW w:w="15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w:t>
            </w:r>
          </w:p>
        </w:tc>
        <w:tc>
          <w:tcPr>
            <w:tcW w:w="3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固定资产</w:t>
            </w:r>
          </w:p>
        </w:tc>
      </w:tr>
      <w:tr>
        <w:tblPrEx>
          <w:tblCellMar>
            <w:top w:w="0" w:type="dxa"/>
            <w:left w:w="108" w:type="dxa"/>
            <w:bottom w:w="0" w:type="dxa"/>
            <w:right w:w="108" w:type="dxa"/>
          </w:tblCellMar>
        </w:tblPrEx>
        <w:trPr>
          <w:trHeight w:val="320" w:hRule="atLeast"/>
        </w:trPr>
        <w:tc>
          <w:tcPr>
            <w:tcW w:w="15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4</w:t>
            </w:r>
          </w:p>
        </w:tc>
        <w:tc>
          <w:tcPr>
            <w:tcW w:w="3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成本管理</w:t>
            </w:r>
          </w:p>
        </w:tc>
      </w:tr>
      <w:tr>
        <w:tblPrEx>
          <w:tblCellMar>
            <w:top w:w="0" w:type="dxa"/>
            <w:left w:w="108" w:type="dxa"/>
            <w:bottom w:w="0" w:type="dxa"/>
            <w:right w:w="108" w:type="dxa"/>
          </w:tblCellMar>
        </w:tblPrEx>
        <w:trPr>
          <w:trHeight w:val="320" w:hRule="atLeast"/>
        </w:trPr>
        <w:tc>
          <w:tcPr>
            <w:tcW w:w="15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w:t>
            </w:r>
          </w:p>
        </w:tc>
        <w:tc>
          <w:tcPr>
            <w:tcW w:w="3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物资管理</w:t>
            </w:r>
          </w:p>
        </w:tc>
      </w:tr>
      <w:tr>
        <w:tblPrEx>
          <w:tblCellMar>
            <w:top w:w="0" w:type="dxa"/>
            <w:left w:w="108" w:type="dxa"/>
            <w:bottom w:w="0" w:type="dxa"/>
            <w:right w:w="108" w:type="dxa"/>
          </w:tblCellMar>
        </w:tblPrEx>
        <w:trPr>
          <w:trHeight w:val="320" w:hRule="atLeast"/>
        </w:trPr>
        <w:tc>
          <w:tcPr>
            <w:tcW w:w="15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6</w:t>
            </w:r>
          </w:p>
        </w:tc>
        <w:tc>
          <w:tcPr>
            <w:tcW w:w="3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人事管理</w:t>
            </w:r>
          </w:p>
        </w:tc>
      </w:tr>
    </w:tbl>
    <w:p>
      <w:pPr>
        <w:ind w:firstLine="480" w:firstLineChars="200"/>
        <w:rPr>
          <w:rFonts w:hint="eastAsia" w:ascii="仿宋" w:hAnsi="仿宋" w:eastAsia="仿宋" w:cs="仿宋"/>
          <w:sz w:val="24"/>
          <w:szCs w:val="24"/>
        </w:rPr>
      </w:pPr>
      <w:r>
        <w:rPr>
          <w:rFonts w:hint="eastAsia" w:ascii="仿宋" w:hAnsi="仿宋" w:eastAsia="仿宋" w:cs="仿宋"/>
          <w:sz w:val="24"/>
          <w:szCs w:val="24"/>
        </w:rPr>
        <w:t>注：含本侧及第三方软件相关接口</w:t>
      </w:r>
    </w:p>
    <w:p>
      <w:pPr>
        <w:pStyle w:val="3"/>
        <w:numPr>
          <w:ilvl w:val="0"/>
          <w:numId w:val="0"/>
        </w:numPr>
        <w:snapToGrid w:val="0"/>
        <w:spacing w:before="240" w:after="240" w:line="360" w:lineRule="auto"/>
        <w:ind w:left="660" w:leftChars="0" w:hanging="660" w:firstLineChars="0"/>
        <w:rPr>
          <w:rFonts w:hint="eastAsia" w:ascii="仿宋" w:hAnsi="仿宋" w:eastAsia="仿宋" w:cs="仿宋"/>
          <w:sz w:val="24"/>
          <w:szCs w:val="24"/>
        </w:rPr>
      </w:pPr>
      <w:r>
        <w:rPr>
          <w:rFonts w:hint="eastAsia" w:ascii="仿宋" w:hAnsi="仿宋" w:eastAsia="仿宋" w:cs="仿宋"/>
          <w:b/>
          <w:bCs/>
          <w:kern w:val="44"/>
          <w:sz w:val="24"/>
          <w:szCs w:val="24"/>
          <w:lang w:val="en-US" w:eastAsia="zh-CN" w:bidi="ar-SA"/>
        </w:rPr>
        <w:t>三、</w:t>
      </w:r>
      <w:r>
        <w:rPr>
          <w:rFonts w:hint="eastAsia" w:ascii="仿宋" w:hAnsi="仿宋" w:eastAsia="仿宋" w:cs="仿宋"/>
          <w:sz w:val="24"/>
          <w:szCs w:val="24"/>
        </w:rPr>
        <w:t>项目建设目标</w:t>
      </w:r>
      <w:bookmarkEnd w:id="68"/>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医院信息管理系统的基础上，整合医院已有信息系统的资源，构建统一的医院运营管理平台，通过创建规范的财务核算系统、固定资产管理系统、科室成本管理系统、物资管理系统、人力资源管理系统提升医院各条相关主线业务管理能力，实现全院业务流程可跟踪、可监察，实现管理的可视化，减少管理上的漏洞，全面提升医院的整体效率、效益，提升医院持续发展的动力和行业竞争力。</w:t>
      </w:r>
    </w:p>
    <w:p>
      <w:pPr>
        <w:pStyle w:val="3"/>
        <w:numPr>
          <w:ilvl w:val="0"/>
          <w:numId w:val="0"/>
        </w:numPr>
        <w:snapToGrid w:val="0"/>
        <w:spacing w:before="240" w:after="240" w:line="360" w:lineRule="auto"/>
        <w:ind w:left="660" w:leftChars="0" w:hanging="660" w:firstLineChars="0"/>
        <w:rPr>
          <w:rFonts w:hint="eastAsia" w:ascii="仿宋" w:hAnsi="仿宋" w:eastAsia="仿宋" w:cs="仿宋"/>
          <w:sz w:val="24"/>
          <w:szCs w:val="24"/>
        </w:rPr>
      </w:pPr>
      <w:bookmarkStart w:id="70" w:name="_Toc29395"/>
      <w:r>
        <w:rPr>
          <w:rFonts w:hint="eastAsia" w:ascii="仿宋" w:hAnsi="仿宋" w:eastAsia="仿宋" w:cs="仿宋"/>
          <w:b/>
          <w:bCs/>
          <w:kern w:val="44"/>
          <w:sz w:val="24"/>
          <w:szCs w:val="24"/>
          <w:lang w:val="en-US" w:eastAsia="zh-CN" w:bidi="ar-SA"/>
        </w:rPr>
        <w:t>四、</w:t>
      </w:r>
      <w:r>
        <w:rPr>
          <w:rFonts w:hint="eastAsia" w:ascii="仿宋" w:hAnsi="仿宋" w:eastAsia="仿宋" w:cs="仿宋"/>
          <w:sz w:val="24"/>
          <w:szCs w:val="24"/>
        </w:rPr>
        <w:t>总体要求及技术规格</w:t>
      </w:r>
      <w:bookmarkEnd w:id="70"/>
    </w:p>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bookmarkStart w:id="71" w:name="_Toc31613"/>
      <w:r>
        <w:rPr>
          <w:rFonts w:hint="eastAsia" w:ascii="仿宋" w:hAnsi="仿宋" w:eastAsia="仿宋" w:cs="仿宋"/>
          <w:sz w:val="24"/>
          <w:szCs w:val="24"/>
        </w:rPr>
        <w:t>4.1 总体要求</w:t>
      </w:r>
      <w:bookmarkEnd w:id="71"/>
    </w:p>
    <w:p>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本项目定位于建立符合医院管理特色的现代医院综合运营管理体系，通过建立统一的技术平台及应用平台，构建医院综合运营精细化管理业务体系体现现代医院一体化运营管理的流程化、精细化、智能化应用诉求。从医院宏观管理的大局视角出发，基于顶层设计、分步实施的思路对医院综合运营管理业务进行系统性的项目实施建设。</w:t>
      </w:r>
    </w:p>
    <w:p>
      <w:pPr>
        <w:pStyle w:val="5"/>
        <w:spacing w:line="360" w:lineRule="auto"/>
        <w:rPr>
          <w:rFonts w:hint="eastAsia" w:ascii="仿宋" w:hAnsi="仿宋" w:eastAsia="仿宋" w:cs="仿宋"/>
          <w:sz w:val="24"/>
          <w:szCs w:val="24"/>
        </w:rPr>
      </w:pPr>
      <w:bookmarkStart w:id="72" w:name="_Toc797"/>
      <w:r>
        <w:rPr>
          <w:rFonts w:hint="eastAsia" w:ascii="仿宋" w:hAnsi="仿宋" w:eastAsia="仿宋" w:cs="仿宋"/>
          <w:sz w:val="24"/>
          <w:szCs w:val="24"/>
        </w:rPr>
        <w:t>4.1.1 标准化、规范化</w:t>
      </w:r>
      <w:bookmarkEnd w:id="72"/>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标准化是支撑医院信息系统的重要手段，标准化包含基础数据的标准化、部门间业务接口的标准化、系统界面的标准化；规范化包含业务流程的规范化、管理规则的规范化；在标准化和规范化的前提下，建设的信息系统才具有管理价值和使用价值，是医院信息系统建设成功的前提条件。</w:t>
      </w:r>
    </w:p>
    <w:p>
      <w:pPr>
        <w:pStyle w:val="5"/>
        <w:spacing w:line="360" w:lineRule="auto"/>
        <w:rPr>
          <w:rFonts w:hint="eastAsia" w:ascii="仿宋" w:hAnsi="仿宋" w:eastAsia="仿宋" w:cs="仿宋"/>
          <w:sz w:val="24"/>
          <w:szCs w:val="24"/>
        </w:rPr>
      </w:pPr>
      <w:bookmarkStart w:id="73" w:name="_Toc26580"/>
      <w:r>
        <w:rPr>
          <w:rFonts w:hint="eastAsia" w:ascii="仿宋" w:hAnsi="仿宋" w:eastAsia="仿宋" w:cs="仿宋"/>
          <w:sz w:val="24"/>
          <w:szCs w:val="24"/>
        </w:rPr>
        <w:t>4.1.2 关键技术路线</w:t>
      </w:r>
      <w:bookmarkEnd w:id="73"/>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系统的建设要采用最新技术手段，例如基于大型关系型数据库平台，采用PB、JAVA、C++、.NET、XML等技术；层次结构，基于B/S应用结构体系，表示层、业务层、数据库访问层分开；独立于特定的硬件平台和操作系统；实现支持各种类型的数据库系统；具有分布式事务功能；实现消息服务；实现组件化开发；具有良好的安全性。</w:t>
      </w:r>
    </w:p>
    <w:p>
      <w:pPr>
        <w:pStyle w:val="5"/>
        <w:spacing w:line="360" w:lineRule="auto"/>
        <w:rPr>
          <w:rFonts w:hint="eastAsia" w:ascii="仿宋" w:hAnsi="仿宋" w:eastAsia="仿宋" w:cs="仿宋"/>
          <w:sz w:val="24"/>
          <w:szCs w:val="24"/>
        </w:rPr>
      </w:pPr>
      <w:bookmarkStart w:id="74" w:name="_Toc26007"/>
      <w:r>
        <w:rPr>
          <w:rFonts w:hint="eastAsia" w:ascii="仿宋" w:hAnsi="仿宋" w:eastAsia="仿宋" w:cs="仿宋"/>
          <w:sz w:val="24"/>
          <w:szCs w:val="24"/>
        </w:rPr>
        <w:t>4.1.3 适用性原则</w:t>
      </w:r>
      <w:bookmarkEnd w:id="74"/>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各功能部分按照要求采用不同级别模块组合，每种组合都可以解决医院信息系统中一类问题。各个部分既可以单独运行也可相互配合使用，保证医院信息系统的“整体设计、分步实施”，减少医院的投资压力；满足医院其他系统与本系统的相互关联，并预置接口。</w:t>
      </w:r>
    </w:p>
    <w:p>
      <w:pPr>
        <w:pStyle w:val="5"/>
        <w:spacing w:line="360" w:lineRule="auto"/>
        <w:rPr>
          <w:rFonts w:hint="eastAsia" w:ascii="仿宋" w:hAnsi="仿宋" w:eastAsia="仿宋" w:cs="仿宋"/>
          <w:sz w:val="24"/>
          <w:szCs w:val="24"/>
        </w:rPr>
      </w:pPr>
      <w:bookmarkStart w:id="75" w:name="_Toc19589"/>
      <w:r>
        <w:rPr>
          <w:rFonts w:hint="eastAsia" w:ascii="仿宋" w:hAnsi="仿宋" w:eastAsia="仿宋" w:cs="仿宋"/>
          <w:sz w:val="24"/>
          <w:szCs w:val="24"/>
        </w:rPr>
        <w:t>4.1.4 应用技术培训</w:t>
      </w:r>
      <w:bookmarkEnd w:id="75"/>
    </w:p>
    <w:p>
      <w:pPr>
        <w:spacing w:line="360" w:lineRule="auto"/>
        <w:ind w:firstLine="42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在系统实施时，投标方需在医院搭建模拟环境对人员进行培训；系统建成后，投标方提供培训材料（包括快速入门、操作手册、管理员手册等），每一个应用系统要有完整的在线帮助和可用的咨询热线，以分期分批组织教学实习的形式，完成对系统管理人员、科室使用人员和各级领导的应用技术培训工作，确保所有工作人员熟练掌握系统操作。</w:t>
      </w:r>
    </w:p>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bookmarkStart w:id="76" w:name="_Toc2886"/>
      <w:r>
        <w:rPr>
          <w:rFonts w:hint="eastAsia" w:ascii="仿宋" w:hAnsi="仿宋" w:eastAsia="仿宋" w:cs="仿宋"/>
          <w:sz w:val="24"/>
          <w:szCs w:val="24"/>
        </w:rPr>
        <w:t>4.2 技术平台</w:t>
      </w:r>
      <w:bookmarkEnd w:id="76"/>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开发工具：Java；</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数据库平台：Oracle；</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 xml:space="preserve">服务器操作系统：Linux 或Microsoft Windows Server 2016或以上版本； </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客户端操作系统：Microsoft Windows XP/Win10/或以上版本；</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跨平台系统设计，支持主流操作系统平台，将来能扩容到 AIX、HP-UX、Linux 等操作系统；</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开放的技术平台，支持Web Services, Java；</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未来扩展能力：数据可以直接在服务器内存中运算，支持行存储与列存储，快速便捷创建实时业务视图，可访问的实时业务分析结果；</w:t>
      </w:r>
    </w:p>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bookmarkStart w:id="77" w:name="_Toc30677"/>
      <w:r>
        <w:rPr>
          <w:rFonts w:hint="eastAsia" w:ascii="仿宋" w:hAnsi="仿宋" w:eastAsia="仿宋" w:cs="仿宋"/>
          <w:sz w:val="24"/>
          <w:szCs w:val="24"/>
        </w:rPr>
        <w:t>4.3 技术要求</w:t>
      </w:r>
      <w:bookmarkEnd w:id="77"/>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标准化</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遵循《全国信息化建设标准与规范（试行）》、《医院信息系统基本功能规范》、《公立医院运营管理信息化功能指引》等。</w:t>
      </w:r>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平台化</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系统核心平台由多个模块组成，根据用户需要科学合理选择/组合不同模块；支持多种主流开发和应用平台；</w:t>
      </w:r>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智能化</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实现多维条码、无线移动PC、手机等智能设备的应用；</w:t>
      </w:r>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先进性</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数据结构设计合理，三层架构和二层结构相结合；</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实现支持二次接口开发，数据转储；</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完善的后台安装与维护工具；</w:t>
      </w:r>
    </w:p>
    <w:p>
      <w:pPr>
        <w:spacing w:line="360" w:lineRule="auto"/>
        <w:ind w:left="425"/>
        <w:rPr>
          <w:rFonts w:hint="eastAsia" w:ascii="仿宋" w:hAnsi="仿宋" w:eastAsia="仿宋" w:cs="仿宋"/>
          <w:sz w:val="24"/>
          <w:szCs w:val="24"/>
        </w:rPr>
      </w:pPr>
      <w:r>
        <w:rPr>
          <w:rFonts w:hint="eastAsia" w:ascii="仿宋" w:hAnsi="仿宋" w:eastAsia="仿宋" w:cs="仿宋"/>
          <w:sz w:val="24"/>
          <w:szCs w:val="24"/>
        </w:rPr>
        <w:t>系统采用平台化开发模式或者支持其他自主开发，可以由医院在平台上做二</w:t>
      </w:r>
    </w:p>
    <w:p>
      <w:pPr>
        <w:spacing w:line="360" w:lineRule="auto"/>
        <w:rPr>
          <w:rFonts w:hint="eastAsia" w:ascii="仿宋" w:hAnsi="仿宋" w:eastAsia="仿宋" w:cs="仿宋"/>
          <w:sz w:val="24"/>
          <w:szCs w:val="24"/>
        </w:rPr>
      </w:pPr>
      <w:r>
        <w:rPr>
          <w:rFonts w:hint="eastAsia" w:ascii="仿宋" w:hAnsi="仿宋" w:eastAsia="仿宋" w:cs="仿宋"/>
          <w:sz w:val="24"/>
          <w:szCs w:val="24"/>
        </w:rPr>
        <w:t>次开发，并方便的挂接到运营管理系统；</w:t>
      </w:r>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一致性</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保证数据采集、存储、整理、分析、提取、应用的一致性；</w:t>
      </w:r>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实用性</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符合行业操作和使用习惯；自主知识产权，系统性价比较高；满足医院信息管理的需要；整体设计、分步实施，无缝联接；开放式系统设计，便于医院维护，避免重复投资；</w:t>
      </w:r>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安全性</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采用数据库级用户权限和应用程序级运行权限的双重控制机制；提供统一用户管理手段；通过数据库系统的数据安全机制，提供完善的安全保障体系；</w:t>
      </w:r>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稳定性</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系统作为医院信息化系统中的关键业务系统之一，系统的稳定性和可靠性将关系到整个医院经营管理日常工作，因此系统必须实现在高并发大数据量情况下的运行效率和和稳定性；</w:t>
      </w:r>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可继承性</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系统具有较强的可继承性，包括应用系统的可继承性及数据的可继承性，方便在现有系统基础上扩充子系统，并实现各子系统之间的无缝集成，以满足医院未来发展的要求；</w:t>
      </w:r>
    </w:p>
    <w:p>
      <w:pPr>
        <w:pStyle w:val="53"/>
        <w:numPr>
          <w:ilvl w:val="0"/>
          <w:numId w:val="5"/>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可维护性、可升级性</w:t>
      </w:r>
    </w:p>
    <w:p>
      <w:pPr>
        <w:spacing w:line="360" w:lineRule="auto"/>
        <w:ind w:firstLine="480" w:firstLineChars="200"/>
        <w:rPr>
          <w:rFonts w:hint="eastAsia" w:ascii="仿宋" w:hAnsi="仿宋" w:eastAsia="仿宋" w:cs="仿宋"/>
          <w:b/>
          <w:bCs/>
          <w:kern w:val="44"/>
          <w:sz w:val="24"/>
          <w:szCs w:val="24"/>
        </w:rPr>
      </w:pPr>
      <w:r>
        <w:rPr>
          <w:rFonts w:hint="eastAsia" w:ascii="仿宋" w:hAnsi="仿宋" w:eastAsia="仿宋" w:cs="仿宋"/>
          <w:sz w:val="24"/>
          <w:szCs w:val="24"/>
        </w:rPr>
        <w:t>系统采用结构化、层次化设计结构，使系统易于维护和升级，系统采用模块化设计，并保证各版本之间具有良好的兼容性，不会因为系统中某些模块的改变而影响整个系统的正常运行。系统软件尽可能做到“零”维护，同时实现简便易操作的远程维护。</w:t>
      </w:r>
    </w:p>
    <w:p>
      <w:pPr>
        <w:pStyle w:val="3"/>
        <w:numPr>
          <w:ilvl w:val="0"/>
          <w:numId w:val="0"/>
        </w:numPr>
        <w:snapToGrid w:val="0"/>
        <w:spacing w:before="240" w:after="240" w:line="360" w:lineRule="auto"/>
        <w:ind w:left="660" w:leftChars="0" w:hanging="660" w:firstLineChars="0"/>
        <w:rPr>
          <w:rFonts w:hint="eastAsia" w:ascii="仿宋" w:hAnsi="仿宋" w:eastAsia="仿宋" w:cs="仿宋"/>
          <w:sz w:val="24"/>
          <w:szCs w:val="24"/>
        </w:rPr>
      </w:pPr>
      <w:r>
        <w:rPr>
          <w:rFonts w:hint="eastAsia" w:ascii="仿宋" w:hAnsi="仿宋" w:eastAsia="仿宋" w:cs="仿宋"/>
          <w:b/>
          <w:bCs/>
          <w:kern w:val="44"/>
          <w:sz w:val="24"/>
          <w:szCs w:val="24"/>
          <w:lang w:val="en-US" w:eastAsia="zh-CN" w:bidi="ar-SA"/>
        </w:rPr>
        <w:t>五、</w:t>
      </w:r>
      <w:r>
        <w:rPr>
          <w:rFonts w:hint="eastAsia" w:ascii="仿宋" w:hAnsi="仿宋" w:eastAsia="仿宋" w:cs="仿宋"/>
          <w:sz w:val="24"/>
          <w:szCs w:val="24"/>
        </w:rPr>
        <w:t>功能技术参数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本项目建设要求基于统一平台完成医院运营业务管理及相应的系统项目建设，内含的各分系统之间必须无缝衔接，统一运行。</w:t>
      </w:r>
      <w:bookmarkStart w:id="78" w:name="_Toc47711199"/>
      <w:bookmarkStart w:id="79" w:name="_Toc31226"/>
      <w:r>
        <w:rPr>
          <w:rFonts w:hint="eastAsia" w:ascii="仿宋" w:hAnsi="仿宋" w:eastAsia="仿宋" w:cs="仿宋"/>
          <w:sz w:val="24"/>
          <w:szCs w:val="24"/>
        </w:rPr>
        <w:t>实现以下各项功能：</w:t>
      </w:r>
    </w:p>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r>
        <w:rPr>
          <w:rFonts w:hint="eastAsia" w:ascii="仿宋" w:hAnsi="仿宋" w:eastAsia="仿宋" w:cs="仿宋"/>
          <w:sz w:val="24"/>
          <w:szCs w:val="24"/>
        </w:rPr>
        <w:t>5.1 系统平台</w:t>
      </w:r>
      <w:bookmarkEnd w:id="78"/>
      <w:bookmarkEnd w:id="79"/>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1.</w:t>
      </w:r>
      <w:r>
        <w:rPr>
          <w:rFonts w:hint="eastAsia" w:ascii="仿宋" w:hAnsi="仿宋" w:eastAsia="仿宋" w:cs="仿宋"/>
          <w:b/>
          <w:bCs/>
          <w:sz w:val="24"/>
          <w:szCs w:val="24"/>
          <w:lang w:val="en-US"/>
        </w:rPr>
        <w:t>组织架构：</w:t>
      </w:r>
      <w:r>
        <w:rPr>
          <w:rFonts w:hint="eastAsia" w:ascii="仿宋" w:hAnsi="仿宋" w:eastAsia="仿宋" w:cs="仿宋"/>
          <w:sz w:val="24"/>
          <w:szCs w:val="24"/>
        </w:rPr>
        <w:t>实现</w:t>
      </w:r>
      <w:r>
        <w:rPr>
          <w:rFonts w:hint="eastAsia" w:ascii="仿宋" w:hAnsi="仿宋" w:eastAsia="仿宋" w:cs="仿宋"/>
          <w:sz w:val="24"/>
          <w:szCs w:val="24"/>
          <w:lang w:val="en-US"/>
        </w:rPr>
        <w:t>组织机构设置，灵活设定组织关系，并可对组织进行启用、关闭等状态设置；</w:t>
      </w:r>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2.</w:t>
      </w:r>
      <w:r>
        <w:rPr>
          <w:rFonts w:hint="eastAsia" w:ascii="仿宋" w:hAnsi="仿宋" w:eastAsia="仿宋" w:cs="仿宋"/>
          <w:b/>
          <w:bCs/>
          <w:sz w:val="24"/>
          <w:szCs w:val="24"/>
        </w:rPr>
        <w:t>▲</w:t>
      </w:r>
      <w:r>
        <w:rPr>
          <w:rFonts w:hint="eastAsia" w:ascii="仿宋" w:hAnsi="仿宋" w:eastAsia="仿宋" w:cs="仿宋"/>
          <w:b/>
          <w:bCs/>
          <w:sz w:val="24"/>
          <w:szCs w:val="24"/>
          <w:lang w:val="en-US"/>
        </w:rPr>
        <w:t>登录设置：</w:t>
      </w:r>
      <w:r>
        <w:rPr>
          <w:rFonts w:hint="eastAsia" w:ascii="仿宋" w:hAnsi="仿宋" w:eastAsia="仿宋" w:cs="仿宋"/>
          <w:sz w:val="24"/>
          <w:szCs w:val="24"/>
          <w:lang w:val="en-US"/>
        </w:rPr>
        <w:t>实现IP绑定登陆，非指定IP不能登陆系统；</w:t>
      </w:r>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3.</w:t>
      </w:r>
      <w:r>
        <w:rPr>
          <w:rFonts w:hint="eastAsia" w:ascii="仿宋" w:hAnsi="仿宋" w:eastAsia="仿宋" w:cs="仿宋"/>
          <w:b/>
          <w:bCs/>
          <w:sz w:val="24"/>
          <w:szCs w:val="24"/>
        </w:rPr>
        <w:t>▲</w:t>
      </w:r>
      <w:r>
        <w:rPr>
          <w:rFonts w:hint="eastAsia" w:ascii="仿宋" w:hAnsi="仿宋" w:eastAsia="仿宋" w:cs="仿宋"/>
          <w:b/>
          <w:bCs/>
          <w:sz w:val="24"/>
          <w:szCs w:val="24"/>
          <w:lang w:val="en-US"/>
        </w:rPr>
        <w:t>系统配置：</w:t>
      </w:r>
      <w:r>
        <w:rPr>
          <w:rFonts w:hint="eastAsia" w:ascii="仿宋" w:hAnsi="仿宋" w:eastAsia="仿宋" w:cs="仿宋"/>
          <w:sz w:val="24"/>
          <w:szCs w:val="24"/>
          <w:lang w:val="en-US"/>
        </w:rPr>
        <w:t>实现各种类型的系统配置，包含：执行配置、表单配置、上传配置、页签配置、列表配置、流程配置、文件导入配置等；</w:t>
      </w:r>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4.</w:t>
      </w:r>
      <w:r>
        <w:rPr>
          <w:rFonts w:hint="eastAsia" w:ascii="仿宋" w:hAnsi="仿宋" w:eastAsia="仿宋" w:cs="仿宋"/>
          <w:b/>
          <w:bCs/>
          <w:sz w:val="24"/>
          <w:szCs w:val="24"/>
          <w:lang w:val="en-US"/>
        </w:rPr>
        <w:t>消息管理：</w:t>
      </w:r>
      <w:r>
        <w:rPr>
          <w:rFonts w:hint="eastAsia" w:ascii="仿宋" w:hAnsi="仿宋" w:eastAsia="仿宋" w:cs="仿宋"/>
          <w:sz w:val="24"/>
          <w:szCs w:val="24"/>
          <w:lang w:val="en-US"/>
        </w:rPr>
        <w:t>实现相关人员对消息进行催办，并显示消息状态、催办次数、催办时间等；</w:t>
      </w:r>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5.</w:t>
      </w:r>
      <w:r>
        <w:rPr>
          <w:rFonts w:hint="eastAsia" w:ascii="仿宋" w:hAnsi="仿宋" w:eastAsia="仿宋" w:cs="仿宋"/>
          <w:b/>
          <w:bCs/>
          <w:sz w:val="24"/>
          <w:szCs w:val="24"/>
          <w:lang w:val="en-US"/>
        </w:rPr>
        <w:t>基础数据管理</w:t>
      </w:r>
      <w:r>
        <w:rPr>
          <w:rFonts w:hint="eastAsia" w:ascii="仿宋" w:hAnsi="仿宋" w:eastAsia="仿宋" w:cs="仿宋"/>
          <w:sz w:val="24"/>
          <w:szCs w:val="24"/>
          <w:lang w:val="en-US"/>
        </w:rPr>
        <w:t>：包含：公共档案、会计信息、往来单位信息、人员信息、物资基础信息、资产基础信息、结算信息、项目信息等，并可对以上信息进行自定义设置；</w:t>
      </w:r>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6.</w:t>
      </w:r>
      <w:r>
        <w:rPr>
          <w:rFonts w:hint="eastAsia" w:ascii="仿宋" w:hAnsi="仿宋" w:eastAsia="仿宋" w:cs="仿宋"/>
          <w:b/>
          <w:bCs/>
          <w:sz w:val="24"/>
          <w:szCs w:val="24"/>
          <w:lang w:val="en-US"/>
        </w:rPr>
        <w:t>公告管理：</w:t>
      </w:r>
      <w:r>
        <w:rPr>
          <w:rFonts w:hint="eastAsia" w:ascii="仿宋" w:hAnsi="仿宋" w:eastAsia="仿宋" w:cs="仿宋"/>
          <w:sz w:val="24"/>
          <w:szCs w:val="24"/>
          <w:lang w:val="en-US"/>
        </w:rPr>
        <w:t>包含：公告标题、公告类型设置、发布状态、发布人、发布时间等；</w:t>
      </w:r>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7.</w:t>
      </w:r>
      <w:r>
        <w:rPr>
          <w:rFonts w:hint="eastAsia" w:ascii="仿宋" w:hAnsi="仿宋" w:eastAsia="仿宋" w:cs="仿宋"/>
          <w:b/>
          <w:bCs/>
          <w:sz w:val="24"/>
          <w:szCs w:val="24"/>
        </w:rPr>
        <w:t>▲</w:t>
      </w:r>
      <w:r>
        <w:rPr>
          <w:rFonts w:hint="eastAsia" w:ascii="仿宋" w:hAnsi="仿宋" w:eastAsia="仿宋" w:cs="仿宋"/>
          <w:b/>
          <w:bCs/>
          <w:sz w:val="24"/>
          <w:szCs w:val="24"/>
          <w:lang w:val="en-US"/>
        </w:rPr>
        <w:t>流程设计：</w:t>
      </w:r>
      <w:r>
        <w:rPr>
          <w:rFonts w:hint="eastAsia" w:ascii="仿宋" w:hAnsi="仿宋" w:eastAsia="仿宋" w:cs="仿宋"/>
          <w:sz w:val="24"/>
          <w:szCs w:val="24"/>
          <w:lang w:val="en-US"/>
        </w:rPr>
        <w:t>可通过在线工作流设计器实现医院、科室的业务流程的重组和灵活设计，实现包括工作流程、审批流程的自定义设计；</w:t>
      </w:r>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8.</w:t>
      </w:r>
      <w:r>
        <w:rPr>
          <w:rFonts w:hint="eastAsia" w:ascii="仿宋" w:hAnsi="仿宋" w:eastAsia="仿宋" w:cs="仿宋"/>
          <w:b/>
          <w:bCs/>
          <w:sz w:val="24"/>
          <w:szCs w:val="24"/>
          <w:lang w:val="en-US"/>
        </w:rPr>
        <w:t>日志管理：</w:t>
      </w:r>
      <w:r>
        <w:rPr>
          <w:rFonts w:hint="eastAsia" w:ascii="仿宋" w:hAnsi="仿宋" w:eastAsia="仿宋" w:cs="仿宋"/>
          <w:sz w:val="24"/>
          <w:szCs w:val="24"/>
          <w:lang w:val="en-US"/>
        </w:rPr>
        <w:t>实现系统日志的应用。</w:t>
      </w:r>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9.</w:t>
      </w:r>
      <w:r>
        <w:rPr>
          <w:rFonts w:hint="eastAsia" w:ascii="仿宋" w:hAnsi="仿宋" w:eastAsia="仿宋" w:cs="仿宋"/>
          <w:b/>
          <w:bCs/>
          <w:sz w:val="24"/>
          <w:szCs w:val="24"/>
          <w:lang w:val="en-US"/>
        </w:rPr>
        <w:t>报表平台：</w:t>
      </w:r>
      <w:r>
        <w:rPr>
          <w:rFonts w:hint="eastAsia" w:ascii="仿宋" w:hAnsi="仿宋" w:eastAsia="仿宋" w:cs="仿宋"/>
          <w:sz w:val="24"/>
          <w:szCs w:val="24"/>
          <w:lang w:val="en-US"/>
        </w:rPr>
        <w:t>可以实现医院、科室业务表单的灵活设计，实现包括表单、报表的自定义设计，可自定义高级查询。有极高定制性和扩展性，可根据用户需求量身定做。</w:t>
      </w:r>
    </w:p>
    <w:p>
      <w:pPr>
        <w:pStyle w:val="53"/>
        <w:numPr>
          <w:ilvl w:val="0"/>
          <w:numId w:val="0"/>
        </w:numPr>
        <w:spacing w:line="360" w:lineRule="auto"/>
        <w:ind w:left="420" w:leftChars="0" w:hanging="420" w:firstLineChars="0"/>
        <w:rPr>
          <w:rFonts w:hint="eastAsia" w:ascii="仿宋" w:hAnsi="仿宋" w:eastAsia="仿宋" w:cs="仿宋"/>
          <w:sz w:val="24"/>
          <w:szCs w:val="24"/>
          <w:lang w:val="en-US"/>
        </w:rPr>
      </w:pPr>
      <w:r>
        <w:rPr>
          <w:rFonts w:hint="default" w:ascii="仿宋" w:hAnsi="仿宋" w:eastAsia="仿宋" w:cs="仿宋"/>
          <w:b/>
          <w:bCs/>
          <w:kern w:val="2"/>
          <w:sz w:val="24"/>
          <w:szCs w:val="24"/>
          <w:lang w:val="en-US" w:eastAsia="zh-CN" w:bidi="ar-SA"/>
        </w:rPr>
        <w:t>10.</w:t>
      </w:r>
      <w:r>
        <w:rPr>
          <w:rFonts w:hint="eastAsia" w:ascii="仿宋" w:hAnsi="仿宋" w:eastAsia="仿宋" w:cs="仿宋"/>
          <w:b/>
          <w:bCs/>
          <w:sz w:val="24"/>
          <w:szCs w:val="24"/>
          <w:lang w:val="en-US"/>
        </w:rPr>
        <w:t>数据分析引擎：</w:t>
      </w:r>
      <w:r>
        <w:rPr>
          <w:rFonts w:hint="eastAsia" w:ascii="仿宋" w:hAnsi="仿宋" w:eastAsia="仿宋" w:cs="仿宋"/>
          <w:sz w:val="24"/>
          <w:szCs w:val="24"/>
          <w:lang w:val="en-US"/>
        </w:rPr>
        <w:t>数据可视化展示界面数据可钻取，可联动，数据中心接口开放可定制，数据更新间隔可定制，能根据服务器压力随意调整，节省数据库压力的同时兼顾数据稳定获取，可定时发送邮件，及时获取数据分析结果。实现分布式任务调度，减轻系统压力，提高系统可靠性。</w:t>
      </w:r>
    </w:p>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bookmarkStart w:id="80" w:name="_Toc28583"/>
      <w:bookmarkStart w:id="81" w:name="_Toc47711201"/>
      <w:r>
        <w:rPr>
          <w:rFonts w:hint="eastAsia" w:ascii="仿宋" w:hAnsi="仿宋" w:eastAsia="仿宋" w:cs="仿宋"/>
          <w:sz w:val="24"/>
          <w:szCs w:val="24"/>
        </w:rPr>
        <w:t>5.2 财务核算会计系统</w:t>
      </w:r>
      <w:bookmarkEnd w:id="80"/>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财务会计系统主要包含财务核算、出纳管理、往来管理、报表管理、自动凭证及总账接口等功能。系统须符合财政部《政府会计制度——行政事业单位会计科目和报表》（财会[2017]25号）文件的制度的科目、核算原则与报表要求。</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1.财务核算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财务核算用来记录医院发生的各种经济业务在账务上反映的全部内容；反映医院账务处理的全过程，从账务处理所需初始信息，到凭证录入、审核、记账，以及各种辅助核算账信息的输入和输出，包括部门核算、供应商核算、科研项目核算和往来核算等，产生各种会计账簿输出打印等内容。包括凭证制单、自动凭证、凭证审核、凭证记账、凭证打印、凭证模板、凭证统计等信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按照2019年政府会计制度的规范要求，实现平行记账。预置标准的财务会计科目和预算会计科目，实现在同一个凭证中处理财务凭证和预算凭证；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实现凭证处理过程中的财务预算差异校验、现金流量校验等。系统实现差异项智能指定，一键完成所有凭证差异项的自动指定，无需手工指定差异项，并自动生成符合新制度要求的差异项报表；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提供财务会计期末结转和预算会计的期末结转功能，实现自动期末结转；期末结转中的费用摊销和费用预提自动结转：通过设置费用摊销和费用预提凭证模板，自动生成费用摊销凭证和费用预提凭证；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预置现金流量项目，指定现金及现金等价物科目的现金流量项目；实现凭证录入时指定现金流量项目，同时实现现金流量拆分模板设置，系统可按模板规则自动指定；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具备备查账功能；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实现凭证查询时对明细账、总账、原始单据进行联查功能。提供查询账簿功能，并可查询包含未记账凭证的各种账表；实现财务多维度的辅助核算处理；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实现凭证制单：包含凭证页面、凭证保存、凭证打印、凭证删除、出纳签字、凭证审核、冲销、查询、删除、作废、恢复、复制；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可自定义多种凭证类型，并可对凭证打印模板进行自定义，实现凭证套打；</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实现对凭证及账表跨年度查询功能，同时可自定义账表的格式和可自定义查询条件；</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具备经济分类及功能分类的相关功能。凭证节点实现按一定规则分摊成本费用，凭证审核时，能够将填写审核批注；实现按制单人进行凭证整理。</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2.自动凭证及总账接口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可自定义财务凭证的入账规则，实现业务系统如固定资产管理系统、物资管理系统等业务数据自动生成财务凭证，并可通过凭证反查业务明细单据；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实现总账接口功能，实现财务核算系统与医院HIS系统的对接，自动获取医院的医疗各类收入、预交金等数据，稽核后并自动生成财务凭证。具体以招标方实际要求为准，包括基础数据和业务数据等。</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3.出纳管理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满足出纳管理的需要，包括出纳的全部工作内容：现金银行出纳流水账登记、现金银行日记账管理等日常工作处理；同时支持不同银行对账单导入的标准化静态接口。包括银行初始、日记账、出纳账登记等信息。支持银医直连，方便后期扩展。</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4.往来管理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往来管理包括应收管理系统和应付管理系统两部分内容；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实现应付单、预付款单的录入、供应商付款的处理、单据核销处理等功能，并提供应付及付款常用报表的查询分析等业务的全流程管理；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系统实现坏账计提功能，支持余额百分比法、账龄分析法、个别认定法等多种方法计提坏账；</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实现票到货未到、票货同到、货到票未到三种情况下的结算和核销，支持自动、手工逐笔或批量核销；</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能够与其他系统互联互通，可以通过各个系统业务信息自动生成应付款、预付款单据信息，也支持单据手工录入。并且能够实现与财务系统对接，自动生成凭证，实现业务与账务数据同步。</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5.报表管理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系统能自动出具政府会计制度要求的财务报表，包括资产负债表、收入费用表、净资产变动表、现金流量表等；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能够根据常用的报表取数公式，直接获取账务中的数据。取数公式满足新制度中要求的财务报表和预算会计报表的取数要求，可按医院要求进行个性化报表的自定义；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能按照财务会计科目体系和预算会计科目体系提供两套丰富的账册报表。</w:t>
      </w:r>
    </w:p>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bookmarkStart w:id="82" w:name="_Toc21174"/>
      <w:r>
        <w:rPr>
          <w:rFonts w:hint="eastAsia" w:ascii="仿宋" w:hAnsi="仿宋" w:eastAsia="仿宋" w:cs="仿宋"/>
          <w:sz w:val="24"/>
          <w:szCs w:val="24"/>
        </w:rPr>
        <w:t>5.3 固定资产管理系统</w:t>
      </w:r>
      <w:bookmarkEnd w:id="82"/>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满足《政府会计制度——行政事业单位会计科目和报表》改革相关文件对医院固定资产折旧方式，折旧年限等新要求。</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1、资产卡片</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提供基于卡片的固定资产管理模块，自动计提折旧；进行固定资产、无形资产管理，完成原始卡片录入、新增资产卡片录入、资产变动、资产评估、资产减值、计提折旧、资产减少、资产拆分、资产合并、资产调拨、资产盘点、账表查询、资产处置情况查询等功能，实现可按不同的关键词进行综合查询并实现Excel数据导出。</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可对多种资金来源形成的固定资产，进行单一资金来源或多种资金来源组合的分科室部门、分资产类别管理。</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系统实现根据多种资金来源比例登记固定资产原值、按比例分别计提固定资产折旧，确保不同资金来源的固定资产核算管理的清晰完整。</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实现按照不同资金来源登记资产原值信息，并能够按照资金的来源进行折旧，生成按照新制度要求的会计凭证，提高资产折旧效率。</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实现建立固定资产总账、资产二级明细账和资产台账及其资产卡片，实现资产的“三账一卡”管理。</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实现以资产卡片为中心的档案管理，能够实现资产卡片的自定义，根据不同资产的管理要求定义资产卡片模板。</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实现资产档案管理，系统实现资产的电子档案管理，包括资产图片与各种电子资料。</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实现对资产折旧按实际使用科室拆分计算的功能，保证折旧成本的准确，资产折旧、维修等财务信息与财务成本核算系统紧密集成，自动生成财务成本凭证。</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实现资产二维码的管理，实现资产编码和资产二维码关键字段的自定义，能够提供资产二维码按需设计、条码打印、扫码功能，根据实际情况进行设置。</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实现各级资产管理人员可按权限查询资产明细、使用状态和折旧情况。</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2、资产变动</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变动业务处理。资产变动业务应实现管理科室变动、使用科室变动、原值变动、累计折旧变动、资金来源变动、使用状态变动、资产类别变动、使用年限变动、数量变动、供应商变动、折旧方法变动等变动业务处理。</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系统实现由原值变动单、累计折旧变动单、资金来源变动单自动生成财务凭证。</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▲实现资产的拆分与合并业务处理。</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实现多种资产增加、内部调整、减少等变动的定义方式，并且这些变动完全与财务处理同步，保证资产的实际与资产的账面处理严格一致，明确资产的状态和责任人。</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3、资产减少</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实现资产的减少、回退、报废、盘亏等业务数据单据录入、审批、生效等。</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4、资产盘点</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定期出具盘点表，进行盘盈资产、差异资产录入。</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实现资产条码盘点，能根据盘点结果自动生成盘盈、盘亏单据。 </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实现资产按使用科室、按管理科室、按使用状态、按原值、按资金来源等多种方式进行盘点；</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实现资产条码盘点，支持资产的全程条码应用，包括出入库、调拨等业务场景。</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5、单位调动</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实现资产单位内部、或跨组织调拨调出，调入单位可协同调入。业务单据录入、审批、生效等。</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6、资产处置</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实现资产处置流程单据发起、审批、生效等。</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7、月末处理</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实现资产折旧计提以及折旧数据自动生成财务凭证，月末结转处理等业务处理。</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8、报表管理</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出具各类资产大类报表、明细报表、折旧汇总表、折旧明细表等，并可根据医院需要自定义报表。</w:t>
      </w:r>
    </w:p>
    <w:p>
      <w:pPr>
        <w:pStyle w:val="67"/>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9、实现各种固定资产按其对应收费项目、医疗收入、时间段等进行收入效益分析汇总统计，并生成报表和导出数据。</w:t>
      </w:r>
    </w:p>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bookmarkStart w:id="83" w:name="_Toc23026"/>
      <w:r>
        <w:rPr>
          <w:rFonts w:hint="eastAsia" w:ascii="仿宋" w:hAnsi="仿宋" w:eastAsia="仿宋" w:cs="仿宋"/>
          <w:sz w:val="24"/>
          <w:szCs w:val="24"/>
        </w:rPr>
        <w:t>5.4 全成本管理系统</w:t>
      </w:r>
      <w:bookmarkEnd w:id="83"/>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全成本核算是将医院业务活动中所发生的各种耗费以科室为核算对象进行归集和分配，采用四类三级分摊方法，计算出科室成本的过程，从而实现院级成本核算、科室成本核算、床日成本核算、诊次成本核算，帮助医院实现全院和科室的相关收入、费用、效益等数据的相关的展现及分析。通过医院各核算单元成本构成分析找到成本控制点。提高全员成本控制意识，提升医院的社会效益和经济效益。</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1.基础数据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参数设置：</w:t>
      </w:r>
      <w:r>
        <w:rPr>
          <w:rFonts w:hint="eastAsia" w:ascii="仿宋" w:hAnsi="仿宋" w:eastAsia="仿宋" w:cs="仿宋"/>
          <w:bCs/>
          <w:sz w:val="24"/>
          <w:szCs w:val="24"/>
        </w:rPr>
        <w:t>实现</w:t>
      </w:r>
      <w:r>
        <w:rPr>
          <w:rFonts w:hint="eastAsia" w:ascii="仿宋" w:hAnsi="仿宋" w:eastAsia="仿宋" w:cs="仿宋"/>
          <w:sz w:val="24"/>
          <w:szCs w:val="24"/>
        </w:rPr>
        <w:t>灵活设置各类成本分摊参数。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基础信息：</w:t>
      </w:r>
      <w:r>
        <w:rPr>
          <w:rFonts w:hint="eastAsia" w:ascii="仿宋" w:hAnsi="仿宋" w:eastAsia="仿宋" w:cs="仿宋"/>
          <w:bCs/>
          <w:sz w:val="24"/>
          <w:szCs w:val="24"/>
        </w:rPr>
        <w:t>实现</w:t>
      </w:r>
      <w:r>
        <w:rPr>
          <w:rFonts w:hint="eastAsia" w:ascii="仿宋" w:hAnsi="仿宋" w:eastAsia="仿宋" w:cs="仿宋"/>
          <w:sz w:val="24"/>
          <w:szCs w:val="24"/>
        </w:rPr>
        <w:t>对医院各核算单元的明细数据进行维护，包含收入数据、人力成本、物资成本、药品成本、固定资产折旧、风险基金、内部服务量、工作量等，提供数据的记录、查询、修改、添加、删除等功能；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科室成本“费用要素”可与成本项目关联匹配。</w:t>
      </w:r>
      <w:r>
        <w:rPr>
          <w:rFonts w:hint="eastAsia" w:ascii="仿宋" w:hAnsi="仿宋" w:eastAsia="仿宋" w:cs="仿宋"/>
          <w:bCs/>
          <w:sz w:val="24"/>
          <w:szCs w:val="24"/>
        </w:rPr>
        <w:t>实现</w:t>
      </w:r>
      <w:r>
        <w:rPr>
          <w:rFonts w:hint="eastAsia" w:ascii="仿宋" w:hAnsi="仿宋" w:eastAsia="仿宋" w:cs="仿宋"/>
          <w:sz w:val="24"/>
          <w:szCs w:val="24"/>
        </w:rPr>
        <w:t>医院以不同的维度对成本项目数据进行汇总统计。</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Cs/>
          <w:sz w:val="24"/>
          <w:szCs w:val="24"/>
        </w:rPr>
        <w:t>实现</w:t>
      </w:r>
      <w:r>
        <w:rPr>
          <w:rFonts w:hint="eastAsia" w:ascii="仿宋" w:hAnsi="仿宋" w:eastAsia="仿宋" w:cs="仿宋"/>
          <w:sz w:val="24"/>
          <w:szCs w:val="24"/>
        </w:rPr>
        <w:t>总账驱动成本，业务驱动成本两种模式；</w:t>
      </w:r>
      <w:r>
        <w:rPr>
          <w:rFonts w:hint="eastAsia" w:ascii="仿宋" w:hAnsi="仿宋" w:eastAsia="仿宋" w:cs="仿宋"/>
          <w:bCs/>
          <w:sz w:val="24"/>
          <w:szCs w:val="24"/>
        </w:rPr>
        <w:t>实现</w:t>
      </w:r>
      <w:r>
        <w:rPr>
          <w:rFonts w:hint="eastAsia" w:ascii="仿宋" w:hAnsi="仿宋" w:eastAsia="仿宋" w:cs="仿宋"/>
          <w:sz w:val="24"/>
          <w:szCs w:val="24"/>
        </w:rPr>
        <w:t>收入、成本明细数据与总账数据核对校验。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分摊关系设置：设置会计科目、科室部门、工资项目、物资分类、药品分类、资产分类、资产分类、职称与专业技术关系、资金来源与资金构成关系等分摊关系明细设置。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自定义核算科室（责任中心）分类，满足各类成本在不同级次的科室间进行分项、逐级、分步自动的分摊临床科室、医疗小组、病种（DRG分组）及医疗项目等。</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2.收入数据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对医疗收入数据和其它收入的数据进行维护，包括增加、修改、删除、归集、查询等各种功能，并提供收入数据的统计汇总；支持医疗收入数据分别按照收费明细、收费分类分别采集并汇总并与总账收入进行核对校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工作量数据：</w:t>
      </w:r>
      <w:r>
        <w:rPr>
          <w:rFonts w:hint="eastAsia" w:ascii="仿宋" w:hAnsi="仿宋" w:eastAsia="仿宋" w:cs="仿宋"/>
          <w:bCs/>
          <w:sz w:val="24"/>
          <w:szCs w:val="24"/>
        </w:rPr>
        <w:t>实现</w:t>
      </w:r>
      <w:r>
        <w:rPr>
          <w:rFonts w:hint="eastAsia" w:ascii="仿宋" w:hAnsi="仿宋" w:eastAsia="仿宋" w:cs="仿宋"/>
          <w:sz w:val="24"/>
          <w:szCs w:val="24"/>
        </w:rPr>
        <w:t>对门诊工作量、住院工作量、医技工作量、内部服务工作量进行维护，包括增加、修改、删除、查询等。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从HIS、财务核算等系统获取医院的医疗收入数据、财政科教收入数据、其他收入等数据，具体以招标方实际要求为准。</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3.成本数据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自动从财务核算系统、HRP相关业务系统、HIS等第三方系统接口获取人力成本、物资成本、药品成本、资产成本、风险基金、其他成本的相关基础数据、业务数据等；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业务明细数据、成本归集后按照拆分规则进行批量拆分、反拆分；人力成本、大用户成本可以直接生成总账凭证以及凭证联查，保障总账与成本数据一致性。</w:t>
      </w:r>
    </w:p>
    <w:p>
      <w:pPr>
        <w:pStyle w:val="2"/>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4.分摊设置</w:t>
      </w:r>
    </w:p>
    <w:p>
      <w:pPr>
        <w:spacing w:line="360" w:lineRule="auto"/>
        <w:ind w:firstLine="480" w:firstLineChars="200"/>
        <w:rPr>
          <w:rFonts w:hint="eastAsia" w:ascii="仿宋" w:hAnsi="仿宋" w:eastAsia="仿宋" w:cs="仿宋"/>
          <w:strike/>
          <w:sz w:val="24"/>
          <w:szCs w:val="24"/>
        </w:rPr>
      </w:pPr>
      <w:r>
        <w:rPr>
          <w:rFonts w:hint="eastAsia" w:ascii="仿宋" w:hAnsi="仿宋" w:eastAsia="仿宋" w:cs="仿宋"/>
          <w:sz w:val="24"/>
          <w:szCs w:val="24"/>
        </w:rPr>
        <w:t>自定义成本分摊级次及分摊流程，可按照科室分类定义分摊顺序，也可按照单独或指定的核算单元提取数据源并分摊到指定的科室或科室类别上。新增核算科室进行分摊定向关系设置时能够实现单科室批量设置。自定义各类成本项目在不同级次的分摊参数（收支配比、收入比例、执行收入比例、工作量、服务量、人员、面积等），支持某一科室不同成本项目采用不同参数进行分摊，</w:t>
      </w:r>
      <w:r>
        <w:rPr>
          <w:rFonts w:hint="eastAsia" w:ascii="仿宋" w:hAnsi="仿宋" w:eastAsia="仿宋" w:cs="仿宋"/>
          <w:bCs/>
          <w:sz w:val="24"/>
          <w:szCs w:val="24"/>
        </w:rPr>
        <w:t>实现</w:t>
      </w:r>
      <w:r>
        <w:rPr>
          <w:rFonts w:hint="eastAsia" w:ascii="仿宋" w:hAnsi="仿宋" w:eastAsia="仿宋" w:cs="仿宋"/>
          <w:sz w:val="24"/>
          <w:szCs w:val="24"/>
        </w:rPr>
        <w:t>同一成本项目在不同级次上采用不同参数进行分摊。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系统</w:t>
      </w:r>
      <w:r>
        <w:rPr>
          <w:rFonts w:hint="eastAsia" w:ascii="仿宋" w:hAnsi="仿宋" w:eastAsia="仿宋" w:cs="仿宋"/>
          <w:bCs/>
          <w:sz w:val="24"/>
          <w:szCs w:val="24"/>
        </w:rPr>
        <w:t>实现</w:t>
      </w:r>
      <w:r>
        <w:rPr>
          <w:rFonts w:hint="eastAsia" w:ascii="仿宋" w:hAnsi="仿宋" w:eastAsia="仿宋" w:cs="仿宋"/>
          <w:sz w:val="24"/>
          <w:szCs w:val="24"/>
        </w:rPr>
        <w:t>医辅类科室按照门诊医辅、住院医辅分摊。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w:t>
      </w:r>
      <w:r>
        <w:rPr>
          <w:rFonts w:hint="eastAsia" w:ascii="仿宋" w:hAnsi="仿宋" w:eastAsia="仿宋" w:cs="仿宋"/>
          <w:bCs/>
          <w:sz w:val="24"/>
          <w:szCs w:val="24"/>
        </w:rPr>
        <w:t>实现</w:t>
      </w:r>
      <w:r>
        <w:rPr>
          <w:rFonts w:hint="eastAsia" w:ascii="仿宋" w:hAnsi="仿宋" w:eastAsia="仿宋" w:cs="仿宋"/>
          <w:sz w:val="24"/>
          <w:szCs w:val="24"/>
        </w:rPr>
        <w:t>多院区（全院分摊、院内分摊）成本分摊。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w:t>
      </w:r>
      <w:r>
        <w:rPr>
          <w:rFonts w:hint="eastAsia" w:ascii="仿宋" w:hAnsi="仿宋" w:eastAsia="仿宋" w:cs="仿宋"/>
          <w:bCs/>
          <w:sz w:val="24"/>
          <w:szCs w:val="24"/>
        </w:rPr>
        <w:t>实现</w:t>
      </w:r>
      <w:r>
        <w:rPr>
          <w:rFonts w:hint="eastAsia" w:ascii="仿宋" w:hAnsi="仿宋" w:eastAsia="仿宋" w:cs="仿宋"/>
          <w:sz w:val="24"/>
          <w:szCs w:val="24"/>
        </w:rPr>
        <w:t>对非临床科室的开单收入按自定义的参数分摊到临床科室。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采用四类三级分摊方法，将医院科室分为行政管理能类、医疗辅助医疗类、医疗技术类、临床服务类，并通过对各级分摊的方法设定，分别将全院的各项成本分项逐级分步骤的分摊到直接医疗科室，同时支持按照总额分摊与成本项目分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同级科室或向下级科室定向分摊；</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Cs/>
          <w:sz w:val="24"/>
          <w:szCs w:val="24"/>
        </w:rPr>
        <w:t>实现</w:t>
      </w:r>
      <w:r>
        <w:rPr>
          <w:rFonts w:hint="eastAsia" w:ascii="仿宋" w:hAnsi="仿宋" w:eastAsia="仿宋" w:cs="仿宋"/>
          <w:sz w:val="24"/>
          <w:szCs w:val="24"/>
        </w:rPr>
        <w:t>分摊计算前校验检查；</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Cs/>
          <w:sz w:val="24"/>
          <w:szCs w:val="24"/>
        </w:rPr>
        <w:t>实现</w:t>
      </w:r>
      <w:r>
        <w:rPr>
          <w:rFonts w:hint="eastAsia" w:ascii="仿宋" w:hAnsi="仿宋" w:eastAsia="仿宋" w:cs="仿宋"/>
          <w:sz w:val="24"/>
          <w:szCs w:val="24"/>
        </w:rPr>
        <w:t>对“水、电、气费”等大用户科室，应遵循重要性原则，能够直接计量到相应的核算责任中心的，按照实际发生数，据实核算成本；无法单独计量的，以人员、面积或床位比例作为参数向全院分摊；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标准四类科室分摊模型支持自由化话灵活配置，满足医院对科室不同级次多级分摊要求。</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5.成本计算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w:t>
      </w:r>
      <w:r>
        <w:rPr>
          <w:rFonts w:hint="eastAsia" w:ascii="仿宋" w:hAnsi="仿宋" w:eastAsia="仿宋" w:cs="仿宋"/>
          <w:bCs/>
          <w:sz w:val="24"/>
          <w:szCs w:val="24"/>
        </w:rPr>
        <w:t>实现</w:t>
      </w:r>
      <w:r>
        <w:rPr>
          <w:rFonts w:hint="eastAsia" w:ascii="仿宋" w:hAnsi="仿宋" w:eastAsia="仿宋" w:cs="仿宋"/>
          <w:sz w:val="24"/>
          <w:szCs w:val="24"/>
        </w:rPr>
        <w:t>对成本数据分摊前校验与分摊后结果校验，保证成本数据都可以全部分摊至临床科室。对分摊后的数据进行逻辑性检查，系统自动校验判断分摊结果是否平衡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对分摊结果计算对数检查，快速精准定位未分摊数据。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科室成本数据月结、反月结操作、查询功能。</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6.科室报表分析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能够满足医院目前“收入分析”、“成本分析”、“效益分析”等分析内容；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能分析到每一级核算单元在分摊过程中的直接成本与间接成本数据；</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Cs/>
          <w:sz w:val="24"/>
          <w:szCs w:val="24"/>
        </w:rPr>
        <w:t>实现</w:t>
      </w:r>
      <w:r>
        <w:rPr>
          <w:rFonts w:hint="eastAsia" w:ascii="仿宋" w:hAnsi="仿宋" w:eastAsia="仿宋" w:cs="仿宋"/>
          <w:sz w:val="24"/>
          <w:szCs w:val="24"/>
        </w:rPr>
        <w:t>能够反映（门诊、住院各科室）成本的构成情况，并按成本项目明细列示，揭示各项目对各科室医疗成本的影响程度以及控制成本的目标，指导科室及诊疗组、护理组解决成本中的问题；</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分析能够从不同属性、不同角度为成本控制、应用提供实际成本的成本额和成本率：如固定成本/变动成本、直接成本/间接成本、人力成本/材料成本/药品成本/其他成本；</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实现床日成本及诊次成本的核算；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系统必须具备灵活的自定义报表功能，满足医院未来扩展报表的要求。</w:t>
      </w:r>
    </w:p>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bookmarkStart w:id="84" w:name="_Toc31985"/>
      <w:r>
        <w:rPr>
          <w:rFonts w:hint="eastAsia" w:ascii="仿宋" w:hAnsi="仿宋" w:eastAsia="仿宋" w:cs="仿宋"/>
          <w:sz w:val="24"/>
          <w:szCs w:val="24"/>
        </w:rPr>
        <w:t>5.5 物资管理系统</w:t>
      </w:r>
      <w:bookmarkEnd w:id="84"/>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对医院的物资进行统一管理，实现从采购申请--采购订单--采购入库--科室申领--物资出库--成本归集--采购结算业务全流程管理。</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1、基础设置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物资档案拥有耗材的基本信息如规格型号，品牌，是否高值，是否收费，是否资产，是否条码管理，是否批次管理等属性，以及全院唯一的物资编码确保一物一码，</w:t>
      </w:r>
      <w:r>
        <w:rPr>
          <w:rFonts w:hint="eastAsia" w:ascii="仿宋" w:hAnsi="仿宋" w:eastAsia="仿宋" w:cs="仿宋"/>
          <w:bCs/>
          <w:sz w:val="24"/>
          <w:szCs w:val="24"/>
        </w:rPr>
        <w:t>实现</w:t>
      </w:r>
      <w:r>
        <w:rPr>
          <w:rFonts w:hint="eastAsia" w:ascii="仿宋" w:hAnsi="仿宋" w:eastAsia="仿宋" w:cs="仿宋"/>
          <w:sz w:val="24"/>
          <w:szCs w:val="24"/>
        </w:rPr>
        <w:t>自定义物资属性；</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物资分类</w:t>
      </w:r>
      <w:r>
        <w:rPr>
          <w:rFonts w:hint="eastAsia" w:ascii="仿宋" w:hAnsi="仿宋" w:eastAsia="仿宋" w:cs="仿宋"/>
          <w:bCs/>
          <w:sz w:val="24"/>
          <w:szCs w:val="24"/>
        </w:rPr>
        <w:t>实现</w:t>
      </w:r>
      <w:r>
        <w:rPr>
          <w:rFonts w:hint="eastAsia" w:ascii="仿宋" w:hAnsi="仿宋" w:eastAsia="仿宋" w:cs="仿宋"/>
          <w:sz w:val="24"/>
          <w:szCs w:val="24"/>
        </w:rPr>
        <w:t>多维度的分类管理，例如管理维度，价值维度等。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不同的物资分类设计不同的管理流程和管理权限。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物资档案</w:t>
      </w:r>
      <w:r>
        <w:rPr>
          <w:rFonts w:hint="eastAsia" w:ascii="仿宋" w:hAnsi="仿宋" w:eastAsia="仿宋" w:cs="仿宋"/>
          <w:bCs/>
          <w:sz w:val="24"/>
          <w:szCs w:val="24"/>
        </w:rPr>
        <w:t>实现</w:t>
      </w:r>
      <w:r>
        <w:rPr>
          <w:rFonts w:hint="eastAsia" w:ascii="仿宋" w:hAnsi="仿宋" w:eastAsia="仿宋" w:cs="仿宋"/>
          <w:sz w:val="24"/>
          <w:szCs w:val="24"/>
        </w:rPr>
        <w:t>与医保档案、HIS收费项目档案建立对应关系。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针对医疗耗材资质提供了资质的类型、编码、名称以及多版本的保存，实现物资资质随时封存，启用和更新。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部门和仓库建立对应关系，或与外部系统对接时通过部门与部门对照，部门与仓库对照转换为外部系统与HRP仓库关联关系。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物料在仓库中的安全库存、最高库存和订货量等库存模型。按照库存计划生成需求申请单或者请购单，进行采购流程。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针对不同性质的物资建立不同的业务流程，实现全程闭环管理。</w:t>
      </w:r>
    </w:p>
    <w:p>
      <w:pPr>
        <w:pStyle w:val="53"/>
        <w:numPr>
          <w:ilvl w:val="0"/>
          <w:numId w:val="6"/>
        </w:numPr>
        <w:spacing w:line="360" w:lineRule="auto"/>
        <w:ind w:firstLineChars="0"/>
        <w:rPr>
          <w:rFonts w:hint="eastAsia" w:ascii="仿宋" w:hAnsi="仿宋" w:eastAsia="仿宋" w:cs="仿宋"/>
          <w:b/>
          <w:bCs/>
          <w:sz w:val="24"/>
          <w:szCs w:val="24"/>
        </w:rPr>
      </w:pPr>
      <w:r>
        <w:rPr>
          <w:rFonts w:hint="eastAsia" w:ascii="仿宋" w:hAnsi="仿宋" w:eastAsia="仿宋" w:cs="仿宋"/>
          <w:b/>
          <w:bCs/>
          <w:sz w:val="24"/>
          <w:szCs w:val="24"/>
        </w:rPr>
        <w:t>条码管理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提供条码打印程序，</w:t>
      </w:r>
      <w:r>
        <w:rPr>
          <w:rFonts w:hint="eastAsia" w:ascii="仿宋" w:hAnsi="仿宋" w:eastAsia="仿宋" w:cs="仿宋"/>
          <w:bCs/>
          <w:sz w:val="24"/>
          <w:szCs w:val="24"/>
        </w:rPr>
        <w:t>实现</w:t>
      </w:r>
      <w:r>
        <w:rPr>
          <w:rFonts w:hint="eastAsia" w:ascii="仿宋" w:hAnsi="仿宋" w:eastAsia="仿宋" w:cs="仿宋"/>
          <w:sz w:val="24"/>
          <w:szCs w:val="24"/>
        </w:rPr>
        <w:t>条码标签的内容、大小、条码码制的自定义；物资条码的内容设计</w:t>
      </w:r>
      <w:r>
        <w:rPr>
          <w:rFonts w:hint="eastAsia" w:ascii="仿宋" w:hAnsi="仿宋" w:eastAsia="仿宋" w:cs="仿宋"/>
          <w:bCs/>
          <w:sz w:val="24"/>
          <w:szCs w:val="24"/>
        </w:rPr>
        <w:t>实现</w:t>
      </w:r>
      <w:r>
        <w:rPr>
          <w:rFonts w:hint="eastAsia" w:ascii="仿宋" w:hAnsi="仿宋" w:eastAsia="仿宋" w:cs="仿宋"/>
          <w:sz w:val="24"/>
          <w:szCs w:val="24"/>
        </w:rPr>
        <w:t>物资编码、物资批次、高值耗材序列号等；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维护条码规则，按照单据类型设置，可以配置物资的主条码和唯一码的条码规则。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自动生成每一个高值耗材的唯一条码。</w:t>
      </w:r>
      <w:r>
        <w:rPr>
          <w:rFonts w:hint="eastAsia" w:ascii="仿宋" w:hAnsi="仿宋" w:eastAsia="仿宋" w:cs="仿宋"/>
          <w:bCs/>
          <w:sz w:val="24"/>
          <w:szCs w:val="24"/>
        </w:rPr>
        <w:t>实现</w:t>
      </w:r>
      <w:r>
        <w:rPr>
          <w:rFonts w:hint="eastAsia" w:ascii="仿宋" w:hAnsi="仿宋" w:eastAsia="仿宋" w:cs="仿宋"/>
          <w:sz w:val="24"/>
          <w:szCs w:val="24"/>
        </w:rPr>
        <w:t>条码逐条打印，或批量打印。</w:t>
      </w:r>
    </w:p>
    <w:p>
      <w:pPr>
        <w:pStyle w:val="53"/>
        <w:numPr>
          <w:ilvl w:val="0"/>
          <w:numId w:val="6"/>
        </w:numPr>
        <w:spacing w:line="360" w:lineRule="auto"/>
        <w:ind w:firstLineChars="0"/>
        <w:rPr>
          <w:rFonts w:hint="eastAsia" w:ascii="仿宋" w:hAnsi="仿宋" w:eastAsia="仿宋" w:cs="仿宋"/>
          <w:b/>
          <w:bCs/>
          <w:sz w:val="24"/>
          <w:szCs w:val="24"/>
        </w:rPr>
      </w:pPr>
      <w:r>
        <w:rPr>
          <w:rFonts w:hint="eastAsia" w:ascii="仿宋" w:hAnsi="仿宋" w:eastAsia="仿宋" w:cs="仿宋"/>
          <w:b/>
          <w:bCs/>
          <w:sz w:val="24"/>
          <w:szCs w:val="24"/>
        </w:rPr>
        <w:t>物资管理基础数据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供应商基础档案维护，包括：往来单位分类、往来单位档案、资质证件等；实现资质证件基础信息维护和管理，资质图片上传，资质效期预警等功能；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维护供应商物资的关系，记录供应商与物资的价格信息，是采购管理取价规则的重要信息。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提供物资档案建立耗材的基本信息。如：规格、型号、品牌、是否高值、是否收费、是否条码管理、是否批次管理等属性。</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▲物资套餐设置：提供将不同数量的物料组合成一个套餐，在选择物料时选择套餐可带出物料明细进行便捷操作，可以实现医院耗材整包申领、整包收费、耗材整包预留。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资质类型设定：提供维护物资资质类型和往来单位资质类型，选择资质类型，系统会预置资质类型。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物资资质：系统需提供维护物资资质明细，如：注册证号、证件名称、生效日期、失效日期、备注等。可与供应商平台的资质管理的资质信息数据同步。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多级库房的应用。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主计量单位和辅计量单位的应用，</w:t>
      </w:r>
      <w:r>
        <w:rPr>
          <w:rFonts w:hint="eastAsia" w:ascii="仿宋" w:hAnsi="仿宋" w:eastAsia="仿宋" w:cs="仿宋"/>
          <w:bCs/>
          <w:sz w:val="24"/>
          <w:szCs w:val="24"/>
        </w:rPr>
        <w:t>实现</w:t>
      </w:r>
      <w:r>
        <w:rPr>
          <w:rFonts w:hint="eastAsia" w:ascii="仿宋" w:hAnsi="仿宋" w:eastAsia="仿宋" w:cs="仿宋"/>
          <w:sz w:val="24"/>
          <w:szCs w:val="24"/>
        </w:rPr>
        <w:t xml:space="preserve">多计量单位的国家标准预置。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kern w:val="0"/>
          <w:sz w:val="24"/>
          <w:szCs w:val="24"/>
        </w:rPr>
        <w:t>▲</w:t>
      </w:r>
      <w:r>
        <w:rPr>
          <w:rFonts w:hint="eastAsia" w:ascii="仿宋" w:hAnsi="仿宋" w:eastAsia="仿宋" w:cs="仿宋"/>
          <w:sz w:val="24"/>
          <w:szCs w:val="24"/>
        </w:rPr>
        <w:t>预警管理：</w:t>
      </w:r>
      <w:r>
        <w:rPr>
          <w:rFonts w:hint="eastAsia" w:ascii="仿宋" w:hAnsi="仿宋" w:eastAsia="仿宋" w:cs="仿宋"/>
          <w:bCs/>
          <w:sz w:val="24"/>
          <w:szCs w:val="24"/>
        </w:rPr>
        <w:t>实现</w:t>
      </w:r>
      <w:r>
        <w:rPr>
          <w:rFonts w:hint="eastAsia" w:ascii="仿宋" w:hAnsi="仿宋" w:eastAsia="仿宋" w:cs="仿宋"/>
          <w:sz w:val="24"/>
          <w:szCs w:val="24"/>
        </w:rPr>
        <w:t>物资资质有效期提示预警功能；</w:t>
      </w:r>
      <w:r>
        <w:rPr>
          <w:rFonts w:hint="eastAsia" w:ascii="仿宋" w:hAnsi="仿宋" w:eastAsia="仿宋" w:cs="仿宋"/>
          <w:bCs/>
          <w:sz w:val="24"/>
          <w:szCs w:val="24"/>
        </w:rPr>
        <w:t>实现</w:t>
      </w:r>
      <w:r>
        <w:rPr>
          <w:rFonts w:hint="eastAsia" w:ascii="仿宋" w:hAnsi="仿宋" w:eastAsia="仿宋" w:cs="仿宋"/>
          <w:sz w:val="24"/>
          <w:szCs w:val="24"/>
        </w:rPr>
        <w:t>物资库存量安全数量预警，耗材有效期预警，供应商资质效期预警，超出预警条件自动将预警信息推送到登录界面或微信端；</w:t>
      </w:r>
    </w:p>
    <w:p>
      <w:pPr>
        <w:pStyle w:val="53"/>
        <w:numPr>
          <w:ilvl w:val="0"/>
          <w:numId w:val="6"/>
        </w:numPr>
        <w:spacing w:line="360" w:lineRule="auto"/>
        <w:ind w:firstLineChars="0"/>
        <w:rPr>
          <w:rFonts w:hint="eastAsia" w:ascii="仿宋" w:hAnsi="仿宋" w:eastAsia="仿宋" w:cs="仿宋"/>
          <w:b/>
          <w:bCs/>
          <w:sz w:val="24"/>
          <w:szCs w:val="24"/>
        </w:rPr>
      </w:pPr>
      <w:r>
        <w:rPr>
          <w:rFonts w:hint="eastAsia" w:ascii="仿宋" w:hAnsi="仿宋" w:eastAsia="仿宋" w:cs="仿宋"/>
          <w:b/>
          <w:bCs/>
          <w:sz w:val="24"/>
          <w:szCs w:val="24"/>
        </w:rPr>
        <w:t>准入管理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Cs/>
          <w:sz w:val="24"/>
          <w:szCs w:val="24"/>
        </w:rPr>
        <w:t>实现</w:t>
      </w:r>
      <w:r>
        <w:rPr>
          <w:rFonts w:hint="eastAsia" w:ascii="仿宋" w:hAnsi="仿宋" w:eastAsia="仿宋" w:cs="仿宋"/>
          <w:sz w:val="24"/>
          <w:szCs w:val="24"/>
        </w:rPr>
        <w:t>新供应商准入申请和新物资准入申请管理，对新供应商所有资质信息进行审查，及院内对新增物资准入进行多级部门审核。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提供因停产或代理变更等某些原因，医院对已上架使用的物资发出的停用需求申请，并</w:t>
      </w:r>
      <w:r>
        <w:rPr>
          <w:rFonts w:hint="eastAsia" w:ascii="仿宋" w:hAnsi="仿宋" w:eastAsia="仿宋" w:cs="仿宋"/>
          <w:bCs/>
          <w:sz w:val="24"/>
          <w:szCs w:val="24"/>
        </w:rPr>
        <w:t>实现</w:t>
      </w:r>
      <w:r>
        <w:rPr>
          <w:rFonts w:hint="eastAsia" w:ascii="仿宋" w:hAnsi="仿宋" w:eastAsia="仿宋" w:cs="仿宋"/>
          <w:sz w:val="24"/>
          <w:szCs w:val="24"/>
        </w:rPr>
        <w:t>相关事项的审批。</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2、采购管理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提供价格审批单功能，可对价格变更进行维护、审批。并对现存的物资价格进行自动追溯调整。</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采购价目表的功能，可对物资的采购价格进行生效及失效日期管理；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物资请购功能，能够在线提出物资请购需求，并由相关负责人进行审批；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采购计划功能，帮助采购部门制定计划，审批计划，并根据业务的进展对计划进行调整；</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kern w:val="0"/>
          <w:sz w:val="24"/>
          <w:szCs w:val="24"/>
        </w:rPr>
        <w:t>▲</w:t>
      </w:r>
      <w:r>
        <w:rPr>
          <w:rFonts w:hint="eastAsia" w:ascii="仿宋" w:hAnsi="仿宋" w:eastAsia="仿宋" w:cs="仿宋"/>
          <w:bCs/>
          <w:sz w:val="24"/>
          <w:szCs w:val="24"/>
        </w:rPr>
        <w:t>实现</w:t>
      </w:r>
      <w:r>
        <w:rPr>
          <w:rFonts w:hint="eastAsia" w:ascii="仿宋" w:hAnsi="仿宋" w:eastAsia="仿宋" w:cs="仿宋"/>
          <w:sz w:val="24"/>
          <w:szCs w:val="24"/>
        </w:rPr>
        <w:t>采购需求量自动计算功能，能够根据库存量、消耗情况、最大库存、最小库存、安全库存、订购批量、订货周期等因子自动生成采购计划量，实现最优化的采购管理；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采购订单功能，对采购计划和采购申请进行执行，采购订单到货情况可以随时追踪；</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物资采购入库功能，根据供应商资质、物资注册证有效期、最大库存情况进行自动预警，提高采购物资的质量；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kern w:val="0"/>
          <w:sz w:val="24"/>
          <w:szCs w:val="24"/>
        </w:rPr>
        <w:t>▲</w:t>
      </w:r>
      <w:r>
        <w:rPr>
          <w:rFonts w:hint="eastAsia" w:ascii="仿宋" w:hAnsi="仿宋" w:eastAsia="仿宋" w:cs="仿宋"/>
          <w:bCs/>
          <w:sz w:val="24"/>
          <w:szCs w:val="24"/>
        </w:rPr>
        <w:t>实现</w:t>
      </w:r>
      <w:r>
        <w:rPr>
          <w:rFonts w:hint="eastAsia" w:ascii="仿宋" w:hAnsi="仿宋" w:eastAsia="仿宋" w:cs="仿宋"/>
          <w:sz w:val="24"/>
          <w:szCs w:val="24"/>
        </w:rPr>
        <w:t>采购发票管理功能，能够进行票货同到、货到票未到、票到货未到多种情况的管理，货到票未到情况支持暂估入库，一张发票可以核销多张采购单、一张采购单也可以对应核销多张发票；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可以在系统维护采购价格并设定采购价格的有效期间，后续入库存将以价格维护表上的数据作为出入库价格自动带出。当出现物资价格变动时，需要作价格变动审批单，并由相关领导进行审批。</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3、库存管理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批次管理功能，能够进行批次规则定义，区分不同批次的物资属性，实现精细化物资出库控制；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快捷出库功能，可以在入库单上直接点击出库按钮，一键出库提高库存管理效率；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采购入库、自制入库、其他入库、盘盈入库等多种入库管理模式，适应医院实际库存业务情况；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领用出库、其他出库、盘亏出库等多种出库管理模式，适应医院实际库存业务情况；</w:t>
      </w:r>
    </w:p>
    <w:p>
      <w:pPr>
        <w:spacing w:line="360" w:lineRule="auto"/>
        <w:ind w:firstLine="480" w:firstLineChars="200"/>
        <w:rPr>
          <w:rFonts w:hint="eastAsia" w:ascii="仿宋" w:hAnsi="仿宋" w:eastAsia="仿宋" w:cs="仿宋"/>
          <w:sz w:val="24"/>
          <w:szCs w:val="24"/>
          <w:highlight w:val="red"/>
        </w:rPr>
      </w:pPr>
      <w:r>
        <w:rPr>
          <w:rFonts w:hint="eastAsia" w:ascii="仿宋" w:hAnsi="仿宋" w:eastAsia="仿宋" w:cs="仿宋"/>
          <w:bCs/>
          <w:sz w:val="24"/>
          <w:szCs w:val="24"/>
        </w:rPr>
        <w:t>实现</w:t>
      </w:r>
      <w:r>
        <w:rPr>
          <w:rFonts w:hint="eastAsia" w:ascii="仿宋" w:hAnsi="仿宋" w:eastAsia="仿宋" w:cs="仿宋"/>
          <w:sz w:val="24"/>
          <w:szCs w:val="24"/>
        </w:rPr>
        <w:t>对物资进行分类细化管理，</w:t>
      </w:r>
      <w:r>
        <w:rPr>
          <w:rFonts w:hint="eastAsia" w:ascii="仿宋" w:hAnsi="仿宋" w:eastAsia="仿宋" w:cs="仿宋"/>
          <w:bCs/>
          <w:sz w:val="24"/>
          <w:szCs w:val="24"/>
        </w:rPr>
        <w:t>实现</w:t>
      </w:r>
      <w:r>
        <w:rPr>
          <w:rFonts w:hint="eastAsia" w:ascii="仿宋" w:hAnsi="仿宋" w:eastAsia="仿宋" w:cs="仿宋"/>
          <w:sz w:val="24"/>
          <w:szCs w:val="24"/>
        </w:rPr>
        <w:t>科室二级库管理，</w:t>
      </w:r>
      <w:r>
        <w:rPr>
          <w:rFonts w:hint="eastAsia" w:ascii="仿宋" w:hAnsi="仿宋" w:eastAsia="仿宋" w:cs="仿宋"/>
          <w:bCs/>
          <w:sz w:val="24"/>
          <w:szCs w:val="24"/>
        </w:rPr>
        <w:t>实现</w:t>
      </w:r>
      <w:r>
        <w:rPr>
          <w:rFonts w:hint="eastAsia" w:ascii="仿宋" w:hAnsi="仿宋" w:eastAsia="仿宋" w:cs="仿宋"/>
          <w:sz w:val="24"/>
          <w:szCs w:val="24"/>
        </w:rPr>
        <w:t>物资条形码管理。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仓库对供应商到货的物资进行验收入库。</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有现存量的物资，或对已入库尚未出库的物资进行退货处理。适用于因质量、效期等问题，仓库需要将耗材退回供应商的业务处理流程。提供对已领用出库物料进行退回，记录领用退回物资的相关信息。适用于因质量、效期等问题，科室需要将耗材退回仓库的业务处理流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对仓库现有库存量进行物资领用出库，记录领用出库物资的相关信息。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物资实际盘点数量的自动导入，自动进行盘点处理，生成盘盈盘亏单，提高物资盘点效率；</w:t>
      </w:r>
      <w:r>
        <w:rPr>
          <w:rFonts w:hint="eastAsia" w:ascii="仿宋" w:hAnsi="仿宋" w:eastAsia="仿宋" w:cs="仿宋"/>
          <w:bCs/>
          <w:sz w:val="24"/>
          <w:szCs w:val="24"/>
        </w:rPr>
        <w:t>实现</w:t>
      </w:r>
      <w:r>
        <w:rPr>
          <w:rFonts w:hint="eastAsia" w:ascii="仿宋" w:hAnsi="仿宋" w:eastAsia="仿宋" w:cs="仿宋"/>
          <w:sz w:val="24"/>
          <w:szCs w:val="24"/>
        </w:rPr>
        <w:t>二级库盘点功能，实现二级库的定期盘存，明确管理责权；系统</w:t>
      </w:r>
      <w:r>
        <w:rPr>
          <w:rFonts w:hint="eastAsia" w:ascii="仿宋" w:hAnsi="仿宋" w:eastAsia="仿宋" w:cs="仿宋"/>
          <w:bCs/>
          <w:sz w:val="24"/>
          <w:szCs w:val="24"/>
        </w:rPr>
        <w:t>实现</w:t>
      </w:r>
      <w:r>
        <w:rPr>
          <w:rFonts w:hint="eastAsia" w:ascii="仿宋" w:hAnsi="仿宋" w:eastAsia="仿宋" w:cs="仿宋"/>
          <w:sz w:val="24"/>
          <w:szCs w:val="24"/>
        </w:rPr>
        <w:t>移动盘点设备的接入，能够与移动盘点设备进行数据交换，实现移动盘点、查询；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库存月末关账及反关账功能。</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4、统计分析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w:t>
      </w:r>
      <w:r>
        <w:rPr>
          <w:rFonts w:hint="eastAsia" w:ascii="仿宋" w:hAnsi="仿宋" w:eastAsia="仿宋" w:cs="仿宋"/>
          <w:bCs/>
          <w:sz w:val="24"/>
          <w:szCs w:val="24"/>
        </w:rPr>
        <w:t>实现</w:t>
      </w:r>
      <w:r>
        <w:rPr>
          <w:rFonts w:hint="eastAsia" w:ascii="仿宋" w:hAnsi="仿宋" w:eastAsia="仿宋" w:cs="仿宋"/>
          <w:sz w:val="24"/>
          <w:szCs w:val="24"/>
        </w:rPr>
        <w:t>的报表包括系统内置的报表及用户自定义报表两类。其中系统内置报表包括：出入库流水表、出入库汇总表、收发存明细及汇总表、现存量报表、条码现存量报表、请购单执行情况表、采购订单执行情况表、消耗汇总查询表、库存转移表、条码跟踪表等。</w:t>
      </w:r>
    </w:p>
    <w:bookmarkEnd w:id="69"/>
    <w:bookmarkEnd w:id="81"/>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bookmarkStart w:id="85" w:name="_Toc104300321"/>
      <w:bookmarkStart w:id="86" w:name="_Toc19469"/>
      <w:r>
        <w:rPr>
          <w:rFonts w:hint="eastAsia" w:ascii="仿宋" w:hAnsi="仿宋" w:eastAsia="仿宋" w:cs="仿宋"/>
          <w:sz w:val="24"/>
          <w:szCs w:val="24"/>
        </w:rPr>
        <w:t>5.6 人力资源管理系统</w:t>
      </w:r>
      <w:bookmarkEnd w:id="85"/>
      <w:bookmarkEnd w:id="86"/>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人力资源管理系统应</w:t>
      </w:r>
      <w:r>
        <w:rPr>
          <w:rFonts w:hint="eastAsia" w:ascii="仿宋" w:hAnsi="仿宋" w:eastAsia="仿宋" w:cs="仿宋"/>
          <w:bCs/>
          <w:sz w:val="24"/>
          <w:szCs w:val="24"/>
        </w:rPr>
        <w:t>实现</w:t>
      </w:r>
      <w:r>
        <w:rPr>
          <w:rFonts w:hint="eastAsia" w:ascii="仿宋" w:hAnsi="仿宋" w:eastAsia="仿宋" w:cs="仿宋"/>
          <w:sz w:val="24"/>
          <w:szCs w:val="24"/>
        </w:rPr>
        <w:t>并满足组织管理、职位管理、人员管理、人员调配、合同管理、报表管理、表格工具、考勤上报管理、科室自助等业务和功能的要求。在满足构建全院完整的信息化管理平台同时，应预留有与HIS、财务等系统实现系统集成对接，满足信息系统互联互通需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在满足构建全院完整的信息化管理平台同时，支持与医院HIS等临床系统实现对接，获取医生手术量，手术等级、病种CMI值等信息，多维度反映人员信息。</w:t>
      </w:r>
    </w:p>
    <w:p>
      <w:pPr>
        <w:pStyle w:val="2"/>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val="0"/>
          <w:bCs w:val="0"/>
          <w:sz w:val="24"/>
          <w:szCs w:val="24"/>
        </w:rPr>
        <w:t>实现</w:t>
      </w:r>
      <w:r>
        <w:rPr>
          <w:rFonts w:hint="eastAsia" w:ascii="仿宋" w:hAnsi="仿宋" w:eastAsia="仿宋" w:cs="仿宋"/>
          <w:b w:val="0"/>
          <w:sz w:val="24"/>
          <w:szCs w:val="24"/>
        </w:rPr>
        <w:t>根据医院要求灵活设置人员信息项，实现人员的多维度管理。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1、组织机构管理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实现</w:t>
      </w:r>
      <w:r>
        <w:rPr>
          <w:rFonts w:hint="eastAsia" w:ascii="仿宋" w:hAnsi="仿宋" w:eastAsia="仿宋" w:cs="仿宋"/>
          <w:sz w:val="24"/>
          <w:szCs w:val="24"/>
        </w:rPr>
        <w:t>能建立与医院实际一致的组织机构（包括分院、专业系统、一级科室、二级科室等）；每级机构都能记录本机构的基本信息、岗位信息、编制人员记录等信息。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szCs w:val="24"/>
        </w:rPr>
        <w:t>实现</w:t>
      </w:r>
      <w:r>
        <w:rPr>
          <w:rFonts w:hint="eastAsia" w:ascii="仿宋" w:hAnsi="仿宋" w:eastAsia="仿宋" w:cs="仿宋"/>
          <w:sz w:val="24"/>
          <w:szCs w:val="24"/>
        </w:rPr>
        <w:t>要能够对各组织机构完成新增、撤销等工作；满足机构改革的需要。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bCs/>
          <w:sz w:val="24"/>
          <w:szCs w:val="24"/>
        </w:rPr>
        <w:t>▲</w:t>
      </w:r>
      <w:r>
        <w:rPr>
          <w:rFonts w:hint="eastAsia" w:ascii="仿宋" w:hAnsi="仿宋" w:eastAsia="仿宋" w:cs="仿宋"/>
          <w:bCs/>
          <w:sz w:val="24"/>
          <w:szCs w:val="24"/>
        </w:rPr>
        <w:t>实现</w:t>
      </w:r>
      <w:r>
        <w:rPr>
          <w:rFonts w:hint="eastAsia" w:ascii="仿宋" w:hAnsi="仿宋" w:eastAsia="仿宋" w:cs="仿宋"/>
          <w:sz w:val="24"/>
          <w:szCs w:val="24"/>
        </w:rPr>
        <w:t>针对科室、部门进行编制的管理。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bCs/>
          <w:sz w:val="24"/>
          <w:szCs w:val="24"/>
        </w:rPr>
        <w:t>实现</w:t>
      </w:r>
      <w:r>
        <w:rPr>
          <w:rFonts w:hint="eastAsia" w:ascii="仿宋" w:hAnsi="仿宋" w:eastAsia="仿宋" w:cs="仿宋"/>
          <w:sz w:val="24"/>
          <w:szCs w:val="24"/>
        </w:rPr>
        <w:t>根据医院的组织机构设置，自动生成组织机构图。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bCs/>
          <w:sz w:val="24"/>
          <w:szCs w:val="24"/>
        </w:rPr>
        <w:t>实现</w:t>
      </w:r>
      <w:r>
        <w:rPr>
          <w:rFonts w:hint="eastAsia" w:ascii="仿宋" w:hAnsi="仿宋" w:eastAsia="仿宋" w:cs="仿宋"/>
          <w:sz w:val="24"/>
          <w:szCs w:val="24"/>
        </w:rPr>
        <w:t>对全院机构信息进行及时、动态的查询、分析，直观展现各岗位的编制、状态等信息。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2、岗位管理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实现</w:t>
      </w:r>
      <w:r>
        <w:rPr>
          <w:rFonts w:hint="eastAsia" w:ascii="仿宋" w:hAnsi="仿宋" w:eastAsia="仿宋" w:cs="仿宋"/>
          <w:sz w:val="24"/>
          <w:szCs w:val="24"/>
        </w:rPr>
        <w:t>能建立适合医院运行的岗位体系，包括岗位分类（如医、护、药、技、管理、工勤等）、岗位级别（如：院长、科主任、主任医师、主治医师、住院医师等），维护简易便捷。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szCs w:val="24"/>
        </w:rPr>
        <w:t>实现</w:t>
      </w:r>
      <w:r>
        <w:rPr>
          <w:rFonts w:hint="eastAsia" w:ascii="仿宋" w:hAnsi="仿宋" w:eastAsia="仿宋" w:cs="仿宋"/>
          <w:sz w:val="24"/>
          <w:szCs w:val="24"/>
        </w:rPr>
        <w:t>对各岗位工作职责、任职资格、隶属关系等信息进行维护，形成规范的岗位任职体系，制作各岗位的岗位说明书，点击岗位体系各单元能够展示各岗位说明书，</w:t>
      </w:r>
      <w:r>
        <w:rPr>
          <w:rFonts w:hint="eastAsia" w:ascii="仿宋" w:hAnsi="仿宋" w:eastAsia="仿宋" w:cs="仿宋"/>
          <w:bCs/>
          <w:sz w:val="24"/>
          <w:szCs w:val="24"/>
        </w:rPr>
        <w:t>实现</w:t>
      </w:r>
      <w:r>
        <w:rPr>
          <w:rFonts w:hint="eastAsia" w:ascii="仿宋" w:hAnsi="仿宋" w:eastAsia="仿宋" w:cs="仿宋"/>
          <w:sz w:val="24"/>
          <w:szCs w:val="24"/>
        </w:rPr>
        <w:t>职位说明书的导入导出功能；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（3）能够直观展示隶属关系图，并能够进行调整和修改；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（4）要能够进行岗位的新建、更名、撤销等业务的处理；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3、人员管理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按照管理权限，</w:t>
      </w:r>
      <w:r>
        <w:rPr>
          <w:rFonts w:hint="eastAsia" w:ascii="仿宋" w:hAnsi="仿宋" w:eastAsia="仿宋" w:cs="仿宋"/>
          <w:bCs/>
          <w:sz w:val="24"/>
          <w:szCs w:val="24"/>
        </w:rPr>
        <w:t>实现</w:t>
      </w:r>
      <w:r>
        <w:rPr>
          <w:rFonts w:hint="eastAsia" w:ascii="仿宋" w:hAnsi="仿宋" w:eastAsia="仿宋" w:cs="仿宋"/>
          <w:sz w:val="24"/>
          <w:szCs w:val="24"/>
        </w:rPr>
        <w:t>满足当前单位及下属相关单位人员信息的全面管理，同时信息系统实现对在职员工、解聘员工、离退员工、调离员工等的人事信息集中管理，可随时跟踪在职人员、解聘人员、离退人员人事信息的变化情况，对员工的各类经历（学习经历、培训经历、工作经历等）以及从进入医院到离职全生命周期的全面人力资源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实现</w:t>
      </w:r>
      <w:r>
        <w:rPr>
          <w:rFonts w:hint="eastAsia" w:ascii="仿宋" w:hAnsi="仿宋" w:eastAsia="仿宋" w:cs="仿宋"/>
          <w:sz w:val="24"/>
          <w:szCs w:val="24"/>
        </w:rPr>
        <w:t>记录职工从入职到离职的全部信息，如基本信息、学习培训经历、历次职务职称变动、历次工资变动、岗位轮转信息、每月考勤信息、奖惩情况、考核情况等等，并支持附件上传。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（2）管理员或有权限的业务人员可根据需要对人员信息项目进行灵活的增加、修改、删除。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Cs/>
          <w:sz w:val="24"/>
          <w:szCs w:val="24"/>
        </w:rPr>
        <w:t>实现</w:t>
      </w:r>
      <w:r>
        <w:rPr>
          <w:rFonts w:hint="eastAsia" w:ascii="仿宋" w:hAnsi="仿宋" w:eastAsia="仿宋" w:cs="仿宋"/>
          <w:sz w:val="24"/>
          <w:szCs w:val="24"/>
        </w:rPr>
        <w:t>可从不同维度进行职工分类管理，如：按照用工形式分为在编人员、非在编人员、劳务派遣人员、返聘人员等；按照人员状态可分为在岗人员、离退休人员、进修培训人员，待岗人员、内退人员、待聘人员、调出人员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bCs/>
          <w:sz w:val="24"/>
          <w:szCs w:val="24"/>
        </w:rPr>
        <w:t>实现</w:t>
      </w:r>
      <w:r>
        <w:rPr>
          <w:rFonts w:hint="eastAsia" w:ascii="仿宋" w:hAnsi="仿宋" w:eastAsia="仿宋" w:cs="仿宋"/>
          <w:sz w:val="24"/>
          <w:szCs w:val="24"/>
        </w:rPr>
        <w:t>能够对兼职人员进行管理。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（5）职工信息采集与维护中，</w:t>
      </w:r>
      <w:r>
        <w:rPr>
          <w:rFonts w:hint="eastAsia" w:ascii="仿宋" w:hAnsi="仿宋" w:eastAsia="仿宋" w:cs="仿宋"/>
          <w:bCs/>
          <w:sz w:val="24"/>
          <w:szCs w:val="24"/>
        </w:rPr>
        <w:t>实现</w:t>
      </w:r>
      <w:r>
        <w:rPr>
          <w:rFonts w:hint="eastAsia" w:ascii="仿宋" w:hAnsi="仿宋" w:eastAsia="仿宋" w:cs="仿宋"/>
          <w:sz w:val="24"/>
          <w:szCs w:val="24"/>
        </w:rPr>
        <w:t>对人员数据进行批量修改、增加、删除，支持excel的导入、导出功能。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（6）具有智能计算功能，如通过身份证自动计算出生日期、年龄、性别信息等；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Cs/>
          <w:sz w:val="24"/>
          <w:szCs w:val="24"/>
        </w:rPr>
        <w:t>实现</w:t>
      </w:r>
      <w:r>
        <w:rPr>
          <w:rFonts w:hint="eastAsia" w:ascii="仿宋" w:hAnsi="仿宋" w:eastAsia="仿宋" w:cs="仿宋"/>
          <w:sz w:val="24"/>
          <w:szCs w:val="24"/>
        </w:rPr>
        <w:t>能自由调整单位或者科室的人员排列顺序。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（8）具有强大的检索、查询功能，能够实现任意符合格式的组合条件查询。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bCs/>
          <w:sz w:val="24"/>
          <w:szCs w:val="24"/>
        </w:rPr>
        <w:t>实现</w:t>
      </w:r>
      <w:r>
        <w:rPr>
          <w:rFonts w:hint="eastAsia" w:ascii="仿宋" w:hAnsi="仿宋" w:eastAsia="仿宋" w:cs="仿宋"/>
          <w:sz w:val="24"/>
          <w:szCs w:val="24"/>
        </w:rPr>
        <w:t>历史信息查询，例如查询曾经任职过人事专员的人员等。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b/>
          <w:bCs/>
          <w:sz w:val="24"/>
          <w:szCs w:val="24"/>
        </w:rPr>
        <w:t>▲</w:t>
      </w:r>
      <w:r>
        <w:rPr>
          <w:rFonts w:hint="eastAsia" w:ascii="仿宋" w:hAnsi="仿宋" w:eastAsia="仿宋" w:cs="仿宋"/>
          <w:bCs/>
          <w:sz w:val="24"/>
          <w:szCs w:val="24"/>
        </w:rPr>
        <w:t>实现</w:t>
      </w:r>
      <w:r>
        <w:rPr>
          <w:rFonts w:hint="eastAsia" w:ascii="仿宋" w:hAnsi="仿宋" w:eastAsia="仿宋" w:cs="仿宋"/>
          <w:sz w:val="24"/>
          <w:szCs w:val="24"/>
        </w:rPr>
        <w:t>提供表格设计工具，既可自动生成预定义的各种报表，也可由用户自定义各类报表，轻松绘制或导入表样，取数条件定义简单，具有自动取数，自动校验，自动排版、打印输出等功能，业务用户可根据需要自行设计各种人事卡片，如职工履历表、干部任免表、各种证明等，并可根据需要导出Excel、PDF、Word等多种格式，不需要厂商二次开发。</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bCs/>
          <w:sz w:val="24"/>
          <w:szCs w:val="24"/>
        </w:rPr>
        <w:t>实现</w:t>
      </w:r>
      <w:r>
        <w:rPr>
          <w:rFonts w:hint="eastAsia" w:ascii="仿宋" w:hAnsi="仿宋" w:eastAsia="仿宋" w:cs="仿宋"/>
          <w:sz w:val="24"/>
          <w:szCs w:val="24"/>
        </w:rPr>
        <w:t>人员黑名单管理；支持院外人员管理。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bCs/>
          <w:sz w:val="24"/>
          <w:szCs w:val="24"/>
        </w:rPr>
        <w:t>实现</w:t>
      </w:r>
      <w:r>
        <w:rPr>
          <w:rFonts w:hint="eastAsia" w:ascii="仿宋" w:hAnsi="仿宋" w:eastAsia="仿宋" w:cs="仿宋"/>
          <w:sz w:val="24"/>
          <w:szCs w:val="24"/>
        </w:rPr>
        <w:t>对职工生日、转正、轮调、职称晋升、薪资晋档、退休、返聘等信息进行自动提醒，并且可以通过邮件、短信等方式提醒相关人员进行及时的处理。预警的内容、条件、时间等能由业务人员根据需要自行定义。预警信息能够直接与相关的业务模板进行关联，对预警出来的人员直接进行业务处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4、人员变动管理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实现</w:t>
      </w:r>
      <w:r>
        <w:rPr>
          <w:rFonts w:hint="eastAsia" w:ascii="仿宋" w:hAnsi="仿宋" w:eastAsia="仿宋" w:cs="仿宋"/>
          <w:sz w:val="24"/>
          <w:szCs w:val="24"/>
        </w:rPr>
        <w:t>员工通过招聘入职进入系统之后，所发生的一切调整变动的记录和过程管理，包括员工的岗位调整、部门调整、跨单位调动、职级变化以及不同类型的离职等等的业务处理。</w:t>
      </w:r>
    </w:p>
    <w:p>
      <w:pPr>
        <w:pStyle w:val="2"/>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具体实现以下功能：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实现</w:t>
      </w:r>
      <w:r>
        <w:rPr>
          <w:rFonts w:hint="eastAsia" w:ascii="仿宋" w:hAnsi="仿宋" w:eastAsia="仿宋" w:cs="仿宋"/>
          <w:sz w:val="24"/>
          <w:szCs w:val="24"/>
        </w:rPr>
        <w:t>内部晋升、降职，辞职、调离、退休、交流、挂职、长期病假、脱产学习培训、待岗、停薪留职等人员异动的规范处理与结果自动归档。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szCs w:val="24"/>
        </w:rPr>
        <w:t>实现</w:t>
      </w:r>
      <w:r>
        <w:rPr>
          <w:rFonts w:hint="eastAsia" w:ascii="仿宋" w:hAnsi="仿宋" w:eastAsia="仿宋" w:cs="仿宋"/>
          <w:sz w:val="24"/>
          <w:szCs w:val="24"/>
        </w:rPr>
        <w:t>人员的调配、兼职、离职业务的申请、审批、执行，并将执行结果反馈到人员档案。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（3）能够由医院灵活自行设计各种人员调配业务表单，能够基于表单设计调配前后业务规则，自动计算关联项，数据结果自动归档，满足对人员调配业务的规范办理与数据归档。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（4）审批流程可采用自动流转、手工指派等规则进行处理，满足不同的审批工作需要。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（5）工作流程处理，一个人员调配业务办理结束后，可以根据业务的关联关系，自动引发接下来的业务处理。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（6）系统可以通过站内信、邮件、短信等多种形式发起待办通知，提示工作人员及时处理相应流程，并可以对流程的审批进度实时监控。</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（7）具有表单的输出、打印等功能，能够配合线下审批或存档应用。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（8）业务办理结束后能够将人员异动信息自动归档到人员信息子集中，无需手工再次录入，避免由手工维护带来的信息维护不及时，信息维护错误等人为失误。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5、合同管理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（1）能够保存全体职工的合同信息，包括合同性质、类型、起止时间、签订次数等，形成合同台账；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（2）对合同的签订、续签、变更、终止等业务要能够进行流程审批管理，流程的配置需简单便捷，流程处理结果能够自动归档；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（3）系统需预置聘用合同常用模板，并可根据需要灵活调整，可以进行批量打印。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（4）可查询已到期合同、预到期合同、当前执行合同等信息；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（5）对试用期满、合同到期等信息具有自动提醒功能，业务人员可根据提醒直接进行相关合同业务办理；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color w:val="auto"/>
          <w:sz w:val="24"/>
          <w:szCs w:val="24"/>
          <w:highlight w:val="none"/>
        </w:rPr>
        <w:t>▲</w:t>
      </w:r>
      <w:r>
        <w:rPr>
          <w:rFonts w:hint="eastAsia" w:ascii="仿宋" w:hAnsi="仿宋" w:eastAsia="仿宋" w:cs="仿宋"/>
          <w:sz w:val="24"/>
          <w:szCs w:val="24"/>
        </w:rPr>
        <w:t>对各类合同信息能够从不同角度进行统计分析，如按照合同类型、合同期限、合同起始日期等不同维度的分析；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6、报表管理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（1）要求表格绘制要灵活易用，可以完成单位中各类登记表、花名册、业务模板、统计报表和名单设计的用户自定义制作;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（2）医院内部各种统计报表能够方便制作与应用；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（3）各种报表的数据能够实时自动生成，并且有准确性的校验功能，提高报表工作效率；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（4）各种报表能够保存历史数据，便于不同时期的报表进行对比分析；各种报表能够导出excel格式；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b/>
          <w:bCs/>
          <w:sz w:val="24"/>
          <w:szCs w:val="24"/>
        </w:rPr>
        <w:t>▲</w:t>
      </w:r>
      <w:r>
        <w:rPr>
          <w:rFonts w:hint="eastAsia" w:ascii="仿宋" w:hAnsi="仿宋" w:eastAsia="仿宋" w:cs="仿宋"/>
          <w:sz w:val="24"/>
          <w:szCs w:val="24"/>
        </w:rPr>
        <w:t xml:space="preserve">对已完成的历史报表，以一定时间顺序（以月、季、年或不定期）进行归档，便于后期的查询和分析，既可进行时间维度的纵向分析，也可进行部门间的横向比较；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（6）上级要求的报表格式发生变动，医院业务人员能够灵活修改、新增各种统计报表；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（7）能够将各种excel表格样式直接导入系统，并在系统内进行自动提取数据。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7、考勤及上报管理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（1）实现科室排班或科室月末考勤上报。根据审批流程，对科室排班数据进行审核。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rPr>
        <w:t>▲</w:t>
      </w:r>
      <w:r>
        <w:rPr>
          <w:rFonts w:hint="eastAsia" w:ascii="仿宋" w:hAnsi="仿宋" w:eastAsia="仿宋" w:cs="仿宋"/>
          <w:sz w:val="24"/>
          <w:szCs w:val="24"/>
        </w:rPr>
        <w:t>各科室自行维护本单位月度考勤数据，根据审批流程进行上报审核或自行导入excel各部门考勤数据；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（3）人事处考勤专员根据各科室上报考勤数据，生成医院月考勤明细表和汇总表并导出Excel；</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（4）要求提供历史考勤数据查询和输出。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（5）实现员工请销假管理，根据审批流程对请销假进行审核。支持休假到期提醒，及时对人员销假及到岗情况进行监管。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（6）实现中夜班管理、加班管理。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（7）考勤结果可与薪资发放结合，自动计算扣款金额。</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8、移动人力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为了提高人力资源系统的应用效率，保证数据的及时查询展示，方便领导决策及职工日常查询需求，实现常用的统计分析、报表等在移动端进行应用。具体如下：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通过移动服务端查看本人权限范围内职工信息，实现各类自助打印，包括在职证明等。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通过移动服务实现完成各项业务审批，查询审批进度，比如全流程移动请假等流程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提供职工薪资福利查询以及个税附加申报信息修改和调整。</w:t>
      </w:r>
    </w:p>
    <w:p>
      <w:pPr>
        <w:pStyle w:val="4"/>
        <w:autoSpaceDE w:val="0"/>
        <w:autoSpaceDN w:val="0"/>
        <w:adjustRightInd w:val="0"/>
        <w:snapToGrid w:val="0"/>
        <w:spacing w:before="120" w:after="120" w:line="360" w:lineRule="auto"/>
        <w:ind w:right="-34"/>
        <w:jc w:val="left"/>
        <w:rPr>
          <w:rFonts w:hint="eastAsia" w:ascii="仿宋" w:hAnsi="仿宋" w:eastAsia="仿宋" w:cs="仿宋"/>
          <w:sz w:val="24"/>
          <w:szCs w:val="24"/>
        </w:rPr>
      </w:pPr>
      <w:r>
        <w:rPr>
          <w:rFonts w:hint="eastAsia" w:ascii="仿宋" w:hAnsi="仿宋" w:eastAsia="仿宋" w:cs="仿宋"/>
          <w:sz w:val="24"/>
          <w:szCs w:val="24"/>
        </w:rPr>
        <w:t>5.7 项目建设功能扩展预留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医院综合运营精细化管理项目的建设，在满足医院现阶段目标的基础上，还需进行预算管理、合同管理、医疗项目成本核算（作业成本法、点数法、比例系数法）、病种成本核算、绩效管理、运营决策分析等项目建设，对以上内容需提供简要方案，实现系统一体化功能扩展。提供相关证明文件。</w:t>
      </w:r>
    </w:p>
    <w:p>
      <w:pPr>
        <w:numPr>
          <w:ilvl w:val="0"/>
          <w:numId w:val="0"/>
        </w:numPr>
        <w:snapToGrid w:val="0"/>
        <w:spacing w:before="240" w:after="240" w:line="360" w:lineRule="auto"/>
        <w:ind w:left="0" w:leftChars="0" w:firstLine="482" w:firstLineChars="200"/>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lang w:val="en-US" w:eastAsia="zh-CN"/>
        </w:rPr>
        <w:t>注：上述采购内容及技术要求</w:t>
      </w:r>
      <w:r>
        <w:rPr>
          <w:rFonts w:hint="eastAsia" w:ascii="仿宋" w:hAnsi="仿宋" w:eastAsia="仿宋" w:cs="仿宋"/>
          <w:b/>
          <w:bCs/>
          <w:color w:val="000000"/>
          <w:sz w:val="24"/>
          <w:highlight w:val="none"/>
        </w:rPr>
        <w:t>中除带</w:t>
      </w:r>
      <w:r>
        <w:rPr>
          <w:rFonts w:hint="eastAsia" w:ascii="仿宋" w:hAnsi="仿宋" w:eastAsia="仿宋" w:cs="仿宋"/>
          <w:b/>
          <w:bCs/>
          <w:color w:val="000000"/>
          <w:kern w:val="0"/>
          <w:szCs w:val="21"/>
          <w:highlight w:val="none"/>
        </w:rPr>
        <w:t>▲</w:t>
      </w:r>
      <w:r>
        <w:rPr>
          <w:rFonts w:hint="eastAsia" w:ascii="仿宋" w:hAnsi="仿宋" w:eastAsia="仿宋" w:cs="仿宋"/>
          <w:b/>
          <w:bCs/>
          <w:color w:val="000000"/>
          <w:sz w:val="24"/>
          <w:highlight w:val="none"/>
        </w:rPr>
        <w:t>标注的以外所有条款均为实质性响应条款,需逐条响应并提供证明文件</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lang w:val="en-US" w:eastAsia="zh-CN"/>
        </w:rPr>
        <w:t>包括但不限于各种证书、软件界面截图等</w:t>
      </w:r>
      <w:r>
        <w:rPr>
          <w:rFonts w:hint="eastAsia" w:ascii="仿宋" w:hAnsi="仿宋" w:eastAsia="仿宋" w:cs="仿宋"/>
          <w:b/>
          <w:bCs/>
          <w:color w:val="000000"/>
          <w:sz w:val="24"/>
          <w:highlight w:val="none"/>
        </w:rPr>
        <w:t>。</w:t>
      </w:r>
    </w:p>
    <w:p>
      <w:pPr>
        <w:pageBreakBefore w:val="0"/>
        <w:kinsoku/>
        <w:wordWrap/>
        <w:overflowPunct/>
        <w:topLinePunct w:val="0"/>
        <w:bidi w:val="0"/>
        <w:spacing w:line="560" w:lineRule="exact"/>
        <w:ind w:left="440"/>
        <w:rPr>
          <w:rFonts w:hint="eastAsia" w:ascii="仿宋" w:hAnsi="仿宋" w:eastAsia="仿宋" w:cs="仿宋"/>
          <w:b w:val="0"/>
          <w:bCs w:val="0"/>
          <w:color w:val="auto"/>
          <w:kern w:val="2"/>
          <w:sz w:val="24"/>
          <w:szCs w:val="24"/>
          <w:highlight w:val="none"/>
          <w:lang w:val="en-US" w:eastAsia="zh-CN" w:bidi="ar-SA"/>
        </w:rPr>
      </w:pPr>
    </w:p>
    <w:p>
      <w:pPr>
        <w:pageBreakBefore w:val="0"/>
        <w:kinsoku/>
        <w:wordWrap/>
        <w:overflowPunct/>
        <w:topLinePunct w:val="0"/>
        <w:bidi w:val="0"/>
        <w:spacing w:line="56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br w:type="page"/>
      </w:r>
    </w:p>
    <w:p>
      <w:pPr>
        <w:pStyle w:val="3"/>
        <w:pageBreakBefore w:val="0"/>
        <w:kinsoku/>
        <w:wordWrap/>
        <w:overflowPunct/>
        <w:topLinePunct w:val="0"/>
        <w:bidi w:val="0"/>
        <w:spacing w:line="560" w:lineRule="exact"/>
        <w:jc w:val="center"/>
        <w:rPr>
          <w:rFonts w:ascii="仿宋" w:hAnsi="仿宋" w:eastAsia="仿宋" w:cs="仿宋"/>
          <w:color w:val="auto"/>
          <w:highlight w:val="none"/>
        </w:rPr>
      </w:pPr>
      <w:r>
        <w:rPr>
          <w:rFonts w:hint="eastAsia" w:ascii="仿宋" w:hAnsi="仿宋" w:eastAsia="仿宋" w:cs="仿宋"/>
          <w:color w:val="auto"/>
          <w:kern w:val="0"/>
          <w:highlight w:val="none"/>
        </w:rPr>
        <w:t>第四章  商务要求</w:t>
      </w:r>
      <w:bookmarkEnd w:id="65"/>
      <w:bookmarkEnd w:id="66"/>
      <w:bookmarkEnd w:id="67"/>
    </w:p>
    <w:p>
      <w:pPr>
        <w:keepNext w:val="0"/>
        <w:keepLines w:val="0"/>
        <w:pageBreakBefore w:val="0"/>
        <w:widowControl w:val="0"/>
        <w:kinsoku/>
        <w:wordWrap/>
        <w:overflowPunct/>
        <w:topLinePunct w:val="0"/>
        <w:autoSpaceDE/>
        <w:autoSpaceDN/>
        <w:bidi w:val="0"/>
        <w:spacing w:line="560" w:lineRule="exact"/>
        <w:ind w:firstLine="482" w:firstLineChars="200"/>
        <w:textAlignment w:val="auto"/>
        <w:outlineLvl w:val="1"/>
        <w:rPr>
          <w:rFonts w:ascii="仿宋" w:hAnsi="仿宋" w:eastAsia="仿宋" w:cs="仿宋"/>
          <w:color w:val="auto"/>
          <w:szCs w:val="24"/>
          <w:highlight w:val="none"/>
        </w:rPr>
      </w:pPr>
      <w:r>
        <w:rPr>
          <w:rFonts w:hint="eastAsia" w:ascii="仿宋" w:hAnsi="仿宋" w:eastAsia="仿宋" w:cs="仿宋"/>
          <w:b/>
          <w:color w:val="auto"/>
          <w:szCs w:val="24"/>
          <w:highlight w:val="none"/>
        </w:rPr>
        <w:t>一、</w:t>
      </w:r>
      <w:r>
        <w:rPr>
          <w:rFonts w:hint="eastAsia" w:ascii="仿宋" w:hAnsi="仿宋" w:eastAsia="仿宋" w:cs="仿宋"/>
          <w:b/>
          <w:color w:val="auto"/>
          <w:szCs w:val="24"/>
          <w:highlight w:val="none"/>
          <w:lang w:val="en-US" w:eastAsia="zh-CN"/>
        </w:rPr>
        <w:t>交货条件</w:t>
      </w:r>
      <w:r>
        <w:rPr>
          <w:rFonts w:hint="eastAsia" w:ascii="仿宋" w:hAnsi="仿宋" w:eastAsia="仿宋" w:cs="仿宋"/>
          <w:b/>
          <w:color w:val="auto"/>
          <w:szCs w:val="24"/>
          <w:highlight w:val="none"/>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2"/>
        <w:rPr>
          <w:rFonts w:hint="eastAsia" w:ascii="仿宋" w:hAnsi="仿宋" w:eastAsia="仿宋" w:cs="仿宋"/>
          <w:b w:val="0"/>
          <w:bCs/>
          <w:color w:val="auto"/>
          <w:szCs w:val="24"/>
          <w:highlight w:val="none"/>
          <w:lang w:eastAsia="zh-CN"/>
        </w:rPr>
      </w:pPr>
      <w:r>
        <w:rPr>
          <w:rFonts w:hint="eastAsia" w:ascii="仿宋" w:hAnsi="仿宋" w:eastAsia="仿宋" w:cs="仿宋"/>
          <w:b w:val="0"/>
          <w:bCs/>
          <w:color w:val="auto"/>
          <w:szCs w:val="24"/>
          <w:highlight w:val="none"/>
          <w:lang w:val="en-US" w:eastAsia="zh-CN"/>
        </w:rPr>
        <w:t>1、</w:t>
      </w:r>
      <w:r>
        <w:rPr>
          <w:rFonts w:hint="eastAsia" w:ascii="仿宋" w:hAnsi="仿宋" w:eastAsia="仿宋" w:cs="仿宋"/>
          <w:b w:val="0"/>
          <w:bCs/>
          <w:color w:val="auto"/>
          <w:szCs w:val="24"/>
          <w:highlight w:val="none"/>
        </w:rPr>
        <w:t>本项目总工期要求在70个日历日内</w:t>
      </w:r>
      <w:r>
        <w:rPr>
          <w:rFonts w:hint="eastAsia" w:ascii="仿宋" w:hAnsi="仿宋" w:eastAsia="仿宋" w:cs="仿宋"/>
          <w:b w:val="0"/>
          <w:bCs/>
          <w:color w:val="auto"/>
          <w:szCs w:val="24"/>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2、</w:t>
      </w:r>
      <w:r>
        <w:rPr>
          <w:rFonts w:hint="eastAsia" w:ascii="仿宋" w:hAnsi="仿宋" w:eastAsia="仿宋" w:cs="仿宋"/>
          <w:b w:val="0"/>
          <w:bCs/>
          <w:color w:val="auto"/>
          <w:szCs w:val="24"/>
          <w:highlight w:val="none"/>
        </w:rPr>
        <w:t>项目实施时间与系统启动时间：</w:t>
      </w:r>
      <w:r>
        <w:rPr>
          <w:rFonts w:hint="eastAsia" w:ascii="仿宋" w:hAnsi="仿宋" w:eastAsia="仿宋" w:cs="仿宋"/>
          <w:b w:val="0"/>
          <w:bCs/>
          <w:color w:val="auto"/>
          <w:szCs w:val="24"/>
          <w:highlight w:val="none"/>
          <w:lang w:val="en-US" w:eastAsia="zh-CN"/>
        </w:rPr>
        <w:t>投标</w:t>
      </w:r>
      <w:r>
        <w:rPr>
          <w:rFonts w:hint="eastAsia" w:ascii="仿宋" w:hAnsi="仿宋" w:eastAsia="仿宋" w:cs="仿宋"/>
          <w:b w:val="0"/>
          <w:bCs/>
          <w:color w:val="auto"/>
          <w:szCs w:val="24"/>
          <w:highlight w:val="none"/>
        </w:rPr>
        <w:t>人要综合考虑、统筹协调项目建设进度及单位业务运行情况，具体项目实施时间与系统启动时间以</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人通知为准</w:t>
      </w:r>
      <w:r>
        <w:rPr>
          <w:rFonts w:hint="eastAsia" w:ascii="仿宋" w:hAnsi="仿宋" w:eastAsia="仿宋" w:cs="仿宋"/>
          <w:b w:val="0"/>
          <w:bCs/>
          <w:color w:val="auto"/>
          <w:szCs w:val="24"/>
          <w:highlight w:val="none"/>
          <w:lang w:eastAsia="zh-CN"/>
        </w:rPr>
        <w:t>；</w:t>
      </w:r>
      <w:r>
        <w:rPr>
          <w:rFonts w:hint="eastAsia" w:ascii="仿宋" w:hAnsi="仿宋" w:eastAsia="仿宋" w:cs="仿宋"/>
          <w:b w:val="0"/>
          <w:bCs/>
          <w:color w:val="auto"/>
          <w:szCs w:val="24"/>
          <w:highlight w:val="none"/>
        </w:rPr>
        <w:t xml:space="preserve"> </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2"/>
        <w:rPr>
          <w:rFonts w:hint="eastAsia" w:ascii="仿宋" w:hAnsi="仿宋" w:eastAsia="仿宋" w:cs="仿宋"/>
          <w:b w:val="0"/>
          <w:bCs/>
          <w:color w:val="auto"/>
          <w:szCs w:val="24"/>
          <w:highlight w:val="none"/>
          <w:lang w:eastAsia="zh-CN"/>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交货地点：</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人指定地点</w:t>
      </w:r>
      <w:r>
        <w:rPr>
          <w:rFonts w:hint="eastAsia" w:ascii="仿宋" w:hAnsi="仿宋" w:eastAsia="仿宋" w:cs="仿宋"/>
          <w:b w:val="0"/>
          <w:bCs/>
          <w:color w:val="auto"/>
          <w:szCs w:val="24"/>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outlineLvl w:val="1"/>
        <w:rPr>
          <w:rFonts w:hint="eastAsia" w:ascii="仿宋" w:hAnsi="仿宋" w:eastAsia="仿宋" w:cs="仿宋"/>
          <w:color w:val="auto"/>
          <w:kern w:val="0"/>
          <w:szCs w:val="24"/>
          <w:highlight w:val="none"/>
        </w:rPr>
      </w:pPr>
      <w:r>
        <w:rPr>
          <w:rFonts w:hint="eastAsia" w:ascii="仿宋" w:hAnsi="仿宋" w:eastAsia="仿宋" w:cs="仿宋"/>
          <w:b/>
          <w:color w:val="auto"/>
          <w:szCs w:val="24"/>
          <w:highlight w:val="none"/>
        </w:rPr>
        <w:t>二、</w:t>
      </w:r>
      <w:r>
        <w:rPr>
          <w:rFonts w:hint="eastAsia" w:ascii="仿宋" w:hAnsi="仿宋" w:eastAsia="仿宋" w:cs="仿宋"/>
          <w:b/>
          <w:color w:val="auto"/>
          <w:szCs w:val="24"/>
          <w:highlight w:val="none"/>
          <w:lang w:val="en-US" w:eastAsia="zh-CN"/>
        </w:rPr>
        <w:t>包装、运输、安装及调试</w:t>
      </w:r>
      <w:r>
        <w:rPr>
          <w:rFonts w:hint="eastAsia" w:ascii="仿宋" w:hAnsi="仿宋" w:eastAsia="仿宋" w:cs="仿宋"/>
          <w:b/>
          <w:color w:val="auto"/>
          <w:szCs w:val="24"/>
          <w:highlight w:val="none"/>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1、</w:t>
      </w:r>
      <w:r>
        <w:rPr>
          <w:rFonts w:hint="eastAsia" w:ascii="仿宋" w:hAnsi="仿宋" w:eastAsia="仿宋" w:cs="仿宋"/>
          <w:b w:val="0"/>
          <w:bCs/>
          <w:color w:val="auto"/>
          <w:szCs w:val="24"/>
          <w:highlight w:val="none"/>
        </w:rPr>
        <w:t>包装：应采取防潮、防晒、防腐蚀、防震动及防止其它损坏的必要措施。中标人应承担由于其包装或防护措施不妥而引起的货物锈蚀、损坏和丢失等任何损失造成的责任或费用。</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2、</w:t>
      </w:r>
      <w:r>
        <w:rPr>
          <w:rFonts w:hint="eastAsia" w:ascii="仿宋" w:hAnsi="仿宋" w:eastAsia="仿宋" w:cs="仿宋"/>
          <w:b w:val="0"/>
          <w:bCs/>
          <w:color w:val="auto"/>
          <w:szCs w:val="24"/>
          <w:highlight w:val="none"/>
        </w:rPr>
        <w:t>运输：选择运输风险小、运费低、距离短的运输路线。运杂费一次包死在总价内，包括生产厂到施工现场所需的装卸、运输（含保险费）、现场保管费、二次倒运费、吊装费等费用。</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rPr>
      </w:pPr>
      <w:r>
        <w:rPr>
          <w:rFonts w:hint="eastAsia" w:ascii="仿宋" w:hAnsi="仿宋" w:eastAsia="仿宋" w:cs="仿宋"/>
          <w:b w:val="0"/>
          <w:bCs/>
          <w:color w:val="auto"/>
          <w:kern w:val="2"/>
          <w:sz w:val="24"/>
          <w:szCs w:val="24"/>
          <w:highlight w:val="none"/>
          <w:lang w:val="en-US" w:eastAsia="zh-CN" w:bidi="ar-SA"/>
        </w:rPr>
        <w:t>3、中标人负责所有软硬件设备的安装、调试工作，所有费用一次包死在总价内。</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1"/>
        <w:rPr>
          <w:rFonts w:hint="eastAsia" w:ascii="仿宋" w:hAnsi="仿宋" w:eastAsia="仿宋" w:cs="仿宋"/>
          <w:b/>
          <w:color w:val="auto"/>
          <w:szCs w:val="24"/>
          <w:highlight w:val="none"/>
          <w:u w:val="wavyHeavy" w:color="FF0000"/>
        </w:rPr>
      </w:pPr>
      <w:r>
        <w:rPr>
          <w:rFonts w:hint="eastAsia" w:ascii="仿宋" w:hAnsi="仿宋" w:eastAsia="仿宋" w:cs="仿宋"/>
          <w:b/>
          <w:color w:val="auto"/>
          <w:szCs w:val="24"/>
          <w:highlight w:val="none"/>
        </w:rPr>
        <w:t>三、付款方式：</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Cs w:val="24"/>
          <w:highlight w:val="none"/>
        </w:rPr>
      </w:pPr>
      <w:bookmarkStart w:id="87" w:name="_Toc167714040"/>
      <w:bookmarkStart w:id="88" w:name="_Toc167712842"/>
      <w:bookmarkStart w:id="89" w:name="_Toc167715237"/>
      <w:r>
        <w:rPr>
          <w:rFonts w:hint="eastAsia" w:ascii="仿宋" w:hAnsi="仿宋" w:eastAsia="仿宋" w:cs="仿宋"/>
          <w:color w:val="auto"/>
          <w:szCs w:val="24"/>
          <w:highlight w:val="none"/>
        </w:rPr>
        <w:t>合同签订、系统全面启动、使用正常并正式验收合格后付合同总金额的90%，从正式验收合格之日起满1年、运行质量无问题后一次性付清剩余10%。</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1"/>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lang w:val="en-US" w:eastAsia="zh-CN"/>
        </w:rPr>
        <w:t>四、</w:t>
      </w:r>
      <w:r>
        <w:rPr>
          <w:rFonts w:hint="eastAsia" w:ascii="仿宋" w:hAnsi="仿宋" w:eastAsia="仿宋" w:cs="仿宋"/>
          <w:b/>
          <w:color w:val="auto"/>
          <w:szCs w:val="24"/>
          <w:highlight w:val="none"/>
        </w:rPr>
        <w:t>实施要求</w:t>
      </w:r>
      <w:r>
        <w:rPr>
          <w:rFonts w:hint="eastAsia" w:ascii="仿宋" w:hAnsi="仿宋" w:eastAsia="仿宋" w:cs="仿宋"/>
          <w:b/>
          <w:color w:val="auto"/>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项目实施过程中，投标人应遵循国家标准、行业标准和系统实施要求，在系统实施中投标人必须做到以下要求，并在投标书中对各项予以详细说明。</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1.</w:t>
      </w:r>
      <w:r>
        <w:rPr>
          <w:rFonts w:hint="eastAsia" w:ascii="仿宋" w:hAnsi="仿宋" w:eastAsia="仿宋" w:cs="仿宋"/>
          <w:b w:val="0"/>
          <w:bCs/>
          <w:color w:val="auto"/>
          <w:szCs w:val="24"/>
          <w:highlight w:val="none"/>
        </w:rPr>
        <w:t>投标人要提供本系统设计和分期的详细实施方案，提供完整的实施管理办法。</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2.</w:t>
      </w:r>
      <w:r>
        <w:rPr>
          <w:rFonts w:hint="eastAsia" w:ascii="仿宋" w:hAnsi="仿宋" w:eastAsia="仿宋" w:cs="仿宋"/>
          <w:b w:val="0"/>
          <w:bCs/>
          <w:color w:val="auto"/>
          <w:szCs w:val="24"/>
          <w:highlight w:val="none"/>
        </w:rPr>
        <w:t>投标人要提供详细、全面的计划进度说明书和人员培训计划。</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投标人须针对</w:t>
      </w:r>
      <w:r>
        <w:rPr>
          <w:rFonts w:hint="eastAsia" w:ascii="仿宋" w:hAnsi="仿宋" w:eastAsia="仿宋" w:cs="仿宋"/>
          <w:b w:val="0"/>
          <w:bCs/>
          <w:color w:val="auto"/>
          <w:szCs w:val="24"/>
          <w:highlight w:val="none"/>
          <w:lang w:eastAsia="zh-CN"/>
        </w:rPr>
        <w:t>采购</w:t>
      </w:r>
      <w:r>
        <w:rPr>
          <w:rFonts w:hint="eastAsia" w:ascii="仿宋" w:hAnsi="仿宋" w:eastAsia="仿宋" w:cs="仿宋"/>
          <w:b w:val="0"/>
          <w:bCs/>
          <w:color w:val="auto"/>
          <w:szCs w:val="24"/>
          <w:highlight w:val="none"/>
        </w:rPr>
        <w:t>人项目组建专门的项目团队，提供项目组人员组成、项目负责人资质及简历、项目主要技术人员资质及相关分工，项目组人员未经</w:t>
      </w:r>
      <w:r>
        <w:rPr>
          <w:rFonts w:hint="eastAsia" w:ascii="仿宋" w:hAnsi="仿宋" w:eastAsia="仿宋" w:cs="仿宋"/>
          <w:b w:val="0"/>
          <w:bCs/>
          <w:color w:val="auto"/>
          <w:szCs w:val="24"/>
          <w:highlight w:val="none"/>
          <w:lang w:eastAsia="zh-CN"/>
        </w:rPr>
        <w:t>采购</w:t>
      </w:r>
      <w:r>
        <w:rPr>
          <w:rFonts w:hint="eastAsia" w:ascii="仿宋" w:hAnsi="仿宋" w:eastAsia="仿宋" w:cs="仿宋"/>
          <w:b w:val="0"/>
          <w:bCs/>
          <w:color w:val="auto"/>
          <w:szCs w:val="24"/>
          <w:highlight w:val="none"/>
        </w:rPr>
        <w:t>人同意，不得随意更换。如需更换，投标人须书面形式函告</w:t>
      </w:r>
      <w:r>
        <w:rPr>
          <w:rFonts w:hint="eastAsia" w:ascii="仿宋" w:hAnsi="仿宋" w:eastAsia="仿宋" w:cs="仿宋"/>
          <w:b w:val="0"/>
          <w:bCs/>
          <w:color w:val="auto"/>
          <w:szCs w:val="24"/>
          <w:highlight w:val="none"/>
          <w:lang w:eastAsia="zh-CN"/>
        </w:rPr>
        <w:t>采购</w:t>
      </w:r>
      <w:r>
        <w:rPr>
          <w:rFonts w:hint="eastAsia" w:ascii="仿宋" w:hAnsi="仿宋" w:eastAsia="仿宋" w:cs="仿宋"/>
          <w:b w:val="0"/>
          <w:bCs/>
          <w:color w:val="auto"/>
          <w:szCs w:val="24"/>
          <w:highlight w:val="none"/>
        </w:rPr>
        <w:t>人，</w:t>
      </w:r>
      <w:r>
        <w:rPr>
          <w:rFonts w:hint="eastAsia" w:ascii="仿宋" w:hAnsi="仿宋" w:eastAsia="仿宋" w:cs="仿宋"/>
          <w:b w:val="0"/>
          <w:bCs/>
          <w:color w:val="auto"/>
          <w:szCs w:val="24"/>
          <w:highlight w:val="none"/>
          <w:lang w:eastAsia="zh-CN"/>
        </w:rPr>
        <w:t>采购</w:t>
      </w:r>
      <w:r>
        <w:rPr>
          <w:rFonts w:hint="eastAsia" w:ascii="仿宋" w:hAnsi="仿宋" w:eastAsia="仿宋" w:cs="仿宋"/>
          <w:b w:val="0"/>
          <w:bCs/>
          <w:color w:val="auto"/>
          <w:szCs w:val="24"/>
          <w:highlight w:val="none"/>
        </w:rPr>
        <w:t>人同意后方可更换。</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4.</w:t>
      </w:r>
      <w:r>
        <w:rPr>
          <w:rFonts w:hint="eastAsia" w:ascii="仿宋" w:hAnsi="仿宋" w:eastAsia="仿宋" w:cs="仿宋"/>
          <w:b w:val="0"/>
          <w:bCs/>
          <w:color w:val="auto"/>
          <w:szCs w:val="24"/>
          <w:highlight w:val="none"/>
        </w:rPr>
        <w:t>投标人组建的项目团队在未通过正式验收前，在工作日时间内必须在</w:t>
      </w:r>
      <w:r>
        <w:rPr>
          <w:rFonts w:hint="eastAsia" w:ascii="仿宋" w:hAnsi="仿宋" w:eastAsia="仿宋" w:cs="仿宋"/>
          <w:b w:val="0"/>
          <w:bCs/>
          <w:color w:val="auto"/>
          <w:szCs w:val="24"/>
          <w:highlight w:val="none"/>
          <w:lang w:eastAsia="zh-CN"/>
        </w:rPr>
        <w:t>采购</w:t>
      </w:r>
      <w:r>
        <w:rPr>
          <w:rFonts w:hint="eastAsia" w:ascii="仿宋" w:hAnsi="仿宋" w:eastAsia="仿宋" w:cs="仿宋"/>
          <w:b w:val="0"/>
          <w:bCs/>
          <w:color w:val="auto"/>
          <w:szCs w:val="24"/>
          <w:highlight w:val="none"/>
        </w:rPr>
        <w:t>人指定的地点驻场实施，否则视为违约。</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5.</w:t>
      </w:r>
      <w:r>
        <w:rPr>
          <w:rFonts w:hint="eastAsia" w:ascii="仿宋" w:hAnsi="仿宋" w:eastAsia="仿宋" w:cs="仿宋"/>
          <w:b w:val="0"/>
          <w:bCs/>
          <w:color w:val="auto"/>
          <w:szCs w:val="24"/>
          <w:highlight w:val="none"/>
        </w:rPr>
        <w:t>投标人须提供充足的技术实施人员以确保项目在工期要求内顺利完成。</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6.</w:t>
      </w:r>
      <w:r>
        <w:rPr>
          <w:rFonts w:hint="eastAsia" w:ascii="仿宋" w:hAnsi="仿宋" w:eastAsia="仿宋" w:cs="仿宋"/>
          <w:b w:val="0"/>
          <w:bCs/>
          <w:color w:val="auto"/>
          <w:szCs w:val="24"/>
          <w:highlight w:val="none"/>
        </w:rPr>
        <w:t>投标人须提供项目实施周报、月报，及时反映项目进展及问题。</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7.</w:t>
      </w:r>
      <w:r>
        <w:rPr>
          <w:rFonts w:hint="eastAsia" w:ascii="仿宋" w:hAnsi="仿宋" w:eastAsia="仿宋" w:cs="仿宋"/>
          <w:b w:val="0"/>
          <w:bCs/>
          <w:color w:val="auto"/>
          <w:szCs w:val="24"/>
          <w:highlight w:val="none"/>
        </w:rPr>
        <w:t>严格按照双方确定的计划进度保质保量完成工作。</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8.</w:t>
      </w:r>
      <w:r>
        <w:rPr>
          <w:rFonts w:hint="eastAsia" w:ascii="仿宋" w:hAnsi="仿宋" w:eastAsia="仿宋" w:cs="仿宋"/>
          <w:b w:val="0"/>
          <w:bCs/>
          <w:color w:val="auto"/>
          <w:szCs w:val="24"/>
          <w:highlight w:val="none"/>
        </w:rPr>
        <w:t>按</w:t>
      </w:r>
      <w:r>
        <w:rPr>
          <w:rFonts w:hint="eastAsia" w:ascii="仿宋" w:hAnsi="仿宋" w:eastAsia="仿宋" w:cs="仿宋"/>
          <w:b w:val="0"/>
          <w:bCs/>
          <w:color w:val="auto"/>
          <w:szCs w:val="24"/>
          <w:highlight w:val="none"/>
          <w:lang w:eastAsia="zh-CN"/>
        </w:rPr>
        <w:t>采购</w:t>
      </w:r>
      <w:r>
        <w:rPr>
          <w:rFonts w:hint="eastAsia" w:ascii="仿宋" w:hAnsi="仿宋" w:eastAsia="仿宋" w:cs="仿宋"/>
          <w:b w:val="0"/>
          <w:bCs/>
          <w:color w:val="auto"/>
          <w:szCs w:val="24"/>
          <w:highlight w:val="none"/>
        </w:rPr>
        <w:t>人要求规范项目实施过程中的文档管理。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b/>
          <w:color w:val="auto"/>
          <w:szCs w:val="24"/>
          <w:highlight w:val="none"/>
        </w:rPr>
      </w:pPr>
      <w:r>
        <w:rPr>
          <w:rFonts w:hint="eastAsia" w:ascii="仿宋" w:hAnsi="仿宋" w:eastAsia="仿宋" w:cs="仿宋"/>
          <w:b w:val="0"/>
          <w:bCs/>
          <w:color w:val="auto"/>
          <w:szCs w:val="24"/>
          <w:highlight w:val="none"/>
          <w:lang w:val="en-US" w:eastAsia="zh-CN"/>
        </w:rPr>
        <w:t>9.</w:t>
      </w:r>
      <w:r>
        <w:rPr>
          <w:rFonts w:hint="eastAsia" w:ascii="仿宋" w:hAnsi="仿宋" w:eastAsia="仿宋" w:cs="仿宋"/>
          <w:b w:val="0"/>
          <w:bCs/>
          <w:color w:val="auto"/>
          <w:szCs w:val="24"/>
          <w:highlight w:val="none"/>
        </w:rPr>
        <w:t>系统实施中要引入风险管理、质量管理、成本管理。</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1"/>
        <w:rPr>
          <w:rFonts w:hint="eastAsia" w:ascii="仿宋" w:hAnsi="仿宋" w:eastAsia="仿宋" w:cs="仿宋"/>
          <w:b/>
          <w:color w:val="auto"/>
          <w:szCs w:val="24"/>
          <w:highlight w:val="none"/>
          <w:lang w:val="en-US" w:eastAsia="zh-CN"/>
        </w:rPr>
      </w:pPr>
      <w:bookmarkStart w:id="90" w:name="_Toc357155579"/>
      <w:r>
        <w:rPr>
          <w:rFonts w:hint="eastAsia" w:ascii="仿宋" w:hAnsi="仿宋" w:eastAsia="仿宋" w:cs="仿宋"/>
          <w:b/>
          <w:color w:val="auto"/>
          <w:szCs w:val="24"/>
          <w:highlight w:val="none"/>
          <w:lang w:val="en-US" w:eastAsia="zh-CN"/>
        </w:rPr>
        <w:t>五、培训</w:t>
      </w:r>
      <w:bookmarkEnd w:id="90"/>
      <w:r>
        <w:rPr>
          <w:rFonts w:hint="eastAsia" w:ascii="仿宋" w:hAnsi="仿宋" w:eastAsia="仿宋" w:cs="仿宋"/>
          <w:b/>
          <w:color w:val="auto"/>
          <w:szCs w:val="24"/>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每套产品安装、调试完毕后，中标人必须安排技术人员对使用单位的人员进行操作应用及维护保养等方面的技能培训，使其掌握基本技能。所有培训费用一次包死在投标总价内。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rPr>
        <w:t>培训方式：按</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人指定培训方式培训，包括集中培训、分散培训、分批次培训、现场培训等等。</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1"/>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szCs w:val="24"/>
        </w:rPr>
        <w:t>培训内容：系统的安装、调试、使用培训、日常维护培训及</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人指定的培训内容。</w:t>
      </w:r>
    </w:p>
    <w:p>
      <w:pPr>
        <w:numPr>
          <w:ilvl w:val="0"/>
          <w:numId w:val="0"/>
        </w:numPr>
        <w:spacing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sz w:val="24"/>
          <w:szCs w:val="24"/>
        </w:rPr>
        <w:t>培训对象：</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人指定人员，包括系统使用人员、维护人员等。</w:t>
      </w:r>
    </w:p>
    <w:p>
      <w:pPr>
        <w:numPr>
          <w:ilvl w:val="0"/>
          <w:numId w:val="0"/>
        </w:numPr>
        <w:spacing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4)</w:t>
      </w:r>
      <w:r>
        <w:rPr>
          <w:rFonts w:hint="eastAsia" w:ascii="仿宋" w:hAnsi="仿宋" w:eastAsia="仿宋" w:cs="仿宋"/>
          <w:color w:val="000000"/>
          <w:sz w:val="24"/>
          <w:szCs w:val="24"/>
        </w:rPr>
        <w:t>培训时间：</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人确定的培训时间和场次。</w:t>
      </w:r>
    </w:p>
    <w:p>
      <w:pPr>
        <w:numPr>
          <w:ilvl w:val="0"/>
          <w:numId w:val="0"/>
        </w:numPr>
        <w:spacing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5)</w:t>
      </w:r>
      <w:r>
        <w:rPr>
          <w:rFonts w:hint="eastAsia" w:ascii="仿宋" w:hAnsi="仿宋" w:eastAsia="仿宋" w:cs="仿宋"/>
          <w:color w:val="000000"/>
          <w:sz w:val="24"/>
          <w:szCs w:val="24"/>
        </w:rPr>
        <w:t>中标人必须对</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人的技术人员培训。投标人须在投标文件中提供详细的培训计划供</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人参考，包括培训内容、培训时间等。</w:t>
      </w:r>
    </w:p>
    <w:p>
      <w:pPr>
        <w:numPr>
          <w:ilvl w:val="0"/>
          <w:numId w:val="0"/>
        </w:numPr>
        <w:spacing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6)</w:t>
      </w:r>
      <w:r>
        <w:rPr>
          <w:rFonts w:hint="eastAsia" w:ascii="仿宋" w:hAnsi="仿宋" w:eastAsia="仿宋" w:cs="仿宋"/>
          <w:color w:val="000000"/>
          <w:sz w:val="24"/>
          <w:szCs w:val="24"/>
        </w:rPr>
        <w:t>中标人提供的负责培训的人员应具备同类项目、产品五年以上的经验。</w:t>
      </w:r>
    </w:p>
    <w:p>
      <w:pPr>
        <w:numPr>
          <w:ilvl w:val="0"/>
          <w:numId w:val="0"/>
        </w:numPr>
        <w:spacing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7)</w:t>
      </w:r>
      <w:r>
        <w:rPr>
          <w:rFonts w:hint="eastAsia" w:ascii="仿宋" w:hAnsi="仿宋" w:eastAsia="仿宋" w:cs="仿宋"/>
          <w:color w:val="000000"/>
          <w:sz w:val="24"/>
          <w:szCs w:val="24"/>
        </w:rPr>
        <w:t>投标人要每年定期免费进行人员培训，并采用电话、回访等多种方式保证人员培训。</w:t>
      </w:r>
    </w:p>
    <w:p>
      <w:pPr>
        <w:numPr>
          <w:ilvl w:val="0"/>
          <w:numId w:val="0"/>
        </w:numPr>
        <w:spacing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8)</w:t>
      </w:r>
      <w:r>
        <w:rPr>
          <w:rFonts w:hint="eastAsia" w:ascii="仿宋" w:hAnsi="仿宋" w:eastAsia="仿宋" w:cs="仿宋"/>
          <w:color w:val="000000"/>
          <w:sz w:val="24"/>
          <w:szCs w:val="24"/>
        </w:rPr>
        <w:t>技术培训至少应包括下列内容：</w:t>
      </w:r>
    </w:p>
    <w:p>
      <w:pPr>
        <w:spacing w:line="360" w:lineRule="auto"/>
        <w:ind w:left="440"/>
        <w:rPr>
          <w:rFonts w:hint="eastAsia" w:ascii="仿宋" w:hAnsi="仿宋" w:eastAsia="仿宋" w:cs="仿宋"/>
          <w:color w:val="000000"/>
          <w:sz w:val="24"/>
          <w:szCs w:val="24"/>
        </w:rPr>
      </w:pPr>
      <w:r>
        <w:rPr>
          <w:rFonts w:hint="eastAsia" w:ascii="仿宋" w:hAnsi="仿宋" w:eastAsia="仿宋" w:cs="仿宋"/>
          <w:color w:val="000000"/>
          <w:sz w:val="24"/>
          <w:szCs w:val="24"/>
        </w:rPr>
        <w:t>1）原理、构成和功能的描述。</w:t>
      </w:r>
    </w:p>
    <w:p>
      <w:pPr>
        <w:spacing w:line="360" w:lineRule="auto"/>
        <w:ind w:left="440"/>
        <w:rPr>
          <w:rFonts w:hint="eastAsia" w:ascii="仿宋" w:hAnsi="仿宋" w:eastAsia="仿宋" w:cs="仿宋"/>
          <w:color w:val="000000"/>
          <w:sz w:val="24"/>
          <w:szCs w:val="24"/>
        </w:rPr>
      </w:pPr>
      <w:r>
        <w:rPr>
          <w:rFonts w:hint="eastAsia" w:ascii="仿宋" w:hAnsi="仿宋" w:eastAsia="仿宋" w:cs="仿宋"/>
          <w:color w:val="000000"/>
          <w:sz w:val="24"/>
          <w:szCs w:val="24"/>
        </w:rPr>
        <w:t>2）常见故障的处理或排除。</w:t>
      </w:r>
    </w:p>
    <w:p>
      <w:pPr>
        <w:spacing w:line="360" w:lineRule="auto"/>
        <w:ind w:left="440"/>
        <w:rPr>
          <w:rFonts w:hint="eastAsia" w:ascii="仿宋" w:hAnsi="仿宋" w:eastAsia="仿宋" w:cs="仿宋"/>
          <w:color w:val="000000"/>
          <w:sz w:val="24"/>
          <w:szCs w:val="24"/>
        </w:rPr>
      </w:pPr>
      <w:r>
        <w:rPr>
          <w:rFonts w:hint="eastAsia" w:ascii="仿宋" w:hAnsi="仿宋" w:eastAsia="仿宋" w:cs="仿宋"/>
          <w:color w:val="000000"/>
          <w:sz w:val="24"/>
          <w:szCs w:val="24"/>
        </w:rPr>
        <w:t>3）各系统部件（设备）的检查、调整和维护。</w:t>
      </w:r>
    </w:p>
    <w:p>
      <w:pPr>
        <w:spacing w:line="360" w:lineRule="auto"/>
        <w:ind w:left="440"/>
        <w:rPr>
          <w:rFonts w:hint="eastAsia" w:ascii="仿宋" w:hAnsi="仿宋" w:eastAsia="仿宋" w:cs="仿宋"/>
          <w:color w:val="000000"/>
          <w:sz w:val="24"/>
          <w:szCs w:val="24"/>
        </w:rPr>
      </w:pPr>
      <w:r>
        <w:rPr>
          <w:rFonts w:hint="eastAsia" w:ascii="仿宋" w:hAnsi="仿宋" w:eastAsia="仿宋" w:cs="仿宋"/>
          <w:color w:val="000000"/>
          <w:sz w:val="24"/>
          <w:szCs w:val="24"/>
        </w:rPr>
        <w:t>4）对使用者关于设备基本操作技能的培训。</w:t>
      </w:r>
    </w:p>
    <w:bookmarkEnd w:id="87"/>
    <w:bookmarkEnd w:id="88"/>
    <w:bookmarkEnd w:id="89"/>
    <w:p>
      <w:pPr>
        <w:keepNext w:val="0"/>
        <w:keepLines w:val="0"/>
        <w:pageBreakBefore w:val="0"/>
        <w:widowControl w:val="0"/>
        <w:kinsoku/>
        <w:wordWrap/>
        <w:overflowPunct/>
        <w:topLinePunct w:val="0"/>
        <w:autoSpaceDE/>
        <w:autoSpaceDN/>
        <w:bidi w:val="0"/>
        <w:spacing w:line="560" w:lineRule="exact"/>
        <w:ind w:firstLine="482" w:firstLineChars="200"/>
        <w:textAlignment w:val="auto"/>
        <w:outlineLvl w:val="1"/>
        <w:rPr>
          <w:rFonts w:hint="eastAsia" w:ascii="仿宋" w:hAnsi="仿宋" w:eastAsia="仿宋" w:cs="仿宋"/>
          <w:b/>
          <w:color w:val="auto"/>
          <w:szCs w:val="24"/>
          <w:highlight w:val="none"/>
          <w:lang w:eastAsia="zh-CN"/>
        </w:rPr>
      </w:pPr>
      <w:bookmarkStart w:id="91" w:name="_Toc167714047"/>
      <w:bookmarkStart w:id="92" w:name="_Toc167715244"/>
      <w:bookmarkStart w:id="93" w:name="_Toc167712849"/>
      <w:r>
        <w:rPr>
          <w:rFonts w:hint="eastAsia" w:ascii="仿宋" w:hAnsi="仿宋" w:eastAsia="仿宋" w:cs="仿宋"/>
          <w:b/>
          <w:color w:val="auto"/>
          <w:szCs w:val="24"/>
          <w:highlight w:val="none"/>
          <w:lang w:val="en-US" w:eastAsia="zh-CN"/>
        </w:rPr>
        <w:t>六</w:t>
      </w:r>
      <w:r>
        <w:rPr>
          <w:rFonts w:hint="eastAsia" w:ascii="仿宋" w:hAnsi="仿宋" w:eastAsia="仿宋" w:cs="仿宋"/>
          <w:b/>
          <w:color w:val="auto"/>
          <w:szCs w:val="24"/>
          <w:highlight w:val="none"/>
        </w:rPr>
        <w:t>、</w:t>
      </w:r>
      <w:bookmarkEnd w:id="91"/>
      <w:bookmarkEnd w:id="92"/>
      <w:bookmarkEnd w:id="93"/>
      <w:r>
        <w:rPr>
          <w:rFonts w:hint="eastAsia" w:ascii="仿宋" w:hAnsi="仿宋" w:eastAsia="仿宋" w:cs="仿宋"/>
          <w:b/>
          <w:color w:val="auto"/>
          <w:szCs w:val="24"/>
          <w:highlight w:val="none"/>
        </w:rPr>
        <w:t>质量保证及技术服务</w:t>
      </w:r>
      <w:r>
        <w:rPr>
          <w:rFonts w:hint="eastAsia" w:ascii="仿宋" w:hAnsi="仿宋" w:eastAsia="仿宋" w:cs="仿宋"/>
          <w:b/>
          <w:color w:val="auto"/>
          <w:szCs w:val="24"/>
          <w:highlight w:val="none"/>
          <w:lang w:eastAsia="zh-CN"/>
        </w:rPr>
        <w:t>：</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rPr>
          <w:rFonts w:hint="eastAsia" w:ascii="仿宋" w:hAnsi="仿宋" w:eastAsia="仿宋" w:cs="仿宋"/>
          <w:b w:val="0"/>
          <w:bCs/>
          <w:color w:val="auto"/>
          <w:szCs w:val="24"/>
          <w:highlight w:val="none"/>
        </w:rPr>
      </w:pPr>
      <w:bookmarkStart w:id="94" w:name="_Toc167715263"/>
      <w:bookmarkStart w:id="95" w:name="_Toc167712868"/>
      <w:bookmarkStart w:id="96" w:name="_Toc167714066"/>
      <w:r>
        <w:rPr>
          <w:rFonts w:hint="eastAsia" w:ascii="仿宋" w:hAnsi="仿宋" w:eastAsia="仿宋" w:cs="仿宋"/>
          <w:b/>
          <w:color w:val="auto"/>
          <w:szCs w:val="24"/>
          <w:highlight w:val="none"/>
          <w:lang w:val="en-US" w:eastAsia="zh-CN"/>
        </w:rPr>
        <w:t>1、</w:t>
      </w:r>
      <w:r>
        <w:rPr>
          <w:rFonts w:hint="eastAsia" w:ascii="仿宋" w:hAnsi="仿宋" w:eastAsia="仿宋" w:cs="仿宋"/>
          <w:b/>
          <w:color w:val="auto"/>
          <w:szCs w:val="24"/>
          <w:highlight w:val="none"/>
        </w:rPr>
        <w:t>质保期从正式验收合格之日起不少于24个月</w:t>
      </w:r>
      <w:r>
        <w:rPr>
          <w:rFonts w:hint="eastAsia" w:ascii="仿宋" w:hAnsi="仿宋" w:eastAsia="仿宋" w:cs="仿宋"/>
          <w:b w:val="0"/>
          <w:bCs/>
          <w:color w:val="auto"/>
          <w:szCs w:val="24"/>
          <w:highlight w:val="none"/>
        </w:rPr>
        <w:t>（参数中有具体要求的，按参数要求提供质保）。中标人承诺的质保期超过招标文件要求的，按其承诺时间质保。</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2"/>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2、</w:t>
      </w:r>
      <w:r>
        <w:rPr>
          <w:rFonts w:hint="eastAsia" w:ascii="仿宋" w:hAnsi="仿宋" w:eastAsia="仿宋" w:cs="仿宋"/>
          <w:b w:val="0"/>
          <w:bCs/>
          <w:color w:val="auto"/>
          <w:szCs w:val="24"/>
          <w:highlight w:val="none"/>
        </w:rPr>
        <w:t>中标人承诺的质保服务期起始时间为正式验收合格之日。</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所有产品质量必须符合国家有关规范、标准和相关政策。所有设备及辅材必须是未使用过的新产品，质量优良、渠道正当，配置合理。</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4、</w:t>
      </w:r>
      <w:r>
        <w:rPr>
          <w:rFonts w:hint="eastAsia" w:ascii="仿宋" w:hAnsi="仿宋" w:eastAsia="仿宋" w:cs="仿宋"/>
          <w:b w:val="0"/>
          <w:bCs/>
          <w:color w:val="auto"/>
          <w:szCs w:val="24"/>
          <w:highlight w:val="none"/>
        </w:rPr>
        <w:t>质保服务期出现的质量问题由中标人负责解决并承担所有费用。质保期后如需更换零部件，中标人应以优惠价提供。</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5、</w:t>
      </w:r>
      <w:r>
        <w:rPr>
          <w:rFonts w:hint="eastAsia" w:ascii="仿宋" w:hAnsi="仿宋" w:eastAsia="仿宋" w:cs="仿宋"/>
          <w:b w:val="0"/>
          <w:bCs/>
          <w:color w:val="auto"/>
          <w:szCs w:val="24"/>
          <w:highlight w:val="none"/>
        </w:rPr>
        <w:t>中标人提供的设备，必须符合招标文件及其投标文件规定的要求，如有不符，</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人可以无条件退货，造成的损失由中标人承担。</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6、</w:t>
      </w:r>
      <w:r>
        <w:rPr>
          <w:rFonts w:hint="eastAsia" w:ascii="仿宋" w:hAnsi="仿宋" w:eastAsia="仿宋" w:cs="仿宋"/>
          <w:color w:val="000000"/>
          <w:sz w:val="24"/>
          <w:szCs w:val="24"/>
        </w:rPr>
        <w:t>投标人在投标文件中应充分考虑技术支持与售后服务，免费质保服务期内服务内容至少包括软件开发、修改、测试、实施、培训、安装部署、维护、升级、故障排除、技术支持，硬件维修、更换和技术服务，为新购置设备提供系统连接等。</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7、</w:t>
      </w:r>
      <w:r>
        <w:rPr>
          <w:rFonts w:hint="eastAsia" w:ascii="仿宋" w:hAnsi="仿宋" w:eastAsia="仿宋" w:cs="仿宋"/>
          <w:color w:val="000000"/>
          <w:sz w:val="24"/>
          <w:szCs w:val="24"/>
        </w:rPr>
        <w:t>投标人确保所投软硬件产品为全新原厂正品，满足</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人长期、稳定使用要求；</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质保服务期内，投标人能根据采购人需求，对软件功能、接口等进行合理的适应性修改和开发，且不增加任何费用。</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质保服务期内，投标人提供因</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人对系统理解不足（投标人也未提供专业指导或提前告知义务）造成的软件遗漏表单、功能、需求的开发、实施，且不增加任何费用。</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不论年限，投标人保证对所投软件系统按</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人要求及时进行升级更新（包括大版本更新），投标人对系统使用过程中发现的各类错误和各类系统BUG问题、必须及时合理解决，且不增加任何费用。</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投标人须指定专人进行项目维护，质保服务期内提交项目运维服务月报。</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质保服务期内，投标人对故障产品24小时内免费同型换新。</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13、</w:t>
      </w:r>
      <w:r>
        <w:rPr>
          <w:rFonts w:hint="eastAsia" w:ascii="仿宋" w:hAnsi="仿宋" w:eastAsia="仿宋" w:cs="仿宋"/>
          <w:color w:val="000000"/>
          <w:sz w:val="24"/>
          <w:szCs w:val="24"/>
        </w:rPr>
        <w:t>服务要求：免费质保服务期内投标人提供7天*24小时*365日无休售后服务。半小时响应（紧急情况即时响应），6小时内到达现场服务，系统重大问题24小时予以解决；服务完成后，需得到</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人对服务情况的检查和文字确认。如果投标人在收到通知后2天内没有弥补缺陷，</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人可采取必要的补救措施，但其风险和费用将由投标人承担，</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人根据合同规定对投标人行使的其它权力不受影响。</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outlineLvl w:val="1"/>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七</w:t>
      </w:r>
      <w:r>
        <w:rPr>
          <w:rFonts w:hint="eastAsia" w:ascii="仿宋" w:hAnsi="仿宋" w:eastAsia="仿宋" w:cs="仿宋"/>
          <w:b/>
          <w:color w:val="auto"/>
          <w:szCs w:val="24"/>
          <w:highlight w:val="none"/>
        </w:rPr>
        <w:t>、验收</w:t>
      </w:r>
      <w:bookmarkStart w:id="97" w:name="_Toc167715238"/>
      <w:bookmarkStart w:id="98" w:name="_Toc167712843"/>
      <w:bookmarkStart w:id="99" w:name="_Toc167714041"/>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rPr>
        <w:tab/>
      </w:r>
    </w:p>
    <w:bookmarkEnd w:id="97"/>
    <w:bookmarkEnd w:id="98"/>
    <w:bookmarkEnd w:id="99"/>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1、</w:t>
      </w:r>
      <w:r>
        <w:rPr>
          <w:rFonts w:hint="eastAsia" w:ascii="仿宋" w:hAnsi="仿宋" w:eastAsia="仿宋" w:cs="仿宋"/>
          <w:b w:val="0"/>
          <w:bCs/>
          <w:color w:val="auto"/>
          <w:szCs w:val="24"/>
          <w:highlight w:val="none"/>
        </w:rPr>
        <w:t>到货验收：货物到货后，由</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人与投标人共同进行外观验收，验收内容包括，外包装的完好性，货物品牌、规格、数量及产地与合同要求的一致性。</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2、</w:t>
      </w:r>
      <w:r>
        <w:rPr>
          <w:rFonts w:hint="eastAsia" w:ascii="仿宋" w:hAnsi="仿宋" w:eastAsia="仿宋" w:cs="仿宋"/>
          <w:b w:val="0"/>
          <w:bCs/>
          <w:color w:val="auto"/>
          <w:szCs w:val="24"/>
          <w:highlight w:val="none"/>
        </w:rPr>
        <w:t>正式验收：</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2-1、项目安装调试完成，各系统功能模块均全部、全面完成启动使用，并且试运行无重大问题发生，所有软硬件按要求完成永久性使用许可注册后，由投标人整理并向</w:t>
      </w:r>
      <w:r>
        <w:rPr>
          <w:rFonts w:hint="eastAsia" w:ascii="仿宋" w:hAnsi="仿宋" w:eastAsia="仿宋" w:cs="仿宋"/>
          <w:b w:val="0"/>
          <w:bCs/>
          <w:color w:val="auto"/>
          <w:szCs w:val="24"/>
          <w:highlight w:val="none"/>
          <w:lang w:eastAsia="zh-CN"/>
        </w:rPr>
        <w:t>采购</w:t>
      </w:r>
      <w:r>
        <w:rPr>
          <w:rFonts w:hint="eastAsia" w:ascii="仿宋" w:hAnsi="仿宋" w:eastAsia="仿宋" w:cs="仿宋"/>
          <w:b w:val="0"/>
          <w:bCs/>
          <w:color w:val="auto"/>
          <w:szCs w:val="24"/>
          <w:highlight w:val="none"/>
        </w:rPr>
        <w:t>人提交项目相关文档、原厂提供的逐条响应证明材料、书面正式验收申请等，</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人接到投标人正式验收申请后，负责组织对整个系统进行全面的验收（必要时可聘请相应专家或委托相应部门验收）；验收后出具验收单。验收合格后，</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人方出具验收合格证明。</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2-2、系统正式验收时，投标人的产品达不到</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人需求的、永久使用、稳定运行的系统产品，或达不到</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人规定的设计要求的，投标人在</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人规定的期限内进行整改，直至验收合格。由此产生的费用由投标人承担，同时投标人还应承担逾期支付产品的违约责任，给</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人造成损失的，还应赔偿损失金。</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在项目开始实施、系统启用直至验收合格之日前，投标人不得限制</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人使用系统，如限制使用或造成损失的，由投标人承担和赔偿。</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4、</w:t>
      </w:r>
      <w:r>
        <w:rPr>
          <w:rFonts w:hint="eastAsia" w:ascii="仿宋" w:hAnsi="仿宋" w:eastAsia="仿宋" w:cs="仿宋"/>
          <w:b w:val="0"/>
          <w:bCs/>
          <w:color w:val="auto"/>
          <w:szCs w:val="24"/>
          <w:highlight w:val="none"/>
        </w:rPr>
        <w:t>软硬件各类系统故障、BUG、错误、</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人的需求、投标人的各项承诺全部完成或解决之后，由投标人出具质保期运行质量报告，</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人确认合格后支付</w:t>
      </w:r>
      <w:r>
        <w:rPr>
          <w:rFonts w:hint="eastAsia" w:ascii="仿宋" w:hAnsi="仿宋" w:eastAsia="仿宋" w:cs="仿宋"/>
          <w:b w:val="0"/>
          <w:bCs/>
          <w:color w:val="auto"/>
          <w:szCs w:val="24"/>
          <w:highlight w:val="none"/>
          <w:lang w:val="en-US" w:eastAsia="zh-CN"/>
        </w:rPr>
        <w:t>货款</w:t>
      </w:r>
      <w:r>
        <w:rPr>
          <w:rFonts w:hint="eastAsia" w:ascii="仿宋" w:hAnsi="仿宋" w:eastAsia="仿宋" w:cs="仿宋"/>
          <w:b w:val="0"/>
          <w:bCs/>
          <w:color w:val="auto"/>
          <w:szCs w:val="24"/>
          <w:highlight w:val="none"/>
        </w:rPr>
        <w:t>。</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5、</w:t>
      </w:r>
      <w:r>
        <w:rPr>
          <w:rFonts w:hint="eastAsia" w:ascii="仿宋" w:hAnsi="仿宋" w:eastAsia="仿宋" w:cs="仿宋"/>
          <w:b w:val="0"/>
          <w:bCs/>
          <w:color w:val="auto"/>
          <w:szCs w:val="24"/>
          <w:highlight w:val="none"/>
        </w:rPr>
        <w:t>验收标准及依据：</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1）</w:t>
      </w:r>
      <w:r>
        <w:rPr>
          <w:rFonts w:hint="eastAsia" w:ascii="仿宋" w:hAnsi="仿宋" w:eastAsia="仿宋" w:cs="仿宋"/>
          <w:b w:val="0"/>
          <w:bCs/>
          <w:color w:val="auto"/>
          <w:szCs w:val="24"/>
          <w:highlight w:val="none"/>
        </w:rPr>
        <w:t>招标文件。</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2）</w:t>
      </w:r>
      <w:r>
        <w:rPr>
          <w:rFonts w:hint="eastAsia" w:ascii="仿宋" w:hAnsi="仿宋" w:eastAsia="仿宋" w:cs="仿宋"/>
          <w:b w:val="0"/>
          <w:bCs/>
          <w:color w:val="auto"/>
          <w:szCs w:val="24"/>
          <w:highlight w:val="none"/>
        </w:rPr>
        <w:t>中标人的投标文件。</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合同文本及合同补充文件（条款）。</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4）</w:t>
      </w:r>
      <w:r>
        <w:rPr>
          <w:rFonts w:hint="eastAsia" w:ascii="仿宋" w:hAnsi="仿宋" w:eastAsia="仿宋" w:cs="仿宋"/>
          <w:b w:val="0"/>
          <w:bCs/>
          <w:color w:val="auto"/>
          <w:szCs w:val="24"/>
          <w:highlight w:val="none"/>
        </w:rPr>
        <w:t>产品的合法来源渠道证明文件、响应功能证明材料。</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5）</w:t>
      </w:r>
      <w:r>
        <w:rPr>
          <w:rFonts w:hint="eastAsia" w:ascii="仿宋" w:hAnsi="仿宋" w:eastAsia="仿宋" w:cs="仿宋"/>
          <w:b w:val="0"/>
          <w:bCs/>
          <w:color w:val="auto"/>
          <w:szCs w:val="24"/>
          <w:highlight w:val="none"/>
        </w:rPr>
        <w:t>货物清单</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6）</w:t>
      </w:r>
      <w:r>
        <w:rPr>
          <w:rFonts w:hint="eastAsia" w:ascii="仿宋" w:hAnsi="仿宋" w:eastAsia="仿宋" w:cs="仿宋"/>
          <w:b w:val="0"/>
          <w:bCs/>
          <w:color w:val="auto"/>
          <w:szCs w:val="24"/>
          <w:highlight w:val="none"/>
        </w:rPr>
        <w:t>生产厂家的企业资质、货物的执行标准。</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6、</w:t>
      </w:r>
      <w:r>
        <w:rPr>
          <w:rFonts w:hint="eastAsia" w:ascii="仿宋" w:hAnsi="仿宋" w:eastAsia="仿宋" w:cs="仿宋"/>
          <w:b w:val="0"/>
          <w:bCs/>
          <w:color w:val="auto"/>
          <w:szCs w:val="24"/>
          <w:highlight w:val="none"/>
        </w:rPr>
        <w:t>正式验收前投标人至少需向</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人提交以下文档，具体以</w:t>
      </w:r>
      <w:r>
        <w:rPr>
          <w:rFonts w:hint="eastAsia" w:ascii="仿宋" w:hAnsi="仿宋" w:eastAsia="仿宋" w:cs="仿宋"/>
          <w:b w:val="0"/>
          <w:bCs/>
          <w:color w:val="auto"/>
          <w:szCs w:val="24"/>
          <w:highlight w:val="none"/>
          <w:lang w:val="en-US" w:eastAsia="zh-CN"/>
        </w:rPr>
        <w:t>采购</w:t>
      </w:r>
      <w:r>
        <w:rPr>
          <w:rFonts w:hint="eastAsia" w:ascii="仿宋" w:hAnsi="仿宋" w:eastAsia="仿宋" w:cs="仿宋"/>
          <w:b w:val="0"/>
          <w:bCs/>
          <w:color w:val="auto"/>
          <w:szCs w:val="24"/>
          <w:highlight w:val="none"/>
        </w:rPr>
        <w:t>人要求为准：</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1"/>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系统需求分析报告、项目建设方案、项目实施计划、项目实施过程文档、系统功能描述文档、系统使用手册、系统维护手册、系统架构描述文档、数据库结构文档、各系统自测报告、安装调试资料、培训文档、软硬件设备资料等。</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outlineLvl w:val="1"/>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八</w:t>
      </w:r>
      <w:r>
        <w:rPr>
          <w:rFonts w:hint="eastAsia" w:ascii="仿宋" w:hAnsi="仿宋" w:eastAsia="仿宋" w:cs="仿宋"/>
          <w:b/>
          <w:color w:val="auto"/>
          <w:szCs w:val="24"/>
          <w:highlight w:val="none"/>
        </w:rPr>
        <w:t>、合同实施：</w:t>
      </w:r>
      <w:bookmarkEnd w:id="94"/>
      <w:bookmarkEnd w:id="95"/>
      <w:bookmarkEnd w:id="96"/>
      <w:bookmarkStart w:id="100" w:name="_Toc167715264"/>
      <w:bookmarkStart w:id="101" w:name="_Toc167712869"/>
      <w:bookmarkStart w:id="102" w:name="_Toc167714067"/>
    </w:p>
    <w:bookmarkEnd w:id="100"/>
    <w:bookmarkEnd w:id="101"/>
    <w:bookmarkEnd w:id="102"/>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1、中标人应在合同签订后5个日历日内安排人员（项目组成人员简历表所列）与使用单位就送货、安装、调试、培训等工作进行安排、部署，否则视为违约，采购人有权无条件终止合同。</w:t>
      </w:r>
      <w:bookmarkStart w:id="103" w:name="_Toc167715265"/>
      <w:bookmarkStart w:id="104" w:name="_Toc167712870"/>
      <w:bookmarkStart w:id="105" w:name="_Toc167714068"/>
    </w:p>
    <w:bookmarkEnd w:id="103"/>
    <w:bookmarkEnd w:id="104"/>
    <w:bookmarkEnd w:id="105"/>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2、若未能在交货期内完成合同规定的义务，由此对采购人造成的延误和一切损失，由中标人承担和赔偿。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3、本采购项目中标人不能以任何形式进行转包或分包。</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outlineLvl w:val="1"/>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九</w:t>
      </w: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val="en-US" w:eastAsia="zh-CN"/>
        </w:rPr>
        <w:t>履约要求及</w:t>
      </w:r>
      <w:r>
        <w:rPr>
          <w:rFonts w:hint="eastAsia" w:ascii="仿宋" w:hAnsi="仿宋" w:eastAsia="仿宋" w:cs="仿宋"/>
          <w:b/>
          <w:color w:val="auto"/>
          <w:szCs w:val="24"/>
          <w:highlight w:val="none"/>
        </w:rPr>
        <w:t>违约责任：</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2"/>
        <w:rPr>
          <w:rFonts w:hint="eastAsia" w:ascii="仿宋" w:hAnsi="仿宋" w:eastAsia="仿宋" w:cs="仿宋"/>
          <w:color w:val="auto"/>
          <w:szCs w:val="24"/>
          <w:highlight w:val="none"/>
        </w:rPr>
      </w:pPr>
      <w:r>
        <w:rPr>
          <w:rFonts w:hint="eastAsia" w:ascii="仿宋" w:hAnsi="仿宋" w:eastAsia="仿宋" w:cs="仿宋"/>
          <w:color w:val="auto"/>
          <w:szCs w:val="24"/>
          <w:highlight w:val="none"/>
        </w:rPr>
        <w:t>1、按《中华人民共和国</w:t>
      </w:r>
      <w:r>
        <w:rPr>
          <w:rFonts w:hint="eastAsia" w:ascii="仿宋" w:hAnsi="仿宋" w:eastAsia="仿宋" w:cs="仿宋"/>
          <w:color w:val="auto"/>
          <w:szCs w:val="24"/>
          <w:highlight w:val="none"/>
          <w:lang w:val="en-US" w:eastAsia="zh-CN"/>
        </w:rPr>
        <w:t>民法典</w:t>
      </w:r>
      <w:r>
        <w:rPr>
          <w:rFonts w:hint="eastAsia" w:ascii="仿宋" w:hAnsi="仿宋" w:eastAsia="仿宋" w:cs="仿宋"/>
          <w:color w:val="auto"/>
          <w:szCs w:val="24"/>
          <w:highlight w:val="none"/>
        </w:rPr>
        <w:t>》中的相关条款执行。</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未按合同要求提供产品或产品设备质量不能满足技术要求，采购人有权终止合同，并对供方违约行为进行追究，同时按按《政府采购法》的有关规定进行处罚。</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2"/>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投标人应按照本项目招标文件中规定的交货时间交货和提供服务。</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2"/>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在履行合同过程中，如果中标人遇到可能妨碍按时交货和提供服务的情况，应及时以书面形式将拖延的事实，可能拖延的期限和理由通知</w:t>
      </w:r>
      <w:r>
        <w:rPr>
          <w:rFonts w:hint="eastAsia" w:ascii="仿宋" w:hAnsi="仿宋" w:eastAsia="仿宋" w:cs="仿宋"/>
          <w:color w:val="auto"/>
          <w:szCs w:val="24"/>
          <w:highlight w:val="none"/>
          <w:lang w:val="en-US" w:eastAsia="zh-CN"/>
        </w:rPr>
        <w:t>采购</w:t>
      </w:r>
      <w:r>
        <w:rPr>
          <w:rFonts w:hint="eastAsia" w:ascii="仿宋" w:hAnsi="仿宋" w:eastAsia="仿宋" w:cs="仿宋"/>
          <w:color w:val="auto"/>
          <w:szCs w:val="24"/>
          <w:highlight w:val="none"/>
        </w:rPr>
        <w:t>人。</w:t>
      </w:r>
      <w:r>
        <w:rPr>
          <w:rFonts w:hint="eastAsia" w:ascii="仿宋" w:hAnsi="仿宋" w:eastAsia="仿宋" w:cs="仿宋"/>
          <w:color w:val="auto"/>
          <w:szCs w:val="24"/>
          <w:highlight w:val="none"/>
          <w:lang w:val="en-US" w:eastAsia="zh-CN"/>
        </w:rPr>
        <w:t>采购</w:t>
      </w:r>
      <w:r>
        <w:rPr>
          <w:rFonts w:hint="eastAsia" w:ascii="仿宋" w:hAnsi="仿宋" w:eastAsia="仿宋" w:cs="仿宋"/>
          <w:color w:val="auto"/>
          <w:szCs w:val="24"/>
          <w:highlight w:val="none"/>
        </w:rPr>
        <w:t>人在收到中标方通知后，应尽快对情况进行评价，并确定是否通过修改合同，酌情延长交货时间或对投标人加收误期赔偿费。每延误一天的赔偿费按合同总价的百分之零点一（0.1%）计收，直至交货或提供服务为止。误期赔偿费的最高限额为合同总价的百分之五（5%）。一旦达到误期赔偿费的最高限额，</w:t>
      </w:r>
      <w:r>
        <w:rPr>
          <w:rFonts w:hint="eastAsia" w:ascii="仿宋" w:hAnsi="仿宋" w:eastAsia="仿宋" w:cs="仿宋"/>
          <w:color w:val="auto"/>
          <w:szCs w:val="24"/>
          <w:highlight w:val="none"/>
          <w:lang w:val="en-US" w:eastAsia="zh-CN"/>
        </w:rPr>
        <w:t>采购</w:t>
      </w:r>
      <w:r>
        <w:rPr>
          <w:rFonts w:hint="eastAsia" w:ascii="仿宋" w:hAnsi="仿宋" w:eastAsia="仿宋" w:cs="仿宋"/>
          <w:color w:val="auto"/>
          <w:szCs w:val="24"/>
          <w:highlight w:val="none"/>
        </w:rPr>
        <w:t>人可无根据招标文件违约终止合同条款终止合同。</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2"/>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招标文件中约定的其他违约情形及赔偿，</w:t>
      </w:r>
      <w:r>
        <w:rPr>
          <w:rFonts w:hint="eastAsia" w:ascii="仿宋" w:hAnsi="仿宋" w:eastAsia="仿宋" w:cs="仿宋"/>
          <w:color w:val="auto"/>
          <w:szCs w:val="24"/>
          <w:highlight w:val="none"/>
          <w:lang w:val="en-US" w:eastAsia="zh-CN"/>
        </w:rPr>
        <w:t>采购</w:t>
      </w:r>
      <w:r>
        <w:rPr>
          <w:rFonts w:hint="eastAsia" w:ascii="仿宋" w:hAnsi="仿宋" w:eastAsia="仿宋" w:cs="仿宋"/>
          <w:color w:val="auto"/>
          <w:szCs w:val="24"/>
          <w:highlight w:val="none"/>
        </w:rPr>
        <w:t>人同时保留索赔权力。</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2"/>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、合同中声明的其他违约条款。</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outlineLvl w:val="1"/>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十</w:t>
      </w: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val="en-US" w:eastAsia="zh-CN"/>
        </w:rPr>
        <w:t>其他要求</w:t>
      </w:r>
      <w:r>
        <w:rPr>
          <w:rFonts w:hint="eastAsia" w:ascii="仿宋" w:hAnsi="仿宋" w:eastAsia="仿宋" w:cs="仿宋"/>
          <w:b/>
          <w:color w:val="auto"/>
          <w:szCs w:val="24"/>
          <w:highlight w:val="none"/>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2"/>
          <w:sz w:val="24"/>
          <w:szCs w:val="22"/>
          <w:lang w:val="en-US" w:eastAsia="zh-CN" w:bidi="ar-SA"/>
        </w:rPr>
        <w:t>1、凡因投标人对本技术规格要求阅读不深、理解不透、误解、疏漏、或因市场行情了解不清造成的后果和风险均由投标人自负。</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2"/>
          <w:sz w:val="24"/>
          <w:szCs w:val="22"/>
          <w:lang w:val="en-US" w:eastAsia="zh-CN" w:bidi="ar-SA"/>
        </w:rPr>
        <w:t>2、投标报价为包含软件、硬件、必备配件、线材、包装、运杂、安装、调试、工程实施、培训、原厂服务、工程进场配合费、软件修改、试运行、系统启用、质保服务、二次开发、硬件维修、系统集成、网络集成、本侧软件接口费、本项目软件与其它财务核算系统、HRP相关业务系统、HIS等第三方系统接口费及其它相关的所有费用。投标报价表中标明的价格，在合同执行过程中是固定不变的，不得以任何理由变更。</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2"/>
          <w:sz w:val="24"/>
          <w:szCs w:val="22"/>
          <w:lang w:val="en-US" w:eastAsia="zh-CN" w:bidi="ar-SA"/>
        </w:rPr>
        <w:t>3、本招标项目为交钥匙一揽子工程，完工后能实现并达到招标文件要求的正常使用的标准，且不增加任何费用。</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2"/>
          <w:sz w:val="24"/>
          <w:szCs w:val="22"/>
          <w:lang w:val="en-US" w:eastAsia="zh-CN" w:bidi="ar-SA"/>
        </w:rPr>
        <w:t>4、本招标文件采购的软硬件使用许可均为一次性注册永久使用许可，投标人在须对此进行承诺，并在投标文件中提供承诺书。</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2"/>
          <w:sz w:val="24"/>
          <w:szCs w:val="22"/>
          <w:lang w:val="en-US" w:eastAsia="zh-CN" w:bidi="ar-SA"/>
        </w:rPr>
        <w:t>5、本招标文件采购的软件、硬件系统使用部门的数量，以及在每部门使用的各类终端数量不受限制，采购人可以根据需求自由扩展，且不增加任何费用；</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default"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6、投标人需对所投产品在质保期内提供原厂质保服务进行承诺。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2"/>
          <w:sz w:val="24"/>
          <w:szCs w:val="22"/>
          <w:lang w:val="en-US" w:eastAsia="zh-CN" w:bidi="ar-SA"/>
        </w:rPr>
        <w:t>7、投标人对于软硬件中功能拓展可能产生的费用须进行详细说明。</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2"/>
          <w:sz w:val="24"/>
          <w:szCs w:val="22"/>
          <w:lang w:val="en-US" w:eastAsia="zh-CN" w:bidi="ar-SA"/>
        </w:rPr>
        <w:t>8、因投标人提供的软硬件产品本身设计缺陷或其他原因可能产生的功能限制，须在招标文件中向详细说明和提醒，因未详细说明和提醒采购人，造成采购人无法使用系统或产生损失的，由投标人承担所有责任。</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2"/>
          <w:sz w:val="24"/>
          <w:szCs w:val="22"/>
          <w:lang w:val="en-US" w:eastAsia="zh-CN" w:bidi="ar-SA"/>
        </w:rPr>
        <w:t>9、采购人本次采购的产品所产生的数据信息属采购人所有，并适用于保密条款，未经采购人书面允许，投标人不得复制、拷贝或用作其他用途，如因投标人擅自使用或泄密造成采购人损失的，由投标人承担违约责任，并赔偿采购人损失金。</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outlineLvl w:val="2"/>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2"/>
          <w:sz w:val="24"/>
          <w:szCs w:val="22"/>
          <w:lang w:val="en-US" w:eastAsia="zh-CN" w:bidi="ar-SA"/>
        </w:rPr>
        <w:t>10、系统实施期间，投标人对投标人施工人员人身安全及其财产安全负全责，并确保实施过程中涉及的采购人资产安全。</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rPr>
          <w:rFonts w:hint="eastAsia" w:ascii="仿宋" w:hAnsi="仿宋" w:eastAsia="仿宋" w:cs="仿宋"/>
          <w:strike/>
          <w:color w:val="000000"/>
          <w:sz w:val="24"/>
          <w:highlight w:val="cyan"/>
        </w:rPr>
      </w:pPr>
      <w:bookmarkStart w:id="106" w:name="_Toc20450"/>
      <w:bookmarkEnd w:id="106"/>
      <w:bookmarkStart w:id="107" w:name="_Toc110341738"/>
      <w:bookmarkEnd w:id="107"/>
    </w:p>
    <w:p>
      <w:pPr>
        <w:rPr>
          <w:rFonts w:ascii="仿宋" w:hAnsi="仿宋" w:eastAsia="仿宋" w:cs="仿宋"/>
          <w:b/>
          <w:color w:val="auto"/>
          <w:sz w:val="44"/>
          <w:szCs w:val="44"/>
          <w:highlight w:val="none"/>
        </w:rPr>
      </w:pPr>
      <w:r>
        <w:rPr>
          <w:rFonts w:ascii="仿宋" w:hAnsi="仿宋" w:eastAsia="仿宋" w:cs="仿宋"/>
          <w:b/>
          <w:color w:val="auto"/>
          <w:highlight w:val="none"/>
        </w:rPr>
        <mc:AlternateContent>
          <mc:Choice Requires="wps">
            <w:drawing>
              <wp:inline distT="0" distB="0" distL="0" distR="0">
                <wp:extent cx="5487670" cy="493395"/>
                <wp:effectExtent l="4445" t="5080" r="13334" b="15875"/>
                <wp:docPr id="1029" name="文本框 17"/>
                <wp:cNvGraphicFramePr/>
                <a:graphic xmlns:a="http://schemas.openxmlformats.org/drawingml/2006/main">
                  <a:graphicData uri="http://schemas.microsoft.com/office/word/2010/wordprocessingShape">
                    <wps:wsp>
                      <wps:cNvSpPr/>
                      <wps:spPr>
                        <a:xfrm>
                          <a:off x="0" y="0"/>
                          <a:ext cx="5487670"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upright="1"/>
                    </wps:wsp>
                  </a:graphicData>
                </a:graphic>
              </wp:inline>
            </w:drawing>
          </mc:Choice>
          <mc:Fallback>
            <w:pict>
              <v:rect id="文本框 17" o:spid="_x0000_s1026" o:spt="1" style="height:38.85pt;width:432.1pt;" fillcolor="#FFFFFF" filled="t" stroked="t" coordsize="21600,21600" o:gfxdata="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2fPZ3UAAAABAEAAA8AAAAAAAAAAQAgAAAAIgAAAGRy&#10;cy9kb3ducmV2LnhtbFBLAQIUABQAAAAIAIdO4kD50T6OCQIAADAEAAAOAAAAAAAAAAEAIAAAACMB&#10;AABkcnMvZTJvRG9jLnhtbFBLBQYAAAAABgAGAFkBAACeBQAAAAA=&#10;">
                <v:fill on="t" focussize="0,0"/>
                <v:stroke color="#000000" joinstyle="miter"/>
                <v:imagedata o:title=""/>
                <o:lock v:ext="edit" aspectratio="f"/>
                <v:textbo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none"/>
                <w10:anchorlock/>
              </v:rect>
            </w:pict>
          </mc:Fallback>
        </mc:AlternateContent>
      </w:r>
      <w:r>
        <w:rPr>
          <w:rFonts w:ascii="仿宋" w:hAnsi="仿宋" w:eastAsia="仿宋" w:cs="仿宋"/>
          <w:b/>
          <w:color w:val="auto"/>
          <w:sz w:val="44"/>
          <w:szCs w:val="44"/>
          <w:highlight w:val="none"/>
        </w:rPr>
        <w:br w:type="page"/>
      </w:r>
    </w:p>
    <w:p>
      <w:pPr>
        <w:pStyle w:val="8"/>
        <w:rPr>
          <w:highlight w:val="none"/>
        </w:rPr>
      </w:pPr>
    </w:p>
    <w:p>
      <w:pPr>
        <w:pStyle w:val="3"/>
        <w:spacing w:line="560" w:lineRule="exact"/>
        <w:jc w:val="center"/>
        <w:rPr>
          <w:rFonts w:ascii="仿宋" w:hAnsi="仿宋" w:eastAsia="仿宋" w:cs="仿宋"/>
          <w:color w:val="auto"/>
          <w:szCs w:val="24"/>
          <w:highlight w:val="none"/>
        </w:rPr>
      </w:pPr>
      <w:bookmarkStart w:id="108" w:name="_Toc458617469"/>
      <w:bookmarkStart w:id="109" w:name="_Toc458617746"/>
      <w:bookmarkStart w:id="110" w:name="_Toc25447"/>
      <w:r>
        <w:rPr>
          <w:rFonts w:hint="eastAsia" w:ascii="仿宋" w:hAnsi="仿宋" w:eastAsia="仿宋" w:cs="仿宋"/>
          <w:color w:val="auto"/>
          <w:highlight w:val="none"/>
        </w:rPr>
        <w:t>第五章  合同条款</w:t>
      </w:r>
      <w:bookmarkEnd w:id="108"/>
      <w:bookmarkEnd w:id="109"/>
      <w:bookmarkEnd w:id="110"/>
      <w:r>
        <w:rPr>
          <w:rFonts w:hint="eastAsia" w:ascii="仿宋" w:hAnsi="仿宋" w:eastAsia="仿宋" w:cs="仿宋"/>
          <w:color w:val="auto"/>
          <w:sz w:val="36"/>
          <w:szCs w:val="36"/>
          <w:highlight w:val="none"/>
        </w:rPr>
        <w:t>（仅供参考）</w:t>
      </w:r>
    </w:p>
    <w:p>
      <w:pPr>
        <w:keepNext w:val="0"/>
        <w:keepLines w:val="0"/>
        <w:pageBreakBefore w:val="0"/>
        <w:kinsoku/>
        <w:overflowPunct/>
        <w:bidi w:val="0"/>
        <w:spacing w:line="560" w:lineRule="exact"/>
        <w:textAlignment w:val="auto"/>
        <w:outlineLvl w:val="1"/>
        <w:rPr>
          <w:rFonts w:ascii="仿宋" w:hAnsi="仿宋" w:eastAsia="仿宋" w:cs="仿宋"/>
          <w:b/>
          <w:color w:val="auto"/>
          <w:sz w:val="18"/>
          <w:szCs w:val="18"/>
          <w:highlight w:val="none"/>
          <w:u w:color="FF0000"/>
        </w:rPr>
      </w:pPr>
      <w:r>
        <w:rPr>
          <w:rFonts w:hint="eastAsia" w:ascii="仿宋" w:hAnsi="仿宋" w:eastAsia="仿宋" w:cs="仿宋"/>
          <w:color w:val="auto"/>
          <w:szCs w:val="24"/>
          <w:highlight w:val="none"/>
        </w:rPr>
        <w:t>一、供货合同格式</w:t>
      </w:r>
    </w:p>
    <w:p>
      <w:pPr>
        <w:keepNext w:val="0"/>
        <w:keepLines w:val="0"/>
        <w:pageBreakBefore w:val="0"/>
        <w:widowControl/>
        <w:kinsoku/>
        <w:wordWrap w:val="0"/>
        <w:overflowPunct/>
        <w:topLinePunct/>
        <w:bidi w:val="0"/>
        <w:spacing w:line="560" w:lineRule="exact"/>
        <w:ind w:right="-226" w:rightChars="-94" w:firstLine="480" w:firstLineChars="200"/>
        <w:jc w:val="left"/>
        <w:textAlignment w:val="auto"/>
        <w:rPr>
          <w:rFonts w:ascii="仿宋" w:hAnsi="仿宋" w:eastAsia="仿宋" w:cs="仿宋"/>
          <w:color w:val="auto"/>
          <w:kern w:val="0"/>
          <w:szCs w:val="24"/>
          <w:highlight w:val="none"/>
        </w:rPr>
      </w:pPr>
      <w:r>
        <w:rPr>
          <w:rFonts w:hint="eastAsia" w:ascii="仿宋" w:hAnsi="仿宋" w:eastAsia="仿宋" w:cs="仿宋"/>
          <w:color w:val="auto"/>
          <w:szCs w:val="24"/>
          <w:highlight w:val="none"/>
          <w:lang w:eastAsia="zh-CN"/>
        </w:rPr>
        <w:t>凤翔区医院财务管理相关软件采购</w:t>
      </w:r>
      <w:r>
        <w:rPr>
          <w:rFonts w:hint="eastAsia" w:ascii="仿宋" w:hAnsi="仿宋" w:eastAsia="仿宋" w:cs="仿宋"/>
          <w:color w:val="auto"/>
          <w:szCs w:val="24"/>
          <w:highlight w:val="none"/>
        </w:rPr>
        <w:t xml:space="preserve"> (文件编号：</w:t>
      </w:r>
      <w:r>
        <w:rPr>
          <w:rFonts w:hint="eastAsia" w:ascii="仿宋" w:hAnsi="仿宋" w:eastAsia="仿宋" w:cs="仿宋"/>
          <w:color w:val="auto"/>
          <w:szCs w:val="24"/>
          <w:highlight w:val="none"/>
          <w:lang w:eastAsia="zh-CN"/>
        </w:rPr>
        <w:t>HZGH-2023-059</w:t>
      </w:r>
      <w:r>
        <w:rPr>
          <w:rFonts w:hint="eastAsia" w:ascii="仿宋" w:hAnsi="仿宋" w:eastAsia="仿宋" w:cs="仿宋"/>
          <w:color w:val="auto"/>
          <w:szCs w:val="24"/>
          <w:highlight w:val="none"/>
        </w:rPr>
        <w:t>)，在宝鸡市凤翔区财政局的监督管理</w:t>
      </w:r>
      <w:r>
        <w:rPr>
          <w:rFonts w:hint="eastAsia" w:ascii="仿宋" w:hAnsi="仿宋" w:eastAsia="仿宋" w:cs="仿宋"/>
          <w:color w:val="auto"/>
          <w:kern w:val="0"/>
          <w:szCs w:val="24"/>
          <w:highlight w:val="none"/>
        </w:rPr>
        <w:t>下，由华招广和项目管理有限公司组织公开招标。</w:t>
      </w:r>
    </w:p>
    <w:p>
      <w:pPr>
        <w:keepNext w:val="0"/>
        <w:keepLines w:val="0"/>
        <w:pageBreakBefore w:val="0"/>
        <w:kinsoku/>
        <w:overflowPunct/>
        <w:bidi w:val="0"/>
        <w:spacing w:line="560" w:lineRule="exact"/>
        <w:ind w:right="240" w:rightChars="100" w:firstLine="480" w:firstLineChars="2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依据《中华人民共和国民法典》、《中华人民共和国政府采购法》《中华人民共和国政府采购法实施条例》，买方通过公开招标采购</w:t>
      </w:r>
      <w:r>
        <w:rPr>
          <w:rFonts w:hint="eastAsia" w:ascii="仿宋" w:hAnsi="仿宋" w:eastAsia="仿宋" w:cs="仿宋"/>
          <w:color w:val="auto"/>
          <w:kern w:val="0"/>
          <w:szCs w:val="24"/>
          <w:highlight w:val="none"/>
          <w:u w:val="single"/>
        </w:rPr>
        <w:t xml:space="preserve">（货物名称） </w:t>
      </w:r>
      <w:r>
        <w:rPr>
          <w:rFonts w:hint="eastAsia" w:ascii="仿宋" w:hAnsi="仿宋" w:eastAsia="仿宋" w:cs="仿宋"/>
          <w:color w:val="auto"/>
          <w:kern w:val="0"/>
          <w:szCs w:val="24"/>
          <w:highlight w:val="none"/>
        </w:rPr>
        <w:t>，并接受了卖方以价格</w:t>
      </w:r>
      <w:r>
        <w:rPr>
          <w:rFonts w:hint="eastAsia" w:ascii="仿宋" w:hAnsi="仿宋" w:eastAsia="仿宋" w:cs="仿宋"/>
          <w:color w:val="auto"/>
          <w:kern w:val="0"/>
          <w:szCs w:val="24"/>
          <w:highlight w:val="none"/>
          <w:u w:val="single"/>
        </w:rPr>
        <w:t>(中标金额大写)</w:t>
      </w:r>
      <w:r>
        <w:rPr>
          <w:rFonts w:hint="eastAsia" w:ascii="仿宋" w:hAnsi="仿宋" w:eastAsia="仿宋" w:cs="仿宋"/>
          <w:color w:val="auto"/>
          <w:kern w:val="0"/>
          <w:szCs w:val="24"/>
          <w:highlight w:val="none"/>
        </w:rPr>
        <w:t>(以下简称“合同价”)提供的产品及服务。</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bookmarkStart w:id="111" w:name="_Toc193187095"/>
      <w:bookmarkStart w:id="112" w:name="_Toc194663916"/>
      <w:bookmarkStart w:id="113" w:name="_Toc193126879"/>
      <w:bookmarkStart w:id="114" w:name="_Toc188808831"/>
      <w:r>
        <w:rPr>
          <w:rFonts w:hint="eastAsia" w:ascii="仿宋" w:hAnsi="仿宋" w:eastAsia="仿宋" w:cs="仿宋"/>
          <w:color w:val="auto"/>
          <w:szCs w:val="24"/>
          <w:highlight w:val="none"/>
        </w:rPr>
        <w:t>本合同在此声明如下：</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1、本合同中的词语和术语的含义与合同条款中定义的相同。</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2、下述文件是本合同的一部分，并与本合同一起阅读和解释：</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1）合同条款</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2）合同条款附件</w:t>
      </w:r>
    </w:p>
    <w:p>
      <w:pPr>
        <w:keepNext w:val="0"/>
        <w:keepLines w:val="0"/>
        <w:pageBreakBefore w:val="0"/>
        <w:kinsoku/>
        <w:overflowPunct/>
        <w:bidi w:val="0"/>
        <w:spacing w:line="560" w:lineRule="exact"/>
        <w:ind w:firstLine="840" w:firstLineChars="35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附件1—设备清单</w:t>
      </w:r>
    </w:p>
    <w:p>
      <w:pPr>
        <w:keepNext w:val="0"/>
        <w:keepLines w:val="0"/>
        <w:pageBreakBefore w:val="0"/>
        <w:kinsoku/>
        <w:overflowPunct/>
        <w:bidi w:val="0"/>
        <w:spacing w:line="560" w:lineRule="exact"/>
        <w:ind w:firstLine="840" w:firstLineChars="35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附件2—质量保证承诺</w:t>
      </w:r>
    </w:p>
    <w:p>
      <w:pPr>
        <w:keepNext w:val="0"/>
        <w:keepLines w:val="0"/>
        <w:pageBreakBefore w:val="0"/>
        <w:kinsoku/>
        <w:overflowPunct/>
        <w:bidi w:val="0"/>
        <w:spacing w:line="560" w:lineRule="exact"/>
        <w:ind w:firstLine="840" w:firstLineChars="35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附件3—售后服务方案</w:t>
      </w:r>
    </w:p>
    <w:p>
      <w:pPr>
        <w:keepNext w:val="0"/>
        <w:keepLines w:val="0"/>
        <w:pageBreakBefore w:val="0"/>
        <w:kinsoku/>
        <w:overflowPunct/>
        <w:bidi w:val="0"/>
        <w:spacing w:line="560" w:lineRule="exact"/>
        <w:ind w:firstLine="840" w:firstLineChars="35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附件4—培训计划</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3）中标通知书</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4）招标文件</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5）投标文件</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3、考虑到买方将按照本合同向卖方支付货款，卖方在此保证全部按照合同的规定向买方提供货物和服务，并修补缺陷。</w:t>
      </w:r>
    </w:p>
    <w:p>
      <w:pPr>
        <w:keepNext w:val="0"/>
        <w:keepLines w:val="0"/>
        <w:pageBreakBefore w:val="0"/>
        <w:kinsoku/>
        <w:overflowPunct/>
        <w:bidi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kinsoku/>
        <w:overflowPunct/>
        <w:bidi w:val="0"/>
        <w:spacing w:line="560" w:lineRule="exact"/>
        <w:ind w:firstLine="480" w:firstLineChars="200"/>
        <w:textAlignment w:val="auto"/>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5、付款方式：</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合同签订、系统全面启动、使用正常并正式验收合格后付合同总金额的90%，从正式验收合格之日起满1年、运行质量无问题后一次性付清剩余10%。</w:t>
      </w:r>
    </w:p>
    <w:p>
      <w:pPr>
        <w:keepNext w:val="0"/>
        <w:keepLines w:val="0"/>
        <w:pageBreakBefore w:val="0"/>
        <w:kinsoku/>
        <w:overflowPunct/>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6、交 货 期：</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pPr>
        <w:keepNext w:val="0"/>
        <w:keepLines w:val="0"/>
        <w:pageBreakBefore w:val="0"/>
        <w:kinsoku/>
        <w:overflowPunct/>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交货地点：</w:t>
      </w:r>
      <w:r>
        <w:rPr>
          <w:rFonts w:hint="eastAsia" w:ascii="仿宋" w:hAnsi="仿宋" w:eastAsia="仿宋" w:cs="仿宋"/>
          <w:color w:val="auto"/>
          <w:szCs w:val="24"/>
          <w:highlight w:val="none"/>
          <w:lang w:eastAsia="zh-CN"/>
        </w:rPr>
        <w:t>宝鸡市凤翔区医院</w:t>
      </w:r>
      <w:r>
        <w:rPr>
          <w:rFonts w:hint="eastAsia" w:ascii="仿宋" w:hAnsi="仿宋" w:eastAsia="仿宋" w:cs="仿宋"/>
          <w:color w:val="auto"/>
          <w:szCs w:val="24"/>
          <w:highlight w:val="none"/>
        </w:rPr>
        <w:t xml:space="preserve">指定地点。                           </w:t>
      </w:r>
    </w:p>
    <w:p>
      <w:pPr>
        <w:keepNext w:val="0"/>
        <w:keepLines w:val="0"/>
        <w:pageBreakBefore w:val="0"/>
        <w:kinsoku/>
        <w:overflowPunct/>
        <w:bidi w:val="0"/>
        <w:adjustRightInd w:val="0"/>
        <w:snapToGrid w:val="0"/>
        <w:spacing w:line="56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7、本合同一式伍份，其中，买方贰份，卖方贰份，采购代理机构备案壹份。</w:t>
      </w:r>
    </w:p>
    <w:p>
      <w:pPr>
        <w:keepNext w:val="0"/>
        <w:keepLines w:val="0"/>
        <w:pageBreakBefore w:val="0"/>
        <w:kinsoku/>
        <w:overflowPunct/>
        <w:bidi w:val="0"/>
        <w:adjustRightInd w:val="0"/>
        <w:snapToGrid w:val="0"/>
        <w:spacing w:line="560" w:lineRule="exact"/>
        <w:ind w:firstLine="480" w:firstLineChars="20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8、本合同由买卖双方共同签字盖章，自买卖双方签字盖章之日起生效。</w:t>
      </w:r>
    </w:p>
    <w:tbl>
      <w:tblPr>
        <w:tblStyle w:val="22"/>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买方名称： </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邮    编：</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电    话：</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传    真：</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autoSpaceDE w:val="0"/>
              <w:autoSpaceDN w:val="0"/>
              <w:bidi w:val="0"/>
              <w:spacing w:line="560" w:lineRule="exact"/>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年  月  日     </w:t>
            </w:r>
          </w:p>
        </w:tc>
        <w:tc>
          <w:tcPr>
            <w:tcW w:w="3936" w:type="dxa"/>
            <w:tcMar>
              <w:top w:w="113" w:type="dxa"/>
              <w:left w:w="113" w:type="dxa"/>
              <w:bottom w:w="113" w:type="dxa"/>
              <w:right w:w="113" w:type="dxa"/>
            </w:tcMar>
          </w:tcPr>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卖方名称：</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邮    编： </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电    话： </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传    真：  </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开户银行：</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帐    号：</w:t>
            </w:r>
          </w:p>
          <w:p>
            <w:pPr>
              <w:keepNext w:val="0"/>
              <w:keepLines w:val="0"/>
              <w:pageBreakBefore w:val="0"/>
              <w:kinsoku/>
              <w:overflowPunct/>
              <w:autoSpaceDE w:val="0"/>
              <w:autoSpaceDN w:val="0"/>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bidi w:val="0"/>
              <w:spacing w:line="560" w:lineRule="exact"/>
              <w:ind w:left="240" w:leftChars="1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年  月  日</w:t>
            </w:r>
          </w:p>
        </w:tc>
        <w:tc>
          <w:tcPr>
            <w:tcW w:w="3936" w:type="dxa"/>
            <w:tcMar>
              <w:top w:w="113" w:type="dxa"/>
              <w:left w:w="113" w:type="dxa"/>
              <w:bottom w:w="113" w:type="dxa"/>
              <w:right w:w="113" w:type="dxa"/>
            </w:tcMar>
          </w:tcPr>
          <w:p>
            <w:pPr>
              <w:keepNext w:val="0"/>
              <w:keepLines w:val="0"/>
              <w:pageBreakBefore w:val="0"/>
              <w:kinsoku/>
              <w:overflowPunct/>
              <w:bidi w:val="0"/>
              <w:spacing w:line="560" w:lineRule="exact"/>
              <w:ind w:left="240" w:leftChars="100"/>
              <w:textAlignment w:val="auto"/>
              <w:rPr>
                <w:rFonts w:ascii="仿宋" w:hAnsi="仿宋" w:eastAsia="仿宋" w:cs="仿宋"/>
                <w:color w:val="auto"/>
                <w:szCs w:val="24"/>
                <w:highlight w:val="none"/>
              </w:rPr>
            </w:pPr>
          </w:p>
        </w:tc>
        <w:tc>
          <w:tcPr>
            <w:tcW w:w="3936" w:type="dxa"/>
            <w:tcMar>
              <w:top w:w="113" w:type="dxa"/>
              <w:left w:w="113" w:type="dxa"/>
              <w:bottom w:w="113" w:type="dxa"/>
              <w:right w:w="113" w:type="dxa"/>
            </w:tcMar>
          </w:tcPr>
          <w:p>
            <w:pPr>
              <w:keepNext w:val="0"/>
              <w:keepLines w:val="0"/>
              <w:pageBreakBefore w:val="0"/>
              <w:kinsoku/>
              <w:overflowPunct/>
              <w:bidi w:val="0"/>
              <w:spacing w:line="560" w:lineRule="exact"/>
              <w:ind w:left="240" w:leftChars="100"/>
              <w:textAlignment w:val="auto"/>
              <w:rPr>
                <w:rFonts w:ascii="仿宋" w:hAnsi="仿宋" w:eastAsia="仿宋" w:cs="仿宋"/>
                <w:color w:val="auto"/>
                <w:szCs w:val="24"/>
                <w:highlight w:val="none"/>
              </w:rPr>
            </w:pPr>
          </w:p>
        </w:tc>
      </w:tr>
      <w:bookmarkEnd w:id="111"/>
      <w:bookmarkEnd w:id="112"/>
      <w:bookmarkEnd w:id="113"/>
      <w:bookmarkEnd w:id="114"/>
    </w:tbl>
    <w:p>
      <w:pPr>
        <w:keepNext w:val="0"/>
        <w:keepLines w:val="0"/>
        <w:pageBreakBefore w:val="0"/>
        <w:kinsoku/>
        <w:overflowPunct/>
        <w:bidi w:val="0"/>
        <w:spacing w:line="560" w:lineRule="exact"/>
        <w:textAlignment w:val="auto"/>
        <w:rPr>
          <w:rFonts w:ascii="仿宋" w:hAnsi="仿宋" w:eastAsia="仿宋" w:cs="仿宋"/>
          <w:color w:val="auto"/>
          <w:szCs w:val="24"/>
          <w:highlight w:val="none"/>
        </w:rPr>
      </w:pPr>
    </w:p>
    <w:p>
      <w:pPr>
        <w:rPr>
          <w:rFonts w:ascii="仿宋" w:hAnsi="仿宋" w:eastAsia="仿宋" w:cs="仿宋"/>
          <w:color w:val="auto"/>
          <w:szCs w:val="24"/>
          <w:highlight w:val="none"/>
        </w:rPr>
      </w:pPr>
      <w:r>
        <w:rPr>
          <w:rFonts w:hint="eastAsia" w:ascii="仿宋" w:hAnsi="仿宋" w:eastAsia="仿宋" w:cs="仿宋"/>
          <w:color w:val="auto"/>
          <w:szCs w:val="24"/>
          <w:highlight w:val="none"/>
        </w:rPr>
        <w:br w:type="page"/>
      </w:r>
    </w:p>
    <w:p>
      <w:pPr>
        <w:spacing w:line="560" w:lineRule="exact"/>
        <w:outlineLvl w:val="1"/>
        <w:rPr>
          <w:rFonts w:ascii="仿宋" w:hAnsi="仿宋" w:eastAsia="仿宋" w:cs="仿宋"/>
          <w:color w:val="auto"/>
          <w:szCs w:val="24"/>
          <w:highlight w:val="none"/>
        </w:rPr>
      </w:pPr>
      <w:r>
        <w:rPr>
          <w:rFonts w:hint="eastAsia" w:ascii="仿宋" w:hAnsi="仿宋" w:eastAsia="仿宋" w:cs="仿宋"/>
          <w:color w:val="auto"/>
          <w:szCs w:val="24"/>
          <w:highlight w:val="none"/>
        </w:rPr>
        <w:t>二、合同条款</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kern w:val="0"/>
          <w:szCs w:val="24"/>
          <w:highlight w:val="none"/>
        </w:rPr>
        <w:t>1、定义</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本合同下列术语应解释为：</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1-2、“货物”系指卖方根据本合同规定须向买方提供的一切</w:t>
      </w:r>
      <w:r>
        <w:rPr>
          <w:rFonts w:hint="eastAsia" w:ascii="仿宋" w:hAnsi="仿宋" w:eastAsia="仿宋" w:cs="仿宋"/>
          <w:color w:val="auto"/>
          <w:szCs w:val="24"/>
          <w:highlight w:val="none"/>
          <w:lang w:val="en-US" w:eastAsia="zh-CN"/>
        </w:rPr>
        <w:t>软件</w:t>
      </w:r>
      <w:r>
        <w:rPr>
          <w:rFonts w:hint="eastAsia" w:ascii="仿宋" w:hAnsi="仿宋" w:eastAsia="仿宋" w:cs="仿宋"/>
          <w:color w:val="auto"/>
          <w:szCs w:val="24"/>
          <w:highlight w:val="none"/>
        </w:rPr>
        <w:t>产品、部件或其它材料。</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ascii="仿宋" w:hAnsi="仿宋" w:eastAsia="仿宋" w:cs="仿宋"/>
          <w:color w:val="auto"/>
          <w:szCs w:val="24"/>
          <w:highlight w:val="none"/>
        </w:rPr>
        <w:t>3</w:t>
      </w:r>
      <w:r>
        <w:rPr>
          <w:rFonts w:hint="eastAsia" w:ascii="仿宋" w:hAnsi="仿宋" w:eastAsia="仿宋" w:cs="仿宋"/>
          <w:color w:val="auto"/>
          <w:szCs w:val="24"/>
          <w:highlight w:val="none"/>
        </w:rPr>
        <w:t>、“服务”系指根据本合同规定卖方承担与供货有关的辅助服务如运输、保险以及其它的伴随服务，例如调试、提供技术援助、培训和合同中规定卖方应承担的其它义务。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ascii="仿宋" w:hAnsi="仿宋" w:eastAsia="仿宋" w:cs="仿宋"/>
          <w:color w:val="auto"/>
          <w:szCs w:val="24"/>
          <w:highlight w:val="none"/>
        </w:rPr>
        <w:t>4</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项目现场”系指本合同项下货物安装、运行的场地。</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ascii="仿宋" w:hAnsi="仿宋" w:eastAsia="仿宋" w:cs="仿宋"/>
          <w:color w:val="auto"/>
          <w:szCs w:val="24"/>
          <w:highlight w:val="none"/>
        </w:rPr>
        <w:t>5</w:t>
      </w:r>
      <w:r>
        <w:rPr>
          <w:rFonts w:hint="eastAsia" w:ascii="仿宋" w:hAnsi="仿宋" w:eastAsia="仿宋" w:cs="仿宋"/>
          <w:color w:val="auto"/>
          <w:szCs w:val="24"/>
          <w:highlight w:val="none"/>
        </w:rPr>
        <w:t>、“合同条款”系指本合同条款。</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ascii="仿宋" w:hAnsi="仿宋" w:eastAsia="仿宋" w:cs="仿宋"/>
          <w:color w:val="auto"/>
          <w:szCs w:val="24"/>
          <w:highlight w:val="none"/>
        </w:rPr>
        <w:t>6</w:t>
      </w:r>
      <w:r>
        <w:rPr>
          <w:rFonts w:hint="eastAsia" w:ascii="仿宋" w:hAnsi="仿宋" w:eastAsia="仿宋" w:cs="仿宋"/>
          <w:color w:val="auto"/>
          <w:szCs w:val="24"/>
          <w:highlight w:val="none"/>
        </w:rPr>
        <w:t>、“买方”是指购买货物和服务的单位即</w:t>
      </w:r>
      <w:r>
        <w:rPr>
          <w:rFonts w:hint="eastAsia" w:ascii="仿宋" w:hAnsi="仿宋" w:eastAsia="仿宋" w:cs="仿宋"/>
          <w:color w:val="auto"/>
          <w:szCs w:val="24"/>
          <w:highlight w:val="none"/>
          <w:lang w:eastAsia="zh-CN"/>
        </w:rPr>
        <w:t>宝鸡市凤翔区医院</w:t>
      </w:r>
      <w:r>
        <w:rPr>
          <w:rFonts w:hint="eastAsia" w:ascii="仿宋" w:hAnsi="仿宋" w:eastAsia="仿宋" w:cs="仿宋"/>
          <w:color w:val="auto"/>
          <w:szCs w:val="24"/>
          <w:highlight w:val="none"/>
        </w:rPr>
        <w:t>。</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ascii="仿宋" w:hAnsi="仿宋" w:eastAsia="仿宋" w:cs="仿宋"/>
          <w:color w:val="auto"/>
          <w:szCs w:val="24"/>
          <w:highlight w:val="none"/>
        </w:rPr>
        <w:t>7</w:t>
      </w:r>
      <w:r>
        <w:rPr>
          <w:rFonts w:hint="eastAsia" w:ascii="仿宋" w:hAnsi="仿宋" w:eastAsia="仿宋" w:cs="仿宋"/>
          <w:color w:val="auto"/>
          <w:szCs w:val="24"/>
          <w:highlight w:val="none"/>
        </w:rPr>
        <w:t>、“卖方”是指提供本合同内的货物和服务的公司或其它实体即中标人。</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ascii="仿宋" w:hAnsi="仿宋" w:eastAsia="仿宋" w:cs="仿宋"/>
          <w:color w:val="auto"/>
          <w:szCs w:val="24"/>
          <w:highlight w:val="none"/>
        </w:rPr>
        <w:t>8</w:t>
      </w:r>
      <w:r>
        <w:rPr>
          <w:rFonts w:hint="eastAsia" w:ascii="仿宋" w:hAnsi="仿宋" w:eastAsia="仿宋" w:cs="仿宋"/>
          <w:color w:val="auto"/>
          <w:szCs w:val="24"/>
          <w:highlight w:val="none"/>
        </w:rPr>
        <w:t>、“天”指日历天数。</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2、适用性</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本合同条款适用于没有被本项目招标文件规定条款、卖方的投标文件承诺条款所取代的范围。</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kern w:val="0"/>
          <w:szCs w:val="24"/>
          <w:highlight w:val="none"/>
        </w:rPr>
        <w:t>3、</w:t>
      </w:r>
      <w:r>
        <w:rPr>
          <w:rFonts w:hint="eastAsia" w:ascii="仿宋" w:hAnsi="仿宋" w:eastAsia="仿宋" w:cs="仿宋"/>
          <w:color w:val="auto"/>
          <w:szCs w:val="24"/>
          <w:highlight w:val="none"/>
        </w:rPr>
        <w:t>使用合同文件和资料</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3-2、没有买方事先书面同意，除了履行本合同之外，卖方不应使用合同条款第3-1条所列举的任何文件和资料。</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4、专利权</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5、技术规格</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6、检验和测试</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6-2、检验和测试在买方指定的交货地点进行。</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7、包装及运输</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7-1、卖方负责货物到达交货地点前的所有包装、运输、装卸及保险事项，相关费用应包括在合同总价中。</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szCs w:val="24"/>
          <w:highlight w:val="none"/>
        </w:rPr>
        <w:t>8、伴随服务</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（1）实施或监督所供货物的现场组装 和/或试运行；</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（2）提供货物组装 和/或 维修所需的工具；</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（3）为所供货物的每一适当的单台设备提供详细的操作和维护手册；</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8-3、卖方应提供本项目招标文件“商务条款”和“技术规格与要求”中规定的所有服务。</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kern w:val="0"/>
          <w:szCs w:val="24"/>
          <w:highlight w:val="none"/>
        </w:rPr>
        <w:t>9、备品备件</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9-1、卖方可能被要求提供下列与备品备件有关的材料、通知和资料：</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（1）买方从卖方选购备品备件，但前提条件是该选择并不能免除卖方在合同保证期内所承担的义务；</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（3）在备品备件停止生产后，如果买方要求，卖方应免费向买方提供备品备件的蓝图、图纸和规格。</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9-2、卖方应按照本项目招标文件“商务条款”和“技术规格与要求”中的规定提供所需的备品备件。</w:t>
      </w:r>
    </w:p>
    <w:p>
      <w:pPr>
        <w:spacing w:line="560" w:lineRule="exact"/>
        <w:ind w:firstLine="480" w:firstLineChars="200"/>
        <w:outlineLvl w:val="2"/>
        <w:rPr>
          <w:rFonts w:ascii="仿宋" w:hAnsi="仿宋" w:eastAsia="仿宋" w:cs="仿宋"/>
          <w:color w:val="auto"/>
          <w:szCs w:val="24"/>
          <w:highlight w:val="none"/>
        </w:rPr>
      </w:pPr>
      <w:r>
        <w:rPr>
          <w:rFonts w:hint="eastAsia" w:ascii="仿宋" w:hAnsi="仿宋" w:eastAsia="仿宋" w:cs="仿宋"/>
          <w:color w:val="auto"/>
          <w:kern w:val="0"/>
          <w:szCs w:val="24"/>
          <w:highlight w:val="none"/>
        </w:rPr>
        <w:t>10、质量保证</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10-1、质量保证期为终验合格之日起</w:t>
      </w:r>
      <w:r>
        <w:rPr>
          <w:rFonts w:hint="eastAsia" w:ascii="仿宋" w:hAnsi="仿宋" w:eastAsia="仿宋" w:cs="仿宋"/>
          <w:color w:val="auto"/>
          <w:kern w:val="0"/>
          <w:szCs w:val="24"/>
          <w:highlight w:val="none"/>
          <w:u w:val="single"/>
        </w:rPr>
        <w:t xml:space="preserve">   </w:t>
      </w:r>
      <w:r>
        <w:rPr>
          <w:rFonts w:hint="eastAsia" w:ascii="仿宋" w:hAnsi="仿宋" w:eastAsia="仿宋" w:cs="仿宋"/>
          <w:color w:val="auto"/>
          <w:kern w:val="0"/>
          <w:szCs w:val="24"/>
          <w:highlight w:val="none"/>
        </w:rPr>
        <w:t>个月。</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11、索赔</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中扣回索赔金额。若索赔金额超过未付货款或履约保证金的，卖方必须用已收货款进行弥补。</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12、变更指令</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ascii="仿宋" w:hAnsi="仿宋" w:eastAsia="仿宋" w:cs="仿宋"/>
          <w:color w:val="auto"/>
          <w:spacing w:val="-4"/>
          <w:kern w:val="0"/>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（2）运输或包装的方法；</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（3）交货地点；</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（4）卖方提供的服务。</w:t>
      </w:r>
    </w:p>
    <w:p>
      <w:pPr>
        <w:autoSpaceDN w:val="0"/>
        <w:adjustRightInd w:val="0"/>
        <w:spacing w:line="560" w:lineRule="exact"/>
        <w:ind w:firstLine="464" w:firstLineChars="200"/>
        <w:rPr>
          <w:rFonts w:ascii="仿宋" w:hAnsi="仿宋" w:eastAsia="仿宋" w:cs="仿宋"/>
          <w:color w:val="auto"/>
          <w:kern w:val="0"/>
          <w:szCs w:val="24"/>
          <w:highlight w:val="none"/>
        </w:rPr>
      </w:pPr>
      <w:r>
        <w:rPr>
          <w:rFonts w:hint="eastAsia" w:ascii="仿宋" w:hAnsi="仿宋" w:eastAsia="仿宋" w:cs="仿宋"/>
          <w:color w:val="auto"/>
          <w:spacing w:val="-4"/>
          <w:kern w:val="0"/>
          <w:szCs w:val="24"/>
          <w:highlight w:val="none"/>
        </w:rPr>
        <w:t>12-2、</w:t>
      </w:r>
      <w:r>
        <w:rPr>
          <w:rFonts w:hint="eastAsia" w:ascii="仿宋" w:hAnsi="仿宋" w:eastAsia="仿宋" w:cs="仿宋"/>
          <w:color w:val="auto"/>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13、合同修改</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14、转让</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未经买方事先书面同意，卖方不得部分转让或全部转让其应履行的合同义务。</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15、卖方履约延误</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16、验收</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16-</w:t>
      </w:r>
      <w:r>
        <w:rPr>
          <w:rFonts w:ascii="仿宋" w:hAnsi="仿宋" w:eastAsia="仿宋" w:cs="仿宋"/>
          <w:color w:val="auto"/>
          <w:szCs w:val="24"/>
          <w:highlight w:val="none"/>
        </w:rPr>
        <w:t>1</w:t>
      </w:r>
      <w:r>
        <w:rPr>
          <w:rFonts w:hint="eastAsia" w:ascii="仿宋" w:hAnsi="仿宋" w:eastAsia="仿宋" w:cs="仿宋"/>
          <w:color w:val="auto"/>
          <w:szCs w:val="24"/>
          <w:highlight w:val="none"/>
        </w:rPr>
        <w:t>、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ascii="仿宋" w:hAnsi="仿宋" w:eastAsia="仿宋" w:cs="仿宋"/>
          <w:color w:val="auto"/>
          <w:szCs w:val="24"/>
          <w:highlight w:val="none"/>
        </w:rPr>
      </w:pPr>
      <w:r>
        <w:rPr>
          <w:rFonts w:hint="eastAsia" w:ascii="仿宋" w:hAnsi="仿宋" w:eastAsia="仿宋" w:cs="仿宋"/>
          <w:color w:val="auto"/>
          <w:szCs w:val="24"/>
          <w:highlight w:val="none"/>
        </w:rPr>
        <w:t>16-</w:t>
      </w:r>
      <w:r>
        <w:rPr>
          <w:rFonts w:ascii="仿宋" w:hAnsi="仿宋" w:eastAsia="仿宋" w:cs="仿宋"/>
          <w:color w:val="auto"/>
          <w:szCs w:val="24"/>
          <w:highlight w:val="none"/>
        </w:rPr>
        <w:t>2</w:t>
      </w:r>
      <w:r>
        <w:rPr>
          <w:rFonts w:hint="eastAsia" w:ascii="仿宋" w:hAnsi="仿宋" w:eastAsia="仿宋" w:cs="仿宋"/>
          <w:color w:val="auto"/>
          <w:szCs w:val="24"/>
          <w:highlight w:val="none"/>
        </w:rPr>
        <w:t>、验收依据</w:t>
      </w:r>
    </w:p>
    <w:p>
      <w:pPr>
        <w:adjustRightInd w:val="0"/>
        <w:snapToGrid w:val="0"/>
        <w:spacing w:line="560" w:lineRule="exact"/>
        <w:ind w:firstLine="470" w:firstLineChars="196"/>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（1）合同文本及合同补充文件（条款）； </w:t>
      </w:r>
    </w:p>
    <w:p>
      <w:pPr>
        <w:adjustRightInd w:val="0"/>
        <w:snapToGrid w:val="0"/>
        <w:spacing w:line="560" w:lineRule="exact"/>
        <w:ind w:firstLine="470" w:firstLineChars="196"/>
        <w:rPr>
          <w:rFonts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17、误期赔偿费</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szCs w:val="24"/>
          <w:highlight w:val="none"/>
        </w:rPr>
        <w:t>除合同条款第19条规定的情况外，如果卖方没有按照合同规定的时间交货和提供服务，买方应在不影响</w:t>
      </w:r>
      <w:r>
        <w:rPr>
          <w:rFonts w:hint="eastAsia" w:ascii="仿宋" w:hAnsi="仿宋" w:eastAsia="仿宋" w:cs="仿宋"/>
          <w:color w:val="auto"/>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18、违约终止合同</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color w:val="auto"/>
          <w:szCs w:val="24"/>
          <w:highlight w:val="none"/>
        </w:rPr>
        <w:t>误期赔偿费达到最高限额。</w:t>
      </w:r>
    </w:p>
    <w:p>
      <w:pPr>
        <w:autoSpaceDN w:val="0"/>
        <w:adjustRightInd w:val="0"/>
        <w:spacing w:line="560" w:lineRule="exact"/>
        <w:ind w:firstLine="480" w:firstLineChars="200"/>
        <w:outlineLvl w:val="3"/>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（2）如果卖方未能履行合同规定的其它任何义务。</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19、不可抗力</w:t>
      </w:r>
      <w:r>
        <w:rPr>
          <w:rFonts w:hint="eastAsia" w:ascii="仿宋" w:hAnsi="仿宋" w:eastAsia="仿宋" w:cs="仿宋"/>
          <w:color w:val="auto"/>
          <w:kern w:val="0"/>
          <w:szCs w:val="24"/>
          <w:highlight w:val="none"/>
        </w:rPr>
        <w:tab/>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20、因破产而终止合同</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21、因买方的便利而终止合同</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outlineLvl w:val="3"/>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（1）仅对部分货物按照原来的合同价格和条款予以接受；</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22、争议的解决</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22-1、双方达成仲裁协议，向约定的仲裁委员会申请仲裁。</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22-2、向有管辖权的人民法院起诉。</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23、适用法律</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本合同应按照中华人民共和国的现行法律进行解释。</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24、通知</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25、税款</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outlineLvl w:val="2"/>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26、合同生效</w:t>
      </w:r>
    </w:p>
    <w:p>
      <w:pPr>
        <w:adjustRightInd w:val="0"/>
        <w:snapToGrid w:val="0"/>
        <w:spacing w:line="560" w:lineRule="exact"/>
        <w:ind w:firstLine="480" w:firstLineChars="200"/>
        <w:rPr>
          <w:rFonts w:ascii="仿宋" w:hAnsi="仿宋" w:eastAsia="仿宋" w:cs="仿宋"/>
          <w:b/>
          <w:color w:val="auto"/>
          <w:sz w:val="18"/>
          <w:szCs w:val="18"/>
          <w:highlight w:val="none"/>
          <w:u w:color="FF0000"/>
        </w:rPr>
      </w:pPr>
      <w:r>
        <w:rPr>
          <w:rFonts w:hint="eastAsia" w:ascii="仿宋" w:hAnsi="仿宋" w:eastAsia="仿宋" w:cs="仿宋"/>
          <w:color w:val="auto"/>
          <w:kern w:val="0"/>
          <w:szCs w:val="24"/>
          <w:highlight w:val="none"/>
        </w:rPr>
        <w:t>本合同由买卖双方共同签字盖章，自买卖双方签字盖章之日起生效。</w:t>
      </w:r>
    </w:p>
    <w:p>
      <w:pPr>
        <w:adjustRightInd w:val="0"/>
        <w:snapToGrid w:val="0"/>
        <w:spacing w:line="560" w:lineRule="exact"/>
        <w:ind w:firstLine="361" w:firstLineChars="200"/>
        <w:rPr>
          <w:rFonts w:ascii="仿宋" w:hAnsi="仿宋" w:eastAsia="仿宋" w:cs="仿宋"/>
          <w:b/>
          <w:color w:val="auto"/>
          <w:sz w:val="18"/>
          <w:szCs w:val="18"/>
          <w:highlight w:val="none"/>
          <w:u w:color="FF0000"/>
        </w:rPr>
      </w:pPr>
      <w:r>
        <w:rPr>
          <w:rFonts w:hint="eastAsia" w:ascii="仿宋" w:hAnsi="仿宋" w:eastAsia="仿宋" w:cs="仿宋"/>
          <w:b/>
          <w:color w:val="auto"/>
          <w:sz w:val="18"/>
          <w:szCs w:val="18"/>
          <w:highlight w:val="none"/>
          <w:u w:color="FF0000"/>
        </w:rPr>
        <w:br w:type="page"/>
      </w:r>
    </w:p>
    <w:p>
      <w:pPr>
        <w:pStyle w:val="3"/>
        <w:numPr>
          <w:ilvl w:val="0"/>
          <w:numId w:val="7"/>
        </w:numPr>
        <w:spacing w:line="560" w:lineRule="exact"/>
        <w:jc w:val="center"/>
        <w:rPr>
          <w:rFonts w:ascii="仿宋" w:hAnsi="仿宋" w:eastAsia="仿宋" w:cs="仿宋"/>
          <w:color w:val="auto"/>
          <w:highlight w:val="none"/>
        </w:rPr>
      </w:pPr>
      <w:bookmarkStart w:id="115" w:name="_Toc458617470"/>
      <w:bookmarkStart w:id="116" w:name="_Toc458617747"/>
      <w:r>
        <w:rPr>
          <w:rFonts w:hint="eastAsia" w:ascii="仿宋" w:hAnsi="仿宋" w:eastAsia="仿宋" w:cs="仿宋"/>
          <w:color w:val="auto"/>
          <w:highlight w:val="none"/>
        </w:rPr>
        <w:t xml:space="preserve"> </w:t>
      </w:r>
      <w:bookmarkStart w:id="117" w:name="_Toc19489"/>
      <w:r>
        <w:rPr>
          <w:rFonts w:hint="eastAsia" w:ascii="仿宋" w:hAnsi="仿宋" w:eastAsia="仿宋" w:cs="仿宋"/>
          <w:color w:val="auto"/>
          <w:highlight w:val="none"/>
        </w:rPr>
        <w:t>投标文件格式</w:t>
      </w:r>
      <w:bookmarkEnd w:id="115"/>
      <w:bookmarkEnd w:id="116"/>
      <w:bookmarkEnd w:id="117"/>
    </w:p>
    <w:p>
      <w:pPr>
        <w:spacing w:line="560" w:lineRule="exact"/>
        <w:jc w:val="center"/>
        <w:outlineLvl w:val="1"/>
        <w:rPr>
          <w:rFonts w:ascii="仿宋" w:hAnsi="仿宋" w:eastAsia="仿宋" w:cs="仿宋"/>
          <w:color w:val="auto"/>
          <w:szCs w:val="24"/>
          <w:highlight w:val="none"/>
        </w:rPr>
      </w:pPr>
      <w:r>
        <w:rPr>
          <w:rFonts w:hint="eastAsia" w:ascii="仿宋" w:hAnsi="仿宋" w:eastAsia="仿宋" w:cs="仿宋"/>
          <w:color w:val="auto"/>
          <w:szCs w:val="24"/>
          <w:highlight w:val="none"/>
        </w:rPr>
        <w:t>投标文件编制说明</w:t>
      </w:r>
    </w:p>
    <w:p>
      <w:pPr>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1、投标文件应当按照招标文件给定的格式和要求编制，格式之外的可自行编写。</w:t>
      </w:r>
    </w:p>
    <w:p>
      <w:pPr>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3、纸质投标文件均须A4纸打印（提倡双面打印），分别各自装订成册并编制目录和页码，产品彩页、厂家授权等证明材料原件除外。</w:t>
      </w:r>
    </w:p>
    <w:p>
      <w:pPr>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10"/>
        <w:rPr>
          <w:rFonts w:ascii="仿宋" w:hAnsi="仿宋" w:eastAsia="仿宋" w:cs="仿宋"/>
          <w:color w:val="auto"/>
          <w:highlight w:val="none"/>
        </w:rPr>
      </w:pPr>
    </w:p>
    <w:p>
      <w:pPr>
        <w:spacing w:line="560" w:lineRule="exact"/>
        <w:ind w:firstLine="4003" w:firstLineChars="1246"/>
        <w:rPr>
          <w:rFonts w:ascii="仿宋" w:hAnsi="仿宋" w:eastAsia="仿宋" w:cs="仿宋"/>
          <w:b/>
          <w:color w:val="auto"/>
          <w:sz w:val="32"/>
          <w:szCs w:val="32"/>
          <w:highlight w:val="none"/>
        </w:rPr>
      </w:pPr>
    </w:p>
    <w:p>
      <w:pPr>
        <w:spacing w:line="560" w:lineRule="exact"/>
        <w:ind w:firstLine="4003" w:firstLineChars="1246"/>
        <w:rPr>
          <w:rFonts w:ascii="仿宋" w:hAnsi="仿宋" w:eastAsia="仿宋" w:cs="仿宋"/>
          <w:b/>
          <w:color w:val="auto"/>
          <w:sz w:val="32"/>
          <w:szCs w:val="32"/>
          <w:highlight w:val="none"/>
        </w:rPr>
      </w:pPr>
    </w:p>
    <w:p>
      <w:pPr>
        <w:spacing w:line="560" w:lineRule="exact"/>
        <w:ind w:firstLine="4003" w:firstLineChars="1246"/>
        <w:rPr>
          <w:rFonts w:ascii="仿宋" w:hAnsi="仿宋" w:eastAsia="仿宋" w:cs="仿宋"/>
          <w:b/>
          <w:color w:val="auto"/>
          <w:sz w:val="32"/>
          <w:szCs w:val="32"/>
          <w:highlight w:val="none"/>
        </w:rPr>
      </w:pPr>
    </w:p>
    <w:p>
      <w:pPr>
        <w:spacing w:line="560" w:lineRule="exact"/>
        <w:ind w:firstLine="4003" w:firstLineChars="1246"/>
        <w:rPr>
          <w:rFonts w:ascii="仿宋" w:hAnsi="仿宋" w:eastAsia="仿宋" w:cs="仿宋"/>
          <w:b/>
          <w:color w:val="auto"/>
          <w:sz w:val="32"/>
          <w:szCs w:val="32"/>
          <w:highlight w:val="none"/>
        </w:rPr>
      </w:pPr>
    </w:p>
    <w:p>
      <w:pPr>
        <w:spacing w:line="560" w:lineRule="exact"/>
        <w:ind w:firstLine="4003" w:firstLineChars="1246"/>
        <w:rPr>
          <w:rFonts w:ascii="仿宋" w:hAnsi="仿宋" w:eastAsia="仿宋" w:cs="仿宋"/>
          <w:b/>
          <w:color w:val="auto"/>
          <w:sz w:val="32"/>
          <w:szCs w:val="32"/>
          <w:highlight w:val="none"/>
        </w:rPr>
      </w:pPr>
    </w:p>
    <w:p>
      <w:pPr>
        <w:spacing w:line="560" w:lineRule="exact"/>
        <w:ind w:firstLine="4003" w:firstLineChars="1246"/>
        <w:rPr>
          <w:rFonts w:ascii="仿宋" w:hAnsi="仿宋" w:eastAsia="仿宋" w:cs="仿宋"/>
          <w:b/>
          <w:color w:val="auto"/>
          <w:sz w:val="32"/>
          <w:szCs w:val="32"/>
          <w:highlight w:val="none"/>
        </w:rPr>
      </w:pPr>
    </w:p>
    <w:p>
      <w:pPr>
        <w:spacing w:line="560" w:lineRule="exact"/>
        <w:ind w:firstLine="4003" w:firstLineChars="1246"/>
        <w:rPr>
          <w:rFonts w:ascii="仿宋" w:hAnsi="仿宋" w:eastAsia="仿宋" w:cs="仿宋"/>
          <w:b/>
          <w:color w:val="auto"/>
          <w:sz w:val="32"/>
          <w:szCs w:val="32"/>
          <w:highlight w:val="none"/>
        </w:rPr>
      </w:pPr>
    </w:p>
    <w:p>
      <w:pPr>
        <w:spacing w:line="560" w:lineRule="exact"/>
        <w:ind w:firstLine="4003" w:firstLineChars="1246"/>
        <w:rPr>
          <w:rFonts w:ascii="仿宋" w:hAnsi="仿宋" w:eastAsia="仿宋" w:cs="仿宋"/>
          <w:b/>
          <w:color w:val="auto"/>
          <w:sz w:val="32"/>
          <w:szCs w:val="32"/>
          <w:highlight w:val="none"/>
        </w:rPr>
      </w:pPr>
    </w:p>
    <w:p>
      <w:pPr>
        <w:spacing w:line="560" w:lineRule="exact"/>
        <w:ind w:firstLine="4003" w:firstLineChars="1246"/>
        <w:rPr>
          <w:rFonts w:ascii="仿宋" w:hAnsi="仿宋" w:eastAsia="仿宋" w:cs="仿宋"/>
          <w:b/>
          <w:color w:val="auto"/>
          <w:sz w:val="32"/>
          <w:szCs w:val="32"/>
          <w:highlight w:val="none"/>
        </w:rPr>
      </w:pPr>
    </w:p>
    <w:p>
      <w:pPr>
        <w:pStyle w:val="10"/>
        <w:rPr>
          <w:rFonts w:ascii="仿宋" w:hAnsi="仿宋" w:eastAsia="仿宋" w:cs="仿宋"/>
          <w:color w:val="auto"/>
          <w:highlight w:val="none"/>
        </w:rPr>
      </w:pPr>
    </w:p>
    <w:p>
      <w:pPr>
        <w:spacing w:line="640" w:lineRule="exac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640" w:lineRule="exact"/>
        <w:jc w:val="right"/>
        <w:rPr>
          <w:rFonts w:ascii="仿宋" w:hAnsi="仿宋" w:eastAsia="仿宋" w:cs="仿宋"/>
          <w:b/>
          <w:color w:val="auto"/>
          <w:sz w:val="36"/>
          <w:szCs w:val="36"/>
          <w:highlight w:val="none"/>
        </w:rPr>
      </w:pPr>
      <w:r>
        <w:rPr>
          <w:color w:val="auto"/>
          <w:sz w:val="36"/>
          <w:highlight w:val="none"/>
        </w:rPr>
        <mc:AlternateContent>
          <mc:Choice Requires="wps">
            <w:drawing>
              <wp:anchor distT="0" distB="0" distL="0" distR="0" simplePos="0" relativeHeight="251659264" behindDoc="0" locked="0" layoutInCell="1" allowOverlap="1">
                <wp:simplePos x="0" y="0"/>
                <wp:positionH relativeFrom="column">
                  <wp:posOffset>4141470</wp:posOffset>
                </wp:positionH>
                <wp:positionV relativeFrom="paragraph">
                  <wp:posOffset>152400</wp:posOffset>
                </wp:positionV>
                <wp:extent cx="1494790" cy="370205"/>
                <wp:effectExtent l="4445" t="4445" r="5715" b="6350"/>
                <wp:wrapNone/>
                <wp:docPr id="1031" name="文本框 13"/>
                <wp:cNvGraphicFramePr/>
                <a:graphic xmlns:a="http://schemas.openxmlformats.org/drawingml/2006/main">
                  <a:graphicData uri="http://schemas.microsoft.com/office/word/2010/wordprocessingShape">
                    <wps:wsp>
                      <wps:cNvSpPr/>
                      <wps:spPr>
                        <a:xfrm>
                          <a:off x="0" y="0"/>
                          <a:ext cx="1494789" cy="370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upright="1"/>
                    </wps:wsp>
                  </a:graphicData>
                </a:graphic>
              </wp:anchor>
            </w:drawing>
          </mc:Choice>
          <mc:Fallback>
            <w:pict>
              <v:rect id="文本框 13" o:spid="_x0000_s1026" o:spt="1" style="position:absolute;left:0pt;margin-left:326.1pt;margin-top:12pt;height:29.15pt;width:117.7pt;z-index:251659264;mso-width-relative:page;mso-height-relative:page;" fillcolor="#FFFFFF" filled="t" stroked="t" coordsize="21600,21600" o:gfxdata="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C2c43XAAAACQEAAA8AAAAAAAAAAQAgAAAAIgAA&#10;AGRycy9kb3ducmV2LnhtbFBLAQIUABQAAAAIAIdO4kA/tO/XCQIAADAEAAAOAAAAAAAAAAEAIAAA&#10;ACYBAABkcnMvZTJvRG9jLnhtbFBLBQYAAAAABgAGAFkBAAChBQAAAAA=&#10;">
                <v:fill on="t" focussize="0,0"/>
                <v:stroke color="#000000" joinstyle="miter"/>
                <v:imagedata o:title=""/>
                <o:lock v:ext="edit" aspectratio="f"/>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rect>
            </w:pict>
          </mc:Fallback>
        </mc:AlternateContent>
      </w:r>
    </w:p>
    <w:p>
      <w:pPr>
        <w:spacing w:line="560" w:lineRule="exac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spacing w:line="560" w:lineRule="exact"/>
        <w:rPr>
          <w:rFonts w:ascii="仿宋" w:hAnsi="仿宋" w:eastAsia="仿宋" w:cs="仿宋"/>
          <w:b/>
          <w:color w:val="auto"/>
          <w:sz w:val="36"/>
          <w:szCs w:val="36"/>
          <w:highlight w:val="none"/>
        </w:rPr>
      </w:pPr>
    </w:p>
    <w:p>
      <w:pPr>
        <w:spacing w:line="560" w:lineRule="exac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 xml:space="preserve">文件编号: </w:t>
      </w:r>
      <w:r>
        <w:rPr>
          <w:rFonts w:hint="eastAsia" w:ascii="仿宋" w:hAnsi="仿宋" w:eastAsia="仿宋" w:cs="仿宋"/>
          <w:b/>
          <w:color w:val="auto"/>
          <w:sz w:val="36"/>
          <w:szCs w:val="36"/>
          <w:highlight w:val="none"/>
          <w:lang w:eastAsia="zh-CN"/>
        </w:rPr>
        <w:t>HZGH-2023-059</w:t>
      </w:r>
    </w:p>
    <w:p>
      <w:pPr>
        <w:spacing w:line="560" w:lineRule="exact"/>
        <w:rPr>
          <w:rFonts w:ascii="仿宋" w:hAnsi="仿宋" w:eastAsia="仿宋" w:cs="仿宋"/>
          <w:b/>
          <w:color w:val="auto"/>
          <w:sz w:val="36"/>
          <w:szCs w:val="36"/>
          <w:highlight w:val="none"/>
        </w:rPr>
      </w:pPr>
    </w:p>
    <w:p>
      <w:pPr>
        <w:spacing w:before="120" w:beforeLines="50" w:line="560" w:lineRule="exact"/>
        <w:ind w:right="-998" w:rightChars="-416"/>
        <w:rPr>
          <w:rFonts w:ascii="仿宋" w:hAnsi="仿宋" w:eastAsia="仿宋" w:cs="仿宋"/>
          <w:b/>
          <w:bCs/>
          <w:color w:val="auto"/>
          <w:spacing w:val="52"/>
          <w:kern w:val="0"/>
          <w:sz w:val="15"/>
          <w:szCs w:val="15"/>
          <w:highlight w:val="none"/>
        </w:rPr>
      </w:pPr>
    </w:p>
    <w:p>
      <w:pPr>
        <w:spacing w:before="120" w:beforeLines="50" w:line="560" w:lineRule="exact"/>
        <w:ind w:right="-998" w:rightChars="-416"/>
        <w:jc w:val="both"/>
        <w:rPr>
          <w:rFonts w:hint="eastAsia" w:ascii="仿宋" w:hAnsi="仿宋" w:eastAsia="仿宋" w:cs="仿宋"/>
          <w:b/>
          <w:color w:val="auto"/>
          <w:spacing w:val="-22"/>
          <w:sz w:val="52"/>
          <w:szCs w:val="52"/>
          <w:highlight w:val="none"/>
          <w:shd w:val="clear" w:color="auto" w:fill="FFFFFF"/>
          <w:lang w:eastAsia="zh-CN"/>
        </w:rPr>
      </w:pPr>
    </w:p>
    <w:p>
      <w:pPr>
        <w:spacing w:before="120" w:beforeLines="50" w:line="560" w:lineRule="exact"/>
        <w:ind w:right="-998" w:rightChars="-416"/>
        <w:jc w:val="both"/>
        <w:rPr>
          <w:rFonts w:hint="eastAsia" w:ascii="仿宋" w:hAnsi="仿宋" w:eastAsia="仿宋" w:cs="仿宋"/>
          <w:b/>
          <w:color w:val="auto"/>
          <w:spacing w:val="-22"/>
          <w:sz w:val="52"/>
          <w:szCs w:val="52"/>
          <w:highlight w:val="none"/>
          <w:shd w:val="clear" w:color="auto" w:fill="FFFFFF"/>
          <w:lang w:eastAsia="zh-CN"/>
        </w:rPr>
      </w:pPr>
      <w:r>
        <w:rPr>
          <w:rFonts w:hint="eastAsia" w:ascii="仿宋" w:hAnsi="仿宋" w:eastAsia="仿宋" w:cs="仿宋"/>
          <w:b/>
          <w:color w:val="auto"/>
          <w:spacing w:val="-22"/>
          <w:sz w:val="52"/>
          <w:szCs w:val="52"/>
          <w:highlight w:val="none"/>
          <w:shd w:val="clear" w:color="auto" w:fill="FFFFFF"/>
          <w:lang w:eastAsia="zh-CN"/>
        </w:rPr>
        <w:t>凤翔区医院财务管理相关软件采购</w:t>
      </w:r>
    </w:p>
    <w:p>
      <w:pPr>
        <w:pStyle w:val="2"/>
      </w:pPr>
    </w:p>
    <w:p>
      <w:pPr>
        <w:spacing w:before="120" w:beforeLines="50" w:line="560" w:lineRule="exact"/>
        <w:ind w:right="-998" w:rightChars="-416" w:firstLine="2960" w:firstLineChars="388"/>
        <w:rPr>
          <w:rFonts w:ascii="仿宋" w:hAnsi="仿宋" w:eastAsia="仿宋" w:cs="仿宋"/>
          <w:b/>
          <w:bCs/>
          <w:color w:val="auto"/>
          <w:spacing w:val="20"/>
          <w:kern w:val="0"/>
          <w:sz w:val="72"/>
          <w:szCs w:val="72"/>
          <w:highlight w:val="none"/>
        </w:rPr>
      </w:pPr>
    </w:p>
    <w:p>
      <w:pPr>
        <w:spacing w:before="120" w:beforeLines="50" w:line="560" w:lineRule="exact"/>
        <w:ind w:right="-998" w:rightChars="-416" w:firstLine="2960" w:firstLineChars="388"/>
        <w:rPr>
          <w:rFonts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投标文件</w:t>
      </w:r>
    </w:p>
    <w:p>
      <w:pPr>
        <w:spacing w:line="560" w:lineRule="exact"/>
        <w:rPr>
          <w:rFonts w:ascii="仿宋" w:hAnsi="仿宋" w:eastAsia="仿宋" w:cs="仿宋"/>
          <w:color w:val="auto"/>
          <w:sz w:val="32"/>
          <w:highlight w:val="none"/>
        </w:rPr>
      </w:pPr>
    </w:p>
    <w:p>
      <w:pPr>
        <w:spacing w:line="560" w:lineRule="exact"/>
        <w:rPr>
          <w:rFonts w:ascii="仿宋" w:hAnsi="仿宋" w:eastAsia="仿宋" w:cs="仿宋"/>
          <w:color w:val="auto"/>
          <w:sz w:val="32"/>
          <w:highlight w:val="none"/>
        </w:rPr>
      </w:pPr>
    </w:p>
    <w:p>
      <w:pPr>
        <w:pStyle w:val="10"/>
        <w:rPr>
          <w:rFonts w:ascii="仿宋" w:hAnsi="仿宋" w:eastAsia="仿宋" w:cs="仿宋"/>
          <w:color w:val="auto"/>
          <w:sz w:val="32"/>
          <w:highlight w:val="none"/>
        </w:rPr>
      </w:pPr>
    </w:p>
    <w:p>
      <w:pPr>
        <w:rPr>
          <w:rFonts w:ascii="仿宋" w:hAnsi="仿宋" w:eastAsia="仿宋" w:cs="仿宋"/>
          <w:color w:val="auto"/>
          <w:highlight w:val="none"/>
        </w:rPr>
      </w:pPr>
    </w:p>
    <w:p>
      <w:pPr>
        <w:spacing w:before="168" w:beforeLines="70" w:line="560" w:lineRule="exact"/>
        <w:ind w:firstLine="1634" w:firstLineChars="550"/>
        <w:rPr>
          <w:rFonts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w:t>
      </w:r>
      <w:r>
        <w:rPr>
          <w:rFonts w:hint="eastAsia" w:ascii="仿宋" w:hAnsi="仿宋" w:eastAsia="仿宋" w:cs="仿宋"/>
          <w:b/>
          <w:color w:val="auto"/>
          <w:spacing w:val="8"/>
          <w:sz w:val="28"/>
          <w:szCs w:val="28"/>
          <w:highlight w:val="none"/>
        </w:rPr>
        <w:t xml:space="preserve">                       </w:t>
      </w:r>
    </w:p>
    <w:p>
      <w:pPr>
        <w:spacing w:before="168" w:beforeLines="70" w:line="560" w:lineRule="exact"/>
        <w:ind w:firstLine="1661" w:firstLineChars="591"/>
        <w:rPr>
          <w:rFonts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u w:val="single"/>
        </w:rPr>
        <w:t xml:space="preserve">                          </w:t>
      </w:r>
    </w:p>
    <w:p>
      <w:pPr>
        <w:spacing w:line="560" w:lineRule="exact"/>
        <w:ind w:firstLine="1661" w:firstLineChars="591"/>
        <w:rPr>
          <w:rFonts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bookmarkStart w:id="118" w:name="_Toc167590775"/>
      <w:bookmarkStart w:id="119" w:name="_Toc193187097"/>
      <w:bookmarkStart w:id="120" w:name="_Toc175033592"/>
      <w:bookmarkStart w:id="121" w:name="_Toc167591144"/>
      <w:bookmarkStart w:id="122" w:name="_Toc169846873"/>
      <w:bookmarkStart w:id="123" w:name="_Toc167591330"/>
      <w:bookmarkStart w:id="124" w:name="_Toc175032437"/>
      <w:bookmarkStart w:id="125" w:name="_Toc170980552"/>
      <w:bookmarkStart w:id="126" w:name="_Toc154482479"/>
      <w:bookmarkStart w:id="127" w:name="_Toc169838532"/>
      <w:bookmarkStart w:id="128" w:name="_Toc167591492"/>
      <w:bookmarkStart w:id="129" w:name="_Toc170980453"/>
      <w:bookmarkStart w:id="130" w:name="_Toc188808833"/>
      <w:bookmarkStart w:id="131" w:name="_Toc193126881"/>
      <w:bookmarkStart w:id="132" w:name="_Toc167849360"/>
      <w:bookmarkStart w:id="133" w:name="_Toc194663918"/>
      <w:bookmarkStart w:id="134" w:name="_Toc169846776"/>
      <w:bookmarkStart w:id="135" w:name="_Toc173549978"/>
      <w:bookmarkStart w:id="136" w:name="_Toc167591043"/>
    </w:p>
    <w:p>
      <w:pPr>
        <w:spacing w:line="560" w:lineRule="exact"/>
        <w:ind w:left="240" w:leftChars="100" w:firstLine="4003" w:firstLineChars="1246"/>
        <w:rPr>
          <w:rFonts w:ascii="仿宋" w:hAnsi="仿宋" w:eastAsia="仿宋" w:cs="仿宋"/>
          <w:b/>
          <w:color w:val="auto"/>
          <w:sz w:val="32"/>
          <w:szCs w:val="32"/>
          <w:highlight w:val="none"/>
        </w:rPr>
      </w:pPr>
    </w:p>
    <w:p>
      <w:pPr>
        <w:spacing w:line="560" w:lineRule="exact"/>
        <w:ind w:left="240" w:leftChars="100" w:firstLine="4003" w:firstLineChars="1246"/>
        <w:rPr>
          <w:rFonts w:ascii="仿宋" w:hAnsi="仿宋" w:eastAsia="仿宋" w:cs="仿宋"/>
          <w:b/>
          <w:color w:val="auto"/>
          <w:sz w:val="32"/>
          <w:szCs w:val="32"/>
          <w:highlight w:val="none"/>
        </w:rPr>
      </w:pPr>
    </w:p>
    <w:p>
      <w:pPr>
        <w:rPr>
          <w:rFonts w:ascii="仿宋" w:hAnsi="仿宋" w:eastAsia="仿宋" w:cs="仿宋"/>
          <w:color w:val="auto"/>
          <w:highlight w:val="none"/>
        </w:rPr>
      </w:pPr>
      <w:r>
        <w:rPr>
          <w:rFonts w:ascii="仿宋" w:hAnsi="仿宋" w:eastAsia="仿宋" w:cs="仿宋"/>
          <w:color w:val="auto"/>
          <w:highlight w:val="none"/>
        </w:rPr>
        <w:br w:type="page"/>
      </w:r>
    </w:p>
    <w:p/>
    <w:p>
      <w:pPr>
        <w:rPr>
          <w:rFonts w:ascii="仿宋" w:hAnsi="仿宋" w:eastAsia="仿宋" w:cs="仿宋"/>
          <w:color w:val="auto"/>
          <w:highlight w:val="none"/>
        </w:rPr>
      </w:pPr>
    </w:p>
    <w:p>
      <w:pPr>
        <w:spacing w:line="560" w:lineRule="exact"/>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spacing w:line="500" w:lineRule="exact"/>
        <w:ind w:firstLine="1200" w:firstLineChars="500"/>
        <w:rPr>
          <w:rFonts w:ascii="仿宋" w:hAnsi="仿宋" w:eastAsia="仿宋" w:cs="仿宋"/>
          <w:color w:val="auto"/>
          <w:szCs w:val="24"/>
          <w:highlight w:val="none"/>
        </w:rPr>
      </w:pPr>
      <w:r>
        <w:rPr>
          <w:rFonts w:hint="eastAsia" w:ascii="仿宋" w:hAnsi="仿宋" w:eastAsia="仿宋" w:cs="仿宋"/>
          <w:color w:val="auto"/>
          <w:szCs w:val="24"/>
          <w:highlight w:val="none"/>
        </w:rPr>
        <w:t>1．投标函（格式）</w:t>
      </w:r>
    </w:p>
    <w:p>
      <w:pPr>
        <w:spacing w:line="500" w:lineRule="exact"/>
        <w:ind w:firstLine="1200" w:firstLineChars="500"/>
        <w:rPr>
          <w:rFonts w:ascii="仿宋" w:hAnsi="仿宋" w:eastAsia="仿宋" w:cs="仿宋"/>
          <w:color w:val="auto"/>
          <w:szCs w:val="24"/>
          <w:highlight w:val="none"/>
        </w:rPr>
      </w:pPr>
      <w:r>
        <w:rPr>
          <w:rFonts w:hint="eastAsia" w:ascii="仿宋" w:hAnsi="仿宋" w:eastAsia="仿宋" w:cs="仿宋"/>
          <w:color w:val="auto"/>
          <w:szCs w:val="24"/>
          <w:highlight w:val="none"/>
        </w:rPr>
        <w:t>2．开标一览表（格式）</w:t>
      </w:r>
    </w:p>
    <w:p>
      <w:pPr>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szCs w:val="24"/>
          <w:highlight w:val="none"/>
        </w:rPr>
        <w:t>3．投标分项报价表（格式）</w:t>
      </w:r>
    </w:p>
    <w:p>
      <w:pPr>
        <w:spacing w:line="500" w:lineRule="exact"/>
        <w:ind w:left="240" w:leftChars="100" w:firstLine="960" w:firstLineChars="400"/>
        <w:rPr>
          <w:rFonts w:ascii="仿宋" w:hAnsi="仿宋" w:eastAsia="仿宋" w:cs="仿宋"/>
          <w:color w:val="auto"/>
          <w:szCs w:val="24"/>
          <w:highlight w:val="yellow"/>
        </w:rPr>
      </w:pPr>
      <w:r>
        <w:rPr>
          <w:rFonts w:hint="eastAsia" w:ascii="仿宋" w:hAnsi="仿宋" w:eastAsia="仿宋" w:cs="仿宋"/>
          <w:color w:val="auto"/>
          <w:szCs w:val="24"/>
          <w:highlight w:val="none"/>
        </w:rPr>
        <w:t>4．选配件报价表（格式，若有）</w:t>
      </w:r>
    </w:p>
    <w:p>
      <w:pPr>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szCs w:val="24"/>
          <w:highlight w:val="none"/>
        </w:rPr>
        <w:t>5. 货物说明一览表（格式）</w:t>
      </w:r>
    </w:p>
    <w:p>
      <w:pPr>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szCs w:val="24"/>
          <w:highlight w:val="none"/>
        </w:rPr>
        <w:t>6．技术规格响应偏离表（格式）</w:t>
      </w:r>
    </w:p>
    <w:p>
      <w:pPr>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szCs w:val="24"/>
          <w:highlight w:val="none"/>
        </w:rPr>
        <w:t>7．商务条款响应偏离表（格式）</w:t>
      </w:r>
    </w:p>
    <w:p>
      <w:pPr>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szCs w:val="24"/>
          <w:highlight w:val="none"/>
        </w:rPr>
        <w:t>8．资格证明文件</w:t>
      </w:r>
    </w:p>
    <w:p>
      <w:pPr>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9. </w:t>
      </w:r>
      <w:r>
        <w:rPr>
          <w:rFonts w:hint="eastAsia" w:ascii="仿宋" w:hAnsi="仿宋" w:eastAsia="仿宋" w:cs="仿宋"/>
          <w:color w:val="auto"/>
          <w:szCs w:val="24"/>
          <w:highlight w:val="none"/>
          <w:lang w:eastAsia="zh-CN"/>
        </w:rPr>
        <w:t>2020年1月1日</w:t>
      </w:r>
      <w:r>
        <w:rPr>
          <w:rFonts w:hint="eastAsia" w:ascii="仿宋" w:hAnsi="仿宋" w:eastAsia="仿宋" w:cs="仿宋"/>
          <w:color w:val="auto"/>
          <w:szCs w:val="24"/>
          <w:highlight w:val="none"/>
        </w:rPr>
        <w:t>至今</w:t>
      </w:r>
      <w:r>
        <w:rPr>
          <w:rFonts w:hint="eastAsia" w:ascii="仿宋" w:hAnsi="仿宋" w:eastAsia="仿宋" w:cs="仿宋"/>
          <w:color w:val="auto"/>
          <w:szCs w:val="24"/>
          <w:highlight w:val="none"/>
          <w:lang w:val="en-US" w:eastAsia="zh-CN"/>
        </w:rPr>
        <w:t>类似</w:t>
      </w:r>
      <w:r>
        <w:rPr>
          <w:rFonts w:hint="eastAsia" w:ascii="仿宋" w:hAnsi="仿宋" w:eastAsia="仿宋" w:cs="仿宋"/>
          <w:color w:val="auto"/>
          <w:szCs w:val="24"/>
          <w:highlight w:val="none"/>
        </w:rPr>
        <w:t>项目业绩（以合同为准，复印件加盖公章）</w:t>
      </w:r>
    </w:p>
    <w:p>
      <w:pPr>
        <w:autoSpaceDE w:val="0"/>
        <w:autoSpaceDN w:val="0"/>
        <w:spacing w:line="500" w:lineRule="exact"/>
        <w:ind w:firstLine="1200" w:firstLineChars="500"/>
        <w:rPr>
          <w:rFonts w:ascii="仿宋" w:hAnsi="仿宋" w:eastAsia="仿宋" w:cs="仿宋"/>
          <w:color w:val="auto"/>
          <w:szCs w:val="24"/>
          <w:highlight w:val="none"/>
        </w:rPr>
      </w:pPr>
      <w:r>
        <w:rPr>
          <w:rFonts w:hint="eastAsia" w:ascii="仿宋" w:hAnsi="仿宋" w:eastAsia="仿宋" w:cs="仿宋"/>
          <w:color w:val="auto"/>
          <w:szCs w:val="24"/>
          <w:highlight w:val="none"/>
        </w:rPr>
        <w:t>10. 产品的合法渠道证明文件</w:t>
      </w:r>
    </w:p>
    <w:p>
      <w:pPr>
        <w:spacing w:line="500" w:lineRule="exact"/>
        <w:ind w:firstLine="1200" w:firstLineChars="50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11. </w:t>
      </w:r>
      <w:r>
        <w:rPr>
          <w:rFonts w:hint="eastAsia" w:ascii="仿宋" w:hAnsi="仿宋" w:eastAsia="仿宋" w:cs="仿宋"/>
          <w:color w:val="auto"/>
          <w:kern w:val="0"/>
          <w:szCs w:val="24"/>
          <w:highlight w:val="none"/>
        </w:rPr>
        <w:t>项目实施方案</w:t>
      </w:r>
    </w:p>
    <w:p>
      <w:pPr>
        <w:spacing w:line="500" w:lineRule="exact"/>
        <w:ind w:firstLine="1200" w:firstLineChars="500"/>
        <w:rPr>
          <w:rFonts w:ascii="仿宋" w:hAnsi="仿宋" w:eastAsia="仿宋" w:cs="仿宋"/>
          <w:color w:val="auto"/>
          <w:kern w:val="0"/>
          <w:szCs w:val="24"/>
          <w:highlight w:val="none"/>
        </w:rPr>
      </w:pPr>
      <w:r>
        <w:rPr>
          <w:rFonts w:hint="eastAsia" w:ascii="仿宋" w:hAnsi="仿宋" w:eastAsia="仿宋" w:cs="仿宋"/>
          <w:color w:val="auto"/>
          <w:szCs w:val="24"/>
          <w:highlight w:val="none"/>
        </w:rPr>
        <w:t>12.</w:t>
      </w:r>
      <w:r>
        <w:rPr>
          <w:rFonts w:hint="eastAsia" w:ascii="仿宋" w:hAnsi="仿宋" w:eastAsia="仿宋" w:cs="仿宋"/>
          <w:color w:val="auto"/>
          <w:kern w:val="0"/>
          <w:szCs w:val="24"/>
          <w:highlight w:val="none"/>
        </w:rPr>
        <w:t xml:space="preserve"> 产品的技术文件</w:t>
      </w:r>
    </w:p>
    <w:p>
      <w:pPr>
        <w:spacing w:line="500" w:lineRule="exact"/>
        <w:ind w:firstLine="1200" w:firstLineChars="5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 投标人认为有必要说明的事宜（若有）</w:t>
      </w:r>
    </w:p>
    <w:p>
      <w:pPr>
        <w:autoSpaceDE w:val="0"/>
        <w:autoSpaceDN w:val="0"/>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投标人承诺书（格式）</w:t>
      </w:r>
    </w:p>
    <w:p>
      <w:pPr>
        <w:autoSpaceDE w:val="0"/>
        <w:autoSpaceDN w:val="0"/>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.《中小企业声明函》（格式）</w:t>
      </w:r>
    </w:p>
    <w:p>
      <w:pPr>
        <w:autoSpaceDE w:val="0"/>
        <w:autoSpaceDN w:val="0"/>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《残疾人福利性单位声明函》</w:t>
      </w:r>
      <w:r>
        <w:rPr>
          <w:rFonts w:hint="eastAsia" w:ascii="仿宋" w:hAnsi="仿宋" w:eastAsia="仿宋" w:cs="仿宋"/>
          <w:color w:val="auto"/>
          <w:szCs w:val="24"/>
          <w:highlight w:val="none"/>
        </w:rPr>
        <w:t>（格式，若有）</w:t>
      </w:r>
    </w:p>
    <w:p>
      <w:pPr>
        <w:autoSpaceDE w:val="0"/>
        <w:autoSpaceDN w:val="0"/>
        <w:spacing w:line="500" w:lineRule="exact"/>
        <w:ind w:left="240" w:leftChars="100" w:firstLine="960" w:firstLineChars="400"/>
        <w:rPr>
          <w:rFonts w:ascii="仿宋" w:hAnsi="仿宋" w:eastAsia="仿宋" w:cs="仿宋"/>
          <w:color w:val="auto"/>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kern w:val="0"/>
          <w:szCs w:val="24"/>
          <w:highlight w:val="none"/>
          <w:lang w:val="en-US" w:eastAsia="zh-CN"/>
        </w:rPr>
        <w:t>7</w:t>
      </w:r>
      <w:r>
        <w:rPr>
          <w:rFonts w:hint="eastAsia" w:ascii="仿宋" w:hAnsi="仿宋" w:eastAsia="仿宋" w:cs="仿宋"/>
          <w:color w:val="auto"/>
          <w:kern w:val="0"/>
          <w:szCs w:val="24"/>
          <w:highlight w:val="none"/>
        </w:rPr>
        <w:t>.</w:t>
      </w:r>
      <w:bookmarkStart w:id="137" w:name="_Toc458617471"/>
      <w:bookmarkStart w:id="138" w:name="_Toc1386"/>
      <w:bookmarkStart w:id="139" w:name="_Toc25120"/>
      <w:bookmarkStart w:id="140" w:name="_Toc193126882"/>
      <w:bookmarkStart w:id="141" w:name="_Toc188808834"/>
      <w:bookmarkStart w:id="142" w:name="_Toc194663919"/>
      <w:bookmarkStart w:id="143" w:name="_Toc193187098"/>
      <w:r>
        <w:rPr>
          <w:rFonts w:hint="eastAsia" w:ascii="仿宋" w:hAnsi="仿宋" w:eastAsia="仿宋" w:cs="仿宋"/>
          <w:color w:val="auto"/>
          <w:kern w:val="0"/>
          <w:szCs w:val="24"/>
          <w:highlight w:val="none"/>
        </w:rPr>
        <w:t>《监狱、戒毒企业声明函》（格式，若有）</w:t>
      </w:r>
    </w:p>
    <w:p>
      <w:pPr>
        <w:autoSpaceDE w:val="0"/>
        <w:autoSpaceDN w:val="0"/>
        <w:spacing w:line="500" w:lineRule="exact"/>
        <w:rPr>
          <w:rFonts w:ascii="仿宋" w:hAnsi="仿宋" w:eastAsia="仿宋" w:cs="仿宋"/>
          <w:color w:val="auto"/>
          <w:kern w:val="0"/>
          <w:szCs w:val="24"/>
          <w:highlight w:val="none"/>
        </w:rPr>
      </w:pPr>
    </w:p>
    <w:p>
      <w:pPr>
        <w:pStyle w:val="10"/>
        <w:rPr>
          <w:rFonts w:ascii="仿宋" w:hAnsi="仿宋" w:eastAsia="仿宋" w:cs="仿宋"/>
          <w:color w:val="auto"/>
          <w:highlight w:val="none"/>
        </w:rPr>
      </w:pPr>
    </w:p>
    <w:p>
      <w:pPr>
        <w:rPr>
          <w:rFonts w:ascii="仿宋" w:hAnsi="仿宋" w:eastAsia="仿宋" w:cs="仿宋"/>
          <w:b/>
          <w:color w:val="auto"/>
          <w:highlight w:val="none"/>
        </w:rPr>
      </w:pPr>
      <w:r>
        <w:rPr>
          <w:rFonts w:hint="eastAsia" w:ascii="仿宋" w:hAnsi="仿宋" w:eastAsia="仿宋" w:cs="仿宋"/>
          <w:b/>
          <w:color w:val="auto"/>
          <w:highlight w:val="none"/>
        </w:rPr>
        <w:br w:type="page"/>
      </w:r>
    </w:p>
    <w:p>
      <w:pPr>
        <w:pStyle w:val="40"/>
        <w:spacing w:line="560" w:lineRule="exact"/>
        <w:ind w:firstLine="0" w:firstLineChars="0"/>
        <w:rPr>
          <w:rFonts w:ascii="仿宋" w:hAnsi="仿宋" w:eastAsia="仿宋" w:cs="仿宋"/>
          <w:b/>
          <w:color w:val="auto"/>
          <w:highlight w:val="none"/>
        </w:rPr>
      </w:pPr>
      <w:r>
        <w:rPr>
          <w:rFonts w:hint="eastAsia" w:ascii="仿宋" w:hAnsi="仿宋" w:eastAsia="仿宋" w:cs="仿宋"/>
          <w:b/>
          <w:color w:val="auto"/>
          <w:highlight w:val="none"/>
        </w:rPr>
        <w:t>1.投标函</w:t>
      </w:r>
      <w:bookmarkEnd w:id="137"/>
      <w:bookmarkEnd w:id="138"/>
      <w:bookmarkEnd w:id="139"/>
      <w:r>
        <w:rPr>
          <w:rFonts w:hint="eastAsia" w:ascii="仿宋" w:hAnsi="仿宋" w:eastAsia="仿宋" w:cs="仿宋"/>
          <w:bCs/>
          <w:color w:val="auto"/>
          <w:sz w:val="22"/>
          <w:szCs w:val="20"/>
          <w:highlight w:val="none"/>
        </w:rPr>
        <w:t>（格式）</w:t>
      </w:r>
    </w:p>
    <w:p>
      <w:pPr>
        <w:spacing w:line="560" w:lineRule="exact"/>
        <w:ind w:left="240" w:leftChars="100"/>
        <w:rPr>
          <w:rFonts w:ascii="仿宋" w:hAnsi="仿宋" w:eastAsia="仿宋" w:cs="仿宋"/>
          <w:color w:val="auto"/>
          <w:szCs w:val="21"/>
          <w:highlight w:val="none"/>
        </w:rPr>
      </w:pPr>
    </w:p>
    <w:p>
      <w:pPr>
        <w:spacing w:line="560" w:lineRule="exact"/>
        <w:rPr>
          <w:rFonts w:ascii="仿宋" w:hAnsi="仿宋" w:eastAsia="仿宋" w:cs="仿宋"/>
          <w:b/>
          <w:color w:val="auto"/>
          <w:szCs w:val="24"/>
          <w:highlight w:val="none"/>
        </w:rPr>
      </w:pPr>
      <w:r>
        <w:rPr>
          <w:rFonts w:hint="eastAsia" w:ascii="仿宋" w:hAnsi="仿宋" w:eastAsia="仿宋" w:cs="仿宋"/>
          <w:b/>
          <w:color w:val="auto"/>
          <w:szCs w:val="24"/>
          <w:highlight w:val="none"/>
        </w:rPr>
        <w:t>致：华招广和项目管理有限公司</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rPr>
        <w:t>根据贵单位</w:t>
      </w:r>
      <w:r>
        <w:rPr>
          <w:rFonts w:hint="eastAsia" w:ascii="仿宋" w:hAnsi="仿宋" w:eastAsia="仿宋" w:cs="仿宋"/>
          <w:color w:val="auto"/>
          <w:szCs w:val="24"/>
          <w:highlight w:val="none"/>
          <w:u w:val="single"/>
        </w:rPr>
        <w:t xml:space="preserve">         （招标项目名称）    </w:t>
      </w:r>
      <w:r>
        <w:rPr>
          <w:rFonts w:hint="eastAsia" w:ascii="仿宋" w:hAnsi="仿宋" w:eastAsia="仿宋" w:cs="仿宋"/>
          <w:color w:val="auto"/>
          <w:szCs w:val="24"/>
          <w:highlight w:val="none"/>
        </w:rPr>
        <w:t>项目</w:t>
      </w:r>
      <w:r>
        <w:rPr>
          <w:rFonts w:hint="eastAsia" w:ascii="仿宋" w:hAnsi="仿宋" w:eastAsia="仿宋" w:cs="仿宋"/>
          <w:color w:val="auto"/>
          <w:szCs w:val="24"/>
          <w:highlight w:val="none"/>
          <w:u w:val="single"/>
        </w:rPr>
        <w:t>（项目编号）</w:t>
      </w:r>
      <w:r>
        <w:rPr>
          <w:rFonts w:hint="eastAsia" w:ascii="仿宋" w:hAnsi="仿宋" w:eastAsia="仿宋" w:cs="仿宋"/>
          <w:color w:val="auto"/>
          <w:szCs w:val="24"/>
          <w:highlight w:val="none"/>
        </w:rPr>
        <w:t>的招标公告，我方代表</w:t>
      </w:r>
      <w:r>
        <w:rPr>
          <w:rFonts w:hint="eastAsia" w:ascii="仿宋" w:hAnsi="仿宋" w:eastAsia="仿宋" w:cs="仿宋"/>
          <w:color w:val="auto"/>
          <w:szCs w:val="24"/>
          <w:highlight w:val="none"/>
          <w:u w:val="single"/>
        </w:rPr>
        <w:t xml:space="preserve">   （姓名、职务）   </w:t>
      </w:r>
      <w:r>
        <w:rPr>
          <w:rFonts w:hint="eastAsia" w:ascii="仿宋" w:hAnsi="仿宋" w:eastAsia="仿宋" w:cs="仿宋"/>
          <w:color w:val="auto"/>
          <w:szCs w:val="24"/>
          <w:highlight w:val="none"/>
        </w:rPr>
        <w:t>经正式授权并代表</w:t>
      </w:r>
      <w:r>
        <w:rPr>
          <w:rFonts w:hint="eastAsia" w:ascii="仿宋" w:hAnsi="仿宋" w:eastAsia="仿宋" w:cs="仿宋"/>
          <w:color w:val="auto"/>
          <w:szCs w:val="24"/>
          <w:highlight w:val="none"/>
          <w:u w:val="single"/>
        </w:rPr>
        <w:t xml:space="preserve">     （投标人名称）     </w:t>
      </w:r>
      <w:r>
        <w:rPr>
          <w:rFonts w:hint="eastAsia" w:ascii="仿宋" w:hAnsi="仿宋" w:eastAsia="仿宋" w:cs="仿宋"/>
          <w:color w:val="auto"/>
          <w:szCs w:val="24"/>
          <w:highlight w:val="none"/>
        </w:rPr>
        <w:t>就该项目进行投标。</w:t>
      </w:r>
    </w:p>
    <w:p>
      <w:pPr>
        <w:spacing w:line="560" w:lineRule="exact"/>
        <w:ind w:firstLine="472" w:firstLineChars="196"/>
        <w:rPr>
          <w:rFonts w:ascii="仿宋" w:hAnsi="仿宋" w:eastAsia="仿宋" w:cs="仿宋"/>
          <w:b/>
          <w:color w:val="auto"/>
          <w:szCs w:val="24"/>
          <w:highlight w:val="none"/>
        </w:rPr>
      </w:pPr>
      <w:r>
        <w:rPr>
          <w:rFonts w:hint="eastAsia" w:ascii="仿宋" w:hAnsi="仿宋" w:eastAsia="仿宋" w:cs="仿宋"/>
          <w:b/>
          <w:color w:val="auto"/>
          <w:szCs w:val="24"/>
          <w:highlight w:val="none"/>
        </w:rPr>
        <w:t>在此，我方郑重声明以下诸点，并负法律责任：</w:t>
      </w:r>
    </w:p>
    <w:p>
      <w:pPr>
        <w:spacing w:line="560" w:lineRule="exact"/>
        <w:ind w:firstLine="470" w:firstLineChars="196"/>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、我方所附投标报价表中应提交和交付的货物/服务投标总价为人民币：</w:t>
      </w:r>
      <w:r>
        <w:rPr>
          <w:rFonts w:hint="eastAsia" w:ascii="仿宋" w:hAnsi="仿宋" w:eastAsia="仿宋" w:cs="仿宋"/>
          <w:color w:val="auto"/>
          <w:szCs w:val="24"/>
          <w:highlight w:val="none"/>
          <w:u w:val="single"/>
        </w:rPr>
        <w:t>（同时用汉字大写和数字表示的投标总价）</w:t>
      </w:r>
      <w:r>
        <w:rPr>
          <w:rFonts w:hint="eastAsia" w:ascii="仿宋" w:hAnsi="仿宋" w:eastAsia="仿宋" w:cs="仿宋"/>
          <w:color w:val="auto"/>
          <w:szCs w:val="24"/>
          <w:highlight w:val="none"/>
        </w:rPr>
        <w:t>。该报价一次报死，不受市场因素的影响。</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、我方已详细审查全部招标文件，完全理解并同意放弃对这方面有不明及误解质疑的权力。</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、我方完全理解并同意招标文件中有关没收投标保证金、要求专业担保机构先行偿付和拒绝投标的条款。</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、我方同意按照要求提供投标有关的一切数据或资料。</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、我方将按招标文件的规定履行合同责任和义务。</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、我方完全理解最低报价不是中标的唯一条件，采购人有权选择质优价廉的货物/服务。</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、我方同意按招标文件规定，遵守贵方有关招标的各项规定。</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、若我方中标，我方保证按有关规定向贵方支付招标服务费。</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、投标有效期为自提交投标文件的截止之日起90个日历日。</w:t>
      </w:r>
    </w:p>
    <w:p>
      <w:pPr>
        <w:spacing w:line="560" w:lineRule="exact"/>
        <w:ind w:firstLine="470" w:firstLineChars="196"/>
        <w:rPr>
          <w:rFonts w:ascii="仿宋" w:hAnsi="仿宋" w:eastAsia="仿宋" w:cs="仿宋"/>
          <w:b/>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rPr>
        <w:t>、所有关于本项目的函电，请按下列地址联系：</w:t>
      </w:r>
    </w:p>
    <w:p>
      <w:pPr>
        <w:spacing w:line="560" w:lineRule="exact"/>
        <w:ind w:firstLine="480" w:firstLineChars="200"/>
        <w:rPr>
          <w:rFonts w:ascii="仿宋" w:hAnsi="仿宋" w:eastAsia="仿宋" w:cs="仿宋"/>
          <w:color w:val="auto"/>
          <w:szCs w:val="24"/>
          <w:highlight w:val="none"/>
        </w:rPr>
      </w:pPr>
    </w:p>
    <w:p>
      <w:pPr>
        <w:spacing w:line="560" w:lineRule="exact"/>
        <w:ind w:firstLine="480" w:firstLineChars="200"/>
        <w:rPr>
          <w:rFonts w:ascii="仿宋" w:hAnsi="仿宋" w:eastAsia="仿宋" w:cs="仿宋"/>
          <w:color w:val="auto"/>
          <w:szCs w:val="24"/>
          <w:highlight w:val="none"/>
        </w:rPr>
      </w:pPr>
    </w:p>
    <w:p>
      <w:pPr>
        <w:spacing w:line="560" w:lineRule="exact"/>
        <w:rPr>
          <w:rFonts w:ascii="仿宋" w:hAnsi="仿宋" w:eastAsia="仿宋" w:cs="仿宋"/>
          <w:color w:val="auto"/>
          <w:szCs w:val="24"/>
          <w:highlight w:val="none"/>
        </w:rPr>
      </w:pPr>
    </w:p>
    <w:p>
      <w:pPr>
        <w:spacing w:line="560" w:lineRule="exact"/>
        <w:ind w:firstLine="480" w:firstLineChars="200"/>
        <w:rPr>
          <w:rFonts w:ascii="仿宋" w:hAnsi="仿宋" w:eastAsia="仿宋" w:cs="仿宋"/>
          <w:color w:val="auto"/>
          <w:szCs w:val="24"/>
          <w:highlight w:val="none"/>
          <w:u w:val="single"/>
        </w:rPr>
      </w:pPr>
      <w:r>
        <w:rPr>
          <w:rFonts w:hint="eastAsia" w:ascii="仿宋" w:hAnsi="仿宋" w:eastAsia="仿宋" w:cs="仿宋"/>
          <w:color w:val="auto"/>
          <w:szCs w:val="24"/>
          <w:highlight w:val="none"/>
        </w:rPr>
        <w:t>投标人名称（公章）：</w:t>
      </w:r>
      <w:r>
        <w:rPr>
          <w:rFonts w:hint="eastAsia" w:ascii="仿宋" w:hAnsi="仿宋" w:eastAsia="仿宋" w:cs="仿宋"/>
          <w:color w:val="auto"/>
          <w:szCs w:val="24"/>
          <w:highlight w:val="none"/>
          <w:u w:val="single"/>
        </w:rPr>
        <w:t xml:space="preserve">                                </w:t>
      </w:r>
    </w:p>
    <w:p>
      <w:pPr>
        <w:spacing w:line="560" w:lineRule="exact"/>
        <w:ind w:firstLine="480" w:firstLineChars="200"/>
        <w:rPr>
          <w:rFonts w:ascii="仿宋" w:hAnsi="仿宋" w:eastAsia="仿宋" w:cs="仿宋"/>
          <w:color w:val="auto"/>
          <w:szCs w:val="24"/>
          <w:highlight w:val="none"/>
          <w:u w:val="single"/>
        </w:rPr>
      </w:pPr>
      <w:r>
        <w:rPr>
          <w:rFonts w:hint="eastAsia" w:ascii="仿宋" w:hAnsi="仿宋" w:eastAsia="仿宋" w:cs="仿宋"/>
          <w:color w:val="auto"/>
          <w:szCs w:val="24"/>
          <w:highlight w:val="none"/>
        </w:rPr>
        <w:t>详 细 地 址：</w:t>
      </w:r>
      <w:r>
        <w:rPr>
          <w:rFonts w:hint="eastAsia" w:ascii="仿宋" w:hAnsi="仿宋" w:eastAsia="仿宋" w:cs="仿宋"/>
          <w:color w:val="auto"/>
          <w:szCs w:val="24"/>
          <w:highlight w:val="none"/>
          <w:u w:val="single"/>
        </w:rPr>
        <w:t xml:space="preserve">                                      </w:t>
      </w:r>
    </w:p>
    <w:p>
      <w:pPr>
        <w:spacing w:line="560" w:lineRule="exact"/>
        <w:ind w:firstLine="480" w:firstLineChars="200"/>
        <w:rPr>
          <w:rFonts w:ascii="仿宋" w:hAnsi="仿宋" w:eastAsia="仿宋" w:cs="仿宋"/>
          <w:color w:val="auto"/>
          <w:szCs w:val="24"/>
          <w:highlight w:val="none"/>
          <w:u w:val="single"/>
        </w:rPr>
      </w:pPr>
      <w:r>
        <w:rPr>
          <w:rFonts w:hint="eastAsia" w:ascii="仿宋" w:hAnsi="仿宋" w:eastAsia="仿宋" w:cs="仿宋"/>
          <w:color w:val="auto"/>
          <w:szCs w:val="24"/>
          <w:highlight w:val="none"/>
        </w:rPr>
        <w:t>邮 政 编 码：</w:t>
      </w:r>
      <w:r>
        <w:rPr>
          <w:rFonts w:hint="eastAsia" w:ascii="仿宋" w:hAnsi="仿宋" w:eastAsia="仿宋" w:cs="仿宋"/>
          <w:color w:val="auto"/>
          <w:szCs w:val="24"/>
          <w:highlight w:val="none"/>
          <w:u w:val="single"/>
        </w:rPr>
        <w:t xml:space="preserve">                   </w:t>
      </w:r>
    </w:p>
    <w:p>
      <w:pPr>
        <w:spacing w:line="560" w:lineRule="exact"/>
        <w:ind w:firstLine="480" w:firstLineChars="200"/>
        <w:rPr>
          <w:rFonts w:ascii="仿宋" w:hAnsi="仿宋" w:eastAsia="仿宋" w:cs="仿宋"/>
          <w:color w:val="auto"/>
          <w:szCs w:val="24"/>
          <w:highlight w:val="none"/>
          <w:u w:val="single"/>
        </w:rPr>
      </w:pPr>
      <w:r>
        <w:rPr>
          <w:rFonts w:hint="eastAsia" w:ascii="仿宋" w:hAnsi="仿宋" w:eastAsia="仿宋" w:cs="仿宋"/>
          <w:color w:val="auto"/>
          <w:szCs w:val="24"/>
          <w:highlight w:val="none"/>
          <w:lang w:val="zh-CN"/>
        </w:rPr>
        <w:t>电       话：</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ascii="仿宋" w:hAnsi="仿宋" w:eastAsia="仿宋" w:cs="仿宋"/>
          <w:color w:val="auto"/>
          <w:szCs w:val="24"/>
          <w:highlight w:val="none"/>
          <w:u w:val="single"/>
        </w:rPr>
      </w:pPr>
      <w:r>
        <w:rPr>
          <w:rFonts w:hint="eastAsia" w:ascii="仿宋" w:hAnsi="仿宋" w:eastAsia="仿宋" w:cs="仿宋"/>
          <w:color w:val="auto"/>
          <w:szCs w:val="24"/>
          <w:highlight w:val="none"/>
          <w:lang w:val="zh-CN"/>
        </w:rPr>
        <w:t>传       真：</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ascii="仿宋" w:hAnsi="仿宋" w:eastAsia="仿宋" w:cs="仿宋"/>
          <w:color w:val="auto"/>
          <w:szCs w:val="24"/>
          <w:highlight w:val="none"/>
          <w:u w:val="single"/>
        </w:rPr>
      </w:pPr>
      <w:r>
        <w:rPr>
          <w:rFonts w:hint="eastAsia" w:ascii="仿宋" w:hAnsi="仿宋" w:eastAsia="仿宋" w:cs="仿宋"/>
          <w:color w:val="auto"/>
          <w:szCs w:val="24"/>
          <w:highlight w:val="none"/>
        </w:rPr>
        <w:t>电 子 邮 件：</w:t>
      </w:r>
      <w:r>
        <w:rPr>
          <w:rFonts w:hint="eastAsia" w:ascii="仿宋" w:hAnsi="仿宋" w:eastAsia="仿宋" w:cs="仿宋"/>
          <w:color w:val="auto"/>
          <w:szCs w:val="24"/>
          <w:highlight w:val="none"/>
          <w:u w:val="single"/>
        </w:rPr>
        <w:t xml:space="preserve">                   </w:t>
      </w:r>
    </w:p>
    <w:p>
      <w:pPr>
        <w:spacing w:line="560" w:lineRule="exact"/>
        <w:ind w:firstLine="480" w:firstLineChars="200"/>
        <w:rPr>
          <w:rFonts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开 户 银 行：</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帐       号：</w:t>
      </w:r>
      <w:r>
        <w:rPr>
          <w:rFonts w:hint="eastAsia" w:ascii="仿宋" w:hAnsi="仿宋" w:eastAsia="仿宋" w:cs="仿宋"/>
          <w:color w:val="auto"/>
          <w:szCs w:val="24"/>
          <w:highlight w:val="none"/>
          <w:u w:val="single"/>
          <w:lang w:val="zh-CN"/>
        </w:rPr>
        <w:t xml:space="preserve">                   </w:t>
      </w:r>
    </w:p>
    <w:p>
      <w:pPr>
        <w:autoSpaceDE w:val="0"/>
        <w:autoSpaceDN w:val="0"/>
        <w:adjustRightInd w:val="0"/>
        <w:spacing w:line="560" w:lineRule="exact"/>
        <w:ind w:left="840" w:leftChars="100" w:hanging="600"/>
        <w:rPr>
          <w:rFonts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w:t>
      </w:r>
    </w:p>
    <w:p>
      <w:pPr>
        <w:autoSpaceDE w:val="0"/>
        <w:autoSpaceDN w:val="0"/>
        <w:adjustRightInd w:val="0"/>
        <w:spacing w:line="560" w:lineRule="exact"/>
        <w:ind w:left="840" w:leftChars="100" w:hanging="600"/>
        <w:rPr>
          <w:rFonts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ascii="仿宋" w:hAnsi="仿宋" w:eastAsia="仿宋" w:cs="仿宋"/>
          <w:color w:val="auto"/>
          <w:szCs w:val="24"/>
          <w:highlight w:val="none"/>
          <w:lang w:val="zh-CN"/>
        </w:rPr>
      </w:pPr>
    </w:p>
    <w:p>
      <w:pPr>
        <w:autoSpaceDE w:val="0"/>
        <w:autoSpaceDN w:val="0"/>
        <w:adjustRightInd w:val="0"/>
        <w:spacing w:line="560" w:lineRule="exact"/>
        <w:rPr>
          <w:rFonts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ascii="仿宋" w:hAnsi="仿宋" w:eastAsia="仿宋" w:cs="仿宋"/>
          <w:color w:val="auto"/>
          <w:szCs w:val="24"/>
          <w:highlight w:val="none"/>
          <w:lang w:val="zh-CN"/>
        </w:rPr>
      </w:pPr>
    </w:p>
    <w:p>
      <w:pPr>
        <w:autoSpaceDE w:val="0"/>
        <w:autoSpaceDN w:val="0"/>
        <w:adjustRightInd w:val="0"/>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u w:val="single"/>
        </w:rPr>
        <w:t xml:space="preserve">               </w:t>
      </w:r>
    </w:p>
    <w:p>
      <w:pPr>
        <w:autoSpaceDE w:val="0"/>
        <w:autoSpaceDN w:val="0"/>
        <w:adjustRightInd w:val="0"/>
        <w:spacing w:line="560" w:lineRule="exact"/>
        <w:ind w:left="240" w:leftChars="100" w:firstLine="3960" w:firstLineChars="1650"/>
        <w:rPr>
          <w:rFonts w:ascii="仿宋" w:hAnsi="仿宋" w:eastAsia="仿宋" w:cs="仿宋"/>
          <w:color w:val="auto"/>
          <w:szCs w:val="24"/>
          <w:highlight w:val="none"/>
          <w:u w:val="single"/>
          <w:lang w:val="zh-CN"/>
        </w:rPr>
      </w:pPr>
      <w:r>
        <w:rPr>
          <w:rFonts w:hint="eastAsia" w:ascii="仿宋" w:hAnsi="仿宋" w:eastAsia="仿宋" w:cs="仿宋"/>
          <w:color w:val="auto"/>
          <w:szCs w:val="24"/>
          <w:highlight w:val="none"/>
          <w:lang w:val="zh-CN"/>
        </w:rPr>
        <w:t>联系电话/手机：</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rPr>
        <w:t xml:space="preserve">  </w:t>
      </w:r>
    </w:p>
    <w:p>
      <w:pPr>
        <w:spacing w:line="560" w:lineRule="exact"/>
        <w:ind w:left="240" w:leftChars="100"/>
        <w:jc w:val="center"/>
        <w:rPr>
          <w:rFonts w:ascii="仿宋" w:hAnsi="仿宋" w:eastAsia="仿宋" w:cs="仿宋"/>
          <w:color w:val="auto"/>
          <w:szCs w:val="24"/>
          <w:highlight w:val="none"/>
        </w:rPr>
        <w:sectPr>
          <w:pgSz w:w="11907" w:h="16840"/>
          <w:pgMar w:top="1417" w:right="1134" w:bottom="1417" w:left="1304" w:header="935" w:footer="771" w:gutter="567"/>
          <w:cols w:space="0" w:num="1"/>
          <w:titlePg/>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日</w:t>
      </w:r>
    </w:p>
    <w:bookmarkEnd w:id="140"/>
    <w:bookmarkEnd w:id="141"/>
    <w:bookmarkEnd w:id="142"/>
    <w:bookmarkEnd w:id="143"/>
    <w:p>
      <w:pPr>
        <w:pStyle w:val="40"/>
        <w:spacing w:line="560" w:lineRule="exact"/>
        <w:ind w:firstLine="0" w:firstLineChars="0"/>
        <w:outlineLvl w:val="1"/>
        <w:rPr>
          <w:rFonts w:ascii="仿宋" w:hAnsi="仿宋" w:eastAsia="仿宋" w:cs="仿宋"/>
          <w:bCs/>
          <w:color w:val="auto"/>
          <w:sz w:val="24"/>
          <w:szCs w:val="21"/>
          <w:highlight w:val="none"/>
        </w:rPr>
      </w:pPr>
      <w:bookmarkStart w:id="144" w:name="_Toc5497"/>
      <w:bookmarkStart w:id="145" w:name="_Toc6986"/>
      <w:bookmarkStart w:id="146" w:name="_Toc458617472"/>
      <w:bookmarkStart w:id="147" w:name="_Toc194663926"/>
      <w:bookmarkStart w:id="148" w:name="_Toc193187105"/>
      <w:bookmarkStart w:id="149" w:name="_Toc188808840"/>
      <w:bookmarkStart w:id="150" w:name="_Toc193126889"/>
      <w:r>
        <w:rPr>
          <w:rFonts w:hint="eastAsia" w:ascii="仿宋" w:hAnsi="仿宋" w:eastAsia="仿宋" w:cs="仿宋"/>
          <w:b/>
          <w:color w:val="auto"/>
          <w:highlight w:val="none"/>
        </w:rPr>
        <w:t>2.开标一览表</w:t>
      </w:r>
      <w:bookmarkEnd w:id="144"/>
      <w:bookmarkEnd w:id="145"/>
      <w:bookmarkEnd w:id="146"/>
      <w:r>
        <w:rPr>
          <w:rFonts w:hint="eastAsia" w:ascii="仿宋" w:hAnsi="仿宋" w:eastAsia="仿宋" w:cs="仿宋"/>
          <w:bCs/>
          <w:color w:val="auto"/>
          <w:sz w:val="24"/>
          <w:szCs w:val="21"/>
          <w:highlight w:val="none"/>
        </w:rPr>
        <w:t>（格式）</w:t>
      </w:r>
    </w:p>
    <w:p>
      <w:pPr>
        <w:spacing w:line="560" w:lineRule="exact"/>
        <w:ind w:left="240" w:leftChars="100"/>
        <w:jc w:val="center"/>
        <w:rPr>
          <w:rFonts w:ascii="仿宋" w:hAnsi="仿宋" w:eastAsia="仿宋" w:cs="仿宋"/>
          <w:b/>
          <w:bCs/>
          <w:color w:val="auto"/>
          <w:sz w:val="36"/>
          <w:szCs w:val="21"/>
          <w:highlight w:val="none"/>
        </w:rPr>
      </w:pPr>
    </w:p>
    <w:p>
      <w:pPr>
        <w:spacing w:line="560" w:lineRule="exact"/>
        <w:rPr>
          <w:rFonts w:ascii="仿宋" w:hAnsi="仿宋" w:eastAsia="仿宋" w:cs="仿宋"/>
          <w:b/>
          <w:bCs/>
          <w:color w:val="auto"/>
          <w:sz w:val="36"/>
          <w:szCs w:val="21"/>
          <w:highlight w:val="none"/>
        </w:rPr>
      </w:pPr>
    </w:p>
    <w:p>
      <w:pPr>
        <w:spacing w:line="560" w:lineRule="exact"/>
        <w:ind w:firstLine="120" w:firstLineChars="50"/>
        <w:rPr>
          <w:rFonts w:ascii="仿宋" w:hAnsi="仿宋" w:eastAsia="仿宋" w:cs="仿宋"/>
          <w:bCs/>
          <w:color w:val="auto"/>
          <w:kern w:val="0"/>
          <w:szCs w:val="24"/>
          <w:highlight w:val="none"/>
          <w:u w:val="single"/>
        </w:rPr>
      </w:pPr>
      <w:r>
        <w:rPr>
          <w:rFonts w:hint="eastAsia" w:ascii="仿宋" w:hAnsi="仿宋" w:eastAsia="仿宋" w:cs="仿宋"/>
          <w:bCs/>
          <w:color w:val="auto"/>
          <w:kern w:val="0"/>
          <w:szCs w:val="24"/>
          <w:highlight w:val="none"/>
        </w:rPr>
        <w:t>投标人名称：</w:t>
      </w:r>
      <w:r>
        <w:rPr>
          <w:rFonts w:hint="eastAsia" w:ascii="仿宋" w:hAnsi="仿宋" w:eastAsia="仿宋" w:cs="仿宋"/>
          <w:bCs/>
          <w:color w:val="auto"/>
          <w:kern w:val="0"/>
          <w:szCs w:val="24"/>
          <w:highlight w:val="none"/>
          <w:u w:val="single"/>
        </w:rPr>
        <w:t xml:space="preserve">                    </w:t>
      </w:r>
      <w:r>
        <w:rPr>
          <w:rFonts w:hint="eastAsia" w:ascii="仿宋" w:hAnsi="仿宋" w:eastAsia="仿宋" w:cs="仿宋"/>
          <w:bCs/>
          <w:color w:val="auto"/>
          <w:kern w:val="0"/>
          <w:szCs w:val="24"/>
          <w:highlight w:val="none"/>
        </w:rPr>
        <w:t xml:space="preserve">                                                   </w:t>
      </w:r>
    </w:p>
    <w:tbl>
      <w:tblPr>
        <w:tblStyle w:val="22"/>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项目编号</w:t>
            </w:r>
          </w:p>
        </w:tc>
        <w:tc>
          <w:tcPr>
            <w:tcW w:w="5462" w:type="dxa"/>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投标总价</w:t>
            </w:r>
          </w:p>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交货期（</w:t>
            </w:r>
            <w:r>
              <w:rPr>
                <w:rFonts w:hint="eastAsia" w:ascii="仿宋" w:hAnsi="仿宋" w:eastAsia="仿宋" w:cs="仿宋"/>
                <w:b/>
                <w:color w:val="auto"/>
                <w:szCs w:val="24"/>
                <w:highlight w:val="none"/>
                <w:lang w:val="en-US" w:eastAsia="zh-CN"/>
              </w:rPr>
              <w:t>日历日</w:t>
            </w:r>
            <w:r>
              <w:rPr>
                <w:rFonts w:hint="eastAsia" w:ascii="仿宋" w:hAnsi="仿宋" w:eastAsia="仿宋" w:cs="仿宋"/>
                <w:b/>
                <w:color w:val="auto"/>
                <w:szCs w:val="24"/>
                <w:highlight w:val="none"/>
              </w:rPr>
              <w:t>）</w:t>
            </w: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质保期</w:t>
            </w:r>
            <w:r>
              <w:rPr>
                <w:rFonts w:hint="eastAsia" w:ascii="仿宋" w:hAnsi="仿宋" w:eastAsia="仿宋" w:cs="仿宋"/>
                <w:b/>
                <w:color w:val="auto"/>
                <w:szCs w:val="24"/>
                <w:highlight w:val="none"/>
                <w:lang w:eastAsia="zh-CN"/>
              </w:rPr>
              <w:t>（</w:t>
            </w:r>
            <w:r>
              <w:rPr>
                <w:rFonts w:hint="eastAsia" w:ascii="仿宋" w:hAnsi="仿宋" w:eastAsia="仿宋" w:cs="仿宋"/>
                <w:b/>
                <w:color w:val="auto"/>
                <w:szCs w:val="24"/>
                <w:highlight w:val="none"/>
                <w:lang w:val="en-US" w:eastAsia="zh-CN"/>
              </w:rPr>
              <w:t>月</w:t>
            </w:r>
            <w:r>
              <w:rPr>
                <w:rFonts w:hint="eastAsia" w:ascii="仿宋" w:hAnsi="仿宋" w:eastAsia="仿宋" w:cs="仿宋"/>
                <w:b/>
                <w:color w:val="auto"/>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ascii="仿宋" w:hAnsi="仿宋" w:eastAsia="仿宋" w:cs="仿宋"/>
                <w:color w:val="auto"/>
                <w:szCs w:val="24"/>
                <w:highlight w:val="none"/>
              </w:rPr>
            </w:pPr>
          </w:p>
        </w:tc>
        <w:tc>
          <w:tcPr>
            <w:tcW w:w="5462" w:type="dxa"/>
            <w:vAlign w:val="center"/>
          </w:tcPr>
          <w:p>
            <w:pPr>
              <w:spacing w:line="560" w:lineRule="exact"/>
              <w:ind w:left="240" w:leftChars="100"/>
              <w:jc w:val="center"/>
              <w:rPr>
                <w:rFonts w:ascii="仿宋" w:hAnsi="仿宋" w:eastAsia="仿宋" w:cs="仿宋"/>
                <w:color w:val="auto"/>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color w:val="auto"/>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843" w:type="dxa"/>
            <w:gridSpan w:val="3"/>
            <w:tcBorders>
              <w:top w:val="single" w:color="auto" w:sz="4" w:space="0"/>
            </w:tcBorders>
            <w:vAlign w:val="center"/>
          </w:tcPr>
          <w:p>
            <w:pPr>
              <w:spacing w:line="560" w:lineRule="exact"/>
              <w:ind w:left="240" w:leftChars="100"/>
              <w:rPr>
                <w:rFonts w:ascii="仿宋" w:hAnsi="仿宋" w:eastAsia="仿宋" w:cs="仿宋"/>
                <w:b/>
                <w:color w:val="auto"/>
                <w:szCs w:val="24"/>
                <w:highlight w:val="none"/>
              </w:rPr>
            </w:pPr>
            <w:r>
              <w:rPr>
                <w:rFonts w:hint="eastAsia" w:ascii="仿宋" w:hAnsi="仿宋" w:eastAsia="仿宋" w:cs="仿宋"/>
                <w:b/>
                <w:color w:val="auto"/>
                <w:szCs w:val="24"/>
                <w:highlight w:val="none"/>
              </w:rPr>
              <w:t xml:space="preserve">（大写）                                </w:t>
            </w:r>
          </w:p>
        </w:tc>
      </w:tr>
    </w:tbl>
    <w:p>
      <w:pPr>
        <w:spacing w:line="560" w:lineRule="exact"/>
        <w:ind w:left="240" w:leftChars="100" w:firstLine="480" w:firstLineChars="200"/>
        <w:rPr>
          <w:rFonts w:ascii="仿宋" w:hAnsi="仿宋" w:eastAsia="仿宋" w:cs="仿宋"/>
          <w:color w:val="auto"/>
          <w:szCs w:val="24"/>
          <w:highlight w:val="none"/>
        </w:rPr>
      </w:pPr>
    </w:p>
    <w:p>
      <w:pPr>
        <w:spacing w:line="560" w:lineRule="exact"/>
        <w:rPr>
          <w:rFonts w:ascii="仿宋" w:hAnsi="仿宋" w:eastAsia="仿宋" w:cs="仿宋"/>
          <w:color w:val="auto"/>
          <w:szCs w:val="24"/>
          <w:highlight w:val="none"/>
        </w:rPr>
      </w:pPr>
    </w:p>
    <w:p>
      <w:pPr>
        <w:spacing w:line="560" w:lineRule="exact"/>
        <w:rPr>
          <w:rFonts w:ascii="仿宋" w:hAnsi="仿宋" w:eastAsia="仿宋" w:cs="仿宋"/>
          <w:color w:val="auto"/>
          <w:szCs w:val="24"/>
          <w:highlight w:val="none"/>
        </w:rPr>
      </w:pPr>
    </w:p>
    <w:p>
      <w:pPr>
        <w:spacing w:line="560" w:lineRule="exact"/>
        <w:rPr>
          <w:rFonts w:ascii="仿宋" w:hAnsi="仿宋" w:eastAsia="仿宋" w:cs="仿宋"/>
          <w:color w:val="auto"/>
          <w:szCs w:val="24"/>
          <w:highlight w:val="none"/>
        </w:rPr>
      </w:pPr>
    </w:p>
    <w:p>
      <w:pPr>
        <w:spacing w:line="560" w:lineRule="exact"/>
        <w:rPr>
          <w:rFonts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ascii="仿宋" w:hAnsi="仿宋" w:eastAsia="仿宋" w:cs="仿宋"/>
          <w:b/>
          <w:color w:val="auto"/>
          <w:highlight w:val="none"/>
        </w:rPr>
      </w:pPr>
      <w:bookmarkStart w:id="151" w:name="_Toc458617473"/>
      <w:bookmarkStart w:id="152" w:name="_Toc9029"/>
      <w:bookmarkStart w:id="153" w:name="_Toc10249"/>
      <w:bookmarkStart w:id="154" w:name="_Toc167591148"/>
      <w:bookmarkStart w:id="155" w:name="_Toc170980457"/>
      <w:bookmarkStart w:id="156" w:name="_Toc169846877"/>
      <w:bookmarkStart w:id="157" w:name="_Toc193187101"/>
      <w:bookmarkStart w:id="158" w:name="_Toc169846780"/>
      <w:bookmarkStart w:id="159" w:name="_Toc167849364"/>
      <w:bookmarkStart w:id="160" w:name="_Toc188808836"/>
      <w:bookmarkStart w:id="161" w:name="_Toc167591047"/>
      <w:bookmarkStart w:id="162" w:name="_Toc173549982"/>
      <w:bookmarkStart w:id="163" w:name="_Toc169838536"/>
      <w:bookmarkStart w:id="164" w:name="_Toc194663922"/>
      <w:bookmarkStart w:id="165" w:name="_Toc175032441"/>
      <w:bookmarkStart w:id="166" w:name="_Toc167591496"/>
      <w:bookmarkStart w:id="167" w:name="_Toc170980556"/>
      <w:bookmarkStart w:id="168" w:name="_Toc167591334"/>
      <w:bookmarkStart w:id="169" w:name="_Toc193126885"/>
      <w:bookmarkStart w:id="170" w:name="_Toc175033596"/>
      <w:bookmarkStart w:id="171" w:name="_Toc167590779"/>
      <w:bookmarkStart w:id="172" w:name="_Toc154482483"/>
      <w:r>
        <w:rPr>
          <w:rFonts w:hint="eastAsia" w:ascii="仿宋" w:hAnsi="仿宋" w:eastAsia="仿宋" w:cs="仿宋"/>
          <w:b/>
          <w:color w:val="auto"/>
          <w:highlight w:val="none"/>
        </w:rPr>
        <w:br w:type="page"/>
      </w:r>
    </w:p>
    <w:p>
      <w:pPr>
        <w:pStyle w:val="40"/>
        <w:spacing w:line="560" w:lineRule="exact"/>
        <w:ind w:firstLine="0" w:firstLineChars="0"/>
        <w:outlineLvl w:val="1"/>
        <w:rPr>
          <w:rFonts w:ascii="仿宋" w:hAnsi="仿宋" w:eastAsia="仿宋" w:cs="仿宋"/>
          <w:bCs/>
          <w:color w:val="auto"/>
          <w:sz w:val="24"/>
          <w:szCs w:val="21"/>
          <w:highlight w:val="none"/>
        </w:rPr>
      </w:pPr>
      <w:r>
        <w:rPr>
          <w:rFonts w:hint="eastAsia" w:ascii="仿宋" w:hAnsi="仿宋" w:eastAsia="仿宋" w:cs="仿宋"/>
          <w:b/>
          <w:color w:val="auto"/>
          <w:highlight w:val="none"/>
        </w:rPr>
        <w:t>3.投标分项报价表</w:t>
      </w:r>
      <w:bookmarkEnd w:id="151"/>
      <w:bookmarkEnd w:id="152"/>
      <w:bookmarkEnd w:id="153"/>
      <w:r>
        <w:rPr>
          <w:rFonts w:hint="eastAsia" w:ascii="仿宋" w:hAnsi="仿宋" w:eastAsia="仿宋" w:cs="仿宋"/>
          <w:bCs/>
          <w:color w:val="auto"/>
          <w:sz w:val="24"/>
          <w:szCs w:val="21"/>
          <w:highlight w:val="none"/>
        </w:rPr>
        <w:t>（格式）</w:t>
      </w:r>
    </w:p>
    <w:p>
      <w:pPr>
        <w:spacing w:line="560" w:lineRule="exact"/>
        <w:rPr>
          <w:rFonts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tbl>
      <w:tblPr>
        <w:tblStyle w:val="22"/>
        <w:tblW w:w="1529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50"/>
        <w:gridCol w:w="1440"/>
        <w:gridCol w:w="1403"/>
        <w:gridCol w:w="2070"/>
        <w:gridCol w:w="2091"/>
        <w:gridCol w:w="1472"/>
        <w:gridCol w:w="1472"/>
        <w:gridCol w:w="1472"/>
        <w:gridCol w:w="12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47" w:type="dxa"/>
            <w:vAlign w:val="center"/>
          </w:tcPr>
          <w:p>
            <w:pPr>
              <w:spacing w:line="560" w:lineRule="exact"/>
              <w:rPr>
                <w:rFonts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950" w:type="dxa"/>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440" w:type="dxa"/>
            <w:vAlign w:val="center"/>
          </w:tcPr>
          <w:p>
            <w:pPr>
              <w:spacing w:line="560" w:lineRule="exact"/>
              <w:ind w:firstLine="116" w:firstLineChars="48"/>
              <w:rPr>
                <w:rFonts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403"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207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2091" w:type="dxa"/>
            <w:tcMar>
              <w:top w:w="28" w:type="dxa"/>
              <w:left w:w="57" w:type="dxa"/>
              <w:bottom w:w="28" w:type="dxa"/>
              <w:right w:w="57" w:type="dxa"/>
            </w:tcMar>
            <w:vAlign w:val="center"/>
          </w:tcPr>
          <w:p>
            <w:pPr>
              <w:spacing w:line="560" w:lineRule="exact"/>
              <w:ind w:left="53" w:leftChars="22"/>
              <w:jc w:val="cente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单位</w:t>
            </w:r>
          </w:p>
        </w:tc>
        <w:tc>
          <w:tcPr>
            <w:tcW w:w="1472" w:type="dxa"/>
            <w:tcMar>
              <w:top w:w="28" w:type="dxa"/>
              <w:left w:w="57" w:type="dxa"/>
              <w:bottom w:w="28" w:type="dxa"/>
              <w:right w:w="57" w:type="dxa"/>
            </w:tcMar>
            <w:vAlign w:val="center"/>
          </w:tcPr>
          <w:p>
            <w:pPr>
              <w:spacing w:line="560" w:lineRule="exact"/>
              <w:ind w:left="53" w:leftChars="22"/>
              <w:jc w:val="cente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数量</w:t>
            </w:r>
          </w:p>
        </w:tc>
        <w:tc>
          <w:tcPr>
            <w:tcW w:w="1472" w:type="dxa"/>
            <w:tcMar>
              <w:top w:w="28" w:type="dxa"/>
              <w:left w:w="57" w:type="dxa"/>
              <w:bottom w:w="28" w:type="dxa"/>
              <w:right w:w="57" w:type="dxa"/>
            </w:tcMar>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ind w:left="53" w:leftChars="2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472" w:type="dxa"/>
            <w:tcMar>
              <w:top w:w="28" w:type="dxa"/>
              <w:left w:w="57" w:type="dxa"/>
              <w:bottom w:w="28" w:type="dxa"/>
              <w:right w:w="57" w:type="dxa"/>
            </w:tcMar>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279" w:type="dxa"/>
            <w:tcMar>
              <w:top w:w="28" w:type="dxa"/>
              <w:left w:w="57" w:type="dxa"/>
              <w:bottom w:w="28" w:type="dxa"/>
              <w:right w:w="57" w:type="dxa"/>
            </w:tcMar>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7"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950"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c>
          <w:tcPr>
            <w:tcW w:w="144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0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7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91"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color w:val="auto"/>
                <w:szCs w:val="24"/>
                <w:highlight w:val="none"/>
              </w:rPr>
            </w:pPr>
          </w:p>
        </w:tc>
        <w:tc>
          <w:tcPr>
            <w:tcW w:w="1472"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27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7"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950"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c>
          <w:tcPr>
            <w:tcW w:w="144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0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7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91"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color w:val="auto"/>
                <w:szCs w:val="24"/>
                <w:highlight w:val="none"/>
              </w:rPr>
            </w:pPr>
          </w:p>
        </w:tc>
        <w:tc>
          <w:tcPr>
            <w:tcW w:w="1472"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27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7"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95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4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03"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7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91" w:type="dxa"/>
            <w:tcMar>
              <w:left w:w="57" w:type="dxa"/>
              <w:right w:w="57" w:type="dxa"/>
            </w:tcMa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279" w:type="dxa"/>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7"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95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4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03"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7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91" w:type="dxa"/>
            <w:tcMar>
              <w:left w:w="57" w:type="dxa"/>
              <w:right w:w="57" w:type="dxa"/>
            </w:tcMa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279" w:type="dxa"/>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7"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95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4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03"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7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91" w:type="dxa"/>
            <w:tcMar>
              <w:left w:w="57" w:type="dxa"/>
              <w:right w:w="57" w:type="dxa"/>
            </w:tcMa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279" w:type="dxa"/>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7"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95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4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03"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7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91" w:type="dxa"/>
            <w:tcMar>
              <w:left w:w="57" w:type="dxa"/>
              <w:right w:w="57" w:type="dxa"/>
            </w:tcMa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279" w:type="dxa"/>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7"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95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4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03"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7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91" w:type="dxa"/>
            <w:tcMar>
              <w:left w:w="57" w:type="dxa"/>
              <w:right w:w="57" w:type="dxa"/>
            </w:tcMa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279" w:type="dxa"/>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7"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95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4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03"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70"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2091" w:type="dxa"/>
            <w:tcMar>
              <w:left w:w="57" w:type="dxa"/>
              <w:right w:w="57" w:type="dxa"/>
            </w:tcMa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279" w:type="dxa"/>
            <w:tcMar>
              <w:left w:w="57" w:type="dxa"/>
              <w:right w:w="57"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97" w:type="dxa"/>
            <w:gridSpan w:val="2"/>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r>
              <w:rPr>
                <w:rFonts w:hint="eastAsia" w:ascii="仿宋" w:hAnsi="仿宋" w:eastAsia="仿宋" w:cs="仿宋"/>
                <w:color w:val="auto"/>
                <w:szCs w:val="24"/>
                <w:highlight w:val="none"/>
              </w:rPr>
              <w:t>总 计（人民币元）</w:t>
            </w:r>
          </w:p>
        </w:tc>
        <w:tc>
          <w:tcPr>
            <w:tcW w:w="8476" w:type="dxa"/>
            <w:gridSpan w:val="5"/>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472" w:type="dxa"/>
            <w:tcMar>
              <w:left w:w="57" w:type="dxa"/>
              <w:right w:w="57" w:type="dxa"/>
            </w:tcMar>
            <w:vAlign w:val="center"/>
          </w:tcPr>
          <w:p>
            <w:pPr>
              <w:spacing w:line="560" w:lineRule="exact"/>
              <w:ind w:left="240" w:leftChars="100"/>
              <w:jc w:val="center"/>
              <w:rPr>
                <w:rFonts w:ascii="仿宋" w:hAnsi="仿宋" w:eastAsia="仿宋" w:cs="仿宋"/>
                <w:color w:val="auto"/>
                <w:szCs w:val="24"/>
                <w:highlight w:val="none"/>
              </w:rPr>
            </w:pPr>
          </w:p>
        </w:tc>
        <w:tc>
          <w:tcPr>
            <w:tcW w:w="1279" w:type="dxa"/>
            <w:tcMar>
              <w:left w:w="57" w:type="dxa"/>
              <w:right w:w="57" w:type="dxa"/>
            </w:tcMar>
            <w:vAlign w:val="center"/>
          </w:tcPr>
          <w:p>
            <w:pPr>
              <w:spacing w:line="560" w:lineRule="exact"/>
              <w:ind w:left="240" w:leftChars="100"/>
              <w:rPr>
                <w:rFonts w:ascii="仿宋" w:hAnsi="仿宋" w:eastAsia="仿宋" w:cs="仿宋"/>
                <w:color w:val="auto"/>
                <w:szCs w:val="24"/>
                <w:highlight w:val="none"/>
              </w:rPr>
            </w:pPr>
            <w:r>
              <w:rPr>
                <w:rFonts w:hint="eastAsia" w:ascii="仿宋" w:hAnsi="仿宋" w:eastAsia="仿宋" w:cs="仿宋"/>
                <w:color w:val="auto"/>
                <w:szCs w:val="24"/>
                <w:highlight w:val="none"/>
              </w:rPr>
              <w:t>￥：</w:t>
            </w:r>
          </w:p>
        </w:tc>
      </w:tr>
    </w:tbl>
    <w:p>
      <w:pPr>
        <w:pStyle w:val="40"/>
        <w:spacing w:line="560" w:lineRule="exact"/>
        <w:ind w:firstLine="0" w:firstLineChars="0"/>
        <w:rPr>
          <w:rFonts w:ascii="仿宋" w:hAnsi="仿宋" w:eastAsia="仿宋" w:cs="仿宋"/>
          <w:color w:val="auto"/>
          <w:szCs w:val="24"/>
          <w:highlight w:val="none"/>
          <w:u w:val="single"/>
        </w:rPr>
      </w:pPr>
      <w:r>
        <w:rPr>
          <w:rFonts w:hint="eastAsia" w:ascii="仿宋" w:hAnsi="仿宋" w:eastAsia="仿宋" w:cs="仿宋"/>
          <w:color w:val="auto"/>
          <w:sz w:val="24"/>
          <w:szCs w:val="24"/>
          <w:highlight w:val="none"/>
          <w:lang w:val="zh-CN"/>
        </w:rPr>
        <w:t>法定代表人或被授权人（签字或盖章）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（投标人单位公章）                     日 期：</w:t>
      </w:r>
      <w:r>
        <w:rPr>
          <w:rFonts w:hint="eastAsia" w:ascii="仿宋" w:hAnsi="仿宋" w:eastAsia="仿宋" w:cs="仿宋"/>
          <w:color w:val="auto"/>
          <w:szCs w:val="24"/>
          <w:highlight w:val="none"/>
          <w:u w:val="single"/>
        </w:rPr>
        <w:t xml:space="preserve">            </w:t>
      </w:r>
    </w:p>
    <w:p>
      <w:pPr>
        <w:rPr>
          <w:rFonts w:ascii="仿宋" w:hAnsi="仿宋" w:eastAsia="仿宋" w:cs="仿宋"/>
          <w:color w:val="auto"/>
          <w:szCs w:val="24"/>
          <w:highlight w:val="none"/>
          <w:u w:val="single"/>
        </w:rPr>
      </w:pPr>
      <w:r>
        <w:rPr>
          <w:rFonts w:hint="eastAsia" w:ascii="仿宋" w:hAnsi="仿宋" w:eastAsia="仿宋" w:cs="仿宋"/>
          <w:color w:val="auto"/>
          <w:szCs w:val="24"/>
          <w:highlight w:val="none"/>
          <w:u w:val="single"/>
        </w:rPr>
        <w:br w:type="page"/>
      </w:r>
      <w:bookmarkStart w:id="234" w:name="_GoBack"/>
      <w:bookmarkEnd w:id="234"/>
    </w:p>
    <w:p>
      <w:pPr>
        <w:rPr>
          <w:rFonts w:ascii="仿宋" w:hAnsi="仿宋" w:eastAsia="仿宋" w:cs="仿宋"/>
          <w:color w:val="auto"/>
          <w:sz w:val="24"/>
          <w:szCs w:val="24"/>
          <w:highlight w:val="none"/>
        </w:rPr>
      </w:pPr>
      <w:r>
        <w:rPr>
          <w:rFonts w:hint="eastAsia" w:ascii="仿宋" w:hAnsi="仿宋" w:eastAsia="仿宋" w:cs="仿宋"/>
          <w:b/>
          <w:color w:val="auto"/>
          <w:highlight w:val="none"/>
        </w:rPr>
        <w:t>4、</w:t>
      </w:r>
      <w:bookmarkStart w:id="173" w:name="_Toc193187100"/>
      <w:bookmarkStart w:id="174" w:name="_Toc4842"/>
      <w:bookmarkStart w:id="175" w:name="_Toc458617474"/>
      <w:bookmarkStart w:id="176" w:name="_Toc194663921"/>
      <w:bookmarkStart w:id="177" w:name="_Toc193126884"/>
      <w:bookmarkStart w:id="178" w:name="_Toc17354"/>
      <w:r>
        <w:rPr>
          <w:rFonts w:hint="eastAsia" w:ascii="仿宋" w:hAnsi="仿宋" w:eastAsia="仿宋" w:cs="仿宋"/>
          <w:b/>
          <w:color w:val="auto"/>
          <w:highlight w:val="none"/>
        </w:rPr>
        <w:t>选配件报价表</w:t>
      </w:r>
      <w:bookmarkEnd w:id="173"/>
      <w:bookmarkEnd w:id="174"/>
      <w:bookmarkEnd w:id="175"/>
      <w:bookmarkEnd w:id="176"/>
      <w:bookmarkEnd w:id="177"/>
      <w:bookmarkEnd w:id="178"/>
      <w:r>
        <w:rPr>
          <w:rFonts w:hint="eastAsia" w:ascii="仿宋" w:hAnsi="仿宋" w:eastAsia="仿宋" w:cs="仿宋"/>
          <w:bCs/>
          <w:color w:val="auto"/>
          <w:sz w:val="24"/>
          <w:szCs w:val="24"/>
          <w:highlight w:val="none"/>
        </w:rPr>
        <w:t>（格式，若有）</w:t>
      </w:r>
    </w:p>
    <w:p>
      <w:pPr>
        <w:spacing w:line="560" w:lineRule="exact"/>
        <w:ind w:left="240" w:leftChars="100"/>
        <w:rPr>
          <w:rFonts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2"/>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843" w:type="dxa"/>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01"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417"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843"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92"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1134"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01" w:type="dxa"/>
            <w:vAlign w:val="center"/>
          </w:tcPr>
          <w:p>
            <w:pPr>
              <w:spacing w:line="560" w:lineRule="exact"/>
              <w:ind w:firstLine="472" w:firstLineChars="196"/>
              <w:rPr>
                <w:rFonts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rPr>
                <w:rFonts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01" w:type="dxa"/>
            <w:vAlign w:val="center"/>
          </w:tcPr>
          <w:p>
            <w:pPr>
              <w:spacing w:line="560" w:lineRule="exact"/>
              <w:ind w:firstLine="472" w:firstLineChars="196"/>
              <w:rPr>
                <w:rFonts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428" w:type="dxa"/>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17" w:type="dxa"/>
            <w:vAlign w:val="center"/>
          </w:tcPr>
          <w:p>
            <w:pPr>
              <w:spacing w:line="560" w:lineRule="exact"/>
              <w:ind w:left="240" w:leftChars="100"/>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992" w:type="dxa"/>
            <w:vAlign w:val="center"/>
          </w:tcPr>
          <w:p>
            <w:pPr>
              <w:spacing w:line="560" w:lineRule="exact"/>
              <w:ind w:left="240" w:leftChars="100"/>
              <w:rPr>
                <w:rFonts w:ascii="仿宋" w:hAnsi="仿宋" w:eastAsia="仿宋" w:cs="仿宋"/>
                <w:color w:val="auto"/>
                <w:szCs w:val="24"/>
                <w:highlight w:val="none"/>
              </w:rPr>
            </w:pPr>
          </w:p>
        </w:tc>
        <w:tc>
          <w:tcPr>
            <w:tcW w:w="1134"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jc w:val="center"/>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28" w:type="dxa"/>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17" w:type="dxa"/>
            <w:vAlign w:val="center"/>
          </w:tcPr>
          <w:p>
            <w:pPr>
              <w:spacing w:line="560" w:lineRule="exact"/>
              <w:ind w:left="240" w:leftChars="100"/>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992" w:type="dxa"/>
            <w:vAlign w:val="center"/>
          </w:tcPr>
          <w:p>
            <w:pPr>
              <w:spacing w:line="560" w:lineRule="exact"/>
              <w:ind w:left="240" w:leftChars="100"/>
              <w:rPr>
                <w:rFonts w:ascii="仿宋" w:hAnsi="仿宋" w:eastAsia="仿宋" w:cs="仿宋"/>
                <w:color w:val="auto"/>
                <w:szCs w:val="24"/>
                <w:highlight w:val="none"/>
              </w:rPr>
            </w:pPr>
          </w:p>
        </w:tc>
        <w:tc>
          <w:tcPr>
            <w:tcW w:w="1134"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jc w:val="center"/>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28" w:type="dxa"/>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17" w:type="dxa"/>
            <w:vAlign w:val="center"/>
          </w:tcPr>
          <w:p>
            <w:pPr>
              <w:spacing w:line="560" w:lineRule="exact"/>
              <w:ind w:left="240" w:leftChars="100"/>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992" w:type="dxa"/>
            <w:vAlign w:val="center"/>
          </w:tcPr>
          <w:p>
            <w:pPr>
              <w:spacing w:line="560" w:lineRule="exact"/>
              <w:ind w:left="240" w:leftChars="100"/>
              <w:rPr>
                <w:rFonts w:ascii="仿宋" w:hAnsi="仿宋" w:eastAsia="仿宋" w:cs="仿宋"/>
                <w:color w:val="auto"/>
                <w:szCs w:val="24"/>
                <w:highlight w:val="none"/>
              </w:rPr>
            </w:pPr>
          </w:p>
        </w:tc>
        <w:tc>
          <w:tcPr>
            <w:tcW w:w="1134"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jc w:val="center"/>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28" w:type="dxa"/>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color w:val="auto"/>
                <w:szCs w:val="24"/>
                <w:highlight w:val="none"/>
              </w:rPr>
            </w:pPr>
          </w:p>
        </w:tc>
        <w:tc>
          <w:tcPr>
            <w:tcW w:w="1417" w:type="dxa"/>
            <w:tcBorders>
              <w:bottom w:val="single" w:color="auto" w:sz="4" w:space="0"/>
            </w:tcBorders>
            <w:vAlign w:val="center"/>
          </w:tcPr>
          <w:p>
            <w:pPr>
              <w:spacing w:line="560" w:lineRule="exact"/>
              <w:ind w:left="240" w:leftChars="100"/>
              <w:rPr>
                <w:rFonts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color w:val="auto"/>
                <w:szCs w:val="24"/>
                <w:highlight w:val="none"/>
              </w:rPr>
            </w:pPr>
          </w:p>
        </w:tc>
        <w:tc>
          <w:tcPr>
            <w:tcW w:w="992" w:type="dxa"/>
            <w:tcBorders>
              <w:bottom w:val="single" w:color="auto" w:sz="4" w:space="0"/>
            </w:tcBorders>
            <w:vAlign w:val="center"/>
          </w:tcPr>
          <w:p>
            <w:pPr>
              <w:spacing w:line="560" w:lineRule="exact"/>
              <w:ind w:left="240" w:leftChars="100"/>
              <w:rPr>
                <w:rFonts w:ascii="仿宋" w:hAnsi="仿宋" w:eastAsia="仿宋" w:cs="仿宋"/>
                <w:color w:val="auto"/>
                <w:szCs w:val="24"/>
                <w:highlight w:val="none"/>
              </w:rPr>
            </w:pPr>
          </w:p>
        </w:tc>
        <w:tc>
          <w:tcPr>
            <w:tcW w:w="1134" w:type="dxa"/>
            <w:tcBorders>
              <w:bottom w:val="single" w:color="auto" w:sz="4" w:space="0"/>
            </w:tcBorders>
            <w:vAlign w:val="center"/>
          </w:tcPr>
          <w:p>
            <w:pPr>
              <w:spacing w:line="560" w:lineRule="exact"/>
              <w:ind w:left="240" w:leftChars="100"/>
              <w:rPr>
                <w:rFonts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jc w:val="center"/>
              <w:rPr>
                <w:rFonts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color w:val="auto"/>
                <w:szCs w:val="24"/>
                <w:highlight w:val="none"/>
              </w:rPr>
            </w:pPr>
          </w:p>
        </w:tc>
        <w:tc>
          <w:tcPr>
            <w:tcW w:w="1428" w:type="dxa"/>
            <w:tcBorders>
              <w:bottom w:val="single" w:color="auto" w:sz="4" w:space="0"/>
            </w:tcBorders>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17" w:type="dxa"/>
            <w:vAlign w:val="center"/>
          </w:tcPr>
          <w:p>
            <w:pPr>
              <w:spacing w:line="560" w:lineRule="exact"/>
              <w:ind w:left="240" w:leftChars="100"/>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992" w:type="dxa"/>
            <w:vAlign w:val="center"/>
          </w:tcPr>
          <w:p>
            <w:pPr>
              <w:spacing w:line="560" w:lineRule="exact"/>
              <w:ind w:left="240" w:leftChars="100"/>
              <w:rPr>
                <w:rFonts w:ascii="仿宋" w:hAnsi="仿宋" w:eastAsia="仿宋" w:cs="仿宋"/>
                <w:color w:val="auto"/>
                <w:szCs w:val="24"/>
                <w:highlight w:val="none"/>
              </w:rPr>
            </w:pPr>
          </w:p>
        </w:tc>
        <w:tc>
          <w:tcPr>
            <w:tcW w:w="1134"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jc w:val="center"/>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28" w:type="dxa"/>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17" w:type="dxa"/>
            <w:vAlign w:val="center"/>
          </w:tcPr>
          <w:p>
            <w:pPr>
              <w:spacing w:line="560" w:lineRule="exact"/>
              <w:ind w:left="240" w:leftChars="100"/>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992" w:type="dxa"/>
            <w:vAlign w:val="center"/>
          </w:tcPr>
          <w:p>
            <w:pPr>
              <w:spacing w:line="560" w:lineRule="exact"/>
              <w:ind w:left="240" w:leftChars="100"/>
              <w:rPr>
                <w:rFonts w:ascii="仿宋" w:hAnsi="仿宋" w:eastAsia="仿宋" w:cs="仿宋"/>
                <w:color w:val="auto"/>
                <w:szCs w:val="24"/>
                <w:highlight w:val="none"/>
              </w:rPr>
            </w:pPr>
          </w:p>
        </w:tc>
        <w:tc>
          <w:tcPr>
            <w:tcW w:w="1134"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jc w:val="center"/>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28" w:type="dxa"/>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17" w:type="dxa"/>
            <w:vAlign w:val="center"/>
          </w:tcPr>
          <w:p>
            <w:pPr>
              <w:spacing w:line="560" w:lineRule="exact"/>
              <w:ind w:left="240" w:leftChars="100"/>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992" w:type="dxa"/>
            <w:vAlign w:val="center"/>
          </w:tcPr>
          <w:p>
            <w:pPr>
              <w:spacing w:line="560" w:lineRule="exact"/>
              <w:ind w:left="240" w:leftChars="100"/>
              <w:rPr>
                <w:rFonts w:ascii="仿宋" w:hAnsi="仿宋" w:eastAsia="仿宋" w:cs="仿宋"/>
                <w:color w:val="auto"/>
                <w:szCs w:val="24"/>
                <w:highlight w:val="none"/>
              </w:rPr>
            </w:pPr>
          </w:p>
        </w:tc>
        <w:tc>
          <w:tcPr>
            <w:tcW w:w="1134"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jc w:val="center"/>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28" w:type="dxa"/>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17" w:type="dxa"/>
            <w:vAlign w:val="center"/>
          </w:tcPr>
          <w:p>
            <w:pPr>
              <w:spacing w:line="560" w:lineRule="exact"/>
              <w:ind w:left="240" w:leftChars="100"/>
              <w:rPr>
                <w:rFonts w:ascii="仿宋" w:hAnsi="仿宋" w:eastAsia="仿宋" w:cs="仿宋"/>
                <w:color w:val="auto"/>
                <w:szCs w:val="24"/>
                <w:highlight w:val="none"/>
              </w:rPr>
            </w:pPr>
          </w:p>
        </w:tc>
        <w:tc>
          <w:tcPr>
            <w:tcW w:w="1843" w:type="dxa"/>
            <w:vAlign w:val="center"/>
          </w:tcPr>
          <w:p>
            <w:pPr>
              <w:spacing w:line="560" w:lineRule="exact"/>
              <w:ind w:left="240" w:leftChars="100"/>
              <w:rPr>
                <w:rFonts w:ascii="仿宋" w:hAnsi="仿宋" w:eastAsia="仿宋" w:cs="仿宋"/>
                <w:color w:val="auto"/>
                <w:szCs w:val="24"/>
                <w:highlight w:val="none"/>
              </w:rPr>
            </w:pPr>
          </w:p>
        </w:tc>
        <w:tc>
          <w:tcPr>
            <w:tcW w:w="992" w:type="dxa"/>
            <w:vAlign w:val="center"/>
          </w:tcPr>
          <w:p>
            <w:pPr>
              <w:spacing w:line="560" w:lineRule="exact"/>
              <w:ind w:left="240" w:leftChars="100"/>
              <w:rPr>
                <w:rFonts w:ascii="仿宋" w:hAnsi="仿宋" w:eastAsia="仿宋" w:cs="仿宋"/>
                <w:color w:val="auto"/>
                <w:szCs w:val="24"/>
                <w:highlight w:val="none"/>
              </w:rPr>
            </w:pPr>
          </w:p>
        </w:tc>
        <w:tc>
          <w:tcPr>
            <w:tcW w:w="1134" w:type="dxa"/>
            <w:vAlign w:val="center"/>
          </w:tcPr>
          <w:p>
            <w:pPr>
              <w:spacing w:line="560" w:lineRule="exact"/>
              <w:ind w:left="240" w:leftChars="100"/>
              <w:rPr>
                <w:rFonts w:ascii="仿宋" w:hAnsi="仿宋" w:eastAsia="仿宋" w:cs="仿宋"/>
                <w:color w:val="auto"/>
                <w:szCs w:val="24"/>
                <w:highlight w:val="none"/>
              </w:rPr>
            </w:pPr>
          </w:p>
        </w:tc>
        <w:tc>
          <w:tcPr>
            <w:tcW w:w="1701" w:type="dxa"/>
            <w:vAlign w:val="center"/>
          </w:tcPr>
          <w:p>
            <w:pPr>
              <w:spacing w:line="560" w:lineRule="exact"/>
              <w:ind w:left="240" w:leftChars="100"/>
              <w:jc w:val="center"/>
              <w:rPr>
                <w:rFonts w:ascii="仿宋" w:hAnsi="仿宋" w:eastAsia="仿宋" w:cs="仿宋"/>
                <w:color w:val="auto"/>
                <w:szCs w:val="24"/>
                <w:highlight w:val="none"/>
              </w:rPr>
            </w:pPr>
          </w:p>
        </w:tc>
        <w:tc>
          <w:tcPr>
            <w:tcW w:w="1701" w:type="dxa"/>
            <w:vAlign w:val="center"/>
          </w:tcPr>
          <w:p>
            <w:pPr>
              <w:spacing w:line="560" w:lineRule="exact"/>
              <w:ind w:left="240" w:leftChars="100"/>
              <w:rPr>
                <w:rFonts w:ascii="仿宋" w:hAnsi="仿宋" w:eastAsia="仿宋" w:cs="仿宋"/>
                <w:color w:val="auto"/>
                <w:szCs w:val="24"/>
                <w:highlight w:val="none"/>
              </w:rPr>
            </w:pPr>
          </w:p>
        </w:tc>
        <w:tc>
          <w:tcPr>
            <w:tcW w:w="1428" w:type="dxa"/>
            <w:vAlign w:val="center"/>
          </w:tcPr>
          <w:p>
            <w:pPr>
              <w:spacing w:line="560" w:lineRule="exact"/>
              <w:ind w:left="240" w:leftChars="100"/>
              <w:rPr>
                <w:rFonts w:ascii="仿宋" w:hAnsi="仿宋" w:eastAsia="仿宋" w:cs="仿宋"/>
                <w:color w:val="auto"/>
                <w:szCs w:val="24"/>
                <w:highlight w:val="none"/>
              </w:rPr>
            </w:pPr>
          </w:p>
        </w:tc>
      </w:tr>
    </w:tbl>
    <w:p>
      <w:pPr>
        <w:spacing w:line="560" w:lineRule="exact"/>
        <w:ind w:left="240" w:leftChars="100"/>
        <w:rPr>
          <w:rFonts w:ascii="仿宋" w:hAnsi="仿宋" w:eastAsia="仿宋" w:cs="仿宋"/>
          <w:bCs/>
          <w:color w:val="auto"/>
          <w:sz w:val="24"/>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 w:val="24"/>
          <w:szCs w:val="24"/>
          <w:highlight w:val="none"/>
          <w:u w:val="single"/>
        </w:rPr>
        <w:br w:type="page"/>
      </w:r>
      <w:bookmarkStart w:id="179" w:name="_Toc458617475"/>
      <w:bookmarkStart w:id="180" w:name="_Toc16402"/>
      <w:bookmarkStart w:id="181" w:name="_Toc10875"/>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.货物说明一览表</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9"/>
      <w:bookmarkEnd w:id="180"/>
      <w:bookmarkEnd w:id="181"/>
      <w:r>
        <w:rPr>
          <w:rFonts w:hint="eastAsia" w:ascii="仿宋" w:hAnsi="仿宋" w:eastAsia="仿宋" w:cs="仿宋"/>
          <w:bCs/>
          <w:color w:val="auto"/>
          <w:sz w:val="24"/>
          <w:szCs w:val="21"/>
          <w:highlight w:val="none"/>
        </w:rPr>
        <w:t>（格式）</w:t>
      </w:r>
    </w:p>
    <w:p>
      <w:pPr>
        <w:spacing w:line="560" w:lineRule="exact"/>
        <w:ind w:left="240" w:leftChars="100"/>
        <w:rPr>
          <w:rFonts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tbl>
      <w:tblPr>
        <w:tblStyle w:val="22"/>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160" w:type="dxa"/>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620"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5040" w:type="dxa"/>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配置、规格及主要技术参数</w:t>
            </w:r>
          </w:p>
        </w:tc>
        <w:tc>
          <w:tcPr>
            <w:tcW w:w="1800" w:type="dxa"/>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color w:val="auto"/>
                <w:szCs w:val="24"/>
                <w:highlight w:val="none"/>
              </w:rPr>
            </w:pPr>
          </w:p>
        </w:tc>
        <w:tc>
          <w:tcPr>
            <w:tcW w:w="2160" w:type="dxa"/>
          </w:tcPr>
          <w:p>
            <w:pPr>
              <w:spacing w:line="560" w:lineRule="exact"/>
              <w:ind w:left="240" w:leftChars="100"/>
              <w:rPr>
                <w:rFonts w:ascii="仿宋" w:hAnsi="仿宋" w:eastAsia="仿宋" w:cs="仿宋"/>
                <w:color w:val="auto"/>
                <w:szCs w:val="24"/>
                <w:highlight w:val="none"/>
              </w:rPr>
            </w:pPr>
          </w:p>
        </w:tc>
        <w:tc>
          <w:tcPr>
            <w:tcW w:w="1620" w:type="dxa"/>
          </w:tcPr>
          <w:p>
            <w:pPr>
              <w:spacing w:line="560" w:lineRule="exact"/>
              <w:ind w:left="240" w:leftChars="100"/>
              <w:rPr>
                <w:rFonts w:ascii="仿宋" w:hAnsi="仿宋" w:eastAsia="仿宋" w:cs="仿宋"/>
                <w:color w:val="auto"/>
                <w:szCs w:val="24"/>
                <w:highlight w:val="none"/>
                <w:u w:val="single"/>
              </w:rPr>
            </w:pPr>
          </w:p>
        </w:tc>
        <w:tc>
          <w:tcPr>
            <w:tcW w:w="5040" w:type="dxa"/>
          </w:tcPr>
          <w:p>
            <w:pPr>
              <w:spacing w:line="560" w:lineRule="exact"/>
              <w:ind w:left="240" w:leftChars="100"/>
              <w:rPr>
                <w:rFonts w:ascii="仿宋" w:hAnsi="仿宋" w:eastAsia="仿宋" w:cs="仿宋"/>
                <w:color w:val="auto"/>
                <w:szCs w:val="24"/>
                <w:highlight w:val="none"/>
                <w:u w:val="single"/>
              </w:rPr>
            </w:pPr>
          </w:p>
        </w:tc>
        <w:tc>
          <w:tcPr>
            <w:tcW w:w="1800" w:type="dxa"/>
          </w:tcPr>
          <w:p>
            <w:pPr>
              <w:spacing w:line="560" w:lineRule="exact"/>
              <w:ind w:left="240" w:leftChars="100"/>
              <w:rPr>
                <w:rFonts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color w:val="auto"/>
                <w:szCs w:val="24"/>
                <w:highlight w:val="none"/>
              </w:rPr>
            </w:pPr>
          </w:p>
        </w:tc>
        <w:tc>
          <w:tcPr>
            <w:tcW w:w="2160" w:type="dxa"/>
          </w:tcPr>
          <w:p>
            <w:pPr>
              <w:spacing w:line="560" w:lineRule="exact"/>
              <w:ind w:left="240" w:leftChars="100"/>
              <w:rPr>
                <w:rFonts w:ascii="仿宋" w:hAnsi="仿宋" w:eastAsia="仿宋" w:cs="仿宋"/>
                <w:color w:val="auto"/>
                <w:szCs w:val="24"/>
                <w:highlight w:val="none"/>
              </w:rPr>
            </w:pPr>
          </w:p>
        </w:tc>
        <w:tc>
          <w:tcPr>
            <w:tcW w:w="1620" w:type="dxa"/>
          </w:tcPr>
          <w:p>
            <w:pPr>
              <w:spacing w:line="560" w:lineRule="exact"/>
              <w:ind w:left="240" w:leftChars="100"/>
              <w:rPr>
                <w:rFonts w:ascii="仿宋" w:hAnsi="仿宋" w:eastAsia="仿宋" w:cs="仿宋"/>
                <w:color w:val="auto"/>
                <w:szCs w:val="24"/>
                <w:highlight w:val="none"/>
                <w:u w:val="single"/>
              </w:rPr>
            </w:pPr>
          </w:p>
        </w:tc>
        <w:tc>
          <w:tcPr>
            <w:tcW w:w="5040" w:type="dxa"/>
          </w:tcPr>
          <w:p>
            <w:pPr>
              <w:spacing w:line="560" w:lineRule="exact"/>
              <w:ind w:left="240" w:leftChars="100"/>
              <w:rPr>
                <w:rFonts w:ascii="仿宋" w:hAnsi="仿宋" w:eastAsia="仿宋" w:cs="仿宋"/>
                <w:color w:val="auto"/>
                <w:szCs w:val="24"/>
                <w:highlight w:val="none"/>
                <w:u w:val="single"/>
              </w:rPr>
            </w:pPr>
          </w:p>
        </w:tc>
        <w:tc>
          <w:tcPr>
            <w:tcW w:w="1800" w:type="dxa"/>
          </w:tcPr>
          <w:p>
            <w:pPr>
              <w:spacing w:line="560" w:lineRule="exact"/>
              <w:ind w:left="240" w:leftChars="100"/>
              <w:rPr>
                <w:rFonts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color w:val="auto"/>
                <w:szCs w:val="24"/>
                <w:highlight w:val="none"/>
              </w:rPr>
            </w:pPr>
          </w:p>
        </w:tc>
        <w:tc>
          <w:tcPr>
            <w:tcW w:w="2160" w:type="dxa"/>
          </w:tcPr>
          <w:p>
            <w:pPr>
              <w:spacing w:line="560" w:lineRule="exact"/>
              <w:ind w:left="240" w:leftChars="100"/>
              <w:rPr>
                <w:rFonts w:ascii="仿宋" w:hAnsi="仿宋" w:eastAsia="仿宋" w:cs="仿宋"/>
                <w:color w:val="auto"/>
                <w:szCs w:val="24"/>
                <w:highlight w:val="none"/>
              </w:rPr>
            </w:pPr>
          </w:p>
        </w:tc>
        <w:tc>
          <w:tcPr>
            <w:tcW w:w="1620" w:type="dxa"/>
          </w:tcPr>
          <w:p>
            <w:pPr>
              <w:spacing w:line="560" w:lineRule="exact"/>
              <w:ind w:left="240" w:leftChars="100"/>
              <w:rPr>
                <w:rFonts w:ascii="仿宋" w:hAnsi="仿宋" w:eastAsia="仿宋" w:cs="仿宋"/>
                <w:color w:val="auto"/>
                <w:szCs w:val="24"/>
                <w:highlight w:val="none"/>
                <w:u w:val="single"/>
              </w:rPr>
            </w:pPr>
          </w:p>
        </w:tc>
        <w:tc>
          <w:tcPr>
            <w:tcW w:w="5040" w:type="dxa"/>
          </w:tcPr>
          <w:p>
            <w:pPr>
              <w:spacing w:line="560" w:lineRule="exact"/>
              <w:ind w:left="240" w:leftChars="100"/>
              <w:rPr>
                <w:rFonts w:ascii="仿宋" w:hAnsi="仿宋" w:eastAsia="仿宋" w:cs="仿宋"/>
                <w:color w:val="auto"/>
                <w:szCs w:val="24"/>
                <w:highlight w:val="none"/>
                <w:u w:val="single"/>
              </w:rPr>
            </w:pPr>
          </w:p>
        </w:tc>
        <w:tc>
          <w:tcPr>
            <w:tcW w:w="1800" w:type="dxa"/>
          </w:tcPr>
          <w:p>
            <w:pPr>
              <w:spacing w:line="560" w:lineRule="exact"/>
              <w:ind w:left="240" w:leftChars="100"/>
              <w:rPr>
                <w:rFonts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color w:val="auto"/>
                <w:szCs w:val="24"/>
                <w:highlight w:val="none"/>
              </w:rPr>
            </w:pPr>
          </w:p>
        </w:tc>
        <w:tc>
          <w:tcPr>
            <w:tcW w:w="2160" w:type="dxa"/>
          </w:tcPr>
          <w:p>
            <w:pPr>
              <w:spacing w:line="560" w:lineRule="exact"/>
              <w:ind w:left="240" w:leftChars="100"/>
              <w:rPr>
                <w:rFonts w:ascii="仿宋" w:hAnsi="仿宋" w:eastAsia="仿宋" w:cs="仿宋"/>
                <w:color w:val="auto"/>
                <w:szCs w:val="24"/>
                <w:highlight w:val="none"/>
              </w:rPr>
            </w:pPr>
          </w:p>
        </w:tc>
        <w:tc>
          <w:tcPr>
            <w:tcW w:w="1620" w:type="dxa"/>
          </w:tcPr>
          <w:p>
            <w:pPr>
              <w:spacing w:line="560" w:lineRule="exact"/>
              <w:ind w:left="240" w:leftChars="100"/>
              <w:rPr>
                <w:rFonts w:ascii="仿宋" w:hAnsi="仿宋" w:eastAsia="仿宋" w:cs="仿宋"/>
                <w:color w:val="auto"/>
                <w:szCs w:val="24"/>
                <w:highlight w:val="none"/>
                <w:u w:val="single"/>
              </w:rPr>
            </w:pPr>
          </w:p>
        </w:tc>
        <w:tc>
          <w:tcPr>
            <w:tcW w:w="5040" w:type="dxa"/>
          </w:tcPr>
          <w:p>
            <w:pPr>
              <w:spacing w:line="560" w:lineRule="exact"/>
              <w:ind w:left="240" w:leftChars="100"/>
              <w:rPr>
                <w:rFonts w:ascii="仿宋" w:hAnsi="仿宋" w:eastAsia="仿宋" w:cs="仿宋"/>
                <w:color w:val="auto"/>
                <w:szCs w:val="24"/>
                <w:highlight w:val="none"/>
                <w:u w:val="single"/>
              </w:rPr>
            </w:pPr>
          </w:p>
        </w:tc>
        <w:tc>
          <w:tcPr>
            <w:tcW w:w="1800" w:type="dxa"/>
          </w:tcPr>
          <w:p>
            <w:pPr>
              <w:spacing w:line="560" w:lineRule="exact"/>
              <w:ind w:left="240" w:leftChars="100"/>
              <w:rPr>
                <w:rFonts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color w:val="auto"/>
                <w:szCs w:val="24"/>
                <w:highlight w:val="none"/>
              </w:rPr>
            </w:pPr>
          </w:p>
        </w:tc>
        <w:tc>
          <w:tcPr>
            <w:tcW w:w="2160" w:type="dxa"/>
          </w:tcPr>
          <w:p>
            <w:pPr>
              <w:spacing w:line="560" w:lineRule="exact"/>
              <w:ind w:left="240" w:leftChars="100"/>
              <w:rPr>
                <w:rFonts w:ascii="仿宋" w:hAnsi="仿宋" w:eastAsia="仿宋" w:cs="仿宋"/>
                <w:color w:val="auto"/>
                <w:szCs w:val="24"/>
                <w:highlight w:val="none"/>
              </w:rPr>
            </w:pPr>
          </w:p>
        </w:tc>
        <w:tc>
          <w:tcPr>
            <w:tcW w:w="1620" w:type="dxa"/>
          </w:tcPr>
          <w:p>
            <w:pPr>
              <w:spacing w:line="560" w:lineRule="exact"/>
              <w:ind w:left="240" w:leftChars="100"/>
              <w:rPr>
                <w:rFonts w:ascii="仿宋" w:hAnsi="仿宋" w:eastAsia="仿宋" w:cs="仿宋"/>
                <w:color w:val="auto"/>
                <w:szCs w:val="24"/>
                <w:highlight w:val="none"/>
                <w:u w:val="single"/>
              </w:rPr>
            </w:pPr>
          </w:p>
        </w:tc>
        <w:tc>
          <w:tcPr>
            <w:tcW w:w="5040" w:type="dxa"/>
          </w:tcPr>
          <w:p>
            <w:pPr>
              <w:spacing w:line="560" w:lineRule="exact"/>
              <w:ind w:left="240" w:leftChars="100"/>
              <w:rPr>
                <w:rFonts w:ascii="仿宋" w:hAnsi="仿宋" w:eastAsia="仿宋" w:cs="仿宋"/>
                <w:color w:val="auto"/>
                <w:szCs w:val="24"/>
                <w:highlight w:val="none"/>
                <w:u w:val="single"/>
              </w:rPr>
            </w:pPr>
          </w:p>
        </w:tc>
        <w:tc>
          <w:tcPr>
            <w:tcW w:w="1800" w:type="dxa"/>
          </w:tcPr>
          <w:p>
            <w:pPr>
              <w:spacing w:line="560" w:lineRule="exact"/>
              <w:ind w:left="240" w:leftChars="100"/>
              <w:rPr>
                <w:rFonts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color w:val="auto"/>
                <w:szCs w:val="24"/>
                <w:highlight w:val="none"/>
              </w:rPr>
            </w:pPr>
          </w:p>
        </w:tc>
        <w:tc>
          <w:tcPr>
            <w:tcW w:w="2160" w:type="dxa"/>
            <w:vAlign w:val="center"/>
          </w:tcPr>
          <w:p>
            <w:pPr>
              <w:spacing w:line="560" w:lineRule="exact"/>
              <w:ind w:left="240" w:leftChars="100"/>
              <w:rPr>
                <w:rFonts w:ascii="仿宋" w:hAnsi="仿宋" w:eastAsia="仿宋" w:cs="仿宋"/>
                <w:color w:val="auto"/>
                <w:szCs w:val="24"/>
                <w:highlight w:val="none"/>
              </w:rPr>
            </w:pPr>
          </w:p>
        </w:tc>
        <w:tc>
          <w:tcPr>
            <w:tcW w:w="1620" w:type="dxa"/>
          </w:tcPr>
          <w:p>
            <w:pPr>
              <w:spacing w:line="560" w:lineRule="exact"/>
              <w:ind w:left="240" w:leftChars="100"/>
              <w:rPr>
                <w:rFonts w:ascii="仿宋" w:hAnsi="仿宋" w:eastAsia="仿宋" w:cs="仿宋"/>
                <w:color w:val="auto"/>
                <w:szCs w:val="24"/>
                <w:highlight w:val="none"/>
                <w:u w:val="single"/>
              </w:rPr>
            </w:pPr>
          </w:p>
        </w:tc>
        <w:tc>
          <w:tcPr>
            <w:tcW w:w="5040" w:type="dxa"/>
          </w:tcPr>
          <w:p>
            <w:pPr>
              <w:spacing w:line="560" w:lineRule="exact"/>
              <w:ind w:left="240" w:leftChars="100"/>
              <w:rPr>
                <w:rFonts w:ascii="仿宋" w:hAnsi="仿宋" w:eastAsia="仿宋" w:cs="仿宋"/>
                <w:color w:val="auto"/>
                <w:szCs w:val="24"/>
                <w:highlight w:val="none"/>
                <w:u w:val="single"/>
              </w:rPr>
            </w:pPr>
          </w:p>
        </w:tc>
        <w:tc>
          <w:tcPr>
            <w:tcW w:w="1800" w:type="dxa"/>
          </w:tcPr>
          <w:p>
            <w:pPr>
              <w:spacing w:line="560" w:lineRule="exact"/>
              <w:ind w:left="240" w:leftChars="100"/>
              <w:rPr>
                <w:rFonts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color w:val="auto"/>
                <w:szCs w:val="24"/>
                <w:highlight w:val="none"/>
              </w:rPr>
            </w:pPr>
          </w:p>
        </w:tc>
        <w:tc>
          <w:tcPr>
            <w:tcW w:w="2160" w:type="dxa"/>
            <w:vAlign w:val="center"/>
          </w:tcPr>
          <w:p>
            <w:pPr>
              <w:spacing w:line="560" w:lineRule="exact"/>
              <w:ind w:left="240" w:leftChars="100"/>
              <w:rPr>
                <w:rFonts w:ascii="仿宋" w:hAnsi="仿宋" w:eastAsia="仿宋" w:cs="仿宋"/>
                <w:color w:val="auto"/>
                <w:szCs w:val="24"/>
                <w:highlight w:val="none"/>
              </w:rPr>
            </w:pPr>
          </w:p>
        </w:tc>
        <w:tc>
          <w:tcPr>
            <w:tcW w:w="1620" w:type="dxa"/>
          </w:tcPr>
          <w:p>
            <w:pPr>
              <w:spacing w:line="560" w:lineRule="exact"/>
              <w:ind w:left="240" w:leftChars="100"/>
              <w:rPr>
                <w:rFonts w:ascii="仿宋" w:hAnsi="仿宋" w:eastAsia="仿宋" w:cs="仿宋"/>
                <w:color w:val="auto"/>
                <w:szCs w:val="24"/>
                <w:highlight w:val="none"/>
                <w:u w:val="single"/>
              </w:rPr>
            </w:pPr>
          </w:p>
        </w:tc>
        <w:tc>
          <w:tcPr>
            <w:tcW w:w="5040" w:type="dxa"/>
          </w:tcPr>
          <w:p>
            <w:pPr>
              <w:spacing w:line="560" w:lineRule="exact"/>
              <w:ind w:left="240" w:leftChars="100"/>
              <w:rPr>
                <w:rFonts w:ascii="仿宋" w:hAnsi="仿宋" w:eastAsia="仿宋" w:cs="仿宋"/>
                <w:color w:val="auto"/>
                <w:szCs w:val="24"/>
                <w:highlight w:val="none"/>
                <w:u w:val="single"/>
              </w:rPr>
            </w:pPr>
          </w:p>
        </w:tc>
        <w:tc>
          <w:tcPr>
            <w:tcW w:w="1800" w:type="dxa"/>
          </w:tcPr>
          <w:p>
            <w:pPr>
              <w:spacing w:line="560" w:lineRule="exact"/>
              <w:ind w:left="240" w:leftChars="100"/>
              <w:rPr>
                <w:rFonts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color w:val="auto"/>
                <w:szCs w:val="24"/>
                <w:highlight w:val="none"/>
              </w:rPr>
            </w:pPr>
          </w:p>
        </w:tc>
        <w:tc>
          <w:tcPr>
            <w:tcW w:w="2160" w:type="dxa"/>
            <w:vAlign w:val="center"/>
          </w:tcPr>
          <w:p>
            <w:pPr>
              <w:spacing w:line="560" w:lineRule="exact"/>
              <w:ind w:left="240" w:leftChars="100"/>
              <w:rPr>
                <w:rFonts w:ascii="仿宋" w:hAnsi="仿宋" w:eastAsia="仿宋" w:cs="仿宋"/>
                <w:color w:val="auto"/>
                <w:szCs w:val="24"/>
                <w:highlight w:val="none"/>
              </w:rPr>
            </w:pPr>
          </w:p>
        </w:tc>
        <w:tc>
          <w:tcPr>
            <w:tcW w:w="1620" w:type="dxa"/>
          </w:tcPr>
          <w:p>
            <w:pPr>
              <w:spacing w:line="560" w:lineRule="exact"/>
              <w:ind w:left="240" w:leftChars="100"/>
              <w:rPr>
                <w:rFonts w:ascii="仿宋" w:hAnsi="仿宋" w:eastAsia="仿宋" w:cs="仿宋"/>
                <w:color w:val="auto"/>
                <w:szCs w:val="24"/>
                <w:highlight w:val="none"/>
                <w:u w:val="single"/>
              </w:rPr>
            </w:pPr>
          </w:p>
        </w:tc>
        <w:tc>
          <w:tcPr>
            <w:tcW w:w="5040" w:type="dxa"/>
          </w:tcPr>
          <w:p>
            <w:pPr>
              <w:spacing w:line="560" w:lineRule="exact"/>
              <w:ind w:left="240" w:leftChars="100"/>
              <w:rPr>
                <w:rFonts w:ascii="仿宋" w:hAnsi="仿宋" w:eastAsia="仿宋" w:cs="仿宋"/>
                <w:color w:val="auto"/>
                <w:szCs w:val="24"/>
                <w:highlight w:val="none"/>
                <w:u w:val="single"/>
              </w:rPr>
            </w:pPr>
          </w:p>
        </w:tc>
        <w:tc>
          <w:tcPr>
            <w:tcW w:w="1800" w:type="dxa"/>
          </w:tcPr>
          <w:p>
            <w:pPr>
              <w:spacing w:line="560" w:lineRule="exact"/>
              <w:ind w:left="240" w:leftChars="100"/>
              <w:rPr>
                <w:rFonts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color w:val="auto"/>
                <w:szCs w:val="24"/>
                <w:highlight w:val="none"/>
              </w:rPr>
            </w:pPr>
          </w:p>
        </w:tc>
        <w:tc>
          <w:tcPr>
            <w:tcW w:w="2160" w:type="dxa"/>
            <w:vAlign w:val="center"/>
          </w:tcPr>
          <w:p>
            <w:pPr>
              <w:spacing w:line="560" w:lineRule="exact"/>
              <w:ind w:left="240" w:leftChars="100"/>
              <w:rPr>
                <w:rFonts w:ascii="仿宋" w:hAnsi="仿宋" w:eastAsia="仿宋" w:cs="仿宋"/>
                <w:color w:val="auto"/>
                <w:szCs w:val="24"/>
                <w:highlight w:val="none"/>
              </w:rPr>
            </w:pPr>
          </w:p>
        </w:tc>
        <w:tc>
          <w:tcPr>
            <w:tcW w:w="1620" w:type="dxa"/>
          </w:tcPr>
          <w:p>
            <w:pPr>
              <w:spacing w:line="560" w:lineRule="exact"/>
              <w:ind w:left="240" w:leftChars="100"/>
              <w:rPr>
                <w:rFonts w:ascii="仿宋" w:hAnsi="仿宋" w:eastAsia="仿宋" w:cs="仿宋"/>
                <w:color w:val="auto"/>
                <w:szCs w:val="24"/>
                <w:highlight w:val="none"/>
                <w:u w:val="single"/>
              </w:rPr>
            </w:pPr>
          </w:p>
        </w:tc>
        <w:tc>
          <w:tcPr>
            <w:tcW w:w="5040" w:type="dxa"/>
          </w:tcPr>
          <w:p>
            <w:pPr>
              <w:spacing w:line="560" w:lineRule="exact"/>
              <w:ind w:left="240" w:leftChars="100"/>
              <w:rPr>
                <w:rFonts w:ascii="仿宋" w:hAnsi="仿宋" w:eastAsia="仿宋" w:cs="仿宋"/>
                <w:color w:val="auto"/>
                <w:szCs w:val="24"/>
                <w:highlight w:val="none"/>
                <w:u w:val="single"/>
              </w:rPr>
            </w:pPr>
          </w:p>
        </w:tc>
        <w:tc>
          <w:tcPr>
            <w:tcW w:w="1800" w:type="dxa"/>
          </w:tcPr>
          <w:p>
            <w:pPr>
              <w:spacing w:line="560" w:lineRule="exact"/>
              <w:ind w:left="240" w:leftChars="100"/>
              <w:rPr>
                <w:rFonts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color w:val="auto"/>
                <w:szCs w:val="24"/>
                <w:highlight w:val="none"/>
                <w:u w:val="single"/>
              </w:rPr>
            </w:pPr>
          </w:p>
        </w:tc>
      </w:tr>
    </w:tbl>
    <w:p>
      <w:pPr>
        <w:spacing w:line="560" w:lineRule="exact"/>
        <w:ind w:left="240" w:leftChars="100" w:firstLine="480" w:firstLineChars="200"/>
        <w:rPr>
          <w:rFonts w:ascii="仿宋" w:hAnsi="仿宋" w:eastAsia="仿宋" w:cs="仿宋"/>
          <w:color w:val="auto"/>
          <w:highlight w:val="none"/>
          <w:u w:val="single"/>
        </w:rPr>
        <w:sectPr>
          <w:headerReference r:id="rId15" w:type="first"/>
          <w:footerReference r:id="rId17" w:type="first"/>
          <w:headerReference r:id="rId14" w:type="default"/>
          <w:footerReference r:id="rId16" w:type="default"/>
          <w:pgSz w:w="16840" w:h="11907" w:orient="landscape"/>
          <w:pgMar w:top="1304" w:right="1417" w:bottom="1134" w:left="1417" w:header="935" w:footer="771" w:gutter="567"/>
          <w:cols w:space="0" w:num="1"/>
          <w:titlePg/>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bookmarkStart w:id="182" w:name="_Toc193126886"/>
      <w:bookmarkStart w:id="183" w:name="_Toc188808837"/>
      <w:bookmarkStart w:id="184" w:name="_Toc193187102"/>
      <w:bookmarkStart w:id="185" w:name="_Toc194663923"/>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 xml:space="preserve">             </w:t>
      </w:r>
    </w:p>
    <w:bookmarkEnd w:id="182"/>
    <w:bookmarkEnd w:id="183"/>
    <w:bookmarkEnd w:id="184"/>
    <w:bookmarkEnd w:id="185"/>
    <w:p>
      <w:pPr>
        <w:pStyle w:val="40"/>
        <w:spacing w:line="560" w:lineRule="exact"/>
        <w:ind w:firstLine="0" w:firstLineChars="0"/>
        <w:outlineLvl w:val="1"/>
        <w:rPr>
          <w:rFonts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.技术规格响应偏离表</w:t>
      </w:r>
      <w:r>
        <w:rPr>
          <w:rFonts w:hint="eastAsia" w:ascii="仿宋" w:hAnsi="仿宋" w:eastAsia="仿宋" w:cs="仿宋"/>
          <w:bCs/>
          <w:color w:val="auto"/>
          <w:sz w:val="24"/>
          <w:szCs w:val="21"/>
          <w:highlight w:val="none"/>
        </w:rPr>
        <w:t>（格式）</w:t>
      </w:r>
    </w:p>
    <w:p>
      <w:pPr>
        <w:spacing w:line="560" w:lineRule="exact"/>
        <w:jc w:val="left"/>
        <w:rPr>
          <w:rFonts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2"/>
        <w:tblpPr w:leftFromText="180" w:rightFromText="180" w:vertAnchor="text" w:horzAnchor="margin" w:tblpXSpec="left" w:tblpY="162"/>
        <w:tblOverlap w:val="never"/>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46" w:leftChars="19"/>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666" w:type="pct"/>
            <w:tcMar>
              <w:top w:w="57" w:type="dxa"/>
              <w:left w:w="28" w:type="dxa"/>
              <w:bottom w:w="57" w:type="dxa"/>
              <w:right w:w="28" w:type="dxa"/>
            </w:tcMar>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名称</w:t>
            </w:r>
          </w:p>
        </w:tc>
        <w:tc>
          <w:tcPr>
            <w:tcW w:w="1294" w:type="pct"/>
            <w:tcMar>
              <w:top w:w="57" w:type="dxa"/>
              <w:left w:w="28" w:type="dxa"/>
              <w:bottom w:w="57" w:type="dxa"/>
              <w:right w:w="28" w:type="dxa"/>
            </w:tcMar>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招标文件技术需求</w:t>
            </w:r>
          </w:p>
        </w:tc>
        <w:tc>
          <w:tcPr>
            <w:tcW w:w="1126" w:type="pct"/>
            <w:tcMar>
              <w:top w:w="57" w:type="dxa"/>
              <w:left w:w="28" w:type="dxa"/>
              <w:bottom w:w="57" w:type="dxa"/>
              <w:right w:w="28" w:type="dxa"/>
            </w:tcMar>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投标文件技术响应</w:t>
            </w:r>
          </w:p>
        </w:tc>
        <w:tc>
          <w:tcPr>
            <w:tcW w:w="883" w:type="pct"/>
            <w:tcMar>
              <w:top w:w="57" w:type="dxa"/>
              <w:left w:w="28" w:type="dxa"/>
              <w:bottom w:w="57" w:type="dxa"/>
              <w:right w:w="28" w:type="dxa"/>
            </w:tcMar>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624" w:type="pct"/>
            <w:tcMar>
              <w:top w:w="57" w:type="dxa"/>
              <w:left w:w="28" w:type="dxa"/>
              <w:bottom w:w="57" w:type="dxa"/>
              <w:right w:w="28" w:type="dxa"/>
            </w:tcMar>
            <w:vAlign w:val="center"/>
          </w:tcPr>
          <w:p>
            <w:pPr>
              <w:spacing w:line="560" w:lineRule="exact"/>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color w:val="auto"/>
                <w:szCs w:val="24"/>
                <w:highlight w:val="none"/>
              </w:rPr>
            </w:pPr>
          </w:p>
        </w:tc>
      </w:tr>
    </w:tbl>
    <w:p>
      <w:pPr>
        <w:spacing w:line="440" w:lineRule="exact"/>
        <w:ind w:left="240" w:leftChars="1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注：本表请按项目的实际技术参数，逐条对应招标文件第三章《采购内容及技术要求》认真填写，偏离情况填写：优于、等于或低于，偏离说明对偏离情况做出详细说明。</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w:t>
      </w:r>
    </w:p>
    <w:p>
      <w:pPr>
        <w:spacing w:line="560" w:lineRule="exact"/>
        <w:ind w:firstLine="360" w:firstLineChars="150"/>
        <w:rPr>
          <w:rFonts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日 期：</w:t>
      </w:r>
      <w:bookmarkStart w:id="186" w:name="_Toc188808838"/>
      <w:bookmarkStart w:id="187" w:name="_Toc193126887"/>
      <w:bookmarkStart w:id="188" w:name="_Toc193187103"/>
      <w:bookmarkStart w:id="189" w:name="_Toc194663924"/>
      <w:r>
        <w:rPr>
          <w:rFonts w:hint="eastAsia" w:ascii="仿宋" w:hAnsi="仿宋" w:eastAsia="仿宋" w:cs="仿宋"/>
          <w:color w:val="auto"/>
          <w:szCs w:val="24"/>
          <w:highlight w:val="none"/>
        </w:rPr>
        <w:t xml:space="preserve">   </w:t>
      </w:r>
    </w:p>
    <w:p>
      <w:pPr>
        <w:pStyle w:val="40"/>
        <w:spacing w:line="560" w:lineRule="exact"/>
        <w:ind w:firstLineChars="71"/>
        <w:rPr>
          <w:rFonts w:ascii="仿宋" w:hAnsi="仿宋" w:eastAsia="仿宋" w:cs="仿宋"/>
          <w:b/>
          <w:color w:val="auto"/>
          <w:highlight w:val="none"/>
        </w:rPr>
      </w:pPr>
      <w:bookmarkStart w:id="190" w:name="_Toc458617476"/>
      <w:bookmarkStart w:id="191" w:name="_Toc2240"/>
      <w:bookmarkStart w:id="192" w:name="_Toc11969"/>
    </w:p>
    <w:p>
      <w:pPr>
        <w:pStyle w:val="40"/>
        <w:spacing w:line="560" w:lineRule="exact"/>
        <w:ind w:firstLineChars="71"/>
        <w:outlineLvl w:val="1"/>
        <w:rPr>
          <w:rFonts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7</w:t>
      </w:r>
      <w:r>
        <w:rPr>
          <w:rFonts w:hint="eastAsia" w:ascii="仿宋" w:hAnsi="仿宋" w:eastAsia="仿宋" w:cs="仿宋"/>
          <w:b/>
          <w:color w:val="auto"/>
          <w:highlight w:val="none"/>
        </w:rPr>
        <w:t>.商务条款响应偏离表</w:t>
      </w:r>
      <w:bookmarkEnd w:id="186"/>
      <w:bookmarkEnd w:id="187"/>
      <w:bookmarkEnd w:id="188"/>
      <w:bookmarkEnd w:id="189"/>
      <w:bookmarkEnd w:id="190"/>
      <w:bookmarkEnd w:id="191"/>
      <w:bookmarkEnd w:id="192"/>
      <w:r>
        <w:rPr>
          <w:rFonts w:hint="eastAsia" w:ascii="仿宋" w:hAnsi="仿宋" w:eastAsia="仿宋" w:cs="仿宋"/>
          <w:bCs/>
          <w:color w:val="auto"/>
          <w:sz w:val="24"/>
          <w:szCs w:val="21"/>
          <w:highlight w:val="none"/>
        </w:rPr>
        <w:t>（格式）</w:t>
      </w:r>
    </w:p>
    <w:p>
      <w:pPr>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2"/>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color w:val="auto"/>
                <w:szCs w:val="24"/>
                <w:highlight w:val="none"/>
              </w:rPr>
            </w:pPr>
          </w:p>
        </w:tc>
      </w:tr>
    </w:tbl>
    <w:p>
      <w:pPr>
        <w:spacing w:line="560" w:lineRule="exact"/>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eastAsia="zh-CN"/>
        </w:rPr>
        <w:t>注：本表按照招标文件第四章《</w:t>
      </w:r>
      <w:r>
        <w:rPr>
          <w:rFonts w:hint="eastAsia" w:ascii="仿宋" w:hAnsi="仿宋" w:eastAsia="仿宋" w:cs="仿宋"/>
          <w:b/>
          <w:bCs/>
          <w:color w:val="auto"/>
          <w:sz w:val="22"/>
          <w:szCs w:val="22"/>
          <w:highlight w:val="none"/>
          <w:lang w:val="en-US" w:eastAsia="zh-CN"/>
        </w:rPr>
        <w:t>商务要求</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逐条响应，否则按无效投标处理。偏离情况填写：优于、等于或低于，偏离说明对偏离情况做出详细说明。</w:t>
      </w:r>
    </w:p>
    <w:p>
      <w:pPr>
        <w:spacing w:line="560" w:lineRule="exact"/>
        <w:ind w:left="240" w:leftChars="100"/>
        <w:rPr>
          <w:rFonts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pPr>
        <w:spacing w:line="560" w:lineRule="exact"/>
        <w:ind w:left="240" w:leftChars="100" w:firstLine="120" w:firstLineChars="50"/>
        <w:rPr>
          <w:rFonts w:ascii="仿宋" w:hAnsi="仿宋" w:eastAsia="仿宋" w:cs="仿宋"/>
          <w:color w:val="auto"/>
          <w:highlight w:val="none"/>
          <w:u w:val="single"/>
        </w:rPr>
      </w:pPr>
      <w:r>
        <w:rPr>
          <w:rFonts w:hint="eastAsia" w:ascii="仿宋" w:hAnsi="仿宋" w:eastAsia="仿宋" w:cs="仿宋"/>
          <w:color w:val="auto"/>
          <w:szCs w:val="24"/>
          <w:highlight w:val="none"/>
        </w:rPr>
        <w:t>日 期：</w:t>
      </w:r>
      <w:r>
        <w:rPr>
          <w:rFonts w:hint="eastAsia" w:ascii="仿宋" w:hAnsi="仿宋" w:eastAsia="仿宋" w:cs="仿宋"/>
          <w:color w:val="auto"/>
          <w:highlight w:val="none"/>
          <w:u w:val="single"/>
        </w:rPr>
        <w:t xml:space="preserve">            </w:t>
      </w:r>
    </w:p>
    <w:p>
      <w:pPr>
        <w:spacing w:line="560" w:lineRule="exact"/>
        <w:rPr>
          <w:rFonts w:ascii="仿宋" w:hAnsi="仿宋" w:eastAsia="仿宋" w:cs="仿宋"/>
          <w:b/>
          <w:color w:val="auto"/>
          <w:kern w:val="0"/>
          <w:sz w:val="28"/>
          <w:highlight w:val="none"/>
        </w:rPr>
      </w:pPr>
      <w:r>
        <w:rPr>
          <w:rFonts w:hint="eastAsia" w:ascii="仿宋" w:hAnsi="仿宋" w:eastAsia="仿宋" w:cs="仿宋"/>
          <w:color w:val="auto"/>
          <w:szCs w:val="21"/>
          <w:highlight w:val="none"/>
          <w:u w:val="single"/>
        </w:rPr>
        <w:br w:type="page"/>
      </w:r>
    </w:p>
    <w:p>
      <w:pPr>
        <w:pStyle w:val="40"/>
        <w:spacing w:line="560" w:lineRule="exact"/>
        <w:ind w:firstLineChars="71"/>
        <w:outlineLvl w:val="1"/>
        <w:rPr>
          <w:rFonts w:ascii="仿宋" w:hAnsi="仿宋" w:eastAsia="仿宋" w:cs="仿宋"/>
          <w:b/>
          <w:color w:val="auto"/>
          <w:highlight w:val="none"/>
          <w:u w:val="wavyHeavy" w:color="FF0000"/>
        </w:rPr>
      </w:pPr>
      <w:bookmarkStart w:id="193" w:name="_Toc5659"/>
      <w:bookmarkStart w:id="194" w:name="_Toc28085"/>
      <w:bookmarkStart w:id="195" w:name="_Toc458617478"/>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rPr>
        <w:t>.资格证明文件</w:t>
      </w:r>
      <w:bookmarkEnd w:id="147"/>
      <w:bookmarkEnd w:id="148"/>
      <w:bookmarkEnd w:id="149"/>
      <w:bookmarkEnd w:id="150"/>
      <w:bookmarkEnd w:id="193"/>
      <w:bookmarkEnd w:id="194"/>
      <w:bookmarkEnd w:id="195"/>
    </w:p>
    <w:p>
      <w:pPr>
        <w:pStyle w:val="40"/>
        <w:spacing w:line="52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（1）基本资格条件：符合《中华人民共和国政府采购法》第二十二条的规定：</w:t>
      </w:r>
    </w:p>
    <w:p>
      <w:pPr>
        <w:pStyle w:val="40"/>
        <w:spacing w:line="52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40"/>
        <w:spacing w:line="52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2、财务状况报告：提供具有财务审计资质单位出具的</w:t>
      </w:r>
      <w:r>
        <w:rPr>
          <w:rFonts w:hint="eastAsia" w:ascii="仿宋" w:hAnsi="仿宋" w:eastAsia="仿宋" w:cs="仿宋"/>
          <w:color w:val="auto"/>
          <w:sz w:val="24"/>
          <w:highlight w:val="none"/>
          <w:lang w:eastAsia="zh-CN"/>
        </w:rPr>
        <w:t>2021年度或2022年度财务报告</w:t>
      </w:r>
      <w:r>
        <w:rPr>
          <w:rFonts w:hint="eastAsia" w:ascii="仿宋" w:hAnsi="仿宋" w:eastAsia="仿宋" w:cs="仿宋"/>
          <w:color w:val="auto"/>
          <w:sz w:val="24"/>
          <w:highlight w:val="none"/>
        </w:rPr>
        <w:t xml:space="preserve">（成立时间至开标时间不足一年的可提供成立后任意时段的资产负债表）或开标前六个月内其基本账户银行出具的资信证明（附开户许可证或基本账户证明）或政府采购信用担保机构出具的投标担保函。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40"/>
        <w:spacing w:line="52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提供2022年1月1日至今任意一个月已缴纳的纳税证明或完税证明（包含增值税、企业所得税、营业税至少一种）</w:t>
      </w:r>
      <w:r>
        <w:rPr>
          <w:rFonts w:hint="eastAsia" w:ascii="仿宋" w:hAnsi="仿宋" w:eastAsia="仿宋" w:cs="仿宋"/>
          <w:color w:val="auto"/>
          <w:sz w:val="24"/>
          <w:highlight w:val="none"/>
        </w:rPr>
        <w:t xml:space="preserve">；（依法免税的投标人应提供相关文件证明）。 </w:t>
      </w:r>
    </w:p>
    <w:p>
      <w:pPr>
        <w:pStyle w:val="40"/>
        <w:spacing w:line="52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 xml:space="preserve">；（依法不需要缴纳社会保障资金的投标人应提供相关证明）。 </w:t>
      </w:r>
    </w:p>
    <w:p>
      <w:pPr>
        <w:pStyle w:val="40"/>
        <w:spacing w:line="52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5、提供具有履行本合同所必需的设备和专业技术能力的说明及承诺；（格式自拟，加盖投标人公章）</w:t>
      </w:r>
    </w:p>
    <w:p>
      <w:pPr>
        <w:pStyle w:val="40"/>
        <w:spacing w:line="52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6、提供参加政府采购活动前三年内在经营活动中没有重大违法记录的书面声明。（格式自拟，加盖投标人公章）</w:t>
      </w:r>
    </w:p>
    <w:p>
      <w:pPr>
        <w:spacing w:line="520" w:lineRule="exact"/>
        <w:ind w:firstLine="480" w:firstLineChars="200"/>
        <w:outlineLvl w:val="2"/>
        <w:rPr>
          <w:rFonts w:ascii="仿宋" w:hAnsi="仿宋" w:eastAsia="仿宋" w:cs="仿宋"/>
          <w:color w:val="auto"/>
          <w:highlight w:val="none"/>
        </w:rPr>
      </w:pPr>
      <w:r>
        <w:rPr>
          <w:rFonts w:hint="eastAsia" w:ascii="仿宋" w:hAnsi="仿宋" w:eastAsia="仿宋" w:cs="仿宋"/>
          <w:color w:val="auto"/>
          <w:highlight w:val="none"/>
        </w:rPr>
        <w:t>（2）、特定资格条件：</w:t>
      </w:r>
    </w:p>
    <w:p>
      <w:pPr>
        <w:pStyle w:val="40"/>
        <w:spacing w:line="520" w:lineRule="exact"/>
        <w:ind w:firstLine="48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1、法定代表人或负责人参与投标时需提供法定代表人或负责人资格证明书（附法定代表人或负责人身份证复印件）；</w:t>
      </w:r>
      <w:r>
        <w:rPr>
          <w:rFonts w:hint="eastAsia" w:ascii="仿宋" w:hAnsi="仿宋" w:eastAsia="仿宋" w:cs="仿宋"/>
          <w:b/>
          <w:bCs/>
          <w:color w:val="auto"/>
          <w:sz w:val="24"/>
          <w:highlight w:val="none"/>
        </w:rPr>
        <w:t>(格式后附）</w:t>
      </w:r>
    </w:p>
    <w:p>
      <w:pPr>
        <w:pStyle w:val="40"/>
        <w:spacing w:line="52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2、被授权人参与投标时需提供法定代表人或负责人授权委托书（附法定代表人或负责人及被授权人身份证复印件）；</w:t>
      </w:r>
      <w:r>
        <w:rPr>
          <w:rFonts w:hint="eastAsia" w:ascii="仿宋" w:hAnsi="仿宋" w:eastAsia="仿宋" w:cs="仿宋"/>
          <w:b/>
          <w:bCs/>
          <w:color w:val="auto"/>
          <w:sz w:val="24"/>
          <w:highlight w:val="none"/>
        </w:rPr>
        <w:t>(格式后附）</w:t>
      </w:r>
    </w:p>
    <w:p>
      <w:pPr>
        <w:pStyle w:val="40"/>
        <w:spacing w:line="520" w:lineRule="exact"/>
        <w:ind w:firstLine="480"/>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3、投标保证金交纳凭证；（保证金交纳凭证复印件加盖公章）</w:t>
      </w:r>
    </w:p>
    <w:p>
      <w:pPr>
        <w:pStyle w:val="40"/>
        <w:spacing w:line="52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40"/>
        <w:spacing w:line="52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、单位负责人为同一人或者存在直接控股、管理关系的不同投标人，不得参加同一合同项下的政府采购活动；（提供书面承诺函，格式自拟加盖投标人公章）</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40" w:lineRule="exact"/>
        <w:ind w:right="0" w:rightChars="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6、本项目专门面向中小企业采购；须符合《政府采购促进中小企业发展管理办法》（财库〔2020〕46号）规定的中小企业参加；(提供《中小企业声明函》，式样见投标文件格式)</w:t>
      </w:r>
    </w:p>
    <w:p>
      <w:pPr>
        <w:pStyle w:val="40"/>
        <w:spacing w:line="520" w:lineRule="exact"/>
        <w:ind w:firstLine="480"/>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、本项目不接受联合体投标</w:t>
      </w:r>
      <w:r>
        <w:rPr>
          <w:rFonts w:hint="eastAsia" w:ascii="仿宋" w:hAnsi="仿宋" w:eastAsia="仿宋" w:cs="仿宋"/>
          <w:color w:val="auto"/>
          <w:sz w:val="24"/>
          <w:szCs w:val="24"/>
          <w:highlight w:val="none"/>
          <w:lang w:eastAsia="zh-CN"/>
        </w:rPr>
        <w:t>。</w:t>
      </w:r>
    </w:p>
    <w:p>
      <w:pPr>
        <w:pStyle w:val="40"/>
        <w:spacing w:line="520" w:lineRule="exact"/>
        <w:ind w:firstLine="480"/>
        <w:rPr>
          <w:rFonts w:ascii="仿宋" w:hAnsi="仿宋" w:eastAsia="仿宋" w:cs="仿宋"/>
          <w:color w:val="auto"/>
          <w:sz w:val="24"/>
          <w:highlight w:val="none"/>
        </w:rPr>
      </w:pPr>
    </w:p>
    <w:p>
      <w:pPr>
        <w:pStyle w:val="40"/>
        <w:spacing w:line="520" w:lineRule="exact"/>
        <w:ind w:firstLine="480"/>
        <w:rPr>
          <w:rFonts w:ascii="仿宋" w:hAnsi="仿宋" w:eastAsia="仿宋" w:cs="仿宋"/>
          <w:color w:val="auto"/>
          <w:sz w:val="24"/>
          <w:highlight w:val="none"/>
        </w:rPr>
      </w:pPr>
    </w:p>
    <w:p>
      <w:pPr>
        <w:pStyle w:val="40"/>
        <w:spacing w:line="52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40"/>
        <w:spacing w:line="520" w:lineRule="exact"/>
        <w:ind w:left="0" w:leftChars="0" w:firstLine="0" w:firstLineChars="0"/>
        <w:rPr>
          <w:rFonts w:hint="eastAsia" w:ascii="仿宋" w:hAnsi="仿宋" w:eastAsia="仿宋" w:cs="仿宋"/>
          <w:color w:val="auto"/>
          <w:sz w:val="24"/>
          <w:szCs w:val="24"/>
          <w:highlight w:val="yellow"/>
          <w:lang w:val="en-US" w:eastAsia="zh-CN"/>
        </w:rPr>
      </w:pPr>
    </w:p>
    <w:p>
      <w:pPr>
        <w:pStyle w:val="40"/>
        <w:spacing w:line="520" w:lineRule="exact"/>
        <w:ind w:firstLine="480"/>
        <w:rPr>
          <w:rFonts w:ascii="仿宋" w:hAnsi="仿宋" w:eastAsia="仿宋" w:cs="仿宋"/>
          <w:color w:val="auto"/>
          <w:sz w:val="24"/>
          <w:szCs w:val="24"/>
          <w:highlight w:val="none"/>
        </w:rPr>
      </w:pPr>
    </w:p>
    <w:p>
      <w:pPr>
        <w:rPr>
          <w:rFonts w:ascii="仿宋" w:hAnsi="仿宋" w:eastAsia="仿宋" w:cs="仿宋"/>
          <w:color w:val="auto"/>
          <w:highlight w:val="none"/>
        </w:rPr>
      </w:pPr>
    </w:p>
    <w:p>
      <w:pPr>
        <w:pStyle w:val="40"/>
        <w:spacing w:line="560" w:lineRule="exact"/>
        <w:ind w:firstLine="562"/>
        <w:rPr>
          <w:rFonts w:ascii="仿宋" w:hAnsi="仿宋" w:eastAsia="仿宋" w:cs="仿宋"/>
          <w:b/>
          <w:color w:val="auto"/>
          <w:highlight w:val="none"/>
        </w:rPr>
      </w:pPr>
    </w:p>
    <w:p>
      <w:pPr>
        <w:pStyle w:val="40"/>
        <w:spacing w:line="560" w:lineRule="exact"/>
        <w:ind w:firstLine="0" w:firstLineChars="0"/>
        <w:rPr>
          <w:rFonts w:ascii="仿宋" w:hAnsi="仿宋" w:eastAsia="仿宋" w:cs="仿宋"/>
          <w:b/>
          <w:color w:val="auto"/>
          <w:highlight w:val="none"/>
        </w:rPr>
      </w:pPr>
    </w:p>
    <w:p>
      <w:pPr>
        <w:pStyle w:val="10"/>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rPr>
          <w:rFonts w:ascii="仿宋" w:hAnsi="仿宋" w:eastAsia="仿宋" w:cs="仿宋"/>
          <w:color w:val="auto"/>
          <w:szCs w:val="24"/>
          <w:highlight w:val="none"/>
        </w:rPr>
      </w:pPr>
    </w:p>
    <w:p>
      <w:pPr>
        <w:pStyle w:val="10"/>
        <w:rPr>
          <w:rFonts w:ascii="仿宋" w:hAnsi="仿宋" w:eastAsia="仿宋" w:cs="仿宋"/>
          <w:color w:val="auto"/>
          <w:highlight w:val="none"/>
        </w:rPr>
      </w:pPr>
    </w:p>
    <w:p>
      <w:pPr>
        <w:pStyle w:val="10"/>
        <w:rPr>
          <w:rFonts w:ascii="仿宋" w:hAnsi="仿宋" w:eastAsia="仿宋" w:cs="仿宋"/>
          <w:color w:val="auto"/>
          <w:highlight w:val="none"/>
        </w:rPr>
      </w:pPr>
    </w:p>
    <w:p>
      <w:pPr>
        <w:rPr>
          <w:rFonts w:ascii="仿宋" w:hAnsi="仿宋" w:eastAsia="仿宋" w:cs="仿宋"/>
          <w:b/>
          <w:color w:val="auto"/>
          <w:highlight w:val="none"/>
        </w:rPr>
      </w:pPr>
      <w:r>
        <w:rPr>
          <w:rFonts w:hint="eastAsia" w:ascii="仿宋" w:hAnsi="仿宋" w:eastAsia="仿宋" w:cs="仿宋"/>
          <w:b/>
          <w:color w:val="auto"/>
          <w:highlight w:val="none"/>
        </w:rPr>
        <w:br w:type="page"/>
      </w:r>
    </w:p>
    <w:p>
      <w:pPr>
        <w:spacing w:line="560" w:lineRule="exact"/>
        <w:ind w:left="240" w:leftChars="100"/>
        <w:jc w:val="center"/>
        <w:outlineLvl w:val="2"/>
        <w:rPr>
          <w:rFonts w:ascii="仿宋" w:hAnsi="仿宋" w:eastAsia="仿宋" w:cs="仿宋"/>
          <w:b/>
          <w:bCs/>
          <w:color w:val="auto"/>
          <w:szCs w:val="24"/>
          <w:highlight w:val="none"/>
        </w:rPr>
      </w:pPr>
      <w:bookmarkStart w:id="196" w:name="_Toc47261886"/>
      <w:bookmarkStart w:id="197" w:name="_Toc47418732"/>
      <w:bookmarkStart w:id="198" w:name="_Toc47262070"/>
      <w:bookmarkStart w:id="199" w:name="_Toc47261691"/>
      <w:bookmarkStart w:id="200" w:name="_Toc47418256"/>
      <w:bookmarkStart w:id="201" w:name="_Toc47418939"/>
      <w:bookmarkStart w:id="202" w:name="_Toc49019237"/>
      <w:bookmarkStart w:id="203" w:name="_Toc48791236"/>
      <w:bookmarkStart w:id="204" w:name="_Toc48995852"/>
      <w:bookmarkStart w:id="205" w:name="_Toc49019498"/>
      <w:r>
        <w:rPr>
          <w:rFonts w:hint="eastAsia" w:ascii="仿宋" w:hAnsi="仿宋" w:eastAsia="仿宋" w:cs="仿宋"/>
          <w:b/>
          <w:bCs/>
          <w:color w:val="auto"/>
          <w:szCs w:val="24"/>
          <w:highlight w:val="none"/>
        </w:rPr>
        <w:t>法定代表人资格证明书</w:t>
      </w:r>
    </w:p>
    <w:tbl>
      <w:tblPr>
        <w:tblStyle w:val="22"/>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企业</w:t>
            </w:r>
          </w:p>
          <w:p>
            <w:pPr>
              <w:tabs>
                <w:tab w:val="right" w:leader="dot" w:pos="9022"/>
              </w:tabs>
              <w:autoSpaceDE w:val="0"/>
              <w:autoSpaceDN w:val="0"/>
              <w:adjustRightInd w:val="0"/>
              <w:spacing w:line="560" w:lineRule="exact"/>
              <w:ind w:firstLine="240" w:firstLineChars="100"/>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信息</w:t>
            </w: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2470" w:type="dxa"/>
          </w:tcPr>
          <w:p>
            <w:pPr>
              <w:tabs>
                <w:tab w:val="right" w:leader="dot" w:pos="9022"/>
              </w:tabs>
              <w:spacing w:line="560" w:lineRule="exac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2470" w:type="dxa"/>
          </w:tcPr>
          <w:p>
            <w:pPr>
              <w:tabs>
                <w:tab w:val="right" w:leader="dot" w:pos="9022"/>
              </w:tabs>
              <w:spacing w:line="560" w:lineRule="exac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w:t>
            </w: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姓    名</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职    务</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联系电话</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center"/>
              <w:rPr>
                <w:rFonts w:ascii="仿宋" w:hAnsi="仿宋" w:eastAsia="仿宋" w:cs="仿宋"/>
                <w:color w:val="auto"/>
                <w:spacing w:val="-4"/>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color w:val="auto"/>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ascii="仿宋" w:hAnsi="仿宋" w:eastAsia="仿宋" w:cs="仿宋"/>
                <w:bCs/>
                <w:caps/>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p>
        </w:tc>
      </w:tr>
    </w:tbl>
    <w:p>
      <w:pPr>
        <w:spacing w:line="560" w:lineRule="exact"/>
        <w:ind w:left="240" w:leftChars="100"/>
        <w:jc w:val="center"/>
        <w:rPr>
          <w:rFonts w:ascii="仿宋" w:hAnsi="仿宋" w:eastAsia="仿宋" w:cs="仿宋"/>
          <w:b/>
          <w:bCs/>
          <w:color w:val="auto"/>
          <w:szCs w:val="24"/>
          <w:highlight w:val="none"/>
        </w:rPr>
      </w:pPr>
      <w:r>
        <w:rPr>
          <w:rFonts w:hint="eastAsia" w:ascii="仿宋" w:hAnsi="仿宋" w:eastAsia="仿宋" w:cs="仿宋"/>
          <w:color w:val="auto"/>
          <w:kern w:val="0"/>
          <w:highlight w:val="none"/>
        </w:rPr>
        <w:t>（法定代表人直接投标，只须提供法定代表人证明书及身份证</w:t>
      </w:r>
      <w:r>
        <w:rPr>
          <w:rFonts w:hint="eastAsia" w:ascii="仿宋" w:hAnsi="仿宋" w:eastAsia="仿宋" w:cs="仿宋"/>
          <w:color w:val="auto"/>
          <w:kern w:val="0"/>
          <w:highlight w:val="none"/>
          <w:lang w:val="en-US" w:eastAsia="zh-CN"/>
        </w:rPr>
        <w:t>复印件</w:t>
      </w:r>
      <w:r>
        <w:rPr>
          <w:rFonts w:hint="eastAsia" w:ascii="仿宋" w:hAnsi="仿宋" w:eastAsia="仿宋" w:cs="仿宋"/>
          <w:color w:val="auto"/>
          <w:kern w:val="0"/>
          <w:highlight w:val="none"/>
        </w:rPr>
        <w:t>）</w:t>
      </w:r>
      <w:r>
        <w:rPr>
          <w:rFonts w:hint="eastAsia" w:ascii="仿宋" w:hAnsi="仿宋" w:eastAsia="仿宋" w:cs="仿宋"/>
          <w:b/>
          <w:bCs/>
          <w:color w:val="auto"/>
          <w:szCs w:val="24"/>
          <w:highlight w:val="none"/>
        </w:rPr>
        <w:br w:type="page"/>
      </w:r>
    </w:p>
    <w:p>
      <w:pPr>
        <w:spacing w:line="560" w:lineRule="exact"/>
        <w:ind w:left="240" w:leftChars="100"/>
        <w:jc w:val="center"/>
        <w:rPr>
          <w:rFonts w:ascii="仿宋" w:hAnsi="仿宋" w:eastAsia="仿宋" w:cs="仿宋"/>
          <w:b/>
          <w:bCs/>
          <w:color w:val="auto"/>
          <w:szCs w:val="24"/>
          <w:highlight w:val="none"/>
        </w:rPr>
      </w:pPr>
      <w:r>
        <w:rPr>
          <w:rFonts w:hint="eastAsia" w:ascii="仿宋" w:hAnsi="仿宋" w:eastAsia="仿宋" w:cs="仿宋"/>
          <w:b/>
          <w:bCs/>
          <w:color w:val="auto"/>
          <w:szCs w:val="24"/>
          <w:highlight w:val="none"/>
        </w:rPr>
        <w:t>法定代表人授权委托书</w:t>
      </w:r>
    </w:p>
    <w:tbl>
      <w:tblPr>
        <w:tblStyle w:val="2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被授</w:t>
            </w: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权项</w:t>
            </w: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目与</w:t>
            </w: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内容</w:t>
            </w: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本授权书</w:t>
            </w: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被授权人身份证复印件</w:t>
            </w:r>
          </w:p>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ascii="仿宋" w:hAnsi="仿宋" w:eastAsia="仿宋" w:cs="仿宋"/>
                <w:bCs/>
                <w:caps/>
                <w:color w:val="auto"/>
                <w:szCs w:val="24"/>
                <w:highlight w:val="none"/>
              </w:rPr>
            </w:pPr>
            <w:r>
              <w:rPr>
                <w:rFonts w:hint="eastAsia" w:ascii="仿宋" w:hAnsi="仿宋" w:eastAsia="仿宋" w:cs="仿宋"/>
                <w:bCs/>
                <w:caps/>
                <w:color w:val="auto"/>
                <w:szCs w:val="24"/>
                <w:highlight w:val="none"/>
              </w:rPr>
              <w:t>投标人名称：</w:t>
            </w:r>
            <w:r>
              <w:rPr>
                <w:rFonts w:hint="eastAsia" w:ascii="仿宋" w:hAnsi="仿宋" w:eastAsia="仿宋" w:cs="仿宋"/>
                <w:bCs/>
                <w:caps/>
                <w:color w:val="auto"/>
                <w:szCs w:val="24"/>
                <w:highlight w:val="none"/>
                <w:u w:val="single"/>
              </w:rPr>
              <w:t xml:space="preserve">             </w:t>
            </w:r>
            <w:r>
              <w:rPr>
                <w:rFonts w:hint="eastAsia" w:ascii="仿宋" w:hAnsi="仿宋" w:eastAsia="仿宋" w:cs="仿宋"/>
                <w:bCs/>
                <w:caps/>
                <w:color w:val="auto"/>
                <w:szCs w:val="24"/>
                <w:highlight w:val="none"/>
              </w:rPr>
              <w:t>（投标人单位公章）     日 期：</w:t>
            </w:r>
          </w:p>
        </w:tc>
      </w:tr>
      <w:bookmarkEnd w:id="196"/>
      <w:bookmarkEnd w:id="197"/>
      <w:bookmarkEnd w:id="198"/>
      <w:bookmarkEnd w:id="199"/>
      <w:bookmarkEnd w:id="200"/>
      <w:bookmarkEnd w:id="201"/>
      <w:bookmarkEnd w:id="202"/>
      <w:bookmarkEnd w:id="203"/>
      <w:bookmarkEnd w:id="204"/>
      <w:bookmarkEnd w:id="205"/>
    </w:tbl>
    <w:p>
      <w:pPr>
        <w:pStyle w:val="40"/>
        <w:spacing w:line="560" w:lineRule="exact"/>
        <w:ind w:firstLine="0" w:firstLineChars="0"/>
        <w:jc w:val="center"/>
        <w:rPr>
          <w:rFonts w:ascii="仿宋" w:hAnsi="仿宋" w:eastAsia="仿宋" w:cs="仿宋"/>
          <w:b/>
          <w:color w:val="auto"/>
          <w:highlight w:val="none"/>
        </w:rPr>
      </w:pPr>
      <w:r>
        <w:rPr>
          <w:rFonts w:hint="eastAsia" w:ascii="仿宋" w:hAnsi="仿宋" w:eastAsia="仿宋" w:cs="仿宋"/>
          <w:bCs/>
          <w:caps/>
          <w:color w:val="auto"/>
          <w:szCs w:val="24"/>
          <w:highlight w:val="none"/>
        </w:rPr>
        <w:t xml:space="preserve"> </w:t>
      </w:r>
      <w:r>
        <w:rPr>
          <w:rFonts w:hint="eastAsia" w:ascii="仿宋" w:hAnsi="仿宋" w:eastAsia="仿宋" w:cs="仿宋"/>
          <w:color w:val="auto"/>
          <w:sz w:val="24"/>
          <w:highlight w:val="none"/>
        </w:rPr>
        <w:t>（被授权人投标时，须提供法定代表人授权委托书及被授权人身份证</w:t>
      </w:r>
      <w:r>
        <w:rPr>
          <w:rFonts w:hint="eastAsia" w:ascii="仿宋" w:hAnsi="仿宋" w:eastAsia="仿宋" w:cs="仿宋"/>
          <w:color w:val="auto"/>
          <w:sz w:val="24"/>
          <w:highlight w:val="none"/>
          <w:lang w:val="en-US" w:eastAsia="zh-CN"/>
        </w:rPr>
        <w:t>复印件</w:t>
      </w:r>
      <w:r>
        <w:rPr>
          <w:rFonts w:hint="eastAsia" w:ascii="仿宋" w:hAnsi="仿宋" w:eastAsia="仿宋" w:cs="仿宋"/>
          <w:color w:val="auto"/>
          <w:sz w:val="24"/>
          <w:highlight w:val="none"/>
        </w:rPr>
        <w:t>）</w:t>
      </w:r>
    </w:p>
    <w:p>
      <w:pPr>
        <w:rPr>
          <w:rFonts w:ascii="仿宋" w:hAnsi="仿宋" w:eastAsia="仿宋" w:cs="仿宋"/>
          <w:b/>
          <w:color w:val="auto"/>
          <w:highlight w:val="none"/>
        </w:rPr>
      </w:pPr>
    </w:p>
    <w:p>
      <w:pPr>
        <w:pStyle w:val="40"/>
        <w:spacing w:line="560" w:lineRule="exact"/>
        <w:ind w:left="0" w:leftChars="0" w:firstLine="0" w:firstLineChars="0"/>
        <w:rPr>
          <w:rFonts w:ascii="仿宋" w:hAnsi="仿宋" w:eastAsia="仿宋" w:cs="仿宋"/>
          <w:b/>
          <w:color w:val="auto"/>
          <w:sz w:val="20"/>
          <w:szCs w:val="16"/>
          <w:highlight w:val="none"/>
        </w:rPr>
      </w:pPr>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w:t>
      </w:r>
      <w:r>
        <w:rPr>
          <w:rFonts w:hint="eastAsia" w:ascii="仿宋" w:hAnsi="仿宋" w:eastAsia="仿宋" w:cs="仿宋"/>
          <w:b/>
          <w:color w:val="auto"/>
          <w:highlight w:val="none"/>
          <w:lang w:eastAsia="zh-CN"/>
        </w:rPr>
        <w:t>2020年1月1日</w:t>
      </w:r>
      <w:r>
        <w:rPr>
          <w:rFonts w:hint="eastAsia" w:ascii="仿宋" w:hAnsi="仿宋" w:eastAsia="仿宋" w:cs="仿宋"/>
          <w:b/>
          <w:color w:val="auto"/>
          <w:highlight w:val="none"/>
        </w:rPr>
        <w:t>至今</w:t>
      </w:r>
      <w:r>
        <w:rPr>
          <w:rFonts w:hint="eastAsia" w:ascii="仿宋" w:hAnsi="仿宋" w:eastAsia="仿宋" w:cs="仿宋"/>
          <w:b/>
          <w:color w:val="auto"/>
          <w:highlight w:val="none"/>
          <w:lang w:val="en-US" w:eastAsia="zh-CN"/>
        </w:rPr>
        <w:t>类似</w:t>
      </w:r>
      <w:r>
        <w:rPr>
          <w:rFonts w:hint="eastAsia" w:ascii="仿宋" w:hAnsi="仿宋" w:eastAsia="仿宋" w:cs="仿宋"/>
          <w:b/>
          <w:color w:val="auto"/>
          <w:highlight w:val="none"/>
        </w:rPr>
        <w:t>项目业绩</w:t>
      </w:r>
      <w:bookmarkStart w:id="206" w:name="_Toc193126891"/>
      <w:bookmarkStart w:id="207" w:name="_Toc188808842"/>
      <w:r>
        <w:rPr>
          <w:rFonts w:hint="eastAsia" w:ascii="仿宋" w:hAnsi="仿宋" w:eastAsia="仿宋" w:cs="仿宋"/>
          <w:b/>
          <w:color w:val="auto"/>
          <w:highlight w:val="none"/>
        </w:rPr>
        <w:t>（以合同为准，复印件加盖公章）</w:t>
      </w:r>
    </w:p>
    <w:p>
      <w:pPr>
        <w:pStyle w:val="40"/>
        <w:spacing w:line="560" w:lineRule="exact"/>
        <w:ind w:firstLine="0" w:firstLineChars="0"/>
        <w:rPr>
          <w:rFonts w:ascii="仿宋" w:hAnsi="仿宋" w:eastAsia="仿宋" w:cs="仿宋"/>
          <w:b/>
          <w:color w:val="auto"/>
          <w:szCs w:val="28"/>
          <w:highlight w:val="none"/>
        </w:rPr>
      </w:pPr>
      <w:bookmarkStart w:id="208" w:name="_Toc458617479"/>
      <w:bookmarkStart w:id="209" w:name="_Toc937"/>
      <w:bookmarkStart w:id="210" w:name="_Toc14386"/>
    </w:p>
    <w:p>
      <w:pPr>
        <w:pStyle w:val="40"/>
        <w:spacing w:line="560" w:lineRule="exact"/>
        <w:ind w:firstLine="0" w:firstLineChars="0"/>
        <w:rPr>
          <w:rFonts w:ascii="仿宋" w:hAnsi="仿宋" w:eastAsia="仿宋" w:cs="仿宋"/>
          <w:b/>
          <w:color w:val="auto"/>
          <w:szCs w:val="28"/>
          <w:highlight w:val="none"/>
        </w:rPr>
      </w:pPr>
    </w:p>
    <w:p>
      <w:pPr>
        <w:pStyle w:val="40"/>
        <w:spacing w:line="560" w:lineRule="exact"/>
        <w:ind w:firstLine="0" w:firstLineChars="0"/>
        <w:rPr>
          <w:rFonts w:ascii="仿宋" w:hAnsi="仿宋" w:eastAsia="仿宋" w:cs="仿宋"/>
          <w:b/>
          <w:color w:val="auto"/>
          <w:szCs w:val="28"/>
          <w:highlight w:val="none"/>
        </w:rPr>
      </w:pPr>
    </w:p>
    <w:p>
      <w:pPr>
        <w:pStyle w:val="40"/>
        <w:spacing w:line="560" w:lineRule="exact"/>
        <w:ind w:firstLine="0" w:firstLineChars="0"/>
        <w:rPr>
          <w:rFonts w:ascii="仿宋" w:hAnsi="仿宋" w:eastAsia="仿宋" w:cs="仿宋"/>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0</w:t>
      </w:r>
      <w:r>
        <w:rPr>
          <w:rFonts w:hint="eastAsia" w:ascii="仿宋" w:hAnsi="仿宋" w:eastAsia="仿宋" w:cs="仿宋"/>
          <w:b/>
          <w:color w:val="auto"/>
          <w:highlight w:val="none"/>
        </w:rPr>
        <w:t>.产品的合法渠道证明文件</w:t>
      </w:r>
      <w:bookmarkEnd w:id="208"/>
      <w:bookmarkEnd w:id="209"/>
      <w:bookmarkEnd w:id="210"/>
      <w:bookmarkStart w:id="211" w:name="_Toc193187107"/>
      <w:bookmarkStart w:id="212" w:name="_Toc194663938"/>
      <w:bookmarkStart w:id="213" w:name="_Toc193126901"/>
      <w:bookmarkStart w:id="214" w:name="_Toc23126"/>
      <w:bookmarkStart w:id="215" w:name="_Toc458617480"/>
      <w:bookmarkStart w:id="216" w:name="_Toc23774"/>
    </w:p>
    <w:p>
      <w:pPr>
        <w:spacing w:line="560" w:lineRule="exact"/>
        <w:rPr>
          <w:rFonts w:ascii="仿宋" w:hAnsi="仿宋" w:eastAsia="仿宋" w:cs="仿宋"/>
          <w:b/>
          <w:bCs/>
          <w:color w:val="auto"/>
          <w:sz w:val="28"/>
          <w:szCs w:val="28"/>
          <w:highlight w:val="none"/>
        </w:rPr>
      </w:pPr>
    </w:p>
    <w:p>
      <w:pPr>
        <w:pStyle w:val="10"/>
        <w:rPr>
          <w:rFonts w:ascii="仿宋" w:hAnsi="仿宋" w:eastAsia="仿宋" w:cs="仿宋"/>
          <w:color w:val="auto"/>
          <w:highlight w:val="none"/>
        </w:rPr>
      </w:pPr>
    </w:p>
    <w:p>
      <w:pPr>
        <w:pStyle w:val="40"/>
        <w:spacing w:line="560" w:lineRule="exact"/>
        <w:ind w:firstLineChars="71"/>
        <w:rPr>
          <w:rFonts w:ascii="仿宋" w:hAnsi="仿宋" w:eastAsia="仿宋" w:cs="仿宋"/>
          <w:b/>
          <w:color w:val="auto"/>
          <w:highlight w:val="none"/>
        </w:rPr>
      </w:pPr>
    </w:p>
    <w:p>
      <w:pPr>
        <w:pStyle w:val="40"/>
        <w:spacing w:line="560" w:lineRule="exact"/>
        <w:ind w:firstLine="0" w:firstLineChars="0"/>
        <w:rPr>
          <w:rFonts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w:t>
      </w:r>
      <w:bookmarkEnd w:id="211"/>
      <w:bookmarkEnd w:id="212"/>
      <w:bookmarkEnd w:id="213"/>
      <w:r>
        <w:rPr>
          <w:rFonts w:hint="eastAsia" w:ascii="仿宋" w:hAnsi="仿宋" w:eastAsia="仿宋" w:cs="仿宋"/>
          <w:b/>
          <w:color w:val="auto"/>
          <w:highlight w:val="none"/>
        </w:rPr>
        <w:t>项目实施方案</w:t>
      </w:r>
    </w:p>
    <w:bookmarkEnd w:id="214"/>
    <w:bookmarkEnd w:id="215"/>
    <w:bookmarkEnd w:id="216"/>
    <w:p>
      <w:pPr>
        <w:pStyle w:val="40"/>
        <w:spacing w:line="560" w:lineRule="exact"/>
        <w:ind w:firstLineChars="71"/>
        <w:rPr>
          <w:rFonts w:ascii="仿宋" w:hAnsi="仿宋" w:eastAsia="仿宋" w:cs="仿宋"/>
          <w:b/>
          <w:color w:val="auto"/>
          <w:szCs w:val="28"/>
          <w:highlight w:val="none"/>
        </w:rPr>
      </w:pPr>
      <w:bookmarkStart w:id="217" w:name="_Toc193126902"/>
      <w:bookmarkStart w:id="218" w:name="_Toc193187108"/>
      <w:bookmarkStart w:id="219" w:name="_Toc188808852"/>
      <w:bookmarkStart w:id="220" w:name="_Toc194663939"/>
    </w:p>
    <w:p>
      <w:pPr>
        <w:pStyle w:val="40"/>
        <w:spacing w:line="560" w:lineRule="exact"/>
        <w:ind w:firstLine="0" w:firstLineChars="0"/>
        <w:rPr>
          <w:rFonts w:ascii="仿宋" w:hAnsi="仿宋" w:eastAsia="仿宋" w:cs="仿宋"/>
          <w:b/>
          <w:color w:val="auto"/>
          <w:szCs w:val="28"/>
          <w:highlight w:val="none"/>
        </w:rPr>
      </w:pPr>
    </w:p>
    <w:p>
      <w:pPr>
        <w:pStyle w:val="40"/>
        <w:spacing w:line="560" w:lineRule="exact"/>
        <w:ind w:firstLineChars="71"/>
        <w:rPr>
          <w:rFonts w:ascii="仿宋" w:hAnsi="仿宋" w:eastAsia="仿宋" w:cs="仿宋"/>
          <w:b/>
          <w:color w:val="auto"/>
          <w:szCs w:val="28"/>
          <w:highlight w:val="none"/>
        </w:rPr>
      </w:pPr>
    </w:p>
    <w:p>
      <w:pPr>
        <w:pStyle w:val="40"/>
        <w:spacing w:line="560" w:lineRule="exact"/>
        <w:ind w:firstLine="0" w:firstLineChars="0"/>
        <w:rPr>
          <w:rFonts w:ascii="仿宋" w:hAnsi="仿宋" w:eastAsia="仿宋" w:cs="仿宋"/>
          <w:b/>
          <w:color w:val="auto"/>
          <w:szCs w:val="28"/>
          <w:highlight w:val="none"/>
        </w:rPr>
      </w:pPr>
      <w:r>
        <w:rPr>
          <w:rFonts w:hint="eastAsia" w:ascii="仿宋" w:hAnsi="仿宋" w:eastAsia="仿宋" w:cs="仿宋"/>
          <w:b/>
          <w:color w:val="auto"/>
          <w:szCs w:val="28"/>
          <w:highlight w:val="none"/>
        </w:rPr>
        <w:t>1</w:t>
      </w:r>
      <w:r>
        <w:rPr>
          <w:rFonts w:hint="eastAsia" w:ascii="仿宋" w:hAnsi="仿宋" w:eastAsia="仿宋" w:cs="仿宋"/>
          <w:b/>
          <w:color w:val="auto"/>
          <w:szCs w:val="28"/>
          <w:highlight w:val="none"/>
          <w:lang w:val="en-US" w:eastAsia="zh-CN"/>
        </w:rPr>
        <w:t>2</w:t>
      </w:r>
      <w:r>
        <w:rPr>
          <w:rFonts w:hint="eastAsia" w:ascii="仿宋" w:hAnsi="仿宋" w:eastAsia="仿宋" w:cs="仿宋"/>
          <w:b/>
          <w:color w:val="auto"/>
          <w:szCs w:val="28"/>
          <w:highlight w:val="none"/>
        </w:rPr>
        <w:t>.</w:t>
      </w:r>
      <w:r>
        <w:rPr>
          <w:rFonts w:hint="eastAsia" w:ascii="仿宋" w:hAnsi="仿宋" w:eastAsia="仿宋" w:cs="仿宋"/>
          <w:b/>
          <w:color w:val="auto"/>
          <w:highlight w:val="none"/>
        </w:rPr>
        <w:t>产品的技术文件</w:t>
      </w:r>
    </w:p>
    <w:p>
      <w:pPr>
        <w:pStyle w:val="40"/>
        <w:spacing w:line="560" w:lineRule="exact"/>
        <w:ind w:firstLine="0" w:firstLineChars="0"/>
        <w:rPr>
          <w:rFonts w:ascii="仿宋" w:hAnsi="仿宋" w:eastAsia="仿宋" w:cs="仿宋"/>
          <w:b/>
          <w:color w:val="auto"/>
          <w:highlight w:val="none"/>
        </w:rPr>
      </w:pPr>
      <w:bookmarkStart w:id="221" w:name="_Toc458617481"/>
      <w:bookmarkStart w:id="222" w:name="_Toc17505"/>
      <w:bookmarkStart w:id="223" w:name="_Toc8306"/>
    </w:p>
    <w:p>
      <w:pPr>
        <w:pStyle w:val="40"/>
        <w:spacing w:line="560" w:lineRule="exact"/>
        <w:ind w:firstLineChars="71"/>
        <w:rPr>
          <w:rFonts w:ascii="仿宋" w:hAnsi="仿宋" w:eastAsia="仿宋" w:cs="仿宋"/>
          <w:b/>
          <w:color w:val="auto"/>
          <w:highlight w:val="none"/>
        </w:rPr>
      </w:pPr>
    </w:p>
    <w:bookmarkEnd w:id="217"/>
    <w:bookmarkEnd w:id="218"/>
    <w:bookmarkEnd w:id="219"/>
    <w:bookmarkEnd w:id="220"/>
    <w:bookmarkEnd w:id="221"/>
    <w:bookmarkEnd w:id="222"/>
    <w:bookmarkEnd w:id="223"/>
    <w:p>
      <w:pPr>
        <w:pStyle w:val="40"/>
        <w:spacing w:line="560" w:lineRule="exact"/>
        <w:ind w:firstLine="0" w:firstLineChars="0"/>
        <w:rPr>
          <w:rFonts w:ascii="仿宋" w:hAnsi="仿宋" w:eastAsia="仿宋" w:cs="仿宋"/>
          <w:b/>
          <w:color w:val="auto"/>
          <w:highlight w:val="none"/>
        </w:rPr>
      </w:pPr>
      <w:bookmarkStart w:id="224" w:name="_Toc6949"/>
      <w:bookmarkStart w:id="225" w:name="_Toc27682"/>
      <w:bookmarkStart w:id="226" w:name="_Toc458617484"/>
      <w:bookmarkStart w:id="227" w:name="_Toc194663942"/>
      <w:bookmarkStart w:id="228" w:name="_Toc188808855"/>
      <w:bookmarkStart w:id="229" w:name="_Toc193187111"/>
      <w:bookmarkStart w:id="230" w:name="_Toc193126905"/>
    </w:p>
    <w:p>
      <w:pPr>
        <w:pStyle w:val="40"/>
        <w:spacing w:line="560" w:lineRule="exact"/>
        <w:ind w:firstLine="0" w:firstLineChars="0"/>
        <w:rPr>
          <w:rFonts w:ascii="仿宋" w:hAnsi="仿宋" w:eastAsia="仿宋" w:cs="仿宋"/>
          <w:b/>
          <w:color w:val="auto"/>
          <w:highlight w:val="none"/>
        </w:rPr>
      </w:pPr>
    </w:p>
    <w:p>
      <w:pPr>
        <w:pStyle w:val="40"/>
        <w:spacing w:line="560" w:lineRule="exact"/>
        <w:ind w:firstLine="0" w:firstLineChars="0"/>
        <w:rPr>
          <w:rFonts w:ascii="仿宋" w:hAnsi="仿宋" w:eastAsia="仿宋" w:cs="仿宋"/>
          <w:b/>
          <w:color w:val="auto"/>
          <w:highlight w:val="none"/>
        </w:rPr>
      </w:pPr>
    </w:p>
    <w:p>
      <w:pPr>
        <w:pStyle w:val="40"/>
        <w:spacing w:line="560" w:lineRule="exact"/>
        <w:ind w:firstLine="0" w:firstLineChars="0"/>
        <w:rPr>
          <w:rFonts w:ascii="仿宋" w:hAnsi="仿宋" w:eastAsia="仿宋" w:cs="仿宋"/>
          <w:bCs/>
          <w:color w:val="auto"/>
          <w:sz w:val="24"/>
          <w:szCs w:val="21"/>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3</w:t>
      </w:r>
      <w:r>
        <w:rPr>
          <w:rFonts w:hint="eastAsia" w:ascii="仿宋" w:hAnsi="仿宋" w:eastAsia="仿宋" w:cs="仿宋"/>
          <w:b/>
          <w:color w:val="auto"/>
          <w:highlight w:val="none"/>
        </w:rPr>
        <w:t>.投标人认为有必要补充说明的事宜</w:t>
      </w:r>
      <w:bookmarkEnd w:id="224"/>
      <w:bookmarkEnd w:id="225"/>
      <w:bookmarkEnd w:id="226"/>
      <w:r>
        <w:rPr>
          <w:rFonts w:hint="eastAsia" w:ascii="仿宋" w:hAnsi="仿宋" w:eastAsia="仿宋" w:cs="仿宋"/>
          <w:bCs/>
          <w:color w:val="auto"/>
          <w:sz w:val="24"/>
          <w:szCs w:val="21"/>
          <w:highlight w:val="none"/>
        </w:rPr>
        <w:t>（若有）</w:t>
      </w:r>
    </w:p>
    <w:p>
      <w:pPr>
        <w:rPr>
          <w:rFonts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pPr>
        <w:pStyle w:val="40"/>
        <w:spacing w:line="560" w:lineRule="exact"/>
        <w:ind w:firstLine="0" w:firstLineChars="0"/>
        <w:rPr>
          <w:rFonts w:ascii="仿宋" w:hAnsi="仿宋" w:eastAsia="仿宋" w:cs="仿宋"/>
          <w:b/>
          <w:color w:val="auto"/>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4</w:t>
      </w:r>
      <w:r>
        <w:rPr>
          <w:rFonts w:hint="eastAsia" w:ascii="仿宋" w:hAnsi="仿宋" w:eastAsia="仿宋" w:cs="仿宋"/>
          <w:b/>
          <w:bCs/>
          <w:color w:val="auto"/>
          <w:szCs w:val="28"/>
          <w:highlight w:val="none"/>
        </w:rPr>
        <w:t>.</w:t>
      </w:r>
      <w:bookmarkEnd w:id="227"/>
      <w:bookmarkEnd w:id="228"/>
      <w:bookmarkEnd w:id="229"/>
      <w:bookmarkEnd w:id="230"/>
      <w:r>
        <w:rPr>
          <w:rFonts w:hint="eastAsia" w:ascii="仿宋" w:hAnsi="仿宋" w:eastAsia="仿宋" w:cs="仿宋"/>
          <w:b/>
          <w:bCs/>
          <w:color w:val="auto"/>
          <w:szCs w:val="28"/>
          <w:highlight w:val="none"/>
        </w:rPr>
        <w:t>投标人承诺书</w:t>
      </w:r>
    </w:p>
    <w:p>
      <w:pPr>
        <w:widowControl/>
        <w:spacing w:line="560" w:lineRule="exact"/>
        <w:rPr>
          <w:rFonts w:ascii="仿宋" w:hAnsi="仿宋" w:eastAsia="仿宋" w:cs="仿宋"/>
          <w:b/>
          <w:bCs/>
          <w:color w:val="auto"/>
          <w:kern w:val="0"/>
          <w:sz w:val="32"/>
          <w:szCs w:val="32"/>
          <w:highlight w:val="none"/>
        </w:rPr>
      </w:pPr>
    </w:p>
    <w:p>
      <w:pPr>
        <w:widowControl/>
        <w:spacing w:line="560" w:lineRule="exact"/>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32"/>
          <w:szCs w:val="32"/>
          <w:highlight w:val="none"/>
        </w:rPr>
        <w:t xml:space="preserve">                   </w:t>
      </w:r>
      <w:r>
        <w:rPr>
          <w:rFonts w:hint="eastAsia" w:ascii="仿宋" w:hAnsi="仿宋" w:eastAsia="仿宋" w:cs="仿宋"/>
          <w:b/>
          <w:bCs/>
          <w:color w:val="auto"/>
          <w:kern w:val="0"/>
          <w:sz w:val="30"/>
          <w:szCs w:val="30"/>
          <w:highlight w:val="none"/>
        </w:rPr>
        <w:t xml:space="preserve"> </w:t>
      </w:r>
      <w:r>
        <w:rPr>
          <w:rFonts w:hint="eastAsia" w:ascii="仿宋" w:hAnsi="仿宋" w:eastAsia="仿宋" w:cs="仿宋"/>
          <w:b/>
          <w:bCs/>
          <w:color w:val="auto"/>
          <w:kern w:val="0"/>
          <w:sz w:val="28"/>
          <w:szCs w:val="28"/>
          <w:highlight w:val="none"/>
        </w:rPr>
        <w:t>陕西省政府采购投标人</w:t>
      </w:r>
    </w:p>
    <w:p>
      <w:pPr>
        <w:widowControl/>
        <w:spacing w:line="56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拒绝政府采购领域商业贿赂承诺书Ⅰ</w:t>
      </w:r>
    </w:p>
    <w:p>
      <w:pPr>
        <w:widowControl/>
        <w:spacing w:line="560" w:lineRule="exact"/>
        <w:ind w:firstLine="480" w:firstLineChars="200"/>
        <w:jc w:val="left"/>
        <w:rPr>
          <w:rFonts w:ascii="仿宋" w:hAnsi="仿宋" w:eastAsia="仿宋" w:cs="仿宋"/>
          <w:color w:val="auto"/>
          <w:kern w:val="0"/>
          <w:highlight w:val="none"/>
        </w:rPr>
      </w:pPr>
    </w:p>
    <w:p>
      <w:pPr>
        <w:widowControl/>
        <w:spacing w:line="560" w:lineRule="exact"/>
        <w:ind w:firstLine="480" w:firstLineChars="2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为响应党中央、国务院关于治理政府采购领域商业贿赂行为的号召，</w:t>
      </w:r>
      <w:r>
        <w:rPr>
          <w:rFonts w:hint="eastAsia" w:ascii="仿宋" w:hAnsi="仿宋" w:eastAsia="仿宋" w:cs="仿宋"/>
          <w:color w:val="auto"/>
          <w:kern w:val="0"/>
          <w:highlight w:val="none"/>
        </w:rPr>
        <w:t xml:space="preserve">我单位作为     </w:t>
      </w:r>
      <w:r>
        <w:rPr>
          <w:rFonts w:hint="eastAsia" w:ascii="仿宋" w:hAnsi="仿宋" w:eastAsia="仿宋" w:cs="仿宋"/>
          <w:color w:val="auto"/>
          <w:kern w:val="0"/>
          <w:highlight w:val="none"/>
          <w:u w:val="single"/>
        </w:rPr>
        <w:t xml:space="preserve">（项目名称）         </w:t>
      </w:r>
      <w:r>
        <w:rPr>
          <w:rFonts w:hint="eastAsia" w:ascii="仿宋" w:hAnsi="仿宋" w:eastAsia="仿宋" w:cs="仿宋"/>
          <w:color w:val="auto"/>
          <w:kern w:val="0"/>
          <w:highlight w:val="none"/>
        </w:rPr>
        <w:t xml:space="preserve"> 的投标人，</w:t>
      </w:r>
      <w:r>
        <w:rPr>
          <w:rFonts w:hint="eastAsia" w:ascii="仿宋" w:hAnsi="仿宋" w:eastAsia="仿宋" w:cs="仿宋"/>
          <w:color w:val="auto"/>
          <w:kern w:val="0"/>
          <w:szCs w:val="24"/>
          <w:highlight w:val="none"/>
        </w:rPr>
        <w:t xml:space="preserve">在此庄严承诺： </w:t>
      </w:r>
    </w:p>
    <w:p>
      <w:pPr>
        <w:widowControl/>
        <w:spacing w:line="560" w:lineRule="exact"/>
        <w:ind w:firstLine="480" w:firstLineChars="200"/>
        <w:outlineLvl w:val="1"/>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1、在参与政府采购活动中遵纪守法、诚信经营、公平竞标。 </w:t>
      </w:r>
    </w:p>
    <w:p>
      <w:pPr>
        <w:widowControl/>
        <w:spacing w:line="560" w:lineRule="exact"/>
        <w:ind w:firstLine="480" w:firstLineChars="2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2、不向采购人、采购代理机构和政府采购评审专家进行任何形式的商业贿赂以谋取交易机会。 </w:t>
      </w:r>
    </w:p>
    <w:p>
      <w:pPr>
        <w:widowControl/>
        <w:spacing w:line="560" w:lineRule="exact"/>
        <w:ind w:firstLine="480" w:firstLineChars="2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3、不向政府采购采购代理机构和采购人提供虚假资质文件或采用虚假应标方式参与政府采购市场竞争并谋取中标、成交。 </w:t>
      </w:r>
    </w:p>
    <w:p>
      <w:pPr>
        <w:widowControl/>
        <w:spacing w:line="560" w:lineRule="exact"/>
        <w:ind w:firstLine="480" w:firstLineChars="2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4、不采取“围标、陪标”等商业欺诈手段获得政府采购定单。 </w:t>
      </w:r>
    </w:p>
    <w:p>
      <w:pPr>
        <w:widowControl/>
        <w:spacing w:line="560" w:lineRule="exact"/>
        <w:ind w:firstLine="480" w:firstLineChars="200"/>
        <w:outlineLvl w:val="1"/>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5、不采取不正当手段低毁、排挤其他投标人。 </w:t>
      </w:r>
    </w:p>
    <w:p>
      <w:pPr>
        <w:widowControl/>
        <w:spacing w:line="560" w:lineRule="exact"/>
        <w:ind w:firstLine="480" w:firstLineChars="2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6、不在提供商品和服务时“偷梁换柱、以次充好”损害采购人的合法权益。 </w:t>
      </w:r>
    </w:p>
    <w:p>
      <w:pPr>
        <w:widowControl/>
        <w:spacing w:line="560" w:lineRule="exact"/>
        <w:ind w:firstLine="480" w:firstLineChars="2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7、不与采购人、采购代理机构政府采购评审专家或其它投标人恶意串通，进行质疑和投诉，维护政府采购市场秩序。 </w:t>
      </w:r>
    </w:p>
    <w:p>
      <w:pPr>
        <w:widowControl/>
        <w:spacing w:line="560" w:lineRule="exact"/>
        <w:ind w:firstLine="480" w:firstLineChars="2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8、尊重和接受政府采购监督管理部门的监督和政府采购代理机构招标要求，承担因违约行为给采购人造成的损失。 </w:t>
      </w:r>
    </w:p>
    <w:p>
      <w:pPr>
        <w:widowControl/>
        <w:spacing w:line="560" w:lineRule="exact"/>
        <w:ind w:firstLine="480" w:firstLineChars="2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9、不发生其他有悖于政府采购公开、公平、公正和诚信原则的行为。 </w:t>
      </w:r>
    </w:p>
    <w:p>
      <w:pPr>
        <w:pStyle w:val="10"/>
        <w:rPr>
          <w:rFonts w:hint="eastAsia"/>
          <w:highlight w:val="none"/>
          <w:lang w:eastAsia="zh-CN"/>
        </w:rPr>
      </w:pPr>
    </w:p>
    <w:p>
      <w:pPr>
        <w:widowControl/>
        <w:spacing w:line="560" w:lineRule="exact"/>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p>
    <w:p>
      <w:pP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br w:type="page"/>
      </w:r>
    </w:p>
    <w:p>
      <w:pPr>
        <w:widowControl/>
        <w:spacing w:line="560" w:lineRule="exact"/>
        <w:ind w:firstLine="240" w:firstLineChars="1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承诺单位：</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（盖章） </w:t>
      </w:r>
    </w:p>
    <w:p>
      <w:pPr>
        <w:widowControl/>
        <w:spacing w:line="560" w:lineRule="exact"/>
        <w:ind w:firstLine="240" w:firstLineChars="1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全权代表：</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（签字） </w:t>
      </w:r>
    </w:p>
    <w:p>
      <w:pPr>
        <w:widowControl/>
        <w:spacing w:line="560" w:lineRule="exact"/>
        <w:ind w:firstLine="240" w:firstLineChars="100"/>
        <w:rPr>
          <w:rFonts w:ascii="仿宋" w:hAnsi="仿宋" w:eastAsia="仿宋" w:cs="仿宋"/>
          <w:color w:val="auto"/>
          <w:kern w:val="0"/>
          <w:szCs w:val="24"/>
          <w:highlight w:val="none"/>
          <w:u w:val="single"/>
        </w:rPr>
      </w:pPr>
      <w:r>
        <w:rPr>
          <w:rFonts w:hint="eastAsia" w:ascii="仿宋" w:hAnsi="仿宋" w:eastAsia="仿宋" w:cs="仿宋"/>
          <w:color w:val="auto"/>
          <w:kern w:val="0"/>
          <w:szCs w:val="24"/>
          <w:highlight w:val="none"/>
        </w:rPr>
        <w:t>地　　址：</w:t>
      </w:r>
      <w:r>
        <w:rPr>
          <w:rFonts w:hint="eastAsia" w:ascii="仿宋" w:hAnsi="仿宋" w:eastAsia="仿宋" w:cs="仿宋"/>
          <w:color w:val="auto"/>
          <w:kern w:val="0"/>
          <w:szCs w:val="24"/>
          <w:highlight w:val="none"/>
          <w:u w:val="single"/>
        </w:rPr>
        <w:t xml:space="preserve">                              </w:t>
      </w:r>
    </w:p>
    <w:p>
      <w:pPr>
        <w:widowControl/>
        <w:spacing w:line="560" w:lineRule="exact"/>
        <w:ind w:left="240" w:leftChars="100"/>
        <w:rPr>
          <w:rFonts w:hint="eastAsia" w:ascii="仿宋" w:hAnsi="仿宋" w:eastAsia="仿宋" w:cs="仿宋"/>
          <w:color w:val="auto"/>
          <w:kern w:val="0"/>
          <w:szCs w:val="24"/>
          <w:highlight w:val="none"/>
          <w:u w:val="single"/>
          <w:lang w:eastAsia="zh-CN"/>
        </w:rPr>
      </w:pPr>
      <w:r>
        <w:rPr>
          <w:rFonts w:hint="eastAsia" w:ascii="仿宋" w:hAnsi="仿宋" w:eastAsia="仿宋" w:cs="仿宋"/>
          <w:color w:val="auto"/>
          <w:kern w:val="0"/>
          <w:szCs w:val="24"/>
          <w:highlight w:val="none"/>
        </w:rPr>
        <w:t>邮    编：</w:t>
      </w:r>
      <w:r>
        <w:rPr>
          <w:rFonts w:hint="eastAsia" w:ascii="仿宋" w:hAnsi="仿宋" w:eastAsia="仿宋" w:cs="仿宋"/>
          <w:color w:val="auto"/>
          <w:kern w:val="0"/>
          <w:szCs w:val="24"/>
          <w:highlight w:val="none"/>
          <w:u w:val="single"/>
        </w:rPr>
        <w:t xml:space="preserve">　　                     　　 </w:t>
      </w:r>
    </w:p>
    <w:p>
      <w:pPr>
        <w:widowControl/>
        <w:spacing w:line="560" w:lineRule="exact"/>
        <w:ind w:left="240" w:leftChars="1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电　　话：</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　　 </w:t>
      </w:r>
    </w:p>
    <w:p>
      <w:pPr>
        <w:widowControl/>
        <w:spacing w:line="560" w:lineRule="exact"/>
        <w:ind w:firstLine="480" w:firstLineChars="200"/>
        <w:rPr>
          <w:rFonts w:ascii="仿宋" w:hAnsi="仿宋" w:eastAsia="仿宋" w:cs="仿宋"/>
          <w:color w:val="auto"/>
          <w:kern w:val="0"/>
          <w:szCs w:val="24"/>
          <w:highlight w:val="none"/>
        </w:rPr>
      </w:pPr>
    </w:p>
    <w:p>
      <w:pPr>
        <w:spacing w:line="560" w:lineRule="exact"/>
        <w:ind w:firstLine="4920" w:firstLineChars="2050"/>
        <w:rPr>
          <w:rFonts w:ascii="仿宋" w:hAnsi="仿宋" w:eastAsia="仿宋" w:cs="仿宋"/>
          <w:color w:val="auto"/>
          <w:kern w:val="0"/>
          <w:szCs w:val="24"/>
          <w:highlight w:val="none"/>
        </w:rPr>
        <w:sectPr>
          <w:footerReference r:id="rId20" w:type="first"/>
          <w:headerReference r:id="rId18" w:type="default"/>
          <w:footerReference r:id="rId19" w:type="default"/>
          <w:pgSz w:w="11907" w:h="16840"/>
          <w:pgMar w:top="1417" w:right="1134" w:bottom="1417" w:left="1304" w:header="935" w:footer="771" w:gutter="567"/>
          <w:cols w:space="0" w:num="1"/>
          <w:titlePg/>
          <w:docGrid w:linePitch="312" w:charSpace="0"/>
        </w:sectPr>
      </w:pPr>
      <w:r>
        <w:rPr>
          <w:rFonts w:hint="eastAsia" w:ascii="仿宋" w:hAnsi="仿宋" w:eastAsia="仿宋" w:cs="仿宋"/>
          <w:color w:val="auto"/>
          <w:kern w:val="0"/>
          <w:szCs w:val="24"/>
          <w:highlight w:val="none"/>
        </w:rPr>
        <w:t>年　　月　　日</w:t>
      </w:r>
    </w:p>
    <w:bookmarkEnd w:id="206"/>
    <w:bookmarkEnd w:id="207"/>
    <w:p>
      <w:pPr>
        <w:spacing w:line="360" w:lineRule="atLeast"/>
        <w:jc w:val="center"/>
        <w:outlineLvl w:val="2"/>
        <w:rPr>
          <w:rFonts w:ascii="仿宋" w:hAnsi="仿宋" w:eastAsia="仿宋" w:cs="仿宋"/>
          <w:b/>
          <w:color w:val="auto"/>
          <w:sz w:val="32"/>
          <w:szCs w:val="32"/>
          <w:highlight w:val="none"/>
        </w:rPr>
      </w:pPr>
      <w:bookmarkStart w:id="231" w:name="_Toc458617748"/>
      <w:r>
        <w:rPr>
          <w:rFonts w:hint="eastAsia" w:ascii="仿宋" w:hAnsi="仿宋" w:eastAsia="仿宋" w:cs="仿宋"/>
          <w:b/>
          <w:color w:val="auto"/>
          <w:sz w:val="32"/>
          <w:szCs w:val="32"/>
          <w:highlight w:val="none"/>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ascii="仿宋" w:hAnsi="仿宋" w:eastAsia="仿宋" w:cs="仿宋"/>
                <w:color w:val="auto"/>
                <w:highlight w:val="none"/>
              </w:rPr>
            </w:pPr>
            <w:r>
              <w:rPr>
                <w:rFonts w:hint="eastAsia" w:ascii="仿宋" w:hAnsi="仿宋" w:eastAsia="仿宋" w:cs="仿宋"/>
                <w:color w:val="auto"/>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ascii="仿宋" w:hAnsi="仿宋" w:eastAsia="仿宋" w:cs="仿宋"/>
                <w:color w:val="auto"/>
                <w:highlight w:val="none"/>
              </w:rPr>
            </w:pPr>
            <w:r>
              <w:rPr>
                <w:rFonts w:hint="eastAsia" w:ascii="仿宋" w:hAnsi="仿宋" w:eastAsia="仿宋" w:cs="仿宋"/>
                <w:color w:val="auto"/>
                <w:highlight w:val="none"/>
              </w:rPr>
              <w:t>投标人</w:t>
            </w:r>
          </w:p>
        </w:tc>
        <w:tc>
          <w:tcPr>
            <w:tcW w:w="3420" w:type="dxa"/>
            <w:vAlign w:val="center"/>
          </w:tcPr>
          <w:p>
            <w:pPr>
              <w:spacing w:line="640" w:lineRule="exact"/>
              <w:jc w:val="center"/>
              <w:rPr>
                <w:rFonts w:ascii="仿宋" w:hAnsi="仿宋" w:eastAsia="仿宋" w:cs="仿宋"/>
                <w:color w:val="auto"/>
                <w:highlight w:val="none"/>
              </w:rPr>
            </w:pPr>
            <w:r>
              <w:rPr>
                <w:rFonts w:hint="eastAsia" w:ascii="仿宋" w:hAnsi="仿宋" w:eastAsia="仿宋" w:cs="仿宋"/>
                <w:color w:val="auto"/>
                <w:highlight w:val="none"/>
              </w:rPr>
              <w:t>法定代表人</w:t>
            </w:r>
          </w:p>
        </w:tc>
        <w:tc>
          <w:tcPr>
            <w:tcW w:w="2340" w:type="dxa"/>
            <w:vAlign w:val="center"/>
          </w:tcPr>
          <w:p>
            <w:pPr>
              <w:spacing w:line="640" w:lineRule="exact"/>
              <w:jc w:val="center"/>
              <w:rPr>
                <w:rFonts w:ascii="仿宋" w:hAnsi="仿宋" w:eastAsia="仿宋" w:cs="仿宋"/>
                <w:color w:val="auto"/>
                <w:highlight w:val="none"/>
              </w:rPr>
            </w:pPr>
            <w:r>
              <w:rPr>
                <w:rFonts w:hint="eastAsia" w:ascii="仿宋" w:hAnsi="仿宋" w:eastAsia="仿宋" w:cs="仿宋"/>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ascii="仿宋" w:hAnsi="仿宋" w:eastAsia="仿宋" w:cs="仿宋"/>
                <w:color w:val="auto"/>
                <w:highlight w:val="none"/>
              </w:rPr>
            </w:pPr>
            <w:r>
              <w:rPr>
                <w:rFonts w:hint="eastAsia" w:ascii="仿宋" w:hAnsi="仿宋" w:eastAsia="仿宋" w:cs="仿宋"/>
                <w:color w:val="auto"/>
                <w:highlight w:val="none"/>
              </w:rPr>
              <w:t>（公章）</w:t>
            </w:r>
          </w:p>
        </w:tc>
        <w:tc>
          <w:tcPr>
            <w:tcW w:w="3420" w:type="dxa"/>
            <w:vAlign w:val="center"/>
          </w:tcPr>
          <w:p>
            <w:pPr>
              <w:spacing w:line="640" w:lineRule="exact"/>
              <w:jc w:val="center"/>
              <w:rPr>
                <w:rFonts w:ascii="仿宋" w:hAnsi="仿宋" w:eastAsia="仿宋" w:cs="仿宋"/>
                <w:color w:val="auto"/>
                <w:highlight w:val="none"/>
              </w:rPr>
            </w:pPr>
            <w:r>
              <w:rPr>
                <w:rFonts w:hint="eastAsia" w:ascii="仿宋" w:hAnsi="仿宋" w:eastAsia="仿宋" w:cs="仿宋"/>
                <w:color w:val="auto"/>
                <w:highlight w:val="none"/>
              </w:rPr>
              <w:t>（签字或盖章）</w:t>
            </w:r>
          </w:p>
        </w:tc>
        <w:tc>
          <w:tcPr>
            <w:tcW w:w="2340" w:type="dxa"/>
            <w:vAlign w:val="center"/>
          </w:tcPr>
          <w:p>
            <w:pPr>
              <w:spacing w:line="640" w:lineRule="exact"/>
              <w:ind w:firstLine="240" w:firstLineChars="100"/>
              <w:jc w:val="center"/>
              <w:rPr>
                <w:rFonts w:ascii="仿宋" w:hAnsi="仿宋" w:eastAsia="仿宋" w:cs="仿宋"/>
                <w:color w:val="auto"/>
                <w:highlight w:val="none"/>
              </w:rPr>
            </w:pPr>
            <w:r>
              <w:rPr>
                <w:rFonts w:hint="eastAsia" w:ascii="仿宋" w:hAnsi="仿宋" w:eastAsia="仿宋" w:cs="仿宋"/>
                <w:color w:val="auto"/>
                <w:highlight w:val="none"/>
              </w:rPr>
              <w:t>年  月  日</w:t>
            </w:r>
          </w:p>
        </w:tc>
      </w:tr>
    </w:tbl>
    <w:p>
      <w:pPr>
        <w:spacing w:line="360" w:lineRule="atLeast"/>
        <w:jc w:val="center"/>
        <w:rPr>
          <w:rFonts w:ascii="仿宋" w:hAnsi="仿宋" w:eastAsia="仿宋" w:cs="仿宋"/>
          <w:b/>
          <w:color w:val="auto"/>
          <w:sz w:val="32"/>
          <w:szCs w:val="32"/>
          <w:highlight w:val="none"/>
        </w:rPr>
      </w:pPr>
    </w:p>
    <w:p>
      <w:pPr>
        <w:spacing w:line="360" w:lineRule="atLeas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color w:val="auto"/>
                <w:highlight w:val="none"/>
              </w:rPr>
            </w:pPr>
            <w:r>
              <w:rPr>
                <w:rFonts w:hint="eastAsia" w:ascii="仿宋" w:hAnsi="仿宋" w:eastAsia="仿宋" w:cs="仿宋"/>
                <w:color w:val="auto"/>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投标人</w:t>
            </w:r>
          </w:p>
        </w:tc>
        <w:tc>
          <w:tcPr>
            <w:tcW w:w="342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法定代表人</w:t>
            </w:r>
          </w:p>
        </w:tc>
        <w:tc>
          <w:tcPr>
            <w:tcW w:w="23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（公章）</w:t>
            </w:r>
          </w:p>
        </w:tc>
        <w:tc>
          <w:tcPr>
            <w:tcW w:w="342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（签字或盖章）</w:t>
            </w:r>
          </w:p>
        </w:tc>
        <w:tc>
          <w:tcPr>
            <w:tcW w:w="2340" w:type="dxa"/>
            <w:vAlign w:val="center"/>
          </w:tcPr>
          <w:p>
            <w:pPr>
              <w:spacing w:line="360" w:lineRule="atLeast"/>
              <w:ind w:firstLine="240" w:firstLineChars="100"/>
              <w:jc w:val="center"/>
              <w:rPr>
                <w:rFonts w:ascii="仿宋" w:hAnsi="仿宋" w:eastAsia="仿宋" w:cs="仿宋"/>
                <w:color w:val="auto"/>
                <w:highlight w:val="none"/>
              </w:rPr>
            </w:pPr>
            <w:r>
              <w:rPr>
                <w:rFonts w:hint="eastAsia" w:ascii="仿宋" w:hAnsi="仿宋" w:eastAsia="仿宋" w:cs="仿宋"/>
                <w:color w:val="auto"/>
                <w:highlight w:val="none"/>
              </w:rPr>
              <w:t>年  月  日</w:t>
            </w:r>
          </w:p>
        </w:tc>
      </w:tr>
    </w:tbl>
    <w:p>
      <w:pPr>
        <w:spacing w:line="360" w:lineRule="atLeast"/>
        <w:jc w:val="center"/>
        <w:rPr>
          <w:rFonts w:ascii="仿宋" w:hAnsi="仿宋" w:eastAsia="仿宋" w:cs="仿宋"/>
          <w:b/>
          <w:color w:val="auto"/>
          <w:sz w:val="32"/>
          <w:szCs w:val="32"/>
          <w:highlight w:val="none"/>
        </w:rPr>
      </w:pPr>
      <w:r>
        <w:rPr>
          <w:rFonts w:ascii="宋体" w:hAnsi="宋体"/>
          <w:b/>
          <w:color w:val="auto"/>
          <w:sz w:val="32"/>
          <w:szCs w:val="32"/>
          <w:highlight w:val="none"/>
        </w:rPr>
        <w:br w:type="page"/>
      </w:r>
      <w:r>
        <w:rPr>
          <w:rFonts w:hint="eastAsia" w:ascii="仿宋" w:hAnsi="仿宋" w:eastAsia="仿宋" w:cs="仿宋"/>
          <w:b/>
          <w:color w:val="auto"/>
          <w:sz w:val="32"/>
          <w:szCs w:val="32"/>
          <w:highlight w:val="none"/>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color w:val="auto"/>
                <w:highlight w:val="none"/>
              </w:rPr>
            </w:pPr>
            <w:r>
              <w:rPr>
                <w:rFonts w:hint="eastAsia" w:ascii="仿宋" w:hAnsi="仿宋" w:eastAsia="仿宋" w:cs="仿宋"/>
                <w:color w:val="auto"/>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次（没有填零），如有隐瞒实情，愿承担一切责任及后果。</w:t>
            </w:r>
          </w:p>
          <w:p>
            <w:pPr>
              <w:spacing w:line="64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投标人</w:t>
            </w:r>
          </w:p>
        </w:tc>
        <w:tc>
          <w:tcPr>
            <w:tcW w:w="342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法定代表人</w:t>
            </w:r>
          </w:p>
        </w:tc>
        <w:tc>
          <w:tcPr>
            <w:tcW w:w="23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（公章）</w:t>
            </w:r>
          </w:p>
        </w:tc>
        <w:tc>
          <w:tcPr>
            <w:tcW w:w="342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（签字或盖章）</w:t>
            </w:r>
          </w:p>
        </w:tc>
        <w:tc>
          <w:tcPr>
            <w:tcW w:w="2340" w:type="dxa"/>
            <w:vAlign w:val="center"/>
          </w:tcPr>
          <w:p>
            <w:pPr>
              <w:spacing w:line="360" w:lineRule="atLeast"/>
              <w:ind w:firstLine="240" w:firstLineChars="100"/>
              <w:jc w:val="center"/>
              <w:rPr>
                <w:rFonts w:ascii="仿宋" w:hAnsi="仿宋" w:eastAsia="仿宋" w:cs="仿宋"/>
                <w:color w:val="auto"/>
                <w:highlight w:val="none"/>
              </w:rPr>
            </w:pPr>
            <w:r>
              <w:rPr>
                <w:rFonts w:hint="eastAsia" w:ascii="仿宋" w:hAnsi="仿宋" w:eastAsia="仿宋" w:cs="仿宋"/>
                <w:color w:val="auto"/>
                <w:highlight w:val="none"/>
              </w:rPr>
              <w:t>年  月  日</w:t>
            </w:r>
          </w:p>
        </w:tc>
      </w:tr>
    </w:tbl>
    <w:p>
      <w:pPr>
        <w:spacing w:line="360" w:lineRule="auto"/>
        <w:ind w:right="480"/>
        <w:rPr>
          <w:rFonts w:ascii="宋体" w:hAnsi="宋体"/>
          <w:color w:val="auto"/>
          <w:szCs w:val="28"/>
          <w:highlight w:val="none"/>
        </w:rPr>
      </w:pPr>
    </w:p>
    <w:p>
      <w:pPr>
        <w:spacing w:line="360" w:lineRule="atLeas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w:t>
      </w:r>
      <w:r>
        <w:rPr>
          <w:rFonts w:hint="eastAsia" w:ascii="仿宋" w:hAnsi="仿宋" w:eastAsia="仿宋" w:cs="仿宋"/>
          <w:b/>
          <w:color w:val="auto"/>
          <w:sz w:val="36"/>
          <w:szCs w:val="36"/>
          <w:highlight w:val="none"/>
        </w:rPr>
        <w:fldChar w:fldCharType="begin"/>
      </w:r>
      <w:r>
        <w:rPr>
          <w:rFonts w:hint="eastAsia" w:ascii="仿宋" w:hAnsi="仿宋" w:eastAsia="仿宋" w:cs="仿宋"/>
          <w:b/>
          <w:color w:val="auto"/>
          <w:sz w:val="36"/>
          <w:szCs w:val="36"/>
          <w:highlight w:val="none"/>
        </w:rPr>
        <w:instrText xml:space="preserve"> = 5 \* ROMAN </w:instrText>
      </w:r>
      <w:r>
        <w:rPr>
          <w:rFonts w:hint="eastAsia" w:ascii="仿宋" w:hAnsi="仿宋" w:eastAsia="仿宋" w:cs="仿宋"/>
          <w:b/>
          <w:color w:val="auto"/>
          <w:sz w:val="36"/>
          <w:szCs w:val="36"/>
          <w:highlight w:val="none"/>
        </w:rPr>
        <w:fldChar w:fldCharType="separate"/>
      </w:r>
      <w:r>
        <w:rPr>
          <w:rFonts w:hint="eastAsia" w:ascii="仿宋" w:hAnsi="仿宋" w:eastAsia="仿宋" w:cs="仿宋"/>
          <w:b/>
          <w:color w:val="auto"/>
          <w:sz w:val="36"/>
          <w:szCs w:val="36"/>
          <w:highlight w:val="none"/>
        </w:rPr>
        <w:t>V</w:t>
      </w:r>
      <w:r>
        <w:rPr>
          <w:rFonts w:hint="eastAsia" w:ascii="仿宋" w:hAnsi="仿宋" w:eastAsia="仿宋" w:cs="仿宋"/>
          <w:b/>
          <w:color w:val="auto"/>
          <w:sz w:val="36"/>
          <w:szCs w:val="36"/>
          <w:highlight w:val="none"/>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360" w:lineRule="atLeast"/>
              <w:rPr>
                <w:rFonts w:ascii="仿宋" w:hAnsi="仿宋" w:eastAsia="仿宋" w:cs="仿宋"/>
                <w:color w:val="auto"/>
                <w:highlight w:val="none"/>
              </w:rPr>
            </w:pPr>
            <w:r>
              <w:rPr>
                <w:rFonts w:hint="eastAsia" w:ascii="仿宋" w:hAnsi="仿宋" w:eastAsia="仿宋" w:cs="仿宋"/>
                <w:color w:val="auto"/>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64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投标人</w:t>
            </w:r>
          </w:p>
        </w:tc>
        <w:tc>
          <w:tcPr>
            <w:tcW w:w="342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法定代表人</w:t>
            </w:r>
          </w:p>
        </w:tc>
        <w:tc>
          <w:tcPr>
            <w:tcW w:w="23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（公章）</w:t>
            </w:r>
          </w:p>
        </w:tc>
        <w:tc>
          <w:tcPr>
            <w:tcW w:w="342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（签字或盖章）</w:t>
            </w:r>
          </w:p>
        </w:tc>
        <w:tc>
          <w:tcPr>
            <w:tcW w:w="2340" w:type="dxa"/>
            <w:vAlign w:val="center"/>
          </w:tcPr>
          <w:p>
            <w:pPr>
              <w:spacing w:line="360" w:lineRule="atLeast"/>
              <w:ind w:firstLine="240" w:firstLineChars="100"/>
              <w:jc w:val="center"/>
              <w:rPr>
                <w:rFonts w:ascii="仿宋" w:hAnsi="仿宋" w:eastAsia="仿宋" w:cs="仿宋"/>
                <w:color w:val="auto"/>
                <w:highlight w:val="none"/>
              </w:rPr>
            </w:pPr>
            <w:r>
              <w:rPr>
                <w:rFonts w:hint="eastAsia" w:ascii="仿宋" w:hAnsi="仿宋" w:eastAsia="仿宋" w:cs="仿宋"/>
                <w:color w:val="auto"/>
                <w:highlight w:val="none"/>
              </w:rPr>
              <w:t>年  月  日</w:t>
            </w:r>
          </w:p>
        </w:tc>
      </w:tr>
    </w:tbl>
    <w:p>
      <w:pPr>
        <w:spacing w:line="360" w:lineRule="atLeast"/>
        <w:jc w:val="center"/>
        <w:rPr>
          <w:rFonts w:ascii="仿宋" w:hAnsi="仿宋" w:eastAsia="仿宋" w:cs="仿宋"/>
          <w:b/>
          <w:color w:val="auto"/>
          <w:sz w:val="32"/>
          <w:szCs w:val="32"/>
          <w:highlight w:val="none"/>
        </w:rPr>
      </w:pPr>
    </w:p>
    <w:p>
      <w:pPr>
        <w:spacing w:line="360" w:lineRule="atLeas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color w:val="auto"/>
                <w:highlight w:val="none"/>
              </w:rPr>
            </w:pPr>
            <w:r>
              <w:rPr>
                <w:rFonts w:hint="eastAsia" w:ascii="仿宋" w:hAnsi="仿宋" w:eastAsia="仿宋" w:cs="仿宋"/>
                <w:color w:val="auto"/>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作为参加贵公司组织的招标采购项目的投标人，本公司承诺：我单位法人代表及主要负责人所在的公司在近三年内没有违法违规行为，如有，我单位自愿放弃本次项目的投标。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投标人</w:t>
            </w:r>
          </w:p>
        </w:tc>
        <w:tc>
          <w:tcPr>
            <w:tcW w:w="342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法定代表人</w:t>
            </w:r>
          </w:p>
        </w:tc>
        <w:tc>
          <w:tcPr>
            <w:tcW w:w="23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（公章）</w:t>
            </w:r>
          </w:p>
        </w:tc>
        <w:tc>
          <w:tcPr>
            <w:tcW w:w="3420" w:type="dxa"/>
            <w:vAlign w:val="center"/>
          </w:tcPr>
          <w:p>
            <w:pPr>
              <w:spacing w:line="360" w:lineRule="atLeast"/>
              <w:jc w:val="center"/>
              <w:rPr>
                <w:rFonts w:ascii="仿宋" w:hAnsi="仿宋" w:eastAsia="仿宋" w:cs="仿宋"/>
                <w:color w:val="auto"/>
                <w:highlight w:val="none"/>
              </w:rPr>
            </w:pPr>
            <w:r>
              <w:rPr>
                <w:rFonts w:hint="eastAsia" w:ascii="仿宋" w:hAnsi="仿宋" w:eastAsia="仿宋" w:cs="仿宋"/>
                <w:color w:val="auto"/>
                <w:highlight w:val="none"/>
              </w:rPr>
              <w:t>（签字或盖章）</w:t>
            </w:r>
          </w:p>
        </w:tc>
        <w:tc>
          <w:tcPr>
            <w:tcW w:w="2340" w:type="dxa"/>
            <w:vAlign w:val="center"/>
          </w:tcPr>
          <w:p>
            <w:pPr>
              <w:spacing w:line="360" w:lineRule="atLeast"/>
              <w:ind w:firstLine="240" w:firstLineChars="100"/>
              <w:jc w:val="center"/>
              <w:rPr>
                <w:rFonts w:ascii="仿宋" w:hAnsi="仿宋" w:eastAsia="仿宋" w:cs="仿宋"/>
                <w:color w:val="auto"/>
                <w:highlight w:val="none"/>
              </w:rPr>
            </w:pPr>
            <w:r>
              <w:rPr>
                <w:rFonts w:hint="eastAsia" w:ascii="仿宋" w:hAnsi="仿宋" w:eastAsia="仿宋" w:cs="仿宋"/>
                <w:color w:val="auto"/>
                <w:highlight w:val="none"/>
              </w:rPr>
              <w:t>年  月  日</w:t>
            </w:r>
          </w:p>
        </w:tc>
      </w:tr>
    </w:tbl>
    <w:p>
      <w:pPr>
        <w:rPr>
          <w:rFonts w:ascii="仿宋" w:hAnsi="仿宋" w:eastAsia="仿宋" w:cs="仿宋"/>
          <w:b/>
          <w:bCs/>
          <w:color w:val="auto"/>
          <w:szCs w:val="28"/>
          <w:highlight w:val="none"/>
        </w:rPr>
      </w:pPr>
    </w:p>
    <w:p>
      <w:pPr>
        <w:rPr>
          <w:rFonts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pPr>
        <w:pStyle w:val="40"/>
        <w:spacing w:line="560" w:lineRule="exact"/>
        <w:ind w:firstLine="174" w:firstLineChars="62"/>
        <w:outlineLvl w:val="1"/>
        <w:rPr>
          <w:rFonts w:ascii="仿宋" w:hAnsi="仿宋" w:eastAsia="仿宋" w:cs="仿宋"/>
          <w:color w:val="auto"/>
          <w:sz w:val="24"/>
          <w:szCs w:val="24"/>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5</w:t>
      </w:r>
      <w:r>
        <w:rPr>
          <w:rFonts w:hint="eastAsia" w:ascii="仿宋" w:hAnsi="仿宋" w:eastAsia="仿宋" w:cs="仿宋"/>
          <w:b/>
          <w:bCs/>
          <w:color w:val="auto"/>
          <w:szCs w:val="28"/>
          <w:highlight w:val="none"/>
        </w:rPr>
        <w:t>.《中小企业声明函》</w:t>
      </w:r>
      <w:bookmarkEnd w:id="231"/>
      <w:bookmarkStart w:id="232" w:name="OLE_LINK19"/>
    </w:p>
    <w:bookmarkEnd w:id="232"/>
    <w:p>
      <w:pPr>
        <w:spacing w:line="640" w:lineRule="exact"/>
        <w:jc w:val="center"/>
        <w:outlineLvl w:val="2"/>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中小企业声明函(货物）</w:t>
      </w:r>
    </w:p>
    <w:p>
      <w:pPr>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致：华招广和项目管理有限公司</w:t>
      </w:r>
    </w:p>
    <w:p>
      <w:pPr>
        <w:spacing w:line="560" w:lineRule="exact"/>
        <w:ind w:firstLine="435"/>
        <w:rPr>
          <w:rFonts w:ascii="仿宋" w:hAnsi="仿宋" w:eastAsia="仿宋" w:cs="仿宋"/>
          <w:color w:val="auto"/>
          <w:szCs w:val="24"/>
          <w:highlight w:val="none"/>
        </w:rPr>
      </w:pPr>
      <w:r>
        <w:rPr>
          <w:rFonts w:hint="eastAsia" w:ascii="仿宋" w:hAnsi="仿宋" w:eastAsia="仿宋" w:cs="仿宋"/>
          <w:color w:val="auto"/>
          <w:szCs w:val="24"/>
          <w:highlight w:val="none"/>
        </w:rPr>
        <w:t>本公司郑重声明，根据《政府采购促进中小企业发展管理办法》（财库【2020】46号）的规定，本公司参加</w:t>
      </w:r>
      <w:r>
        <w:rPr>
          <w:rFonts w:hint="eastAsia" w:ascii="仿宋" w:hAnsi="仿宋" w:eastAsia="仿宋" w:cs="仿宋"/>
          <w:color w:val="auto"/>
          <w:szCs w:val="24"/>
          <w:highlight w:val="none"/>
          <w:u w:val="single"/>
        </w:rPr>
        <w:t xml:space="preserve"> （单位名称）</w:t>
      </w:r>
      <w:r>
        <w:rPr>
          <w:rFonts w:hint="eastAsia" w:ascii="仿宋" w:hAnsi="仿宋" w:eastAsia="仿宋" w:cs="仿宋"/>
          <w:color w:val="auto"/>
          <w:szCs w:val="24"/>
          <w:highlight w:val="none"/>
        </w:rPr>
        <w:t xml:space="preserve"> 的</w:t>
      </w:r>
      <w:r>
        <w:rPr>
          <w:rFonts w:hint="eastAsia" w:ascii="仿宋" w:hAnsi="仿宋" w:eastAsia="仿宋" w:cs="仿宋"/>
          <w:color w:val="auto"/>
          <w:szCs w:val="24"/>
          <w:highlight w:val="none"/>
          <w:u w:val="single"/>
        </w:rPr>
        <w:t>（项目名称）</w:t>
      </w:r>
      <w:r>
        <w:rPr>
          <w:rFonts w:hint="eastAsia" w:ascii="仿宋" w:hAnsi="仿宋" w:eastAsia="仿宋" w:cs="仿宋"/>
          <w:color w:val="auto"/>
          <w:szCs w:val="24"/>
          <w:highlight w:val="none"/>
        </w:rPr>
        <w:t>采购活动，提供的货物全部由符合政策要求的中小企业制造。相关企业的具体情况如下：</w:t>
      </w:r>
    </w:p>
    <w:p>
      <w:pPr>
        <w:spacing w:line="560" w:lineRule="exact"/>
        <w:ind w:firstLine="720" w:firstLineChars="30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u w:val="single"/>
        </w:rPr>
        <w:t xml:space="preserve">（标的名称） </w:t>
      </w:r>
      <w:r>
        <w:rPr>
          <w:rFonts w:hint="eastAsia" w:ascii="仿宋" w:hAnsi="仿宋" w:eastAsia="仿宋" w:cs="仿宋"/>
          <w:color w:val="auto"/>
          <w:szCs w:val="24"/>
          <w:highlight w:val="none"/>
        </w:rPr>
        <w:t>，属于</w:t>
      </w:r>
      <w:r>
        <w:rPr>
          <w:rFonts w:hint="eastAsia" w:ascii="仿宋" w:hAnsi="仿宋" w:eastAsia="仿宋" w:cs="仿宋"/>
          <w:color w:val="auto"/>
          <w:szCs w:val="24"/>
          <w:highlight w:val="none"/>
          <w:u w:val="single"/>
        </w:rPr>
        <w:t xml:space="preserve"> （采购文件中明确的所属行业） </w:t>
      </w:r>
      <w:r>
        <w:rPr>
          <w:rFonts w:hint="eastAsia" w:ascii="仿宋" w:hAnsi="仿宋" w:eastAsia="仿宋" w:cs="仿宋"/>
          <w:color w:val="auto"/>
          <w:szCs w:val="24"/>
          <w:highlight w:val="none"/>
        </w:rPr>
        <w:t>行业；制造商为</w:t>
      </w:r>
      <w:r>
        <w:rPr>
          <w:rFonts w:hint="eastAsia" w:ascii="仿宋" w:hAnsi="仿宋" w:eastAsia="仿宋" w:cs="仿宋"/>
          <w:color w:val="auto"/>
          <w:szCs w:val="24"/>
          <w:highlight w:val="none"/>
          <w:u w:val="single"/>
        </w:rPr>
        <w:t>（企业名称）</w:t>
      </w:r>
      <w:r>
        <w:rPr>
          <w:rFonts w:hint="eastAsia" w:ascii="仿宋" w:hAnsi="仿宋" w:eastAsia="仿宋" w:cs="仿宋"/>
          <w:color w:val="auto"/>
          <w:szCs w:val="24"/>
          <w:highlight w:val="none"/>
        </w:rPr>
        <w:t>，从业人员</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人，营业收入为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万元，资产总额为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万元</w:t>
      </w:r>
      <w:r>
        <w:rPr>
          <w:rFonts w:hint="eastAsia" w:ascii="仿宋" w:hAnsi="仿宋" w:eastAsia="仿宋" w:cs="仿宋"/>
          <w:color w:val="auto"/>
          <w:szCs w:val="24"/>
          <w:highlight w:val="none"/>
          <w:vertAlign w:val="superscript"/>
        </w:rPr>
        <w:t>1</w:t>
      </w:r>
      <w:r>
        <w:rPr>
          <w:rFonts w:hint="eastAsia" w:ascii="仿宋" w:hAnsi="仿宋" w:eastAsia="仿宋" w:cs="仿宋"/>
          <w:color w:val="auto"/>
          <w:szCs w:val="24"/>
          <w:highlight w:val="none"/>
        </w:rPr>
        <w:t>，属于</w:t>
      </w:r>
      <w:r>
        <w:rPr>
          <w:rFonts w:hint="eastAsia" w:ascii="仿宋" w:hAnsi="仿宋" w:eastAsia="仿宋" w:cs="仿宋"/>
          <w:color w:val="auto"/>
          <w:szCs w:val="24"/>
          <w:highlight w:val="none"/>
          <w:u w:val="single"/>
        </w:rPr>
        <w:t>（中型企业、小型企业、微型企业）</w:t>
      </w:r>
      <w:r>
        <w:rPr>
          <w:rFonts w:hint="eastAsia" w:ascii="仿宋" w:hAnsi="仿宋" w:eastAsia="仿宋" w:cs="仿宋"/>
          <w:color w:val="auto"/>
          <w:szCs w:val="24"/>
          <w:highlight w:val="none"/>
        </w:rPr>
        <w:t xml:space="preserve">； </w:t>
      </w:r>
    </w:p>
    <w:p>
      <w:pPr>
        <w:spacing w:line="560" w:lineRule="exact"/>
        <w:ind w:firstLine="720" w:firstLineChars="300"/>
        <w:rPr>
          <w:rFonts w:ascii="仿宋" w:hAnsi="仿宋" w:eastAsia="仿宋" w:cs="仿宋"/>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u w:val="single"/>
        </w:rPr>
        <w:t xml:space="preserve"> （标的名称）</w:t>
      </w:r>
      <w:r>
        <w:rPr>
          <w:rFonts w:hint="eastAsia" w:ascii="仿宋" w:hAnsi="仿宋" w:eastAsia="仿宋" w:cs="仿宋"/>
          <w:color w:val="auto"/>
          <w:szCs w:val="24"/>
          <w:highlight w:val="none"/>
        </w:rPr>
        <w:t xml:space="preserve"> ，属于</w:t>
      </w:r>
      <w:r>
        <w:rPr>
          <w:rFonts w:hint="eastAsia" w:ascii="仿宋" w:hAnsi="仿宋" w:eastAsia="仿宋" w:cs="仿宋"/>
          <w:color w:val="auto"/>
          <w:szCs w:val="24"/>
          <w:highlight w:val="none"/>
          <w:u w:val="single"/>
        </w:rPr>
        <w:t xml:space="preserve"> （采购文件中明确的所属行业） </w:t>
      </w:r>
      <w:r>
        <w:rPr>
          <w:rFonts w:hint="eastAsia" w:ascii="仿宋" w:hAnsi="仿宋" w:eastAsia="仿宋" w:cs="仿宋"/>
          <w:color w:val="auto"/>
          <w:szCs w:val="24"/>
          <w:highlight w:val="none"/>
        </w:rPr>
        <w:t>行业；制造商为</w:t>
      </w:r>
      <w:r>
        <w:rPr>
          <w:rFonts w:hint="eastAsia" w:ascii="仿宋" w:hAnsi="仿宋" w:eastAsia="仿宋" w:cs="仿宋"/>
          <w:color w:val="auto"/>
          <w:szCs w:val="24"/>
          <w:highlight w:val="none"/>
          <w:u w:val="single"/>
        </w:rPr>
        <w:t>（企业名称）</w:t>
      </w:r>
      <w:r>
        <w:rPr>
          <w:rFonts w:hint="eastAsia" w:ascii="仿宋" w:hAnsi="仿宋" w:eastAsia="仿宋" w:cs="仿宋"/>
          <w:color w:val="auto"/>
          <w:szCs w:val="24"/>
          <w:highlight w:val="none"/>
        </w:rPr>
        <w:t>，从业人员</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人，营业收入为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万元，资产总额为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万元，属于</w:t>
      </w:r>
      <w:r>
        <w:rPr>
          <w:rFonts w:hint="eastAsia" w:ascii="仿宋" w:hAnsi="仿宋" w:eastAsia="仿宋" w:cs="仿宋"/>
          <w:color w:val="auto"/>
          <w:szCs w:val="24"/>
          <w:highlight w:val="none"/>
          <w:u w:val="single"/>
        </w:rPr>
        <w:t>（中型企业、小型企业、微型企业）</w:t>
      </w:r>
      <w:r>
        <w:rPr>
          <w:rFonts w:hint="eastAsia" w:ascii="仿宋" w:hAnsi="仿宋" w:eastAsia="仿宋" w:cs="仿宋"/>
          <w:color w:val="auto"/>
          <w:szCs w:val="24"/>
          <w:highlight w:val="none"/>
        </w:rPr>
        <w:t xml:space="preserve">； </w:t>
      </w:r>
    </w:p>
    <w:p>
      <w:pPr>
        <w:spacing w:line="56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w:t>
      </w:r>
    </w:p>
    <w:p>
      <w:pPr>
        <w:pStyle w:val="10"/>
        <w:spacing w:before="105" w:line="560" w:lineRule="exact"/>
        <w:ind w:right="417" w:firstLine="645"/>
        <w:rPr>
          <w:rFonts w:ascii="仿宋" w:hAnsi="仿宋" w:eastAsia="仿宋" w:cs="仿宋"/>
          <w:color w:val="auto"/>
          <w:szCs w:val="24"/>
          <w:highlight w:val="none"/>
        </w:rPr>
      </w:pPr>
      <w:r>
        <w:rPr>
          <w:rFonts w:hint="eastAsia" w:ascii="仿宋" w:hAnsi="仿宋" w:eastAsia="仿宋" w:cs="仿宋"/>
          <w:color w:val="auto"/>
          <w:szCs w:val="24"/>
          <w:highlight w:val="none"/>
        </w:rPr>
        <w:t>以上企业，不属于大企业的分支机构，不存在控股股东为大企业的情形，也不存在与大企业的负责人为同一人的情形。</w:t>
      </w:r>
    </w:p>
    <w:p>
      <w:pPr>
        <w:pStyle w:val="10"/>
        <w:spacing w:line="560" w:lineRule="exact"/>
        <w:ind w:right="372" w:firstLine="645"/>
        <w:rPr>
          <w:rFonts w:ascii="仿宋" w:hAnsi="仿宋" w:eastAsia="仿宋" w:cs="仿宋"/>
          <w:color w:val="auto"/>
          <w:szCs w:val="24"/>
          <w:highlight w:val="none"/>
        </w:rPr>
      </w:pPr>
      <w:r>
        <w:rPr>
          <w:rFonts w:hint="eastAsia" w:ascii="仿宋" w:hAnsi="仿宋" w:eastAsia="仿宋" w:cs="仿宋"/>
          <w:color w:val="auto"/>
          <w:szCs w:val="24"/>
          <w:highlight w:val="none"/>
        </w:rPr>
        <w:t>本企业对上述声明内容的真实性负责。如有虚假，将依法承担相应责任。</w:t>
      </w:r>
    </w:p>
    <w:p>
      <w:pPr>
        <w:pStyle w:val="10"/>
        <w:spacing w:before="35" w:line="560" w:lineRule="exact"/>
        <w:ind w:left="4060" w:right="2166" w:firstLine="240" w:firstLineChars="100"/>
        <w:rPr>
          <w:rFonts w:ascii="仿宋" w:hAnsi="仿宋" w:eastAsia="仿宋" w:cs="仿宋"/>
          <w:color w:val="auto"/>
          <w:szCs w:val="24"/>
          <w:highlight w:val="none"/>
        </w:rPr>
      </w:pPr>
      <w:r>
        <w:rPr>
          <w:rFonts w:hint="eastAsia" w:ascii="仿宋" w:hAnsi="仿宋" w:eastAsia="仿宋" w:cs="仿宋"/>
          <w:color w:val="auto"/>
          <w:szCs w:val="24"/>
          <w:highlight w:val="none"/>
        </w:rPr>
        <w:t>企业名称（盖章）：</w:t>
      </w:r>
    </w:p>
    <w:p>
      <w:pPr>
        <w:pStyle w:val="10"/>
        <w:spacing w:before="35" w:line="560" w:lineRule="exact"/>
        <w:ind w:left="4060" w:right="2166" w:firstLine="240" w:firstLineChars="100"/>
        <w:rPr>
          <w:rFonts w:ascii="仿宋" w:hAnsi="仿宋" w:eastAsia="仿宋" w:cs="仿宋"/>
          <w:color w:val="auto"/>
          <w:szCs w:val="24"/>
          <w:highlight w:val="none"/>
        </w:rPr>
      </w:pPr>
      <w:r>
        <w:rPr>
          <w:rFonts w:hint="eastAsia" w:ascii="仿宋" w:hAnsi="仿宋" w:eastAsia="仿宋" w:cs="仿宋"/>
          <w:color w:val="auto"/>
          <w:szCs w:val="24"/>
          <w:highlight w:val="none"/>
        </w:rPr>
        <w:t>日期：</w:t>
      </w:r>
    </w:p>
    <w:p>
      <w:pPr>
        <w:rPr>
          <w:rFonts w:ascii="仿宋" w:hAnsi="仿宋" w:eastAsia="仿宋" w:cs="仿宋"/>
          <w:color w:val="auto"/>
          <w:highlight w:val="none"/>
        </w:rPr>
      </w:pPr>
      <w:r>
        <w:rPr>
          <w:rFonts w:ascii="仿宋" w:hAnsi="仿宋" w:eastAsia="仿宋" w:cs="仿宋"/>
          <w:color w:val="auto"/>
          <w:highlight w:val="none"/>
        </w:rPr>
        <mc:AlternateContent>
          <mc:Choice Requires="wps">
            <w:drawing>
              <wp:anchor distT="0" distB="0" distL="0" distR="0" simplePos="0" relativeHeight="251659264" behindDoc="1" locked="0" layoutInCell="1" allowOverlap="1">
                <wp:simplePos x="0" y="0"/>
                <wp:positionH relativeFrom="page">
                  <wp:posOffset>1200785</wp:posOffset>
                </wp:positionH>
                <wp:positionV relativeFrom="page">
                  <wp:posOffset>8739505</wp:posOffset>
                </wp:positionV>
                <wp:extent cx="5016500" cy="366395"/>
                <wp:effectExtent l="0" t="0" r="0" b="0"/>
                <wp:wrapNone/>
                <wp:docPr id="1032" name="文本框 15"/>
                <wp:cNvGraphicFramePr/>
                <a:graphic xmlns:a="http://schemas.openxmlformats.org/drawingml/2006/main">
                  <a:graphicData uri="http://schemas.microsoft.com/office/word/2010/wordprocessingShape">
                    <wps:wsp>
                      <wps:cNvSpPr/>
                      <wps:spPr>
                        <a:xfrm>
                          <a:off x="0" y="0"/>
                          <a:ext cx="5016500" cy="366394"/>
                        </a:xfrm>
                        <a:prstGeom prst="rect">
                          <a:avLst/>
                        </a:prstGeom>
                        <a:ln>
                          <a:noFill/>
                        </a:ln>
                      </wps:spPr>
                      <wps:txbx>
                        <w:txbxContent>
                          <w:p>
                            <w:pPr>
                              <w:spacing w:before="5"/>
                              <w:ind w:left="20"/>
                              <w:jc w:val="left"/>
                              <w:rPr>
                                <w:rFonts w:ascii="宋体" w:eastAsia="宋体"/>
                                <w:sz w:val="18"/>
                              </w:rPr>
                            </w:pPr>
                            <w:r>
                              <w:rPr>
                                <w:rFonts w:hint="eastAsia" w:ascii="楷体" w:hAnsi="楷体" w:eastAsia="楷体" w:cs="楷体"/>
                                <w:position w:val="6"/>
                                <w:sz w:val="11"/>
                              </w:rPr>
                              <w:t>1</w:t>
                            </w:r>
                            <w:r>
                              <w:rPr>
                                <w:rFonts w:hint="eastAsia" w:ascii="楷体" w:hAnsi="楷体" w:eastAsia="楷体" w:cs="楷体"/>
                                <w:sz w:val="18"/>
                              </w:rPr>
                              <w:t>从业人员、营业收入、资产总额填报上一年度数据，无上一年度数据的新成立企业可不填报。</w:t>
                            </w:r>
                          </w:p>
                          <w:p>
                            <w:pPr>
                              <w:spacing w:before="8"/>
                              <w:ind w:left="866"/>
                              <w:jc w:val="center"/>
                              <w:rPr>
                                <w:rFonts w:ascii="Calibri"/>
                                <w:sz w:val="18"/>
                              </w:rPr>
                            </w:pPr>
                          </w:p>
                        </w:txbxContent>
                      </wps:txbx>
                      <wps:bodyPr lIns="0" tIns="0" rIns="0" bIns="0" upright="1"/>
                    </wps:wsp>
                  </a:graphicData>
                </a:graphic>
              </wp:anchor>
            </w:drawing>
          </mc:Choice>
          <mc:Fallback>
            <w:pict>
              <v:rect id="文本框 15" o:spid="_x0000_s1026" o:spt="1" style="position:absolute;left:0pt;margin-left:94.55pt;margin-top:688.15pt;height:28.85pt;width:395pt;mso-position-horizontal-relative:page;mso-position-vertical-relative:page;z-index:-251657216;mso-width-relative:page;mso-height-relative:page;" filled="f" stroked="f" coordsize="21600,21600" o:gfxdata="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nBOvt3AAAAA0BAAAPAAAAAAAAAAEAIAAAACIAAABkcnMvZG93bnJldi54bWxQSwECFAAU&#10;AAAACACHTuJAkeLXvLQBAABhAwAADgAAAAAAAAABACAAAAArAQAAZHJzL2Uyb0RvYy54bWxQSwUG&#10;AAAAAAYABgBZAQAAUQUAAAAA&#10;">
                <v:fill on="f" focussize="0,0"/>
                <v:stroke on="f"/>
                <v:imagedata o:title=""/>
                <o:lock v:ext="edit" aspectratio="f"/>
                <v:textbox inset="0mm,0mm,0mm,0mm">
                  <w:txbxContent>
                    <w:p>
                      <w:pPr>
                        <w:spacing w:before="5"/>
                        <w:ind w:left="20"/>
                        <w:jc w:val="left"/>
                        <w:rPr>
                          <w:rFonts w:ascii="宋体" w:eastAsia="宋体"/>
                          <w:sz w:val="18"/>
                        </w:rPr>
                      </w:pPr>
                      <w:r>
                        <w:rPr>
                          <w:rFonts w:hint="eastAsia" w:ascii="楷体" w:hAnsi="楷体" w:eastAsia="楷体" w:cs="楷体"/>
                          <w:position w:val="6"/>
                          <w:sz w:val="11"/>
                        </w:rPr>
                        <w:t>1</w:t>
                      </w:r>
                      <w:r>
                        <w:rPr>
                          <w:rFonts w:hint="eastAsia" w:ascii="楷体" w:hAnsi="楷体" w:eastAsia="楷体" w:cs="楷体"/>
                          <w:sz w:val="18"/>
                        </w:rPr>
                        <w:t>从业人员、营业收入、资产总额填报上一年度数据，无上一年度数据的新成立企业可不填报。</w:t>
                      </w:r>
                    </w:p>
                    <w:p>
                      <w:pPr>
                        <w:spacing w:before="8"/>
                        <w:ind w:left="866"/>
                        <w:jc w:val="center"/>
                        <w:rPr>
                          <w:rFonts w:ascii="Calibri"/>
                          <w:sz w:val="18"/>
                        </w:rPr>
                      </w:pPr>
                    </w:p>
                  </w:txbxContent>
                </v:textbox>
              </v:rect>
            </w:pict>
          </mc:Fallback>
        </mc:AlternateContent>
      </w:r>
    </w:p>
    <w:p>
      <w:pPr>
        <w:rPr>
          <w:rFonts w:ascii="仿宋" w:hAnsi="仿宋" w:eastAsia="仿宋" w:cs="仿宋"/>
          <w:color w:val="auto"/>
          <w:szCs w:val="24"/>
          <w:highlight w:val="none"/>
        </w:rPr>
      </w:pPr>
    </w:p>
    <w:p>
      <w:pPr>
        <w:spacing w:line="480" w:lineRule="exact"/>
        <w:ind w:firstLine="241" w:firstLineChars="100"/>
        <w:rPr>
          <w:rFonts w:ascii="仿宋" w:hAnsi="仿宋" w:eastAsia="仿宋" w:cs="仿宋"/>
          <w:b/>
          <w:color w:val="auto"/>
          <w:highlight w:val="none"/>
        </w:rPr>
      </w:pPr>
    </w:p>
    <w:p>
      <w:pPr>
        <w:pStyle w:val="10"/>
        <w:rPr>
          <w:rFonts w:ascii="仿宋" w:hAnsi="仿宋" w:eastAsia="仿宋" w:cs="仿宋"/>
          <w:color w:val="auto"/>
          <w:highlight w:val="none"/>
        </w:rPr>
        <w:sectPr>
          <w:footerReference r:id="rId21" w:type="default"/>
          <w:pgSz w:w="11910" w:h="16840"/>
          <w:pgMar w:top="1500" w:right="1380" w:bottom="1780" w:left="1580" w:header="1587" w:footer="1595" w:gutter="0"/>
          <w:cols w:space="720" w:num="1"/>
        </w:sectPr>
      </w:pPr>
    </w:p>
    <w:p>
      <w:pPr>
        <w:pStyle w:val="40"/>
        <w:spacing w:line="560" w:lineRule="exact"/>
        <w:ind w:firstLine="174" w:firstLineChars="62"/>
        <w:outlineLvl w:val="1"/>
        <w:rPr>
          <w:rFonts w:ascii="仿宋" w:hAnsi="仿宋" w:eastAsia="仿宋" w:cs="仿宋"/>
          <w:b/>
          <w:bCs/>
          <w:color w:val="auto"/>
          <w:szCs w:val="28"/>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6</w:t>
      </w:r>
      <w:r>
        <w:rPr>
          <w:rFonts w:hint="eastAsia" w:ascii="仿宋" w:hAnsi="仿宋" w:eastAsia="仿宋" w:cs="仿宋"/>
          <w:b/>
          <w:bCs/>
          <w:color w:val="auto"/>
          <w:szCs w:val="28"/>
          <w:highlight w:val="none"/>
        </w:rPr>
        <w:t>.《残疾人福利性单位声明函》</w:t>
      </w:r>
      <w:r>
        <w:rPr>
          <w:rFonts w:hint="eastAsia" w:ascii="仿宋" w:hAnsi="仿宋" w:eastAsia="仿宋" w:cs="仿宋"/>
          <w:color w:val="auto"/>
          <w:sz w:val="24"/>
          <w:szCs w:val="24"/>
          <w:highlight w:val="none"/>
        </w:rPr>
        <w:t>（格式，若有）</w:t>
      </w:r>
    </w:p>
    <w:p>
      <w:pPr>
        <w:spacing w:line="560" w:lineRule="exact"/>
        <w:jc w:val="center"/>
        <w:rPr>
          <w:rFonts w:ascii="仿宋" w:hAnsi="仿宋" w:eastAsia="仿宋" w:cs="仿宋"/>
          <w:b/>
          <w:color w:val="auto"/>
          <w:spacing w:val="6"/>
          <w:szCs w:val="24"/>
          <w:highlight w:val="none"/>
        </w:rPr>
      </w:pPr>
      <w:bookmarkStart w:id="233" w:name="OLE_LINK14"/>
    </w:p>
    <w:p>
      <w:pPr>
        <w:spacing w:line="560" w:lineRule="exact"/>
        <w:jc w:val="center"/>
        <w:outlineLvl w:val="2"/>
        <w:rPr>
          <w:rFonts w:ascii="仿宋" w:hAnsi="仿宋" w:eastAsia="仿宋" w:cs="仿宋"/>
          <w:b/>
          <w:color w:val="auto"/>
          <w:spacing w:val="6"/>
          <w:szCs w:val="24"/>
          <w:highlight w:val="none"/>
        </w:rPr>
      </w:pPr>
      <w:r>
        <w:rPr>
          <w:rFonts w:hint="eastAsia" w:ascii="仿宋" w:hAnsi="仿宋" w:eastAsia="仿宋" w:cs="仿宋"/>
          <w:b/>
          <w:color w:val="auto"/>
          <w:spacing w:val="6"/>
          <w:szCs w:val="24"/>
          <w:highlight w:val="none"/>
        </w:rPr>
        <w:t>残疾人福利性单位声明函</w:t>
      </w:r>
      <w:r>
        <w:rPr>
          <w:rFonts w:hint="eastAsia" w:ascii="仿宋" w:hAnsi="仿宋" w:eastAsia="仿宋" w:cs="仿宋"/>
          <w:b/>
          <w:color w:val="auto"/>
          <w:spacing w:val="6"/>
          <w:sz w:val="22"/>
          <w:highlight w:val="none"/>
          <w:lang w:val="zh-CN"/>
        </w:rPr>
        <w:t>（非</w:t>
      </w:r>
      <w:r>
        <w:rPr>
          <w:rFonts w:hint="eastAsia" w:ascii="仿宋" w:hAnsi="仿宋" w:eastAsia="仿宋" w:cs="仿宋"/>
          <w:b/>
          <w:color w:val="auto"/>
          <w:spacing w:val="6"/>
          <w:sz w:val="22"/>
          <w:highlight w:val="none"/>
        </w:rPr>
        <w:t>残疾人福利企业</w:t>
      </w:r>
      <w:r>
        <w:rPr>
          <w:rFonts w:hint="eastAsia" w:ascii="仿宋" w:hAnsi="仿宋" w:eastAsia="仿宋" w:cs="仿宋"/>
          <w:b/>
          <w:color w:val="auto"/>
          <w:spacing w:val="6"/>
          <w:sz w:val="22"/>
          <w:highlight w:val="none"/>
          <w:lang w:val="zh-CN"/>
        </w:rPr>
        <w:t>不</w:t>
      </w:r>
      <w:r>
        <w:rPr>
          <w:rFonts w:hint="eastAsia" w:ascii="仿宋" w:hAnsi="仿宋" w:eastAsia="仿宋" w:cs="仿宋"/>
          <w:b/>
          <w:color w:val="auto"/>
          <w:spacing w:val="6"/>
          <w:sz w:val="22"/>
          <w:highlight w:val="none"/>
        </w:rPr>
        <w:t>填写</w:t>
      </w:r>
      <w:r>
        <w:rPr>
          <w:rFonts w:hint="eastAsia" w:ascii="仿宋" w:hAnsi="仿宋" w:eastAsia="仿宋" w:cs="仿宋"/>
          <w:b/>
          <w:color w:val="auto"/>
          <w:spacing w:val="6"/>
          <w:sz w:val="22"/>
          <w:highlight w:val="none"/>
          <w:lang w:val="zh-CN"/>
        </w:rPr>
        <w:t>）</w:t>
      </w:r>
    </w:p>
    <w:bookmarkEnd w:id="233"/>
    <w:p>
      <w:pPr>
        <w:spacing w:line="560" w:lineRule="exact"/>
        <w:rPr>
          <w:rFonts w:ascii="仿宋" w:hAnsi="仿宋" w:eastAsia="仿宋" w:cs="仿宋"/>
          <w:b/>
          <w:color w:val="auto"/>
          <w:spacing w:val="6"/>
          <w:szCs w:val="24"/>
          <w:highlight w:val="none"/>
        </w:rPr>
      </w:pPr>
    </w:p>
    <w:p>
      <w:pPr>
        <w:spacing w:line="560" w:lineRule="exact"/>
        <w:ind w:firstLine="504" w:firstLineChars="200"/>
        <w:rPr>
          <w:rFonts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本单位郑重声明，根据《财政部 民政部 中国残疾人联合会关于促进残疾人就业政府采购政策的通知》（财库</w:t>
      </w:r>
      <w:r>
        <w:rPr>
          <w:rFonts w:hint="eastAsia" w:ascii="仿宋" w:hAnsi="仿宋" w:eastAsia="仿宋" w:cs="仿宋"/>
          <w:color w:val="auto"/>
          <w:szCs w:val="24"/>
          <w:highlight w:val="none"/>
        </w:rPr>
        <w:t>〔2017〕 141</w:t>
      </w:r>
      <w:r>
        <w:rPr>
          <w:rFonts w:hint="eastAsia" w:ascii="仿宋" w:hAnsi="仿宋" w:eastAsia="仿宋" w:cs="仿宋"/>
          <w:color w:val="auto"/>
          <w:spacing w:val="6"/>
          <w:szCs w:val="24"/>
          <w:highlight w:val="none"/>
        </w:rPr>
        <w:t>号）的规定，本单位为符合条件的残疾人福利性单位，且本单位参加</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单位的</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项目采购活动提供本单位制造的货物（由本单位承担工程/提供服务），或者提供其他残疾人福利性单位制造的货物（不包括使用非残疾人福利性单位注册商标的货物）。</w:t>
      </w:r>
    </w:p>
    <w:p>
      <w:pPr>
        <w:spacing w:line="560" w:lineRule="exact"/>
        <w:ind w:firstLine="504" w:firstLineChars="200"/>
        <w:rPr>
          <w:rFonts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本单位对上述声明的真实性负责。如有虚假，将依法承担相应责任。</w:t>
      </w:r>
    </w:p>
    <w:p>
      <w:pPr>
        <w:spacing w:line="560" w:lineRule="exact"/>
        <w:ind w:firstLine="504" w:firstLineChars="200"/>
        <w:rPr>
          <w:rFonts w:ascii="仿宋" w:hAnsi="仿宋" w:eastAsia="仿宋" w:cs="仿宋"/>
          <w:color w:val="auto"/>
          <w:spacing w:val="6"/>
          <w:szCs w:val="24"/>
          <w:highlight w:val="none"/>
        </w:rPr>
      </w:pPr>
    </w:p>
    <w:p>
      <w:pPr>
        <w:spacing w:line="560" w:lineRule="exact"/>
        <w:ind w:firstLine="504" w:firstLineChars="200"/>
        <w:rPr>
          <w:rFonts w:ascii="仿宋" w:hAnsi="仿宋" w:eastAsia="仿宋" w:cs="仿宋"/>
          <w:color w:val="auto"/>
          <w:spacing w:val="6"/>
          <w:szCs w:val="24"/>
          <w:highlight w:val="none"/>
        </w:rPr>
      </w:pPr>
    </w:p>
    <w:p>
      <w:pPr>
        <w:tabs>
          <w:tab w:val="left" w:pos="4860"/>
        </w:tabs>
        <w:spacing w:line="560" w:lineRule="exact"/>
        <w:ind w:right="1560" w:firstLine="504" w:firstLineChars="200"/>
        <w:jc w:val="center"/>
        <w:rPr>
          <w:rFonts w:ascii="仿宋" w:hAnsi="仿宋" w:eastAsia="仿宋" w:cs="仿宋"/>
          <w:color w:val="auto"/>
          <w:spacing w:val="6"/>
          <w:szCs w:val="24"/>
          <w:highlight w:val="none"/>
          <w:u w:val="single"/>
        </w:rPr>
      </w:pPr>
      <w:r>
        <w:rPr>
          <w:rFonts w:hint="eastAsia" w:ascii="仿宋" w:hAnsi="仿宋" w:eastAsia="仿宋" w:cs="仿宋"/>
          <w:color w:val="auto"/>
          <w:spacing w:val="6"/>
          <w:szCs w:val="24"/>
          <w:highlight w:val="none"/>
        </w:rPr>
        <w:t xml:space="preserve">              单位名称（盖章）：</w:t>
      </w:r>
      <w:r>
        <w:rPr>
          <w:rFonts w:hint="eastAsia" w:ascii="仿宋" w:hAnsi="仿宋" w:eastAsia="仿宋" w:cs="仿宋"/>
          <w:color w:val="auto"/>
          <w:spacing w:val="6"/>
          <w:szCs w:val="24"/>
          <w:highlight w:val="none"/>
          <w:u w:val="single"/>
        </w:rPr>
        <w:t xml:space="preserve">              </w:t>
      </w:r>
    </w:p>
    <w:p>
      <w:pPr>
        <w:tabs>
          <w:tab w:val="left" w:pos="4860"/>
        </w:tabs>
        <w:spacing w:line="560" w:lineRule="exact"/>
        <w:ind w:right="1560" w:firstLine="504" w:firstLineChars="200"/>
        <w:jc w:val="center"/>
        <w:rPr>
          <w:rFonts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日  期：</w:t>
      </w:r>
      <w:r>
        <w:rPr>
          <w:rFonts w:hint="eastAsia" w:ascii="仿宋" w:hAnsi="仿宋" w:eastAsia="仿宋" w:cs="仿宋"/>
          <w:color w:val="auto"/>
          <w:spacing w:val="6"/>
          <w:szCs w:val="24"/>
          <w:highlight w:val="none"/>
          <w:u w:val="single"/>
        </w:rPr>
        <w:t xml:space="preserve">            </w:t>
      </w:r>
    </w:p>
    <w:p>
      <w:pPr>
        <w:spacing w:line="480" w:lineRule="exact"/>
        <w:rPr>
          <w:rFonts w:ascii="仿宋" w:hAnsi="仿宋" w:eastAsia="仿宋" w:cs="仿宋"/>
          <w:b/>
          <w:color w:val="auto"/>
          <w:highlight w:val="none"/>
        </w:rPr>
      </w:pPr>
    </w:p>
    <w:p>
      <w:pPr>
        <w:spacing w:line="480" w:lineRule="exact"/>
        <w:rPr>
          <w:rFonts w:ascii="仿宋" w:hAnsi="仿宋" w:eastAsia="仿宋" w:cs="仿宋"/>
          <w:b/>
          <w:color w:val="auto"/>
          <w:highlight w:val="none"/>
        </w:rPr>
      </w:pPr>
    </w:p>
    <w:p>
      <w:pPr>
        <w:spacing w:line="480" w:lineRule="exact"/>
        <w:rPr>
          <w:rFonts w:ascii="仿宋" w:hAnsi="仿宋" w:eastAsia="仿宋" w:cs="仿宋"/>
          <w:b/>
          <w:color w:val="auto"/>
          <w:highlight w:val="none"/>
        </w:rPr>
      </w:pPr>
    </w:p>
    <w:p>
      <w:pPr>
        <w:spacing w:line="360" w:lineRule="auto"/>
        <w:ind w:firstLine="422" w:firstLineChars="200"/>
        <w:rPr>
          <w:rFonts w:ascii="仿宋" w:hAnsi="仿宋" w:eastAsia="仿宋" w:cs="仿宋"/>
          <w:b/>
          <w:color w:val="auto"/>
          <w:kern w:val="0"/>
          <w:sz w:val="21"/>
          <w:szCs w:val="20"/>
          <w:highlight w:val="none"/>
          <w:lang w:val="zh-CN"/>
        </w:rPr>
      </w:pPr>
      <w:r>
        <w:rPr>
          <w:rFonts w:hint="eastAsia" w:ascii="仿宋" w:hAnsi="仿宋" w:eastAsia="仿宋" w:cs="仿宋"/>
          <w:b/>
          <w:color w:val="auto"/>
          <w:kern w:val="0"/>
          <w:sz w:val="21"/>
          <w:szCs w:val="20"/>
          <w:highlight w:val="none"/>
          <w:lang w:val="zh-CN"/>
        </w:rPr>
        <w:t>备注：投标人提供的《残疾人福利性单位声明函》必须真实有效，如果被举报经查实出具虚假声明函的，将被取消投标资格，并按有关规定予以处理。</w:t>
      </w:r>
    </w:p>
    <w:p>
      <w:pPr>
        <w:tabs>
          <w:tab w:val="left" w:pos="4860"/>
        </w:tabs>
        <w:spacing w:line="560" w:lineRule="exact"/>
        <w:ind w:right="1560" w:firstLine="504" w:firstLineChars="200"/>
        <w:jc w:val="center"/>
        <w:rPr>
          <w:rFonts w:ascii="仿宋" w:hAnsi="仿宋" w:eastAsia="仿宋" w:cs="仿宋"/>
          <w:color w:val="auto"/>
          <w:spacing w:val="6"/>
          <w:szCs w:val="24"/>
          <w:highlight w:val="none"/>
        </w:rPr>
      </w:pPr>
      <w:r>
        <w:rPr>
          <w:rFonts w:hint="eastAsia" w:ascii="仿宋" w:hAnsi="仿宋" w:eastAsia="仿宋" w:cs="仿宋"/>
          <w:color w:val="auto"/>
          <w:spacing w:val="6"/>
          <w:szCs w:val="24"/>
          <w:highlight w:val="none"/>
        </w:rPr>
        <w:br w:type="page"/>
      </w:r>
    </w:p>
    <w:p>
      <w:pPr>
        <w:pStyle w:val="40"/>
        <w:spacing w:line="560" w:lineRule="exact"/>
        <w:ind w:firstLine="0" w:firstLineChars="0"/>
        <w:outlineLvl w:val="1"/>
        <w:rPr>
          <w:rFonts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17</w:t>
      </w:r>
      <w:r>
        <w:rPr>
          <w:rFonts w:hint="eastAsia" w:ascii="仿宋" w:hAnsi="仿宋" w:eastAsia="仿宋" w:cs="仿宋"/>
          <w:b/>
          <w:bCs/>
          <w:color w:val="auto"/>
          <w:szCs w:val="28"/>
          <w:highlight w:val="none"/>
        </w:rPr>
        <w:t>.《监狱、戒毒企业声明函》</w:t>
      </w:r>
      <w:r>
        <w:rPr>
          <w:rFonts w:hint="eastAsia" w:ascii="仿宋" w:hAnsi="仿宋" w:eastAsia="仿宋" w:cs="仿宋"/>
          <w:color w:val="auto"/>
          <w:sz w:val="24"/>
          <w:szCs w:val="24"/>
          <w:highlight w:val="none"/>
        </w:rPr>
        <w:t>（格式，若有）</w:t>
      </w:r>
    </w:p>
    <w:p>
      <w:pPr>
        <w:snapToGrid w:val="0"/>
        <w:spacing w:line="640" w:lineRule="exact"/>
        <w:ind w:firstLine="1512" w:firstLineChars="600"/>
        <w:rPr>
          <w:rFonts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snapToGrid w:val="0"/>
        <w:spacing w:line="640" w:lineRule="exact"/>
        <w:ind w:firstLine="1687" w:firstLineChars="600"/>
        <w:outlineLvl w:val="0"/>
        <w:rPr>
          <w:rFonts w:ascii="仿宋" w:hAnsi="仿宋" w:eastAsia="仿宋" w:cs="仿宋"/>
          <w:b/>
          <w:color w:val="auto"/>
          <w:spacing w:val="6"/>
          <w:sz w:val="21"/>
          <w:szCs w:val="21"/>
          <w:highlight w:val="none"/>
          <w:u w:val="double"/>
          <w:lang w:val="zh-CN"/>
        </w:rPr>
      </w:pPr>
      <w:r>
        <w:rPr>
          <w:rFonts w:hint="eastAsia" w:ascii="仿宋" w:hAnsi="仿宋" w:eastAsia="仿宋" w:cs="仿宋"/>
          <w:b/>
          <w:color w:val="auto"/>
          <w:kern w:val="0"/>
          <w:sz w:val="28"/>
          <w:szCs w:val="28"/>
          <w:highlight w:val="none"/>
          <w:lang w:val="zh-CN"/>
        </w:rPr>
        <w:t>监狱、戒毒企业声明函</w:t>
      </w:r>
      <w:r>
        <w:rPr>
          <w:rFonts w:hint="eastAsia" w:ascii="仿宋" w:hAnsi="仿宋" w:eastAsia="仿宋" w:cs="仿宋"/>
          <w:b/>
          <w:color w:val="auto"/>
          <w:spacing w:val="6"/>
          <w:sz w:val="21"/>
          <w:szCs w:val="21"/>
          <w:highlight w:val="none"/>
          <w:lang w:val="zh-CN"/>
        </w:rPr>
        <w:t>（非监狱、戒毒企业不填写）</w:t>
      </w:r>
    </w:p>
    <w:p>
      <w:pPr>
        <w:spacing w:line="640" w:lineRule="exact"/>
        <w:ind w:firstLine="504" w:firstLineChars="200"/>
        <w:rPr>
          <w:rFonts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spacing w:line="64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本单位郑重声明，根据《</w:t>
      </w:r>
      <w:r>
        <w:rPr>
          <w:rFonts w:hint="eastAsia" w:ascii="仿宋" w:hAnsi="仿宋" w:eastAsia="仿宋" w:cs="仿宋"/>
          <w:color w:val="auto"/>
          <w:spacing w:val="-4"/>
          <w:kern w:val="0"/>
          <w:highlight w:val="none"/>
        </w:rPr>
        <w:t>财政部 司法部 关于政府采购支持监狱企业发展有关问题的通知</w:t>
      </w:r>
      <w:r>
        <w:rPr>
          <w:rFonts w:hint="eastAsia" w:ascii="仿宋" w:hAnsi="仿宋" w:eastAsia="仿宋" w:cs="仿宋"/>
          <w:color w:val="auto"/>
          <w:highlight w:val="none"/>
        </w:rPr>
        <w:t>》（财库〔2014〕68号）的规定，本单位为符合条件的监狱、戒毒企业，且本单位参加的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pPr>
        <w:spacing w:line="640" w:lineRule="exact"/>
        <w:ind w:firstLine="480" w:firstLineChars="200"/>
        <w:rPr>
          <w:rFonts w:ascii="仿宋" w:hAnsi="仿宋" w:eastAsia="仿宋" w:cs="仿宋"/>
          <w:color w:val="auto"/>
          <w:highlight w:val="none"/>
        </w:rPr>
      </w:pPr>
    </w:p>
    <w:p>
      <w:pPr>
        <w:spacing w:line="640" w:lineRule="exact"/>
        <w:ind w:firstLine="480" w:firstLineChars="200"/>
        <w:rPr>
          <w:rFonts w:ascii="仿宋" w:hAnsi="仿宋" w:eastAsia="仿宋" w:cs="仿宋"/>
          <w:color w:val="auto"/>
          <w:highlight w:val="none"/>
        </w:rPr>
      </w:pPr>
    </w:p>
    <w:p>
      <w:pPr>
        <w:tabs>
          <w:tab w:val="left" w:pos="4860"/>
          <w:tab w:val="left" w:pos="8040"/>
          <w:tab w:val="left" w:pos="8160"/>
        </w:tabs>
        <w:spacing w:line="640" w:lineRule="exact"/>
        <w:ind w:right="862" w:firstLine="480" w:firstLineChars="200"/>
        <w:jc w:val="center"/>
        <w:rPr>
          <w:rFonts w:ascii="仿宋" w:hAnsi="仿宋" w:eastAsia="仿宋" w:cs="仿宋"/>
          <w:color w:val="auto"/>
          <w:highlight w:val="none"/>
          <w:u w:val="single"/>
        </w:rPr>
      </w:pPr>
      <w:r>
        <w:rPr>
          <w:rFonts w:hint="eastAsia" w:ascii="仿宋" w:hAnsi="仿宋" w:eastAsia="仿宋" w:cs="仿宋"/>
          <w:color w:val="auto"/>
          <w:highlight w:val="none"/>
        </w:rPr>
        <w:t xml:space="preserve">            投标人全称（公章）：</w:t>
      </w:r>
      <w:r>
        <w:rPr>
          <w:rFonts w:hint="eastAsia" w:ascii="仿宋" w:hAnsi="仿宋" w:eastAsia="仿宋" w:cs="仿宋"/>
          <w:color w:val="auto"/>
          <w:highlight w:val="none"/>
          <w:u w:val="single"/>
        </w:rPr>
        <w:t xml:space="preserve">                   </w:t>
      </w:r>
    </w:p>
    <w:p>
      <w:pPr>
        <w:tabs>
          <w:tab w:val="left" w:pos="4860"/>
        </w:tabs>
        <w:spacing w:line="640" w:lineRule="exact"/>
        <w:ind w:right="1560" w:firstLine="480" w:firstLineChars="200"/>
        <w:jc w:val="center"/>
        <w:rPr>
          <w:rFonts w:ascii="仿宋" w:hAnsi="仿宋" w:eastAsia="仿宋" w:cs="仿宋"/>
          <w:color w:val="auto"/>
          <w:highlight w:val="non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spacing w:line="360" w:lineRule="auto"/>
        <w:ind w:firstLine="504" w:firstLineChars="200"/>
        <w:rPr>
          <w:rFonts w:ascii="仿宋" w:hAnsi="仿宋" w:eastAsia="仿宋" w:cs="仿宋"/>
          <w:bCs/>
          <w:color w:val="auto"/>
          <w:spacing w:val="6"/>
          <w:highlight w:val="none"/>
          <w:shd w:val="pct10" w:color="auto" w:fill="FFFFFF"/>
        </w:rPr>
      </w:pPr>
    </w:p>
    <w:p>
      <w:pPr>
        <w:spacing w:line="360" w:lineRule="auto"/>
        <w:ind w:firstLine="444" w:firstLineChars="200"/>
        <w:rPr>
          <w:rFonts w:ascii="仿宋" w:hAnsi="仿宋" w:eastAsia="仿宋" w:cs="仿宋"/>
          <w:bCs/>
          <w:color w:val="auto"/>
          <w:spacing w:val="6"/>
          <w:sz w:val="21"/>
          <w:szCs w:val="20"/>
          <w:highlight w:val="none"/>
          <w:shd w:val="pct10" w:color="auto" w:fill="FFFFFF"/>
        </w:rPr>
      </w:pPr>
    </w:p>
    <w:p>
      <w:pPr>
        <w:pStyle w:val="10"/>
        <w:rPr>
          <w:rFonts w:ascii="仿宋" w:hAnsi="仿宋" w:eastAsia="仿宋" w:cs="仿宋"/>
          <w:bCs/>
          <w:color w:val="auto"/>
          <w:spacing w:val="6"/>
          <w:sz w:val="21"/>
          <w:szCs w:val="20"/>
          <w:highlight w:val="none"/>
          <w:shd w:val="pct10" w:color="auto" w:fill="FFFFFF"/>
        </w:rPr>
      </w:pPr>
    </w:p>
    <w:p>
      <w:pPr>
        <w:rPr>
          <w:color w:val="auto"/>
          <w:highlight w:val="none"/>
        </w:rPr>
      </w:pPr>
    </w:p>
    <w:p>
      <w:pPr>
        <w:rPr>
          <w:rFonts w:ascii="仿宋" w:hAnsi="仿宋" w:eastAsia="仿宋" w:cs="仿宋"/>
          <w:color w:val="auto"/>
          <w:sz w:val="28"/>
          <w:szCs w:val="28"/>
          <w:highlight w:val="none"/>
        </w:rPr>
        <w:sectPr>
          <w:headerReference r:id="rId22" w:type="first"/>
          <w:footerReference r:id="rId23" w:type="first"/>
          <w:pgSz w:w="11907" w:h="16840"/>
          <w:pgMar w:top="1417" w:right="1134" w:bottom="1417" w:left="1304" w:header="935" w:footer="771" w:gutter="567"/>
          <w:cols w:space="0" w:num="1"/>
          <w:titlePg/>
          <w:docGrid w:linePitch="312" w:charSpace="0"/>
        </w:sectPr>
      </w:pPr>
      <w:r>
        <w:rPr>
          <w:rFonts w:hint="eastAsia" w:ascii="仿宋" w:hAnsi="仿宋" w:eastAsia="仿宋" w:cs="仿宋"/>
          <w:b/>
          <w:color w:val="auto"/>
          <w:kern w:val="0"/>
          <w:sz w:val="21"/>
          <w:szCs w:val="20"/>
          <w:highlight w:val="none"/>
          <w:lang w:val="zh-CN"/>
        </w:rPr>
        <w:t>备注：投标人提供的《</w:t>
      </w:r>
      <w:r>
        <w:rPr>
          <w:rFonts w:hint="eastAsia" w:ascii="仿宋" w:hAnsi="仿宋" w:eastAsia="仿宋" w:cs="仿宋"/>
          <w:b/>
          <w:color w:val="auto"/>
          <w:sz w:val="21"/>
          <w:szCs w:val="20"/>
          <w:highlight w:val="none"/>
        </w:rPr>
        <w:t>监狱、戒毒企业</w:t>
      </w:r>
      <w:r>
        <w:rPr>
          <w:rFonts w:hint="eastAsia" w:ascii="仿宋" w:hAnsi="仿宋" w:eastAsia="仿宋" w:cs="仿宋"/>
          <w:b/>
          <w:color w:val="auto"/>
          <w:kern w:val="0"/>
          <w:sz w:val="21"/>
          <w:szCs w:val="20"/>
          <w:highlight w:val="none"/>
          <w:lang w:val="zh-CN"/>
        </w:rPr>
        <w:t>声明函》必须真实有效，</w:t>
      </w:r>
      <w:r>
        <w:rPr>
          <w:rFonts w:hint="eastAsia" w:ascii="仿宋" w:hAnsi="仿宋" w:eastAsia="仿宋" w:cs="仿宋"/>
          <w:b/>
          <w:color w:val="auto"/>
          <w:sz w:val="21"/>
          <w:szCs w:val="20"/>
          <w:highlight w:val="none"/>
        </w:rPr>
        <w:t>投标人应当提供由省级以上监狱管理局、戒毒管理局(含新疆生产建设兵团)出具的属于监狱企业的证明文件。</w:t>
      </w:r>
    </w:p>
    <w:p>
      <w:pPr>
        <w:jc w:val="left"/>
        <w:rPr>
          <w:color w:val="auto"/>
          <w:highlight w:val="none"/>
        </w:rPr>
      </w:pPr>
    </w:p>
    <w:p>
      <w:pPr>
        <w:spacing w:line="560" w:lineRule="exact"/>
        <w:jc w:val="center"/>
        <w:rPr>
          <w:rFonts w:ascii="仿宋" w:hAnsi="仿宋" w:eastAsia="仿宋" w:cs="仿宋"/>
          <w:b/>
          <w:color w:val="auto"/>
          <w:sz w:val="44"/>
          <w:szCs w:val="44"/>
          <w:highlight w:val="none"/>
        </w:rPr>
      </w:pPr>
    </w:p>
    <w:p>
      <w:pPr>
        <w:pStyle w:val="6"/>
        <w:outlineLvl w:val="9"/>
        <w:rPr>
          <w:rFonts w:hint="default" w:ascii="仿宋" w:hAnsi="仿宋" w:eastAsia="仿宋" w:cs="仿宋"/>
          <w:color w:val="auto"/>
          <w:highlight w:val="none"/>
          <w:lang w:val="zh-CN"/>
        </w:rPr>
      </w:pPr>
    </w:p>
    <w:p>
      <w:pPr>
        <w:pStyle w:val="6"/>
        <w:outlineLvl w:val="9"/>
        <w:rPr>
          <w:rFonts w:hint="default" w:ascii="仿宋" w:hAnsi="仿宋" w:eastAsia="仿宋" w:cs="仿宋"/>
          <w:color w:val="auto"/>
          <w:highlight w:val="none"/>
          <w:lang w:val="zh-CN"/>
        </w:rPr>
      </w:pPr>
    </w:p>
    <w:p>
      <w:pPr>
        <w:rPr>
          <w:rFonts w:ascii="仿宋" w:hAnsi="仿宋" w:eastAsia="仿宋" w:cs="仿宋"/>
          <w:color w:val="auto"/>
          <w:highlight w:val="none"/>
          <w:lang w:val="zh-CN"/>
        </w:rPr>
      </w:pPr>
    </w:p>
    <w:p>
      <w:pPr>
        <w:pStyle w:val="6"/>
        <w:outlineLvl w:val="9"/>
        <w:rPr>
          <w:rFonts w:hint="default" w:ascii="仿宋" w:hAnsi="仿宋" w:eastAsia="仿宋" w:cs="仿宋"/>
          <w:color w:val="auto"/>
          <w:highlight w:val="none"/>
          <w:lang w:val="zh-CN"/>
        </w:rPr>
      </w:pPr>
    </w:p>
    <w:p>
      <w:pPr>
        <w:rPr>
          <w:rFonts w:ascii="仿宋" w:hAnsi="仿宋" w:eastAsia="仿宋" w:cs="仿宋"/>
          <w:color w:val="auto"/>
          <w:highlight w:val="none"/>
          <w:lang w:val="zh-CN"/>
        </w:rPr>
      </w:pPr>
    </w:p>
    <w:p>
      <w:pPr>
        <w:rPr>
          <w:rFonts w:ascii="仿宋" w:hAnsi="仿宋" w:eastAsia="仿宋" w:cs="仿宋"/>
          <w:color w:val="auto"/>
          <w:highlight w:val="none"/>
          <w:lang w:val="zh-CN"/>
        </w:rPr>
      </w:pPr>
    </w:p>
    <w:p>
      <w:pPr>
        <w:pStyle w:val="6"/>
        <w:outlineLvl w:val="9"/>
        <w:rPr>
          <w:rFonts w:hint="default" w:ascii="仿宋" w:hAnsi="仿宋" w:eastAsia="仿宋" w:cs="仿宋"/>
          <w:color w:val="auto"/>
          <w:highlight w:val="none"/>
          <w:lang w:val="zh-CN"/>
        </w:rPr>
      </w:pPr>
    </w:p>
    <w:p>
      <w:pPr>
        <w:rPr>
          <w:rFonts w:ascii="仿宋" w:hAnsi="仿宋" w:eastAsia="仿宋" w:cs="仿宋"/>
          <w:color w:val="auto"/>
          <w:highlight w:val="none"/>
          <w:lang w:val="zh-CN"/>
        </w:rPr>
      </w:pPr>
    </w:p>
    <w:p>
      <w:pPr>
        <w:rPr>
          <w:rFonts w:ascii="仿宋" w:hAnsi="仿宋" w:eastAsia="仿宋" w:cs="仿宋"/>
          <w:color w:val="auto"/>
          <w:highlight w:val="none"/>
          <w:lang w:val="zh-CN"/>
        </w:rPr>
      </w:pPr>
    </w:p>
    <w:p>
      <w:pPr>
        <w:jc w:val="center"/>
        <w:rPr>
          <w:rFonts w:ascii="仿宋" w:hAnsi="仿宋" w:eastAsia="仿宋" w:cs="仿宋"/>
          <w:b/>
          <w:bCs/>
          <w:color w:val="auto"/>
          <w:sz w:val="48"/>
          <w:szCs w:val="48"/>
          <w:highlight w:val="none"/>
          <w:lang w:val="zh-CN"/>
        </w:rPr>
      </w:pPr>
    </w:p>
    <w:p>
      <w:pPr>
        <w:jc w:val="center"/>
        <w:outlineLvl w:val="0"/>
        <w:rPr>
          <w:rFonts w:ascii="仿宋" w:hAnsi="仿宋" w:eastAsia="仿宋" w:cs="仿宋"/>
          <w:b/>
          <w:bCs/>
          <w:i/>
          <w:iCs/>
          <w:color w:val="auto"/>
          <w:sz w:val="48"/>
          <w:szCs w:val="48"/>
          <w:highlight w:val="none"/>
        </w:rPr>
      </w:pPr>
      <w:r>
        <w:rPr>
          <w:rFonts w:hint="eastAsia" w:ascii="仿宋" w:hAnsi="仿宋" w:eastAsia="仿宋" w:cs="仿宋"/>
          <w:b/>
          <w:bCs/>
          <w:i/>
          <w:iCs/>
          <w:color w:val="auto"/>
          <w:sz w:val="48"/>
          <w:szCs w:val="48"/>
          <w:highlight w:val="none"/>
          <w:lang w:val="zh-CN"/>
        </w:rPr>
        <w:t>为政府采购</w:t>
      </w:r>
      <w:r>
        <w:rPr>
          <w:rFonts w:hint="eastAsia" w:ascii="仿宋" w:hAnsi="仿宋" w:eastAsia="仿宋" w:cs="仿宋"/>
          <w:b/>
          <w:bCs/>
          <w:i/>
          <w:iCs/>
          <w:color w:val="auto"/>
          <w:sz w:val="48"/>
          <w:szCs w:val="48"/>
          <w:highlight w:val="none"/>
        </w:rPr>
        <w:t xml:space="preserve">  我们更专心</w:t>
      </w:r>
    </w:p>
    <w:p>
      <w:pPr>
        <w:pStyle w:val="6"/>
        <w:outlineLvl w:val="9"/>
        <w:rPr>
          <w:rFonts w:hint="default" w:ascii="仿宋" w:hAnsi="仿宋" w:eastAsia="仿宋" w:cs="仿宋"/>
          <w:i/>
          <w:iCs/>
          <w:color w:val="auto"/>
          <w:sz w:val="28"/>
          <w:highlight w:val="none"/>
        </w:rPr>
      </w:pPr>
      <w:r>
        <w:rPr>
          <w:rFonts w:ascii="仿宋" w:hAnsi="仿宋" w:eastAsia="仿宋" w:cs="仿宋"/>
          <w:bCs/>
          <w:i/>
          <w:iCs/>
          <w:color w:val="auto"/>
          <w:sz w:val="48"/>
          <w:szCs w:val="48"/>
          <w:highlight w:val="none"/>
        </w:rPr>
        <w:t xml:space="preserve">        </w:t>
      </w:r>
      <w:r>
        <w:rPr>
          <w:rFonts w:ascii="仿宋" w:hAnsi="仿宋" w:eastAsia="仿宋" w:cs="仿宋"/>
          <w:bCs/>
          <w:i/>
          <w:iCs/>
          <w:color w:val="auto"/>
          <w:sz w:val="48"/>
          <w:szCs w:val="48"/>
          <w:highlight w:val="none"/>
          <w:u w:val="single"/>
        </w:rPr>
        <w:t xml:space="preserve">                      </w:t>
      </w:r>
      <w:r>
        <w:rPr>
          <w:rFonts w:ascii="仿宋" w:hAnsi="仿宋" w:eastAsia="仿宋" w:cs="仿宋"/>
          <w:bCs/>
          <w:i/>
          <w:iCs/>
          <w:color w:val="auto"/>
          <w:sz w:val="48"/>
          <w:szCs w:val="48"/>
          <w:highlight w:val="none"/>
        </w:rPr>
        <w:t xml:space="preserve">      </w:t>
      </w:r>
    </w:p>
    <w:p>
      <w:pPr>
        <w:pStyle w:val="6"/>
        <w:jc w:val="center"/>
        <w:outlineLvl w:val="0"/>
        <w:rPr>
          <w:rFonts w:hint="default" w:ascii="仿宋" w:hAnsi="仿宋" w:eastAsia="仿宋" w:cs="仿宋"/>
          <w:bCs/>
          <w:i/>
          <w:iCs/>
          <w:color w:val="auto"/>
          <w:sz w:val="48"/>
          <w:szCs w:val="48"/>
          <w:highlight w:val="none"/>
        </w:rPr>
      </w:pPr>
      <w:r>
        <w:rPr>
          <w:rFonts w:ascii="仿宋" w:hAnsi="仿宋" w:eastAsia="仿宋" w:cs="仿宋"/>
          <w:bCs/>
          <w:i/>
          <w:iCs/>
          <w:color w:val="auto"/>
          <w:sz w:val="48"/>
          <w:szCs w:val="48"/>
          <w:highlight w:val="none"/>
        </w:rPr>
        <w:t>做政府采购  我们更用心</w:t>
      </w:r>
    </w:p>
    <w:p>
      <w:pPr>
        <w:pStyle w:val="6"/>
        <w:outlineLvl w:val="9"/>
        <w:rPr>
          <w:rFonts w:hint="default" w:ascii="仿宋" w:hAnsi="仿宋" w:eastAsia="仿宋" w:cs="仿宋"/>
          <w:color w:val="auto"/>
          <w:highlight w:val="none"/>
          <w:lang w:val="zh-CN"/>
        </w:rPr>
      </w:pPr>
    </w:p>
    <w:p>
      <w:pPr>
        <w:rPr>
          <w:rFonts w:ascii="仿宋" w:hAnsi="仿宋" w:eastAsia="仿宋" w:cs="仿宋"/>
          <w:color w:val="auto"/>
          <w:highlight w:val="none"/>
          <w:lang w:val="zh-CN"/>
        </w:rPr>
      </w:pPr>
    </w:p>
    <w:p>
      <w:pPr>
        <w:pStyle w:val="6"/>
        <w:outlineLvl w:val="9"/>
        <w:rPr>
          <w:rFonts w:hint="default" w:ascii="仿宋" w:hAnsi="仿宋" w:eastAsia="仿宋" w:cs="仿宋"/>
          <w:color w:val="auto"/>
          <w:highlight w:val="none"/>
          <w:lang w:val="zh-CN"/>
        </w:rPr>
      </w:pPr>
    </w:p>
    <w:p>
      <w:pPr>
        <w:rPr>
          <w:rFonts w:ascii="仿宋" w:hAnsi="仿宋" w:eastAsia="仿宋" w:cs="仿宋"/>
          <w:color w:val="auto"/>
          <w:highlight w:val="none"/>
          <w:lang w:val="zh-CN"/>
        </w:rPr>
      </w:pPr>
    </w:p>
    <w:p>
      <w:pPr>
        <w:rPr>
          <w:rFonts w:ascii="仿宋" w:hAnsi="仿宋" w:eastAsia="仿宋" w:cs="仿宋"/>
          <w:color w:val="auto"/>
          <w:highlight w:val="none"/>
          <w:lang w:val="zh-CN"/>
        </w:rPr>
      </w:pPr>
    </w:p>
    <w:p>
      <w:pPr>
        <w:pStyle w:val="6"/>
        <w:outlineLvl w:val="9"/>
        <w:rPr>
          <w:rFonts w:hint="default" w:ascii="仿宋" w:hAnsi="仿宋" w:eastAsia="仿宋" w:cs="仿宋"/>
          <w:color w:val="auto"/>
          <w:highlight w:val="none"/>
          <w:lang w:val="zh-CN"/>
        </w:rPr>
      </w:pPr>
    </w:p>
    <w:p>
      <w:pPr>
        <w:rPr>
          <w:rFonts w:ascii="仿宋" w:hAnsi="仿宋" w:eastAsia="仿宋" w:cs="仿宋"/>
          <w:color w:val="auto"/>
          <w:highlight w:val="none"/>
          <w:u w:val="single"/>
          <w:lang w:val="zh-CN"/>
        </w:rPr>
      </w:pPr>
    </w:p>
    <w:p>
      <w:pPr>
        <w:pStyle w:val="6"/>
        <w:outlineLvl w:val="9"/>
        <w:rPr>
          <w:rFonts w:hint="default" w:ascii="仿宋" w:hAnsi="仿宋" w:eastAsia="仿宋" w:cs="仿宋"/>
          <w:color w:val="auto"/>
          <w:highlight w:val="none"/>
          <w:lang w:val="zh-CN"/>
        </w:rPr>
      </w:pPr>
    </w:p>
    <w:p>
      <w:pPr>
        <w:rPr>
          <w:rFonts w:ascii="仿宋" w:hAnsi="仿宋" w:eastAsia="仿宋" w:cs="仿宋"/>
          <w:color w:val="auto"/>
          <w:sz w:val="40"/>
          <w:szCs w:val="40"/>
          <w:highlight w:val="none"/>
          <w:lang w:val="zh-CN"/>
        </w:rPr>
      </w:pPr>
      <w:r>
        <w:rPr>
          <w:rFonts w:hint="eastAsia" w:ascii="仿宋" w:hAnsi="仿宋" w:eastAsia="仿宋" w:cs="仿宋"/>
          <w:color w:val="auto"/>
          <w:sz w:val="40"/>
          <w:szCs w:val="40"/>
          <w:highlight w:val="none"/>
          <w:lang w:val="zh-CN"/>
        </w:rPr>
        <w:t>华招广和项目管理有限公司</w:t>
      </w:r>
    </w:p>
    <w:p>
      <w:pPr>
        <w:pStyle w:val="6"/>
        <w:outlineLvl w:val="9"/>
        <w:rPr>
          <w:rFonts w:hint="default" w:ascii="仿宋" w:hAnsi="仿宋" w:eastAsia="仿宋" w:cs="仿宋"/>
          <w:color w:val="auto"/>
          <w:highlight w:val="none"/>
          <w:u w:val="single"/>
        </w:rPr>
      </w:pPr>
      <w:r>
        <w:rPr>
          <w:rFonts w:ascii="仿宋" w:hAnsi="仿宋" w:eastAsia="仿宋" w:cs="仿宋"/>
          <w:color w:val="auto"/>
          <w:highlight w:val="none"/>
          <w:u w:val="single"/>
        </w:rPr>
        <w:t xml:space="preserve">                                                         </w:t>
      </w:r>
    </w:p>
    <w:p>
      <w:pPr>
        <w:pStyle w:val="6"/>
        <w:autoSpaceDE w:val="0"/>
        <w:autoSpaceDN w:val="0"/>
        <w:spacing w:line="560" w:lineRule="exact"/>
        <w:outlineLvl w:val="0"/>
        <w:rPr>
          <w:rFonts w:hint="default" w:ascii="仿宋" w:hAnsi="仿宋" w:eastAsia="仿宋" w:cs="仿宋"/>
          <w:b w:val="0"/>
          <w:bCs/>
          <w:color w:val="auto"/>
          <w:sz w:val="24"/>
          <w:szCs w:val="24"/>
          <w:highlight w:val="none"/>
        </w:rPr>
      </w:pPr>
      <w:r>
        <w:rPr>
          <w:rFonts w:ascii="仿宋" w:hAnsi="仿宋" w:eastAsia="仿宋" w:cs="仿宋"/>
          <w:b w:val="0"/>
          <w:bCs/>
          <w:color w:val="auto"/>
          <w:sz w:val="24"/>
          <w:szCs w:val="24"/>
          <w:highlight w:val="none"/>
          <w:lang w:val="zh-CN"/>
        </w:rPr>
        <w:t>地</w:t>
      </w:r>
      <w:r>
        <w:rPr>
          <w:rFonts w:ascii="仿宋" w:hAnsi="仿宋" w:eastAsia="仿宋" w:cs="仿宋"/>
          <w:b w:val="0"/>
          <w:bCs/>
          <w:color w:val="auto"/>
          <w:sz w:val="24"/>
          <w:szCs w:val="24"/>
          <w:highlight w:val="none"/>
        </w:rPr>
        <w:t xml:space="preserve">    </w:t>
      </w:r>
      <w:r>
        <w:rPr>
          <w:rFonts w:ascii="仿宋" w:hAnsi="仿宋" w:eastAsia="仿宋" w:cs="仿宋"/>
          <w:b w:val="0"/>
          <w:bCs/>
          <w:color w:val="auto"/>
          <w:sz w:val="24"/>
          <w:szCs w:val="24"/>
          <w:highlight w:val="none"/>
          <w:lang w:val="zh-CN"/>
        </w:rPr>
        <w:t>址：</w:t>
      </w:r>
      <w:r>
        <w:rPr>
          <w:rFonts w:ascii="仿宋" w:hAnsi="仿宋" w:eastAsia="仿宋" w:cs="仿宋"/>
          <w:b w:val="0"/>
          <w:bCs/>
          <w:color w:val="auto"/>
          <w:sz w:val="24"/>
          <w:szCs w:val="24"/>
          <w:highlight w:val="none"/>
        </w:rPr>
        <w:t>西安市朱雀大街南段1号汇成天玺C座18层</w:t>
      </w:r>
    </w:p>
    <w:p>
      <w:pPr>
        <w:autoSpaceDE w:val="0"/>
        <w:autoSpaceDN w:val="0"/>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邮    编：710000</w:t>
      </w:r>
    </w:p>
    <w:p>
      <w:pPr>
        <w:pStyle w:val="6"/>
        <w:autoSpaceDE w:val="0"/>
        <w:autoSpaceDN w:val="0"/>
        <w:spacing w:line="560" w:lineRule="exact"/>
        <w:outlineLvl w:val="0"/>
        <w:rPr>
          <w:rFonts w:hint="default" w:ascii="仿宋" w:hAnsi="仿宋" w:eastAsia="仿宋" w:cs="仿宋"/>
          <w:b w:val="0"/>
          <w:bCs/>
          <w:color w:val="auto"/>
          <w:sz w:val="24"/>
          <w:szCs w:val="24"/>
          <w:highlight w:val="none"/>
        </w:rPr>
      </w:pPr>
      <w:r>
        <w:rPr>
          <w:rFonts w:ascii="仿宋" w:hAnsi="仿宋" w:eastAsia="仿宋" w:cs="仿宋"/>
          <w:b w:val="0"/>
          <w:bCs/>
          <w:color w:val="auto"/>
          <w:sz w:val="24"/>
          <w:szCs w:val="24"/>
          <w:highlight w:val="none"/>
        </w:rPr>
        <w:t>电    话：029-87592321</w:t>
      </w:r>
    </w:p>
    <w:p>
      <w:pPr>
        <w:autoSpaceDE w:val="0"/>
        <w:autoSpaceDN w:val="0"/>
        <w:spacing w:line="5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电子邮箱：hzghxmglyxgs@163.com</w:t>
      </w:r>
    </w:p>
    <w:p>
      <w:pPr>
        <w:pStyle w:val="6"/>
        <w:jc w:val="both"/>
        <w:outlineLvl w:val="9"/>
        <w:rPr>
          <w:rFonts w:hint="default" w:ascii="仿宋" w:hAnsi="仿宋" w:eastAsia="仿宋" w:cs="仿宋"/>
          <w:color w:val="auto"/>
          <w:highlight w:val="none"/>
        </w:rPr>
      </w:pPr>
      <w:r>
        <w:rPr>
          <w:rFonts w:ascii="仿宋" w:hAnsi="仿宋" w:eastAsia="仿宋" w:cs="仿宋"/>
          <w:color w:val="auto"/>
          <w:highlight w:val="none"/>
          <w:u w:val="single"/>
        </w:rPr>
        <w:t xml:space="preserve">                                                        </w:t>
      </w:r>
    </w:p>
    <w:p>
      <w:pPr>
        <w:pStyle w:val="6"/>
        <w:jc w:val="both"/>
        <w:outlineLvl w:val="9"/>
        <w:rPr>
          <w:rFonts w:hint="default" w:ascii="仿宋" w:hAnsi="仿宋" w:eastAsia="仿宋" w:cs="仿宋"/>
          <w:color w:val="auto"/>
          <w:highlight w:val="none"/>
        </w:rPr>
      </w:pPr>
    </w:p>
    <w:sectPr>
      <w:headerReference r:id="rId25" w:type="first"/>
      <w:footerReference r:id="rId27" w:type="first"/>
      <w:headerReference r:id="rId24" w:type="default"/>
      <w:footerReference r:id="rId26" w:type="default"/>
      <w:pgSz w:w="11907" w:h="16840"/>
      <w:pgMar w:top="1417" w:right="1134" w:bottom="1417" w:left="1304" w:header="935" w:footer="771" w:gutter="567"/>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001010101"/>
    <w:charset w:val="86"/>
    <w:family w:val="roman"/>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楷体" w:hAnsi="楷体" w:eastAsia="楷体" w:cs="楷体"/>
        <w:b/>
      </w:rPr>
    </w:pPr>
  </w:p>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7620</wp:posOffset>
              </wp:positionV>
              <wp:extent cx="1828800" cy="1828800"/>
              <wp:effectExtent l="0" t="0" r="0" b="0"/>
              <wp:wrapNone/>
              <wp:docPr id="4100"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66</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wps:txbx>
                    <wps:bodyPr vert="horz" wrap="none" lIns="0" tIns="0" rIns="0" bIns="0" anchor="t" upright="0">
                      <a:spAutoFit/>
                    </wps:bodyPr>
                  </wps:wsp>
                </a:graphicData>
              </a:graphic>
            </wp:anchor>
          </w:drawing>
        </mc:Choice>
        <mc:Fallback>
          <w:pict>
            <v:rect id="文本框 5" o:spid="_x0000_s1026" o:spt="1" style="position:absolute;left:0pt;margin-top:0.6pt;height:144pt;width:144pt;mso-position-horizontal:center;mso-position-horizontal-relative:margin;mso-wrap-style:none;z-index:251659264;mso-width-relative:page;mso-height-relative:page;" filled="f" stroked="f" coordsize="21600,21600" o:gfxdata="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hMsOy0gAAAAYBAAAPAAAAAAAAAAEAIAAAACIAAABkcnMv&#10;ZG93bnJldi54bWxQSwECFAAUAAAACACHTuJAyI6GttABAACeAwAADgAAAAAAAAABACAAAAAhAQAA&#10;ZHJzL2Uyb0RvYy54bWxQSwUGAAAAAAYABgBZAQAAYwUAAAAA&#10;">
              <v:fill on="f" focussize="0,0"/>
              <v:stroke on="f"/>
              <v:imagedata o:title=""/>
              <o:lock v:ext="edit" aspectratio="f"/>
              <v:textbox inset="0mm,0mm,0mm,0mm" style="mso-fit-shape-to-text:t;">
                <w:txbxContent>
                  <w:p>
                    <w:pPr>
                      <w:pStyle w:val="14"/>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66</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ascii="仿宋" w:hAnsi="仿宋" w:eastAsia="仿宋" w:cs="仿宋"/>
        <w:b/>
        <w:sz w:val="18"/>
        <w:szCs w:val="18"/>
        <w:u w:val="single"/>
      </w:rPr>
    </w:pPr>
    <w:r>
      <w:rPr>
        <w:rFonts w:ascii="仿宋" w:hAnsi="仿宋" w:eastAsia="仿宋" w:cs="仿宋"/>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172085</wp:posOffset>
              </wp:positionV>
              <wp:extent cx="1828800" cy="1828800"/>
              <wp:effectExtent l="0" t="0" r="0" b="0"/>
              <wp:wrapNone/>
              <wp:docPr id="410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wps:txbx>
                    <wps:bodyPr vert="horz" wrap="none" lIns="0" tIns="0" rIns="0" bIns="0" anchor="t" upright="0">
                      <a:spAutoFit/>
                    </wps:bodyPr>
                  </wps:wsp>
                </a:graphicData>
              </a:graphic>
            </wp:anchor>
          </w:drawing>
        </mc:Choice>
        <mc:Fallback>
          <w:pict>
            <v:rect id="文本框 6" o:spid="_x0000_s1026" o:spt="1" style="position:absolute;left:0pt;margin-top:13.55pt;height:144pt;width:144pt;mso-position-horizontal:center;mso-position-horizontal-relative:margin;mso-wrap-style:none;z-index:251659264;mso-width-relative:page;mso-height-relative:page;" filled="f" stroked="f" coordsize="21600,21600" o:gfxdata="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&#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K5x+9QAAAAHAQAADwAAAAAAAAABACAAAAAiAAAA&#10;ZHJzL2Rvd25yZXYueG1sUEsBAhQAFAAAAAgAh07iQLWisDnSAQAAngMAAA4AAAAAAAAAAQAgAAAA&#10;IwEAAGRycy9lMm9Eb2MueG1sUEsFBgAAAAAGAAYAWQEAAGcFAAAAAA==&#10;">
              <v:fill on="f" focussize="0,0"/>
              <v:stroke on="f"/>
              <v:imagedata o:title=""/>
              <o:lock v:ext="edit" aspectratio="f"/>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v:textbox>
            </v:rect>
          </w:pict>
        </mc:Fallback>
      </mc:AlternateContent>
    </w: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仿宋" w:hAnsi="仿宋" w:eastAsia="仿宋" w:cs="仿宋"/>
        <w:bCs/>
        <w:sz w:val="18"/>
        <w:szCs w:val="18"/>
        <w:u w:val="single"/>
      </w:rPr>
    </w:pPr>
    <w:r>
      <w:rPr>
        <w:rFonts w:ascii="仿宋" w:hAnsi="仿宋" w:eastAsia="仿宋" w:cs="仿宋"/>
        <w:bCs/>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7620</wp:posOffset>
              </wp:positionV>
              <wp:extent cx="1828800" cy="1828800"/>
              <wp:effectExtent l="0" t="0" r="0" b="0"/>
              <wp:wrapNone/>
              <wp:docPr id="4102"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wps:txbx>
                    <wps:bodyPr vert="horz" wrap="none" lIns="0" tIns="0" rIns="0" bIns="0" anchor="t" upright="0">
                      <a:spAutoFit/>
                    </wps:bodyPr>
                  </wps:wsp>
                </a:graphicData>
              </a:graphic>
            </wp:anchor>
          </w:drawing>
        </mc:Choice>
        <mc:Fallback>
          <w:pict>
            <v:rect id="文本框 7" o:spid="_x0000_s1026" o:spt="1" style="position:absolute;left:0pt;margin-top:0.6pt;height:144pt;width:144pt;mso-position-horizontal:center;mso-position-horizontal-relative:margin;mso-wrap-style:none;z-index:251659264;mso-width-relative:page;mso-height-relative:page;" filled="f" stroked="f" coordsize="21600,21600" o:gfxdata="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Eyw7LSAAAABgEAAA8AAAAAAAAAAQAgAAAAIgAAAGRy&#10;cy9kb3ducmV2LnhtbFBLAQIUABQAAAAIAIdO4kBHrC0N0gEAAJ4DAAAOAAAAAAAAAAEAIAAAACEB&#10;AABkcnMvZTJvRG9jLnhtbFBLBQYAAAAABgAGAFkBAABlBQAAAAA=&#10;">
              <v:fill on="f" focussize="0,0"/>
              <v:stroke on="f"/>
              <v:imagedata o:title=""/>
              <o:lock v:ext="edit" aspectratio="f"/>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360" w:lineRule="auto"/>
      <w:rPr>
        <w:sz w:val="18"/>
        <w:szCs w:val="18"/>
      </w:rPr>
    </w:pPr>
    <w:r>
      <w:rPr>
        <w:rFonts w:ascii="仿宋" w:hAnsi="仿宋" w:eastAsia="仿宋" w:cs="仿宋"/>
        <w:sz w:val="18"/>
        <w:szCs w:val="18"/>
      </w:rPr>
      <mc:AlternateContent>
        <mc:Choice Requires="wps">
          <w:drawing>
            <wp:anchor distT="0" distB="0" distL="0" distR="0" simplePos="0" relativeHeight="251659264" behindDoc="0" locked="0" layoutInCell="1" allowOverlap="1">
              <wp:simplePos x="0" y="0"/>
              <wp:positionH relativeFrom="margin">
                <wp:posOffset>2375535</wp:posOffset>
              </wp:positionH>
              <wp:positionV relativeFrom="paragraph">
                <wp:posOffset>190500</wp:posOffset>
              </wp:positionV>
              <wp:extent cx="1828800" cy="1828800"/>
              <wp:effectExtent l="0" t="0" r="0" b="0"/>
              <wp:wrapNone/>
              <wp:docPr id="410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wrap="none" lIns="0" tIns="0" rIns="0" bIns="0" upright="1">
                      <a:spAutoFit/>
                    </wps:bodyPr>
                  </wps:wsp>
                </a:graphicData>
              </a:graphic>
            </wp:anchor>
          </w:drawing>
        </mc:Choice>
        <mc:Fallback>
          <w:pict>
            <v:rect id="文本框 15" o:spid="_x0000_s1026" o:spt="1" style="position:absolute;left:0pt;margin-left:187.05pt;margin-top:15pt;height:144pt;width:144pt;mso-position-horizontal-relative:margin;mso-wrap-style:none;z-index:251659264;mso-width-relative:page;mso-height-relative:page;" filled="f" stroked="f" coordsize="21600,21600" o:gfxdata="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fCR5NYAAAAKAQAADwAAAAAAAAABACAAAAAiAAAAZHJzL2Rvd25yZXYu&#10;eG1sUEsBAhQAFAAAAAgAh07iQFpphpbEAQAAiAMAAA4AAAAAAAAAAQAgAAAAJQEAAGRycy9lMm9E&#10;b2MueG1sUEsFBgAAAAAGAAYAWQEAAFs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rect>
          </w:pict>
        </mc:Fallback>
      </mc:AlternateContent>
    </w:r>
    <w:r>
      <w:rPr>
        <w:rFonts w:hint="eastAsia" w:ascii="仿宋" w:hAnsi="仿宋" w:eastAsia="仿宋" w:cs="仿宋"/>
        <w:sz w:val="18"/>
        <w:szCs w:val="18"/>
        <w:u w:val="single"/>
      </w:rPr>
      <w:t>华招广和项目管理有限公司      地 址：西安市朱雀大街南段1号汇成天玺C座18层     电 话：029-85566819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 w:hAnsi="仿宋" w:eastAsia="仿宋" w:cs="仿宋"/>
        <w:bCs/>
      </w:rPr>
    </w:pPr>
    <w:r>
      <w:rPr>
        <w:rFonts w:hint="eastAsia" w:ascii="仿宋" w:hAnsi="仿宋" w:eastAsia="仿宋" w:cs="仿宋"/>
        <w:bCs/>
        <w:u w:val="single"/>
      </w:rPr>
      <w:t>华招广和项目管理有限公司      地 址：西安市朱雀大街南段1号汇成天玺C座18层     电 话：029-85566819</w:t>
    </w:r>
  </w:p>
  <w:p>
    <w:pPr>
      <w:pStyle w:val="14"/>
      <w:jc w:val="center"/>
      <w:rPr>
        <w:rFonts w:ascii="楷体" w:hAnsi="楷体" w:eastAsia="楷体" w:cs="楷体"/>
        <w:b/>
      </w:rPr>
    </w:pPr>
    <w:r>
      <mc:AlternateContent>
        <mc:Choice Requires="wps">
          <w:drawing>
            <wp:anchor distT="0" distB="0" distL="0" distR="0" simplePos="0" relativeHeight="251659264" behindDoc="0" locked="0" layoutInCell="1" allowOverlap="1">
              <wp:simplePos x="0" y="0"/>
              <wp:positionH relativeFrom="margin">
                <wp:posOffset>2308225</wp:posOffset>
              </wp:positionH>
              <wp:positionV relativeFrom="paragraph">
                <wp:posOffset>79375</wp:posOffset>
              </wp:positionV>
              <wp:extent cx="1828800" cy="1828800"/>
              <wp:effectExtent l="0" t="0" r="0" b="0"/>
              <wp:wrapNone/>
              <wp:docPr id="4104"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wrap="none" lIns="0" tIns="0" rIns="0" bIns="0" upright="1">
                      <a:spAutoFit/>
                    </wps:bodyPr>
                  </wps:wsp>
                </a:graphicData>
              </a:graphic>
            </wp:anchor>
          </w:drawing>
        </mc:Choice>
        <mc:Fallback>
          <w:pict>
            <v:rect id="文本框 16" o:spid="_x0000_s1026" o:spt="1" style="position:absolute;left:0pt;margin-left:181.75pt;margin-top:6.25pt;height:144pt;width:144pt;mso-position-horizontal-relative:margin;mso-wrap-style:none;z-index:251659264;mso-width-relative:page;mso-height-relative:page;" filled="f" stroked="f" coordsize="21600,21600" o:gfxdata="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l0KotYAAAAKAQAADwAAAAAAAAABACAAAAAiAAAAZHJzL2Rvd25yZXYu&#10;eG1sUEsBAhQAFAAAAAgAh07iQNxHozjEAQAAiAMAAA4AAAAAAAAAAQAgAAAAJQEAAGRycy9lMm9E&#10;b2MueG1sUEsFBgAAAAAGAAYAWQEAAFs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rect>
          </w:pict>
        </mc:Fallback>
      </mc:AlternateContent>
    </w:r>
  </w:p>
  <w:p>
    <w:pPr>
      <w:spacing w:line="280" w:lineRule="exact"/>
      <w:jc w:val="center"/>
      <w:rPr>
        <w:rFonts w:ascii="楷体" w:hAnsi="楷体" w:eastAsia="楷体" w:cs="楷体"/>
        <w:b/>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8"/>
        <w:szCs w:val="21"/>
        <w:u w:val="single"/>
      </w:rPr>
    </w:pPr>
    <w:r>
      <w:rPr>
        <w:sz w:val="18"/>
        <w:szCs w:val="21"/>
        <w:u w:val="single"/>
      </w:rPr>
      <mc:AlternateContent>
        <mc:Choice Requires="wps">
          <w:drawing>
            <wp:anchor distT="0" distB="0" distL="0" distR="0" simplePos="0" relativeHeight="251659264" behindDoc="0" locked="0" layoutInCell="1" allowOverlap="1">
              <wp:simplePos x="0" y="0"/>
              <wp:positionH relativeFrom="margin">
                <wp:posOffset>2346960</wp:posOffset>
              </wp:positionH>
              <wp:positionV relativeFrom="paragraph">
                <wp:posOffset>183515</wp:posOffset>
              </wp:positionV>
              <wp:extent cx="1828800" cy="1828800"/>
              <wp:effectExtent l="0" t="0" r="0" b="0"/>
              <wp:wrapNone/>
              <wp:docPr id="4105"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wrap="none" lIns="0" tIns="0" rIns="0" bIns="0" upright="1">
                      <a:spAutoFit/>
                    </wps:bodyPr>
                  </wps:wsp>
                </a:graphicData>
              </a:graphic>
            </wp:anchor>
          </w:drawing>
        </mc:Choice>
        <mc:Fallback>
          <w:pict>
            <v:rect id="文本框 9" o:spid="_x0000_s1026" o:spt="1" style="position:absolute;left:0pt;margin-left:184.8pt;margin-top:14.45pt;height:144pt;width:144pt;mso-position-horizontal-relative:margin;mso-wrap-style:none;z-index:251659264;mso-width-relative:page;mso-height-relative:page;" filled="f" stroked="f" coordsize="21600,21600" o:gfxdata="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P0cVNcAAAAKAQAADwAAAAAAAAABACAAAAAiAAAAZHJzL2Rvd25yZXYu&#10;eG1sUEsBAhQAFAAAAAgAh07iQItOA7PDAQAAhwMAAA4AAAAAAAAAAQAgAAAAJgEAAGRycy9lMm9E&#10;b2MueG1sUEsFBgAAAAAGAAYAWQEAAFs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rect>
          </w:pict>
        </mc:Fallback>
      </mc:AlternateContent>
    </w:r>
    <w:r>
      <w:rPr>
        <w:rFonts w:hint="eastAsia"/>
        <w:sz w:val="16"/>
        <w:szCs w:val="20"/>
        <w:u w:val="single"/>
      </w:rPr>
      <w:t>华招广和项目管理有限公司         地 址：西安市朱雀大街南段1号汇成天玺C座18层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楷体" w:hAnsi="楷体" w:eastAsia="楷体" w:cs="楷体"/>
        <w:b/>
      </w:rPr>
    </w:pPr>
    <w:r>
      <w:rPr>
        <w:rFonts w:hint="eastAsia" w:ascii="仿宋" w:hAnsi="仿宋" w:eastAsia="仿宋" w:cs="仿宋"/>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rPr>
    </w:pPr>
    <w:r>
      <w:rPr>
        <w:sz w:val="18"/>
      </w:rPr>
      <mc:AlternateContent>
        <mc:Choice Requires="wps">
          <w:drawing>
            <wp:anchor distT="0" distB="0" distL="0" distR="0" simplePos="0" relativeHeight="251659264" behindDoc="0" locked="0" layoutInCell="1" allowOverlap="1">
              <wp:simplePos x="0" y="0"/>
              <wp:positionH relativeFrom="margin">
                <wp:posOffset>2484755</wp:posOffset>
              </wp:positionH>
              <wp:positionV relativeFrom="paragraph">
                <wp:posOffset>6350</wp:posOffset>
              </wp:positionV>
              <wp:extent cx="1828800" cy="1828800"/>
              <wp:effectExtent l="0" t="0" r="0" b="0"/>
              <wp:wrapNone/>
              <wp:docPr id="4106"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wrap="none" lIns="0" tIns="0" rIns="0" bIns="0" upright="1">
                      <a:spAutoFit/>
                    </wps:bodyPr>
                  </wps:wsp>
                </a:graphicData>
              </a:graphic>
            </wp:anchor>
          </w:drawing>
        </mc:Choice>
        <mc:Fallback>
          <w:pict>
            <v:rect id="文本框 10" o:spid="_x0000_s1026" o:spt="1" style="position:absolute;left:0pt;margin-left:195.65pt;margin-top:0.5pt;height:144pt;width:144pt;mso-position-horizontal-relative:margin;mso-wrap-style:none;z-index:251659264;mso-width-relative:page;mso-height-relative:page;" filled="f" stroked="f" coordsize="21600,21600" o:gfxdata="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bLiyzVAAAACQEAAA8AAAAAAAAAAQAgAAAAIgAAAGRycy9kb3ducmV2Lnht&#10;bFBLAQIUABQAAAAIAIdO4kDvK/jVwwEAAIgDAAAOAAAAAAAAAAEAIAAAACQBAABkcnMvZTJvRG9j&#10;LnhtbFBLBQYAAAAABgAGAFkBAABZ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楷体" w:hAnsi="楷体" w:eastAsia="楷体" w:cs="楷体"/>
        <w:b/>
        <w:sz w:val="18"/>
        <w:szCs w:val="18"/>
        <w:u w:val="single"/>
      </w:rPr>
    </w:pPr>
    <w:r>
      <w:rPr>
        <w:rFonts w:hint="eastAsia" w:ascii="楷体" w:hAnsi="楷体" w:eastAsia="楷体" w:cs="楷体"/>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0" w:hanging="360" w:hangingChars="200"/>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r>
      <w:rPr>
        <w:sz w:val="18"/>
      </w:rPr>
      <mc:AlternateContent>
        <mc:Choice Requires="wps">
          <w:drawing>
            <wp:anchor distT="0" distB="0" distL="0" distR="0" simplePos="0" relativeHeight="251659264" behindDoc="0" locked="0" layoutInCell="1" allowOverlap="1">
              <wp:simplePos x="0" y="0"/>
              <wp:positionH relativeFrom="margin">
                <wp:posOffset>2381885</wp:posOffset>
              </wp:positionH>
              <wp:positionV relativeFrom="paragraph">
                <wp:posOffset>102870</wp:posOffset>
              </wp:positionV>
              <wp:extent cx="1828800" cy="1828800"/>
              <wp:effectExtent l="0" t="0" r="0" b="0"/>
              <wp:wrapNone/>
              <wp:docPr id="409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wps:txbx>
                    <wps:bodyPr vert="horz" wrap="none" lIns="0" tIns="0" rIns="0" bIns="0" anchor="t" upright="0">
                      <a:spAutoFit/>
                    </wps:bodyPr>
                  </wps:wsp>
                </a:graphicData>
              </a:graphic>
            </wp:anchor>
          </w:drawing>
        </mc:Choice>
        <mc:Fallback>
          <w:pict>
            <v:rect id="文本框 17" o:spid="_x0000_s1026" o:spt="1" style="position:absolute;left:0pt;margin-left:187.55pt;margin-top:8.1pt;height:144pt;width:144pt;mso-position-horizontal-relative:margin;mso-wrap-style:none;z-index:251659264;mso-width-relative:page;mso-height-relative:page;" filled="f" stroked="f" coordsize="21600,21600" o:gfxdata="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E1VBzWAAAACgEAAA8AAAAAAAAAAQAgAAAA&#10;IgAAAGRycy9kb3ducmV2LnhtbFBLAQIUABQAAAAIAIdO4kCm/Ndm1AEAAJ8DAAAOAAAAAAAAAAEA&#10;IAAAACUBAABkcnMvZTJvRG9jLnhtbFBLBQYAAAAABgAGAFkBAABrBQAAAAA=&#10;">
              <v:fill on="f" focussize="0,0"/>
              <v:stroke on="f"/>
              <v:imagedata o:title=""/>
              <o:lock v:ext="edit" aspectratio="f"/>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v:textbox>
            </v:rect>
          </w:pict>
        </mc:Fallback>
      </mc:AlternateContent>
    </w:r>
  </w:p>
  <w:p>
    <w:pPr>
      <w:spacing w:line="280" w:lineRule="exact"/>
      <w:rPr>
        <w:rFonts w:ascii="宋体" w:hAnsi="宋体"/>
        <w:b/>
        <w:sz w:val="21"/>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0" w:hanging="360" w:hangingChars="200"/>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52705</wp:posOffset>
              </wp:positionV>
              <wp:extent cx="1828800" cy="1828800"/>
              <wp:effectExtent l="0" t="0" r="0" b="0"/>
              <wp:wrapNone/>
              <wp:docPr id="4098"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wps:txbx>
                    <wps:bodyPr vert="horz" wrap="none" lIns="0" tIns="0" rIns="0" bIns="0" anchor="t" upright="0">
                      <a:spAutoFit/>
                    </wps:bodyPr>
                  </wps:wsp>
                </a:graphicData>
              </a:graphic>
            </wp:anchor>
          </w:drawing>
        </mc:Choice>
        <mc:Fallback>
          <w:pict>
            <v:rect id="文本框 16" o:spid="_x0000_s1026" o:spt="1" style="position:absolute;left:0pt;margin-top:4.15pt;height:144pt;width:144pt;mso-position-horizontal:center;mso-position-horizontal-relative:margin;mso-wrap-style:none;z-index:251659264;mso-width-relative:page;mso-height-relative:page;" filled="f" stroked="f" coordsize="21600,21600" o:gfxdata="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&#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tUX080wAAAAYBAAAPAAAAAAAAAAEAIAAAACIAAABk&#10;cnMvZG93bnJldi54bWxQSwECFAAUAAAACACHTuJAx8D04NIBAACfAwAADgAAAAAAAAABACAAAAAi&#10;AQAAZHJzL2Uyb0RvYy54bWxQSwUGAAAAAAYABgBZAQAAZgUAAAAA&#10;">
              <v:fill on="f" focussize="0,0"/>
              <v:stroke on="f"/>
              <v:imagedata o:title=""/>
              <o:lock v:ext="edit" aspectratio="f"/>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v:textbox>
            </v:rect>
          </w:pict>
        </mc:Fallback>
      </mc:AlternateContent>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jc w:val="center"/>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21590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1.7pt;height:144pt;width:144pt;mso-position-horizontal:center;mso-position-horizontal-relative:margin;mso-wrap-style:none;z-index:251659264;mso-width-relative:page;mso-height-relative:page;" filled="f" stroked="f" coordsize="21600,21600" o:gfxdata="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vvvFnUAAAABgEAAA8AAAAAAAAAAQAgAAAAIgAA&#10;AGRycy9kb3ducmV2LnhtbFBLAQIUABQAAAAIAIdO4kA/9z7p0wEAAJ4DAAAOAAAAAAAAAAEAIAAA&#10;ACMBAABkcnMvZTJvRG9jLnhtbFBLBQYAAAAABgAGAFkBAABoBQAAAAA=&#10;">
              <v:fill on="f" focussize="0,0"/>
              <v:stroke on="f"/>
              <v:imagedata o:title=""/>
              <o:lock v:ext="edit" aspectratio="f"/>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hint="eastAsia" w:ascii="楷体" w:hAnsi="楷体" w:eastAsia="仿宋" w:cs="楷体"/>
        <w:lang w:val="en-US" w:eastAsia="zh-CN"/>
      </w:rPr>
    </w:pPr>
    <w:r>
      <w:rPr>
        <w:rFonts w:hint="eastAsia" w:ascii="仿宋" w:hAnsi="仿宋" w:eastAsia="仿宋" w:cs="仿宋"/>
        <w:bCs/>
        <w:u w:val="single"/>
        <w:lang w:eastAsia="zh-CN"/>
      </w:rPr>
      <w:t>凤翔区医院财务管理相关软件采购</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r>
      <w:rPr>
        <w:rFonts w:hint="eastAsia" w:ascii="仿宋" w:hAnsi="仿宋" w:eastAsia="仿宋" w:cs="仿宋"/>
        <w:bCs/>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eastAsia="楷体"/>
        <w:u w:val="single"/>
      </w:rPr>
    </w:pPr>
    <w:r>
      <w:rPr>
        <w:rFonts w:hint="eastAsia" w:ascii="仿宋" w:hAnsi="仿宋" w:eastAsia="仿宋" w:cs="仿宋"/>
        <w:bCs/>
        <w:u w:val="single"/>
        <w:lang w:eastAsia="zh-CN"/>
      </w:rPr>
      <w:t>凤翔区医院财务管理相关软件采购</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r>
      <w:rPr>
        <w:rFonts w:hint="eastAsia" w:ascii="楷体" w:hAnsi="楷体" w:eastAsia="楷体" w:cs="楷体"/>
        <w:b/>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480" w:lineRule="exact"/>
      <w:jc w:val="both"/>
      <w:rPr>
        <w:rFonts w:ascii="楷体" w:hAnsi="楷体" w:eastAsia="楷体" w:cs="楷体"/>
      </w:rPr>
    </w:pPr>
    <w:r>
      <w:rPr>
        <w:rFonts w:hint="eastAsia" w:ascii="仿宋" w:hAnsi="仿宋" w:eastAsia="仿宋" w:cs="仿宋"/>
        <w:b w:val="0"/>
        <w:bCs/>
        <w:u w:val="none"/>
        <w:lang w:eastAsia="zh-CN"/>
      </w:rPr>
      <w:t>凤翔区医院财务管理相关软件采购</w:t>
    </w:r>
    <w:r>
      <w:rPr>
        <w:rFonts w:hint="eastAsia" w:ascii="仿宋" w:hAnsi="仿宋" w:eastAsia="仿宋" w:cs="仿宋"/>
        <w:b w:val="0"/>
        <w:bCs/>
        <w:u w:val="none"/>
      </w:rPr>
      <w:t xml:space="preserve">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仿宋" w:hAnsi="仿宋" w:eastAsia="仿宋" w:cs="仿宋"/>
        <w:bCs/>
        <w:u w:val="none"/>
        <w:lang w:eastAsia="zh-CN"/>
      </w:rPr>
      <w:t>凤翔区医院财务管理相关软件采购</w:t>
    </w:r>
    <w:r>
      <w:rPr>
        <w:rFonts w:hint="eastAsia" w:ascii="仿宋" w:hAnsi="仿宋" w:eastAsia="仿宋" w:cs="仿宋"/>
        <w:bCs/>
        <w:u w:val="none"/>
      </w:rPr>
      <w:t xml:space="preserve">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公开招标文件 </w:t>
    </w:r>
    <w:r>
      <w:rPr>
        <w:rFonts w:hint="eastAsia" w:ascii="楷体" w:hAnsi="楷体" w:eastAsia="楷体" w:cs="楷体"/>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360" w:lineRule="auto"/>
      <w:jc w:val="both"/>
    </w:pPr>
    <w:r>
      <w:rPr>
        <w:rFonts w:hint="eastAsia" w:ascii="仿宋" w:hAnsi="仿宋" w:eastAsia="仿宋" w:cs="仿宋"/>
        <w:bCs/>
        <w:u w:val="none"/>
        <w:lang w:eastAsia="zh-CN"/>
      </w:rPr>
      <w:t>凤翔区医院财务管理相关软件采购</w:t>
    </w:r>
    <w:r>
      <w:rPr>
        <w:rFonts w:hint="eastAsia" w:ascii="仿宋" w:hAnsi="仿宋" w:eastAsia="仿宋" w:cs="仿宋"/>
        <w:bCs/>
        <w:u w:val="none"/>
      </w:rPr>
      <w:t xml:space="preserve">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仿宋" w:hAnsi="仿宋" w:eastAsia="仿宋" w:cs="仿宋"/>
        <w:bCs/>
        <w:u w:val="none"/>
        <w:lang w:eastAsia="zh-CN"/>
      </w:rPr>
      <w:t>凤翔区医院财务管理相关软件采购</w:t>
    </w:r>
    <w:r>
      <w:rPr>
        <w:rFonts w:hint="eastAsia" w:ascii="仿宋" w:hAnsi="仿宋" w:eastAsia="仿宋" w:cs="仿宋"/>
        <w:bCs/>
        <w:u w:val="none"/>
      </w:rPr>
      <w:t xml:space="preserve">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360" w:lineRule="auto"/>
      <w:jc w:val="both"/>
    </w:pPr>
    <w:r>
      <w:rPr>
        <w:rFonts w:hint="eastAsia" w:ascii="仿宋" w:hAnsi="仿宋" w:eastAsia="仿宋" w:cs="仿宋"/>
        <w:bCs/>
        <w:lang w:eastAsia="zh-CN"/>
      </w:rPr>
      <w:t>凤翔区医院财务管理相关软件采购</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80" w:lineRule="exact"/>
      <w:jc w:val="both"/>
    </w:pPr>
    <w:r>
      <w:rPr>
        <w:rFonts w:hint="eastAsia" w:ascii="仿宋" w:hAnsi="仿宋" w:eastAsia="仿宋" w:cs="仿宋"/>
        <w:bCs/>
        <w:u w:val="single"/>
        <w:lang w:eastAsia="zh-CN"/>
      </w:rPr>
      <w:t>凤翔区医院财务管理相关软件采购</w:t>
    </w:r>
    <w:r>
      <w:rPr>
        <w:rFonts w:hint="eastAsia" w:ascii="楷体" w:hAnsi="楷体" w:eastAsia="楷体" w:cs="楷体"/>
        <w:b/>
        <w:u w:val="single"/>
      </w:rPr>
      <w:t xml:space="preserve">                </w:t>
    </w:r>
    <w:r>
      <w:rPr>
        <w:rFonts w:hint="eastAsia" w:ascii="楷体" w:hAnsi="楷体" w:eastAsia="楷体" w:cs="楷体"/>
        <w:b/>
        <w:u w:val="single"/>
        <w:lang w:val="en-US" w:eastAsia="zh-CN"/>
      </w:rPr>
      <w:t xml:space="preserve">                      </w:t>
    </w:r>
    <w:r>
      <w:rPr>
        <w:rFonts w:hint="eastAsia" w:ascii="楷体" w:hAnsi="楷体" w:eastAsia="楷体" w:cs="楷体"/>
        <w:b/>
        <w:u w:val="single"/>
      </w:rPr>
      <w:t xml:space="preserve">       </w:t>
    </w:r>
    <w:r>
      <w:rPr>
        <w:rFonts w:hint="eastAsia" w:ascii="仿宋" w:hAnsi="仿宋" w:eastAsia="仿宋" w:cs="仿宋"/>
        <w:bCs/>
        <w:u w:val="single"/>
      </w:rPr>
      <w:t xml:space="preserve">   公开招标文件</w:t>
    </w:r>
    <w:r>
      <w:rPr>
        <w:rFonts w:hint="eastAsia" w:ascii="楷体" w:hAnsi="楷体" w:eastAsia="楷体" w:cs="楷体"/>
        <w:b/>
        <w:u w:val="single"/>
      </w:rPr>
      <w:t xml:space="preserve">                        </w:t>
    </w:r>
    <w:r>
      <w:rPr>
        <w:rFonts w:hint="eastAsia" w:ascii="楷体" w:hAnsi="楷体" w:eastAsia="楷体" w:cs="楷体"/>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2"/>
    <w:multiLevelType w:val="singleLevel"/>
    <w:tmpl w:val="00000002"/>
    <w:lvl w:ilvl="0" w:tentative="0">
      <w:start w:val="1"/>
      <w:numFmt w:val="chineseCounting"/>
      <w:suff w:val="space"/>
      <w:lvlText w:val="第%1章"/>
      <w:lvlJc w:val="left"/>
      <w:rPr>
        <w:rFonts w:hint="eastAsia"/>
      </w:rPr>
    </w:lvl>
  </w:abstractNum>
  <w:abstractNum w:abstractNumId="3">
    <w:nsid w:val="00000003"/>
    <w:multiLevelType w:val="multilevel"/>
    <w:tmpl w:val="000000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multilevel"/>
    <w:tmpl w:val="0000000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jk4NGYwZjllZWRiMzQxZWYxZjlmYTY0MTI0YTkifQ=="/>
  </w:docVars>
  <w:rsids>
    <w:rsidRoot w:val="00000000"/>
    <w:rsid w:val="6C43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1"/>
    <w:qFormat/>
    <w:uiPriority w:val="0"/>
    <w:pPr>
      <w:keepNext/>
      <w:keepLines/>
      <w:jc w:val="left"/>
      <w:outlineLvl w:val="3"/>
    </w:pPr>
    <w:rPr>
      <w:rFonts w:hint="eastAsia" w:ascii="Arial" w:hAnsi="Arial" w:eastAsia="宋体" w:cs="Times New Roman"/>
      <w:b/>
      <w:sz w:val="32"/>
    </w:rPr>
  </w:style>
  <w:style w:type="paragraph" w:styleId="7">
    <w:name w:val="heading 6"/>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Indent 2"/>
    <w:basedOn w:val="1"/>
    <w:qFormat/>
    <w:uiPriority w:val="0"/>
    <w:rPr>
      <w:rFonts w:ascii="Arial" w:hAnsi="Arial" w:eastAsia="仿宋_GB2312"/>
      <w:b/>
    </w:rPr>
  </w:style>
  <w:style w:type="paragraph" w:styleId="8">
    <w:name w:val="Normal Indent"/>
    <w:basedOn w:val="1"/>
    <w:next w:val="1"/>
    <w:qFormat/>
    <w:uiPriority w:val="0"/>
    <w:pPr>
      <w:ind w:firstLine="420"/>
    </w:pPr>
    <w:rPr>
      <w:rFonts w:ascii="Times New Roman" w:hAnsi="Times New Roman"/>
      <w:sz w:val="21"/>
    </w:rPr>
  </w:style>
  <w:style w:type="paragraph" w:styleId="9">
    <w:name w:val="annotation text"/>
    <w:basedOn w:val="1"/>
    <w:qFormat/>
    <w:uiPriority w:val="0"/>
    <w:pPr>
      <w:jc w:val="left"/>
    </w:pPr>
  </w:style>
  <w:style w:type="paragraph" w:styleId="10">
    <w:name w:val="Body Text"/>
    <w:basedOn w:val="1"/>
    <w:qFormat/>
    <w:uiPriority w:val="0"/>
    <w:pPr>
      <w:spacing w:after="120"/>
    </w:pPr>
    <w:rPr>
      <w:rFonts w:hAnsi="Times New Roman"/>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eastAsia="宋体"/>
      <w:sz w:val="21"/>
    </w:rPr>
  </w:style>
  <w:style w:type="paragraph" w:styleId="13">
    <w:name w:val="Date"/>
    <w:basedOn w:val="1"/>
    <w:next w:val="1"/>
    <w:qFormat/>
    <w:uiPriority w:val="0"/>
    <w:rPr>
      <w:szCs w:val="20"/>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19">
    <w:name w:val="Normal (Web)"/>
    <w:basedOn w:val="1"/>
    <w:next w:val="1"/>
    <w:qFormat/>
    <w:uiPriority w:val="0"/>
    <w:pPr>
      <w:jc w:val="left"/>
    </w:pPr>
    <w:rPr>
      <w:rFonts w:cs="Times New Roman"/>
      <w:kern w:val="0"/>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2"/>
    <w:basedOn w:val="11"/>
    <w:qFormat/>
    <w:uiPriority w:val="0"/>
    <w:pPr>
      <w:tabs>
        <w:tab w:val="left" w:pos="4900"/>
      </w:tabs>
      <w:ind w:firstLine="420" w:firstLineChars="200"/>
    </w:pPr>
  </w:style>
  <w:style w:type="table" w:styleId="23">
    <w:name w:val="Table Grid"/>
    <w:basedOn w:val="2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Emphasis"/>
    <w:basedOn w:val="24"/>
    <w:qFormat/>
    <w:uiPriority w:val="0"/>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qFormat/>
    <w:uiPriority w:val="0"/>
    <w:rPr>
      <w:rFonts w:ascii="宋体" w:hAnsi="宋体" w:eastAsia="宋体"/>
      <w:b/>
      <w:color w:val="0000FF"/>
      <w:kern w:val="2"/>
      <w:sz w:val="24"/>
      <w:szCs w:val="24"/>
      <w:u w:val="single"/>
      <w:lang w:val="en-US" w:eastAsia="zh-CN" w:bidi="ar-SA"/>
    </w:rPr>
  </w:style>
  <w:style w:type="character" w:styleId="34">
    <w:name w:val="HTML Code"/>
    <w:basedOn w:val="24"/>
    <w:qFormat/>
    <w:uiPriority w:val="0"/>
    <w:rPr>
      <w:rFonts w:hint="default" w:ascii="Menlo" w:hAnsi="Menlo" w:eastAsia="Menlo" w:cs="Menlo"/>
      <w:color w:val="C7254E"/>
      <w:sz w:val="21"/>
      <w:szCs w:val="21"/>
      <w:shd w:val="clear" w:color="auto" w:fill="F9F2F4"/>
    </w:rPr>
  </w:style>
  <w:style w:type="character" w:styleId="35">
    <w:name w:val="HTML Cite"/>
    <w:basedOn w:val="24"/>
    <w:qFormat/>
    <w:uiPriority w:val="0"/>
  </w:style>
  <w:style w:type="character" w:styleId="36">
    <w:name w:val="HTML Keyboard"/>
    <w:basedOn w:val="24"/>
    <w:qFormat/>
    <w:uiPriority w:val="0"/>
    <w:rPr>
      <w:rFonts w:ascii="Menlo" w:hAnsi="Menlo" w:eastAsia="Menlo" w:cs="Menlo"/>
      <w:color w:val="FFFFFF"/>
      <w:sz w:val="21"/>
      <w:szCs w:val="21"/>
      <w:shd w:val="clear" w:color="auto" w:fill="333333"/>
    </w:rPr>
  </w:style>
  <w:style w:type="character" w:styleId="37">
    <w:name w:val="HTML Sample"/>
    <w:basedOn w:val="24"/>
    <w:qFormat/>
    <w:uiPriority w:val="0"/>
    <w:rPr>
      <w:rFonts w:hint="default" w:ascii="Menlo" w:hAnsi="Menlo" w:eastAsia="Menlo" w:cs="Menlo"/>
      <w:sz w:val="21"/>
      <w:szCs w:val="21"/>
    </w:rPr>
  </w:style>
  <w:style w:type="paragraph" w:customStyle="1" w:styleId="38">
    <w:name w:val="正文缩进1"/>
    <w:basedOn w:val="1"/>
    <w:qFormat/>
    <w:uiPriority w:val="0"/>
    <w:pPr>
      <w:ind w:firstLine="420" w:firstLineChars="200"/>
    </w:pPr>
  </w:style>
  <w:style w:type="paragraph" w:customStyle="1" w:styleId="39">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40">
    <w:name w:val="09正文_wh"/>
    <w:qFormat/>
    <w:uiPriority w:val="0"/>
    <w:pPr>
      <w:spacing w:line="300" w:lineRule="auto"/>
      <w:ind w:firstLine="200" w:firstLineChars="200"/>
      <w:jc w:val="both"/>
    </w:pPr>
    <w:rPr>
      <w:rFonts w:ascii="Calibri" w:hAnsi="Calibri" w:eastAsia="宋体" w:cs="宋体"/>
      <w:sz w:val="28"/>
      <w:szCs w:val="22"/>
      <w:lang w:val="en-US" w:eastAsia="zh-CN" w:bidi="ar-SA"/>
    </w:rPr>
  </w:style>
  <w:style w:type="paragraph" w:customStyle="1" w:styleId="41">
    <w:name w:val="p15"/>
    <w:basedOn w:val="1"/>
    <w:qFormat/>
    <w:uiPriority w:val="99"/>
    <w:pPr>
      <w:widowControl/>
    </w:pPr>
    <w:rPr>
      <w:kern w:val="0"/>
      <w:sz w:val="21"/>
      <w:szCs w:val="21"/>
    </w:rPr>
  </w:style>
  <w:style w:type="paragraph" w:customStyle="1" w:styleId="42">
    <w:name w:val="正文 New"/>
    <w:qFormat/>
    <w:uiPriority w:val="99"/>
    <w:pPr>
      <w:widowControl w:val="0"/>
      <w:jc w:val="both"/>
    </w:pPr>
    <w:rPr>
      <w:rFonts w:ascii="Calibri" w:hAnsi="Calibri" w:eastAsia="宋体" w:cs="宋体"/>
      <w:sz w:val="21"/>
      <w:szCs w:val="22"/>
      <w:lang w:val="en-US" w:eastAsia="zh-CN" w:bidi="ar-SA"/>
    </w:rPr>
  </w:style>
  <w:style w:type="character" w:customStyle="1" w:styleId="43">
    <w:name w:val="old"/>
    <w:basedOn w:val="24"/>
    <w:qFormat/>
    <w:uiPriority w:val="0"/>
    <w:rPr>
      <w:color w:val="999999"/>
    </w:rPr>
  </w:style>
  <w:style w:type="character" w:customStyle="1" w:styleId="44">
    <w:name w:val="hover3"/>
    <w:basedOn w:val="24"/>
    <w:qFormat/>
    <w:uiPriority w:val="0"/>
    <w:rPr>
      <w:shd w:val="clear" w:color="auto" w:fill="EEEEEE"/>
    </w:rPr>
  </w:style>
  <w:style w:type="character" w:customStyle="1" w:styleId="45">
    <w:name w:val="glyphicon4"/>
    <w:basedOn w:val="24"/>
    <w:qFormat/>
    <w:uiPriority w:val="0"/>
  </w:style>
  <w:style w:type="character" w:customStyle="1" w:styleId="46">
    <w:name w:val="hour_am"/>
    <w:basedOn w:val="24"/>
    <w:qFormat/>
    <w:uiPriority w:val="0"/>
  </w:style>
  <w:style w:type="character" w:customStyle="1" w:styleId="47">
    <w:name w:val="hour_pm"/>
    <w:basedOn w:val="24"/>
    <w:qFormat/>
    <w:uiPriority w:val="0"/>
  </w:style>
  <w:style w:type="character" w:customStyle="1" w:styleId="48">
    <w:name w:val="button"/>
    <w:basedOn w:val="24"/>
    <w:qFormat/>
    <w:uiPriority w:val="0"/>
  </w:style>
  <w:style w:type="character" w:customStyle="1" w:styleId="49">
    <w:name w:val="tmpztreemove_arrow"/>
    <w:basedOn w:val="24"/>
    <w:qFormat/>
    <w:uiPriority w:val="0"/>
    <w:rPr>
      <w:shd w:val="clear" w:color="auto" w:fill="FFFFFF"/>
    </w:rPr>
  </w:style>
  <w:style w:type="character" w:customStyle="1" w:styleId="50">
    <w:name w:val="indent"/>
    <w:basedOn w:val="24"/>
    <w:qFormat/>
    <w:uiPriority w:val="0"/>
  </w:style>
  <w:style w:type="paragraph" w:customStyle="1" w:styleId="51">
    <w:name w:val="title1"/>
    <w:basedOn w:val="1"/>
    <w:qFormat/>
    <w:uiPriority w:val="0"/>
    <w:pPr>
      <w:spacing w:before="150" w:line="450" w:lineRule="atLeast"/>
      <w:jc w:val="left"/>
    </w:pPr>
    <w:rPr>
      <w:rFonts w:cs="Times New Roman"/>
      <w:b/>
      <w:kern w:val="0"/>
      <w:szCs w:val="24"/>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53">
    <w:name w:val="List Paragraph"/>
    <w:basedOn w:val="1"/>
    <w:qFormat/>
    <w:uiPriority w:val="34"/>
    <w:pPr>
      <w:ind w:firstLine="420" w:firstLineChars="200"/>
    </w:pPr>
  </w:style>
  <w:style w:type="paragraph" w:customStyle="1" w:styleId="54">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5">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color="000000"/>
      <w:lang w:val="en-US" w:eastAsia="zh-CN" w:bidi="ar-SA"/>
    </w:rPr>
  </w:style>
  <w:style w:type="character" w:customStyle="1" w:styleId="56">
    <w:name w:val="NormalCharacter"/>
    <w:qFormat/>
    <w:uiPriority w:val="0"/>
  </w:style>
  <w:style w:type="paragraph" w:customStyle="1" w:styleId="57">
    <w:name w:val="列出段落1"/>
    <w:basedOn w:val="1"/>
    <w:qFormat/>
    <w:uiPriority w:val="0"/>
    <w:pPr>
      <w:ind w:firstLine="420" w:firstLineChars="200"/>
    </w:pPr>
    <w:rPr>
      <w:rFonts w:ascii="Calibri" w:hAnsi="Calibri" w:cs="黑体"/>
    </w:rPr>
  </w:style>
  <w:style w:type="paragraph" w:customStyle="1" w:styleId="58">
    <w:name w:val="Table Paragraph"/>
    <w:basedOn w:val="1"/>
    <w:qFormat/>
    <w:uiPriority w:val="1"/>
    <w:pPr>
      <w:autoSpaceDE w:val="0"/>
      <w:autoSpaceDN w:val="0"/>
      <w:spacing w:before="137"/>
      <w:ind w:left="108"/>
      <w:jc w:val="center"/>
    </w:pPr>
    <w:rPr>
      <w:rFonts w:ascii="宋体" w:hAnsi="宋体" w:cs="宋体"/>
      <w:kern w:val="0"/>
      <w:sz w:val="22"/>
      <w:lang w:val="zh-CN" w:bidi="zh-CN"/>
    </w:rPr>
  </w:style>
  <w:style w:type="paragraph" w:customStyle="1" w:styleId="5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0">
    <w:name w:val="彩色列表 - 强调文字颜色 11"/>
    <w:basedOn w:val="1"/>
    <w:qFormat/>
    <w:uiPriority w:val="34"/>
    <w:pPr>
      <w:ind w:firstLine="420" w:firstLineChars="200"/>
    </w:pPr>
    <w:rPr>
      <w:rFonts w:ascii="Calibri" w:hAnsi="Calibri"/>
    </w:rPr>
  </w:style>
  <w:style w:type="character" w:customStyle="1" w:styleId="61">
    <w:name w:val="font01"/>
    <w:basedOn w:val="24"/>
    <w:qFormat/>
    <w:uiPriority w:val="0"/>
    <w:rPr>
      <w:rFonts w:hint="default" w:ascii="Arial" w:hAnsi="Arial" w:cs="Arial"/>
      <w:color w:val="000000"/>
      <w:sz w:val="22"/>
      <w:szCs w:val="22"/>
      <w:u w:val="none"/>
    </w:rPr>
  </w:style>
  <w:style w:type="character" w:customStyle="1" w:styleId="62">
    <w:name w:val="font41"/>
    <w:basedOn w:val="24"/>
    <w:qFormat/>
    <w:uiPriority w:val="0"/>
    <w:rPr>
      <w:rFonts w:hint="default" w:ascii="Arial" w:hAnsi="Arial" w:cs="Arial"/>
      <w:color w:val="000000"/>
      <w:sz w:val="22"/>
      <w:szCs w:val="22"/>
      <w:u w:val="none"/>
    </w:rPr>
  </w:style>
  <w:style w:type="character" w:customStyle="1" w:styleId="63">
    <w:name w:val="font21"/>
    <w:qFormat/>
    <w:uiPriority w:val="0"/>
    <w:rPr>
      <w:rFonts w:hint="eastAsia" w:ascii="仿宋" w:hAnsi="仿宋" w:eastAsia="仿宋" w:cs="仿宋"/>
      <w:color w:val="000000"/>
      <w:sz w:val="20"/>
      <w:szCs w:val="20"/>
      <w:u w:val="none"/>
    </w:rPr>
  </w:style>
  <w:style w:type="character" w:customStyle="1" w:styleId="64">
    <w:name w:val="font11"/>
    <w:qFormat/>
    <w:uiPriority w:val="0"/>
    <w:rPr>
      <w:rFonts w:ascii="Arial" w:hAnsi="Arial" w:cs="Arial"/>
      <w:color w:val="000000"/>
      <w:sz w:val="20"/>
      <w:szCs w:val="20"/>
      <w:u w:val="none"/>
    </w:rPr>
  </w:style>
  <w:style w:type="character" w:customStyle="1" w:styleId="65">
    <w:name w:val="font61"/>
    <w:basedOn w:val="24"/>
    <w:qFormat/>
    <w:uiPriority w:val="0"/>
    <w:rPr>
      <w:rFonts w:hint="eastAsia" w:ascii="仿宋" w:hAnsi="仿宋" w:eastAsia="仿宋" w:cs="仿宋"/>
      <w:color w:val="0C0C0C"/>
      <w:sz w:val="28"/>
      <w:szCs w:val="28"/>
      <w:u w:val="none"/>
    </w:rPr>
  </w:style>
  <w:style w:type="paragraph" w:customStyle="1" w:styleId="66">
    <w:name w:val="No Spacing_6b471435-bc5e-4837-9e11-02660a5fcb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B表格正文"/>
    <w:basedOn w:val="1"/>
    <w:qFormat/>
    <w:uiPriority w:val="0"/>
    <w:pPr>
      <w:widowControl/>
      <w:jc w:val="left"/>
    </w:pPr>
    <w:rPr>
      <w:rFonts w:ascii="Calibri" w:hAnsi="Calibri" w:eastAsia="黑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90</Pages>
  <Words>52175</Words>
  <Characters>54250</Characters>
  <Paragraphs>2356</Paragraphs>
  <TotalTime>10</TotalTime>
  <ScaleCrop>false</ScaleCrop>
  <LinksUpToDate>false</LinksUpToDate>
  <CharactersWithSpaces>57641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2023-12-07T09:46:00Z</cp:lastPrinted>
  <dcterms:modified xsi:type="dcterms:W3CDTF">2023-12-08T08:01:28Z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4F986095D11E4F52976550ECFA57CBBD_13</vt:lpwstr>
  </property>
</Properties>
</file>