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农技中心玉米病虫害防控项目农药微肥和飞防作业采购</w:t>
      </w:r>
      <w:r>
        <w:rPr>
          <w:rFonts w:hint="eastAsia" w:ascii="宋体" w:hAnsi="宋体" w:cs="宋体"/>
          <w:b/>
          <w:bCs/>
          <w:sz w:val="32"/>
          <w:szCs w:val="32"/>
          <w:lang w:val="en-US" w:eastAsia="zh-CN"/>
        </w:rPr>
        <w:t>招标公告</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农技中心玉米病虫害防控项目农药微肥和飞防作业采购</w:t>
      </w:r>
      <w:r>
        <w:rPr>
          <w:rFonts w:hint="eastAsia" w:ascii="宋体" w:hAnsi="宋体" w:eastAsia="宋体" w:cs="宋体"/>
          <w:color w:val="auto"/>
          <w:sz w:val="24"/>
          <w:szCs w:val="24"/>
        </w:rPr>
        <w:t>的潜在</w:t>
      </w: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在</w:t>
      </w:r>
      <w:r>
        <w:rPr>
          <w:rFonts w:hint="eastAsia" w:ascii="宋体" w:hAnsi="宋体" w:eastAsia="宋体" w:cs="宋体"/>
          <w:color w:val="auto"/>
          <w:sz w:val="24"/>
          <w:szCs w:val="24"/>
          <w:highlight w:val="none"/>
          <w:lang w:val="en-US" w:eastAsia="zh-CN"/>
        </w:rPr>
        <w:t>【全国公共资源交易平台（陕西省·宝鸡市）】平台</w:t>
      </w:r>
      <w:r>
        <w:rPr>
          <w:rFonts w:hint="eastAsia" w:ascii="宋体" w:hAnsi="宋体" w:eastAsia="宋体" w:cs="宋体"/>
          <w:color w:val="auto"/>
          <w:sz w:val="24"/>
          <w:szCs w:val="24"/>
          <w:highlight w:val="none"/>
          <w:lang w:eastAsia="zh-CN"/>
        </w:rPr>
        <w:t>获</w:t>
      </w:r>
      <w:r>
        <w:rPr>
          <w:rFonts w:hint="eastAsia" w:ascii="宋体" w:hAnsi="宋体" w:eastAsia="宋体" w:cs="宋体"/>
          <w:color w:val="auto"/>
          <w:sz w:val="24"/>
          <w:szCs w:val="24"/>
        </w:rPr>
        <w:t>取</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en-US" w:eastAsia="zh-CN"/>
        </w:rPr>
        <w:t>于</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 xml:space="preserve">时 </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 分（北京时间）前提交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p>
    <w:p>
      <w:pPr>
        <w:pStyle w:val="11"/>
        <w:numPr>
          <w:ilvl w:val="0"/>
          <w:numId w:val="0"/>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一、项目基本情况</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lang w:val="en-US" w:eastAsia="zh-CN"/>
        </w:rPr>
        <w:t>HY-HW-2023-031</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sz w:val="24"/>
          <w:szCs w:val="24"/>
          <w:lang w:val="en-US" w:eastAsia="zh-CN"/>
        </w:rPr>
        <w:t>农技中心玉米病虫害防控项目农药微肥和飞防作业采购</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采购方式：公开招标</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预算金额：1050000.00元</w:t>
      </w:r>
      <w:bookmarkStart w:id="0" w:name="_GoBack"/>
      <w:bookmarkEnd w:id="0"/>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p>
    <w:p>
      <w:pPr>
        <w:numPr>
          <w:ilvl w:val="0"/>
          <w:numId w:val="0"/>
        </w:numPr>
        <w:spacing w:line="360" w:lineRule="auto"/>
        <w:ind w:leftChars="0"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农技中心玉米病虫害防控项目农药微肥和飞防作业采购一标段</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r>
        <w:rPr>
          <w:rFonts w:hint="eastAsia" w:ascii="宋体" w:hAnsi="宋体" w:cs="宋体"/>
          <w:sz w:val="24"/>
          <w:szCs w:val="24"/>
          <w:u w:val="single"/>
          <w:lang w:val="en-US" w:eastAsia="zh-CN"/>
        </w:rPr>
        <w:t>199500.00 元</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农技中心玉米病虫害防控项目农药微肥和飞防作业采购二标段</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r>
        <w:rPr>
          <w:rFonts w:hint="eastAsia" w:ascii="宋体" w:hAnsi="宋体" w:cs="宋体"/>
          <w:sz w:val="24"/>
          <w:szCs w:val="24"/>
          <w:u w:val="single"/>
          <w:lang w:val="en-US" w:eastAsia="zh-CN"/>
        </w:rPr>
        <w:t>202400.00 元</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农技中心玉米病虫害防控项目农药微肥和飞防作业采购三标段</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r>
        <w:rPr>
          <w:rFonts w:hint="eastAsia" w:ascii="宋体" w:hAnsi="宋体" w:cs="宋体"/>
          <w:sz w:val="24"/>
          <w:szCs w:val="24"/>
          <w:u w:val="single"/>
          <w:lang w:val="en-US" w:eastAsia="zh-CN"/>
        </w:rPr>
        <w:t>198100.00 元</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农技中心玉米病虫害防控项目农药微肥和飞防作业采购四标段</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r>
        <w:rPr>
          <w:rFonts w:hint="eastAsia" w:ascii="宋体" w:hAnsi="宋体" w:cs="宋体"/>
          <w:sz w:val="24"/>
          <w:szCs w:val="24"/>
          <w:u w:val="single"/>
          <w:lang w:val="en-US" w:eastAsia="zh-CN"/>
        </w:rPr>
        <w:t>225000.00 元</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农技中心玉米病虫害防控项目农药微肥和飞防作业采购五标段</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r>
        <w:rPr>
          <w:rFonts w:hint="eastAsia" w:ascii="宋体" w:hAnsi="宋体" w:cs="宋体"/>
          <w:sz w:val="24"/>
          <w:szCs w:val="24"/>
          <w:u w:val="single"/>
          <w:lang w:val="en-US" w:eastAsia="zh-CN"/>
        </w:rPr>
        <w:t>225000.00 元</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pPr>
        <w:numPr>
          <w:ilvl w:val="0"/>
          <w:numId w:val="0"/>
        </w:numPr>
        <w:spacing w:line="360" w:lineRule="auto"/>
        <w:ind w:leftChars="0"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农技中心玉米病虫害防控项目农药微肥和飞防作业采购一标段</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采购面积2.1万亩，采购药肥为：杀菌剂：17%唑醚.氟环唑悬浮剂，亩用量60毫升；杀虫剂：高效氯氟氰菊酯水乳剂，亩使用有效成分2毫升；微肥：99%高纯磷酸二氢钾（闪溶型），亩用量80克。</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合同包2（农技中心玉米病虫害防控项目农药微肥和飞防作业采购二标段）：</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采购面积2.2万亩，采购药肥为：杀菌剂：30%唑醚.戊唑醇悬浮剂，亩用量40毫升；杀虫剂：氯虫苯甲酰胺悬浮剂，亩使用有效成分1毫升；微肥：99%高纯磷酸二氢钾（闪溶型），亩用量80克。</w:t>
      </w:r>
    </w:p>
    <w:p>
      <w:pPr>
        <w:pStyle w:val="2"/>
        <w:numPr>
          <w:ilvl w:val="0"/>
          <w:numId w:val="0"/>
        </w:numPr>
        <w:ind w:leftChars="100" w:firstLine="240" w:firstLineChars="100"/>
        <w:rPr>
          <w:rFonts w:hint="eastAsia"/>
          <w:lang w:val="en-US" w:eastAsia="zh-CN"/>
        </w:rPr>
      </w:pPr>
      <w:r>
        <w:rPr>
          <w:rFonts w:hint="eastAsia" w:ascii="宋体" w:hAnsi="宋体" w:eastAsia="宋体" w:cs="宋体"/>
          <w:sz w:val="24"/>
          <w:szCs w:val="24"/>
          <w:lang w:val="en-US" w:eastAsia="zh-CN"/>
        </w:rPr>
        <w:t>合同包</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农技中心玉米病虫害防控项目农药微肥和飞防作业采购三标段</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采购面积2.2万亩，采购药肥为：杀菌剂：25%吡唑醚菌酯悬浮剂，亩用量50毫升；杀虫剂：氯虫苯甲酰胺悬浮剂，亩使用有效成分1毫升；微肥：99%高纯磷酸二氢钾（闪溶型），亩用量80克。</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合同包4（农技中心玉米病虫害防控项目农药微肥和飞防作业采购四标段）：飞防作业面积2.5万亩</w:t>
      </w:r>
      <w:r>
        <w:rPr>
          <w:rFonts w:hint="eastAsia" w:ascii="宋体" w:hAnsi="宋体" w:cs="宋体"/>
          <w:sz w:val="24"/>
          <w:szCs w:val="24"/>
          <w:lang w:val="en-US" w:eastAsia="zh-CN"/>
        </w:rPr>
        <w:t>。</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（农技中心玉米病虫害防控项目农药微肥和飞防作业采购</w:t>
      </w:r>
      <w:r>
        <w:rPr>
          <w:rFonts w:hint="eastAsia" w:ascii="宋体" w:hAnsi="宋体" w:cs="宋体"/>
          <w:sz w:val="24"/>
          <w:szCs w:val="24"/>
          <w:lang w:val="en-US" w:eastAsia="zh-CN"/>
        </w:rPr>
        <w:t>五</w:t>
      </w:r>
      <w:r>
        <w:rPr>
          <w:rFonts w:hint="eastAsia" w:ascii="宋体" w:hAnsi="宋体" w:eastAsia="宋体" w:cs="宋体"/>
          <w:sz w:val="24"/>
          <w:szCs w:val="24"/>
          <w:lang w:val="en-US" w:eastAsia="zh-CN"/>
        </w:rPr>
        <w:t>标段）：飞防作业面积2.5万亩</w:t>
      </w:r>
      <w:r>
        <w:rPr>
          <w:rFonts w:hint="eastAsia" w:ascii="宋体" w:hAnsi="宋体" w:cs="宋体"/>
          <w:sz w:val="24"/>
          <w:szCs w:val="24"/>
          <w:lang w:val="en-US" w:eastAsia="zh-CN"/>
        </w:rPr>
        <w:t>。</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本合同包不接受联合体投标</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lang w:val="en-US" w:eastAsia="zh-CN"/>
        </w:rPr>
        <w:t>合同履行期限：2023</w:t>
      </w:r>
      <w:r>
        <w:rPr>
          <w:rFonts w:hint="eastAsia" w:ascii="宋体" w:hAnsi="宋体" w:cs="宋体"/>
          <w:color w:val="auto"/>
          <w:sz w:val="24"/>
          <w:szCs w:val="24"/>
          <w:highlight w:val="none"/>
          <w:shd w:val="clear"/>
          <w:lang w:val="en-US" w:eastAsia="zh-CN"/>
        </w:rPr>
        <w:t>-</w:t>
      </w:r>
      <w:r>
        <w:rPr>
          <w:rFonts w:hint="eastAsia" w:ascii="宋体" w:hAnsi="宋体" w:eastAsia="宋体" w:cs="宋体"/>
          <w:color w:val="auto"/>
          <w:sz w:val="24"/>
          <w:szCs w:val="24"/>
          <w:highlight w:val="none"/>
          <w:shd w:val="clear"/>
          <w:lang w:val="en-US" w:eastAsia="zh-CN"/>
        </w:rPr>
        <w:t>08</w:t>
      </w:r>
      <w:r>
        <w:rPr>
          <w:rFonts w:hint="eastAsia" w:ascii="宋体" w:hAnsi="宋体" w:cs="宋体"/>
          <w:color w:val="auto"/>
          <w:sz w:val="24"/>
          <w:szCs w:val="24"/>
          <w:highlight w:val="none"/>
          <w:shd w:val="clear"/>
          <w:lang w:val="en-US" w:eastAsia="zh-CN"/>
        </w:rPr>
        <w:t>-  至</w:t>
      </w:r>
      <w:r>
        <w:rPr>
          <w:rFonts w:hint="eastAsia" w:ascii="宋体" w:hAnsi="宋体" w:eastAsia="宋体" w:cs="宋体"/>
          <w:color w:val="auto"/>
          <w:sz w:val="24"/>
          <w:szCs w:val="24"/>
          <w:highlight w:val="none"/>
          <w:shd w:val="clear"/>
          <w:lang w:val="en-US" w:eastAsia="zh-CN"/>
        </w:rPr>
        <w:t>202</w:t>
      </w:r>
      <w:r>
        <w:rPr>
          <w:rFonts w:hint="eastAsia" w:ascii="宋体" w:hAnsi="宋体" w:cs="宋体"/>
          <w:color w:val="auto"/>
          <w:sz w:val="24"/>
          <w:szCs w:val="24"/>
          <w:highlight w:val="none"/>
          <w:shd w:val="clear"/>
          <w:lang w:val="en-US" w:eastAsia="zh-CN"/>
        </w:rPr>
        <w:t>3-</w:t>
      </w:r>
      <w:r>
        <w:rPr>
          <w:rFonts w:hint="eastAsia" w:ascii="宋体" w:hAnsi="宋体" w:eastAsia="宋体" w:cs="宋体"/>
          <w:color w:val="auto"/>
          <w:sz w:val="24"/>
          <w:szCs w:val="24"/>
          <w:highlight w:val="none"/>
          <w:shd w:val="clear"/>
          <w:lang w:val="en-US" w:eastAsia="zh-CN"/>
        </w:rPr>
        <w:t>0</w:t>
      </w:r>
      <w:r>
        <w:rPr>
          <w:rFonts w:hint="eastAsia" w:ascii="宋体" w:hAnsi="宋体" w:cs="宋体"/>
          <w:color w:val="auto"/>
          <w:sz w:val="24"/>
          <w:szCs w:val="24"/>
          <w:highlight w:val="none"/>
          <w:shd w:val="clear"/>
          <w:lang w:val="en-US" w:eastAsia="zh-CN"/>
        </w:rPr>
        <w:t xml:space="preserve">9-  </w:t>
      </w:r>
      <w:r>
        <w:rPr>
          <w:rFonts w:hint="eastAsia" w:ascii="宋体" w:hAnsi="宋体" w:eastAsia="宋体" w:cs="宋体"/>
          <w:color w:val="auto"/>
          <w:sz w:val="24"/>
          <w:szCs w:val="24"/>
          <w:highlight w:val="none"/>
          <w:shd w:val="clear"/>
          <w:lang w:val="en-US" w:eastAsia="zh-CN"/>
        </w:rPr>
        <w:t>（具体服务起止日期可随合同签订</w:t>
      </w:r>
      <w:r>
        <w:rPr>
          <w:rFonts w:hint="eastAsia" w:ascii="宋体" w:hAnsi="宋体" w:eastAsia="宋体" w:cs="宋体"/>
          <w:color w:val="auto"/>
          <w:sz w:val="24"/>
          <w:szCs w:val="24"/>
          <w:highlight w:val="none"/>
          <w:lang w:val="en-US" w:eastAsia="zh-CN"/>
        </w:rPr>
        <w:t>时间相应顺延）</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二、申请人的资格要求：</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1.满足《中华人民共和国政府釆购法》第二十二条规定；</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农技中心玉米病虫害防控项目农药微肥和飞防作业采购一标段</w:t>
      </w:r>
      <w:r>
        <w:rPr>
          <w:rFonts w:hint="eastAsia" w:ascii="宋体" w:hAnsi="宋体" w:eastAsia="宋体" w:cs="宋体"/>
          <w:sz w:val="24"/>
          <w:szCs w:val="24"/>
          <w:lang w:val="en-US" w:eastAsia="zh-CN"/>
        </w:rPr>
        <w:t>)落实政府采购政策需满足的资格要求如下:</w:t>
      </w:r>
    </w:p>
    <w:p>
      <w:pPr>
        <w:numPr>
          <w:ilvl w:val="0"/>
          <w:numId w:val="0"/>
        </w:numPr>
        <w:shd w:val="clear"/>
        <w:spacing w:line="360" w:lineRule="auto"/>
        <w:ind w:leftChars="0"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依据《中华人民共和国政府采购法》和《中华人民共和国政府采购实施条例》的有关规定，落实政府采购“优先购买节能环保产品、扶持小微企业、监狱企业、福利企业”等相关政策。（1）《政府采购促进中小企业发展管理办法》（财库〔2020〕46 号）；（2）《财政部司法部关于政府采购支持监狱企业发展有关问题的通知》（财库〔2014〕68 号）；（3）《国务院办公厅关于建立政府强制采购节能产品制度的通知》（国办发〔2007〕51 号）；（4）《节能产品政府采购实施意见》（财库[2004]185 号）；（5）《环境标志产品政府采购实施的意见》（财库[2006]90 号）；（6）《三部门联合发布关于促进残疾人就业政府采购政策的通知》（财库〔2017〕141 号）。（7）《财政部发展改革委生态环境部市场监管总局关于调整优化节能产品、环境标志产品政府采购执行机制的通知》（财库〔2019〕9 号）</w:t>
      </w:r>
      <w:r>
        <w:rPr>
          <w:rFonts w:hint="eastAsia" w:ascii="宋体" w:hAnsi="宋体" w:cs="宋体"/>
          <w:sz w:val="24"/>
          <w:szCs w:val="24"/>
          <w:highlight w:val="none"/>
          <w:u w:val="none"/>
          <w:lang w:val="en-US" w:eastAsia="zh-CN"/>
        </w:rPr>
        <w:t>。</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合同包2(农技中心玉米病虫害防控项目农药微肥和飞防作业采购二标段)落实政府采购政策需满足的资格要求：同合同包1</w:t>
      </w:r>
    </w:p>
    <w:p>
      <w:pPr>
        <w:numPr>
          <w:ilvl w:val="0"/>
          <w:numId w:val="0"/>
        </w:numPr>
        <w:spacing w:line="360" w:lineRule="auto"/>
        <w:ind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合同包3(农技中心玉米病虫害防控项目农药微肥和飞防作业采购三标段)落实政府采购政策需满足的资格要求：同合同包1</w:t>
      </w:r>
    </w:p>
    <w:p>
      <w:pPr>
        <w:numPr>
          <w:ilvl w:val="0"/>
          <w:numId w:val="0"/>
        </w:numPr>
        <w:spacing w:line="360" w:lineRule="auto"/>
        <w:ind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合同包4(农技中心玉米病虫害防控项目农药微肥和飞防作业采购四标段)落实政府采购政策需满足的资格要求：同合同包1</w:t>
      </w:r>
    </w:p>
    <w:p>
      <w:pPr>
        <w:numPr>
          <w:ilvl w:val="0"/>
          <w:numId w:val="0"/>
        </w:numPr>
        <w:spacing w:line="360" w:lineRule="auto"/>
        <w:ind w:leftChars="0" w:firstLine="480" w:firstLineChars="200"/>
        <w:rPr>
          <w:rFonts w:hint="default"/>
          <w:lang w:val="en-US" w:eastAsia="zh-CN"/>
        </w:rPr>
      </w:pPr>
      <w:r>
        <w:rPr>
          <w:rFonts w:hint="eastAsia" w:ascii="宋体" w:hAnsi="宋体" w:eastAsia="宋体" w:cs="宋体"/>
          <w:sz w:val="24"/>
          <w:szCs w:val="24"/>
          <w:lang w:val="en-US" w:eastAsia="zh-CN"/>
        </w:rPr>
        <w:t>合同包5(农技中心玉米病虫害防控项目农药微肥和飞防作业采购五标段)落实政府采购政策需满足的资格要求：同合同包1</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numPr>
          <w:ilvl w:val="0"/>
          <w:numId w:val="0"/>
        </w:numPr>
        <w:shd w:val="clear"/>
        <w:spacing w:line="360" w:lineRule="auto"/>
        <w:ind w:lef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合同包1</w:t>
      </w:r>
      <w:r>
        <w:rPr>
          <w:rFonts w:hint="eastAsia" w:ascii="宋体" w:hAnsi="宋体" w:cs="宋体"/>
          <w:b/>
          <w:bCs/>
          <w:sz w:val="24"/>
          <w:szCs w:val="24"/>
          <w:lang w:val="en-US" w:eastAsia="zh-CN"/>
        </w:rPr>
        <w:t>（一标段）</w:t>
      </w:r>
      <w:r>
        <w:rPr>
          <w:rFonts w:hint="eastAsia" w:ascii="宋体" w:hAnsi="宋体" w:eastAsia="宋体" w:cs="宋体"/>
          <w:b/>
          <w:bCs/>
          <w:sz w:val="24"/>
          <w:szCs w:val="24"/>
          <w:lang w:val="en-US" w:eastAsia="zh-CN"/>
        </w:rPr>
        <w:t>特定资格要求如下:</w:t>
      </w:r>
    </w:p>
    <w:p>
      <w:pPr>
        <w:pStyle w:val="8"/>
        <w:numPr>
          <w:ilvl w:val="0"/>
          <w:numId w:val="0"/>
        </w:numPr>
        <w:spacing w:line="360" w:lineRule="auto"/>
        <w:ind w:firstLine="480" w:firstLineChars="200"/>
        <w:rPr>
          <w:rFonts w:hint="eastAsia" w:ascii="宋体" w:hAnsi="宋体" w:eastAsia="宋体" w:cs="宋体"/>
          <w:kern w:val="2"/>
          <w:sz w:val="24"/>
          <w:szCs w:val="24"/>
          <w:shd w:val="clear"/>
          <w:lang w:val="en-US" w:eastAsia="zh-CN" w:bidi="ar-SA"/>
        </w:rPr>
      </w:pPr>
      <w:r>
        <w:rPr>
          <w:rFonts w:hint="eastAsia" w:ascii="宋体" w:hAnsi="宋体" w:eastAsia="宋体" w:cs="宋体"/>
          <w:kern w:val="2"/>
          <w:sz w:val="24"/>
          <w:szCs w:val="24"/>
          <w:shd w:val="clear"/>
          <w:lang w:val="en-US" w:eastAsia="zh-CN" w:bidi="ar-SA"/>
        </w:rPr>
        <w:t>1.</w:t>
      </w:r>
      <w:r>
        <w:rPr>
          <w:rFonts w:hint="eastAsia" w:ascii="宋体" w:hAnsi="宋体" w:eastAsia="宋体" w:cs="宋体"/>
          <w:sz w:val="24"/>
          <w:szCs w:val="24"/>
          <w:lang w:val="en-US" w:eastAsia="zh-CN"/>
        </w:rPr>
        <w:t>供应商应为具有合法注册的</w:t>
      </w:r>
      <w:r>
        <w:rPr>
          <w:rFonts w:hint="eastAsia" w:ascii="宋体" w:hAnsi="宋体" w:cs="宋体"/>
          <w:sz w:val="24"/>
          <w:szCs w:val="24"/>
          <w:lang w:val="en-US" w:eastAsia="zh-CN"/>
        </w:rPr>
        <w:t>且在有效期内的</w:t>
      </w:r>
      <w:r>
        <w:rPr>
          <w:rFonts w:hint="eastAsia" w:ascii="宋体" w:hAnsi="宋体" w:eastAsia="宋体" w:cs="宋体"/>
          <w:sz w:val="24"/>
          <w:szCs w:val="24"/>
          <w:lang w:val="en-US" w:eastAsia="zh-CN"/>
        </w:rPr>
        <w:t>法人或其他组织的营业执照</w:t>
      </w:r>
      <w:r>
        <w:rPr>
          <w:rFonts w:hint="eastAsia" w:ascii="宋体" w:hAnsi="宋体" w:eastAsia="宋体" w:cs="宋体"/>
          <w:sz w:val="24"/>
          <w:szCs w:val="24"/>
          <w:shd w:val="clear"/>
          <w:lang w:val="en-US" w:eastAsia="zh-CN"/>
        </w:rPr>
        <w:t>、农药经营许可证。</w:t>
      </w:r>
    </w:p>
    <w:p>
      <w:pPr>
        <w:pStyle w:val="8"/>
        <w:numPr>
          <w:ilvl w:val="0"/>
          <w:numId w:val="0"/>
        </w:numPr>
        <w:spacing w:line="360" w:lineRule="auto"/>
        <w:ind w:firstLine="480" w:firstLineChars="200"/>
        <w:rPr>
          <w:rFonts w:hint="eastAsia" w:ascii="宋体" w:hAnsi="宋体" w:eastAsia="宋体" w:cs="宋体"/>
          <w:kern w:val="2"/>
          <w:sz w:val="24"/>
          <w:szCs w:val="24"/>
          <w:shd w:val="clear"/>
          <w:lang w:val="en-US" w:eastAsia="zh-CN" w:bidi="ar-SA"/>
        </w:rPr>
      </w:pPr>
      <w:r>
        <w:rPr>
          <w:rFonts w:hint="eastAsia" w:ascii="宋体" w:hAnsi="宋体" w:eastAsia="宋体" w:cs="宋体"/>
          <w:kern w:val="2"/>
          <w:sz w:val="24"/>
          <w:szCs w:val="24"/>
          <w:shd w:val="clear"/>
          <w:lang w:val="en-US" w:eastAsia="zh-CN" w:bidi="ar-SA"/>
        </w:rPr>
        <w:t>2.供应商提供</w:t>
      </w:r>
      <w:r>
        <w:rPr>
          <w:rFonts w:hint="eastAsia" w:ascii="宋体" w:hAnsi="宋体" w:cs="宋体"/>
          <w:kern w:val="2"/>
          <w:sz w:val="24"/>
          <w:szCs w:val="24"/>
          <w:shd w:val="clear"/>
          <w:lang w:val="en-US" w:eastAsia="zh-CN" w:bidi="ar-SA"/>
        </w:rPr>
        <w:t>的</w:t>
      </w:r>
      <w:r>
        <w:rPr>
          <w:rFonts w:hint="eastAsia" w:ascii="宋体" w:hAnsi="宋体" w:eastAsia="宋体" w:cs="宋体"/>
          <w:kern w:val="2"/>
          <w:sz w:val="24"/>
          <w:szCs w:val="24"/>
          <w:shd w:val="clear"/>
          <w:lang w:val="en-US" w:eastAsia="zh-CN" w:bidi="ar-SA"/>
        </w:rPr>
        <w:t>所用药肥应具有合法有效的登记证、生产许可证或生产批准证、产品标准证，且在有效期内，</w:t>
      </w:r>
      <w:r>
        <w:rPr>
          <w:rFonts w:hint="eastAsia" w:ascii="宋体" w:hAnsi="宋体" w:eastAsia="宋体" w:cs="宋体"/>
          <w:kern w:val="2"/>
          <w:sz w:val="24"/>
          <w:szCs w:val="24"/>
          <w:highlight w:val="none"/>
          <w:shd w:val="clear"/>
          <w:lang w:val="en-US" w:eastAsia="zh-CN" w:bidi="ar-SA"/>
        </w:rPr>
        <w:t>药剂注册登记使用范围须包含</w:t>
      </w:r>
      <w:r>
        <w:rPr>
          <w:rFonts w:hint="eastAsia" w:ascii="宋体" w:hAnsi="宋体" w:cs="宋体"/>
          <w:kern w:val="2"/>
          <w:sz w:val="24"/>
          <w:szCs w:val="24"/>
          <w:highlight w:val="none"/>
          <w:shd w:val="clear"/>
          <w:lang w:val="en-US" w:eastAsia="zh-CN" w:bidi="ar-SA"/>
        </w:rPr>
        <w:t>玉米</w:t>
      </w:r>
      <w:r>
        <w:rPr>
          <w:rFonts w:hint="eastAsia" w:ascii="宋体" w:hAnsi="宋体" w:eastAsia="宋体" w:cs="宋体"/>
          <w:kern w:val="2"/>
          <w:sz w:val="24"/>
          <w:szCs w:val="24"/>
          <w:highlight w:val="none"/>
          <w:shd w:val="clear"/>
          <w:lang w:val="en-US" w:eastAsia="zh-CN" w:bidi="ar-SA"/>
        </w:rPr>
        <w:t>作物，有随货同行相应的质检报告。</w:t>
      </w:r>
    </w:p>
    <w:p>
      <w:pPr>
        <w:numPr>
          <w:ilvl w:val="0"/>
          <w:numId w:val="0"/>
        </w:numPr>
        <w:shd w:val="clea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.供应商提供法定代表人授权书及被授权人身份证，法定代表人直接投标只须提交其法人身份证明；</w:t>
      </w:r>
    </w:p>
    <w:p>
      <w:pPr>
        <w:numPr>
          <w:ilvl w:val="0"/>
          <w:numId w:val="0"/>
        </w:numPr>
        <w:shd w:val="clear"/>
        <w:spacing w:line="360" w:lineRule="auto"/>
        <w:ind w:leftChars="0" w:firstLine="480" w:firstLineChars="200"/>
        <w:rPr>
          <w:rFonts w:hint="eastAsia" w:ascii="宋体" w:hAnsi="宋体" w:eastAsia="宋体" w:cs="宋体"/>
          <w:sz w:val="24"/>
          <w:szCs w:val="24"/>
          <w:shd w:val="clear"/>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shd w:val="clear"/>
          <w:lang w:val="en-US"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sz w:val="24"/>
          <w:szCs w:val="24"/>
          <w:shd w:val="clear"/>
          <w:lang w:val="en-US" w:eastAsia="zh-CN"/>
        </w:rPr>
        <w:t>（</w:t>
      </w:r>
      <w:r>
        <w:rPr>
          <w:rFonts w:hint="eastAsia" w:ascii="宋体" w:hAnsi="宋体" w:eastAsia="宋体" w:cs="宋体"/>
          <w:sz w:val="24"/>
          <w:szCs w:val="24"/>
          <w:shd w:val="clear"/>
          <w:lang w:val="en-US" w:eastAsia="zh-CN"/>
        </w:rPr>
        <w:t>提供查询结果网页截图并加盖投标人公章，查询时间段:自文件发售之日起至响应文件递交截止时间前</w:t>
      </w:r>
      <w:r>
        <w:rPr>
          <w:rFonts w:hint="eastAsia" w:ascii="宋体" w:hAnsi="宋体" w:cs="宋体"/>
          <w:sz w:val="24"/>
          <w:szCs w:val="24"/>
          <w:shd w:val="clear"/>
          <w:lang w:val="en-US" w:eastAsia="zh-CN"/>
        </w:rPr>
        <w:t>）；</w:t>
      </w:r>
    </w:p>
    <w:p>
      <w:pPr>
        <w:numPr>
          <w:ilvl w:val="0"/>
          <w:numId w:val="0"/>
        </w:numPr>
        <w:shd w:val="clea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.书面声明：参加本次政府采购活动前三年内在经营活动中没有重大违纪，以及未被列入失信被执行人、重大税收违法案件当事人名单、政府采购严重违法失信行为记录名单的书面声明；</w:t>
      </w:r>
    </w:p>
    <w:p>
      <w:pPr>
        <w:shd w:val="clea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.投标保证金转账凭证；</w:t>
      </w:r>
    </w:p>
    <w:p>
      <w:pPr>
        <w:numPr>
          <w:ilvl w:val="0"/>
          <w:numId w:val="0"/>
        </w:numPr>
        <w:shd w:val="clea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本项目不接受联合体投标。</w:t>
      </w:r>
      <w:r>
        <w:rPr>
          <w:rFonts w:hint="eastAsia" w:ascii="宋体" w:hAnsi="宋体" w:cs="宋体"/>
          <w:sz w:val="24"/>
          <w:szCs w:val="24"/>
          <w:lang w:val="en-US" w:eastAsia="zh-CN"/>
        </w:rPr>
        <w:t>（提供承诺函）</w:t>
      </w:r>
    </w:p>
    <w:p>
      <w:pPr>
        <w:numPr>
          <w:ilvl w:val="0"/>
          <w:numId w:val="0"/>
        </w:numPr>
        <w:shd w:val="clea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合同包2（二标段）</w:t>
      </w:r>
      <w:r>
        <w:rPr>
          <w:rFonts w:hint="eastAsia" w:ascii="宋体" w:hAnsi="宋体" w:eastAsia="宋体" w:cs="宋体"/>
          <w:b/>
          <w:bCs/>
          <w:sz w:val="24"/>
          <w:szCs w:val="24"/>
          <w:lang w:val="en-US" w:eastAsia="zh-CN"/>
        </w:rPr>
        <w:t>特定资格要求如下:</w:t>
      </w:r>
    </w:p>
    <w:p>
      <w:pPr>
        <w:pStyle w:val="2"/>
        <w:numPr>
          <w:ilvl w:val="0"/>
          <w:numId w:val="0"/>
        </w:num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同合同包1（一标段）一致</w:t>
      </w:r>
    </w:p>
    <w:p>
      <w:pPr>
        <w:numPr>
          <w:ilvl w:val="0"/>
          <w:numId w:val="0"/>
        </w:numPr>
        <w:shd w:val="clea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合同包3（三标段）</w:t>
      </w:r>
      <w:r>
        <w:rPr>
          <w:rFonts w:hint="eastAsia" w:ascii="宋体" w:hAnsi="宋体" w:eastAsia="宋体" w:cs="宋体"/>
          <w:b/>
          <w:bCs/>
          <w:sz w:val="24"/>
          <w:szCs w:val="24"/>
          <w:lang w:val="en-US" w:eastAsia="zh-CN"/>
        </w:rPr>
        <w:t>特定资格要求如下:</w:t>
      </w:r>
    </w:p>
    <w:p>
      <w:pPr>
        <w:pStyle w:val="2"/>
        <w:numPr>
          <w:ilvl w:val="0"/>
          <w:numId w:val="0"/>
        </w:numPr>
        <w:ind w:firstLine="480" w:firstLineChars="200"/>
        <w:rPr>
          <w:rFonts w:hint="default"/>
          <w:lang w:val="en-US" w:eastAsia="zh-CN"/>
        </w:rPr>
      </w:pPr>
      <w:r>
        <w:rPr>
          <w:rFonts w:hint="eastAsia" w:ascii="宋体" w:hAnsi="宋体" w:eastAsia="宋体" w:cs="宋体"/>
          <w:b w:val="0"/>
          <w:bCs w:val="0"/>
          <w:kern w:val="2"/>
          <w:sz w:val="24"/>
          <w:szCs w:val="24"/>
          <w:lang w:val="en-US" w:eastAsia="zh-CN" w:bidi="ar-SA"/>
        </w:rPr>
        <w:t>同合同包1（一标段）一致</w:t>
      </w:r>
    </w:p>
    <w:p>
      <w:pPr>
        <w:pStyle w:val="2"/>
        <w:numPr>
          <w:ilvl w:val="0"/>
          <w:numId w:val="0"/>
        </w:numPr>
        <w:ind w:firstLine="482" w:firstLineChars="200"/>
        <w:rPr>
          <w:rFonts w:hint="eastAsia"/>
          <w:b/>
          <w:bCs/>
          <w:lang w:val="en-US" w:eastAsia="zh-CN"/>
        </w:rPr>
      </w:pPr>
      <w:r>
        <w:rPr>
          <w:rFonts w:hint="eastAsia" w:ascii="宋体" w:hAnsi="宋体" w:eastAsia="宋体" w:cs="宋体"/>
          <w:b/>
          <w:bCs/>
          <w:sz w:val="24"/>
          <w:szCs w:val="24"/>
          <w:lang w:val="en-US" w:eastAsia="zh-CN"/>
        </w:rPr>
        <w:t>合同包4</w:t>
      </w:r>
      <w:r>
        <w:rPr>
          <w:rFonts w:hint="eastAsia" w:ascii="宋体" w:hAnsi="宋体" w:cs="宋体"/>
          <w:b/>
          <w:bCs/>
          <w:sz w:val="24"/>
          <w:szCs w:val="24"/>
          <w:lang w:val="en-US" w:eastAsia="zh-CN"/>
        </w:rPr>
        <w:t>（四标段）</w:t>
      </w:r>
      <w:r>
        <w:rPr>
          <w:rFonts w:hint="eastAsia" w:ascii="宋体" w:hAnsi="宋体" w:eastAsia="宋体" w:cs="宋体"/>
          <w:b/>
          <w:bCs/>
          <w:sz w:val="24"/>
          <w:szCs w:val="24"/>
          <w:lang w:val="en-US" w:eastAsia="zh-CN"/>
        </w:rPr>
        <w:t>特定资格要求如下:</w:t>
      </w:r>
    </w:p>
    <w:p>
      <w:pPr>
        <w:numPr>
          <w:ilvl w:val="0"/>
          <w:numId w:val="0"/>
        </w:numPr>
        <w:shd w:val="clea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1.供应商应为具有合法注册的</w:t>
      </w:r>
      <w:r>
        <w:rPr>
          <w:rFonts w:hint="eastAsia" w:ascii="宋体" w:hAnsi="宋体" w:cs="宋体"/>
          <w:sz w:val="24"/>
          <w:szCs w:val="24"/>
          <w:lang w:val="en-US" w:eastAsia="zh-CN"/>
        </w:rPr>
        <w:t>且在有效期内的</w:t>
      </w:r>
      <w:r>
        <w:rPr>
          <w:rFonts w:hint="eastAsia" w:ascii="宋体" w:hAnsi="宋体" w:eastAsia="宋体" w:cs="宋体"/>
          <w:sz w:val="24"/>
          <w:szCs w:val="24"/>
          <w:lang w:val="en-US" w:eastAsia="zh-CN"/>
        </w:rPr>
        <w:t>法人或其他组织的营业执照。</w:t>
      </w:r>
    </w:p>
    <w:p>
      <w:pPr>
        <w:numPr>
          <w:ilvl w:val="0"/>
          <w:numId w:val="0"/>
        </w:numPr>
        <w:shd w:val="clear"/>
        <w:spacing w:line="360" w:lineRule="auto"/>
        <w:ind w:leftChars="0"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2.投标人须提供通用航空企业经营许可证或民用无人驾驶航空器经营许可证，经营范围中应有航空喷洒（撒）内容</w:t>
      </w:r>
      <w:r>
        <w:rPr>
          <w:rFonts w:hint="eastAsia" w:ascii="宋体" w:hAnsi="宋体" w:cs="宋体"/>
          <w:sz w:val="24"/>
          <w:szCs w:val="24"/>
          <w:highlight w:val="none"/>
          <w:lang w:val="en-US" w:eastAsia="zh-CN"/>
        </w:rPr>
        <w:t>。</w:t>
      </w:r>
    </w:p>
    <w:p>
      <w:pPr>
        <w:numPr>
          <w:ilvl w:val="0"/>
          <w:numId w:val="0"/>
        </w:numPr>
        <w:shd w:val="clea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.供应商提供法定代表人授权书及被授权人身份证，法定代表人直接投标只须提交其法人身份证明；</w:t>
      </w:r>
    </w:p>
    <w:p>
      <w:pPr>
        <w:numPr>
          <w:ilvl w:val="0"/>
          <w:numId w:val="0"/>
        </w:numPr>
        <w:shd w:val="clear"/>
        <w:spacing w:line="360" w:lineRule="auto"/>
        <w:ind w:leftChars="0" w:firstLine="480" w:firstLineChars="200"/>
        <w:rPr>
          <w:rFonts w:hint="eastAsia" w:ascii="宋体" w:hAnsi="宋体" w:eastAsia="宋体" w:cs="宋体"/>
          <w:sz w:val="24"/>
          <w:szCs w:val="24"/>
          <w:shd w:val="clear"/>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shd w:val="clear"/>
          <w:lang w:val="en-US"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sz w:val="24"/>
          <w:szCs w:val="24"/>
          <w:shd w:val="clear"/>
          <w:lang w:val="en-US" w:eastAsia="zh-CN"/>
        </w:rPr>
        <w:t>（</w:t>
      </w:r>
      <w:r>
        <w:rPr>
          <w:rFonts w:hint="eastAsia" w:ascii="宋体" w:hAnsi="宋体" w:eastAsia="宋体" w:cs="宋体"/>
          <w:sz w:val="24"/>
          <w:szCs w:val="24"/>
          <w:shd w:val="clear"/>
          <w:lang w:val="en-US" w:eastAsia="zh-CN"/>
        </w:rPr>
        <w:t>提供查询结果网页截图并加盖投标人公章，查询时间段:自文件发售之日起至响应文件递交截止时间前</w:t>
      </w:r>
      <w:r>
        <w:rPr>
          <w:rFonts w:hint="eastAsia" w:ascii="宋体" w:hAnsi="宋体" w:cs="宋体"/>
          <w:sz w:val="24"/>
          <w:szCs w:val="24"/>
          <w:shd w:val="clear"/>
          <w:lang w:val="en-US" w:eastAsia="zh-CN"/>
        </w:rPr>
        <w:t>）；</w:t>
      </w:r>
    </w:p>
    <w:p>
      <w:pPr>
        <w:numPr>
          <w:ilvl w:val="0"/>
          <w:numId w:val="0"/>
        </w:numPr>
        <w:shd w:val="clea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.书面声明：参加本次政府采购活动前三年内在经营活动中没有重大违纪，以及未被列入失信被执行人、重大税收违法案件当事人名单、政府采购严重违法失信行为记录名单的书面声明；</w:t>
      </w:r>
    </w:p>
    <w:p>
      <w:pPr>
        <w:shd w:val="clea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.投标保证金转账凭证；</w:t>
      </w:r>
    </w:p>
    <w:p>
      <w:pPr>
        <w:numPr>
          <w:ilvl w:val="0"/>
          <w:numId w:val="0"/>
        </w:numPr>
        <w:shd w:val="clea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本项目不接受联合体投标。</w:t>
      </w:r>
      <w:r>
        <w:rPr>
          <w:rFonts w:hint="eastAsia" w:ascii="宋体" w:hAnsi="宋体" w:cs="宋体"/>
          <w:sz w:val="24"/>
          <w:szCs w:val="24"/>
          <w:lang w:val="en-US" w:eastAsia="zh-CN"/>
        </w:rPr>
        <w:t>（提供承诺函）</w:t>
      </w:r>
    </w:p>
    <w:p>
      <w:pPr>
        <w:pStyle w:val="2"/>
        <w:numPr>
          <w:ilvl w:val="0"/>
          <w:numId w:val="0"/>
        </w:numPr>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合同包5（五标段）</w:t>
      </w:r>
      <w:r>
        <w:rPr>
          <w:rFonts w:hint="eastAsia" w:ascii="宋体" w:hAnsi="宋体" w:eastAsia="宋体" w:cs="宋体"/>
          <w:b/>
          <w:bCs/>
          <w:sz w:val="24"/>
          <w:szCs w:val="24"/>
          <w:lang w:val="en-US" w:eastAsia="zh-CN"/>
        </w:rPr>
        <w:t>特定资格要求如下:</w:t>
      </w:r>
    </w:p>
    <w:p>
      <w:pPr>
        <w:pStyle w:val="4"/>
        <w:ind w:left="0" w:leftChars="0" w:firstLine="480" w:firstLineChars="200"/>
        <w:rPr>
          <w:rFonts w:hint="eastAsia"/>
          <w:lang w:val="en-US" w:eastAsia="zh-CN"/>
        </w:rPr>
      </w:pPr>
      <w:r>
        <w:rPr>
          <w:rFonts w:hint="eastAsia" w:ascii="宋体" w:hAnsi="宋体" w:cs="宋体"/>
          <w:b w:val="0"/>
          <w:bCs w:val="0"/>
          <w:sz w:val="24"/>
          <w:szCs w:val="24"/>
          <w:lang w:val="en-US" w:eastAsia="zh-CN"/>
        </w:rPr>
        <w:t>同合同包4（四标段）一致</w:t>
      </w:r>
    </w:p>
    <w:p>
      <w:pPr>
        <w:numPr>
          <w:ilvl w:val="0"/>
          <w:numId w:val="0"/>
        </w:numPr>
        <w:shd w:val="clea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pPr>
        <w:numPr>
          <w:ilvl w:val="0"/>
          <w:numId w:val="0"/>
        </w:numPr>
        <w:shd w:val="clear"/>
        <w:spacing w:line="360" w:lineRule="auto"/>
        <w:ind w:leftChars="0" w:firstLine="480" w:firstLineChars="200"/>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lang w:val="en-US" w:eastAsia="zh-CN"/>
        </w:rPr>
        <w:t>时间：202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日至202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lang w:val="en-US" w:eastAsia="zh-CN"/>
        </w:rPr>
        <w:t>月1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shd w:val="clear"/>
          <w:lang w:val="en-US" w:eastAsia="zh-CN"/>
        </w:rPr>
        <w:t>日上午09：00分至</w:t>
      </w:r>
      <w:r>
        <w:rPr>
          <w:rFonts w:hint="eastAsia" w:ascii="宋体" w:hAnsi="宋体" w:cs="宋体"/>
          <w:color w:val="auto"/>
          <w:sz w:val="24"/>
          <w:szCs w:val="24"/>
          <w:highlight w:val="none"/>
          <w:shd w:val="clear"/>
          <w:lang w:val="en-US" w:eastAsia="zh-CN"/>
        </w:rPr>
        <w:t>17</w:t>
      </w:r>
      <w:r>
        <w:rPr>
          <w:rFonts w:hint="eastAsia" w:ascii="宋体" w:hAnsi="宋体" w:eastAsia="宋体" w:cs="宋体"/>
          <w:color w:val="auto"/>
          <w:sz w:val="24"/>
          <w:szCs w:val="24"/>
          <w:highlight w:val="none"/>
          <w:shd w:val="clear"/>
          <w:lang w:val="en-US" w:eastAsia="zh-CN"/>
        </w:rPr>
        <w:t>日下午17：00分。（北京时间,法定节假日除外）</w:t>
      </w:r>
    </w:p>
    <w:p>
      <w:pPr>
        <w:numPr>
          <w:ilvl w:val="0"/>
          <w:numId w:val="0"/>
        </w:numPr>
        <w:shd w:val="clear"/>
        <w:spacing w:line="360" w:lineRule="auto"/>
        <w:ind w:leftChars="0" w:firstLine="480" w:firstLineChars="200"/>
        <w:rPr>
          <w:rFonts w:hint="eastAsia" w:ascii="宋体" w:hAnsi="宋体" w:eastAsia="宋体" w:cs="宋体"/>
          <w:color w:val="auto"/>
          <w:sz w:val="24"/>
          <w:szCs w:val="24"/>
          <w:lang w:val="en-US" w:eastAsia="zh-CN"/>
        </w:rPr>
      </w:pPr>
      <w:r>
        <w:rPr>
          <w:rFonts w:hint="eastAsia" w:ascii="宋体" w:hAnsi="宋体" w:cs="宋体"/>
          <w:sz w:val="24"/>
          <w:szCs w:val="24"/>
          <w:lang w:val="en-US" w:eastAsia="zh-CN"/>
        </w:rPr>
        <w:t>途径</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lang w:val="en-US" w:eastAsia="zh-CN"/>
        </w:rPr>
        <w:t>【全国公共资源交易平台（陕西省·宝鸡市）】平台</w:t>
      </w:r>
    </w:p>
    <w:p>
      <w:pPr>
        <w:numPr>
          <w:ilvl w:val="0"/>
          <w:numId w:val="0"/>
        </w:numPr>
        <w:shd w:val="clea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方式：线上获取</w:t>
      </w:r>
    </w:p>
    <w:p>
      <w:pPr>
        <w:numPr>
          <w:ilvl w:val="0"/>
          <w:numId w:val="0"/>
        </w:numPr>
        <w:shd w:val="clea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售价：0元</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pPr>
        <w:numPr>
          <w:ilvl w:val="0"/>
          <w:numId w:val="0"/>
        </w:numPr>
        <w:spacing w:line="360" w:lineRule="auto"/>
        <w:ind w:leftChars="0"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截止时间：202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0分00秒（北京时间）</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地点：【全国公共资源交易平台（陕西省·宝鸡市）】平台</w:t>
      </w:r>
    </w:p>
    <w:p>
      <w:pPr>
        <w:numPr>
          <w:ilvl w:val="0"/>
          <w:numId w:val="0"/>
        </w:num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五、开启</w:t>
      </w:r>
    </w:p>
    <w:p>
      <w:pPr>
        <w:numPr>
          <w:ilvl w:val="0"/>
          <w:numId w:val="0"/>
        </w:numPr>
        <w:spacing w:line="360" w:lineRule="auto"/>
        <w:ind w:leftChars="0"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时间：202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0分00秒（北京时间）</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地点：【全国公共资源交易平台（陕西省·宝鸡市）】平台</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自本公告发布之日起5个工作日。</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七、其他补充事宜</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购买须知：供应商须登录全国公共资源交易平台（陕西省·宝鸡市）（http://ggzy.baoji.gov.cn/），交易平台〖首页〉电子交易平台〉企业端〗后，在〖招标公告/出让公告〗模块中选择有意向的项目点击“我要投标”，并打印投标回执单。供应商须在文件获取时间内</w:t>
      </w:r>
      <w:r>
        <w:rPr>
          <w:rFonts w:hint="eastAsia" w:ascii="宋体" w:hAnsi="宋体" w:eastAsia="宋体" w:cs="宋体"/>
          <w:sz w:val="24"/>
          <w:szCs w:val="24"/>
          <w:highlight w:val="none"/>
          <w:lang w:val="en-US" w:eastAsia="zh-CN"/>
        </w:rPr>
        <w:t>2023年07月1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日至2023年07月1</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日，每天上午09:00:00 至 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0:00，下午 14:00:00 至 17:00:00 </w:t>
      </w:r>
      <w:r>
        <w:rPr>
          <w:rFonts w:hint="eastAsia" w:ascii="宋体" w:hAnsi="宋体" w:eastAsia="宋体" w:cs="宋体"/>
          <w:sz w:val="24"/>
          <w:szCs w:val="24"/>
          <w:lang w:val="en-US" w:eastAsia="zh-CN"/>
        </w:rPr>
        <w:t>（北京时间,法定节假日除外）携网上投标成功回执单、介绍信、法定代表人授权委托书及被授权人身份证原件及加盖公章的营业执照复印件在宝鸡市陈仓大道三迪世纪新城北门向西100米门面房2楼确认报名信息。报名成功后可从〖我的项目〉项目流程〉交易文件下载〗中下载电子招标文件（*.SXSZF 格式）；</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未完成网上投标成功的或未在网站上下载招标文件的，无法完成后续流程。</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本项目为“全流程电子化”采购模式，实行电子投标方式，各供应商须自行在网上下载招标文件、交纳投标保证金，并登录全国公共资源交易平台（陕西省▪宝鸡市）宝鸡市公共资源交易中心（http://bj.sxggzyjy.cn/）-服务指南-下载专区-下载政府采购电子标书制作工具，按照流程制作电子标书并在规定的响应截止时间前上传电子响应文件。</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各供应商须在报名期间内下载招标文件，未下载文件的单位将无法提交电子投标文件；</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电子投标文件技术支持：4009280095、4009980000；</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请各供应商</w:t>
      </w:r>
      <w:r>
        <w:rPr>
          <w:rFonts w:hint="eastAsia" w:ascii="宋体" w:hAnsi="宋体" w:cs="宋体"/>
          <w:sz w:val="24"/>
          <w:szCs w:val="24"/>
          <w:lang w:val="en-US" w:eastAsia="zh-CN"/>
        </w:rPr>
        <w:t>获取文件</w:t>
      </w:r>
      <w:r>
        <w:rPr>
          <w:rFonts w:hint="eastAsia" w:ascii="宋体" w:hAnsi="宋体" w:eastAsia="宋体" w:cs="宋体"/>
          <w:sz w:val="24"/>
          <w:szCs w:val="24"/>
          <w:lang w:val="en-US" w:eastAsia="zh-CN"/>
        </w:rPr>
        <w:t>后，按照陕西省财政厅《关于政府采购供应商注册登记有关事项的通知》要求，通过陕西省政府采购网注册登记加入陕西省政府采购供应商库；</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7.7</w:t>
      </w:r>
      <w:r>
        <w:rPr>
          <w:rFonts w:hint="eastAsia" w:ascii="宋体" w:hAnsi="宋体" w:eastAsia="宋体" w:cs="宋体"/>
          <w:sz w:val="24"/>
          <w:szCs w:val="24"/>
          <w:lang w:val="en-US" w:eastAsia="zh-CN"/>
        </w:rPr>
        <w:t>.为了保证远程不见面开标顺利进行，供应商需使用配备相关设备的电脑提前一小时登录网络开标大厅。因投标人自身设施故障或自身原因导致无法完成投标的，由投标人自行承担后果；</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本项目采用“不见面”开标形式，供应商可登录陕西省宝鸡市公共资源交易中心平台（http://ggzy.baoji.gov.cn/）〖《首页》不见面开标〗在线参与开评标过程，详见交易平台〖首页〉服务指南〉下载专区〗中的《陕西省公共资源交易中心政府采购项目远程不见面开标操作手册》,电子投标文件（*.SXSTF）可于提交投标文件截止时间前任意时段登录陕西省宝鸡市公共资源交易中心平台（http://ggzy.baoji.gov.cn/）“电子交易平台-企业端”进行提交，逾期系统将拒绝接收，因投标人自身设施故障或自身原因导致无法完成签到或投标的，由投标人自行承担后果。</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八、凡对本次采购提出询问，请按以下方式联系</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1.釆购人信息</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r>
        <w:rPr>
          <w:rFonts w:hint="eastAsia" w:ascii="宋体" w:hAnsi="宋体" w:cs="宋体"/>
          <w:sz w:val="24"/>
          <w:szCs w:val="24"/>
          <w:lang w:val="en-US" w:eastAsia="zh-CN"/>
        </w:rPr>
        <w:t>宝鸡市凤翔区农业技术推广服务中心</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cs="宋体"/>
          <w:sz w:val="24"/>
          <w:szCs w:val="24"/>
          <w:lang w:val="en-US" w:eastAsia="zh-CN"/>
        </w:rPr>
        <w:t>凤翔区城关镇</w:t>
      </w:r>
      <w:r>
        <w:rPr>
          <w:rFonts w:hint="eastAsia" w:ascii="宋体" w:hAnsi="宋体" w:eastAsia="宋体" w:cs="宋体"/>
          <w:sz w:val="24"/>
          <w:szCs w:val="24"/>
          <w:lang w:val="en-US" w:eastAsia="zh-CN"/>
        </w:rPr>
        <w:t>秦凤路3号</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联系方式：0917-7282085</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2.釆购代理机构信息</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r>
        <w:rPr>
          <w:rFonts w:hint="eastAsia" w:ascii="宋体" w:hAnsi="宋体" w:cs="宋体"/>
          <w:sz w:val="24"/>
          <w:szCs w:val="24"/>
          <w:lang w:val="en-US" w:eastAsia="zh-CN"/>
        </w:rPr>
        <w:t>鸿远项目管理有限公司</w:t>
      </w:r>
      <w:r>
        <w:rPr>
          <w:rFonts w:hint="eastAsia" w:ascii="宋体" w:hAnsi="宋体" w:eastAsia="宋体" w:cs="宋体"/>
          <w:sz w:val="24"/>
          <w:szCs w:val="24"/>
          <w:lang w:val="en-US" w:eastAsia="zh-CN"/>
        </w:rPr>
        <w:t xml:space="preserve"> </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cs="宋体"/>
          <w:sz w:val="24"/>
          <w:szCs w:val="24"/>
          <w:lang w:val="en-US" w:eastAsia="zh-CN"/>
        </w:rPr>
        <w:t>宝鸡市陈仓大道三迪世纪新城北门向西100米门面房2楼</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w:t>
      </w:r>
      <w:r>
        <w:rPr>
          <w:rFonts w:hint="eastAsia" w:ascii="宋体" w:hAnsi="宋体" w:cs="宋体"/>
          <w:sz w:val="24"/>
          <w:szCs w:val="24"/>
          <w:lang w:val="en-US" w:eastAsia="zh-CN"/>
        </w:rPr>
        <w:t>0917-3300634</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项目联系人：陈工</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w:t>
      </w:r>
      <w:r>
        <w:rPr>
          <w:rFonts w:hint="eastAsia" w:ascii="宋体" w:hAnsi="宋体" w:cs="宋体"/>
          <w:sz w:val="24"/>
          <w:szCs w:val="24"/>
          <w:lang w:val="en-US" w:eastAsia="zh-CN"/>
        </w:rPr>
        <w:t>17829172850</w:t>
      </w:r>
      <w:r>
        <w:rPr>
          <w:rFonts w:hint="eastAsia" w:ascii="宋体" w:hAnsi="宋体" w:eastAsia="宋体" w:cs="宋体"/>
          <w:sz w:val="24"/>
          <w:szCs w:val="24"/>
          <w:lang w:val="en-US" w:eastAsia="zh-CN"/>
        </w:rPr>
        <w:t xml:space="preserve"> </w:t>
      </w:r>
    </w:p>
    <w:p>
      <w:pPr>
        <w:numPr>
          <w:ilvl w:val="0"/>
          <w:numId w:val="0"/>
        </w:numPr>
        <w:spacing w:line="360" w:lineRule="auto"/>
        <w:rPr>
          <w:rFonts w:hint="eastAsia" w:ascii="宋体" w:hAnsi="宋体" w:eastAsia="宋体" w:cs="宋体"/>
          <w:sz w:val="24"/>
          <w:szCs w:val="24"/>
          <w:lang w:val="en-US" w:eastAsia="zh-CN"/>
        </w:rPr>
      </w:pPr>
    </w:p>
    <w:p>
      <w:pPr>
        <w:numPr>
          <w:ilvl w:val="0"/>
          <w:numId w:val="0"/>
        </w:numPr>
        <w:spacing w:line="360" w:lineRule="auto"/>
        <w:ind w:leftChars="0"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鸿远项目管理有限公司</w:t>
      </w:r>
    </w:p>
    <w:p>
      <w:pPr>
        <w:numPr>
          <w:ilvl w:val="0"/>
          <w:numId w:val="0"/>
        </w:numPr>
        <w:spacing w:line="360" w:lineRule="auto"/>
        <w:ind w:leftChars="0"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日</w:t>
      </w:r>
    </w:p>
    <w:p/>
    <w:sectPr>
      <w:pgSz w:w="11906" w:h="16838"/>
      <w:pgMar w:top="1440" w:right="850"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5E6120"/>
    <w:multiLevelType w:val="multilevel"/>
    <w:tmpl w:val="755E6120"/>
    <w:lvl w:ilvl="0" w:tentative="0">
      <w:start w:val="1"/>
      <w:numFmt w:val="bullet"/>
      <w:pStyle w:val="2"/>
      <w:lvlText w:val=""/>
      <w:lvlJc w:val="left"/>
      <w:pPr>
        <w:tabs>
          <w:tab w:val="left" w:pos="1058"/>
        </w:tabs>
        <w:ind w:left="1058" w:hanging="420"/>
      </w:pPr>
      <w:rPr>
        <w:rFonts w:hint="default" w:ascii="Wingdings" w:hAnsi="Wingdings"/>
      </w:rPr>
    </w:lvl>
    <w:lvl w:ilvl="1" w:tentative="0">
      <w:start w:val="1"/>
      <w:numFmt w:val="decimal"/>
      <w:lvlText w:val="（%2）"/>
      <w:lvlJc w:val="right"/>
      <w:pPr>
        <w:tabs>
          <w:tab w:val="left" w:pos="1205"/>
        </w:tabs>
        <w:ind w:left="1205" w:hanging="147"/>
      </w:pPr>
      <w:rPr>
        <w:rFonts w:hint="eastAsia"/>
      </w:rPr>
    </w:lvl>
    <w:lvl w:ilvl="2" w:tentative="0">
      <w:start w:val="1"/>
      <w:numFmt w:val="bullet"/>
      <w:lvlText w:val=""/>
      <w:lvlJc w:val="left"/>
      <w:pPr>
        <w:tabs>
          <w:tab w:val="left" w:pos="1898"/>
        </w:tabs>
        <w:ind w:left="1898" w:hanging="420"/>
      </w:pPr>
      <w:rPr>
        <w:rFonts w:hint="default" w:ascii="Wingdings" w:hAnsi="Wingdings"/>
      </w:rPr>
    </w:lvl>
    <w:lvl w:ilvl="3" w:tentative="0">
      <w:start w:val="1"/>
      <w:numFmt w:val="bullet"/>
      <w:lvlText w:val=""/>
      <w:lvlJc w:val="left"/>
      <w:pPr>
        <w:tabs>
          <w:tab w:val="left" w:pos="2318"/>
        </w:tabs>
        <w:ind w:left="2318" w:hanging="420"/>
      </w:pPr>
      <w:rPr>
        <w:rFonts w:hint="default" w:ascii="Wingdings" w:hAnsi="Wingdings"/>
      </w:rPr>
    </w:lvl>
    <w:lvl w:ilvl="4" w:tentative="0">
      <w:start w:val="1"/>
      <w:numFmt w:val="bullet"/>
      <w:lvlText w:val=""/>
      <w:lvlJc w:val="left"/>
      <w:pPr>
        <w:tabs>
          <w:tab w:val="left" w:pos="2738"/>
        </w:tabs>
        <w:ind w:left="2738" w:hanging="420"/>
      </w:pPr>
      <w:rPr>
        <w:rFonts w:hint="default" w:ascii="Wingdings" w:hAnsi="Wingdings"/>
      </w:rPr>
    </w:lvl>
    <w:lvl w:ilvl="5" w:tentative="0">
      <w:start w:val="1"/>
      <w:numFmt w:val="bullet"/>
      <w:lvlText w:val=""/>
      <w:lvlJc w:val="left"/>
      <w:pPr>
        <w:tabs>
          <w:tab w:val="left" w:pos="3158"/>
        </w:tabs>
        <w:ind w:left="3158" w:hanging="420"/>
      </w:pPr>
      <w:rPr>
        <w:rFonts w:hint="default" w:ascii="Wingdings" w:hAnsi="Wingdings"/>
      </w:rPr>
    </w:lvl>
    <w:lvl w:ilvl="6" w:tentative="0">
      <w:start w:val="1"/>
      <w:numFmt w:val="bullet"/>
      <w:lvlText w:val=""/>
      <w:lvlJc w:val="left"/>
      <w:pPr>
        <w:tabs>
          <w:tab w:val="left" w:pos="3578"/>
        </w:tabs>
        <w:ind w:left="3578" w:hanging="420"/>
      </w:pPr>
      <w:rPr>
        <w:rFonts w:hint="default" w:ascii="Wingdings" w:hAnsi="Wingdings"/>
      </w:rPr>
    </w:lvl>
    <w:lvl w:ilvl="7" w:tentative="0">
      <w:start w:val="1"/>
      <w:numFmt w:val="bullet"/>
      <w:lvlText w:val=""/>
      <w:lvlJc w:val="left"/>
      <w:pPr>
        <w:tabs>
          <w:tab w:val="left" w:pos="3998"/>
        </w:tabs>
        <w:ind w:left="3998" w:hanging="420"/>
      </w:pPr>
      <w:rPr>
        <w:rFonts w:hint="default" w:ascii="Wingdings" w:hAnsi="Wingdings"/>
      </w:rPr>
    </w:lvl>
    <w:lvl w:ilvl="8" w:tentative="0">
      <w:start w:val="1"/>
      <w:numFmt w:val="bullet"/>
      <w:lvlText w:val=""/>
      <w:lvlJc w:val="left"/>
      <w:pPr>
        <w:tabs>
          <w:tab w:val="left" w:pos="4418"/>
        </w:tabs>
        <w:ind w:left="4418"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DM1NzkxNWZlMDRlOTMzZWYxZjJkNjhhNTIyNTAifQ=="/>
  </w:docVars>
  <w:rsids>
    <w:rsidRoot w:val="68C6379E"/>
    <w:rsid w:val="0360343D"/>
    <w:rsid w:val="06834C2B"/>
    <w:rsid w:val="21B92E22"/>
    <w:rsid w:val="321270E3"/>
    <w:rsid w:val="49F02CC8"/>
    <w:rsid w:val="4CC51E52"/>
    <w:rsid w:val="68C63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8"/>
    <w:qFormat/>
    <w:uiPriority w:val="0"/>
    <w:pPr>
      <w:keepNext/>
      <w:keepLines/>
      <w:spacing w:before="340" w:beforeLines="0" w:beforeAutospacing="0" w:after="330" w:afterLines="0" w:afterAutospacing="0" w:line="576" w:lineRule="auto"/>
      <w:jc w:val="center"/>
      <w:outlineLvl w:val="0"/>
    </w:pPr>
    <w:rPr>
      <w:b/>
      <w:kern w:val="44"/>
      <w:sz w:val="44"/>
    </w:rPr>
  </w:style>
  <w:style w:type="paragraph" w:styleId="9">
    <w:name w:val="heading 2"/>
    <w:basedOn w:val="1"/>
    <w:next w:val="1"/>
    <w:semiHidden/>
    <w:unhideWhenUsed/>
    <w:qFormat/>
    <w:uiPriority w:val="0"/>
    <w:pPr>
      <w:keepNext/>
      <w:keepLines/>
      <w:spacing w:before="260" w:beforeLines="0" w:beforeAutospacing="0" w:after="260" w:afterLines="0" w:afterAutospacing="0" w:line="413" w:lineRule="auto"/>
      <w:jc w:val="left"/>
      <w:outlineLvl w:val="1"/>
    </w:pPr>
    <w:rPr>
      <w:rFonts w:ascii="Arial" w:hAnsi="Arial"/>
      <w:b/>
      <w:sz w:val="32"/>
    </w:rPr>
  </w:style>
  <w:style w:type="paragraph" w:styleId="10">
    <w:name w:val="heading 3"/>
    <w:basedOn w:val="1"/>
    <w:next w:val="1"/>
    <w:semiHidden/>
    <w:unhideWhenUsed/>
    <w:qFormat/>
    <w:uiPriority w:val="0"/>
    <w:pPr>
      <w:keepNext/>
      <w:keepLines/>
      <w:spacing w:before="260" w:beforeLines="0" w:beforeAutospacing="0" w:after="260" w:afterLines="0" w:afterAutospacing="0" w:line="413" w:lineRule="auto"/>
      <w:jc w:val="left"/>
      <w:outlineLvl w:val="2"/>
    </w:pPr>
    <w:rPr>
      <w:b/>
      <w:sz w:val="28"/>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val="0"/>
      <w:numPr>
        <w:ilvl w:val="0"/>
        <w:numId w:val="1"/>
      </w:numPr>
      <w:tabs>
        <w:tab w:val="clear" w:pos="1058"/>
      </w:tabs>
      <w:spacing w:after="120" w:afterLines="0"/>
      <w:ind w:left="0" w:firstLine="420" w:firstLineChars="100"/>
      <w:jc w:val="both"/>
    </w:pPr>
    <w:rPr>
      <w:rFonts w:ascii="Calibri" w:hAnsi="Calibri" w:eastAsia="宋体" w:cs="Times New Roman"/>
      <w:kern w:val="2"/>
      <w:sz w:val="21"/>
      <w:szCs w:val="22"/>
      <w:lang w:val="en-US" w:eastAsia="zh-CN" w:bidi="ar-SA"/>
    </w:rPr>
  </w:style>
  <w:style w:type="paragraph" w:styleId="3">
    <w:name w:val="Body Text"/>
    <w:basedOn w:val="1"/>
    <w:next w:val="1"/>
    <w:qFormat/>
    <w:uiPriority w:val="0"/>
    <w:rPr>
      <w:rFonts w:ascii="Times New Roman"/>
    </w:rPr>
  </w:style>
  <w:style w:type="paragraph" w:styleId="4">
    <w:name w:val="Body Text First Indent 2"/>
    <w:basedOn w:val="5"/>
    <w:next w:val="2"/>
    <w:qFormat/>
    <w:uiPriority w:val="0"/>
    <w:pPr>
      <w:ind w:firstLine="420" w:firstLineChars="200"/>
    </w:pPr>
  </w:style>
  <w:style w:type="paragraph" w:styleId="5">
    <w:name w:val="Body Text Indent"/>
    <w:basedOn w:val="1"/>
    <w:next w:val="6"/>
    <w:qFormat/>
    <w:uiPriority w:val="0"/>
    <w:pPr>
      <w:ind w:left="420" w:leftChars="200"/>
    </w:pPr>
  </w:style>
  <w:style w:type="paragraph" w:styleId="6">
    <w:name w:val="envelope return"/>
    <w:basedOn w:val="1"/>
    <w:qFormat/>
    <w:uiPriority w:val="0"/>
    <w:pPr>
      <w:snapToGrid w:val="0"/>
    </w:pPr>
    <w:rPr>
      <w:rFonts w:ascii="Arial" w:hAnsi="Arial"/>
    </w:rPr>
  </w:style>
  <w:style w:type="paragraph" w:styleId="8">
    <w:name w:val="Normal Indent"/>
    <w:basedOn w:val="1"/>
    <w:next w:val="1"/>
    <w:unhideWhenUsed/>
    <w:qFormat/>
    <w:uiPriority w:val="0"/>
    <w:pPr>
      <w:ind w:firstLine="420" w:firstLineChars="200"/>
    </w:pPr>
  </w:style>
  <w:style w:type="paragraph" w:styleId="11">
    <w:name w:val="footer"/>
    <w:basedOn w:val="1"/>
    <w:qFormat/>
    <w:uiPriority w:val="99"/>
    <w:pPr>
      <w:tabs>
        <w:tab w:val="center" w:pos="4153"/>
        <w:tab w:val="right" w:pos="8306"/>
      </w:tabs>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2023-07-10T09:54:00Z</dcterms:created>
  <dc:creator>Administrator</dc:creator>
  <cp:lastModifiedBy>Administrator</cp:lastModifiedBy>
  <dcterms:modified xsi:type="dcterms:W3CDTF">2023-07-10T09:56:51Z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B2558C063A824562A1AD3B5105100786_11</vt:lpwstr>
  </property>
</Properties>
</file>