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凤翔区农产品质量安全中心实验室双认证项目实施内容采购招标公告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凤翔区农产品质量安全中心实验室双认证项目实施内容采购</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2023年08月15日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项目编号：SXTY(2023)-CG010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项目名称：凤翔区农产品质量安全中心实验室双认证项目实施内容采购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预算金额：468,618.15元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合同包1(凤翔区农产品质量安全中心实验室“双认证”项目实施内容采购一标段):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合同包预算金额：282,618.15元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合同包最高限价：282,618.15元</w:t>
      </w:r>
    </w:p>
    <w:tbl>
      <w:tblPr>
        <w:tblStyle w:val="8"/>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770"/>
        <w:gridCol w:w="2606"/>
        <w:gridCol w:w="1284"/>
        <w:gridCol w:w="1437"/>
        <w:gridCol w:w="926"/>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blHeader/>
        </w:trPr>
        <w:tc>
          <w:tcPr>
            <w:tcW w:w="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品目号</w:t>
            </w:r>
          </w:p>
        </w:tc>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品目名称</w:t>
            </w:r>
          </w:p>
        </w:tc>
        <w:tc>
          <w:tcPr>
            <w:tcW w:w="2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630" w:firstLineChars="30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采购标的</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数量（单位）</w:t>
            </w:r>
          </w:p>
        </w:tc>
        <w:tc>
          <w:tcPr>
            <w:tcW w:w="14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技术规格、参数及要求</w:t>
            </w:r>
          </w:p>
        </w:tc>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品目预算(元)</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微软雅黑" w:hAnsi="微软雅黑" w:eastAsia="微软雅黑" w:cs="微软雅黑"/>
                <w:i w:val="0"/>
                <w:caps w:val="0"/>
                <w:color w:val="333333"/>
                <w:spacing w:val="0"/>
                <w:sz w:val="21"/>
                <w:szCs w:val="21"/>
                <w:highlight w:val="none"/>
                <w:shd w:val="clear" w:color="auto" w:fill="FFFFFF"/>
                <w:lang w:val="en-US" w:eastAsia="zh-CN"/>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其他业务用房</w:t>
            </w:r>
          </w:p>
        </w:tc>
        <w:tc>
          <w:tcPr>
            <w:tcW w:w="2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微软雅黑" w:hAnsi="微软雅黑" w:eastAsia="微软雅黑" w:cs="微软雅黑"/>
                <w:i w:val="0"/>
                <w:caps w:val="0"/>
                <w:color w:val="333333"/>
                <w:spacing w:val="0"/>
                <w:sz w:val="21"/>
                <w:szCs w:val="21"/>
                <w:highlight w:val="none"/>
                <w:shd w:val="clear" w:color="auto" w:fill="FFFFFF"/>
                <w:lang w:val="en-US"/>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实验室台柜、试剂柜及通风橱、加装通风系统等。标识标签制作和张贴。实验室废弃物进行规范化分类处理，配备CMA和CATL考核所需的所有功能区域。</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333333"/>
                <w:spacing w:val="0"/>
                <w:sz w:val="21"/>
                <w:szCs w:val="21"/>
                <w:highlight w:val="none"/>
                <w:shd w:val="clear" w:color="auto" w:fill="FFFFFF"/>
                <w:lang w:eastAsia="zh-CN"/>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1</w:t>
            </w:r>
          </w:p>
        </w:tc>
        <w:tc>
          <w:tcPr>
            <w:tcW w:w="14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282618.15元</w:t>
            </w:r>
          </w:p>
        </w:tc>
        <w:tc>
          <w:tcPr>
            <w:tcW w:w="12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default" w:ascii="微软雅黑" w:hAnsi="微软雅黑" w:eastAsia="微软雅黑" w:cs="微软雅黑"/>
                <w:i w:val="0"/>
                <w:caps w:val="0"/>
                <w:color w:val="333333"/>
                <w:spacing w:val="0"/>
                <w:sz w:val="21"/>
                <w:szCs w:val="21"/>
                <w:highlight w:val="none"/>
                <w:shd w:val="clear" w:color="auto" w:fill="FFFFFF"/>
                <w:lang w:val="en-US" w:eastAsia="zh-CN"/>
              </w:rPr>
            </w:pPr>
            <w:r>
              <w:rPr>
                <w:rFonts w:hint="default" w:ascii="微软雅黑" w:hAnsi="微软雅黑" w:eastAsia="微软雅黑" w:cs="微软雅黑"/>
                <w:i w:val="0"/>
                <w:caps w:val="0"/>
                <w:color w:val="333333"/>
                <w:spacing w:val="0"/>
                <w:sz w:val="21"/>
                <w:szCs w:val="21"/>
                <w:highlight w:val="none"/>
                <w:shd w:val="clear" w:color="auto" w:fill="FFFFFF"/>
                <w:lang w:val="en-US" w:eastAsia="zh-CN"/>
              </w:rPr>
              <w:t>282618.15元</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合同履行期限：30日历天（自合同签订之日起30日历天内完成全部采购及安装）。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合同包2(凤翔区农产品质量安全中心实验室“双认证”项目实施内容采购二标段):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合同包预算金额：186,000.00元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合同包最高限价：186,000.00元</w:t>
      </w:r>
    </w:p>
    <w:tbl>
      <w:tblPr>
        <w:tblStyle w:val="8"/>
        <w:tblW w:w="9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5"/>
        <w:gridCol w:w="1004"/>
        <w:gridCol w:w="3362"/>
        <w:gridCol w:w="884"/>
        <w:gridCol w:w="1299"/>
        <w:gridCol w:w="117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9" w:hRule="atLeast"/>
          <w:tblHeader/>
        </w:trPr>
        <w:tc>
          <w:tcPr>
            <w:tcW w:w="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品目号</w:t>
            </w:r>
          </w:p>
        </w:tc>
        <w:tc>
          <w:tcPr>
            <w:tcW w:w="10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品目名称</w:t>
            </w:r>
          </w:p>
        </w:tc>
        <w:tc>
          <w:tcPr>
            <w:tcW w:w="3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30" w:firstLineChars="30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采购标的</w:t>
            </w:r>
          </w:p>
        </w:tc>
        <w:tc>
          <w:tcPr>
            <w:tcW w:w="8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数量单位）</w:t>
            </w:r>
          </w:p>
        </w:tc>
        <w:tc>
          <w:tcPr>
            <w:tcW w:w="12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技术规格、参数及要求</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品目预算(元)</w:t>
            </w:r>
          </w:p>
        </w:tc>
        <w:tc>
          <w:tcPr>
            <w:tcW w:w="10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2" w:hRule="atLeast"/>
        </w:trPr>
        <w:tc>
          <w:tcPr>
            <w:tcW w:w="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10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default" w:ascii="微软雅黑" w:hAnsi="微软雅黑" w:eastAsia="微软雅黑" w:cs="微软雅黑"/>
                <w:i w:val="0"/>
                <w:caps w:val="0"/>
                <w:color w:val="333333"/>
                <w:spacing w:val="0"/>
                <w:sz w:val="21"/>
                <w:szCs w:val="21"/>
                <w:highlight w:val="none"/>
                <w:shd w:val="clear" w:color="auto" w:fill="FFFFFF"/>
                <w:lang w:val="en-US" w:eastAsia="zh-CN"/>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农产品质量安全服务</w:t>
            </w:r>
          </w:p>
        </w:tc>
        <w:tc>
          <w:tcPr>
            <w:tcW w:w="3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default" w:ascii="微软雅黑" w:hAnsi="微软雅黑" w:eastAsia="微软雅黑" w:cs="微软雅黑"/>
                <w:i w:val="0"/>
                <w:caps w:val="0"/>
                <w:color w:val="333333"/>
                <w:spacing w:val="0"/>
                <w:sz w:val="21"/>
                <w:szCs w:val="21"/>
                <w:highlight w:val="none"/>
                <w:shd w:val="clear" w:color="auto" w:fill="FFFFFF"/>
                <w:lang w:val="en-US"/>
              </w:rPr>
            </w:pPr>
            <w:r>
              <w:rPr>
                <w:rFonts w:hint="eastAsia" w:ascii="微软雅黑" w:hAnsi="微软雅黑" w:eastAsia="微软雅黑" w:cs="微软雅黑"/>
                <w:i w:val="0"/>
                <w:caps w:val="0"/>
                <w:color w:val="333333"/>
                <w:spacing w:val="0"/>
                <w:sz w:val="21"/>
                <w:szCs w:val="21"/>
                <w:highlight w:val="none"/>
                <w:shd w:val="clear" w:color="auto" w:fill="FFFFFF"/>
                <w:lang w:val="zh-CN"/>
              </w:rPr>
              <w:t>按照RB/T 214-2017及农产品质量安全检测机构考核评审细则取得资质认定证书和机构考核证书，(CMA和CATL)。</w:t>
            </w: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具体服务事项详见第三部分采购内容及要求。</w:t>
            </w:r>
          </w:p>
        </w:tc>
        <w:tc>
          <w:tcPr>
            <w:tcW w:w="8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333333"/>
                <w:spacing w:val="0"/>
                <w:sz w:val="21"/>
                <w:szCs w:val="21"/>
                <w:highlight w:val="none"/>
                <w:shd w:val="clear" w:color="auto" w:fill="FFFFFF"/>
                <w:lang w:eastAsia="zh-CN"/>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1</w:t>
            </w:r>
          </w:p>
        </w:tc>
        <w:tc>
          <w:tcPr>
            <w:tcW w:w="12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11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eastAsia" w:ascii="微软雅黑" w:hAnsi="微软雅黑" w:eastAsia="微软雅黑" w:cs="微软雅黑"/>
                <w:i w:val="0"/>
                <w:caps w:val="0"/>
                <w:color w:val="333333"/>
                <w:spacing w:val="0"/>
                <w:sz w:val="21"/>
                <w:szCs w:val="21"/>
                <w:highlight w:val="none"/>
                <w:shd w:val="clear" w:color="auto" w:fill="FFFFFF"/>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186000.00元</w:t>
            </w:r>
          </w:p>
        </w:tc>
        <w:tc>
          <w:tcPr>
            <w:tcW w:w="10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right"/>
              <w:textAlignment w:val="auto"/>
              <w:rPr>
                <w:rFonts w:hint="default" w:ascii="微软雅黑" w:hAnsi="微软雅黑" w:eastAsia="微软雅黑" w:cs="微软雅黑"/>
                <w:i w:val="0"/>
                <w:caps w:val="0"/>
                <w:color w:val="333333"/>
                <w:spacing w:val="0"/>
                <w:sz w:val="21"/>
                <w:szCs w:val="21"/>
                <w:highlight w:val="none"/>
                <w:shd w:val="clear" w:color="auto" w:fill="FFFFFF"/>
                <w:lang w:val="en-US" w:eastAsia="zh-CN"/>
              </w:rPr>
            </w:pPr>
            <w:r>
              <w:rPr>
                <w:rFonts w:hint="eastAsia" w:ascii="微软雅黑" w:hAnsi="微软雅黑" w:eastAsia="微软雅黑" w:cs="微软雅黑"/>
                <w:i w:val="0"/>
                <w:caps w:val="0"/>
                <w:color w:val="333333"/>
                <w:spacing w:val="0"/>
                <w:sz w:val="21"/>
                <w:szCs w:val="21"/>
                <w:highlight w:val="none"/>
                <w:shd w:val="clear" w:color="auto" w:fill="FFFFFF"/>
                <w:lang w:val="en-US" w:eastAsia="zh-CN"/>
              </w:rPr>
              <w:t>186000.00元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合同履行期限：4个月（自合同签订之日起至顺利取得资质认定证书和机构考核证书(CMA和CATL)。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合同包1(凤翔区农产品质量安全中心实验室“双认证”项目实施内容采购一标段)落实政府采购政策需满足的资格要求如下: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 （2）《财政部 发展改革委 生态环境部 市场监管总局关于调整优化节能产品、环境标志产品政府采购执行机制的通知》(财库〔2019〕9号)； （3）《国务院办公厅关于建立政府强制采购节能产品制度的通知》（国办发〔2007〕51号）； （4）《财政部环保总局关于环境标志产品政府采购实施的意见》（财库〔2006〕90号）； （5）财政部、工业和信息化部关于印发《政府采购促进中小企业发展管理办法》的通知(财库〔2020〕46号)； （6）《财政部 司法部关于政府采购支持监狱企业发展有关问题的通知》（财库〔2014〕68号）；（7）《三部门联合发布关于促进残疾人就业政府采购政策的通知》（财库〔2017〕141号）；（8）《财政部国务院扶贫办关于运用政府采购政策支持脱贫攻坚的通知》（财库【2019】27号）；（9）《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合同包2(凤翔区农产品质量安全中心实验室“双认证”项目实施内容采购二标段)落实政府采购政策需满足的资格要求如下: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 国家发展改革委关于印发〈节能产品政府采购实施意见〉的通知》（财库〔2004〕185号）； （2）《财政部 发展改革委 生态环境部 市场监管总局关于调整优化节能产品、环境标志产品政府采购执行机制的通知》(财库〔2019〕9号)； （3）《国务院办公厅关于建立政府强制采购节能产品制度的通知》（国办发〔2007〕51号）； （4）《财政部环保总局关于环境标志产品政府采购实施的意见》（财库〔2006〕90号）； （5）财政部、工业和信息化部关于印发《政府采购促进中小企业发展管理办法》的通知(财库〔2020〕46号)； （6）《财政部 司法部关于政府采购支持监狱企业发展有关问题的通知》（财库〔2014〕68号）；（7）《三部门联合发布关于促进残疾人就业政府采购政策的通知》（财库〔2017〕141号）；（8）《财政部国务院扶贫办关于运用政府采购政策支持脱贫攻坚的通知》（财库【2019】27号）；（9）《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合同包1(凤翔区农产品质量安全中心实验室“双认证”项目实施内容采购一标段)特定资格要求如下: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应为具有独立承担民事责任能力的且具备向采购人提供相关服务的企业法人、事业单位法人、其他组织或自然人。企业法人应提供具有统一社会信用代码的营业执照；事业单位法人应提供事业单位法人证等证明文件；其他组织及自然人应提供合法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2）投标人法定代表人授权代表参加开标的，须出具法定代表人授权书及授权代表身份证，法定代表人直接投标只须提交其法人身份证明；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3）税收缴纳证明：提供投标文件递交截止日前一年内已缴纳的任意三个月的完税证明（任意税种），依法免税的单位应提供相关证明材料;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4）社会保障资金缴纳证明：提供投标文件递交截止日前一年内已缴纳的任意三个月的社会保障资金缴存单据或社保机构开具的社保保险参保缴费情况证明，依法免税的单位应提供相关证明材料;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报告：提供2022年的财务报表（至少包括资产负债表、利润表和现金流量表，成立时间至提交投标文件截止时间不足一年的可提供成立后任意时段的资产负债表）或其基本账户开户行出具的近半年内的银行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7)具备履行合同所必须的设备和专业技术能力的书面声明;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近三年内供应商不得为“信用中国”网站（www.creditchina.gov.cn）中列入失信被执行人、重大税收违法失信主体、及拖欠农民工工资失信联合惩戒对象当事人名单的供应商；不得为中国政府采购网（www.ccgp.gov.cn）政府采购严重违法失信行为记录名单中被财政部门禁止参加政府采购活动的投标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合同包2(凤翔区农产品质量安全中心实验室“双认证”项目实施内容采购二标段)特定资格要求如下: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2023年07月25日 至 2023年07月31日 ，每天上午 09:00:00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【全国公共资源交易平台（陕西省·宝鸡市）】（http://bj.sxggzyjy.cn）上传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宝鸡市公共资源交易中心五楼第11开标室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注：1、本项目有意向投标的投标人须登录全国公共资源交易平台（陕西省宝鸡市）宝鸡市公共资源交易中心（http://bj.sxggzyjy.cn/），交易平台〖首页〉电子交易平台〉企业端〗后，选择电子交易平台中的陕西政府采购交易系统（http://www.sxggzyjy.cn:9002/TPBidder ）进行登录，登录后选择“交易乙方”身份进入投标人界面。在〖招标公告/出让公告〗模块中选择有意向的项目点击“我要投标”，投标成功后即可从〖我的项目〉项目流程〉交易文件下载〗中下载电子招标文件（*.SXSZF格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2、参与本次项目的投标人请及时登录陕西省政府采购网（http://www.ccgp-shaanxi.gov.cn/），办理投标人入库申请并及时办理CA数字证书（陕西CA锁）；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为“全流程电子化”采购模式，各投标人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4、未完成网上投标或未在规定时间内在平台上下载电子招标文件的，导致无法完成后续流程的责任自负。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本项目采用不见面开标方式，各投标人可登录全国公共资源交易平台（陕西省·宝鸡市）宝鸡市公共资源交易中心（http://bj.sxggzyjy.cn/）下载《政府采购电子标书制作工具》、《政府采购投标单位操作手册》和《宝鸡市不见面大厅投标人操作手册》,按照流程制作电子标书并在投标截止时间前上传电子投标文件。为了保证远程不见面开标顺利进行，投标人需使用配备相关设备的电脑提前一小时登录网络开标大厅进行线上签到。因投标人自身设施故障或自身原因导致无法完成投标的，由投标人自行承担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宝鸡市凤翔区农产品质量安全中心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凤翔县秦凤路3号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0917-7282310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陕西天予工程咨询监理有限公司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宝鸡市金台区金台大道金融广场B座1101室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13992713398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张红红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13992713398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陕西天予工程咨询监理有限公司</w:t>
      </w:r>
      <w:bookmarkStart w:id="0" w:name="_GoBack"/>
      <w:bookmarkEnd w:id="0"/>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YTA5OWQyYmUzYWQ4MTQyYTc1MDUwMmY5MDJiNTIifQ=="/>
  </w:docVars>
  <w:rsids>
    <w:rsidRoot w:val="30A92D59"/>
    <w:rsid w:val="30A9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envelope return"/>
    <w:basedOn w:val="1"/>
    <w:qFormat/>
    <w:uiPriority w:val="99"/>
    <w:pPr>
      <w:snapToGrid w:val="0"/>
    </w:pPr>
    <w:rPr>
      <w:rFonts w:ascii="Arial" w:hAnsi="Arial" w:cs="Arial"/>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2023-07-24T10:57:00Z</dcterms:created>
  <dc:creator>神经质</dc:creator>
  <cp:lastModifiedBy>神经质</cp:lastModifiedBy>
  <dcterms:modified xsi:type="dcterms:W3CDTF">2023-07-24T11:02:43Z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497D4220C8864F62BBC5065AD6C6DCA6_11</vt:lpwstr>
  </property>
</Properties>
</file>