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凤翔师范附属中学教室护眼灯采购项目招标公告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凤翔师范附属中学教室护眼灯采购项目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2023年07月25日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项目编号：ZFQ2023-06-28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项目名称：凤翔师范附属中学教室护眼灯采购项目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合同包最高限价：700,000.00元</w:t>
      </w:r>
    </w:p>
    <w:tbl>
      <w:tblPr>
        <w:tblW w:w="89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7"/>
        <w:gridCol w:w="1851"/>
        <w:gridCol w:w="1851"/>
        <w:gridCol w:w="749"/>
        <w:gridCol w:w="136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9"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护眼灯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bdr w:val="none" w:color="auto" w:sz="0" w:space="0"/>
                <w:lang w:val="en-US" w:eastAsia="zh-CN" w:bidi="ar"/>
              </w:rPr>
              <w:t>700,000.00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sz w:val="21"/>
                <w:szCs w:val="21"/>
              </w:rPr>
            </w:pPr>
            <w:r>
              <w:rPr>
                <w:rFonts w:ascii="宋体" w:hAnsi="宋体" w:eastAsia="宋体" w:cs="宋体"/>
                <w:kern w:val="0"/>
                <w:sz w:val="21"/>
                <w:szCs w:val="21"/>
                <w:bdr w:val="none" w:color="auto" w:sz="0" w:space="0"/>
                <w:lang w:val="en-US" w:eastAsia="zh-CN" w:bidi="ar"/>
              </w:rPr>
              <w:t>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2.1关于印发《政府采购促进中小企业发展管理办法》的通知（财库〔2020〕46号）；《财政部关于进一步加大政府采购支持中小企业力度的通知》（财库〔2022〕19号）；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合同包1(凤翔师范附属中学教室护眼灯采购项目)特定资格要求如下: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3.1具有独立承担民事责任能力的法人、其他组织或自然人，提供合法有效的统一社会信用代码营业执照（事业单位提供事业单位法人证书，自然人应提供身份证）；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3.2法定代表人授权委托书：法定代表人参加投标的，须出示身份证原件；法定代表人授权他人参加投标的，须提供法定代表人授权委托书及被授权人身份证原件；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3.3财务状况：提供2021年或2022年度经审计的财务审计报告（成立时间至提交投标文件截止时间不足一年的可提供成立后任意时段的资产负债表），或开标时间前六个月内银行出具的资信证明；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3.4税收缴纳证明：提供投标文件递交截止时间前一年内至少三个月的纳税证明或完税证明；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3.5社会保障资金缴纳证明：提供投标文件递交截止时间前近一年内任意三个月的社会保障资金缴存单据或社保机构开具的社会保险参保情况证明；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www.creditchina.gov.cn）中列入失信被执行人和重大税收违法案件当事人名单的供应商；不得为中国政府采购（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3.8提供具有履行本项目合同所必需的设备和专业技术能力的说明及承诺书；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2023年07月05日 至 2023年07月11日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2023年07月25日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线上提交（全国公共资源交易平台（陕西省·宝鸡市））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宝鸡市公共资源交易中心五楼第11开标室（不见面开标室席位1）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关于进一步加大政府采购支持中小企业力度的通知财库〔2022〕19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中小企业政府采购信用融资办法》（陕财办采〔2018〕23号）。（9）《陕西省财政厅关于加快推进我省中小企业政府采购信用融资工作的通知》（陕财办采〔2020〕15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注：如有最新颁布的政府采购政策，按最新的文件执行。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本项目有意向投标人须登录全国公共资源交易平台（陕西省·宝鸡市）宝鸡市公共资源交易中心（http://ggzy.baoji.gov.cn/，交易平台〖首页〉电子交易平台〉企业端〗后，在〖招标公告/出让公告〗模块中选择有意向的项目点击“我要投标”。即可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3、投标人在网上填写单位信息（单位名称、营业执照相关信息）时应与招标文件要求及后期上传的电子投标文件中相关信息一致，否则造成资格审查不通过的后果自负；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本项目采用不见面开标方式，各投标人可登录（http://ggzy.baoji.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5、未完成网上投标或未在规定时间内在平台上下载电子招标文件的，导致无法完成后续流程的责任自负；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有意向投标人办理CA锁地址及流程，内容如下：CA锁办理地址及流程：宝鸡市金台区行政大道8号海棠风尚宝鸡市公共资源交易中心4楼2号窗口（办理流程：http://ggzy.baoji.gov.cn/fwzn/004002/20220524/05ccf80e-6a61-43e9-90e9-ebdd8da75241.html）；如有技术性问题，请先翻阅操作手册或致电软件开发商，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7、供应商须提前在陕西省政府采购网（http://www.ccgp-shaanxi.gov.cn/），按照“供应商注册注意事项”要求，完成注册审核，以保证后续流程的进行。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注意事项：投标人应随时留意可能发布的变更公告，当澄清或修改的内容影响投标文件编制时，将在交易平台上同步发布答疑文件，此时投标人应从“项目流程”答疑文件下载、下载最新发布的答疑文件。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8、根据陕西省财政厅关于印发《陕西省中小企业政府采购信用融资办法》陕财办采〔2018〕23号相关规定，有融资需求的供应商可根据自身情况，在陕西省政府采购信用融资平台（http://www.ccgp-shaanxi.gov.cn/zcdservice/zcd/shanxi/）自主选择金融机构及其融资产品，凭政府采购中标（成交）通知书或政府采购合同提出融资申请，办理“政采贷”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宝鸡市凤翔区竞存中学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宝鸡市凤翔区秦凤路6号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0917-7235866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陕西紫方乔项目管理有限公司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陕西省西安市碑林区陕西省西安市碑林区二环南路西段65号煜源国际516室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029-85798536-8937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紫方乔经办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029-85798536-8937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陕西紫方乔项目管理有限公司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jBmYzE2N2M2NjI4ZmQxZGQ4NWFjOGE0NWZlYzUifQ=="/>
  </w:docVars>
  <w:rsids>
    <w:rsidRoot w:val="00000000"/>
    <w:rsid w:val="3C7A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2023-07-04T08:35:59Z</dcterms:created>
  <dc:creator>Administrator</dc:creator>
  <cp:lastModifiedBy>A卡咖俱乐部</cp:lastModifiedBy>
  <dcterms:modified xsi:type="dcterms:W3CDTF">2023-07-04T08:36:32Z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C677610D30FD437D8CCAFFE79DA68146_12</vt:lpwstr>
  </property>
</Properties>
</file>