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jc w:val="center"/>
      </w:pPr>
      <w:r>
        <w:rPr>
          <w:rFonts w:hint="eastAsia"/>
          <w:lang w:val="en-US" w:eastAsia="zh-CN"/>
        </w:rPr>
        <w:t>岐山县枣林镇政府</w:t>
      </w:r>
      <w:bookmarkStart w:id="0" w:name="_GoBack"/>
      <w:r>
        <w:rPr>
          <w:rFonts w:hint="eastAsia"/>
          <w:lang w:val="en-US" w:eastAsia="zh-CN"/>
        </w:rPr>
        <w:t>2023年枣林镇枣林村阳光玫瑰葡萄园提升改造项目</w:t>
      </w:r>
      <w:bookmarkEnd w:id="0"/>
      <w:r>
        <w:rPr>
          <w:rFonts w:hint="eastAsia"/>
          <w:lang w:val="en-US" w:eastAsia="zh-CN"/>
        </w:rPr>
        <w:t>竞争性磋商公告</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120" w:beforeAutospacing="0" w:after="120" w:afterAutospacing="0" w:line="24" w:lineRule="atLeast"/>
        <w:ind w:left="0" w:right="0"/>
        <w:jc w:val="left"/>
        <w:rPr>
          <w:rFonts w:hint="eastAsia" w:ascii="仿宋" w:hAnsi="仿宋" w:eastAsia="仿宋" w:cs="仿宋"/>
          <w:b w:val="0"/>
          <w:bCs w:val="0"/>
          <w:color w:val="auto"/>
          <w:sz w:val="28"/>
          <w:szCs w:val="28"/>
        </w:rPr>
      </w:pPr>
      <w:r>
        <w:rPr>
          <w:rStyle w:val="9"/>
          <w:rFonts w:hint="eastAsia" w:ascii="仿宋" w:hAnsi="仿宋" w:eastAsia="仿宋" w:cs="仿宋"/>
          <w:b/>
          <w:bCs/>
          <w:i w:val="0"/>
          <w:iCs w:val="0"/>
          <w:caps w:val="0"/>
          <w:color w:val="auto"/>
          <w:spacing w:val="0"/>
          <w:sz w:val="28"/>
          <w:szCs w:val="28"/>
          <w:bdr w:val="none" w:color="auto" w:sz="0" w:space="0"/>
          <w:shd w:val="clear" w:fill="FFFFFF"/>
        </w:rPr>
        <w:t>项目概况</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120" w:beforeAutospacing="0" w:after="120" w:afterAutospacing="0" w:line="384" w:lineRule="atLeast"/>
        <w:ind w:left="0" w:right="0" w:firstLine="384"/>
        <w:jc w:val="both"/>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bdr w:val="none" w:color="auto" w:sz="0" w:space="0"/>
          <w:shd w:val="clear" w:fill="FFFFFF"/>
        </w:rPr>
        <w:t>2023年枣林镇枣林村阳光玫瑰葡萄园提升改造项目采购项目的潜在供应商应在全国公共资源交易平台（陕西省·宝鸡市）（http://ggzy.baoji.gov.cn/）获取采购文件，并于 2023年03月27日 09时30分 （北京时间）前提交响应文件。</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120" w:beforeAutospacing="0" w:after="0" w:afterAutospacing="0" w:line="600" w:lineRule="atLeast"/>
        <w:ind w:left="0" w:right="0"/>
        <w:jc w:val="left"/>
        <w:rPr>
          <w:rFonts w:hint="eastAsia" w:ascii="仿宋" w:hAnsi="仿宋" w:eastAsia="仿宋" w:cs="仿宋"/>
          <w:b w:val="0"/>
          <w:bCs w:val="0"/>
          <w:color w:val="auto"/>
          <w:sz w:val="28"/>
          <w:szCs w:val="28"/>
        </w:rPr>
      </w:pPr>
      <w:r>
        <w:rPr>
          <w:rStyle w:val="9"/>
          <w:rFonts w:hint="eastAsia" w:ascii="仿宋" w:hAnsi="仿宋" w:eastAsia="仿宋" w:cs="仿宋"/>
          <w:b/>
          <w:bCs/>
          <w:i w:val="0"/>
          <w:iCs w:val="0"/>
          <w:caps w:val="0"/>
          <w:color w:val="auto"/>
          <w:spacing w:val="0"/>
          <w:sz w:val="28"/>
          <w:szCs w:val="28"/>
          <w:bdr w:val="none" w:color="auto" w:sz="0" w:space="0"/>
          <w:shd w:val="clear" w:fill="FFFFFF"/>
        </w:rPr>
        <w:t>一、项目基本情况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bdr w:val="none" w:color="auto" w:sz="0" w:space="0"/>
          <w:shd w:val="clear" w:fill="FFFFFF"/>
        </w:rPr>
        <w:t>项目编号：WCDL-2023-015</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bdr w:val="none" w:color="auto" w:sz="0" w:space="0"/>
          <w:shd w:val="clear" w:fill="FFFFFF"/>
        </w:rPr>
        <w:t>项目名称：2023年枣林镇枣林村阳光玫瑰葡萄园提升改造项目</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bdr w:val="none" w:color="auto" w:sz="0" w:space="0"/>
          <w:shd w:val="clear" w:fill="FFFFFF"/>
        </w:rPr>
        <w:t>采购方式：竞争性磋商</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bdr w:val="none" w:color="auto" w:sz="0" w:space="0"/>
          <w:shd w:val="clear" w:fill="FFFFFF"/>
        </w:rPr>
        <w:t>预算金额：800,000.00元</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bdr w:val="none" w:color="auto" w:sz="0" w:space="0"/>
          <w:shd w:val="clear" w:fill="FFFFFF"/>
        </w:rPr>
        <w:t>采购需求：</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bdr w:val="none" w:color="auto" w:sz="0" w:space="0"/>
          <w:shd w:val="clear" w:fill="FFFFFF"/>
        </w:rPr>
        <w:t>合同包1(2023年枣林镇枣林村阳光玫瑰葡萄园提升改造项目):</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504"/>
        <w:jc w:val="both"/>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bdr w:val="none" w:color="auto" w:sz="0" w:space="0"/>
          <w:shd w:val="clear" w:fill="FFFFFF"/>
        </w:rPr>
        <w:t>合同包预算金额：800,000.00元</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504"/>
        <w:jc w:val="both"/>
        <w:rPr>
          <w:rFonts w:hint="eastAsia" w:ascii="仿宋" w:hAnsi="仿宋" w:eastAsia="仿宋" w:cs="仿宋"/>
          <w:i w:val="0"/>
          <w:iCs w:val="0"/>
          <w:caps w:val="0"/>
          <w:color w:val="auto"/>
          <w:spacing w:val="0"/>
          <w:sz w:val="28"/>
          <w:szCs w:val="28"/>
          <w:bdr w:val="none" w:color="auto" w:sz="0" w:space="0"/>
          <w:shd w:val="clear" w:fill="FFFFFF"/>
        </w:rPr>
      </w:pPr>
      <w:r>
        <w:rPr>
          <w:rFonts w:hint="eastAsia" w:ascii="仿宋" w:hAnsi="仿宋" w:eastAsia="仿宋" w:cs="仿宋"/>
          <w:i w:val="0"/>
          <w:iCs w:val="0"/>
          <w:caps w:val="0"/>
          <w:color w:val="auto"/>
          <w:spacing w:val="0"/>
          <w:sz w:val="28"/>
          <w:szCs w:val="28"/>
          <w:bdr w:val="none" w:color="auto" w:sz="0" w:space="0"/>
          <w:shd w:val="clear" w:fill="FFFFFF"/>
        </w:rPr>
        <w:t>合同包最高限价：799,557.78元</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504"/>
        <w:jc w:val="both"/>
        <w:rPr>
          <w:rFonts w:hint="eastAsia" w:ascii="仿宋" w:hAnsi="仿宋" w:eastAsia="仿宋" w:cs="仿宋"/>
          <w:i w:val="0"/>
          <w:iCs w:val="0"/>
          <w:caps w:val="0"/>
          <w:color w:val="auto"/>
          <w:spacing w:val="0"/>
          <w:sz w:val="28"/>
          <w:szCs w:val="28"/>
          <w:bdr w:val="none" w:color="auto" w:sz="0" w:space="0"/>
          <w:shd w:val="clear" w:fill="FFFFFF"/>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504"/>
        <w:jc w:val="both"/>
        <w:rPr>
          <w:rFonts w:hint="eastAsia" w:ascii="仿宋" w:hAnsi="仿宋" w:eastAsia="仿宋" w:cs="仿宋"/>
          <w:i w:val="0"/>
          <w:iCs w:val="0"/>
          <w:caps w:val="0"/>
          <w:color w:val="auto"/>
          <w:spacing w:val="0"/>
          <w:sz w:val="28"/>
          <w:szCs w:val="28"/>
          <w:bdr w:val="none" w:color="auto" w:sz="0" w:space="0"/>
          <w:shd w:val="clear" w:fill="FFFFFF"/>
        </w:rPr>
      </w:pPr>
    </w:p>
    <w:tbl>
      <w:tblPr>
        <w:tblW w:w="9418"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609"/>
        <w:gridCol w:w="1193"/>
        <w:gridCol w:w="1824"/>
        <w:gridCol w:w="875"/>
        <w:gridCol w:w="1733"/>
        <w:gridCol w:w="1592"/>
        <w:gridCol w:w="159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778" w:hRule="atLeast"/>
          <w:tblHeader/>
        </w:trPr>
        <w:tc>
          <w:tcPr>
            <w:tcW w:w="629" w:type="dxa"/>
            <w:tcBorders>
              <w:top w:val="single" w:color="333333" w:sz="4" w:space="0"/>
              <w:left w:val="single" w:color="333333" w:sz="4" w:space="0"/>
              <w:bottom w:val="single" w:color="333333" w:sz="4" w:space="0"/>
              <w:right w:val="single" w:color="333333" w:sz="4" w:space="0"/>
            </w:tcBorders>
            <w:shd w:val="clear"/>
            <w:tcMar>
              <w:top w:w="60" w:type="dxa"/>
              <w:left w:w="96" w:type="dxa"/>
              <w:bottom w:w="60" w:type="dxa"/>
              <w:right w:w="96" w:type="dxa"/>
            </w:tcMar>
            <w:vAlign w:val="center"/>
          </w:tcPr>
          <w:p>
            <w:pPr>
              <w:keepNext w:val="0"/>
              <w:keepLines w:val="0"/>
              <w:widowControl/>
              <w:suppressLineNumbers w:val="0"/>
              <w:wordWrap w:val="0"/>
              <w:spacing w:before="0" w:beforeAutospacing="0" w:after="0" w:afterAutospacing="0" w:line="288" w:lineRule="atLeast"/>
              <w:ind w:left="0" w:right="0"/>
              <w:jc w:val="center"/>
              <w:rPr>
                <w:rFonts w:hint="eastAsia" w:ascii="仿宋" w:hAnsi="仿宋" w:eastAsia="仿宋" w:cs="仿宋"/>
                <w:b/>
                <w:bCs/>
                <w:color w:val="auto"/>
                <w:sz w:val="28"/>
                <w:szCs w:val="28"/>
              </w:rPr>
            </w:pPr>
            <w:r>
              <w:rPr>
                <w:rFonts w:hint="eastAsia" w:ascii="仿宋" w:hAnsi="仿宋" w:eastAsia="仿宋" w:cs="仿宋"/>
                <w:b/>
                <w:bCs/>
                <w:color w:val="auto"/>
                <w:kern w:val="0"/>
                <w:sz w:val="28"/>
                <w:szCs w:val="28"/>
                <w:bdr w:val="none" w:color="auto" w:sz="0" w:space="0"/>
                <w:lang w:val="en-US" w:eastAsia="zh-CN" w:bidi="ar"/>
              </w:rPr>
              <w:t>品目号</w:t>
            </w:r>
          </w:p>
        </w:tc>
        <w:tc>
          <w:tcPr>
            <w:tcW w:w="1295" w:type="dxa"/>
            <w:tcBorders>
              <w:top w:val="single" w:color="333333" w:sz="4" w:space="0"/>
              <w:left w:val="single" w:color="333333" w:sz="4" w:space="0"/>
              <w:bottom w:val="single" w:color="333333" w:sz="4" w:space="0"/>
              <w:right w:val="single" w:color="333333" w:sz="4" w:space="0"/>
            </w:tcBorders>
            <w:shd w:val="clear"/>
            <w:tcMar>
              <w:top w:w="60" w:type="dxa"/>
              <w:left w:w="96" w:type="dxa"/>
              <w:bottom w:w="60" w:type="dxa"/>
              <w:right w:w="96" w:type="dxa"/>
            </w:tcMar>
            <w:vAlign w:val="center"/>
          </w:tcPr>
          <w:p>
            <w:pPr>
              <w:keepNext w:val="0"/>
              <w:keepLines w:val="0"/>
              <w:widowControl/>
              <w:suppressLineNumbers w:val="0"/>
              <w:wordWrap w:val="0"/>
              <w:spacing w:before="0" w:beforeAutospacing="0" w:after="0" w:afterAutospacing="0" w:line="288" w:lineRule="atLeast"/>
              <w:ind w:left="0" w:right="0"/>
              <w:jc w:val="center"/>
              <w:rPr>
                <w:rFonts w:hint="eastAsia" w:ascii="仿宋" w:hAnsi="仿宋" w:eastAsia="仿宋" w:cs="仿宋"/>
                <w:b/>
                <w:bCs/>
                <w:color w:val="auto"/>
                <w:sz w:val="28"/>
                <w:szCs w:val="28"/>
              </w:rPr>
            </w:pPr>
            <w:r>
              <w:rPr>
                <w:rFonts w:hint="eastAsia" w:ascii="仿宋" w:hAnsi="仿宋" w:eastAsia="仿宋" w:cs="仿宋"/>
                <w:b/>
                <w:bCs/>
                <w:color w:val="auto"/>
                <w:kern w:val="0"/>
                <w:sz w:val="28"/>
                <w:szCs w:val="28"/>
                <w:bdr w:val="none" w:color="auto" w:sz="0" w:space="0"/>
                <w:lang w:val="en-US" w:eastAsia="zh-CN" w:bidi="ar"/>
              </w:rPr>
              <w:t>品目名称</w:t>
            </w:r>
          </w:p>
        </w:tc>
        <w:tc>
          <w:tcPr>
            <w:tcW w:w="2016" w:type="dxa"/>
            <w:tcBorders>
              <w:top w:val="single" w:color="333333" w:sz="4" w:space="0"/>
              <w:left w:val="single" w:color="333333" w:sz="4" w:space="0"/>
              <w:bottom w:val="single" w:color="333333" w:sz="4" w:space="0"/>
              <w:right w:val="single" w:color="333333" w:sz="4" w:space="0"/>
            </w:tcBorders>
            <w:shd w:val="clear"/>
            <w:tcMar>
              <w:top w:w="60" w:type="dxa"/>
              <w:left w:w="96" w:type="dxa"/>
              <w:bottom w:w="60" w:type="dxa"/>
              <w:right w:w="96" w:type="dxa"/>
            </w:tcMar>
            <w:vAlign w:val="center"/>
          </w:tcPr>
          <w:p>
            <w:pPr>
              <w:keepNext w:val="0"/>
              <w:keepLines w:val="0"/>
              <w:widowControl/>
              <w:suppressLineNumbers w:val="0"/>
              <w:wordWrap w:val="0"/>
              <w:spacing w:before="0" w:beforeAutospacing="0" w:after="0" w:afterAutospacing="0" w:line="288" w:lineRule="atLeast"/>
              <w:ind w:left="0" w:right="0"/>
              <w:jc w:val="center"/>
              <w:rPr>
                <w:rFonts w:hint="eastAsia" w:ascii="仿宋" w:hAnsi="仿宋" w:eastAsia="仿宋" w:cs="仿宋"/>
                <w:b/>
                <w:bCs/>
                <w:color w:val="auto"/>
                <w:sz w:val="28"/>
                <w:szCs w:val="28"/>
              </w:rPr>
            </w:pPr>
            <w:r>
              <w:rPr>
                <w:rFonts w:hint="eastAsia" w:ascii="仿宋" w:hAnsi="仿宋" w:eastAsia="仿宋" w:cs="仿宋"/>
                <w:b/>
                <w:bCs/>
                <w:color w:val="auto"/>
                <w:kern w:val="0"/>
                <w:sz w:val="28"/>
                <w:szCs w:val="28"/>
                <w:bdr w:val="none" w:color="auto" w:sz="0" w:space="0"/>
                <w:lang w:val="en-US" w:eastAsia="zh-CN" w:bidi="ar"/>
              </w:rPr>
              <w:t>采购标的</w:t>
            </w:r>
          </w:p>
        </w:tc>
        <w:tc>
          <w:tcPr>
            <w:tcW w:w="873" w:type="dxa"/>
            <w:tcBorders>
              <w:top w:val="single" w:color="333333" w:sz="4" w:space="0"/>
              <w:left w:val="single" w:color="333333" w:sz="4" w:space="0"/>
              <w:bottom w:val="single" w:color="333333" w:sz="4" w:space="0"/>
              <w:right w:val="single" w:color="333333" w:sz="4" w:space="0"/>
            </w:tcBorders>
            <w:shd w:val="clear"/>
            <w:tcMar>
              <w:top w:w="60" w:type="dxa"/>
              <w:left w:w="96" w:type="dxa"/>
              <w:bottom w:w="60" w:type="dxa"/>
              <w:right w:w="96" w:type="dxa"/>
            </w:tcMar>
            <w:vAlign w:val="center"/>
          </w:tcPr>
          <w:p>
            <w:pPr>
              <w:keepNext w:val="0"/>
              <w:keepLines w:val="0"/>
              <w:widowControl/>
              <w:suppressLineNumbers w:val="0"/>
              <w:wordWrap w:val="0"/>
              <w:spacing w:before="0" w:beforeAutospacing="0" w:after="0" w:afterAutospacing="0" w:line="288" w:lineRule="atLeast"/>
              <w:ind w:left="0" w:right="0"/>
              <w:jc w:val="center"/>
              <w:rPr>
                <w:rFonts w:hint="eastAsia" w:ascii="仿宋" w:hAnsi="仿宋" w:eastAsia="仿宋" w:cs="仿宋"/>
                <w:b/>
                <w:bCs/>
                <w:color w:val="auto"/>
                <w:sz w:val="28"/>
                <w:szCs w:val="28"/>
              </w:rPr>
            </w:pPr>
            <w:r>
              <w:rPr>
                <w:rFonts w:hint="eastAsia" w:ascii="仿宋" w:hAnsi="仿宋" w:eastAsia="仿宋" w:cs="仿宋"/>
                <w:b/>
                <w:bCs/>
                <w:color w:val="auto"/>
                <w:kern w:val="0"/>
                <w:sz w:val="28"/>
                <w:szCs w:val="28"/>
                <w:bdr w:val="none" w:color="auto" w:sz="0" w:space="0"/>
                <w:lang w:val="en-US" w:eastAsia="zh-CN" w:bidi="ar"/>
              </w:rPr>
              <w:t>数量（单位）</w:t>
            </w:r>
          </w:p>
        </w:tc>
        <w:tc>
          <w:tcPr>
            <w:tcW w:w="1650" w:type="dxa"/>
            <w:tcBorders>
              <w:top w:val="single" w:color="333333" w:sz="4" w:space="0"/>
              <w:left w:val="single" w:color="333333" w:sz="4" w:space="0"/>
              <w:bottom w:val="single" w:color="333333" w:sz="4" w:space="0"/>
              <w:right w:val="single" w:color="333333" w:sz="4" w:space="0"/>
            </w:tcBorders>
            <w:shd w:val="clear"/>
            <w:tcMar>
              <w:top w:w="60" w:type="dxa"/>
              <w:left w:w="96" w:type="dxa"/>
              <w:bottom w:w="60" w:type="dxa"/>
              <w:right w:w="96" w:type="dxa"/>
            </w:tcMar>
            <w:vAlign w:val="center"/>
          </w:tcPr>
          <w:p>
            <w:pPr>
              <w:keepNext w:val="0"/>
              <w:keepLines w:val="0"/>
              <w:widowControl/>
              <w:suppressLineNumbers w:val="0"/>
              <w:wordWrap w:val="0"/>
              <w:spacing w:before="0" w:beforeAutospacing="0" w:after="0" w:afterAutospacing="0" w:line="288" w:lineRule="atLeast"/>
              <w:ind w:left="0" w:right="0"/>
              <w:jc w:val="center"/>
              <w:rPr>
                <w:rFonts w:hint="eastAsia" w:ascii="仿宋" w:hAnsi="仿宋" w:eastAsia="仿宋" w:cs="仿宋"/>
                <w:b/>
                <w:bCs/>
                <w:color w:val="auto"/>
                <w:sz w:val="28"/>
                <w:szCs w:val="28"/>
              </w:rPr>
            </w:pPr>
            <w:r>
              <w:rPr>
                <w:rFonts w:hint="eastAsia" w:ascii="仿宋" w:hAnsi="仿宋" w:eastAsia="仿宋" w:cs="仿宋"/>
                <w:b/>
                <w:bCs/>
                <w:color w:val="auto"/>
                <w:kern w:val="0"/>
                <w:sz w:val="28"/>
                <w:szCs w:val="28"/>
                <w:bdr w:val="none" w:color="auto" w:sz="0" w:space="0"/>
                <w:lang w:val="en-US" w:eastAsia="zh-CN" w:bidi="ar"/>
              </w:rPr>
              <w:t>技术规格、参数及要求</w:t>
            </w:r>
          </w:p>
        </w:tc>
        <w:tc>
          <w:tcPr>
            <w:tcW w:w="1477" w:type="dxa"/>
            <w:tcBorders>
              <w:top w:val="single" w:color="333333" w:sz="4" w:space="0"/>
              <w:left w:val="single" w:color="333333" w:sz="4" w:space="0"/>
              <w:bottom w:val="single" w:color="333333" w:sz="4" w:space="0"/>
              <w:right w:val="single" w:color="333333" w:sz="4" w:space="0"/>
            </w:tcBorders>
            <w:shd w:val="clear"/>
            <w:tcMar>
              <w:top w:w="60" w:type="dxa"/>
              <w:left w:w="96" w:type="dxa"/>
              <w:bottom w:w="60" w:type="dxa"/>
              <w:right w:w="96" w:type="dxa"/>
            </w:tcMar>
            <w:vAlign w:val="center"/>
          </w:tcPr>
          <w:p>
            <w:pPr>
              <w:keepNext w:val="0"/>
              <w:keepLines w:val="0"/>
              <w:widowControl/>
              <w:suppressLineNumbers w:val="0"/>
              <w:wordWrap w:val="0"/>
              <w:spacing w:before="0" w:beforeAutospacing="0" w:after="0" w:afterAutospacing="0" w:line="288" w:lineRule="atLeast"/>
              <w:ind w:left="0" w:right="0"/>
              <w:jc w:val="center"/>
              <w:rPr>
                <w:rFonts w:hint="eastAsia" w:ascii="仿宋" w:hAnsi="仿宋" w:eastAsia="仿宋" w:cs="仿宋"/>
                <w:b/>
                <w:bCs/>
                <w:color w:val="auto"/>
                <w:sz w:val="28"/>
                <w:szCs w:val="28"/>
              </w:rPr>
            </w:pPr>
            <w:r>
              <w:rPr>
                <w:rFonts w:hint="eastAsia" w:ascii="仿宋" w:hAnsi="仿宋" w:eastAsia="仿宋" w:cs="仿宋"/>
                <w:b/>
                <w:bCs/>
                <w:color w:val="auto"/>
                <w:kern w:val="0"/>
                <w:sz w:val="28"/>
                <w:szCs w:val="28"/>
                <w:bdr w:val="none" w:color="auto" w:sz="0" w:space="0"/>
                <w:lang w:val="en-US" w:eastAsia="zh-CN" w:bidi="ar"/>
              </w:rPr>
              <w:t>品目预算(元)</w:t>
            </w:r>
          </w:p>
        </w:tc>
        <w:tc>
          <w:tcPr>
            <w:tcW w:w="1478" w:type="dxa"/>
            <w:tcBorders>
              <w:top w:val="single" w:color="333333" w:sz="4" w:space="0"/>
              <w:left w:val="single" w:color="333333" w:sz="4" w:space="0"/>
              <w:bottom w:val="single" w:color="333333" w:sz="4" w:space="0"/>
              <w:right w:val="single" w:color="333333" w:sz="4" w:space="0"/>
            </w:tcBorders>
            <w:shd w:val="clear"/>
            <w:tcMar>
              <w:top w:w="60" w:type="dxa"/>
              <w:left w:w="96" w:type="dxa"/>
              <w:bottom w:w="60" w:type="dxa"/>
              <w:right w:w="96" w:type="dxa"/>
            </w:tcMar>
            <w:vAlign w:val="center"/>
          </w:tcPr>
          <w:p>
            <w:pPr>
              <w:keepNext w:val="0"/>
              <w:keepLines w:val="0"/>
              <w:widowControl/>
              <w:suppressLineNumbers w:val="0"/>
              <w:wordWrap w:val="0"/>
              <w:spacing w:before="0" w:beforeAutospacing="0" w:after="0" w:afterAutospacing="0" w:line="288" w:lineRule="atLeast"/>
              <w:ind w:left="0" w:right="0"/>
              <w:jc w:val="center"/>
              <w:rPr>
                <w:rFonts w:hint="eastAsia" w:ascii="仿宋" w:hAnsi="仿宋" w:eastAsia="仿宋" w:cs="仿宋"/>
                <w:b/>
                <w:bCs/>
                <w:color w:val="auto"/>
                <w:sz w:val="28"/>
                <w:szCs w:val="28"/>
              </w:rPr>
            </w:pPr>
            <w:r>
              <w:rPr>
                <w:rFonts w:hint="eastAsia" w:ascii="仿宋" w:hAnsi="仿宋" w:eastAsia="仿宋" w:cs="仿宋"/>
                <w:b/>
                <w:bCs/>
                <w:color w:val="auto"/>
                <w:kern w:val="0"/>
                <w:sz w:val="28"/>
                <w:szCs w:val="28"/>
                <w:bdr w:val="none" w:color="auto" w:sz="0" w:space="0"/>
                <w:lang w:val="en-US" w:eastAsia="zh-CN" w:bidi="ar"/>
              </w:rPr>
              <w:t>最高限价(元)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297" w:hRule="atLeast"/>
        </w:trPr>
        <w:tc>
          <w:tcPr>
            <w:tcW w:w="0" w:type="auto"/>
            <w:tcBorders>
              <w:top w:val="single" w:color="333333" w:sz="4" w:space="0"/>
              <w:left w:val="single" w:color="333333" w:sz="4" w:space="0"/>
              <w:bottom w:val="single" w:color="333333" w:sz="4" w:space="0"/>
              <w:right w:val="single" w:color="333333" w:sz="4" w:space="0"/>
            </w:tcBorders>
            <w:shd w:val="clear"/>
            <w:tcMar>
              <w:top w:w="60" w:type="dxa"/>
              <w:left w:w="96" w:type="dxa"/>
              <w:bottom w:w="60" w:type="dxa"/>
              <w:right w:w="96" w:type="dxa"/>
            </w:tcMar>
            <w:vAlign w:val="center"/>
          </w:tcPr>
          <w:p>
            <w:pPr>
              <w:keepNext w:val="0"/>
              <w:keepLines w:val="0"/>
              <w:widowControl/>
              <w:suppressLineNumbers w:val="0"/>
              <w:wordWrap w:val="0"/>
              <w:spacing w:before="0" w:beforeAutospacing="0" w:after="0" w:afterAutospacing="0" w:line="288" w:lineRule="atLeast"/>
              <w:ind w:left="0" w:right="0"/>
              <w:jc w:val="center"/>
              <w:rPr>
                <w:rFonts w:hint="eastAsia" w:ascii="仿宋" w:hAnsi="仿宋" w:eastAsia="仿宋" w:cs="仿宋"/>
                <w:color w:val="auto"/>
                <w:sz w:val="28"/>
                <w:szCs w:val="28"/>
              </w:rPr>
            </w:pPr>
            <w:r>
              <w:rPr>
                <w:rFonts w:hint="eastAsia" w:ascii="仿宋" w:hAnsi="仿宋" w:eastAsia="仿宋" w:cs="仿宋"/>
                <w:color w:val="auto"/>
                <w:kern w:val="0"/>
                <w:sz w:val="28"/>
                <w:szCs w:val="28"/>
                <w:bdr w:val="none" w:color="auto" w:sz="0" w:space="0"/>
                <w:lang w:val="en-US" w:eastAsia="zh-CN" w:bidi="ar"/>
              </w:rPr>
              <w:t>1-1</w:t>
            </w:r>
          </w:p>
        </w:tc>
        <w:tc>
          <w:tcPr>
            <w:tcW w:w="1295" w:type="dxa"/>
            <w:tcBorders>
              <w:top w:val="single" w:color="333333" w:sz="4" w:space="0"/>
              <w:left w:val="single" w:color="333333" w:sz="4" w:space="0"/>
              <w:bottom w:val="single" w:color="333333" w:sz="4" w:space="0"/>
              <w:right w:val="single" w:color="333333" w:sz="4" w:space="0"/>
            </w:tcBorders>
            <w:shd w:val="clear"/>
            <w:tcMar>
              <w:top w:w="60" w:type="dxa"/>
              <w:left w:w="96" w:type="dxa"/>
              <w:bottom w:w="60" w:type="dxa"/>
              <w:right w:w="96" w:type="dxa"/>
            </w:tcMar>
            <w:vAlign w:val="center"/>
          </w:tcPr>
          <w:p>
            <w:pPr>
              <w:keepNext w:val="0"/>
              <w:keepLines w:val="0"/>
              <w:widowControl/>
              <w:suppressLineNumbers w:val="0"/>
              <w:wordWrap w:val="0"/>
              <w:spacing w:before="0" w:beforeAutospacing="0" w:after="0" w:afterAutospacing="0" w:line="288" w:lineRule="atLeast"/>
              <w:ind w:left="0" w:right="0"/>
              <w:jc w:val="center"/>
              <w:rPr>
                <w:rFonts w:hint="eastAsia" w:ascii="仿宋" w:hAnsi="仿宋" w:eastAsia="仿宋" w:cs="仿宋"/>
                <w:color w:val="auto"/>
                <w:sz w:val="28"/>
                <w:szCs w:val="28"/>
              </w:rPr>
            </w:pPr>
            <w:r>
              <w:rPr>
                <w:rFonts w:hint="eastAsia" w:ascii="仿宋" w:hAnsi="仿宋" w:eastAsia="仿宋" w:cs="仿宋"/>
                <w:color w:val="auto"/>
                <w:kern w:val="0"/>
                <w:sz w:val="28"/>
                <w:szCs w:val="28"/>
                <w:bdr w:val="none" w:color="auto" w:sz="0" w:space="0"/>
                <w:lang w:val="en-US" w:eastAsia="zh-CN" w:bidi="ar"/>
              </w:rPr>
              <w:t>其他构筑物工程施工</w:t>
            </w:r>
          </w:p>
        </w:tc>
        <w:tc>
          <w:tcPr>
            <w:tcW w:w="2016" w:type="dxa"/>
            <w:tcBorders>
              <w:top w:val="single" w:color="333333" w:sz="4" w:space="0"/>
              <w:left w:val="single" w:color="333333" w:sz="4" w:space="0"/>
              <w:bottom w:val="single" w:color="333333" w:sz="4" w:space="0"/>
              <w:right w:val="single" w:color="333333" w:sz="4" w:space="0"/>
            </w:tcBorders>
            <w:shd w:val="clear"/>
            <w:tcMar>
              <w:top w:w="60" w:type="dxa"/>
              <w:left w:w="96" w:type="dxa"/>
              <w:bottom w:w="60" w:type="dxa"/>
              <w:right w:w="96" w:type="dxa"/>
            </w:tcMar>
            <w:vAlign w:val="center"/>
          </w:tcPr>
          <w:p>
            <w:pPr>
              <w:keepNext w:val="0"/>
              <w:keepLines w:val="0"/>
              <w:widowControl/>
              <w:suppressLineNumbers w:val="0"/>
              <w:wordWrap w:val="0"/>
              <w:spacing w:before="0" w:beforeAutospacing="0" w:after="0" w:afterAutospacing="0" w:line="288" w:lineRule="atLeast"/>
              <w:ind w:left="0" w:right="0"/>
              <w:jc w:val="center"/>
              <w:rPr>
                <w:rFonts w:hint="eastAsia" w:ascii="仿宋" w:hAnsi="仿宋" w:eastAsia="仿宋" w:cs="仿宋"/>
                <w:color w:val="auto"/>
                <w:sz w:val="28"/>
                <w:szCs w:val="28"/>
              </w:rPr>
            </w:pPr>
            <w:r>
              <w:rPr>
                <w:rFonts w:hint="eastAsia" w:ascii="仿宋" w:hAnsi="仿宋" w:eastAsia="仿宋" w:cs="仿宋"/>
                <w:color w:val="auto"/>
                <w:kern w:val="0"/>
                <w:sz w:val="28"/>
                <w:szCs w:val="28"/>
                <w:bdr w:val="none" w:color="auto" w:sz="0" w:space="0"/>
                <w:lang w:val="en-US" w:eastAsia="zh-CN" w:bidi="ar"/>
              </w:rPr>
              <w:t>800000.00元</w:t>
            </w:r>
          </w:p>
        </w:tc>
        <w:tc>
          <w:tcPr>
            <w:tcW w:w="0" w:type="auto"/>
            <w:tcBorders>
              <w:top w:val="single" w:color="333333" w:sz="4" w:space="0"/>
              <w:left w:val="single" w:color="333333" w:sz="4" w:space="0"/>
              <w:bottom w:val="single" w:color="333333" w:sz="4" w:space="0"/>
              <w:right w:val="single" w:color="333333" w:sz="4" w:space="0"/>
            </w:tcBorders>
            <w:shd w:val="clear"/>
            <w:tcMar>
              <w:top w:w="60" w:type="dxa"/>
              <w:left w:w="96" w:type="dxa"/>
              <w:bottom w:w="60" w:type="dxa"/>
              <w:right w:w="96" w:type="dxa"/>
            </w:tcMar>
            <w:vAlign w:val="center"/>
          </w:tcPr>
          <w:p>
            <w:pPr>
              <w:keepNext w:val="0"/>
              <w:keepLines w:val="0"/>
              <w:widowControl/>
              <w:suppressLineNumbers w:val="0"/>
              <w:wordWrap w:val="0"/>
              <w:spacing w:before="0" w:beforeAutospacing="0" w:after="0" w:afterAutospacing="0" w:line="288" w:lineRule="atLeast"/>
              <w:ind w:left="0" w:right="0"/>
              <w:jc w:val="center"/>
              <w:rPr>
                <w:rFonts w:hint="eastAsia" w:ascii="仿宋" w:hAnsi="仿宋" w:eastAsia="仿宋" w:cs="仿宋"/>
                <w:color w:val="auto"/>
                <w:sz w:val="28"/>
                <w:szCs w:val="28"/>
              </w:rPr>
            </w:pPr>
            <w:r>
              <w:rPr>
                <w:rFonts w:hint="eastAsia" w:ascii="仿宋" w:hAnsi="仿宋" w:eastAsia="仿宋" w:cs="仿宋"/>
                <w:color w:val="auto"/>
                <w:kern w:val="0"/>
                <w:sz w:val="28"/>
                <w:szCs w:val="28"/>
                <w:bdr w:val="none" w:color="auto" w:sz="0" w:space="0"/>
                <w:lang w:val="en-US" w:eastAsia="zh-CN" w:bidi="ar"/>
              </w:rPr>
              <w:t>1(项)</w:t>
            </w:r>
          </w:p>
        </w:tc>
        <w:tc>
          <w:tcPr>
            <w:tcW w:w="0" w:type="auto"/>
            <w:tcBorders>
              <w:top w:val="single" w:color="333333" w:sz="4" w:space="0"/>
              <w:left w:val="single" w:color="333333" w:sz="4" w:space="0"/>
              <w:bottom w:val="single" w:color="333333" w:sz="4" w:space="0"/>
              <w:right w:val="single" w:color="333333" w:sz="4" w:space="0"/>
            </w:tcBorders>
            <w:shd w:val="clear"/>
            <w:tcMar>
              <w:top w:w="60" w:type="dxa"/>
              <w:left w:w="96" w:type="dxa"/>
              <w:bottom w:w="60" w:type="dxa"/>
              <w:right w:w="96" w:type="dxa"/>
            </w:tcMar>
            <w:vAlign w:val="center"/>
          </w:tcPr>
          <w:p>
            <w:pPr>
              <w:keepNext w:val="0"/>
              <w:keepLines w:val="0"/>
              <w:widowControl/>
              <w:suppressLineNumbers w:val="0"/>
              <w:wordWrap w:val="0"/>
              <w:spacing w:before="0" w:beforeAutospacing="0" w:after="0" w:afterAutospacing="0" w:line="288" w:lineRule="atLeast"/>
              <w:ind w:left="0" w:right="0"/>
              <w:jc w:val="center"/>
              <w:rPr>
                <w:rFonts w:hint="eastAsia" w:ascii="仿宋" w:hAnsi="仿宋" w:eastAsia="仿宋" w:cs="仿宋"/>
                <w:color w:val="auto"/>
                <w:sz w:val="28"/>
                <w:szCs w:val="28"/>
              </w:rPr>
            </w:pPr>
            <w:r>
              <w:rPr>
                <w:rFonts w:hint="eastAsia" w:ascii="仿宋" w:hAnsi="仿宋" w:eastAsia="仿宋" w:cs="仿宋"/>
                <w:color w:val="auto"/>
                <w:kern w:val="0"/>
                <w:sz w:val="28"/>
                <w:szCs w:val="28"/>
                <w:bdr w:val="none" w:color="auto" w:sz="0" w:space="0"/>
                <w:lang w:val="en-US" w:eastAsia="zh-CN" w:bidi="ar"/>
              </w:rPr>
              <w:t>详见采购文件</w:t>
            </w:r>
          </w:p>
        </w:tc>
        <w:tc>
          <w:tcPr>
            <w:tcW w:w="0" w:type="auto"/>
            <w:tcBorders>
              <w:top w:val="single" w:color="333333" w:sz="4" w:space="0"/>
              <w:left w:val="single" w:color="333333" w:sz="4" w:space="0"/>
              <w:bottom w:val="single" w:color="333333" w:sz="4" w:space="0"/>
              <w:right w:val="single" w:color="333333" w:sz="4" w:space="0"/>
            </w:tcBorders>
            <w:shd w:val="clear"/>
            <w:tcMar>
              <w:top w:w="60" w:type="dxa"/>
              <w:left w:w="96" w:type="dxa"/>
              <w:bottom w:w="60" w:type="dxa"/>
              <w:right w:w="96" w:type="dxa"/>
            </w:tcMar>
            <w:vAlign w:val="center"/>
          </w:tcPr>
          <w:p>
            <w:pPr>
              <w:keepNext w:val="0"/>
              <w:keepLines w:val="0"/>
              <w:widowControl/>
              <w:suppressLineNumbers w:val="0"/>
              <w:wordWrap/>
              <w:spacing w:before="0" w:beforeAutospacing="0" w:after="0" w:afterAutospacing="0" w:line="288" w:lineRule="atLeast"/>
              <w:ind w:left="0" w:right="0"/>
              <w:jc w:val="right"/>
              <w:rPr>
                <w:rFonts w:hint="eastAsia" w:ascii="仿宋" w:hAnsi="仿宋" w:eastAsia="仿宋" w:cs="仿宋"/>
                <w:color w:val="auto"/>
                <w:sz w:val="28"/>
                <w:szCs w:val="28"/>
              </w:rPr>
            </w:pPr>
            <w:r>
              <w:rPr>
                <w:rFonts w:hint="eastAsia" w:ascii="仿宋" w:hAnsi="仿宋" w:eastAsia="仿宋" w:cs="仿宋"/>
                <w:color w:val="auto"/>
                <w:kern w:val="0"/>
                <w:sz w:val="28"/>
                <w:szCs w:val="28"/>
                <w:bdr w:val="none" w:color="auto" w:sz="0" w:space="0"/>
                <w:lang w:val="en-US" w:eastAsia="zh-CN" w:bidi="ar"/>
              </w:rPr>
              <w:t>800,000.00</w:t>
            </w:r>
          </w:p>
        </w:tc>
        <w:tc>
          <w:tcPr>
            <w:tcW w:w="0" w:type="auto"/>
            <w:tcBorders>
              <w:top w:val="single" w:color="333333" w:sz="4" w:space="0"/>
              <w:left w:val="single" w:color="333333" w:sz="4" w:space="0"/>
              <w:bottom w:val="single" w:color="333333" w:sz="4" w:space="0"/>
              <w:right w:val="single" w:color="333333" w:sz="4" w:space="0"/>
            </w:tcBorders>
            <w:shd w:val="clear"/>
            <w:tcMar>
              <w:top w:w="60" w:type="dxa"/>
              <w:left w:w="96" w:type="dxa"/>
              <w:bottom w:w="60" w:type="dxa"/>
              <w:right w:w="96" w:type="dxa"/>
            </w:tcMar>
            <w:vAlign w:val="center"/>
          </w:tcPr>
          <w:p>
            <w:pPr>
              <w:keepNext w:val="0"/>
              <w:keepLines w:val="0"/>
              <w:widowControl/>
              <w:suppressLineNumbers w:val="0"/>
              <w:wordWrap/>
              <w:spacing w:before="0" w:beforeAutospacing="0" w:after="0" w:afterAutospacing="0" w:line="288" w:lineRule="atLeast"/>
              <w:ind w:left="0" w:right="0"/>
              <w:jc w:val="right"/>
              <w:rPr>
                <w:rFonts w:hint="eastAsia" w:ascii="仿宋" w:hAnsi="仿宋" w:eastAsia="仿宋" w:cs="仿宋"/>
                <w:color w:val="auto"/>
                <w:sz w:val="28"/>
                <w:szCs w:val="28"/>
              </w:rPr>
            </w:pPr>
            <w:r>
              <w:rPr>
                <w:rFonts w:hint="eastAsia" w:ascii="仿宋" w:hAnsi="仿宋" w:eastAsia="仿宋" w:cs="仿宋"/>
                <w:color w:val="auto"/>
                <w:kern w:val="0"/>
                <w:sz w:val="28"/>
                <w:szCs w:val="28"/>
                <w:bdr w:val="none" w:color="auto" w:sz="0" w:space="0"/>
                <w:lang w:val="en-US" w:eastAsia="zh-CN" w:bidi="ar"/>
              </w:rPr>
              <w:t>799,557.78</w:t>
            </w:r>
          </w:p>
        </w:tc>
      </w:tr>
    </w:tbl>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504"/>
        <w:jc w:val="both"/>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bdr w:val="none" w:color="auto" w:sz="0" w:space="0"/>
          <w:shd w:val="clear" w:fill="FFFFFF"/>
        </w:rPr>
        <w:t>本合同包不接受联合体投标</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504"/>
        <w:jc w:val="both"/>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bdr w:val="none" w:color="auto" w:sz="0" w:space="0"/>
          <w:shd w:val="clear" w:fill="FFFFFF"/>
        </w:rPr>
        <w:t>合同履行期限：无</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120" w:beforeAutospacing="0" w:after="0" w:afterAutospacing="0" w:line="600" w:lineRule="atLeast"/>
        <w:ind w:left="0" w:right="0"/>
        <w:jc w:val="left"/>
        <w:rPr>
          <w:rFonts w:hint="eastAsia" w:ascii="仿宋" w:hAnsi="仿宋" w:eastAsia="仿宋" w:cs="仿宋"/>
          <w:b w:val="0"/>
          <w:bCs w:val="0"/>
          <w:color w:val="auto"/>
          <w:sz w:val="28"/>
          <w:szCs w:val="28"/>
        </w:rPr>
      </w:pPr>
      <w:r>
        <w:rPr>
          <w:rStyle w:val="9"/>
          <w:rFonts w:hint="eastAsia" w:ascii="仿宋" w:hAnsi="仿宋" w:eastAsia="仿宋" w:cs="仿宋"/>
          <w:b/>
          <w:bCs/>
          <w:i w:val="0"/>
          <w:iCs w:val="0"/>
          <w:caps w:val="0"/>
          <w:color w:val="auto"/>
          <w:spacing w:val="0"/>
          <w:sz w:val="28"/>
          <w:szCs w:val="28"/>
          <w:bdr w:val="none" w:color="auto" w:sz="0" w:space="0"/>
          <w:shd w:val="clear" w:fill="FFFFFF"/>
        </w:rPr>
        <w:t>二、申请人的资格要求：</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bdr w:val="none" w:color="auto" w:sz="0" w:space="0"/>
          <w:shd w:val="clear" w:fill="FFFFFF"/>
        </w:rPr>
        <w:t>1.满足《中华人民共和国政府采购法》第二十二条规定;</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bdr w:val="none" w:color="auto" w:sz="0" w:space="0"/>
          <w:shd w:val="clear" w:fill="FFFFFF"/>
        </w:rPr>
        <w:t>2.落实政府采购政策需满足的资格要求：</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bdr w:val="none" w:color="auto" w:sz="0" w:space="0"/>
          <w:shd w:val="clear" w:fill="FFFFFF"/>
        </w:rPr>
        <w:t>合同包1(2023年枣林镇枣林村阳光玫瑰葡萄园提升改造项目)落实政府采购政策需满足的资格要求如下:</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384" w:right="0" w:firstLine="0"/>
        <w:jc w:val="both"/>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bdr w:val="none" w:color="auto" w:sz="0" w:space="0"/>
          <w:shd w:val="clear" w:fill="FFFFFF"/>
        </w:rPr>
        <w:t>凡国家法律法规、制度政策明确规定的需要贯彻落实的政府采购政策，如优先购买节能环保产品、扶持小微企业、监狱企业、福利企业等政策，本采购项目均严格执行并落实。</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bdr w:val="none" w:color="auto" w:sz="0" w:space="0"/>
          <w:shd w:val="clear" w:fill="FFFFFF"/>
        </w:rPr>
        <w:t>3.本项目的特定资格要求：</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bdr w:val="none" w:color="auto" w:sz="0" w:space="0"/>
          <w:shd w:val="clear" w:fill="FFFFFF"/>
        </w:rPr>
        <w:t>合同包1(2023年枣林镇枣林村阳光玫瑰葡萄园提升改造项目)特定资格要求如下:</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384" w:right="0" w:firstLine="0"/>
        <w:jc w:val="both"/>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bdr w:val="none" w:color="auto" w:sz="0" w:space="0"/>
          <w:shd w:val="clear" w:fill="FFFFFF"/>
        </w:rPr>
        <w:t>1）具有独立承担民事责任能力的法人、其他组织或自然人，并出具合法有效的营业执照或事业单位法人证书等国家规定的相关证明，自然人参与的提供其身份证明； </w:t>
      </w:r>
      <w:r>
        <w:rPr>
          <w:rFonts w:hint="eastAsia" w:ascii="仿宋" w:hAnsi="仿宋" w:eastAsia="仿宋" w:cs="仿宋"/>
          <w:i w:val="0"/>
          <w:iCs w:val="0"/>
          <w:caps w:val="0"/>
          <w:color w:val="auto"/>
          <w:spacing w:val="0"/>
          <w:sz w:val="28"/>
          <w:szCs w:val="28"/>
          <w:bdr w:val="none" w:color="auto" w:sz="0" w:space="0"/>
          <w:shd w:val="clear" w:fill="FFFFFF"/>
        </w:rPr>
        <w:br w:type="textWrapping"/>
      </w:r>
      <w:r>
        <w:rPr>
          <w:rFonts w:hint="eastAsia" w:ascii="仿宋" w:hAnsi="仿宋" w:eastAsia="仿宋" w:cs="仿宋"/>
          <w:i w:val="0"/>
          <w:iCs w:val="0"/>
          <w:caps w:val="0"/>
          <w:color w:val="auto"/>
          <w:spacing w:val="0"/>
          <w:sz w:val="28"/>
          <w:szCs w:val="28"/>
          <w:bdr w:val="none" w:color="auto" w:sz="0" w:space="0"/>
          <w:shd w:val="clear" w:fill="FFFFFF"/>
        </w:rPr>
        <w:t>2）供应商应授权合法的授权代表参加投标全过程，其中法定代表人直接参加投标的，须出具法人身份证并与营业执照信息一致，法定代表人授权代表参加投标的，须出具法定代表人授权书、授权代表本人身份证； </w:t>
      </w:r>
      <w:r>
        <w:rPr>
          <w:rFonts w:hint="eastAsia" w:ascii="仿宋" w:hAnsi="仿宋" w:eastAsia="仿宋" w:cs="仿宋"/>
          <w:i w:val="0"/>
          <w:iCs w:val="0"/>
          <w:caps w:val="0"/>
          <w:color w:val="auto"/>
          <w:spacing w:val="0"/>
          <w:sz w:val="28"/>
          <w:szCs w:val="28"/>
          <w:bdr w:val="none" w:color="auto" w:sz="0" w:space="0"/>
          <w:shd w:val="clear" w:fill="FFFFFF"/>
        </w:rPr>
        <w:br w:type="textWrapping"/>
      </w:r>
      <w:r>
        <w:rPr>
          <w:rFonts w:hint="eastAsia" w:ascii="仿宋" w:hAnsi="仿宋" w:eastAsia="仿宋" w:cs="仿宋"/>
          <w:i w:val="0"/>
          <w:iCs w:val="0"/>
          <w:caps w:val="0"/>
          <w:color w:val="auto"/>
          <w:spacing w:val="0"/>
          <w:sz w:val="28"/>
          <w:szCs w:val="28"/>
          <w:bdr w:val="none" w:color="auto" w:sz="0" w:space="0"/>
          <w:shd w:val="clear" w:fill="FFFFFF"/>
        </w:rPr>
        <w:t>3)投标人须具备建设行政主管部门核发的建筑工程施工总承包三级及以上资质，并具有有效的安全生产许可证。</w:t>
      </w:r>
      <w:r>
        <w:rPr>
          <w:rFonts w:hint="eastAsia" w:ascii="仿宋" w:hAnsi="仿宋" w:eastAsia="仿宋" w:cs="仿宋"/>
          <w:i w:val="0"/>
          <w:iCs w:val="0"/>
          <w:caps w:val="0"/>
          <w:color w:val="auto"/>
          <w:spacing w:val="0"/>
          <w:sz w:val="28"/>
          <w:szCs w:val="28"/>
          <w:bdr w:val="none" w:color="auto" w:sz="0" w:space="0"/>
          <w:shd w:val="clear" w:fill="FFFFFF"/>
        </w:rPr>
        <w:br w:type="textWrapping"/>
      </w:r>
      <w:r>
        <w:rPr>
          <w:rFonts w:hint="eastAsia" w:ascii="仿宋" w:hAnsi="仿宋" w:eastAsia="仿宋" w:cs="仿宋"/>
          <w:i w:val="0"/>
          <w:iCs w:val="0"/>
          <w:caps w:val="0"/>
          <w:color w:val="auto"/>
          <w:spacing w:val="0"/>
          <w:sz w:val="28"/>
          <w:szCs w:val="28"/>
          <w:bdr w:val="none" w:color="auto" w:sz="0" w:space="0"/>
          <w:shd w:val="clear" w:fill="FFFFFF"/>
        </w:rPr>
        <w:t>4）拟派项目经理须具有建筑工程专业二级及以上注册建造师证书和有效的安全生产考核证书（B证）且无在建工程、无不良记录（提供无在建工程、无不良记录承诺书）；</w:t>
      </w:r>
      <w:r>
        <w:rPr>
          <w:rFonts w:hint="eastAsia" w:ascii="仿宋" w:hAnsi="仿宋" w:eastAsia="仿宋" w:cs="仿宋"/>
          <w:i w:val="0"/>
          <w:iCs w:val="0"/>
          <w:caps w:val="0"/>
          <w:color w:val="auto"/>
          <w:spacing w:val="0"/>
          <w:sz w:val="28"/>
          <w:szCs w:val="28"/>
          <w:bdr w:val="none" w:color="auto" w:sz="0" w:space="0"/>
          <w:shd w:val="clear" w:fill="FFFFFF"/>
        </w:rPr>
        <w:br w:type="textWrapping"/>
      </w:r>
      <w:r>
        <w:rPr>
          <w:rFonts w:hint="eastAsia" w:ascii="仿宋" w:hAnsi="仿宋" w:eastAsia="仿宋" w:cs="仿宋"/>
          <w:i w:val="0"/>
          <w:iCs w:val="0"/>
          <w:caps w:val="0"/>
          <w:color w:val="auto"/>
          <w:spacing w:val="0"/>
          <w:sz w:val="28"/>
          <w:szCs w:val="28"/>
          <w:bdr w:val="none" w:color="auto" w:sz="0" w:space="0"/>
          <w:shd w:val="clear" w:fill="FFFFFF"/>
        </w:rPr>
        <w:t>5）社会保障资金缴纳证明：提供2022年3月至今任意三个月的社保缴费凭据或社保机构开具的社会保险参保缴费情况证明；（依法不需要缴纳社会保障资金的投标人应提供相关证明）。</w:t>
      </w:r>
      <w:r>
        <w:rPr>
          <w:rFonts w:hint="eastAsia" w:ascii="仿宋" w:hAnsi="仿宋" w:eastAsia="仿宋" w:cs="仿宋"/>
          <w:i w:val="0"/>
          <w:iCs w:val="0"/>
          <w:caps w:val="0"/>
          <w:color w:val="auto"/>
          <w:spacing w:val="0"/>
          <w:sz w:val="28"/>
          <w:szCs w:val="28"/>
          <w:bdr w:val="none" w:color="auto" w:sz="0" w:space="0"/>
          <w:shd w:val="clear" w:fill="FFFFFF"/>
        </w:rPr>
        <w:br w:type="textWrapping"/>
      </w:r>
      <w:r>
        <w:rPr>
          <w:rFonts w:hint="eastAsia" w:ascii="仿宋" w:hAnsi="仿宋" w:eastAsia="仿宋" w:cs="仿宋"/>
          <w:i w:val="0"/>
          <w:iCs w:val="0"/>
          <w:caps w:val="0"/>
          <w:color w:val="auto"/>
          <w:spacing w:val="0"/>
          <w:sz w:val="28"/>
          <w:szCs w:val="28"/>
          <w:bdr w:val="none" w:color="auto" w:sz="0" w:space="0"/>
          <w:shd w:val="clear" w:fill="FFFFFF"/>
        </w:rPr>
        <w:t>6）税收缴纳证明：提供2022年3月至今任意三个月的缴费凭据；（依法免税的投标人应提供相关文件证明）。 </w:t>
      </w:r>
      <w:r>
        <w:rPr>
          <w:rFonts w:hint="eastAsia" w:ascii="仿宋" w:hAnsi="仿宋" w:eastAsia="仿宋" w:cs="仿宋"/>
          <w:i w:val="0"/>
          <w:iCs w:val="0"/>
          <w:caps w:val="0"/>
          <w:color w:val="auto"/>
          <w:spacing w:val="0"/>
          <w:sz w:val="28"/>
          <w:szCs w:val="28"/>
          <w:bdr w:val="none" w:color="auto" w:sz="0" w:space="0"/>
          <w:shd w:val="clear" w:fill="FFFFFF"/>
        </w:rPr>
        <w:br w:type="textWrapping"/>
      </w:r>
      <w:r>
        <w:rPr>
          <w:rFonts w:hint="eastAsia" w:ascii="仿宋" w:hAnsi="仿宋" w:eastAsia="仿宋" w:cs="仿宋"/>
          <w:i w:val="0"/>
          <w:iCs w:val="0"/>
          <w:caps w:val="0"/>
          <w:color w:val="auto"/>
          <w:spacing w:val="0"/>
          <w:sz w:val="28"/>
          <w:szCs w:val="28"/>
          <w:bdr w:val="none" w:color="auto" w:sz="0" w:space="0"/>
          <w:shd w:val="clear" w:fill="FFFFFF"/>
        </w:rPr>
        <w:t>7）财务状况报告：提供具有财务审计资质单位出具的2021年度财务审计报告或开标前六个月内其基本账户银行出具的资信证明（附开户许可证或基本账户证明）。 </w:t>
      </w:r>
      <w:r>
        <w:rPr>
          <w:rFonts w:hint="eastAsia" w:ascii="仿宋" w:hAnsi="仿宋" w:eastAsia="仿宋" w:cs="仿宋"/>
          <w:i w:val="0"/>
          <w:iCs w:val="0"/>
          <w:caps w:val="0"/>
          <w:color w:val="auto"/>
          <w:spacing w:val="0"/>
          <w:sz w:val="28"/>
          <w:szCs w:val="28"/>
          <w:bdr w:val="none" w:color="auto" w:sz="0" w:space="0"/>
          <w:shd w:val="clear" w:fill="FFFFFF"/>
        </w:rPr>
        <w:br w:type="textWrapping"/>
      </w:r>
      <w:r>
        <w:rPr>
          <w:rFonts w:hint="eastAsia" w:ascii="仿宋" w:hAnsi="仿宋" w:eastAsia="仿宋" w:cs="仿宋"/>
          <w:i w:val="0"/>
          <w:iCs w:val="0"/>
          <w:caps w:val="0"/>
          <w:color w:val="auto"/>
          <w:spacing w:val="0"/>
          <w:sz w:val="28"/>
          <w:szCs w:val="28"/>
          <w:bdr w:val="none" w:color="auto" w:sz="0" w:space="0"/>
          <w:shd w:val="clear" w:fill="FFFFFF"/>
        </w:rPr>
        <w:t>8）投标人不得为“信用中国”网站（www.creditchina.gov.cn）中列入失信被执行人和重大税收违法失信主体的供应商，不得为中国政府采购网（www.ccgp.gov.cn）政府采购严重违法失信行为记录名单中被财政部门禁止参加政府采购活动的供应商；（提供查询结果网页截图并加盖投标人公章，查询日期应在公告发布之日后）； </w:t>
      </w:r>
      <w:r>
        <w:rPr>
          <w:rFonts w:hint="eastAsia" w:ascii="仿宋" w:hAnsi="仿宋" w:eastAsia="仿宋" w:cs="仿宋"/>
          <w:i w:val="0"/>
          <w:iCs w:val="0"/>
          <w:caps w:val="0"/>
          <w:color w:val="auto"/>
          <w:spacing w:val="0"/>
          <w:sz w:val="28"/>
          <w:szCs w:val="28"/>
          <w:bdr w:val="none" w:color="auto" w:sz="0" w:space="0"/>
          <w:shd w:val="clear" w:fill="FFFFFF"/>
        </w:rPr>
        <w:br w:type="textWrapping"/>
      </w:r>
      <w:r>
        <w:rPr>
          <w:rFonts w:hint="eastAsia" w:ascii="仿宋" w:hAnsi="仿宋" w:eastAsia="仿宋" w:cs="仿宋"/>
          <w:i w:val="0"/>
          <w:iCs w:val="0"/>
          <w:caps w:val="0"/>
          <w:color w:val="auto"/>
          <w:spacing w:val="0"/>
          <w:sz w:val="28"/>
          <w:szCs w:val="28"/>
          <w:bdr w:val="none" w:color="auto" w:sz="0" w:space="0"/>
          <w:shd w:val="clear" w:fill="FFFFFF"/>
        </w:rPr>
        <w:t>9）参加政府采购活动前3年内在经营活动中没有重大违法记录的书面声明； </w:t>
      </w:r>
      <w:r>
        <w:rPr>
          <w:rFonts w:hint="eastAsia" w:ascii="仿宋" w:hAnsi="仿宋" w:eastAsia="仿宋" w:cs="仿宋"/>
          <w:i w:val="0"/>
          <w:iCs w:val="0"/>
          <w:caps w:val="0"/>
          <w:color w:val="auto"/>
          <w:spacing w:val="0"/>
          <w:sz w:val="28"/>
          <w:szCs w:val="28"/>
          <w:bdr w:val="none" w:color="auto" w:sz="0" w:space="0"/>
          <w:shd w:val="clear" w:fill="FFFFFF"/>
        </w:rPr>
        <w:br w:type="textWrapping"/>
      </w:r>
      <w:r>
        <w:rPr>
          <w:rFonts w:hint="eastAsia" w:ascii="仿宋" w:hAnsi="仿宋" w:eastAsia="仿宋" w:cs="仿宋"/>
          <w:i w:val="0"/>
          <w:iCs w:val="0"/>
          <w:caps w:val="0"/>
          <w:color w:val="auto"/>
          <w:spacing w:val="0"/>
          <w:sz w:val="28"/>
          <w:szCs w:val="28"/>
          <w:bdr w:val="none" w:color="auto" w:sz="0" w:space="0"/>
          <w:shd w:val="clear" w:fill="FFFFFF"/>
        </w:rPr>
        <w:t>10）提供具有履行合同所必需的设备和专业技术能力的承诺；</w:t>
      </w:r>
      <w:r>
        <w:rPr>
          <w:rFonts w:hint="eastAsia" w:ascii="仿宋" w:hAnsi="仿宋" w:eastAsia="仿宋" w:cs="仿宋"/>
          <w:i w:val="0"/>
          <w:iCs w:val="0"/>
          <w:caps w:val="0"/>
          <w:color w:val="auto"/>
          <w:spacing w:val="0"/>
          <w:sz w:val="28"/>
          <w:szCs w:val="28"/>
          <w:bdr w:val="none" w:color="auto" w:sz="0" w:space="0"/>
          <w:shd w:val="clear" w:fill="FFFFFF"/>
        </w:rPr>
        <w:br w:type="textWrapping"/>
      </w:r>
      <w:r>
        <w:rPr>
          <w:rFonts w:hint="eastAsia" w:ascii="仿宋" w:hAnsi="仿宋" w:eastAsia="仿宋" w:cs="仿宋"/>
          <w:i w:val="0"/>
          <w:iCs w:val="0"/>
          <w:caps w:val="0"/>
          <w:color w:val="auto"/>
          <w:spacing w:val="0"/>
          <w:sz w:val="28"/>
          <w:szCs w:val="28"/>
          <w:bdr w:val="none" w:color="auto" w:sz="0" w:space="0"/>
          <w:shd w:val="clear" w:fill="FFFFFF"/>
        </w:rPr>
        <w:t>11）本项目不接受联合体投标，单位负责人为同一人或者存在控股、管理关系的不同单位不得同时参加。</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120" w:beforeAutospacing="0" w:after="0" w:afterAutospacing="0" w:line="600" w:lineRule="atLeast"/>
        <w:ind w:left="0" w:right="0"/>
        <w:jc w:val="left"/>
        <w:rPr>
          <w:rFonts w:hint="eastAsia" w:ascii="仿宋" w:hAnsi="仿宋" w:eastAsia="仿宋" w:cs="仿宋"/>
          <w:b w:val="0"/>
          <w:bCs w:val="0"/>
          <w:color w:val="auto"/>
          <w:sz w:val="28"/>
          <w:szCs w:val="28"/>
        </w:rPr>
      </w:pPr>
      <w:r>
        <w:rPr>
          <w:rStyle w:val="9"/>
          <w:rFonts w:hint="eastAsia" w:ascii="仿宋" w:hAnsi="仿宋" w:eastAsia="仿宋" w:cs="仿宋"/>
          <w:b/>
          <w:bCs/>
          <w:i w:val="0"/>
          <w:iCs w:val="0"/>
          <w:caps w:val="0"/>
          <w:color w:val="auto"/>
          <w:spacing w:val="0"/>
          <w:sz w:val="28"/>
          <w:szCs w:val="28"/>
          <w:bdr w:val="none" w:color="auto" w:sz="0" w:space="0"/>
          <w:shd w:val="clear" w:fill="FFFFFF"/>
        </w:rPr>
        <w:t>三、获取采购文件</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bdr w:val="none" w:color="auto" w:sz="0" w:space="0"/>
          <w:shd w:val="clear" w:fill="FFFFFF"/>
        </w:rPr>
        <w:t>时间： 2023年03月16日 至 2023年03月22日 ，每天上午 09:00:00 至 12:00:00 ，下午 14:00:00 至 17:00:00 （北京时间）</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bdr w:val="none" w:color="auto" w:sz="0" w:space="0"/>
          <w:shd w:val="clear" w:fill="FFFFFF"/>
        </w:rPr>
        <w:t>途径：全国公共资源交易平台（陕西省·宝鸡市）（http://ggzy.baoji.gov.cn/）</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bdr w:val="none" w:color="auto" w:sz="0" w:space="0"/>
          <w:shd w:val="clear" w:fill="FFFFFF"/>
        </w:rPr>
        <w:t>方式：在线获取</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bdr w:val="none" w:color="auto" w:sz="0" w:space="0"/>
          <w:shd w:val="clear" w:fill="FFFFFF"/>
        </w:rPr>
        <w:t>售价： 500元</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120" w:beforeAutospacing="0" w:after="0" w:afterAutospacing="0" w:line="600" w:lineRule="atLeast"/>
        <w:ind w:left="0" w:right="0"/>
        <w:jc w:val="left"/>
        <w:rPr>
          <w:rFonts w:hint="eastAsia" w:ascii="仿宋" w:hAnsi="仿宋" w:eastAsia="仿宋" w:cs="仿宋"/>
          <w:b w:val="0"/>
          <w:bCs w:val="0"/>
          <w:color w:val="auto"/>
          <w:sz w:val="28"/>
          <w:szCs w:val="28"/>
        </w:rPr>
      </w:pPr>
      <w:r>
        <w:rPr>
          <w:rStyle w:val="9"/>
          <w:rFonts w:hint="eastAsia" w:ascii="仿宋" w:hAnsi="仿宋" w:eastAsia="仿宋" w:cs="仿宋"/>
          <w:b/>
          <w:bCs/>
          <w:i w:val="0"/>
          <w:iCs w:val="0"/>
          <w:caps w:val="0"/>
          <w:color w:val="auto"/>
          <w:spacing w:val="0"/>
          <w:sz w:val="28"/>
          <w:szCs w:val="28"/>
          <w:bdr w:val="none" w:color="auto" w:sz="0" w:space="0"/>
          <w:shd w:val="clear" w:fill="FFFFFF"/>
        </w:rPr>
        <w:t>四、响应文件提交</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bdr w:val="none" w:color="auto" w:sz="0" w:space="0"/>
          <w:shd w:val="clear" w:fill="FFFFFF"/>
        </w:rPr>
        <w:t>截止时间： 2023年03月27日 09时30分00秒 （北京时间）</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bdr w:val="none" w:color="auto" w:sz="0" w:space="0"/>
          <w:shd w:val="clear" w:fill="FFFFFF"/>
        </w:rPr>
        <w:t>地点：宝鸡市公共资源交易中心五楼第7开标室</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120" w:beforeAutospacing="0" w:after="0" w:afterAutospacing="0" w:line="600" w:lineRule="atLeast"/>
        <w:ind w:left="0" w:right="0"/>
        <w:jc w:val="left"/>
        <w:rPr>
          <w:rFonts w:hint="eastAsia" w:ascii="仿宋" w:hAnsi="仿宋" w:eastAsia="仿宋" w:cs="仿宋"/>
          <w:b w:val="0"/>
          <w:bCs w:val="0"/>
          <w:color w:val="auto"/>
          <w:sz w:val="28"/>
          <w:szCs w:val="28"/>
        </w:rPr>
      </w:pPr>
      <w:r>
        <w:rPr>
          <w:rStyle w:val="9"/>
          <w:rFonts w:hint="eastAsia" w:ascii="仿宋" w:hAnsi="仿宋" w:eastAsia="仿宋" w:cs="仿宋"/>
          <w:b/>
          <w:bCs/>
          <w:i w:val="0"/>
          <w:iCs w:val="0"/>
          <w:caps w:val="0"/>
          <w:color w:val="auto"/>
          <w:spacing w:val="0"/>
          <w:sz w:val="28"/>
          <w:szCs w:val="28"/>
          <w:bdr w:val="none" w:color="auto" w:sz="0" w:space="0"/>
          <w:shd w:val="clear" w:fill="FFFFFF"/>
        </w:rPr>
        <w:t>五、开启</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bdr w:val="none" w:color="auto" w:sz="0" w:space="0"/>
          <w:shd w:val="clear" w:fill="FFFFFF"/>
        </w:rPr>
        <w:t>时间： 2023年03月27日 09时30分00秒 （北京时间）</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bdr w:val="none" w:color="auto" w:sz="0" w:space="0"/>
          <w:shd w:val="clear" w:fill="FFFFFF"/>
        </w:rPr>
        <w:t>地点：宝鸡市公共资源交易中心五楼第7开标室</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120" w:beforeAutospacing="0" w:after="0" w:afterAutospacing="0" w:line="600" w:lineRule="atLeast"/>
        <w:ind w:left="0" w:right="0"/>
        <w:jc w:val="left"/>
        <w:rPr>
          <w:rFonts w:hint="eastAsia" w:ascii="仿宋" w:hAnsi="仿宋" w:eastAsia="仿宋" w:cs="仿宋"/>
          <w:b w:val="0"/>
          <w:bCs w:val="0"/>
          <w:color w:val="auto"/>
          <w:sz w:val="28"/>
          <w:szCs w:val="28"/>
        </w:rPr>
      </w:pPr>
      <w:r>
        <w:rPr>
          <w:rStyle w:val="9"/>
          <w:rFonts w:hint="eastAsia" w:ascii="仿宋" w:hAnsi="仿宋" w:eastAsia="仿宋" w:cs="仿宋"/>
          <w:b/>
          <w:bCs/>
          <w:i w:val="0"/>
          <w:iCs w:val="0"/>
          <w:caps w:val="0"/>
          <w:color w:val="auto"/>
          <w:spacing w:val="0"/>
          <w:sz w:val="28"/>
          <w:szCs w:val="28"/>
          <w:bdr w:val="none" w:color="auto" w:sz="0" w:space="0"/>
          <w:shd w:val="clear" w:fill="FFFFFF"/>
        </w:rPr>
        <w:t>六、公告期限</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bdr w:val="none" w:color="auto" w:sz="0" w:space="0"/>
          <w:shd w:val="clear" w:fill="FFFFFF"/>
        </w:rPr>
        <w:t>自本公告发布之日起3个工作日。</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120" w:beforeAutospacing="0" w:after="0" w:afterAutospacing="0" w:line="600" w:lineRule="atLeast"/>
        <w:ind w:left="0" w:right="0"/>
        <w:jc w:val="left"/>
        <w:rPr>
          <w:rFonts w:hint="eastAsia" w:ascii="仿宋" w:hAnsi="仿宋" w:eastAsia="仿宋" w:cs="仿宋"/>
          <w:b w:val="0"/>
          <w:bCs w:val="0"/>
          <w:color w:val="auto"/>
          <w:sz w:val="28"/>
          <w:szCs w:val="28"/>
        </w:rPr>
      </w:pPr>
      <w:r>
        <w:rPr>
          <w:rStyle w:val="9"/>
          <w:rFonts w:hint="eastAsia" w:ascii="仿宋" w:hAnsi="仿宋" w:eastAsia="仿宋" w:cs="仿宋"/>
          <w:b/>
          <w:bCs/>
          <w:i w:val="0"/>
          <w:iCs w:val="0"/>
          <w:caps w:val="0"/>
          <w:color w:val="auto"/>
          <w:spacing w:val="0"/>
          <w:sz w:val="28"/>
          <w:szCs w:val="28"/>
          <w:bdr w:val="none" w:color="auto" w:sz="0" w:space="0"/>
          <w:shd w:val="clear" w:fill="FFFFFF"/>
        </w:rPr>
        <w:t>七、其他补充事宜</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bdr w:val="none" w:color="auto" w:sz="0" w:space="0"/>
          <w:shd w:val="clear" w:fill="FFFFFF"/>
        </w:rPr>
        <w:t>1、本项目潜在供应商须使用捆绑CA证书登录全国公共资源交易平台（陕西省宝鸡市）宝鸡市公共资源交易中心（http://bj.sxggzyjy.cn/），交易平台〖首页〉电子交易平台〉企业端〗后，在〖招标公告/出让公告〗模块中选择有意向的项目点击“我要投标”，并打印回执单。在发售时间段内上午09:00:00-11:30:00下午14:30:00-17:00:00（双休日及法定节假日除外）持网上回执单、企业介绍信、经办人有效身份证原件、法人授权委托书（附法定代表人及委托人身份证复印件）加盖公章及法人签字或盖章的复印件一套，送至伍诚工程咨询股份有限公司（地址：宝鸡市高新五路星钻国际A座22楼2207室）进行确认及竞争性磋商文件购买。购买成功后，于2023年3月16日至2023年3月22日上午09:00:00-12:00:00下午14:00:00-17:00:00，从〖我的项目〉项目流程〉交易文件下载〗中下载电子竞争性磋商文件（*.SXSZF格式）；</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bdr w:val="none" w:color="auto" w:sz="0" w:space="0"/>
          <w:shd w:val="clear" w:fill="FFFFFF"/>
        </w:rPr>
        <w:t>2、供应商在网上填写单位信息（单位名称、营业执照相关信息）时应与竞争性磋商文件要求及后期上传的电子竞争性磋商响应文件中相关信息一致，否则造成资格审查不通过的后果自负；</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bdr w:val="none" w:color="auto" w:sz="0" w:space="0"/>
          <w:shd w:val="clear" w:fill="FFFFFF"/>
        </w:rPr>
        <w:t>4、参与本次项目的供应商请及时登录陕西省政府采购网（http://www.ccgp-shaanxi.gov.cn/），办理供应商入库申请并及时办理CA数字证书（陕西CA锁）；</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bdr w:val="none" w:color="auto" w:sz="0" w:space="0"/>
          <w:shd w:val="clear" w:fill="FFFFFF"/>
        </w:rPr>
        <w:t>5、本项目为“全流程电子化”采购模式，各供应商须自行在网上下载竞争性磋商文件、缴纳磋商保证金，并登录全国公共资源交易平台（陕西省宝鸡市）宝鸡市公共资源交易中心（http://bj.sxggzyjy.cn/）-服务指南-下载专区-下载政府采购电子标书制作工具，按照流程制作电子标书并在规定的磋商截止时前上传电子竞争性磋商响应文件。</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120" w:beforeAutospacing="0" w:after="0" w:afterAutospacing="0" w:line="600" w:lineRule="atLeast"/>
        <w:ind w:left="0" w:right="0"/>
        <w:jc w:val="left"/>
        <w:rPr>
          <w:rFonts w:hint="eastAsia" w:ascii="仿宋" w:hAnsi="仿宋" w:eastAsia="仿宋" w:cs="仿宋"/>
          <w:b w:val="0"/>
          <w:bCs w:val="0"/>
          <w:color w:val="auto"/>
          <w:sz w:val="28"/>
          <w:szCs w:val="28"/>
        </w:rPr>
      </w:pPr>
      <w:r>
        <w:rPr>
          <w:rStyle w:val="9"/>
          <w:rFonts w:hint="eastAsia" w:ascii="仿宋" w:hAnsi="仿宋" w:eastAsia="仿宋" w:cs="仿宋"/>
          <w:b/>
          <w:bCs/>
          <w:i w:val="0"/>
          <w:iCs w:val="0"/>
          <w:caps w:val="0"/>
          <w:color w:val="auto"/>
          <w:spacing w:val="0"/>
          <w:sz w:val="28"/>
          <w:szCs w:val="28"/>
          <w:bdr w:val="none" w:color="auto" w:sz="0" w:space="0"/>
          <w:shd w:val="clear" w:fill="FFFFFF"/>
        </w:rPr>
        <w:t>八、对本次招标提出询问，请按以下方式联系。</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 w:lineRule="atLeast"/>
        <w:ind w:left="0" w:right="0"/>
        <w:jc w:val="left"/>
        <w:rPr>
          <w:rFonts w:hint="eastAsia" w:ascii="仿宋" w:hAnsi="仿宋" w:eastAsia="仿宋" w:cs="仿宋"/>
          <w:b w:val="0"/>
          <w:bCs w:val="0"/>
          <w:color w:val="auto"/>
          <w:sz w:val="28"/>
          <w:szCs w:val="28"/>
        </w:rPr>
      </w:pPr>
      <w:r>
        <w:rPr>
          <w:rFonts w:hint="eastAsia" w:ascii="仿宋" w:hAnsi="仿宋" w:eastAsia="仿宋" w:cs="仿宋"/>
          <w:b w:val="0"/>
          <w:bCs w:val="0"/>
          <w:i w:val="0"/>
          <w:iCs w:val="0"/>
          <w:caps w:val="0"/>
          <w:color w:val="auto"/>
          <w:spacing w:val="0"/>
          <w:sz w:val="28"/>
          <w:szCs w:val="28"/>
          <w:bdr w:val="none" w:color="auto" w:sz="0" w:space="0"/>
          <w:shd w:val="clear" w:fill="FFFFFF"/>
        </w:rPr>
        <w:t>1.采购人信息</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bdr w:val="none" w:color="auto" w:sz="0" w:space="0"/>
          <w:shd w:val="clear" w:fill="FFFFFF"/>
        </w:rPr>
        <w:t>名称：岐山县枣林镇政府</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bdr w:val="none" w:color="auto" w:sz="0" w:space="0"/>
          <w:shd w:val="clear" w:fill="FFFFFF"/>
        </w:rPr>
        <w:t>地址：枣林镇街道</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bdr w:val="none" w:color="auto" w:sz="0" w:space="0"/>
          <w:shd w:val="clear" w:fill="FFFFFF"/>
        </w:rPr>
        <w:t>联系方式：13891768668</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 w:lineRule="atLeast"/>
        <w:ind w:left="0" w:right="0"/>
        <w:jc w:val="left"/>
        <w:rPr>
          <w:rFonts w:hint="eastAsia" w:ascii="仿宋" w:hAnsi="仿宋" w:eastAsia="仿宋" w:cs="仿宋"/>
          <w:b w:val="0"/>
          <w:bCs w:val="0"/>
          <w:color w:val="auto"/>
          <w:sz w:val="28"/>
          <w:szCs w:val="28"/>
        </w:rPr>
      </w:pPr>
      <w:r>
        <w:rPr>
          <w:rFonts w:hint="eastAsia" w:ascii="仿宋" w:hAnsi="仿宋" w:eastAsia="仿宋" w:cs="仿宋"/>
          <w:b w:val="0"/>
          <w:bCs w:val="0"/>
          <w:i w:val="0"/>
          <w:iCs w:val="0"/>
          <w:caps w:val="0"/>
          <w:color w:val="auto"/>
          <w:spacing w:val="0"/>
          <w:sz w:val="28"/>
          <w:szCs w:val="28"/>
          <w:bdr w:val="none" w:color="auto" w:sz="0" w:space="0"/>
          <w:shd w:val="clear" w:fill="FFFFFF"/>
        </w:rPr>
        <w:t>2.采购代理机构信息</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bdr w:val="none" w:color="auto" w:sz="0" w:space="0"/>
          <w:shd w:val="clear" w:fill="FFFFFF"/>
        </w:rPr>
        <w:t>名称：伍诚工程咨询股份有限公司</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bdr w:val="none" w:color="auto" w:sz="0" w:space="0"/>
          <w:shd w:val="clear" w:fill="FFFFFF"/>
        </w:rPr>
        <w:t>地址：宝鸡市高新五路星钻国际A座22楼2207室</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bdr w:val="none" w:color="auto" w:sz="0" w:space="0"/>
          <w:shd w:val="clear" w:fill="FFFFFF"/>
        </w:rPr>
        <w:t>联系方式：15509171516</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 w:lineRule="atLeast"/>
        <w:ind w:left="0" w:right="0"/>
        <w:jc w:val="left"/>
        <w:rPr>
          <w:rFonts w:hint="eastAsia" w:ascii="仿宋" w:hAnsi="仿宋" w:eastAsia="仿宋" w:cs="仿宋"/>
          <w:b w:val="0"/>
          <w:bCs w:val="0"/>
          <w:color w:val="auto"/>
          <w:sz w:val="28"/>
          <w:szCs w:val="28"/>
        </w:rPr>
      </w:pPr>
      <w:r>
        <w:rPr>
          <w:rFonts w:hint="eastAsia" w:ascii="仿宋" w:hAnsi="仿宋" w:eastAsia="仿宋" w:cs="仿宋"/>
          <w:b w:val="0"/>
          <w:bCs w:val="0"/>
          <w:i w:val="0"/>
          <w:iCs w:val="0"/>
          <w:caps w:val="0"/>
          <w:color w:val="auto"/>
          <w:spacing w:val="0"/>
          <w:sz w:val="28"/>
          <w:szCs w:val="28"/>
          <w:bdr w:val="none" w:color="auto" w:sz="0" w:space="0"/>
          <w:shd w:val="clear" w:fill="FFFFFF"/>
        </w:rPr>
        <w:t>3.项目联系方式</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bdr w:val="none" w:color="auto" w:sz="0" w:space="0"/>
          <w:shd w:val="clear" w:fill="FFFFFF"/>
        </w:rPr>
        <w:t>项目联系人：闫工</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both"/>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bdr w:val="none" w:color="auto" w:sz="0" w:space="0"/>
          <w:shd w:val="clear" w:fill="FFFFFF"/>
        </w:rPr>
        <w:t>电话：15509171516</w:t>
      </w:r>
    </w:p>
    <w:p>
      <w:pPr>
        <w:pStyle w:val="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4" w:lineRule="atLeast"/>
        <w:ind w:left="0" w:right="0" w:firstLine="384"/>
        <w:jc w:val="right"/>
        <w:rPr>
          <w:rFonts w:hint="eastAsia" w:ascii="仿宋" w:hAnsi="仿宋" w:eastAsia="仿宋" w:cs="仿宋"/>
          <w:color w:val="auto"/>
          <w:sz w:val="28"/>
          <w:szCs w:val="28"/>
        </w:rPr>
      </w:pPr>
      <w:r>
        <w:rPr>
          <w:rFonts w:hint="eastAsia" w:ascii="仿宋" w:hAnsi="仿宋" w:eastAsia="仿宋" w:cs="仿宋"/>
          <w:i w:val="0"/>
          <w:iCs w:val="0"/>
          <w:caps w:val="0"/>
          <w:color w:val="auto"/>
          <w:spacing w:val="0"/>
          <w:sz w:val="28"/>
          <w:szCs w:val="28"/>
          <w:bdr w:val="none" w:color="auto" w:sz="0" w:space="0"/>
          <w:shd w:val="clear" w:fill="FFFFFF"/>
        </w:rPr>
        <w:t>伍诚工程咨询股份有限公司</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Yu Gothic UI Light">
    <w:panose1 w:val="020B0300000000000000"/>
    <w:charset w:val="80"/>
    <w:family w:val="auto"/>
    <w:pitch w:val="default"/>
    <w:sig w:usb0="E00002FF" w:usb1="2AC7FDFF" w:usb2="00000016" w:usb3="00000000" w:csb0="200200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VhM2M0YzU4YmQ5ZjM2M2FiM2JmMWU4ZTAzMDIwZTUifQ=="/>
  </w:docVars>
  <w:rsids>
    <w:rsidRoot w:val="00000000"/>
    <w:rsid w:val="41AD74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5">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2023-03-15T12:47:43Z</dcterms:created>
  <dc:creator>S&amp;Y</dc:creator>
  <cp:lastModifiedBy>阿啾咪。</cp:lastModifiedBy>
  <dcterms:modified xsi:type="dcterms:W3CDTF">2023-03-15T12:50:54Z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D569D8A3D586452CA10FA9C7E0EA583F</vt:lpwstr>
  </property>
</Properties>
</file>