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扶风县地质环境监测站扶风县绛帐镇地质灾害风险调查评价竞争性谈判公告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扶风县绛帐镇地质灾害风险调查评价</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项目编号：ZSTJ-2023-016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项目名称：扶风县绛帐镇地质灾害风险调查评价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合同包1(扶风县绛帐镇地质灾害风险调查评价):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合同包最高限价：860,000.00元</w:t>
      </w:r>
    </w:p>
    <w:tbl>
      <w:tblPr>
        <w:tblW w:w="244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2"/>
        <w:gridCol w:w="3051"/>
        <w:gridCol w:w="13876"/>
        <w:gridCol w:w="1200"/>
        <w:gridCol w:w="2163"/>
        <w:gridCol w:w="1618"/>
        <w:gridCol w:w="16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地质灾害治理服务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对扶风县绛帐镇全域进行地质灾害风险调查评价，全面掌握绛帐镇境内地质灾害类型、地质灾害分布情况。技术要求：通过野外踏勘和实地测绘相结合，查明全镇地质灾害类型、成因、诱发因素，孕灾地质特征和承灾体等，运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合同包1(扶风县绛帐镇地质灾害风险调查评价)落实政府采购政策需满足的资格要求如下: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（11）《关于进一步加强政府绿色采购有关问题的通知》-（陕财办采〔2021〕29号）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合同包1(扶风县绛帐镇地质灾害风险调查评价)特定资格要求如下: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1）具有独立承担民事责任能力的法人或其他组织，提供合格有效的法人或者其他组织的营业执照等证明文件；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2）法定代表人直接参加投标的，须出具法人身份证并与营业执照信息一致；法定代表人授权代表参加投标的，须出具法定代表人授权书及授权代表本人身份证；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3）供应商应具备有效的地质灾害危险性评估资质（甲级）及地质灾害治理工程勘查资质（甲级）；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4）书面声明：参加政府采购活动前三年内，在经营活动中没有重大违法记录的书面声明（加盖投标人公章）；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5）投标人税收缴纳证明：提供 2022 年5月度至今连续6个月的纳税证明或完税证明，依法免税的单位应提供相关证明材料；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6）供应商社会保障资金缴纳证明：提供 2022年5月至今连续 6 个月的社会保障资金缴存单据或社保机构开具的社会保险参保缴费情况证明，依法不需要缴纳社会保障资金的单位应提供相关证明材料；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务状况报告：投标人须提供2021年财务审计报告（至少包括资产负债表和利润表，成立时间至提交投标文件截止时间不足一年的可提供成立后任意时段的资产负债表）或提供投标截止时间前三个月内其基本开户银行出具的资信证明（附开户许可证或开户备案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果网页截图并加盖投标人公章，查询日期应在公告发布之日起之后）；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9）本项目不接受联合体投标，单位负责人为同一人或者存在控股、管理关系的不同单位不得同时参加。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2023年06月01日 至 2023年06月05日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1、提示：请供应商按照陕西省财政厅关于政府采购供应商注册登记有关事项的通知中的要求，通过陕西省政府采购网（http://www.ccgp- 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发售时间内持网上确认单、介绍信、委托书、委托人身份证原件及复印件加盖单位公章至宝鸡市高新五路星钻国际二十二层确认报名信息，报名成功后可从〖我的项目〉项目流程〉交易文件下载〗中下载电子文件（*.SXSZF 格式），逾期下载通道将关闭，未及时下载招标文件将会影响后续开评标活动，后果自负，招标文件谢绝邮寄；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3、供应商在网上填写单位信息（单位名称、营业执照相关信息）时应与招标文件要求及后期上传的电子投标文件中相关信息一致，否则造成资格审查不通过的后果自负；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制作电子投标文件。供应商须在“全国公共资源交易中心平台（陕西省）（http://www.sxggzyjy.cn/）”的“服务指南”栏目“下载专区”中，免费下载“陕西省公共资源交易平台政府采购电子标书制作工具”，并升级至最新版本，制作扩展名为“.SXSTF”的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递交电子投标文件。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宝鸡市公共资源电子交易活动中需要使用CA锁，经了解，各代理机构在招标公告中未明确CA锁的办理方式，为了提升招投标效率，请各代理机构在发布招标公告时，在其他补充事宜里告知有意向的投标人办理CA锁地址及流程，内容如下：CA锁办理地址及流程：宝鸡市金台区行政大道8号海棠风尚宝鸡市公共资源交易中心4楼2号窗口（办理流程：http://ggzy.baoji.gov.cn/fwzn/004002/20220524/05ccf80e-6a61-43e9-90e9-ebdd8da75241.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扶风县地质环境监测站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扶风县新区西一路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13991572858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陕西中晟同济项目管理有限公司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宝鸡市高新五路星钻国际二十二层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15353002081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闫工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15353002081</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Tc4OWYxNjg0ZmJlNDA1ZmM5NDlkZjlhZGM2NGYifQ=="/>
  </w:docVars>
  <w:rsids>
    <w:rsidRoot w:val="038635E3"/>
    <w:rsid w:val="038635E3"/>
    <w:rsid w:val="5CE3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2971</Words>
  <Characters>3469</Characters>
  <Lines>0</Lines>
  <Paragraphs>0</Paragraphs>
  <TotalTime>3</TotalTime>
  <ScaleCrop>false</ScaleCrop>
  <LinksUpToDate>false</LinksUpToDate>
  <CharactersWithSpaces>3506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2023-05-31T08:42:00Z</dcterms:created>
  <dc:creator>可人儿</dc:creator>
  <cp:lastModifiedBy>可人儿</cp:lastModifiedBy>
  <dcterms:modified xsi:type="dcterms:W3CDTF">2023-05-31T09:00:59Z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A42B1424D19B49CA95F0CBCCFCD1D6F4_11</vt:lpwstr>
  </property>
</Properties>
</file>