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lang w:val="en-US" w:eastAsia="zh-CN"/>
        </w:rPr>
        <w:t>眉县营头镇人民政府眉县营头镇农村生活垃圾治理试点镇建设-垃圾焚烧站提质扩容项目招标公告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Theme="minorEastAsia" w:hAnsiTheme="minorEastAsia" w:eastAsiaTheme="minorEastAsia" w:cstheme="minorEastAsia"/>
          <w:b w:val="0"/>
          <w:bCs w:val="0"/>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眉县营头镇农村生活垃圾治理试点镇建设-垃圾焚烧站提质扩容项目招标项目的潜在投标人应在全国公共资源交易平台（陕西省·宝鸡市）（http://ggzy.baoji.gov.cn/）获取招标文件，并于 2023年04月04日 09时00分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sz w:val="28"/>
          <w:szCs w:val="28"/>
        </w:rPr>
      </w:pPr>
      <w:r>
        <w:rPr>
          <w:rStyle w:val="8"/>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项目编号：SXBGR招2023-003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项目名称：眉县营头镇农村生活垃圾治理试点镇建设-垃圾焚烧站提质扩容项目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预算金额：2,680,000.00元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合同包1(眉县营头镇农村生活垃圾治理试点镇建设-垃圾焚烧站提质扩容项目):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合同包预算金额：2,680,000.00元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合同包最高限价：2,680,000.00元</w:t>
      </w:r>
    </w:p>
    <w:tbl>
      <w:tblPr>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8"/>
        <w:gridCol w:w="1040"/>
        <w:gridCol w:w="1040"/>
        <w:gridCol w:w="849"/>
        <w:gridCol w:w="1178"/>
        <w:gridCol w:w="1920"/>
        <w:gridCol w:w="19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02" w:hRule="atLeast"/>
          <w:tblHeader/>
        </w:trPr>
        <w:tc>
          <w:tcPr>
            <w:tcW w:w="5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品目号</w:t>
            </w:r>
          </w:p>
        </w:tc>
        <w:tc>
          <w:tcPr>
            <w:tcW w:w="20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品目名称</w:t>
            </w:r>
          </w:p>
        </w:tc>
        <w:tc>
          <w:tcPr>
            <w:tcW w:w="20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采购标的</w:t>
            </w:r>
          </w:p>
        </w:tc>
        <w:tc>
          <w:tcPr>
            <w:tcW w:w="6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数量（单位）</w:t>
            </w:r>
          </w:p>
        </w:tc>
        <w:tc>
          <w:tcPr>
            <w:tcW w:w="13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技术规格、参数及要求</w:t>
            </w:r>
          </w:p>
        </w:tc>
        <w:tc>
          <w:tcPr>
            <w:tcW w:w="8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品目预算(元)</w:t>
            </w:r>
          </w:p>
        </w:tc>
        <w:tc>
          <w:tcPr>
            <w:tcW w:w="8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其他机械设备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2680000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2,680,000.00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2,680,00</w:t>
            </w:r>
            <w:bookmarkStart w:id="0" w:name="_GoBack"/>
            <w:bookmarkEnd w:id="0"/>
            <w:r>
              <w:rPr>
                <w:rFonts w:hint="eastAsia" w:asciiTheme="minorEastAsia" w:hAnsiTheme="minorEastAsia" w:eastAsiaTheme="minorEastAsia" w:cstheme="minorEastAsia"/>
                <w:kern w:val="0"/>
                <w:sz w:val="28"/>
                <w:szCs w:val="28"/>
                <w:bdr w:val="none" w:color="auto" w:sz="0" w:space="0"/>
                <w:lang w:val="en-US" w:eastAsia="zh-CN" w:bidi="ar"/>
              </w:rPr>
              <w:t>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sz w:val="28"/>
          <w:szCs w:val="28"/>
        </w:rPr>
      </w:pPr>
      <w:r>
        <w:rPr>
          <w:rStyle w:val="8"/>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合同包1(眉县营头镇农村生活垃圾治理试点镇建设-垃圾焚烧站提质扩容项目)落实政府采购政策需满足的资格要求如下: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（1）《财政部国家发展改革委关于印发〈节能产品政府采购实施意见〉的通知》（财库〔2004〕185号）；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（2）《国务院办公厅关于建立政府强制采购节能产品制度的通知》（国办发〔2007〕51号）；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（3）《财政部环保总局关于环境标志产品政府采购实施的意见》（财库〔2006〕90号）；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（4）《政府采购促进中小企业发展管理办法》（财库〔2020〕46号）；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（5）《财政部关于进一步加大政府采购支持中小企业力度的通知》（财库〔2022〕19号）；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（6）《财政部 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（7）《三部门联合发布关于促进残疾人就业政府采购政策的通知》（财库〔2017〕141号）；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（8）《财政部发展改革委生态环境部市场监管总局关于调整优化节能产品、环境标志产品政府采购执行机制的通知》（财库〔2019〕9号）；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（9）《财政部农业农村部国家乡村振兴局关于运用政府采购政策支持乡村产业振兴的通知》财库〔2021〕19号；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（10）《陕西省财政厅关于印发陕西省中小企业政府采购信用融资办法》（陕财办采〔2018〕23号）；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（11）其他需要落实的政府采购政策；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合同包1(眉县营头镇农村生活垃圾治理试点镇建设-垃圾焚烧站提质扩容项目)特定资格要求如下: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（1）投标人应为独立承担民事责任能力的法人、其他组织或自然人，并出具合法有效的营业执照或事业单位法人证书等国家规定的相关证明，自然人参与的提供其身份证明；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（2）投标人应授权代表参加投标全过程，被授权人须出具法定代表人授权书及本人身份证原件（法定代表人须出具法定代表人身份证明及本人身份证原件）；</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3）投标人须提供2021年财务审计报告（至少包括资产负债表和利润表，成立时间至提交投标文件截止时间不足一年的可提供成立后任意时段的资产负债表）或提供投标截止时间前三个月内其基本开户银行出具的资信证明（附开户许可证或开户备案证明）；</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（4）投标人须提供具有履行合同所必需的设备和专业技术能力的承诺；</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（5）投标人须提供2022年3月至今至少1个月的纳税证明或完税证明，依法免税的单位应提供相关证明材料；</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（6）投标人须提供2022年3月至今至少1个月的社会保险缴费情况证明，依法不需要缴纳社会保障资金的单位应提供相关证明材料；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（7）投标人在参加政府采购活动近3年内，在经营活动中无重大违法记录的声明；</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8）投标人不得被“信用中国”网站（www.creditchina.gov.cn）中列入失信被执行人、政府采购严重违法失信行为记录名单、重大税收违法失信主体名单，不得为中国政府采购网（www.ccgp.gov.cn）政府采购严重违法失信行为记录名单中被财政部门禁止参加政府采购活动的投标人；（提供查询结果网页截图并加盖投标人公章）；</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（9）单位负责人为同一人或者存在直接控股、管理关系的不同</w:t>
      </w: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投标人，不得参加同一合同项下的政府采购活动。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时间： 2023年03月14日 至 2023年03月20日 ，每天上午 09:00:00 至 12:00:00 ，下午 14:30:00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途径：全国公共资源交易平台（陕西省·宝鸡市）（http://ggzy.baoji.gov.cn/）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售价： 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时间： 2023年04月04日 09时00分00秒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提交投标文件地点：线上提交（全国公共资源交易平台（陕西省·宝鸡市）（http://ggzy.baoji.gov.cn/））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开标地点：宝鸡市公共资源交易中心五楼第11开标室（不见面开标室席位2）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1、本项目有意向投标人须登录全国公共资源交易平台（陕西省·宝鸡市）（http://ggzy.baoji.gov.cn/），交易平台〖首页〉电子交易平台〉企业端〗后，在〖招标公告/出让公告〗模块中选择有意向的项目点击“我要投标”，并打印报名回执单。在发售时间内持网上报名回执单、法人授权委托书、本人身份证原件及复印件加盖单位公章至东信工程项目管理有限公司（地址：宝鸡市渭滨区公园南路公园华府东区二号楼1单元903）进行线下报名，否则视为报名无效（谢绝邮寄）。报名成功后可从〖我的项目〉项目流程〉交易文件下载〗中下载电子招标文件（*.SXSZF 格式）；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2、投标人在网上填写单位信息（单位名称、营业执照相关信息）时应与招标文件要求及后期上传的电子投标文件中相关信息一致，否则造成资格审查不通过的后果自负；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3、本项目为“全流程电子化”采购模式，实行线上电子投标方式，各投标人须自行在网上下载招标文件、缴纳投标保证金，并登录全国公共资源交易平台（陕西省·宝鸡市）（http://ggzy.baoji.gov.cn/）-服务指南-下载专区-下载“宝鸡市不见面大厅投标人操作手册”，并下载政府采购电子标书制作工具，按照流程制作电子标书并在规定的投标截止时前上传电子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4、未完成网上投标或未经采购代理公司交费确认或未在规定时间内在平台上下载电子招标文件的，导致无法完成后续流程的责任自负；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5、为了保证远程不见面开标顺利进行，投标人需使用配备相关设备的电脑提前一小时登录网络开标大厅。因投标投标人自身设施故障或自身原因导致无法完成投标的，由投标人自行承担后果；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注：本项目采用“不见面”开标形式，投标人可登录全国公共资源交易平台（陕西省·宝鸡市）（http://ggzy.baoji.gov.cn/）〖《首页》不见面开标〗在线参与开评标过程，详见交易平台〖首页〉服务指南〉下载专区〗中的《陕西省公共资源交易中心政府采购项目远程不见面开标操作手册》,电子投标文件（*.SXSTF）可于提交投标文件截止时间前任意时段登录全国公共资源交易平台（陕西省·宝鸡市）（http://ggzy.baoji.gov.cn/）“电子交易平台-企业端”进行提交，逾期系统将拒绝接收，因投标人自身设施故障或自身原因导致无法完成签到或投标的，由投标人自行承担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本项目采用电子化投标与纸质投标并行的方式，开标结束后投标人须在3个日历日内将投标文件纸质版（含电子版资料）送至采购代理公司。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8"/>
          <w:szCs w:val="28"/>
        </w:rPr>
      </w:pPr>
      <w:r>
        <w:rPr>
          <w:rStyle w:val="8"/>
          <w:rFonts w:hint="eastAsia" w:asciiTheme="minorEastAsia" w:hAnsiTheme="minorEastAsia" w:eastAsiaTheme="minorEastAsia" w:cstheme="minorEastAsia"/>
          <w:b/>
          <w:bCs/>
          <w:i w:val="0"/>
          <w:iCs w:val="0"/>
          <w:caps w:val="0"/>
          <w:color w:val="auto"/>
          <w:spacing w:val="0"/>
          <w:sz w:val="28"/>
          <w:szCs w:val="28"/>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名称：眉县营头镇人民政府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地址：眉县营头镇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联系方式：13088905561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名称：陕西博格瑞工程造价咨询有限公司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地址：宝鸡市渭滨区公园南路公园华府东区二号楼1单元903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联系方式：15353001930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项目联系人：闫工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bdr w:val="none" w:color="auto" w:sz="0" w:space="0"/>
          <w:shd w:val="clear" w:fill="FFFFFF"/>
        </w:rPr>
        <w:t>电话：15353001930</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Medium">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MTM0YThkYWVhMjk0ZjI0OTUwNGExZDhhMzUzZGMifQ=="/>
  </w:docVars>
  <w:rsids>
    <w:rsidRoot w:val="00000000"/>
    <w:rsid w:val="0268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2023-03-13T12:09:20Z</dcterms:created>
  <dc:creator>Administrator</dc:creator>
  <cp:lastModifiedBy>阿啾咪。</cp:lastModifiedBy>
  <dcterms:modified xsi:type="dcterms:W3CDTF">2023-03-13T12:16:08Z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920DBEED25D04FD7AAC36D712770FC7D</vt:lpwstr>
  </property>
</Properties>
</file>