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b/>
          <w:bCs/>
          <w:sz w:val="32"/>
          <w:szCs w:val="32"/>
          <w:lang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eastAsia="zh-CN"/>
        </w:rPr>
        <w:t>ZMZB2023LYJTJ-46</w:t>
      </w:r>
    </w:p>
    <w:p>
      <w:pPr>
        <w:jc w:val="center"/>
        <w:rPr>
          <w:rFonts w:ascii="宋体" w:hAnsi="宋体" w:eastAsia="宋体" w:cs="宋体"/>
          <w:sz w:val="44"/>
          <w:szCs w:val="44"/>
        </w:rPr>
      </w:pPr>
    </w:p>
    <w:p>
      <w:pPr>
        <w:jc w:val="both"/>
        <w:rPr>
          <w:rFonts w:ascii="宋体" w:hAnsi="宋体" w:eastAsia="宋体" w:cs="宋体"/>
          <w:sz w:val="52"/>
          <w:szCs w:val="52"/>
        </w:rPr>
      </w:pP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麟游县教育体育局2023</w:t>
      </w: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“九成宫杯”陕西宝鸡·麟游</w:t>
      </w: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夏季半程马拉松赛事运营服务</w:t>
      </w:r>
    </w:p>
    <w:p>
      <w:pPr>
        <w:jc w:val="center"/>
        <w:rPr>
          <w:rFonts w:ascii="宋体" w:hAnsi="宋体" w:eastAsia="宋体" w:cs="宋体"/>
          <w:b/>
          <w:bCs/>
          <w:sz w:val="56"/>
          <w:szCs w:val="56"/>
        </w:rPr>
      </w:pPr>
      <w:r>
        <w:rPr>
          <w:rFonts w:hint="eastAsia" w:ascii="宋体" w:hAnsi="宋体" w:eastAsia="宋体" w:cs="宋体"/>
          <w:b/>
          <w:bCs/>
          <w:sz w:val="56"/>
          <w:szCs w:val="56"/>
          <w:lang w:eastAsia="zh-CN"/>
        </w:rPr>
        <w:t>采购项目</w:t>
      </w:r>
    </w:p>
    <w:p>
      <w:pPr>
        <w:jc w:val="center"/>
        <w:rPr>
          <w:rFonts w:ascii="宋体" w:hAnsi="宋体" w:eastAsia="宋体" w:cs="宋体"/>
          <w:b/>
          <w:bCs/>
          <w:sz w:val="56"/>
          <w:szCs w:val="56"/>
        </w:rPr>
      </w:pPr>
    </w:p>
    <w:p>
      <w:pPr>
        <w:jc w:val="center"/>
        <w:rPr>
          <w:rFonts w:hint="eastAsia" w:ascii="宋体" w:hAnsi="宋体" w:eastAsia="宋体" w:cs="宋体"/>
          <w:b/>
          <w:bCs/>
          <w:sz w:val="56"/>
          <w:szCs w:val="56"/>
        </w:rPr>
      </w:pPr>
    </w:p>
    <w:p>
      <w:pPr>
        <w:jc w:val="center"/>
        <w:rPr>
          <w:rFonts w:ascii="宋体" w:hAnsi="宋体" w:eastAsia="宋体" w:cs="宋体"/>
          <w:b/>
          <w:bCs/>
          <w:sz w:val="72"/>
          <w:szCs w:val="72"/>
        </w:rPr>
      </w:pPr>
      <w:r>
        <w:rPr>
          <w:rFonts w:hint="eastAsia" w:ascii="宋体" w:hAnsi="宋体" w:eastAsia="宋体" w:cs="宋体"/>
          <w:b/>
          <w:bCs/>
          <w:sz w:val="56"/>
          <w:szCs w:val="56"/>
        </w:rPr>
        <w:t>招标文件</w:t>
      </w:r>
    </w:p>
    <w:p>
      <w:pPr>
        <w:spacing w:line="560" w:lineRule="exact"/>
        <w:ind w:firstLine="816" w:firstLineChars="200"/>
        <w:jc w:val="both"/>
        <w:rPr>
          <w:rFonts w:ascii="宋体" w:hAnsi="宋体" w:eastAsia="宋体" w:cs="宋体"/>
          <w:b/>
          <w:bCs/>
          <w:sz w:val="40"/>
          <w:szCs w:val="40"/>
        </w:rPr>
      </w:pPr>
    </w:p>
    <w:p>
      <w:pPr>
        <w:spacing w:line="560" w:lineRule="exact"/>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ind w:firstLine="816" w:firstLineChars="200"/>
        <w:jc w:val="both"/>
        <w:rPr>
          <w:rFonts w:ascii="宋体" w:hAnsi="宋体" w:eastAsia="宋体" w:cs="宋体"/>
          <w:b/>
          <w:bCs/>
          <w:sz w:val="40"/>
          <w:szCs w:val="40"/>
        </w:rPr>
      </w:pPr>
    </w:p>
    <w:p>
      <w:pPr>
        <w:spacing w:line="560" w:lineRule="exact"/>
        <w:jc w:val="both"/>
        <w:rPr>
          <w:rFonts w:ascii="宋体" w:hAnsi="宋体" w:eastAsia="宋体" w:cs="宋体"/>
          <w:sz w:val="32"/>
          <w:szCs w:val="32"/>
        </w:rPr>
      </w:pPr>
    </w:p>
    <w:p>
      <w:pPr>
        <w:spacing w:line="560" w:lineRule="exact"/>
        <w:jc w:val="center"/>
        <w:rPr>
          <w:rFonts w:ascii="宋体" w:hAnsi="宋体" w:eastAsia="宋体" w:cs="宋体"/>
          <w:sz w:val="32"/>
          <w:szCs w:val="32"/>
        </w:rPr>
      </w:pPr>
      <w:r>
        <w:rPr>
          <w:rFonts w:hint="eastAsia" w:ascii="宋体" w:hAnsi="宋体" w:eastAsia="宋体" w:cs="宋体"/>
          <w:sz w:val="32"/>
          <w:szCs w:val="32"/>
        </w:rPr>
        <w:t>陕西卓佲项目管理有限公司</w:t>
      </w:r>
    </w:p>
    <w:p>
      <w:pPr>
        <w:spacing w:line="560" w:lineRule="exact"/>
        <w:jc w:val="center"/>
        <w:rPr>
          <w:rFonts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TIME \@ "yyyy年M月" </w:instrText>
      </w:r>
      <w:r>
        <w:rPr>
          <w:rFonts w:hint="eastAsia" w:ascii="宋体" w:hAnsi="宋体" w:eastAsia="宋体" w:cs="宋体"/>
          <w:sz w:val="32"/>
          <w:szCs w:val="32"/>
        </w:rPr>
        <w:fldChar w:fldCharType="separate"/>
      </w:r>
      <w:r>
        <w:rPr>
          <w:rFonts w:hint="eastAsia" w:ascii="宋体" w:hAnsi="宋体" w:eastAsia="宋体" w:cs="宋体"/>
          <w:sz w:val="32"/>
          <w:szCs w:val="32"/>
        </w:rPr>
        <w:t>2023年4月</w:t>
      </w:r>
      <w:r>
        <w:rPr>
          <w:rFonts w:hint="eastAsia" w:ascii="宋体" w:hAnsi="宋体" w:eastAsia="宋体" w:cs="宋体"/>
          <w:sz w:val="32"/>
          <w:szCs w:val="32"/>
        </w:rPr>
        <w:fldChar w:fldCharType="end"/>
      </w:r>
      <w:r>
        <w:rPr>
          <w:rFonts w:hint="eastAsia" w:ascii="宋体" w:hAnsi="宋体" w:eastAsia="宋体" w:cs="宋体"/>
          <w:sz w:val="32"/>
          <w:szCs w:val="32"/>
        </w:rPr>
        <w:br w:type="page"/>
      </w:r>
    </w:p>
    <w:sdt>
      <w:sdtPr>
        <w:rPr>
          <w:rFonts w:ascii="宋体" w:hAnsi="宋体" w:eastAsia="宋体"/>
          <w:sz w:val="21"/>
        </w:rPr>
        <w:id w:val="147473170"/>
        <w:docPartObj>
          <w:docPartGallery w:val="Table of Contents"/>
          <w:docPartUnique/>
        </w:docPartObj>
      </w:sdtPr>
      <w:sdtEndPr>
        <w:rPr>
          <w:rFonts w:ascii="宋体" w:hAnsi="宋体" w:eastAsia="宋体"/>
          <w:sz w:val="21"/>
        </w:rPr>
      </w:sdtEndPr>
      <w:sdtContent>
        <w:p>
          <w:pPr>
            <w:jc w:val="center"/>
            <w:rPr>
              <w:sz w:val="44"/>
              <w:szCs w:val="44"/>
            </w:rPr>
          </w:pPr>
          <w:bookmarkStart w:id="0" w:name="_Toc100219612"/>
          <w:r>
            <w:rPr>
              <w:rFonts w:ascii="宋体" w:hAnsi="宋体" w:eastAsia="宋体"/>
              <w:sz w:val="36"/>
              <w:szCs w:val="44"/>
            </w:rPr>
            <w:t>目录</w:t>
          </w:r>
        </w:p>
        <w:p>
          <w:pPr>
            <w:pStyle w:val="29"/>
            <w:tabs>
              <w:tab w:val="right" w:leader="dot" w:pos="8300"/>
            </w:tabs>
            <w:ind w:left="497"/>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fldChar w:fldCharType="begin"/>
          </w:r>
          <w:r>
            <w:instrText xml:space="preserve"> HYPERLINK \l "_Toc30195" </w:instrText>
          </w:r>
          <w:r>
            <w:fldChar w:fldCharType="separate"/>
          </w:r>
          <w:r>
            <w:rPr>
              <w:rFonts w:hint="eastAsia" w:ascii="宋体" w:hAnsi="宋体" w:eastAsia="宋体" w:cs="宋体"/>
            </w:rPr>
            <w:t>第一章  投标邀请函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"_Toc6116" </w:instrText>
          </w:r>
          <w:r>
            <w:fldChar w:fldCharType="separate"/>
          </w: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_Toc6116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"_Toc31001" </w:instrText>
          </w:r>
          <w:r>
            <w:fldChar w:fldCharType="separate"/>
          </w:r>
          <w:r>
            <w:rPr>
              <w:rFonts w:hint="eastAsia" w:ascii="宋体" w:hAnsi="宋体" w:eastAsia="宋体" w:cs="宋体"/>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"_Toc28366" </w:instrText>
          </w:r>
          <w:r>
            <w:fldChar w:fldCharType="separate"/>
          </w:r>
          <w:r>
            <w:rPr>
              <w:rFonts w:hint="eastAsia" w:ascii="宋体" w:hAnsi="宋体" w:eastAsia="宋体" w:cs="宋体"/>
            </w:rPr>
            <w:t>一、有关定义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_Toc28366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"_Toc13920" </w:instrText>
          </w:r>
          <w:r>
            <w:fldChar w:fldCharType="separate"/>
          </w:r>
          <w:r>
            <w:rPr>
              <w:rFonts w:hint="eastAsia" w:ascii="宋体" w:hAnsi="宋体" w:eastAsia="宋体" w:cs="宋体"/>
            </w:rPr>
            <w:t>二、供应商注意事项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_Toc13920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"_Toc18315" </w:instrText>
          </w:r>
          <w:r>
            <w:fldChar w:fldCharType="separate"/>
          </w:r>
          <w:r>
            <w:rPr>
              <w:rFonts w:hint="eastAsia" w:ascii="宋体" w:hAnsi="宋体" w:eastAsia="宋体" w:cs="宋体"/>
            </w:rPr>
            <w:t>三、招标文件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_Toc18315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"_Toc30360" </w:instrText>
          </w:r>
          <w:r>
            <w:fldChar w:fldCharType="separate"/>
          </w:r>
          <w:r>
            <w:rPr>
              <w:rFonts w:hint="eastAsia" w:ascii="宋体" w:hAnsi="宋体" w:eastAsia="宋体" w:cs="宋体"/>
            </w:rPr>
            <w:t>四、投标文件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_Toc30360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"_Toc13111" </w:instrText>
          </w:r>
          <w:r>
            <w:fldChar w:fldCharType="separate"/>
          </w:r>
          <w:r>
            <w:rPr>
              <w:rFonts w:hint="eastAsia" w:ascii="宋体" w:hAnsi="宋体" w:eastAsia="宋体" w:cs="宋体"/>
            </w:rPr>
            <w:t>五、开标程序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_Toc13111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"_Toc2998" </w:instrText>
          </w:r>
          <w:r>
            <w:fldChar w:fldCharType="separate"/>
          </w:r>
          <w:r>
            <w:rPr>
              <w:rFonts w:hint="eastAsia" w:ascii="宋体" w:hAnsi="宋体" w:eastAsia="宋体" w:cs="宋体"/>
            </w:rPr>
            <w:t>六、资格审查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"_Toc21529" </w:instrText>
          </w:r>
          <w:r>
            <w:fldChar w:fldCharType="separate"/>
          </w:r>
          <w:r>
            <w:rPr>
              <w:rFonts w:hint="eastAsia" w:ascii="宋体" w:hAnsi="宋体" w:eastAsia="宋体" w:cs="宋体"/>
            </w:rPr>
            <w:t>七、评审方法和程序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_Toc21529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"_Toc20093" </w:instrText>
          </w:r>
          <w:r>
            <w:fldChar w:fldCharType="separate"/>
          </w:r>
          <w:r>
            <w:rPr>
              <w:rFonts w:hint="eastAsia" w:ascii="宋体" w:hAnsi="宋体" w:eastAsia="宋体" w:cs="宋体"/>
            </w:rPr>
            <w:t>八、中标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_Toc20093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"_Toc18710" </w:instrText>
          </w:r>
          <w:r>
            <w:fldChar w:fldCharType="separate"/>
          </w:r>
          <w:r>
            <w:rPr>
              <w:rFonts w:hint="eastAsia" w:ascii="宋体" w:hAnsi="宋体" w:eastAsia="宋体" w:cs="宋体"/>
            </w:rPr>
            <w:t>九、合同签订、履行及验收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_Toc18710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"_Toc11948" </w:instrText>
          </w:r>
          <w:r>
            <w:fldChar w:fldCharType="separate"/>
          </w:r>
          <w:r>
            <w:rPr>
              <w:rFonts w:hint="eastAsia" w:ascii="宋体" w:hAnsi="宋体" w:eastAsia="宋体" w:cs="宋体"/>
            </w:rPr>
            <w:t>十、废标及重新招标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_Toc11948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"_Toc1462" </w:instrText>
          </w:r>
          <w:r>
            <w:fldChar w:fldCharType="separate"/>
          </w:r>
          <w:r>
            <w:rPr>
              <w:rFonts w:hint="eastAsia" w:ascii="宋体" w:hAnsi="宋体" w:eastAsia="宋体" w:cs="宋体"/>
            </w:rPr>
            <w:t>第三章  招标内容及要求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_Toc1462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"_Toc4451" </w:instrText>
          </w:r>
          <w:r>
            <w:fldChar w:fldCharType="separate"/>
          </w:r>
          <w:r>
            <w:rPr>
              <w:rFonts w:hint="eastAsia" w:ascii="宋体" w:hAnsi="宋体" w:eastAsia="宋体" w:cs="宋体"/>
            </w:rPr>
            <w:t>第四章  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_Toc4451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"_Toc876" </w:instrText>
          </w:r>
          <w:r>
            <w:fldChar w:fldCharType="separate"/>
          </w:r>
          <w:r>
            <w:rPr>
              <w:rFonts w:hint="eastAsia" w:ascii="宋体" w:hAnsi="宋体" w:eastAsia="宋体" w:cs="宋体"/>
            </w:rPr>
            <w:t>第五章  投标文件构成及格式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_Toc876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"_Toc22486" </w:instrText>
          </w:r>
          <w:r>
            <w:fldChar w:fldCharType="separate"/>
          </w:r>
          <w:r>
            <w:rPr>
              <w:rFonts w:hint="eastAsia" w:ascii="宋体" w:hAnsi="宋体" w:eastAsia="宋体" w:cs="宋体"/>
            </w:rPr>
            <w:t>第一部分  投标函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_Toc22486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"_Toc24058" </w:instrText>
          </w:r>
          <w:r>
            <w:fldChar w:fldCharType="separate"/>
          </w:r>
          <w:r>
            <w:rPr>
              <w:rFonts w:hint="eastAsia" w:ascii="宋体" w:hAnsi="宋体" w:eastAsia="宋体" w:cs="宋体"/>
            </w:rPr>
            <w:t>第二部分  开标一览表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_Toc24058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"_Toc30865" </w:instrText>
          </w:r>
          <w:r>
            <w:fldChar w:fldCharType="separate"/>
          </w:r>
          <w:r>
            <w:rPr>
              <w:rFonts w:hint="eastAsia" w:ascii="宋体" w:hAnsi="宋体" w:eastAsia="宋体" w:cs="宋体"/>
            </w:rPr>
            <w:t>第三部分  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_Toc30865 \h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"_Toc15409" </w:instrText>
          </w:r>
          <w:r>
            <w:fldChar w:fldCharType="separate"/>
          </w:r>
          <w:r>
            <w:rPr>
              <w:rFonts w:hint="eastAsia" w:ascii="宋体" w:hAnsi="宋体" w:eastAsia="宋体" w:cs="宋体"/>
            </w:rPr>
            <w:t>第四部分  供应商概况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_Toc15409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"_Toc10196" </w:instrText>
          </w:r>
          <w:r>
            <w:fldChar w:fldCharType="separate"/>
          </w:r>
          <w:r>
            <w:rPr>
              <w:rFonts w:hint="eastAsia" w:ascii="宋体" w:hAnsi="宋体" w:eastAsia="宋体" w:cs="宋体"/>
            </w:rPr>
            <w:t>第五部分  供应商参加政府采购活动承诺书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_Toc10196 \h </w:instrText>
          </w:r>
          <w:r>
            <w:rPr>
              <w:rFonts w:hint="eastAsia" w:ascii="宋体" w:hAnsi="宋体" w:eastAsia="宋体" w:cs="宋体"/>
            </w:rPr>
            <w:fldChar w:fldCharType="separate"/>
          </w:r>
          <w:r>
            <w:rPr>
              <w:rFonts w:hint="eastAsia" w:ascii="宋体" w:hAnsi="宋体" w:eastAsia="宋体" w:cs="宋体"/>
            </w:rPr>
            <w:t>78</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"_Toc12115" </w:instrText>
          </w:r>
          <w:r>
            <w:fldChar w:fldCharType="separate"/>
          </w:r>
          <w:r>
            <w:rPr>
              <w:rFonts w:hint="eastAsia" w:ascii="宋体" w:hAnsi="宋体" w:eastAsia="宋体" w:cs="宋体"/>
            </w:rPr>
            <w:t>第六部分  商务和技术响应偏离表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_Toc12115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"_Toc12239" </w:instrText>
          </w:r>
          <w:r>
            <w:fldChar w:fldCharType="separate"/>
          </w:r>
          <w:r>
            <w:rPr>
              <w:rFonts w:hint="eastAsia" w:ascii="宋体" w:hAnsi="宋体" w:eastAsia="宋体" w:cs="宋体"/>
            </w:rPr>
            <w:t>第七部分  技术与服务方案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_Toc12239 \h </w:instrText>
          </w:r>
          <w:r>
            <w:rPr>
              <w:rFonts w:hint="eastAsia" w:ascii="宋体" w:hAnsi="宋体" w:eastAsia="宋体" w:cs="宋体"/>
            </w:rPr>
            <w:fldChar w:fldCharType="separate"/>
          </w:r>
          <w:r>
            <w:rPr>
              <w:rFonts w:hint="eastAsia" w:ascii="宋体" w:hAnsi="宋体" w:eastAsia="宋体" w:cs="宋体"/>
            </w:rPr>
            <w:t>83</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"_Toc18145" </w:instrText>
          </w:r>
          <w:r>
            <w:fldChar w:fldCharType="separate"/>
          </w:r>
          <w:r>
            <w:rPr>
              <w:rFonts w:hint="eastAsia" w:ascii="宋体" w:hAnsi="宋体" w:eastAsia="宋体" w:cs="宋体"/>
            </w:rPr>
            <w:t>第八部分  服务承诺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_Toc18145 \h </w:instrText>
          </w:r>
          <w:r>
            <w:rPr>
              <w:rFonts w:hint="eastAsia" w:ascii="宋体" w:hAnsi="宋体" w:eastAsia="宋体" w:cs="宋体"/>
            </w:rPr>
            <w:fldChar w:fldCharType="separate"/>
          </w:r>
          <w:r>
            <w:rPr>
              <w:rFonts w:hint="eastAsia" w:ascii="宋体" w:hAnsi="宋体" w:eastAsia="宋体" w:cs="宋体"/>
            </w:rPr>
            <w:t>84</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"_Toc24522" </w:instrText>
          </w:r>
          <w:r>
            <w:fldChar w:fldCharType="separate"/>
          </w:r>
          <w:r>
            <w:rPr>
              <w:rFonts w:hint="eastAsia" w:ascii="宋体" w:hAnsi="宋体" w:eastAsia="宋体" w:cs="宋体"/>
            </w:rPr>
            <w:t>第九部分  供应商业绩一览表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_Toc24522 \h </w:instrText>
          </w:r>
          <w:r>
            <w:rPr>
              <w:rFonts w:hint="eastAsia" w:ascii="宋体" w:hAnsi="宋体" w:eastAsia="宋体" w:cs="宋体"/>
            </w:rPr>
            <w:fldChar w:fldCharType="separate"/>
          </w:r>
          <w:r>
            <w:rPr>
              <w:rFonts w:hint="eastAsia" w:ascii="宋体" w:hAnsi="宋体" w:eastAsia="宋体" w:cs="宋体"/>
            </w:rPr>
            <w:t>85</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"_Toc17319" </w:instrText>
          </w:r>
          <w:r>
            <w:fldChar w:fldCharType="separate"/>
          </w:r>
          <w:r>
            <w:rPr>
              <w:rFonts w:hint="eastAsia" w:ascii="宋体" w:hAnsi="宋体" w:eastAsia="宋体" w:cs="宋体"/>
            </w:rPr>
            <w:t>第十部分  供应商认为有必要说明的其他问题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_Toc17319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"_Toc29049" </w:instrText>
          </w:r>
          <w:r>
            <w:fldChar w:fldCharType="separate"/>
          </w:r>
          <w:r>
            <w:rPr>
              <w:rFonts w:hint="eastAsia" w:ascii="宋体" w:hAnsi="宋体" w:eastAsia="宋体" w:cs="宋体"/>
            </w:rPr>
            <w:t>附件一、中小企业声明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_Toc29049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rPr>
              <w:rFonts w:ascii="宋体" w:hAnsi="宋体" w:eastAsia="宋体" w:cs="宋体"/>
            </w:rPr>
          </w:pPr>
          <w:r>
            <w:fldChar w:fldCharType="begin"/>
          </w:r>
          <w:r>
            <w:instrText xml:space="preserve"> HYPERLINK \l "_Toc27703" </w:instrText>
          </w:r>
          <w:r>
            <w:fldChar w:fldCharType="separate"/>
          </w:r>
          <w:r>
            <w:rPr>
              <w:rFonts w:hint="eastAsia" w:ascii="宋体" w:hAnsi="宋体" w:eastAsia="宋体" w:cs="宋体"/>
            </w:rPr>
            <w:t>附件二、残疾人福利性单位声明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_Toc27703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rPr>
            <w:fldChar w:fldCharType="end"/>
          </w:r>
        </w:p>
        <w:p>
          <w:pPr>
            <w:pStyle w:val="29"/>
            <w:tabs>
              <w:tab w:val="right" w:leader="dot" w:pos="8300"/>
            </w:tabs>
            <w:ind w:left="497"/>
          </w:pPr>
          <w:r>
            <w:fldChar w:fldCharType="begin"/>
          </w:r>
          <w:r>
            <w:instrText xml:space="preserve"> HYPERLINK \l "_Toc32272" </w:instrText>
          </w:r>
          <w:r>
            <w:fldChar w:fldCharType="separate"/>
          </w:r>
          <w:r>
            <w:rPr>
              <w:rFonts w:hint="eastAsia" w:ascii="宋体" w:hAnsi="宋体" w:eastAsia="宋体" w:cs="宋体"/>
            </w:rPr>
            <w:t>附件三、监狱企业证明文件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_Toc32272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rPr>
            <w:fldChar w:fldCharType="end"/>
          </w:r>
        </w:p>
        <w:p>
          <w:pPr>
            <w:rPr>
              <w:rFonts w:ascii="宋体" w:hAnsi="宋体" w:eastAsia="宋体" w:cs="宋体"/>
            </w:rPr>
          </w:pPr>
          <w:r>
            <w:rPr>
              <w:rFonts w:hint="eastAsia" w:ascii="宋体" w:hAnsi="宋体" w:eastAsia="宋体" w:cs="宋体"/>
            </w:rPr>
            <w:fldChar w:fldCharType="end"/>
          </w:r>
        </w:p>
      </w:sdtContent>
    </w:sdt>
    <w:p>
      <w:pPr>
        <w:pStyle w:val="3"/>
        <w:tabs>
          <w:tab w:val="center" w:pos="4158"/>
          <w:tab w:val="left" w:pos="6761"/>
        </w:tabs>
        <w:jc w:val="left"/>
        <w:rPr>
          <w:rFonts w:ascii="宋体" w:hAnsi="宋体" w:eastAsia="宋体" w:cs="宋体"/>
        </w:rPr>
      </w:pPr>
      <w:r>
        <w:rPr>
          <w:rFonts w:hint="eastAsia" w:ascii="宋体" w:hAnsi="宋体" w:eastAsia="宋体" w:cs="宋体"/>
        </w:rPr>
        <w:tab/>
      </w:r>
    </w:p>
    <w:p>
      <w:pPr>
        <w:pStyle w:val="3"/>
        <w:tabs>
          <w:tab w:val="center" w:pos="4158"/>
          <w:tab w:val="left" w:pos="6761"/>
        </w:tabs>
        <w:rPr>
          <w:rFonts w:hint="eastAsia" w:ascii="宋体" w:hAnsi="宋体" w:eastAsia="宋体" w:cs="宋体"/>
        </w:rPr>
        <w:sectPr>
          <w:headerReference r:id="rId4" w:type="first"/>
          <w:headerReference r:id="rId3" w:type="default"/>
          <w:footerReference r:id="rId5" w:type="default"/>
          <w:pgSz w:w="11906" w:h="16838"/>
          <w:pgMar w:top="1440" w:right="1803" w:bottom="1440" w:left="1803" w:header="850" w:footer="992" w:gutter="0"/>
          <w:cols w:space="0" w:num="1"/>
          <w:titlePg/>
          <w:docGrid w:type="linesAndChars" w:linePitch="395" w:charSpace="1724"/>
        </w:sectPr>
      </w:pPr>
      <w:bookmarkStart w:id="1" w:name="_Toc30195"/>
    </w:p>
    <w:p>
      <w:pPr>
        <w:pStyle w:val="3"/>
        <w:tabs>
          <w:tab w:val="center" w:pos="4158"/>
          <w:tab w:val="left" w:pos="6761"/>
        </w:tabs>
        <w:rPr>
          <w:rFonts w:ascii="宋体" w:hAnsi="宋体" w:eastAsia="宋体" w:cs="宋体"/>
        </w:rPr>
      </w:pPr>
      <w:r>
        <w:rPr>
          <w:rFonts w:hint="eastAsia" w:ascii="宋体" w:hAnsi="宋体" w:eastAsia="宋体" w:cs="宋体"/>
        </w:rPr>
        <w:t>第一章  投标邀请函</w:t>
      </w:r>
      <w:bookmarkEnd w:id="0"/>
      <w:bookmarkEnd w:id="1"/>
    </w:p>
    <w:p>
      <w:pPr>
        <w:pStyle w:val="8"/>
        <w:numPr>
          <w:ilvl w:val="5"/>
          <w:numId w:val="0"/>
        </w:numPr>
        <w:spacing w:before="150" w:after="150" w:line="360" w:lineRule="auto"/>
        <w:ind w:left="-835" w:leftChars="-348" w:firstLine="843" w:firstLineChars="300"/>
        <w:textAlignment w:val="baseline"/>
        <w:rPr>
          <w:rFonts w:ascii="宋体" w:hAnsi="宋体" w:eastAsia="宋体" w:cs="宋体"/>
          <w:sz w:val="28"/>
          <w:szCs w:val="28"/>
        </w:rPr>
      </w:pPr>
      <w:bookmarkStart w:id="2" w:name="_Toc445407251"/>
      <w:bookmarkStart w:id="3" w:name="_Toc534656409"/>
      <w:bookmarkStart w:id="4" w:name="_Toc97563329"/>
      <w:bookmarkStart w:id="5" w:name="_Toc533363235"/>
      <w:bookmarkStart w:id="6" w:name="_Toc534656414"/>
      <w:bookmarkStart w:id="7" w:name="_Toc533363262"/>
      <w:bookmarkStart w:id="8" w:name="_Toc100219613"/>
      <w:bookmarkStart w:id="9" w:name="_Toc498349068"/>
      <w:r>
        <w:rPr>
          <w:rFonts w:hint="eastAsia" w:ascii="宋体" w:hAnsi="宋体" w:eastAsia="宋体" w:cs="宋体"/>
          <w:sz w:val="28"/>
          <w:szCs w:val="28"/>
        </w:rPr>
        <w:t>项目概况</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00" w:type="dxa"/>
          </w:tcPr>
          <w:p>
            <w:pPr>
              <w:pStyle w:val="30"/>
              <w:spacing w:before="150" w:beforeAutospacing="0" w:after="150" w:afterAutospacing="0" w:line="360" w:lineRule="auto"/>
              <w:ind w:firstLine="480"/>
              <w:jc w:val="both"/>
              <w:textAlignment w:val="baseline"/>
              <w:rPr>
                <w:rFonts w:eastAsia="宋体"/>
                <w:sz w:val="28"/>
                <w:szCs w:val="28"/>
              </w:rPr>
            </w:pPr>
            <w:r>
              <w:rPr>
                <w:rFonts w:hint="eastAsia" w:eastAsia="宋体"/>
                <w:sz w:val="28"/>
                <w:szCs w:val="28"/>
                <w:lang w:eastAsia="zh-CN"/>
              </w:rPr>
              <w:t>2023“九成宫杯”陕西宝鸡·麟游夏季半程马拉松赛事运营服务采购项目</w:t>
            </w:r>
            <w:r>
              <w:rPr>
                <w:rFonts w:hint="eastAsia" w:eastAsia="宋体"/>
                <w:sz w:val="28"/>
                <w:szCs w:val="28"/>
              </w:rPr>
              <w:t>招标项目的潜在投标人应在</w:t>
            </w:r>
            <w:r>
              <w:rPr>
                <w:rFonts w:hint="eastAsia" w:eastAsia="宋体"/>
                <w:sz w:val="28"/>
                <w:szCs w:val="28"/>
                <w:lang w:eastAsia="zh-CN"/>
              </w:rPr>
              <w:t>【全国公共资源交易平台（陕西省·宝鸡市）】（http://ggzy.baoji.gov.cn/）</w:t>
            </w:r>
            <w:r>
              <w:rPr>
                <w:rFonts w:hint="eastAsia" w:eastAsia="宋体"/>
                <w:sz w:val="28"/>
                <w:szCs w:val="28"/>
              </w:rPr>
              <w:t>获取招标文件，并于202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05</w:t>
            </w:r>
            <w:r>
              <w:rPr>
                <w:rFonts w:hint="eastAsia" w:eastAsia="宋体"/>
                <w:sz w:val="28"/>
                <w:szCs w:val="28"/>
              </w:rPr>
              <w:t>月</w:t>
            </w:r>
            <w:r>
              <w:rPr>
                <w:rFonts w:hint="eastAsia" w:eastAsia="宋体"/>
                <w:sz w:val="28"/>
                <w:szCs w:val="28"/>
                <w:lang w:val="en-US" w:eastAsia="zh-CN"/>
              </w:rPr>
              <w:t>04</w:t>
            </w:r>
            <w:r>
              <w:rPr>
                <w:rFonts w:hint="eastAsia" w:eastAsia="宋体"/>
                <w:sz w:val="28"/>
                <w:szCs w:val="28"/>
              </w:rPr>
              <w:t>日</w:t>
            </w:r>
            <w:r>
              <w:rPr>
                <w:rFonts w:hint="eastAsia" w:eastAsia="宋体"/>
                <w:sz w:val="28"/>
                <w:szCs w:val="28"/>
                <w:lang w:val="en-US" w:eastAsia="zh-CN"/>
              </w:rPr>
              <w:t>09</w:t>
            </w:r>
            <w:r>
              <w:rPr>
                <w:rFonts w:hint="eastAsia" w:eastAsia="宋体"/>
                <w:sz w:val="28"/>
                <w:szCs w:val="28"/>
              </w:rPr>
              <w:t>时</w:t>
            </w:r>
            <w:r>
              <w:rPr>
                <w:rFonts w:hint="eastAsia" w:eastAsia="宋体"/>
                <w:sz w:val="28"/>
                <w:szCs w:val="28"/>
                <w:lang w:val="en-US" w:eastAsia="zh-CN"/>
              </w:rPr>
              <w:t>30</w:t>
            </w:r>
            <w:r>
              <w:rPr>
                <w:rFonts w:hint="eastAsia" w:eastAsia="宋体"/>
                <w:sz w:val="28"/>
                <w:szCs w:val="28"/>
              </w:rPr>
              <w:t>分（北京时间）前递交投标文件。</w:t>
            </w:r>
          </w:p>
        </w:tc>
      </w:tr>
    </w:tbl>
    <w:p>
      <w:pPr>
        <w:pStyle w:val="6"/>
        <w:keepNext w:val="0"/>
        <w:numPr>
          <w:ilvl w:val="3"/>
          <w:numId w:val="0"/>
        </w:numPr>
        <w:shd w:val="clear" w:color="auto" w:fill="FFFFFF"/>
        <w:spacing w:before="150" w:after="0" w:line="360" w:lineRule="auto"/>
        <w:textAlignment w:val="baseline"/>
        <w:rPr>
          <w:rFonts w:ascii="宋体" w:hAnsi="宋体" w:eastAsia="宋体" w:cs="宋体"/>
        </w:rPr>
      </w:pPr>
      <w:r>
        <w:rPr>
          <w:rFonts w:hint="eastAsia" w:ascii="宋体" w:hAnsi="宋体" w:eastAsia="宋体" w:cs="宋体"/>
        </w:rPr>
        <w:t>一、项目基本情况</w:t>
      </w:r>
    </w:p>
    <w:p>
      <w:pPr>
        <w:pStyle w:val="30"/>
        <w:shd w:val="clear" w:color="auto" w:fill="FFFFFF"/>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项目编号：</w:t>
      </w:r>
      <w:r>
        <w:rPr>
          <w:rFonts w:hint="eastAsia" w:eastAsia="宋体"/>
          <w:sz w:val="28"/>
          <w:szCs w:val="28"/>
          <w:lang w:eastAsia="zh-CN"/>
        </w:rPr>
        <w:t>ZMZB2023LYJTJ-46</w:t>
      </w:r>
    </w:p>
    <w:p>
      <w:pPr>
        <w:pStyle w:val="30"/>
        <w:shd w:val="clear" w:color="auto" w:fill="FFFFFF"/>
        <w:spacing w:before="0" w:beforeAutospacing="0" w:after="0" w:afterAutospacing="0" w:line="360" w:lineRule="auto"/>
        <w:ind w:firstLine="480"/>
        <w:jc w:val="both"/>
        <w:textAlignment w:val="baseline"/>
        <w:rPr>
          <w:rFonts w:hint="eastAsia" w:eastAsia="宋体"/>
          <w:sz w:val="28"/>
          <w:szCs w:val="28"/>
          <w:lang w:eastAsia="zh-CN"/>
        </w:rPr>
      </w:pPr>
      <w:r>
        <w:rPr>
          <w:rFonts w:hint="eastAsia" w:eastAsia="宋体"/>
          <w:sz w:val="28"/>
          <w:szCs w:val="28"/>
        </w:rPr>
        <w:t>项目名称：</w:t>
      </w:r>
      <w:r>
        <w:rPr>
          <w:rFonts w:hint="eastAsia" w:eastAsia="宋体"/>
          <w:sz w:val="28"/>
          <w:szCs w:val="28"/>
          <w:lang w:eastAsia="zh-CN"/>
        </w:rPr>
        <w:t>2023“九成宫杯”陕西宝鸡·麟游夏季半程马拉松赛事运营服务采购项目</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采购方式：公开招标</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预算金额：3,513,000元</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采购需求：</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2023“九成宫杯”陕西宝鸡·麟游夏季半程马拉松赛事运营服务采购项目</w:t>
      </w:r>
      <w:r>
        <w:rPr>
          <w:rFonts w:hint="eastAsia" w:eastAsia="宋体"/>
          <w:sz w:val="28"/>
          <w:szCs w:val="28"/>
        </w:rPr>
        <w:t>):</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合同包预算金额：</w:t>
      </w:r>
      <w:r>
        <w:rPr>
          <w:rFonts w:hint="eastAsia" w:eastAsia="宋体"/>
          <w:sz w:val="28"/>
          <w:szCs w:val="28"/>
          <w:lang w:val="en-US" w:eastAsia="zh-CN"/>
        </w:rPr>
        <w:t xml:space="preserve"> </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合同包最高限价：</w:t>
      </w:r>
    </w:p>
    <w:tbl>
      <w:tblPr>
        <w:tblStyle w:val="35"/>
        <w:tblW w:w="9985" w:type="dxa"/>
        <w:jc w:val="center"/>
        <w:tblLayout w:type="fixed"/>
        <w:tblCellMar>
          <w:top w:w="0" w:type="dxa"/>
          <w:left w:w="0" w:type="dxa"/>
          <w:bottom w:w="0" w:type="dxa"/>
          <w:right w:w="0" w:type="dxa"/>
        </w:tblCellMar>
      </w:tblPr>
      <w:tblGrid>
        <w:gridCol w:w="1037"/>
        <w:gridCol w:w="1384"/>
        <w:gridCol w:w="1559"/>
        <w:gridCol w:w="1173"/>
        <w:gridCol w:w="1486"/>
        <w:gridCol w:w="1691"/>
        <w:gridCol w:w="1655"/>
      </w:tblGrid>
      <w:tr>
        <w:tblPrEx>
          <w:tblCellMar>
            <w:top w:w="0" w:type="dxa"/>
            <w:left w:w="0" w:type="dxa"/>
            <w:bottom w:w="0" w:type="dxa"/>
            <w:right w:w="0" w:type="dxa"/>
          </w:tblCellMar>
        </w:tblPrEx>
        <w:trPr>
          <w:trHeight w:val="1498" w:hRule="atLeast"/>
          <w:tblHeader/>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品目号</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ind w:firstLine="440" w:firstLineChars="200"/>
              <w:jc w:val="both"/>
              <w:textAlignment w:val="baseline"/>
              <w:rPr>
                <w:rFonts w:eastAsia="宋体"/>
                <w:sz w:val="22"/>
                <w:szCs w:val="22"/>
              </w:rPr>
            </w:pPr>
            <w:r>
              <w:rPr>
                <w:rFonts w:hint="eastAsia" w:eastAsia="宋体"/>
                <w:sz w:val="22"/>
                <w:szCs w:val="22"/>
              </w:rPr>
              <w:t>品目</w:t>
            </w:r>
          </w:p>
          <w:p>
            <w:pPr>
              <w:pStyle w:val="30"/>
              <w:shd w:val="clear" w:color="auto" w:fill="FFFFFF"/>
              <w:spacing w:before="0" w:beforeAutospacing="0" w:after="0" w:afterAutospacing="0" w:line="360" w:lineRule="auto"/>
              <w:ind w:firstLine="480"/>
              <w:jc w:val="both"/>
              <w:textAlignment w:val="baseline"/>
              <w:rPr>
                <w:rFonts w:eastAsia="宋体"/>
                <w:sz w:val="22"/>
                <w:szCs w:val="22"/>
              </w:rPr>
            </w:pPr>
            <w:r>
              <w:rPr>
                <w:rFonts w:hint="eastAsia" w:eastAsia="宋体"/>
                <w:sz w:val="22"/>
                <w:szCs w:val="22"/>
              </w:rPr>
              <w:t>名称</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采购标的</w:t>
            </w:r>
          </w:p>
        </w:tc>
        <w:tc>
          <w:tcPr>
            <w:tcW w:w="11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center"/>
              <w:textAlignment w:val="baseline"/>
              <w:rPr>
                <w:rFonts w:eastAsia="宋体"/>
                <w:sz w:val="22"/>
                <w:szCs w:val="22"/>
              </w:rPr>
            </w:pPr>
            <w:r>
              <w:rPr>
                <w:rFonts w:hint="eastAsia" w:eastAsia="宋体"/>
                <w:sz w:val="22"/>
                <w:szCs w:val="22"/>
              </w:rPr>
              <w:t>数量</w:t>
            </w:r>
          </w:p>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（单位）</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技术规格、参数及要求</w:t>
            </w:r>
          </w:p>
        </w:tc>
        <w:tc>
          <w:tcPr>
            <w:tcW w:w="1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品目预算(元)</w:t>
            </w:r>
          </w:p>
        </w:tc>
        <w:tc>
          <w:tcPr>
            <w:tcW w:w="1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最高限价(元)</w:t>
            </w:r>
          </w:p>
        </w:tc>
      </w:tr>
      <w:tr>
        <w:tblPrEx>
          <w:tblCellMar>
            <w:top w:w="0" w:type="dxa"/>
            <w:left w:w="0" w:type="dxa"/>
            <w:bottom w:w="0" w:type="dxa"/>
            <w:right w:w="0" w:type="dxa"/>
          </w:tblCellMar>
        </w:tblPrEx>
        <w:trPr>
          <w:trHeight w:val="1170" w:hRule="atLeast"/>
          <w:jc w:val="center"/>
        </w:trPr>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center"/>
              <w:textAlignment w:val="baseline"/>
              <w:rPr>
                <w:rFonts w:eastAsia="宋体"/>
                <w:sz w:val="22"/>
                <w:szCs w:val="22"/>
              </w:rPr>
            </w:pPr>
            <w:r>
              <w:rPr>
                <w:rFonts w:hint="eastAsia" w:eastAsia="宋体"/>
                <w:sz w:val="22"/>
                <w:szCs w:val="22"/>
              </w:rPr>
              <w:t>1-1</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体育组织服务</w:t>
            </w:r>
          </w:p>
        </w:tc>
        <w:tc>
          <w:tcPr>
            <w:tcW w:w="15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3513000.00</w:t>
            </w:r>
          </w:p>
        </w:tc>
        <w:tc>
          <w:tcPr>
            <w:tcW w:w="11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eastAsia="宋体" w:cs="宋体"/>
                <w:sz w:val="22"/>
                <w:szCs w:val="22"/>
                <w:lang w:val="en-US" w:eastAsia="zh-CN"/>
              </w:rPr>
              <w:t>项</w:t>
            </w:r>
            <w:r>
              <w:rPr>
                <w:rFonts w:hint="eastAsia" w:ascii="宋体" w:hAnsi="宋体" w:eastAsia="宋体" w:cs="宋体"/>
                <w:sz w:val="22"/>
                <w:szCs w:val="22"/>
                <w:lang w:val="en-US" w:eastAsia="zh-CN"/>
              </w:rPr>
              <w:t>）</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eastAsia="宋体"/>
                <w:sz w:val="22"/>
                <w:szCs w:val="22"/>
              </w:rPr>
            </w:pPr>
            <w:r>
              <w:rPr>
                <w:rFonts w:hint="eastAsia" w:eastAsia="宋体"/>
                <w:sz w:val="22"/>
                <w:szCs w:val="22"/>
              </w:rPr>
              <w:t>详见采购文件</w:t>
            </w:r>
          </w:p>
        </w:tc>
        <w:tc>
          <w:tcPr>
            <w:tcW w:w="1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eastAsia="宋体"/>
                <w:sz w:val="22"/>
                <w:szCs w:val="22"/>
              </w:rPr>
            </w:pPr>
            <w:r>
              <w:rPr>
                <w:rFonts w:hint="eastAsia" w:eastAsia="宋体"/>
                <w:sz w:val="22"/>
                <w:szCs w:val="22"/>
              </w:rPr>
              <w:t>3,513,000</w:t>
            </w:r>
          </w:p>
        </w:tc>
        <w:tc>
          <w:tcPr>
            <w:tcW w:w="16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30"/>
              <w:shd w:val="clear" w:color="auto" w:fill="FFFFFF"/>
              <w:spacing w:before="0" w:beforeAutospacing="0" w:after="0" w:afterAutospacing="0" w:line="360" w:lineRule="auto"/>
              <w:jc w:val="both"/>
              <w:textAlignment w:val="baseline"/>
              <w:rPr>
                <w:rFonts w:hint="eastAsia" w:eastAsia="宋体"/>
                <w:sz w:val="22"/>
                <w:szCs w:val="22"/>
              </w:rPr>
            </w:pPr>
            <w:r>
              <w:rPr>
                <w:rFonts w:hint="eastAsia" w:eastAsia="宋体"/>
                <w:sz w:val="22"/>
                <w:szCs w:val="22"/>
              </w:rPr>
              <w:t>3,513,000</w:t>
            </w:r>
          </w:p>
        </w:tc>
      </w:tr>
    </w:tbl>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本合同包不接受联合体投标</w:t>
      </w:r>
    </w:p>
    <w:p>
      <w:pPr>
        <w:widowControl w:val="0"/>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合同履行期限：自合同签订后到该项目服务期结束（具体服务起止日期可随合同签订时间相应顺延）</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二、申请人的资格要求：</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1.满足《中华人民共和国政府釆购法》第二十二条规定;</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2.落实政府采购政策需满足的资格要求：</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2023“九成宫杯”陕西宝鸡·麟游夏季半程马拉松赛事运营服务采购项目</w:t>
      </w:r>
      <w:r>
        <w:rPr>
          <w:rFonts w:hint="eastAsia" w:eastAsia="宋体"/>
          <w:sz w:val="28"/>
          <w:szCs w:val="28"/>
        </w:rPr>
        <w:t>)落实政府采购政策需满足的资格要求如下:</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（1）《政府采购促进中小企业发展管理办法》（财库〔2020〕46号）； </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（2）《财政部 司法部关于政府采购支持监狱企业发展有关问题的通知》（财库〔2014〕68号）；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（3）《国务院办公厅关于建立政府强制采购节能产品制度的通知》（国办发〔2007〕51号）；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（4）《财政部 国家发展改革委关于印发〈节能产品政府采购实施意见〉的通知》（财库〔2004〕185号）；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（5）《财政部环保总局关于环境标志产品政府采购实施的意见》（财库〔2006〕90号</w:t>
      </w:r>
      <w:r>
        <w:rPr>
          <w:rFonts w:hint="eastAsia" w:eastAsia="宋体"/>
          <w:sz w:val="28"/>
          <w:szCs w:val="28"/>
          <w:lang w:eastAsia="zh-CN"/>
        </w:rPr>
        <w:t>）</w:t>
      </w:r>
      <w:r>
        <w:rPr>
          <w:rFonts w:hint="eastAsia" w:eastAsia="宋体"/>
          <w:sz w:val="28"/>
          <w:szCs w:val="28"/>
        </w:rPr>
        <w:t>；</w:t>
      </w:r>
    </w:p>
    <w:p>
      <w:pPr>
        <w:pStyle w:val="30"/>
        <w:spacing w:before="0" w:beforeAutospacing="0" w:after="0" w:afterAutospacing="0" w:line="360" w:lineRule="auto"/>
        <w:jc w:val="both"/>
        <w:textAlignment w:val="baseline"/>
        <w:rPr>
          <w:rFonts w:hint="eastAsia" w:eastAsia="宋体"/>
          <w:sz w:val="28"/>
          <w:szCs w:val="28"/>
          <w:lang w:eastAsia="zh-CN"/>
        </w:rPr>
      </w:pPr>
      <w:r>
        <w:rPr>
          <w:rFonts w:hint="eastAsia" w:eastAsia="宋体"/>
          <w:sz w:val="28"/>
          <w:szCs w:val="28"/>
        </w:rPr>
        <w:t>（6）《三部门联合发布关于促进残疾人就业政府采购政策的通知》（财库〔2017〕141号）</w:t>
      </w:r>
      <w:r>
        <w:rPr>
          <w:rFonts w:hint="eastAsia" w:eastAsia="宋体"/>
          <w:sz w:val="28"/>
          <w:szCs w:val="28"/>
          <w:lang w:eastAsia="zh-CN"/>
        </w:rPr>
        <w:t>；</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（7）《财政部 发展改革委 生态环境部 市场监管总局关于调整优化节能产品、环境标志产品政府采购执行机制的通知》（财库〔2019〕9号）；</w:t>
      </w:r>
    </w:p>
    <w:p>
      <w:pPr>
        <w:pStyle w:val="30"/>
        <w:spacing w:before="0" w:beforeAutospacing="0" w:after="0" w:afterAutospacing="0" w:line="360" w:lineRule="auto"/>
        <w:jc w:val="both"/>
        <w:textAlignment w:val="baseline"/>
        <w:rPr>
          <w:rFonts w:hint="eastAsia" w:eastAsia="宋体"/>
          <w:sz w:val="28"/>
          <w:szCs w:val="28"/>
        </w:rPr>
      </w:pPr>
      <w:r>
        <w:rPr>
          <w:rFonts w:hint="eastAsia" w:eastAsia="宋体"/>
          <w:sz w:val="28"/>
          <w:szCs w:val="28"/>
        </w:rPr>
        <w:t>（8）陕西省财政厅关于印发《陕西省中小企业政府采购信用融资办法》（陕财办采〔2018〕23号）；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（9）《财政部 农业农村部 国家乡村振兴局关于运用政府采购政策支持乡村产业振兴的通知》（财库〔2021〕19号）。</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3.本项目的特定资格要求：</w:t>
      </w:r>
    </w:p>
    <w:p>
      <w:pPr>
        <w:pStyle w:val="30"/>
        <w:spacing w:before="0" w:beforeAutospacing="0" w:after="0" w:afterAutospacing="0" w:line="360" w:lineRule="auto"/>
        <w:jc w:val="both"/>
        <w:textAlignment w:val="baseline"/>
        <w:rPr>
          <w:rFonts w:eastAsia="宋体"/>
          <w:sz w:val="28"/>
          <w:szCs w:val="28"/>
        </w:rPr>
      </w:pPr>
      <w:r>
        <w:rPr>
          <w:rFonts w:hint="eastAsia" w:eastAsia="宋体"/>
          <w:sz w:val="28"/>
          <w:szCs w:val="28"/>
        </w:rPr>
        <w:t>合同包1(</w:t>
      </w:r>
      <w:r>
        <w:rPr>
          <w:rFonts w:hint="eastAsia" w:eastAsia="宋体"/>
          <w:sz w:val="28"/>
          <w:szCs w:val="28"/>
          <w:lang w:eastAsia="zh-CN"/>
        </w:rPr>
        <w:t>2023“九成宫杯”陕西宝鸡·麟游夏季半程马拉松赛事运营服务采购项目</w:t>
      </w:r>
      <w:r>
        <w:rPr>
          <w:rFonts w:hint="eastAsia" w:eastAsia="宋体"/>
          <w:sz w:val="28"/>
          <w:szCs w:val="28"/>
        </w:rPr>
        <w:t>)特定资格要求如下:</w:t>
      </w:r>
    </w:p>
    <w:p>
      <w:pPr>
        <w:spacing w:line="360" w:lineRule="auto"/>
        <w:rPr>
          <w:rFonts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（1）具有独立承担民事责任能力的法人、其他组织或自然人，提供合法有效的统一社会信用代码营业执照（事业单位提供事业单位法人证书，自然人应提供身份证）；</w:t>
      </w:r>
    </w:p>
    <w:p>
      <w:pPr>
        <w:spacing w:line="360" w:lineRule="auto"/>
        <w:rPr>
          <w:rFonts w:ascii="宋体" w:hAnsi="宋体" w:eastAsia="宋体" w:cs="宋体"/>
          <w:sz w:val="28"/>
          <w:szCs w:val="28"/>
        </w:rPr>
      </w:pPr>
      <w:r>
        <w:rPr>
          <w:rFonts w:hint="eastAsia" w:ascii="宋体" w:hAnsi="宋体" w:eastAsia="宋体" w:cs="宋体"/>
          <w:sz w:val="28"/>
          <w:szCs w:val="28"/>
        </w:rPr>
        <w:t>（2）财务状况证明：供应商提供2021年度</w:t>
      </w:r>
      <w:r>
        <w:rPr>
          <w:rFonts w:hint="eastAsia" w:ascii="宋体" w:hAnsi="宋体" w:eastAsia="宋体" w:cs="宋体"/>
          <w:sz w:val="28"/>
          <w:szCs w:val="28"/>
          <w:lang w:val="en-US" w:eastAsia="zh-CN"/>
        </w:rPr>
        <w:t>或2022年度</w:t>
      </w:r>
      <w:r>
        <w:rPr>
          <w:rFonts w:hint="eastAsia" w:ascii="宋体" w:hAnsi="宋体" w:eastAsia="宋体" w:cs="宋体"/>
          <w:sz w:val="28"/>
          <w:szCs w:val="28"/>
        </w:rPr>
        <w:t>经审计完整的财务审计报告（成立时间至提交投标文件截止时间不足一年的可提供成立后任意时段的资产负债表），或其开标前三个月内</w:t>
      </w:r>
      <w:r>
        <w:rPr>
          <w:rFonts w:hint="eastAsia" w:ascii="宋体" w:hAnsi="宋体" w:eastAsia="宋体" w:cs="宋体"/>
          <w:sz w:val="28"/>
          <w:szCs w:val="28"/>
          <w:lang w:val="en-US" w:eastAsia="zh-CN"/>
        </w:rPr>
        <w:t>供应商开户</w:t>
      </w:r>
      <w:r>
        <w:rPr>
          <w:rFonts w:hint="eastAsia" w:ascii="宋体" w:hAnsi="宋体" w:eastAsia="宋体" w:cs="宋体"/>
          <w:sz w:val="28"/>
          <w:szCs w:val="28"/>
        </w:rPr>
        <w:t>银行</w:t>
      </w:r>
      <w:r>
        <w:rPr>
          <w:rFonts w:hint="eastAsia" w:ascii="宋体" w:hAnsi="宋体" w:eastAsia="宋体" w:cs="宋体"/>
          <w:sz w:val="28"/>
          <w:szCs w:val="28"/>
          <w:lang w:val="en-US" w:eastAsia="zh-CN"/>
        </w:rPr>
        <w:t>基本账户银行</w:t>
      </w:r>
      <w:r>
        <w:rPr>
          <w:rFonts w:hint="eastAsia" w:ascii="宋体" w:hAnsi="宋体" w:eastAsia="宋体" w:cs="宋体"/>
          <w:sz w:val="28"/>
          <w:szCs w:val="28"/>
        </w:rPr>
        <w:t>出具的资信证明，或财政部门认可的政府采购专业担保机构出具的投标担保函；</w:t>
      </w:r>
    </w:p>
    <w:p>
      <w:pPr>
        <w:spacing w:line="360" w:lineRule="auto"/>
        <w:rPr>
          <w:rFonts w:ascii="宋体" w:hAnsi="宋体" w:eastAsia="宋体" w:cs="宋体"/>
          <w:sz w:val="28"/>
          <w:szCs w:val="28"/>
        </w:rPr>
      </w:pPr>
      <w:r>
        <w:rPr>
          <w:rFonts w:hint="eastAsia" w:ascii="宋体" w:hAnsi="宋体" w:eastAsia="宋体" w:cs="宋体"/>
          <w:sz w:val="28"/>
          <w:szCs w:val="28"/>
        </w:rPr>
        <w:t>（3）具有履行合同所必需的设备和专业技术能力的书面声明；</w:t>
      </w:r>
    </w:p>
    <w:p>
      <w:pPr>
        <w:spacing w:line="360" w:lineRule="auto"/>
        <w:rPr>
          <w:rFonts w:ascii="宋体" w:hAnsi="宋体" w:eastAsia="宋体" w:cs="宋体"/>
          <w:sz w:val="28"/>
          <w:szCs w:val="28"/>
        </w:rPr>
      </w:pPr>
      <w:r>
        <w:rPr>
          <w:rFonts w:hint="eastAsia" w:ascii="宋体" w:hAnsi="宋体" w:eastAsia="宋体" w:cs="宋体"/>
          <w:sz w:val="28"/>
          <w:szCs w:val="28"/>
        </w:rPr>
        <w:t>（4）税收缴纳证明：提供2022年</w:t>
      </w:r>
      <w:r>
        <w:rPr>
          <w:rFonts w:hint="eastAsia" w:ascii="宋体" w:hAnsi="宋体" w:eastAsia="宋体" w:cs="宋体"/>
          <w:sz w:val="28"/>
          <w:szCs w:val="28"/>
          <w:lang w:val="en-US" w:eastAsia="zh-CN"/>
        </w:rPr>
        <w:t>6</w:t>
      </w:r>
      <w:r>
        <w:rPr>
          <w:rFonts w:hint="eastAsia" w:ascii="宋体" w:hAnsi="宋体" w:eastAsia="宋体" w:cs="宋体"/>
          <w:sz w:val="28"/>
          <w:szCs w:val="28"/>
        </w:rPr>
        <w:t>月以来至少一个月的纳税证明或完税证明，依法免税的单位应提供相关证明材料； </w:t>
      </w:r>
    </w:p>
    <w:p>
      <w:pPr>
        <w:spacing w:line="360" w:lineRule="auto"/>
        <w:rPr>
          <w:rFonts w:ascii="宋体" w:hAnsi="宋体" w:eastAsia="宋体" w:cs="宋体"/>
          <w:sz w:val="28"/>
          <w:szCs w:val="28"/>
        </w:rPr>
      </w:pPr>
      <w:r>
        <w:rPr>
          <w:rFonts w:hint="eastAsia" w:ascii="宋体" w:hAnsi="宋体" w:eastAsia="宋体" w:cs="宋体"/>
          <w:sz w:val="28"/>
          <w:szCs w:val="28"/>
        </w:rPr>
        <w:t>（5）社会保障资金缴纳证明：提供2022年</w:t>
      </w:r>
      <w:r>
        <w:rPr>
          <w:rFonts w:hint="eastAsia" w:ascii="宋体" w:hAnsi="宋体" w:eastAsia="宋体" w:cs="宋体"/>
          <w:sz w:val="28"/>
          <w:szCs w:val="28"/>
          <w:lang w:val="en-US" w:eastAsia="zh-CN"/>
        </w:rPr>
        <w:t>6</w:t>
      </w:r>
      <w:r>
        <w:rPr>
          <w:rFonts w:hint="eastAsia" w:ascii="宋体" w:hAnsi="宋体" w:eastAsia="宋体" w:cs="宋体"/>
          <w:sz w:val="28"/>
          <w:szCs w:val="28"/>
        </w:rPr>
        <w:t>月以来至少一个月的社会保障资金缴存单据或社保机构开具的社会保险参保缴费情况证明。依法不需要缴纳社会保障资金的供应商应提供相关文件证明；</w:t>
      </w:r>
    </w:p>
    <w:p>
      <w:pPr>
        <w:spacing w:line="360" w:lineRule="auto"/>
        <w:rPr>
          <w:rFonts w:ascii="宋体" w:hAnsi="宋体" w:eastAsia="宋体" w:cs="宋体"/>
          <w:sz w:val="28"/>
          <w:szCs w:val="28"/>
        </w:rPr>
      </w:pPr>
      <w:r>
        <w:rPr>
          <w:rFonts w:hint="eastAsia" w:ascii="宋体" w:hAnsi="宋体" w:eastAsia="宋体" w:cs="宋体"/>
          <w:sz w:val="28"/>
          <w:szCs w:val="28"/>
        </w:rPr>
        <w:t>（6）参加政府采购活动前3年内在经营活动中没有重大违法记录的书面声明；</w:t>
      </w:r>
    </w:p>
    <w:p>
      <w:pPr>
        <w:spacing w:line="360" w:lineRule="auto"/>
        <w:rPr>
          <w:rFonts w:ascii="宋体" w:hAnsi="宋体" w:eastAsia="宋体" w:cs="宋体"/>
          <w:sz w:val="28"/>
          <w:szCs w:val="28"/>
          <w:highlight w:val="none"/>
        </w:rPr>
      </w:pPr>
      <w:r>
        <w:rPr>
          <w:rFonts w:hint="eastAsia" w:ascii="宋体" w:hAnsi="宋体" w:eastAsia="宋体" w:cs="宋体"/>
          <w:sz w:val="28"/>
          <w:szCs w:val="28"/>
        </w:rPr>
        <w:t>（7）非法定代表人参加投标的，须提供法定代表人委托授权书及被授权人身份证，法定代表人参加投标时,只需提供法定代表人身份证</w:t>
      </w:r>
      <w:r>
        <w:rPr>
          <w:rFonts w:hint="eastAsia" w:ascii="宋体" w:hAnsi="宋体" w:eastAsia="宋体" w:cs="宋体"/>
          <w:sz w:val="28"/>
          <w:szCs w:val="28"/>
          <w:highlight w:val="none"/>
        </w:rPr>
        <w:t>； </w:t>
      </w:r>
    </w:p>
    <w:p>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本项目为专门面向中小企业采购项目，供应商应出具中小企业声明函；</w:t>
      </w:r>
    </w:p>
    <w:p>
      <w:pPr>
        <w:spacing w:line="360" w:lineRule="auto"/>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9</w:t>
      </w:r>
      <w:r>
        <w:rPr>
          <w:rFonts w:hint="eastAsia" w:ascii="宋体" w:hAnsi="宋体" w:eastAsia="宋体" w:cs="宋体"/>
          <w:sz w:val="28"/>
          <w:szCs w:val="28"/>
        </w:rPr>
        <w:t>）本项目不接受联合体投标。</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三、获取招标文件</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时间：202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04</w:t>
      </w:r>
      <w:r>
        <w:rPr>
          <w:rFonts w:hint="eastAsia" w:eastAsia="宋体"/>
          <w:sz w:val="28"/>
          <w:szCs w:val="28"/>
        </w:rPr>
        <w:t>月</w:t>
      </w:r>
      <w:r>
        <w:rPr>
          <w:rFonts w:hint="eastAsia" w:eastAsia="宋体"/>
          <w:sz w:val="28"/>
          <w:szCs w:val="28"/>
          <w:lang w:val="en-US" w:eastAsia="zh-CN"/>
        </w:rPr>
        <w:t>11</w:t>
      </w:r>
      <w:r>
        <w:rPr>
          <w:rFonts w:hint="eastAsia" w:eastAsia="宋体"/>
          <w:sz w:val="28"/>
          <w:szCs w:val="28"/>
        </w:rPr>
        <w:t>日至202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04</w:t>
      </w:r>
      <w:r>
        <w:rPr>
          <w:rFonts w:hint="eastAsia" w:eastAsia="宋体"/>
          <w:sz w:val="28"/>
          <w:szCs w:val="28"/>
        </w:rPr>
        <w:t>月</w:t>
      </w:r>
      <w:r>
        <w:rPr>
          <w:rFonts w:hint="eastAsia" w:eastAsia="宋体"/>
          <w:sz w:val="28"/>
          <w:szCs w:val="28"/>
          <w:lang w:val="en-US" w:eastAsia="zh-CN"/>
        </w:rPr>
        <w:t>18</w:t>
      </w:r>
      <w:r>
        <w:rPr>
          <w:rFonts w:hint="eastAsia" w:eastAsia="宋体"/>
          <w:sz w:val="28"/>
          <w:szCs w:val="28"/>
        </w:rPr>
        <w:t>日，每天上午</w:t>
      </w:r>
      <w:r>
        <w:rPr>
          <w:rFonts w:hint="eastAsia" w:eastAsia="宋体"/>
          <w:sz w:val="28"/>
          <w:szCs w:val="28"/>
          <w:lang w:val="en-US" w:eastAsia="zh-CN"/>
        </w:rPr>
        <w:t>09</w:t>
      </w:r>
      <w:r>
        <w:rPr>
          <w:rFonts w:hint="eastAsia" w:eastAsia="宋体"/>
          <w:sz w:val="28"/>
          <w:szCs w:val="28"/>
        </w:rPr>
        <w:t>:00:00至1</w:t>
      </w:r>
      <w:r>
        <w:rPr>
          <w:rFonts w:hint="eastAsia" w:eastAsia="宋体"/>
          <w:sz w:val="28"/>
          <w:szCs w:val="28"/>
          <w:lang w:val="en-US" w:eastAsia="zh-CN"/>
        </w:rPr>
        <w:t>2</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，下午</w:t>
      </w:r>
      <w:r>
        <w:rPr>
          <w:rFonts w:hint="eastAsia" w:eastAsia="宋体"/>
          <w:sz w:val="28"/>
          <w:szCs w:val="28"/>
          <w:lang w:val="en-US" w:eastAsia="zh-CN"/>
        </w:rPr>
        <w:t>13</w:t>
      </w:r>
      <w:r>
        <w:rPr>
          <w:rFonts w:hint="eastAsia" w:eastAsia="宋体"/>
          <w:sz w:val="28"/>
          <w:szCs w:val="28"/>
        </w:rPr>
        <w:t>:</w:t>
      </w:r>
      <w:r>
        <w:rPr>
          <w:rFonts w:hint="eastAsia" w:eastAsia="宋体"/>
          <w:sz w:val="28"/>
          <w:szCs w:val="28"/>
          <w:lang w:val="en-US" w:eastAsia="zh-CN"/>
        </w:rPr>
        <w:t>30</w:t>
      </w:r>
      <w:r>
        <w:rPr>
          <w:rFonts w:hint="eastAsia" w:eastAsia="宋体"/>
          <w:sz w:val="28"/>
          <w:szCs w:val="28"/>
        </w:rPr>
        <w:t>:00至</w:t>
      </w:r>
      <w:r>
        <w:rPr>
          <w:rFonts w:hint="eastAsia" w:eastAsia="宋体"/>
          <w:sz w:val="28"/>
          <w:szCs w:val="28"/>
          <w:lang w:val="en-US" w:eastAsia="zh-CN"/>
        </w:rPr>
        <w:t>17</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w:t>
      </w:r>
      <w:r>
        <w:rPr>
          <w:rFonts w:hint="eastAsia" w:eastAsia="宋体"/>
          <w:sz w:val="28"/>
          <w:szCs w:val="28"/>
          <w:lang w:val="en-US" w:eastAsia="zh-CN"/>
        </w:rPr>
        <w:t>00</w:t>
      </w:r>
      <w:r>
        <w:rPr>
          <w:rFonts w:hint="eastAsia" w:eastAsia="宋体"/>
          <w:sz w:val="28"/>
          <w:szCs w:val="28"/>
        </w:rPr>
        <w:t>（北京时间,法定节假日除外）</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途径</w:t>
      </w:r>
      <w:r>
        <w:rPr>
          <w:rFonts w:hint="eastAsia" w:eastAsia="宋体"/>
          <w:sz w:val="28"/>
          <w:szCs w:val="28"/>
        </w:rPr>
        <w:t>：全国公共资源交易平台（陕西省·</w:t>
      </w:r>
      <w:r>
        <w:rPr>
          <w:rFonts w:hint="eastAsia" w:eastAsia="宋体"/>
          <w:sz w:val="28"/>
          <w:szCs w:val="28"/>
          <w:lang w:val="en-US" w:eastAsia="zh-CN"/>
        </w:rPr>
        <w:t>宝鸡</w:t>
      </w:r>
      <w:r>
        <w:rPr>
          <w:rFonts w:hint="eastAsia" w:eastAsia="宋体"/>
          <w:sz w:val="28"/>
          <w:szCs w:val="28"/>
        </w:rPr>
        <w:t>市）网站〖首页〉电子交易平台〉陕西政府采购交易系统〉企业端〗。</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方式：在线获取</w:t>
      </w:r>
    </w:p>
    <w:p>
      <w:pPr>
        <w:pStyle w:val="30"/>
        <w:shd w:val="clear" w:color="auto" w:fill="FFFFFF"/>
        <w:spacing w:before="0" w:beforeAutospacing="0" w:after="0" w:afterAutospacing="0" w:line="360" w:lineRule="auto"/>
        <w:ind w:firstLine="480"/>
        <w:jc w:val="both"/>
        <w:textAlignment w:val="baseline"/>
        <w:rPr>
          <w:rFonts w:hint="default" w:eastAsia="宋体"/>
          <w:sz w:val="28"/>
          <w:szCs w:val="28"/>
          <w:lang w:val="en-US" w:eastAsia="zh-CN"/>
        </w:rPr>
      </w:pPr>
      <w:r>
        <w:rPr>
          <w:rFonts w:hint="eastAsia" w:eastAsia="宋体"/>
          <w:sz w:val="28"/>
          <w:szCs w:val="28"/>
        </w:rPr>
        <w:t>售价：</w:t>
      </w:r>
      <w:r>
        <w:rPr>
          <w:rFonts w:hint="eastAsia" w:eastAsia="宋体"/>
          <w:sz w:val="28"/>
          <w:szCs w:val="28"/>
          <w:lang w:val="en-US" w:eastAsia="zh-CN"/>
        </w:rPr>
        <w:t>500元</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四、提交投标文件截止时间、开标时间和地点</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lang w:val="en-US" w:eastAsia="zh-CN"/>
        </w:rPr>
        <w:t>时间：</w:t>
      </w:r>
      <w:r>
        <w:rPr>
          <w:rFonts w:hint="eastAsia" w:eastAsia="宋体"/>
          <w:sz w:val="28"/>
          <w:szCs w:val="28"/>
        </w:rPr>
        <w:t>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05</w:t>
      </w:r>
      <w:r>
        <w:rPr>
          <w:rFonts w:hint="eastAsia" w:eastAsia="宋体"/>
          <w:sz w:val="28"/>
          <w:szCs w:val="28"/>
        </w:rPr>
        <w:t>月</w:t>
      </w:r>
      <w:r>
        <w:rPr>
          <w:rFonts w:hint="eastAsia" w:eastAsia="宋体"/>
          <w:sz w:val="28"/>
          <w:szCs w:val="28"/>
          <w:lang w:val="en-US" w:eastAsia="zh-CN"/>
        </w:rPr>
        <w:t>04</w:t>
      </w:r>
      <w:r>
        <w:rPr>
          <w:rFonts w:hint="eastAsia" w:eastAsia="宋体"/>
          <w:sz w:val="28"/>
          <w:szCs w:val="28"/>
        </w:rPr>
        <w:t>日</w:t>
      </w:r>
      <w:r>
        <w:rPr>
          <w:rFonts w:hint="eastAsia" w:eastAsia="宋体"/>
          <w:sz w:val="28"/>
          <w:szCs w:val="28"/>
          <w:lang w:val="en-US" w:eastAsia="zh-CN"/>
        </w:rPr>
        <w:t>09</w:t>
      </w:r>
      <w:r>
        <w:rPr>
          <w:rFonts w:hint="eastAsia" w:eastAsia="宋体"/>
          <w:sz w:val="28"/>
          <w:szCs w:val="28"/>
        </w:rPr>
        <w:t>时</w:t>
      </w:r>
      <w:r>
        <w:rPr>
          <w:rFonts w:hint="eastAsia" w:eastAsia="宋体"/>
          <w:sz w:val="28"/>
          <w:szCs w:val="28"/>
          <w:lang w:val="en-US" w:eastAsia="zh-CN"/>
        </w:rPr>
        <w:t>30</w:t>
      </w:r>
      <w:r>
        <w:rPr>
          <w:rFonts w:hint="eastAsia" w:eastAsia="宋体"/>
          <w:sz w:val="28"/>
          <w:szCs w:val="28"/>
        </w:rPr>
        <w:t>分</w:t>
      </w:r>
      <w:r>
        <w:rPr>
          <w:rFonts w:hint="eastAsia" w:eastAsia="宋体"/>
          <w:sz w:val="28"/>
          <w:szCs w:val="28"/>
          <w:lang w:val="en-US" w:eastAsia="zh-CN"/>
        </w:rPr>
        <w:t>0</w:t>
      </w:r>
      <w:r>
        <w:rPr>
          <w:rFonts w:hint="eastAsia" w:eastAsia="宋体"/>
          <w:sz w:val="28"/>
          <w:szCs w:val="28"/>
        </w:rPr>
        <w:t>0秒（北京时间）</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lang w:val="en-US" w:eastAsia="zh-CN" w:bidi="ar-SA"/>
        </w:rPr>
      </w:pPr>
      <w:r>
        <w:rPr>
          <w:rFonts w:hint="eastAsia" w:ascii="宋体" w:hAnsi="宋体" w:eastAsia="宋体" w:cs="宋体"/>
          <w:b w:val="0"/>
          <w:bCs w:val="0"/>
          <w:sz w:val="28"/>
          <w:szCs w:val="28"/>
          <w:lang w:val="en-US" w:eastAsia="zh-CN" w:bidi="ar-SA"/>
        </w:rPr>
        <w:t>提交投标文件地点：全国公共资源交易平台（陕西省·</w:t>
      </w:r>
      <w:r>
        <w:rPr>
          <w:rFonts w:hint="eastAsia" w:eastAsia="宋体"/>
          <w:sz w:val="28"/>
          <w:szCs w:val="28"/>
          <w:lang w:val="en-US" w:eastAsia="zh-CN"/>
        </w:rPr>
        <w:t>宝鸡</w:t>
      </w:r>
      <w:r>
        <w:rPr>
          <w:rFonts w:hint="eastAsia" w:eastAsia="宋体"/>
          <w:sz w:val="28"/>
          <w:szCs w:val="28"/>
        </w:rPr>
        <w:t>市</w:t>
      </w:r>
      <w:r>
        <w:rPr>
          <w:rFonts w:hint="eastAsia" w:ascii="宋体" w:hAnsi="宋体" w:eastAsia="宋体" w:cs="宋体"/>
          <w:b w:val="0"/>
          <w:bCs w:val="0"/>
          <w:sz w:val="28"/>
          <w:szCs w:val="28"/>
          <w:lang w:val="en-US" w:eastAsia="zh-CN" w:bidi="ar-SA"/>
        </w:rPr>
        <w:t>）网站〖首页〉电子交易平台〉陕西政府采购交易系统〉企业端〗，在线提交。</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sz w:val="28"/>
          <w:szCs w:val="28"/>
          <w:highlight w:val="none"/>
          <w:lang w:val="en-US" w:eastAsia="zh-CN" w:bidi="ar-SA"/>
        </w:rPr>
      </w:pPr>
      <w:r>
        <w:rPr>
          <w:rFonts w:hint="eastAsia" w:ascii="宋体" w:hAnsi="宋体" w:eastAsia="宋体" w:cs="宋体"/>
          <w:b w:val="0"/>
          <w:bCs w:val="0"/>
          <w:sz w:val="28"/>
          <w:szCs w:val="28"/>
          <w:highlight w:val="none"/>
          <w:lang w:val="en-US" w:eastAsia="zh-CN" w:bidi="ar-SA"/>
        </w:rPr>
        <w:t>开标地点：宝鸡市公共资源交易中心</w:t>
      </w:r>
      <w:r>
        <w:rPr>
          <w:rFonts w:hint="eastAsia" w:eastAsia="宋体" w:cs="宋体"/>
          <w:b w:val="0"/>
          <w:bCs w:val="0"/>
          <w:sz w:val="28"/>
          <w:szCs w:val="28"/>
          <w:highlight w:val="none"/>
          <w:lang w:val="en-US" w:eastAsia="zh-CN" w:bidi="ar-SA"/>
        </w:rPr>
        <w:t>三</w:t>
      </w:r>
      <w:r>
        <w:rPr>
          <w:rFonts w:hint="eastAsia" w:ascii="宋体" w:hAnsi="宋体" w:eastAsia="宋体" w:cs="宋体"/>
          <w:b w:val="0"/>
          <w:bCs w:val="0"/>
          <w:sz w:val="28"/>
          <w:szCs w:val="28"/>
          <w:highlight w:val="none"/>
          <w:lang w:val="en-US" w:eastAsia="zh-CN" w:bidi="ar-SA"/>
        </w:rPr>
        <w:t>楼第</w:t>
      </w:r>
      <w:r>
        <w:rPr>
          <w:rFonts w:hint="eastAsia" w:eastAsia="宋体" w:cs="宋体"/>
          <w:b w:val="0"/>
          <w:bCs w:val="0"/>
          <w:sz w:val="28"/>
          <w:szCs w:val="28"/>
          <w:highlight w:val="none"/>
          <w:lang w:val="en-US" w:eastAsia="zh-CN" w:bidi="ar-SA"/>
        </w:rPr>
        <w:t>20</w:t>
      </w:r>
      <w:r>
        <w:rPr>
          <w:rFonts w:hint="eastAsia" w:ascii="宋体" w:hAnsi="宋体" w:eastAsia="宋体" w:cs="宋体"/>
          <w:b w:val="0"/>
          <w:bCs w:val="0"/>
          <w:sz w:val="28"/>
          <w:szCs w:val="28"/>
          <w:highlight w:val="none"/>
          <w:lang w:val="en-US" w:eastAsia="zh-CN" w:bidi="ar-SA"/>
        </w:rPr>
        <w:t>开标室</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五、公告期限</w:t>
      </w:r>
    </w:p>
    <w:p>
      <w:pPr>
        <w:pStyle w:val="30"/>
        <w:shd w:val="clear" w:color="auto" w:fill="FFFFFF"/>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自本公告发布之日起5个工作日。</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六、其他补充事宜</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注：1、本项目投标供应商须登录全国公共资源交易平台(陕西省·宝鸡市) (http://ggzy.baoji.gov.cn/)，交易平台〖首页〉电子交易平台〉企业端〗后，在〖招标公告/出让公告〗模块中选择有意向的项目点击“我要投标”，并打印投标回执单。投标供应商</w:t>
      </w:r>
      <w:r>
        <w:rPr>
          <w:rFonts w:hint="eastAsia" w:ascii="宋体" w:hAnsi="宋体" w:eastAsia="宋体" w:cs="宋体"/>
          <w:sz w:val="28"/>
          <w:szCs w:val="28"/>
          <w:lang w:val="en-US" w:eastAsia="zh-CN"/>
        </w:rPr>
        <w:t>同时</w:t>
      </w:r>
      <w:r>
        <w:rPr>
          <w:rFonts w:hint="eastAsia" w:ascii="宋体" w:hAnsi="宋体" w:eastAsia="宋体" w:cs="宋体"/>
          <w:sz w:val="28"/>
          <w:szCs w:val="28"/>
        </w:rPr>
        <w:t>文件发售时间内</w:t>
      </w:r>
      <w:r>
        <w:rPr>
          <w:rFonts w:hint="eastAsia" w:ascii="宋体" w:hAnsi="宋体" w:eastAsia="宋体" w:cs="宋体"/>
          <w:sz w:val="28"/>
          <w:szCs w:val="28"/>
          <w:lang w:eastAsia="zh-CN"/>
        </w:rPr>
        <w:t>通过电子邮箱</w:t>
      </w:r>
      <w:r>
        <w:rPr>
          <w:rFonts w:hint="eastAsia" w:ascii="宋体" w:hAnsi="宋体" w:eastAsia="宋体" w:cs="宋体"/>
          <w:sz w:val="28"/>
          <w:szCs w:val="28"/>
        </w:rPr>
        <w:t>将网上投标成功回执单、</w:t>
      </w:r>
      <w:r>
        <w:rPr>
          <w:rFonts w:hint="eastAsia" w:ascii="宋体" w:hAnsi="宋体" w:eastAsia="宋体" w:cs="宋体"/>
          <w:sz w:val="28"/>
          <w:szCs w:val="28"/>
          <w:lang w:eastAsia="zh-CN"/>
        </w:rPr>
        <w:t>介绍信原件</w:t>
      </w:r>
      <w:r>
        <w:rPr>
          <w:rFonts w:hint="eastAsia" w:ascii="宋体" w:hAnsi="宋体" w:eastAsia="宋体" w:cs="宋体"/>
          <w:sz w:val="28"/>
          <w:szCs w:val="28"/>
        </w:rPr>
        <w:t>及被授权人身份证 (邮件标题命名格式为“</w:t>
      </w:r>
      <w:r>
        <w:rPr>
          <w:rFonts w:hint="eastAsia" w:ascii="宋体" w:hAnsi="宋体" w:eastAsia="宋体" w:cs="宋体"/>
          <w:sz w:val="28"/>
          <w:szCs w:val="28"/>
          <w:lang w:eastAsia="zh-CN"/>
        </w:rPr>
        <w:t>供应商名称+联系人+联系电话+项目名称”</w:t>
      </w:r>
      <w:r>
        <w:rPr>
          <w:rFonts w:hint="eastAsia" w:ascii="宋体" w:hAnsi="宋体" w:eastAsia="宋体" w:cs="宋体"/>
          <w:sz w:val="28"/>
          <w:szCs w:val="28"/>
        </w:rPr>
        <w:t>) 盖章扫描件发送至邮箱：</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"mailto:shanxizhuoming_zb@163.com" \h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shanxizhuoming_zb@163.com</w:t>
      </w:r>
      <w:r>
        <w:rPr>
          <w:rFonts w:hint="eastAsia" w:ascii="宋体" w:hAnsi="宋体" w:eastAsia="宋体" w:cs="宋体"/>
          <w:sz w:val="28"/>
          <w:szCs w:val="28"/>
          <w:lang w:eastAsia="zh-CN"/>
        </w:rPr>
        <w:fldChar w:fldCharType="end"/>
      </w:r>
      <w:r>
        <w:rPr>
          <w:rFonts w:hint="eastAsia" w:ascii="宋体" w:hAnsi="宋体" w:eastAsia="宋体" w:cs="宋体"/>
          <w:sz w:val="28"/>
          <w:szCs w:val="28"/>
        </w:rPr>
        <w:t>。</w:t>
      </w:r>
      <w:r>
        <w:rPr>
          <w:rFonts w:hint="eastAsia" w:ascii="宋体" w:hAnsi="宋体" w:eastAsia="宋体" w:cs="宋体"/>
          <w:sz w:val="28"/>
          <w:szCs w:val="28"/>
          <w:lang w:val="en-US" w:eastAsia="zh-CN"/>
        </w:rPr>
        <w:t>经代理机构</w:t>
      </w:r>
      <w:r>
        <w:rPr>
          <w:rFonts w:hint="eastAsia" w:ascii="宋体" w:hAnsi="宋体" w:eastAsia="宋体" w:cs="宋体"/>
          <w:sz w:val="28"/>
          <w:szCs w:val="28"/>
        </w:rPr>
        <w:t>审核无误后，投标供应商按要求进行确认，确认完毕后方可下载招标文件。网上投标确认成功后可从〖我的项 目〉项目流程〉交易文件下载〗中下载电子招标文件 (*.SXSZF 格式) ；</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2、投标供应商在网上填写单位信息 (单位名称、营业执照相关信息) 时应与招标文件要求及后期上传的电子投标文件中相关信息一致，否则造成资格审查不通过的后果自负；</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3、未完成网上投标或未经采购代理公司确认或未在规定时间内在平台上下载电子招标文件的，导致无法完成后续流程的责任自负；</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4、本项目为“全流程电子化”采购模式，实行线上电子投标方式，各投标供应商须自行在网上下载招标文件、缴纳投标保证金，并登录全国公共资源交易平台(陕西省·宝鸡市) (http://ggzy.baoji.gov.cn/) -服务指南-下载专区-下载“宝鸡市不见面大厅投标</w:t>
      </w:r>
      <w:r>
        <w:rPr>
          <w:rFonts w:hint="eastAsia" w:ascii="宋体" w:hAnsi="宋体" w:eastAsia="宋体" w:cs="宋体"/>
          <w:sz w:val="28"/>
          <w:szCs w:val="28"/>
          <w:lang w:val="en-US" w:eastAsia="zh-CN"/>
        </w:rPr>
        <w:t>人</w:t>
      </w:r>
      <w:r>
        <w:rPr>
          <w:rFonts w:hint="eastAsia" w:ascii="宋体" w:hAnsi="宋体" w:eastAsia="宋体" w:cs="宋体"/>
          <w:sz w:val="28"/>
          <w:szCs w:val="28"/>
        </w:rPr>
        <w:t>操作手册”，并下载政府采购电子标书制作工具，按照流程制作电子标书并在规定的投标截止时前上传电子投标文件；</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本项目采用电子化投标的方式，相关操作流程详见全国公共资源交易平台（陕西省）网站[服务指南-下载专区]中的《陕西省公共资源交易中心政府采购项目投标指南》；电子招标文件技术支持：4009280095、4009980000</w:t>
      </w:r>
      <w:r>
        <w:rPr>
          <w:rFonts w:hint="eastAsia" w:ascii="宋体" w:hAnsi="宋体" w:eastAsia="宋体" w:cs="宋体"/>
          <w:sz w:val="28"/>
          <w:szCs w:val="28"/>
        </w:rPr>
        <w:t>；</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请供应商按照陕西省财政厅关于政府采购供应商注册登记有关事项的通知中的要求，通过陕西省政府采购网（http://www.ccgp-shaanxi.gov.cn/）注册登记加入陕西省政府采购供应商库</w:t>
      </w:r>
      <w:r>
        <w:rPr>
          <w:rFonts w:hint="eastAsia" w:ascii="宋体" w:hAnsi="宋体" w:eastAsia="宋体" w:cs="宋体"/>
          <w:sz w:val="28"/>
          <w:szCs w:val="28"/>
        </w:rPr>
        <w:t>；</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7、为了保证远程不见面开标顺利进行，投标供应商需使用配备相关设备的电脑提前一小时登录网络开标大厅。因投标供应商自身设施故障或自身原因导致无法完成投标的，由投标供应商自行承担后果；</w:t>
      </w:r>
    </w:p>
    <w:p>
      <w:pPr>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注：投标供应商应随时留意可能发布的变更公告，当澄清或修改的内容影响投标文件编制时，将在交易平台上同步发布答疑文件，此时供应商应从“项目流程”答疑文件下载、下载最新发布的答疑文件。</w:t>
      </w:r>
    </w:p>
    <w:p>
      <w:pPr>
        <w:pStyle w:val="6"/>
        <w:keepNext w:val="0"/>
        <w:numPr>
          <w:ilvl w:val="3"/>
          <w:numId w:val="0"/>
        </w:numPr>
        <w:shd w:val="clear" w:color="auto" w:fill="FFFFFF"/>
        <w:spacing w:before="150" w:after="0" w:line="360" w:lineRule="auto"/>
        <w:textAlignment w:val="baseline"/>
        <w:rPr>
          <w:rFonts w:ascii="宋体" w:hAnsi="宋体" w:eastAsia="宋体" w:cs="宋体"/>
          <w:b w:val="0"/>
          <w:bCs w:val="0"/>
        </w:rPr>
      </w:pPr>
      <w:r>
        <w:rPr>
          <w:rFonts w:hint="eastAsia" w:ascii="宋体" w:hAnsi="宋体" w:eastAsia="宋体" w:cs="宋体"/>
          <w:b w:val="0"/>
          <w:bCs w:val="0"/>
        </w:rPr>
        <w:t>七、对本次招标提出询问，请按以下方式联系。</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1.釆购人信息</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highlight w:val="none"/>
        </w:rPr>
      </w:pPr>
      <w:r>
        <w:rPr>
          <w:rFonts w:hint="eastAsia" w:ascii="宋体" w:hAnsi="宋体" w:eastAsia="宋体" w:cs="宋体"/>
          <w:b w:val="0"/>
          <w:bCs w:val="0"/>
          <w:sz w:val="28"/>
          <w:szCs w:val="28"/>
        </w:rPr>
        <w:t>名称：麟游</w:t>
      </w:r>
      <w:r>
        <w:rPr>
          <w:rFonts w:hint="eastAsia" w:ascii="宋体" w:hAnsi="宋体" w:eastAsia="宋体" w:cs="宋体"/>
          <w:b w:val="0"/>
          <w:bCs w:val="0"/>
          <w:sz w:val="28"/>
          <w:szCs w:val="28"/>
          <w:highlight w:val="none"/>
        </w:rPr>
        <w:t>县教育体育局</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地址：麟游县东大街付7号</w:t>
      </w:r>
    </w:p>
    <w:p>
      <w:pPr>
        <w:pStyle w:val="8"/>
        <w:numPr>
          <w:ilvl w:val="5"/>
          <w:numId w:val="0"/>
        </w:numPr>
        <w:spacing w:before="0" w:after="0" w:line="360" w:lineRule="auto"/>
        <w:ind w:firstLine="280" w:firstLineChars="100"/>
        <w:textAlignment w:val="baseline"/>
        <w:rPr>
          <w:rFonts w:hint="default" w:ascii="宋体" w:hAnsi="宋体" w:eastAsia="宋体" w:cs="宋体"/>
          <w:b w:val="0"/>
          <w:bCs w:val="0"/>
          <w:sz w:val="28"/>
          <w:szCs w:val="28"/>
          <w:highlight w:val="none"/>
          <w:lang w:val="en-US" w:eastAsia="zh-CN"/>
        </w:rPr>
      </w:pPr>
      <w:bookmarkStart w:id="169" w:name="_GoBack"/>
      <w:bookmarkEnd w:id="169"/>
      <w:r>
        <w:rPr>
          <w:rFonts w:hint="eastAsia" w:ascii="宋体" w:hAnsi="宋体" w:eastAsia="宋体" w:cs="宋体"/>
          <w:b w:val="0"/>
          <w:bCs w:val="0"/>
          <w:sz w:val="28"/>
          <w:szCs w:val="28"/>
          <w:highlight w:val="none"/>
        </w:rPr>
        <w:t>联系方式：</w:t>
      </w:r>
      <w:r>
        <w:rPr>
          <w:rFonts w:hint="eastAsia" w:ascii="宋体" w:hAnsi="宋体" w:eastAsia="宋体" w:cs="宋体"/>
          <w:b w:val="0"/>
          <w:bCs w:val="0"/>
          <w:sz w:val="28"/>
          <w:szCs w:val="28"/>
          <w:highlight w:val="none"/>
          <w:lang w:val="en-US" w:eastAsia="zh-CN"/>
        </w:rPr>
        <w:t>许</w:t>
      </w:r>
      <w:r>
        <w:rPr>
          <w:rFonts w:hint="eastAsia" w:ascii="宋体" w:hAnsi="宋体" w:eastAsia="宋体" w:cs="宋体"/>
          <w:b w:val="0"/>
          <w:bCs w:val="0"/>
          <w:sz w:val="28"/>
          <w:szCs w:val="28"/>
          <w:highlight w:val="none"/>
        </w:rPr>
        <w:t>老师</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0917-796</w:t>
      </w:r>
      <w:r>
        <w:rPr>
          <w:rFonts w:hint="eastAsia" w:ascii="宋体" w:hAnsi="宋体" w:eastAsia="宋体" w:cs="宋体"/>
          <w:b w:val="0"/>
          <w:bCs w:val="0"/>
          <w:sz w:val="28"/>
          <w:szCs w:val="28"/>
          <w:highlight w:val="none"/>
          <w:lang w:val="en-US" w:eastAsia="zh-CN"/>
        </w:rPr>
        <w:t>3649</w:t>
      </w:r>
    </w:p>
    <w:p>
      <w:pPr>
        <w:pStyle w:val="8"/>
        <w:numPr>
          <w:ilvl w:val="5"/>
          <w:numId w:val="0"/>
        </w:numPr>
        <w:spacing w:before="0" w:after="0" w:line="360" w:lineRule="auto"/>
        <w:ind w:firstLine="280" w:firstLineChars="1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2.釆购代理机构信息</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名称：陕西卓佲项目管理有限公司</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地址：西安市雁塔区科技路10号华奥大厦A座20层2002室</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联系方式：</w:t>
      </w:r>
      <w:r>
        <w:rPr>
          <w:rFonts w:hint="eastAsia" w:eastAsia="宋体"/>
          <w:sz w:val="28"/>
          <w:szCs w:val="28"/>
          <w:lang w:val="en-US" w:eastAsia="zh-CN"/>
        </w:rPr>
        <w:t>17778966063</w:t>
      </w:r>
    </w:p>
    <w:p>
      <w:pPr>
        <w:pStyle w:val="8"/>
        <w:numPr>
          <w:ilvl w:val="5"/>
          <w:numId w:val="0"/>
        </w:numPr>
        <w:spacing w:before="0" w:after="0" w:line="360" w:lineRule="auto"/>
        <w:ind w:left="-835" w:leftChars="-348" w:firstLine="1120" w:firstLineChars="400"/>
        <w:textAlignment w:val="baseline"/>
        <w:rPr>
          <w:rFonts w:ascii="宋体" w:hAnsi="宋体" w:eastAsia="宋体" w:cs="宋体"/>
          <w:b w:val="0"/>
          <w:bCs w:val="0"/>
          <w:sz w:val="28"/>
          <w:szCs w:val="28"/>
        </w:rPr>
      </w:pPr>
      <w:r>
        <w:rPr>
          <w:rFonts w:hint="eastAsia" w:ascii="宋体" w:hAnsi="宋体" w:eastAsia="宋体" w:cs="宋体"/>
          <w:b w:val="0"/>
          <w:bCs w:val="0"/>
          <w:sz w:val="28"/>
          <w:szCs w:val="28"/>
        </w:rPr>
        <w:t>3.项目联系方式</w:t>
      </w:r>
    </w:p>
    <w:p>
      <w:pPr>
        <w:pStyle w:val="30"/>
        <w:spacing w:before="0" w:beforeAutospacing="0" w:after="0" w:afterAutospacing="0" w:line="360" w:lineRule="auto"/>
        <w:ind w:firstLine="480"/>
        <w:jc w:val="both"/>
        <w:textAlignment w:val="baseline"/>
        <w:rPr>
          <w:rFonts w:hint="default" w:eastAsia="宋体"/>
          <w:sz w:val="28"/>
          <w:szCs w:val="28"/>
          <w:lang w:val="en-US" w:eastAsia="zh-CN"/>
        </w:rPr>
      </w:pPr>
      <w:r>
        <w:rPr>
          <w:rFonts w:hint="eastAsia" w:eastAsia="宋体"/>
          <w:sz w:val="28"/>
          <w:szCs w:val="28"/>
        </w:rPr>
        <w:t>项目联系人：</w:t>
      </w:r>
      <w:r>
        <w:rPr>
          <w:rFonts w:hint="eastAsia" w:eastAsia="宋体"/>
          <w:sz w:val="28"/>
          <w:szCs w:val="28"/>
          <w:lang w:val="en-US" w:eastAsia="zh-CN"/>
        </w:rPr>
        <w:t>魏萌</w:t>
      </w:r>
      <w:r>
        <w:rPr>
          <w:rFonts w:hint="eastAsia" w:eastAsia="宋体"/>
          <w:sz w:val="28"/>
          <w:szCs w:val="28"/>
        </w:rPr>
        <w:t xml:space="preserve"> </w:t>
      </w:r>
      <w:r>
        <w:rPr>
          <w:rFonts w:hint="eastAsia" w:eastAsia="宋体"/>
          <w:sz w:val="28"/>
          <w:szCs w:val="28"/>
          <w:lang w:val="en-US" w:eastAsia="zh-CN"/>
        </w:rPr>
        <w:t>张倩 杜华龙</w:t>
      </w:r>
    </w:p>
    <w:p>
      <w:pPr>
        <w:pStyle w:val="30"/>
        <w:spacing w:before="0" w:beforeAutospacing="0" w:after="0" w:afterAutospacing="0" w:line="360" w:lineRule="auto"/>
        <w:ind w:firstLine="480"/>
        <w:jc w:val="both"/>
        <w:textAlignment w:val="baseline"/>
        <w:rPr>
          <w:rFonts w:eastAsia="宋体"/>
          <w:sz w:val="28"/>
          <w:szCs w:val="28"/>
        </w:rPr>
      </w:pPr>
      <w:r>
        <w:rPr>
          <w:rFonts w:hint="eastAsia" w:eastAsia="宋体"/>
          <w:sz w:val="28"/>
          <w:szCs w:val="28"/>
        </w:rPr>
        <w:t>电话：</w:t>
      </w:r>
      <w:r>
        <w:rPr>
          <w:rFonts w:hint="eastAsia" w:eastAsia="宋体"/>
          <w:sz w:val="28"/>
          <w:szCs w:val="28"/>
          <w:lang w:val="en-US" w:eastAsia="zh-CN"/>
        </w:rPr>
        <w:t>17778966063</w:t>
      </w:r>
    </w:p>
    <w:p>
      <w:pPr>
        <w:pStyle w:val="30"/>
        <w:shd w:val="clear" w:color="auto" w:fill="FFFFFF"/>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陕西卓佲项目管理有限公司</w:t>
      </w:r>
    </w:p>
    <w:p>
      <w:pPr>
        <w:pStyle w:val="30"/>
        <w:shd w:val="clear" w:color="auto" w:fill="FFFFFF"/>
        <w:spacing w:before="0" w:beforeAutospacing="0" w:after="0" w:afterAutospacing="0" w:line="360" w:lineRule="auto"/>
        <w:ind w:firstLine="480"/>
        <w:jc w:val="right"/>
        <w:textAlignment w:val="baseline"/>
        <w:rPr>
          <w:rFonts w:eastAsia="宋体"/>
          <w:sz w:val="28"/>
          <w:szCs w:val="28"/>
        </w:rPr>
      </w:pPr>
      <w:r>
        <w:rPr>
          <w:rFonts w:hint="eastAsia" w:eastAsia="宋体"/>
          <w:sz w:val="28"/>
          <w:szCs w:val="28"/>
        </w:rPr>
        <w:t>202</w:t>
      </w:r>
      <w:r>
        <w:rPr>
          <w:rFonts w:hint="eastAsia" w:eastAsia="宋体"/>
          <w:sz w:val="28"/>
          <w:szCs w:val="28"/>
          <w:lang w:val="en-US" w:eastAsia="zh-CN"/>
        </w:rPr>
        <w:t>3</w:t>
      </w:r>
      <w:r>
        <w:rPr>
          <w:rFonts w:hint="eastAsia" w:eastAsia="宋体"/>
          <w:sz w:val="28"/>
          <w:szCs w:val="28"/>
        </w:rPr>
        <w:t>年</w:t>
      </w:r>
      <w:r>
        <w:rPr>
          <w:rFonts w:hint="eastAsia" w:eastAsia="宋体"/>
          <w:sz w:val="28"/>
          <w:szCs w:val="28"/>
          <w:lang w:val="en-US" w:eastAsia="zh-CN"/>
        </w:rPr>
        <w:t>04</w:t>
      </w:r>
      <w:r>
        <w:rPr>
          <w:rFonts w:hint="eastAsia" w:eastAsia="宋体"/>
          <w:sz w:val="28"/>
          <w:szCs w:val="28"/>
        </w:rPr>
        <w:t>月</w:t>
      </w:r>
      <w:r>
        <w:rPr>
          <w:rFonts w:hint="eastAsia" w:eastAsia="宋体"/>
          <w:sz w:val="28"/>
          <w:szCs w:val="28"/>
          <w:lang w:val="en-US" w:eastAsia="zh-CN"/>
        </w:rPr>
        <w:t>11</w:t>
      </w:r>
      <w:r>
        <w:rPr>
          <w:rFonts w:hint="eastAsia" w:eastAsia="宋体"/>
          <w:sz w:val="28"/>
          <w:szCs w:val="28"/>
        </w:rPr>
        <w:t>日</w:t>
      </w:r>
    </w:p>
    <w:p>
      <w:pPr>
        <w:spacing w:before="163" w:line="219" w:lineRule="auto"/>
        <w:ind w:left="3437"/>
        <w:outlineLvl w:val="0"/>
        <w:rPr>
          <w:rFonts w:hint="eastAsia" w:ascii="宋体" w:hAnsi="宋体" w:eastAsia="宋体" w:cs="宋体"/>
          <w:spacing w:val="6"/>
          <w:sz w:val="31"/>
          <w:szCs w:val="31"/>
          <w14:textOutline w14:w="5793" w14:cap="sq" w14:cmpd="sng">
            <w14:solidFill>
              <w14:srgbClr w14:val="000000"/>
            </w14:solidFill>
            <w14:prstDash w14:val="solid"/>
            <w14:bevel/>
          </w14:textOutline>
        </w:rPr>
        <w:sectPr>
          <w:footerReference r:id="rId6" w:type="default"/>
          <w:pgSz w:w="11906" w:h="16839"/>
          <w:pgMar w:top="1431" w:right="1338" w:bottom="1153" w:left="1332" w:header="0" w:footer="996" w:gutter="0"/>
          <w:pgNumType w:fmt="decimal" w:start="1"/>
          <w:cols w:space="720" w:num="1"/>
        </w:sectPr>
      </w:pPr>
      <w:bookmarkStart w:id="10" w:name="_bookmark2"/>
      <w:bookmarkEnd w:id="10"/>
    </w:p>
    <w:p>
      <w:pPr>
        <w:pStyle w:val="3"/>
        <w:spacing w:line="240" w:lineRule="auto"/>
        <w:rPr>
          <w:rFonts w:ascii="宋体" w:hAnsi="宋体" w:eastAsia="宋体" w:cs="宋体"/>
        </w:rPr>
      </w:pPr>
      <w:bookmarkStart w:id="11" w:name="_Toc6116"/>
      <w:r>
        <w:rPr>
          <w:rFonts w:hint="eastAsia" w:ascii="宋体" w:hAnsi="宋体" w:eastAsia="宋体" w:cs="宋体"/>
        </w:rPr>
        <w:t>第二章  供应商须知</w:t>
      </w:r>
      <w:bookmarkEnd w:id="2"/>
      <w:bookmarkEnd w:id="3"/>
      <w:bookmarkEnd w:id="4"/>
      <w:bookmarkEnd w:id="5"/>
      <w:bookmarkEnd w:id="6"/>
      <w:bookmarkEnd w:id="7"/>
      <w:bookmarkEnd w:id="8"/>
      <w:bookmarkEnd w:id="9"/>
      <w:bookmarkEnd w:id="11"/>
    </w:p>
    <w:p>
      <w:pPr>
        <w:pStyle w:val="4"/>
        <w:spacing w:line="240" w:lineRule="auto"/>
        <w:ind w:firstLine="577"/>
        <w:jc w:val="left"/>
        <w:rPr>
          <w:rFonts w:ascii="宋体" w:hAnsi="宋体" w:eastAsia="宋体" w:cs="宋体"/>
          <w:sz w:val="28"/>
          <w:szCs w:val="28"/>
        </w:rPr>
      </w:pPr>
      <w:bookmarkStart w:id="12" w:name="_Toc31001"/>
      <w:r>
        <w:rPr>
          <w:rFonts w:hint="eastAsia" w:ascii="宋体" w:hAnsi="宋体" w:eastAsia="宋体" w:cs="宋体"/>
          <w:sz w:val="28"/>
          <w:szCs w:val="28"/>
        </w:rPr>
        <w:t>〖前附表〗</w:t>
      </w:r>
      <w:bookmarkEnd w:id="12"/>
    </w:p>
    <w:tbl>
      <w:tblPr>
        <w:tblStyle w:val="36"/>
        <w:tblW w:w="935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914"/>
        <w:gridCol w:w="54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91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内容</w:t>
            </w:r>
          </w:p>
        </w:tc>
        <w:tc>
          <w:tcPr>
            <w:tcW w:w="5459"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2914"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项目名称</w:t>
            </w:r>
          </w:p>
        </w:tc>
        <w:tc>
          <w:tcPr>
            <w:tcW w:w="5459" w:type="dxa"/>
            <w:tcBorders>
              <w:top w:val="single" w:color="auto" w:sz="2" w:space="0"/>
            </w:tcBorders>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麟游县教育体育局2023“九成宫杯”陕西宝鸡·麟游夏季半程马拉松赛事运营服务采购项目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项目编号</w:t>
            </w:r>
          </w:p>
        </w:tc>
        <w:tc>
          <w:tcPr>
            <w:tcW w:w="5459"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ZMZB2023LYJTJ-46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2914" w:type="dxa"/>
            <w:shd w:val="clear" w:color="auto" w:fill="auto"/>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备案（核准）</w:t>
            </w:r>
            <w:r>
              <w:rPr>
                <w:rFonts w:hint="eastAsia" w:ascii="宋体" w:hAnsi="宋体" w:eastAsia="宋体" w:cs="宋体"/>
                <w:sz w:val="28"/>
                <w:szCs w:val="28"/>
                <w:highlight w:val="none"/>
              </w:rPr>
              <w:t>编号</w:t>
            </w:r>
          </w:p>
        </w:tc>
        <w:tc>
          <w:tcPr>
            <w:tcW w:w="5459" w:type="dxa"/>
            <w:shd w:val="clear" w:color="auto" w:fill="auto"/>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ZCSP-麟游县-2023-00010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是否预留份额</w:t>
            </w:r>
          </w:p>
          <w:p>
            <w:pPr>
              <w:jc w:val="center"/>
              <w:rPr>
                <w:rFonts w:ascii="宋体" w:hAnsi="宋体" w:eastAsia="宋体" w:cs="宋体"/>
                <w:sz w:val="28"/>
                <w:szCs w:val="28"/>
              </w:rPr>
            </w:pPr>
            <w:r>
              <w:rPr>
                <w:rFonts w:hint="eastAsia" w:ascii="宋体" w:hAnsi="宋体" w:eastAsia="宋体" w:cs="宋体"/>
                <w:sz w:val="28"/>
                <w:szCs w:val="28"/>
              </w:rPr>
              <w:t>专门面向中小企业采购</w:t>
            </w:r>
          </w:p>
        </w:tc>
        <w:tc>
          <w:tcPr>
            <w:tcW w:w="5459"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2139916130"/>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是</w:t>
            </w:r>
            <w:r>
              <w:rPr>
                <w:rFonts w:hint="eastAsia" w:ascii="宋体" w:hAnsi="宋体" w:eastAsia="宋体" w:cs="宋体"/>
                <w:sz w:val="28"/>
                <w:szCs w:val="28"/>
                <w:highlight w:val="none"/>
              </w:rPr>
              <w:t xml:space="preserve">  </w:t>
            </w:r>
            <w:sdt>
              <w:sdtPr>
                <w:rPr>
                  <w:rFonts w:hint="eastAsia" w:ascii="宋体" w:hAnsi="宋体" w:eastAsia="宋体" w:cs="宋体"/>
                  <w:sz w:val="28"/>
                  <w:szCs w:val="28"/>
                  <w:highlight w:val="none"/>
                </w:rPr>
                <w:id w:val="-2072024220"/>
                <w14:checkbox>
                  <w14:checked w14:val="1"/>
                  <w14:checkedState w14:val="2611" w14:font="MS Gothic"/>
                  <w14:uncheckedState w14:val="2610" w14:font="MS Gothic"/>
                </w14:checkbox>
              </w:sdtPr>
              <w:sdtEndPr>
                <w:rPr>
                  <w:rFonts w:hint="eastAsia" w:ascii="宋体" w:hAnsi="宋体" w:eastAsia="宋体" w:cs="宋体"/>
                  <w:sz w:val="28"/>
                  <w:szCs w:val="28"/>
                  <w:highlight w:val="none"/>
                </w:rPr>
              </w:sdtEndPr>
              <w:sdtContent>
                <w:r>
                  <w:rPr>
                    <w:rFonts w:hint="eastAsia" w:ascii="宋体" w:hAnsi="宋体" w:eastAsia="宋体" w:cs="宋体"/>
                    <w:sz w:val="28"/>
                    <w:szCs w:val="28"/>
                    <w:highlight w:val="none"/>
                  </w:rPr>
                  <w:t>☑</w:t>
                </w:r>
              </w:sdtContent>
            </w:sdt>
            <w:r>
              <w:rPr>
                <w:rFonts w:hint="eastAsia" w:ascii="宋体" w:hAnsi="宋体" w:eastAsia="宋体" w:cs="宋体"/>
                <w:sz w:val="28"/>
                <w:szCs w:val="28"/>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预算金额</w:t>
            </w:r>
          </w:p>
        </w:tc>
        <w:tc>
          <w:tcPr>
            <w:tcW w:w="5459" w:type="dxa"/>
            <w:shd w:val="clear" w:color="auto" w:fill="auto"/>
            <w:vAlign w:val="center"/>
          </w:tcPr>
          <w:p>
            <w:pPr>
              <w:jc w:val="center"/>
              <w:rPr>
                <w:rFonts w:hint="eastAsia" w:ascii="宋体" w:hAnsi="宋体" w:eastAsia="宋体" w:cs="宋体"/>
                <w:sz w:val="28"/>
                <w:szCs w:val="28"/>
                <w:lang w:val="en-US" w:eastAsia="zh-CN"/>
              </w:rPr>
            </w:pPr>
            <w:r>
              <w:rPr>
                <w:rFonts w:ascii="宋体" w:hAnsi="宋体" w:eastAsia="宋体" w:cs="宋体"/>
                <w:sz w:val="28"/>
                <w:szCs w:val="28"/>
              </w:rPr>
              <w:t>3513000.00</w:t>
            </w:r>
            <w:r>
              <w:rPr>
                <w:rFonts w:hint="eastAsia" w:ascii="宋体" w:hAnsi="宋体" w:eastAsia="宋体" w:cs="宋体"/>
                <w:sz w:val="28"/>
                <w:szCs w:val="28"/>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cs="宋体"/>
                <w:sz w:val="28"/>
                <w:szCs w:val="28"/>
              </w:rPr>
            </w:pP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最高限价</w:t>
            </w:r>
          </w:p>
        </w:tc>
        <w:tc>
          <w:tcPr>
            <w:tcW w:w="5459" w:type="dxa"/>
            <w:shd w:val="clear" w:color="auto" w:fill="auto"/>
            <w:vAlign w:val="center"/>
          </w:tcPr>
          <w:p>
            <w:pPr>
              <w:jc w:val="center"/>
              <w:rPr>
                <w:rFonts w:hint="eastAsia" w:ascii="宋体" w:hAnsi="宋体" w:eastAsia="宋体" w:cs="宋体"/>
                <w:sz w:val="28"/>
                <w:szCs w:val="28"/>
                <w:lang w:val="en-US" w:eastAsia="zh-CN"/>
              </w:rPr>
            </w:pPr>
            <w:r>
              <w:rPr>
                <w:rFonts w:ascii="宋体" w:hAnsi="宋体" w:eastAsia="宋体" w:cs="宋体"/>
                <w:sz w:val="28"/>
                <w:szCs w:val="28"/>
              </w:rPr>
              <w:t>3513000.00</w:t>
            </w:r>
            <w:r>
              <w:rPr>
                <w:rFonts w:hint="eastAsia" w:ascii="宋体" w:hAnsi="宋体" w:eastAsia="宋体" w:cs="宋体"/>
                <w:sz w:val="28"/>
                <w:szCs w:val="28"/>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是否接受联合体</w:t>
            </w:r>
          </w:p>
        </w:tc>
        <w:tc>
          <w:tcPr>
            <w:tcW w:w="5459" w:type="dxa"/>
            <w:shd w:val="clear" w:color="auto" w:fill="auto"/>
            <w:vAlign w:val="center"/>
          </w:tcPr>
          <w:p>
            <w:pPr>
              <w:jc w:val="center"/>
              <w:rPr>
                <w:rFonts w:ascii="宋体" w:hAnsi="宋体" w:eastAsia="宋体" w:cs="宋体"/>
                <w:sz w:val="28"/>
                <w:szCs w:val="28"/>
              </w:rPr>
            </w:pPr>
            <w:sdt>
              <w:sdtPr>
                <w:rPr>
                  <w:rFonts w:hint="eastAsia" w:ascii="宋体" w:hAnsi="宋体" w:eastAsia="宋体" w:cs="宋体"/>
                  <w:sz w:val="28"/>
                  <w:szCs w:val="28"/>
                </w:rPr>
                <w:id w:val="60816019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317929335"/>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是否允许进口产品</w:t>
            </w:r>
          </w:p>
        </w:tc>
        <w:tc>
          <w:tcPr>
            <w:tcW w:w="5459" w:type="dxa"/>
            <w:shd w:val="clear" w:color="auto" w:fill="auto"/>
            <w:vAlign w:val="center"/>
          </w:tcPr>
          <w:p>
            <w:pPr>
              <w:jc w:val="center"/>
            </w:pPr>
            <w:sdt>
              <w:sdtPr>
                <w:rPr>
                  <w:rFonts w:hint="eastAsia" w:ascii="宋体" w:hAnsi="宋体" w:eastAsia="宋体" w:cs="宋体"/>
                  <w:sz w:val="28"/>
                  <w:szCs w:val="28"/>
                </w:rPr>
                <w:id w:val="14857025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168959484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MS Gothic" w:hAnsi="MS Gothic" w:eastAsia="宋体" w:cs="宋体"/>
                    <w:sz w:val="28"/>
                    <w:szCs w:val="28"/>
                    <w:lang w:val="en-US" w:eastAsia="zh-CN" w:bidi="ar-SA"/>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8</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投标保证金</w:t>
            </w:r>
          </w:p>
        </w:tc>
        <w:tc>
          <w:tcPr>
            <w:tcW w:w="5459" w:type="dxa"/>
            <w:shd w:val="clear" w:color="auto" w:fill="auto"/>
            <w:vAlign w:val="center"/>
          </w:tcPr>
          <w:p>
            <w:pPr>
              <w:jc w:val="left"/>
              <w:rPr>
                <w:rFonts w:hint="eastAsia" w:ascii="宋体" w:hAnsi="宋体" w:eastAsia="宋体" w:cs="宋体"/>
                <w:sz w:val="28"/>
                <w:szCs w:val="28"/>
                <w:lang w:val="zh-CN"/>
              </w:rPr>
            </w:pPr>
            <w:r>
              <w:rPr>
                <w:rFonts w:hint="eastAsia" w:ascii="宋体" w:hAnsi="宋体" w:eastAsia="宋体" w:cs="宋体"/>
                <w:sz w:val="28"/>
                <w:szCs w:val="28"/>
                <w:lang w:val="zh-CN"/>
              </w:rPr>
              <w:t>投标保证金的金额：</w:t>
            </w:r>
            <w:r>
              <w:rPr>
                <w:rFonts w:hint="eastAsia" w:ascii="宋体" w:hAnsi="宋体" w:eastAsia="宋体" w:cs="宋体"/>
                <w:sz w:val="28"/>
                <w:szCs w:val="28"/>
                <w:lang w:val="en-US" w:eastAsia="zh-CN"/>
              </w:rPr>
              <w:t>人民币伍万元整</w:t>
            </w:r>
            <w:r>
              <w:rPr>
                <w:rFonts w:hint="eastAsia" w:ascii="宋体" w:hAnsi="宋体" w:eastAsia="宋体" w:cs="宋体"/>
                <w:sz w:val="28"/>
                <w:szCs w:val="28"/>
                <w:lang w:val="zh-CN"/>
              </w:rPr>
              <w:t>（￥</w:t>
            </w:r>
            <w:r>
              <w:rPr>
                <w:rFonts w:hint="eastAsia" w:ascii="宋体" w:hAnsi="宋体" w:eastAsia="宋体" w:cs="宋体"/>
                <w:sz w:val="28"/>
                <w:szCs w:val="28"/>
                <w:lang w:val="en-US" w:eastAsia="zh-CN"/>
              </w:rPr>
              <w:t>50000.00</w:t>
            </w:r>
            <w:r>
              <w:rPr>
                <w:rFonts w:hint="eastAsia" w:ascii="宋体" w:hAnsi="宋体" w:eastAsia="宋体" w:cs="宋体"/>
                <w:sz w:val="28"/>
                <w:szCs w:val="28"/>
                <w:lang w:val="zh-CN"/>
              </w:rPr>
              <w:t>元）</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投标保证金的递交截止时间为(以银行到账时间为准)：同投标截止时间</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银行保函：必须为投标人基本账户开户银行出具的银行保函；</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信用担保:应为具有开具信用担保资格的单位开具的投标担保函。</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现金缴纳：必须自投标人基本账户转入投标保证金接收账户，账户信息如下：</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 xml:space="preserve">账户名称：宝鸡市公共资源交易中心保证金专户 </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开户银行：长安银行股份有限公司宝鸡分行营业部</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账</w:t>
            </w:r>
            <w:r>
              <w:rPr>
                <w:rFonts w:hint="eastAsia" w:ascii="宋体" w:hAnsi="宋体" w:eastAsia="宋体" w:cs="宋体"/>
                <w:sz w:val="28"/>
                <w:szCs w:val="28"/>
                <w:lang w:val="zh-CN"/>
              </w:rPr>
              <w:tab/>
            </w:r>
            <w:r>
              <w:rPr>
                <w:rFonts w:hint="eastAsia" w:ascii="宋体" w:hAnsi="宋体" w:eastAsia="宋体" w:cs="宋体"/>
                <w:sz w:val="28"/>
                <w:szCs w:val="28"/>
                <w:lang w:val="zh-CN"/>
              </w:rPr>
              <w:t>号：80602000142101980605330</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注：投标人必须将投标保证金的电汇回单（或银行汇票、转帐支票）或银行保函或投标担保函（信用担保形式）的复印件或扫描件装订在</w:t>
            </w:r>
            <w:r>
              <w:rPr>
                <w:rFonts w:hint="eastAsia" w:ascii="宋体" w:hAnsi="宋体" w:eastAsia="宋体" w:cs="宋体"/>
                <w:sz w:val="28"/>
                <w:szCs w:val="28"/>
                <w:lang w:val="en-US" w:eastAsia="zh-CN"/>
              </w:rPr>
              <w:t>投标</w:t>
            </w:r>
            <w:r>
              <w:rPr>
                <w:rFonts w:hint="eastAsia" w:ascii="宋体" w:hAnsi="宋体" w:eastAsia="宋体" w:cs="宋体"/>
                <w:sz w:val="28"/>
                <w:szCs w:val="28"/>
                <w:lang w:val="zh-CN"/>
              </w:rPr>
              <w:t>文件中。</w:t>
            </w:r>
          </w:p>
          <w:p>
            <w:pPr>
              <w:jc w:val="left"/>
              <w:rPr>
                <w:rFonts w:hint="eastAsia" w:ascii="宋体" w:hAnsi="宋体" w:eastAsia="宋体" w:cs="宋体"/>
                <w:sz w:val="28"/>
                <w:szCs w:val="28"/>
                <w:lang w:val="zh-CN"/>
              </w:rPr>
            </w:pPr>
            <w:r>
              <w:rPr>
                <w:rFonts w:hint="eastAsia" w:ascii="宋体" w:hAnsi="宋体" w:eastAsia="宋体" w:cs="宋体"/>
                <w:sz w:val="28"/>
                <w:szCs w:val="28"/>
                <w:lang w:val="zh-CN"/>
              </w:rPr>
              <w:t>采用银行保函或信用担保形式的投标人在2023年</w:t>
            </w:r>
            <w:r>
              <w:rPr>
                <w:rFonts w:hint="eastAsia" w:ascii="宋体" w:hAnsi="宋体" w:eastAsia="宋体" w:cs="宋体"/>
                <w:sz w:val="28"/>
                <w:szCs w:val="28"/>
                <w:lang w:val="en-US" w:eastAsia="zh-CN"/>
              </w:rPr>
              <w:t>03</w:t>
            </w:r>
            <w:r>
              <w:rPr>
                <w:rFonts w:hint="eastAsia" w:ascii="宋体" w:hAnsi="宋体" w:eastAsia="宋体" w:cs="宋体"/>
                <w:sz w:val="28"/>
                <w:szCs w:val="28"/>
                <w:lang w:val="zh-CN"/>
              </w:rPr>
              <w:t>月</w:t>
            </w:r>
            <w:r>
              <w:rPr>
                <w:rFonts w:hint="eastAsia" w:ascii="宋体" w:hAnsi="宋体" w:eastAsia="宋体" w:cs="宋体"/>
                <w:sz w:val="28"/>
                <w:szCs w:val="28"/>
                <w:lang w:val="en-US" w:eastAsia="zh-CN"/>
              </w:rPr>
              <w:t>02</w:t>
            </w:r>
            <w:r>
              <w:rPr>
                <w:rFonts w:hint="eastAsia" w:ascii="宋体" w:hAnsi="宋体" w:eastAsia="宋体" w:cs="宋体"/>
                <w:sz w:val="28"/>
                <w:szCs w:val="28"/>
                <w:lang w:val="zh-CN"/>
              </w:rPr>
              <w:t>日日17:00前，持银行保函或投标信用担保函原件前来宝鸡市公共资源交易中心（宝鸡市金台区行政大道8号）6楼614室财务科及招标代理机构(宝鸡市陈仓园市民中心东高层东单元2904室)告知，逾期未提供视为放弃投标。</w:t>
            </w: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转账时应注明：“2023“九成宫杯”陕西宝鸡·麟游夏季半程马拉松赛事运营服务采购项目”投标保证金。</w:t>
            </w:r>
          </w:p>
          <w:p>
            <w:pPr>
              <w:jc w:val="left"/>
              <w:rPr>
                <w:rFonts w:ascii="宋体" w:hAnsi="宋体" w:eastAsia="宋体" w:cs="宋体"/>
                <w:sz w:val="28"/>
                <w:szCs w:val="28"/>
              </w:rPr>
            </w:pPr>
            <w:r>
              <w:rPr>
                <w:rFonts w:hint="eastAsia" w:ascii="宋体" w:hAnsi="宋体" w:eastAsia="宋体" w:cs="宋体"/>
                <w:sz w:val="28"/>
                <w:szCs w:val="28"/>
                <w:lang w:val="zh-CN"/>
              </w:rPr>
              <w:t>注：1、待宝鸡市公共资源交易中心电子担保平台完成后方可使用信用担保方式。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投标文件份数</w:t>
            </w:r>
          </w:p>
        </w:tc>
        <w:tc>
          <w:tcPr>
            <w:tcW w:w="5459"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投标供应商无需提供；中标供应商下载中标（成交）通知书后，向采购代理机构提供一正两副（和上传文件保持一致的）纸质投标（响应）文件用于备案及档案保存。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现场踏勘和集中答疑</w:t>
            </w:r>
          </w:p>
        </w:tc>
        <w:tc>
          <w:tcPr>
            <w:tcW w:w="5459"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政府采购信息发布媒体</w:t>
            </w:r>
          </w:p>
          <w:p>
            <w:pPr>
              <w:jc w:val="center"/>
              <w:rPr>
                <w:rFonts w:ascii="宋体" w:hAnsi="宋体" w:eastAsia="宋体" w:cs="宋体"/>
                <w:sz w:val="28"/>
                <w:szCs w:val="28"/>
              </w:rPr>
            </w:pPr>
            <w:r>
              <w:rPr>
                <w:rFonts w:hint="eastAsia" w:ascii="宋体" w:hAnsi="宋体" w:eastAsia="宋体" w:cs="宋体"/>
                <w:sz w:val="28"/>
                <w:szCs w:val="28"/>
              </w:rPr>
              <w:t>（采购公告、采购结果公告、变更公告）</w:t>
            </w:r>
          </w:p>
        </w:tc>
        <w:tc>
          <w:tcPr>
            <w:tcW w:w="5459" w:type="dxa"/>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1．陕西省政府采购网：仅提供项目公告，官网地址：http://ccgp-shaanxi.gov.cn/。</w:t>
            </w:r>
          </w:p>
          <w:p>
            <w:pPr>
              <w:rPr>
                <w:rFonts w:ascii="宋体" w:hAnsi="宋体" w:eastAsia="宋体" w:cs="宋体"/>
                <w:sz w:val="28"/>
                <w:szCs w:val="28"/>
              </w:rPr>
            </w:pPr>
            <w:r>
              <w:rPr>
                <w:rFonts w:hint="eastAsia" w:ascii="宋体" w:hAnsi="宋体" w:eastAsia="宋体" w:cs="宋体"/>
                <w:sz w:val="28"/>
                <w:szCs w:val="28"/>
              </w:rPr>
              <w:t>2．全国公共资源交易平台（陕西省·</w:t>
            </w:r>
            <w:r>
              <w:rPr>
                <w:rFonts w:hint="eastAsia" w:ascii="宋体" w:hAnsi="宋体" w:eastAsia="宋体" w:cs="宋体"/>
                <w:sz w:val="28"/>
                <w:szCs w:val="28"/>
                <w:lang w:val="en-US" w:eastAsia="zh-CN"/>
              </w:rPr>
              <w:t>宝鸡</w:t>
            </w:r>
            <w:r>
              <w:rPr>
                <w:rFonts w:hint="eastAsia" w:ascii="宋体" w:hAnsi="宋体" w:eastAsia="宋体" w:cs="宋体"/>
                <w:sz w:val="28"/>
                <w:szCs w:val="28"/>
              </w:rPr>
              <w:t>市）：即</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市公共资源交易平台，提供项目公告和采购文件下载。官网地址：</w:t>
            </w:r>
            <w:r>
              <w:rPr>
                <w:rFonts w:hint="eastAsia" w:ascii="宋体" w:hAnsi="宋体" w:eastAsia="宋体" w:cs="宋体"/>
                <w:sz w:val="28"/>
                <w:szCs w:val="28"/>
                <w:lang w:eastAsia="zh-CN"/>
              </w:rPr>
              <w:t>http://ggzy.baoji.gov.cn/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询问和质疑</w:t>
            </w:r>
          </w:p>
        </w:tc>
        <w:tc>
          <w:tcPr>
            <w:tcW w:w="5459"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信用信息查询截至时点</w:t>
            </w:r>
          </w:p>
        </w:tc>
        <w:tc>
          <w:tcPr>
            <w:tcW w:w="5459"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开标形式</w:t>
            </w:r>
          </w:p>
        </w:tc>
        <w:tc>
          <w:tcPr>
            <w:tcW w:w="5459"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077786224"/>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不见面开标  </w:t>
            </w:r>
            <w:sdt>
              <w:sdtPr>
                <w:rPr>
                  <w:rFonts w:hint="eastAsia" w:ascii="宋体" w:hAnsi="宋体" w:eastAsia="宋体" w:cs="宋体"/>
                  <w:sz w:val="28"/>
                  <w:szCs w:val="28"/>
                </w:rPr>
                <w:id w:val="1553575034"/>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见面开标</w:t>
            </w:r>
          </w:p>
          <w:p>
            <w:pPr>
              <w:jc w:val="both"/>
              <w:rPr>
                <w:rFonts w:ascii="宋体" w:hAnsi="宋体" w:eastAsia="宋体" w:cs="宋体"/>
                <w:sz w:val="28"/>
                <w:szCs w:val="28"/>
              </w:rPr>
            </w:pPr>
            <w:r>
              <w:rPr>
                <w:rFonts w:hint="eastAsia" w:ascii="宋体" w:hAnsi="宋体" w:eastAsia="宋体" w:cs="宋体"/>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是否允许递交多个备选投标方案</w:t>
            </w:r>
          </w:p>
        </w:tc>
        <w:tc>
          <w:tcPr>
            <w:tcW w:w="5459" w:type="dxa"/>
            <w:shd w:val="clear" w:color="auto" w:fill="auto"/>
            <w:vAlign w:val="center"/>
          </w:tcPr>
          <w:p>
            <w:pPr>
              <w:jc w:val="both"/>
              <w:rPr>
                <w:rFonts w:ascii="宋体" w:hAnsi="宋体" w:eastAsia="宋体" w:cs="宋体"/>
                <w:sz w:val="28"/>
                <w:szCs w:val="28"/>
              </w:rPr>
            </w:pPr>
            <w:sdt>
              <w:sdtPr>
                <w:rPr>
                  <w:rFonts w:hint="eastAsia" w:ascii="宋体" w:hAnsi="宋体" w:eastAsia="宋体" w:cs="宋体"/>
                  <w:sz w:val="28"/>
                  <w:szCs w:val="28"/>
                </w:rPr>
                <w:id w:val="1608857843"/>
                <w14:checkbox>
                  <w14:checked w14:val="0"/>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 xml:space="preserve">是  </w:t>
            </w:r>
            <w:sdt>
              <w:sdtPr>
                <w:rPr>
                  <w:rFonts w:hint="eastAsia" w:ascii="宋体" w:hAnsi="宋体" w:eastAsia="宋体" w:cs="宋体"/>
                  <w:sz w:val="28"/>
                  <w:szCs w:val="28"/>
                </w:rPr>
                <w:id w:val="618331253"/>
                <w14:checkbox>
                  <w14:checked w14:val="1"/>
                  <w14:checkedState w14:val="2611" w14:font="MS Gothic"/>
                  <w14:uncheckedState w14:val="2610" w14:font="MS Gothic"/>
                </w14:checkbox>
              </w:sdtPr>
              <w:sdtEndPr>
                <w:rPr>
                  <w:rFonts w:hint="eastAsia" w:ascii="宋体" w:hAnsi="宋体" w:eastAsia="宋体" w:cs="宋体"/>
                  <w:sz w:val="28"/>
                  <w:szCs w:val="28"/>
                </w:rPr>
              </w:sdtEndPr>
              <w:sdtContent>
                <w:r>
                  <w:rPr>
                    <w:rFonts w:hint="eastAsia" w:ascii="宋体" w:hAnsi="宋体" w:eastAsia="宋体" w:cs="宋体"/>
                    <w:sz w:val="28"/>
                    <w:szCs w:val="28"/>
                  </w:rPr>
                  <w:t>☑</w:t>
                </w:r>
              </w:sdtContent>
            </w:sdt>
            <w:r>
              <w:rPr>
                <w:rFonts w:hint="eastAsia" w:ascii="宋体" w:hAnsi="宋体" w:eastAsia="宋体" w:cs="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中标通知书</w:t>
            </w:r>
          </w:p>
        </w:tc>
        <w:tc>
          <w:tcPr>
            <w:tcW w:w="5459"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中标供应商可登录【全国公共资源交易平台（陕西省•</w:t>
            </w:r>
            <w:r>
              <w:rPr>
                <w:rFonts w:hint="eastAsia" w:ascii="宋体" w:hAnsi="宋体" w:eastAsia="宋体" w:cs="宋体"/>
                <w:sz w:val="28"/>
                <w:szCs w:val="28"/>
                <w:lang w:val="en-US" w:eastAsia="zh-CN"/>
              </w:rPr>
              <w:t>宝鸡</w:t>
            </w:r>
            <w:r>
              <w:rPr>
                <w:rFonts w:hint="eastAsia" w:ascii="宋体" w:hAnsi="宋体" w:eastAsia="宋体" w:cs="宋体"/>
                <w:sz w:val="28"/>
                <w:szCs w:val="28"/>
              </w:rPr>
              <w:t xml:space="preserve">市）】网站〖首页〉电子交易平台〉企业端〗后，在〖我的项目/项目流程〗模块中点击下载“中标（成交）通知书”。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代理服务费</w:t>
            </w:r>
          </w:p>
        </w:tc>
        <w:tc>
          <w:tcPr>
            <w:tcW w:w="5459" w:type="dxa"/>
            <w:shd w:val="clear" w:color="auto" w:fill="auto"/>
            <w:vAlign w:val="center"/>
          </w:tcPr>
          <w:p>
            <w:pPr>
              <w:jc w:val="both"/>
              <w:rPr>
                <w:rFonts w:ascii="宋体" w:hAnsi="宋体" w:eastAsia="宋体" w:cs="宋体"/>
                <w:sz w:val="28"/>
                <w:szCs w:val="28"/>
              </w:rPr>
            </w:pPr>
            <w:r>
              <w:rPr>
                <w:rFonts w:hint="eastAsia" w:ascii="宋体" w:hAnsi="宋体" w:eastAsia="宋体" w:cs="宋体"/>
                <w:sz w:val="28"/>
                <w:szCs w:val="28"/>
              </w:rPr>
              <w:t>1、参照国家计委颁发的《招标代理服务收费管理暂行办法》（计价格[2002]1980号）和国家发展改革委员会办公厅颁发的《关于招标代理服务收费有关问题的通知》（发改办价格[2003]857号）的标准收取。</w:t>
            </w:r>
          </w:p>
          <w:p>
            <w:pPr>
              <w:jc w:val="both"/>
              <w:rPr>
                <w:rFonts w:ascii="宋体" w:hAnsi="宋体" w:eastAsia="宋体" w:cs="宋体"/>
                <w:sz w:val="28"/>
                <w:szCs w:val="28"/>
              </w:rPr>
            </w:pPr>
            <w:r>
              <w:rPr>
                <w:rFonts w:hint="eastAsia" w:ascii="宋体" w:hAnsi="宋体" w:eastAsia="宋体" w:cs="宋体"/>
                <w:sz w:val="28"/>
                <w:szCs w:val="28"/>
              </w:rPr>
              <w:t>2、供应商将招标代理服务费计入投标报价但不单独列明，中标单位在领取中标通知书前，须向采购代理机构一次性支付招标代理服务费；代理服务费以转账、电汇或现金等形式交纳。</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1</w:t>
            </w:r>
          </w:p>
        </w:tc>
        <w:tc>
          <w:tcPr>
            <w:tcW w:w="2914" w:type="dxa"/>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所属行业</w:t>
            </w:r>
          </w:p>
        </w:tc>
        <w:tc>
          <w:tcPr>
            <w:tcW w:w="5459" w:type="dxa"/>
            <w:shd w:val="clear" w:color="auto" w:fill="auto"/>
            <w:vAlign w:val="center"/>
          </w:tcPr>
          <w:p>
            <w:pPr>
              <w:jc w:val="both"/>
              <w:rPr>
                <w:rFonts w:hint="default" w:ascii="宋体" w:hAnsi="宋体" w:eastAsia="宋体" w:cs="宋体"/>
                <w:sz w:val="28"/>
                <w:szCs w:val="28"/>
                <w:lang w:val="en-US" w:eastAsia="zh-CN"/>
              </w:rPr>
            </w:pPr>
            <w:r>
              <w:rPr>
                <w:rFonts w:hint="eastAsia" w:ascii="宋体" w:hAnsi="宋体" w:eastAsia="宋体" w:cs="宋体"/>
                <w:sz w:val="28"/>
                <w:szCs w:val="28"/>
                <w:lang w:eastAsia="zh-CN"/>
              </w:rPr>
              <w:t>所属行业</w:t>
            </w:r>
            <w:r>
              <w:rPr>
                <w:rFonts w:hint="eastAsia" w:ascii="宋体" w:hAnsi="宋体" w:eastAsia="宋体" w:cs="宋体"/>
                <w:sz w:val="28"/>
                <w:szCs w:val="28"/>
                <w:highlight w:val="none"/>
                <w:lang w:eastAsia="zh-CN"/>
              </w:rPr>
              <w:t>为租赁和商务服务业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978" w:type="dxa"/>
            <w:shd w:val="clear" w:color="auto" w:fill="auto"/>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22</w:t>
            </w:r>
          </w:p>
        </w:tc>
        <w:tc>
          <w:tcPr>
            <w:tcW w:w="2914" w:type="dxa"/>
            <w:shd w:val="clear" w:color="auto" w:fill="auto"/>
            <w:vAlign w:val="center"/>
          </w:tcPr>
          <w:p>
            <w:pPr>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项目属性</w:t>
            </w:r>
          </w:p>
        </w:tc>
        <w:tc>
          <w:tcPr>
            <w:tcW w:w="5459" w:type="dxa"/>
            <w:shd w:val="clear" w:color="auto" w:fill="auto"/>
            <w:vAlign w:val="center"/>
          </w:tcPr>
          <w:p>
            <w:p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12" w:hRule="atLeast"/>
          <w:jc w:val="center"/>
        </w:trPr>
        <w:tc>
          <w:tcPr>
            <w:tcW w:w="978" w:type="dxa"/>
            <w:shd w:val="clear" w:color="auto" w:fill="auto"/>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3</w:t>
            </w:r>
          </w:p>
        </w:tc>
        <w:tc>
          <w:tcPr>
            <w:tcW w:w="2914" w:type="dxa"/>
            <w:shd w:val="clear" w:color="auto" w:fill="auto"/>
            <w:vAlign w:val="center"/>
          </w:tcPr>
          <w:p>
            <w:pPr>
              <w:jc w:val="center"/>
              <w:rPr>
                <w:rFonts w:ascii="宋体" w:hAnsi="宋体" w:eastAsia="宋体" w:cs="宋体"/>
                <w:sz w:val="28"/>
                <w:szCs w:val="28"/>
                <w:highlight w:val="none"/>
              </w:rPr>
            </w:pPr>
            <w:r>
              <w:rPr>
                <w:rFonts w:hint="eastAsia" w:ascii="宋体" w:hAnsi="宋体" w:eastAsia="宋体" w:cs="宋体"/>
                <w:sz w:val="28"/>
                <w:szCs w:val="28"/>
                <w:highlight w:val="none"/>
              </w:rPr>
              <w:t>商务条款</w:t>
            </w:r>
          </w:p>
        </w:tc>
        <w:tc>
          <w:tcPr>
            <w:tcW w:w="5459" w:type="dxa"/>
            <w:shd w:val="clear" w:color="auto" w:fill="auto"/>
            <w:vAlign w:val="center"/>
          </w:tcPr>
          <w:p>
            <w:pPr>
              <w:pStyle w:val="2"/>
              <w:numPr>
                <w:ilvl w:val="0"/>
                <w:numId w:val="0"/>
              </w:numP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1、服务期：合同签订后至赛事结束后15天</w:t>
            </w:r>
          </w:p>
          <w:p>
            <w:pPr>
              <w:pStyle w:val="2"/>
              <w:numPr>
                <w:ilvl w:val="0"/>
                <w:numId w:val="0"/>
              </w:numPr>
              <w:ind w:leftChars="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2、服务地点：麟游县教育体育局指定地点</w:t>
            </w:r>
          </w:p>
          <w:p>
            <w:pPr>
              <w:pStyle w:val="2"/>
              <w:numPr>
                <w:ilvl w:val="0"/>
                <w:numId w:val="0"/>
              </w:numPr>
              <w:ind w:leftChars="0"/>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3、付款方式：</w:t>
            </w:r>
          </w:p>
          <w:p>
            <w:pPr>
              <w:autoSpaceDE w:val="0"/>
              <w:autoSpaceDN w:val="0"/>
              <w:adjustRightInd w:val="0"/>
              <w:snapToGrid w:val="0"/>
              <w:spacing w:line="36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（1）合同签订后15日内支付合同总价款的20%作为预付款；自行车公开赛结束，半程马拉松赛人员、设备完全进场后支付合同总价的40%。</w:t>
            </w:r>
          </w:p>
          <w:p>
            <w:pPr>
              <w:rPr>
                <w:rFonts w:hint="eastAsia"/>
                <w:lang w:val="en-US" w:eastAsia="zh-CN"/>
              </w:rPr>
            </w:pPr>
            <w:r>
              <w:rPr>
                <w:rFonts w:hint="eastAsia" w:ascii="宋体" w:hAnsi="宋体" w:eastAsia="宋体" w:cs="宋体"/>
                <w:sz w:val="28"/>
                <w:szCs w:val="28"/>
                <w:lang w:val="en-US" w:eastAsia="zh-CN" w:bidi="ar-SA"/>
              </w:rPr>
              <w:t>（2）赛事结束后10日内，在采购方确认中标供应商如约履行各项义务、完成各项善后工作，无任何对本次比赛可能造成不良影响的遗留问题后，提交审计部门进行专项审计，按照审计结果一次性付清剩余全款。</w:t>
            </w:r>
          </w:p>
          <w:p>
            <w:pPr>
              <w:pStyle w:val="2"/>
              <w:numPr>
                <w:ilvl w:val="0"/>
                <w:numId w:val="0"/>
              </w:numPr>
              <w:ind w:leftChars="0"/>
            </w:pPr>
            <w:r>
              <w:rPr>
                <w:rFonts w:hint="eastAsia" w:ascii="宋体" w:hAnsi="宋体" w:eastAsia="宋体" w:cs="宋体"/>
                <w:b/>
                <w:bCs/>
                <w:sz w:val="28"/>
                <w:szCs w:val="28"/>
                <w:lang w:eastAsia="zh-CN"/>
              </w:rPr>
              <w:t>注：商务条款为实质性条款，不允许负偏离</w:t>
            </w:r>
          </w:p>
        </w:tc>
      </w:tr>
    </w:tbl>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br w:type="page"/>
      </w:r>
    </w:p>
    <w:p>
      <w:pPr>
        <w:pStyle w:val="5"/>
        <w:rPr>
          <w:rFonts w:ascii="宋体" w:hAnsi="宋体" w:eastAsia="宋体" w:cs="宋体"/>
          <w:b/>
          <w:bCs/>
          <w:sz w:val="28"/>
          <w:szCs w:val="28"/>
        </w:rPr>
      </w:pPr>
      <w:bookmarkStart w:id="13" w:name="_Toc28366"/>
      <w:r>
        <w:rPr>
          <w:rFonts w:hint="eastAsia" w:ascii="宋体" w:hAnsi="宋体" w:eastAsia="宋体" w:cs="宋体"/>
          <w:b/>
          <w:bCs/>
          <w:sz w:val="28"/>
          <w:szCs w:val="28"/>
        </w:rPr>
        <w:t>一、有关定义</w:t>
      </w:r>
      <w:bookmarkEnd w:id="13"/>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1．采购人：依法进行政府采购的</w:t>
      </w:r>
      <w:r>
        <w:rPr>
          <w:rFonts w:hint="eastAsia" w:ascii="宋体" w:hAnsi="宋体" w:eastAsia="宋体" w:cs="宋体"/>
          <w:sz w:val="28"/>
          <w:szCs w:val="28"/>
          <w:lang w:val="en-US" w:eastAsia="zh-CN"/>
        </w:rPr>
        <w:t>宝鸡市</w:t>
      </w:r>
      <w:r>
        <w:rPr>
          <w:rFonts w:hint="eastAsia" w:ascii="宋体" w:hAnsi="宋体" w:eastAsia="宋体" w:cs="宋体"/>
          <w:sz w:val="28"/>
          <w:szCs w:val="28"/>
        </w:rPr>
        <w:t>市级机关、事业单位或团体组织。</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2．供应商：指向采购人提供货物、工程或者服务的法人、其他组织或者自然人。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3．同级政府采购监管部门：</w:t>
      </w:r>
      <w:r>
        <w:rPr>
          <w:rFonts w:hint="eastAsia" w:ascii="宋体" w:hAnsi="宋体" w:eastAsia="宋体" w:cs="宋体"/>
          <w:sz w:val="28"/>
          <w:szCs w:val="28"/>
          <w:lang w:val="en-US" w:eastAsia="zh-CN"/>
        </w:rPr>
        <w:t>麟游县</w:t>
      </w:r>
      <w:r>
        <w:rPr>
          <w:rFonts w:hint="eastAsia" w:ascii="宋体" w:hAnsi="宋体" w:eastAsia="宋体" w:cs="宋体"/>
          <w:sz w:val="28"/>
          <w:szCs w:val="28"/>
        </w:rPr>
        <w:t>财政局政府采购管理处。</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宝鸡市</w:t>
      </w:r>
      <w:r>
        <w:rPr>
          <w:rFonts w:hint="eastAsia" w:ascii="宋体" w:hAnsi="宋体" w:eastAsia="宋体" w:cs="宋体"/>
          <w:sz w:val="28"/>
          <w:szCs w:val="28"/>
        </w:rPr>
        <w:t>公共资源交易平台：即【全国公共资源交易平台（陕西省·</w:t>
      </w:r>
      <w:r>
        <w:rPr>
          <w:rFonts w:hint="eastAsia" w:ascii="宋体" w:hAnsi="宋体" w:eastAsia="宋体" w:cs="宋体"/>
          <w:sz w:val="28"/>
          <w:szCs w:val="28"/>
          <w:lang w:val="en-US" w:eastAsia="zh-CN"/>
        </w:rPr>
        <w:t>宝鸡</w:t>
      </w:r>
      <w:r>
        <w:rPr>
          <w:rFonts w:hint="eastAsia" w:ascii="宋体" w:hAnsi="宋体" w:eastAsia="宋体" w:cs="宋体"/>
          <w:sz w:val="28"/>
          <w:szCs w:val="28"/>
        </w:rPr>
        <w:t>市）】的简称，官网地址</w:t>
      </w:r>
      <w:r>
        <w:rPr>
          <w:rFonts w:hint="eastAsia" w:ascii="宋体" w:hAnsi="宋体" w:eastAsia="宋体" w:cs="宋体"/>
          <w:sz w:val="28"/>
          <w:szCs w:val="28"/>
          <w:lang w:eastAsia="zh-CN"/>
        </w:rPr>
        <w:t>http://ggzy.baoji.gov.cn/</w:t>
      </w:r>
      <w:r>
        <w:rPr>
          <w:rFonts w:hint="eastAsia" w:ascii="宋体" w:hAnsi="宋体" w:eastAsia="宋体" w:cs="宋体"/>
          <w:sz w:val="28"/>
          <w:szCs w:val="28"/>
        </w:rPr>
        <w:t>。</w:t>
      </w:r>
    </w:p>
    <w:p>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5．企业端：指</w:t>
      </w:r>
      <w:r>
        <w:rPr>
          <w:rFonts w:hint="eastAsia" w:ascii="宋体" w:hAnsi="宋体" w:eastAsia="宋体" w:cs="宋体"/>
          <w:sz w:val="28"/>
          <w:szCs w:val="28"/>
          <w:highlight w:val="none"/>
          <w:lang w:val="en-US" w:eastAsia="zh-CN"/>
        </w:rPr>
        <w:t>宝鸡</w:t>
      </w:r>
      <w:r>
        <w:rPr>
          <w:rFonts w:hint="eastAsia" w:ascii="宋体" w:hAnsi="宋体" w:eastAsia="宋体" w:cs="宋体"/>
          <w:sz w:val="28"/>
          <w:szCs w:val="28"/>
          <w:highlight w:val="none"/>
        </w:rPr>
        <w:t>市公共资源交易平台〖首页·〉电子交易平台·〉陕西政府采购交易系统·〉企业端〗，快捷登录网址</w:t>
      </w:r>
      <w:r>
        <w:rPr>
          <w:highlight w:val="none"/>
        </w:rPr>
        <w:fldChar w:fldCharType="begin"/>
      </w:r>
      <w:r>
        <w:rPr>
          <w:highlight w:val="none"/>
        </w:rPr>
        <w:instrText xml:space="preserve"> HYPERLINK "http://www.sxggzyjy.cn:9002/TPBidder/memberLogin" </w:instrText>
      </w:r>
      <w:r>
        <w:rPr>
          <w:highlight w:val="none"/>
        </w:rPr>
        <w:fldChar w:fldCharType="separate"/>
      </w:r>
      <w:r>
        <w:rPr>
          <w:rStyle w:val="46"/>
          <w:rFonts w:hint="eastAsia" w:ascii="宋体" w:hAnsi="宋体" w:eastAsia="宋体" w:cs="宋体"/>
          <w:color w:val="auto"/>
          <w:sz w:val="28"/>
          <w:szCs w:val="28"/>
          <w:highlight w:val="none"/>
          <w:u w:val="none"/>
        </w:rPr>
        <w:t>http://www.sxggzyjy.cn:9002/TPBidder/memberLogin</w:t>
      </w:r>
      <w:r>
        <w:rPr>
          <w:rStyle w:val="46"/>
          <w:rFonts w:hint="eastAsia" w:ascii="宋体" w:hAnsi="宋体" w:eastAsia="宋体" w:cs="宋体"/>
          <w:color w:val="auto"/>
          <w:sz w:val="28"/>
          <w:szCs w:val="28"/>
          <w:highlight w:val="none"/>
          <w:u w:val="none"/>
        </w:rPr>
        <w:fldChar w:fldCharType="end"/>
      </w:r>
      <w:r>
        <w:rPr>
          <w:rFonts w:hint="eastAsia" w:ascii="宋体" w:hAnsi="宋体" w:eastAsia="宋体" w:cs="宋体"/>
          <w:sz w:val="28"/>
          <w:szCs w:val="28"/>
          <w:highlight w:val="none"/>
        </w:rPr>
        <w:t>。</w:t>
      </w:r>
    </w:p>
    <w:p>
      <w:pPr>
        <w:pStyle w:val="5"/>
        <w:rPr>
          <w:rFonts w:ascii="宋体" w:hAnsi="宋体" w:eastAsia="宋体" w:cs="宋体"/>
          <w:b/>
          <w:bCs/>
          <w:sz w:val="28"/>
          <w:szCs w:val="28"/>
        </w:rPr>
      </w:pPr>
      <w:bookmarkStart w:id="14" w:name="_Toc13920"/>
      <w:r>
        <w:rPr>
          <w:rFonts w:hint="eastAsia" w:ascii="宋体" w:hAnsi="宋体" w:eastAsia="宋体" w:cs="宋体"/>
          <w:b/>
          <w:bCs/>
          <w:sz w:val="28"/>
          <w:szCs w:val="28"/>
        </w:rPr>
        <w:t>二、供应商注意事项</w:t>
      </w:r>
      <w:bookmarkEnd w:id="14"/>
    </w:p>
    <w:p>
      <w:pPr>
        <w:pStyle w:val="102"/>
        <w:ind w:firstLine="579"/>
        <w:rPr>
          <w:b/>
          <w:bCs/>
          <w:sz w:val="28"/>
          <w:szCs w:val="28"/>
        </w:rPr>
      </w:pPr>
      <w:bookmarkStart w:id="15" w:name="_Toc21146"/>
      <w:r>
        <w:rPr>
          <w:rFonts w:hint="eastAsia"/>
          <w:b/>
          <w:bCs/>
          <w:sz w:val="28"/>
          <w:szCs w:val="28"/>
        </w:rPr>
        <w:t>（一）供应商投标流程</w:t>
      </w:r>
      <w:bookmarkEnd w:id="1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1．预览采购文件：打开</w:t>
      </w:r>
      <w:r>
        <w:rPr>
          <w:rFonts w:hint="eastAsia" w:ascii="宋体" w:hAnsi="宋体" w:eastAsia="宋体" w:cs="宋体"/>
          <w:sz w:val="28"/>
          <w:szCs w:val="28"/>
          <w:lang w:val="en-US" w:eastAsia="zh-CN"/>
        </w:rPr>
        <w:t>宝鸡市</w:t>
      </w:r>
      <w:r>
        <w:rPr>
          <w:rFonts w:hint="eastAsia" w:ascii="宋体" w:hAnsi="宋体" w:eastAsia="宋体" w:cs="宋体"/>
          <w:sz w:val="28"/>
          <w:szCs w:val="28"/>
        </w:rPr>
        <w:t>公共资源交易平台〖首页·〉交易大厅·〉政府采购〗栏目，下载和阅读本项目采购文件的预览版本（WORD\PDF格式）；</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2．办理注册登记（针对初次使用电子交易系统的用户）：</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（1）办理诚信入库注册：在决定参加本项目采购活动后，供应商应先在</w:t>
      </w:r>
      <w:r>
        <w:rPr>
          <w:rFonts w:hint="eastAsia" w:ascii="宋体" w:hAnsi="宋体" w:eastAsia="宋体" w:cs="宋体"/>
          <w:sz w:val="28"/>
          <w:szCs w:val="28"/>
          <w:lang w:val="en-US" w:eastAsia="zh-CN"/>
        </w:rPr>
        <w:t>宝鸡市</w:t>
      </w:r>
      <w:r>
        <w:rPr>
          <w:rFonts w:hint="eastAsia" w:ascii="宋体" w:hAnsi="宋体" w:eastAsia="宋体" w:cs="宋体"/>
          <w:sz w:val="28"/>
          <w:szCs w:val="28"/>
        </w:rPr>
        <w:t>公共资源交易平台上完成“诚信入库登记”；</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办理数字认证（CA锁）：一般分为法人锁（必选）、企业锁主锁（必选）及副锁（可选）。CA锁将用于对电子投标文件进行签章、加密、递交及开标时解密等相关操作。CA办理及售后服务统一由第三方机构（陕西CA、深圳CA、西部CA、北京CA四家数字证书公司）负责。</w:t>
      </w:r>
    </w:p>
    <w:p>
      <w:pPr>
        <w:widowControl w:val="0"/>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办理须知：</w:t>
      </w:r>
    </w:p>
    <w:p>
      <w:pPr>
        <w:widowControl w:val="0"/>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http://</w:t>
      </w:r>
      <w:r>
        <w:fldChar w:fldCharType="begin"/>
      </w:r>
      <w:r>
        <w:instrText xml:space="preserve"> HYPERLINK "http://www.snca.com.cn/channel/show/27.html" </w:instrText>
      </w:r>
      <w:r>
        <w:fldChar w:fldCharType="separate"/>
      </w:r>
      <w:r>
        <w:rPr>
          <w:rStyle w:val="46"/>
          <w:rFonts w:hint="eastAsia" w:ascii="宋体" w:hAnsi="宋体" w:eastAsia="宋体" w:cs="宋体"/>
          <w:color w:val="auto"/>
          <w:sz w:val="28"/>
          <w:szCs w:val="28"/>
          <w:u w:val="none"/>
        </w:rPr>
        <w:t>www.snca.com.cn/channel/show/27.html</w:t>
      </w:r>
      <w:r>
        <w:rPr>
          <w:rStyle w:val="46"/>
          <w:rFonts w:hint="eastAsia" w:ascii="宋体" w:hAnsi="宋体" w:eastAsia="宋体" w:cs="宋体"/>
          <w:color w:val="auto"/>
          <w:sz w:val="28"/>
          <w:szCs w:val="28"/>
          <w:u w:val="none"/>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（3）绑定和激活CA：将数字证书与诚信库中的供应商账户进行绑定。</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3．下载电子招标文件：供应商应登录</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ascii="宋体" w:hAnsi="宋体" w:eastAsia="宋体" w:cs="宋体"/>
          <w:sz w:val="32"/>
          <w:szCs w:val="32"/>
        </w:rPr>
      </w:pPr>
      <w:r>
        <w:rPr>
          <w:rFonts w:hint="eastAsia" w:ascii="宋体" w:hAnsi="宋体" w:eastAsia="宋体" w:cs="宋体"/>
          <w:sz w:val="28"/>
          <w:szCs w:val="28"/>
        </w:rPr>
        <w:t>4．制作电子投标文件：需要使用专用制作软件“新点投标文件制作软件（陕西公共资源）”进行编制，编制完成后使用CA锁对电子投标文件进行签章、加密。详见本章中的“投标文件”相关内容。</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5．提交电子投标文件：在提交投标文件截止时间前及时提交加密后电子投标文件，逾期提交的，系统将会拒收；</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8．中标供应商注册：按照陕西省政府采购监管部门的要求，采购代理机构在发布中标公告前，应由中标供应商在陕西省政府采购网上完成注册。</w:t>
      </w:r>
    </w:p>
    <w:p>
      <w:pPr>
        <w:pStyle w:val="102"/>
        <w:ind w:firstLine="579"/>
        <w:rPr>
          <w:b/>
          <w:bCs/>
          <w:sz w:val="28"/>
          <w:szCs w:val="28"/>
        </w:rPr>
      </w:pPr>
      <w:bookmarkStart w:id="16" w:name="_Toc18855"/>
      <w:r>
        <w:rPr>
          <w:rFonts w:hint="eastAsia"/>
          <w:b/>
          <w:bCs/>
          <w:sz w:val="28"/>
          <w:szCs w:val="28"/>
        </w:rPr>
        <w:t>（二）关于询问、质疑和投诉</w:t>
      </w:r>
      <w:bookmarkEnd w:id="16"/>
    </w:p>
    <w:p>
      <w:pPr>
        <w:pStyle w:val="102"/>
        <w:ind w:firstLine="577"/>
        <w:rPr>
          <w:rFonts w:ascii="宋体" w:hAnsi="宋体" w:cs="宋体"/>
          <w:sz w:val="28"/>
          <w:szCs w:val="28"/>
        </w:rPr>
      </w:pPr>
      <w:bookmarkStart w:id="17" w:name="_Toc25855"/>
      <w:r>
        <w:rPr>
          <w:rFonts w:hint="eastAsia" w:ascii="宋体" w:hAnsi="宋体" w:cs="宋体"/>
          <w:sz w:val="28"/>
          <w:szCs w:val="28"/>
        </w:rPr>
        <w:t>1．询问</w:t>
      </w:r>
      <w:bookmarkEnd w:id="17"/>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pStyle w:val="102"/>
        <w:ind w:firstLine="577"/>
        <w:rPr>
          <w:sz w:val="28"/>
          <w:szCs w:val="28"/>
        </w:rPr>
      </w:pPr>
      <w:bookmarkStart w:id="18" w:name="_Toc7787"/>
      <w:r>
        <w:rPr>
          <w:rFonts w:hint="eastAsia"/>
          <w:sz w:val="28"/>
          <w:szCs w:val="28"/>
        </w:rPr>
        <w:t>2．质疑</w:t>
      </w:r>
      <w:bookmarkEnd w:id="18"/>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（2）质疑方式：</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① 在线质疑：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登录</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市公共资源交易平台〖首页·〉电子交易平台·〉企业端〗，在〖我的项目〗中点击“项目流程·〉提出质疑”，填写表单并提交质疑。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② 书面质疑：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书面质疑函应按照财政部国库司制定的《政府采购供应商质疑函范本》（见下方链接）进行填写，签字、盖章后提交至采购人、采购代理机构。</w:t>
      </w:r>
    </w:p>
    <w:p>
      <w:pPr>
        <w:spacing w:line="560" w:lineRule="exact"/>
        <w:ind w:firstLine="560" w:firstLineChars="200"/>
        <w:rPr>
          <w:rFonts w:ascii="宋体" w:hAnsi="宋体" w:eastAsia="宋体" w:cs="宋体"/>
          <w:sz w:val="28"/>
          <w:szCs w:val="28"/>
        </w:rPr>
      </w:pPr>
      <w:r>
        <w:rPr>
          <w:rFonts w:hint="eastAsia" w:ascii="宋体" w:hAnsi="宋体" w:eastAsia="宋体" w:cs="宋体"/>
          <w:sz w:val="28"/>
          <w:szCs w:val="28"/>
        </w:rPr>
        <w:t>质疑函范本地址：</w:t>
      </w:r>
      <w:r>
        <w:fldChar w:fldCharType="begin"/>
      </w:r>
      <w:r>
        <w:instrText xml:space="preserve"> HYPERLINK "http://download.ccgp.gov.cn/2018/zhiyihanfanben.zip" </w:instrText>
      </w:r>
      <w:r>
        <w:fldChar w:fldCharType="separate"/>
      </w:r>
      <w:r>
        <w:rPr>
          <w:rStyle w:val="46"/>
          <w:rFonts w:hint="eastAsia" w:ascii="宋体" w:hAnsi="宋体" w:eastAsia="宋体" w:cs="宋体"/>
          <w:color w:val="auto"/>
          <w:sz w:val="28"/>
          <w:szCs w:val="28"/>
          <w:u w:val="none"/>
        </w:rPr>
        <w:t>http://download.ccgp.gov.cn/2018/zhiyihanfanben.zip</w:t>
      </w:r>
      <w:r>
        <w:rPr>
          <w:rStyle w:val="46"/>
          <w:rFonts w:hint="eastAsia" w:ascii="宋体" w:hAnsi="宋体" w:eastAsia="宋体" w:cs="宋体"/>
          <w:color w:val="auto"/>
          <w:sz w:val="28"/>
          <w:szCs w:val="28"/>
          <w:u w:val="none"/>
        </w:rPr>
        <w:fldChar w:fldCharType="end"/>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（5）有下列情形之一的，属于无效质疑：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② 超过法定期限或未以书面形式提出的；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③ 缺乏必要的证明材料，或捏造事实、提供虚假材料，或以非法手段取得证明材料的；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④ 质疑函没有合法有效的签字、盖章或委托授权书的（代理人提出质疑和投诉，应当提交供应商签署的授权委托书）；</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⑤ 针对同一采购程序环节又提出其他质疑事项的，或质疑答复后就同一事项再次提出质疑的；</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⑥ 不符合法律、法规、规章和政府采购监管机构规定的其他条件的。</w:t>
      </w:r>
    </w:p>
    <w:p>
      <w:pPr>
        <w:pStyle w:val="102"/>
        <w:ind w:firstLine="577"/>
        <w:rPr>
          <w:rFonts w:ascii="宋体" w:hAnsi="宋体" w:cs="宋体"/>
          <w:sz w:val="28"/>
          <w:szCs w:val="28"/>
        </w:rPr>
      </w:pPr>
      <w:bookmarkStart w:id="19" w:name="_Toc26875"/>
      <w:r>
        <w:rPr>
          <w:rFonts w:hint="eastAsia" w:ascii="宋体" w:hAnsi="宋体" w:cs="宋体"/>
          <w:sz w:val="28"/>
          <w:szCs w:val="28"/>
        </w:rPr>
        <w:t>3．投诉</w:t>
      </w:r>
      <w:bookmarkEnd w:id="19"/>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投诉书范本地址：</w:t>
      </w:r>
    </w:p>
    <w:p>
      <w:pPr>
        <w:spacing w:line="560" w:lineRule="exact"/>
        <w:ind w:firstLine="480" w:firstLineChars="200"/>
        <w:jc w:val="both"/>
        <w:rPr>
          <w:rFonts w:ascii="宋体" w:hAnsi="宋体" w:eastAsia="宋体" w:cs="宋体"/>
          <w:sz w:val="28"/>
          <w:szCs w:val="28"/>
        </w:rPr>
      </w:pPr>
      <w:r>
        <w:fldChar w:fldCharType="begin"/>
      </w:r>
      <w:r>
        <w:instrText xml:space="preserve"> HYPERLINK "http://download.ccgp.gov.cn/2018/tousushufanben.zip" </w:instrText>
      </w:r>
      <w:r>
        <w:fldChar w:fldCharType="separate"/>
      </w:r>
      <w:r>
        <w:rPr>
          <w:rStyle w:val="46"/>
          <w:rFonts w:hint="eastAsia" w:ascii="宋体" w:hAnsi="宋体" w:eastAsia="宋体" w:cs="宋体"/>
          <w:sz w:val="28"/>
          <w:szCs w:val="28"/>
        </w:rPr>
        <w:t>http://download.ccgp.gov.cn/2018/tousushufanben.zip</w:t>
      </w:r>
      <w:r>
        <w:rPr>
          <w:rStyle w:val="46"/>
          <w:rFonts w:hint="eastAsia" w:ascii="宋体" w:hAnsi="宋体" w:eastAsia="宋体" w:cs="宋体"/>
          <w:sz w:val="28"/>
          <w:szCs w:val="28"/>
        </w:rPr>
        <w:fldChar w:fldCharType="end"/>
      </w:r>
    </w:p>
    <w:p>
      <w:pPr>
        <w:pStyle w:val="102"/>
        <w:ind w:firstLine="577"/>
        <w:rPr>
          <w:rFonts w:ascii="宋体" w:hAnsi="宋体" w:cs="宋体"/>
          <w:sz w:val="28"/>
          <w:szCs w:val="28"/>
        </w:rPr>
      </w:pPr>
      <w:bookmarkStart w:id="20" w:name="_Toc6468"/>
      <w:r>
        <w:rPr>
          <w:rFonts w:hint="eastAsia" w:ascii="宋体" w:hAnsi="宋体" w:cs="宋体"/>
          <w:sz w:val="28"/>
          <w:szCs w:val="28"/>
        </w:rPr>
        <w:t>4．恶意质疑、投诉的法律后果</w:t>
      </w:r>
      <w:bookmarkEnd w:id="20"/>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（1）对捏造事实、提供虚假材料进行质疑、投诉的行为予以严肃处理：</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（2）对捏造事实诬告陷害他人、诽谤他人的法律适用：</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《中华人民共和国刑法》第246条【侮辱罪、诽谤罪】以暴力或者其他方法公然侮辱他人或者捏造事实诽谤他人，情节严重的，处三年以下有期徒刑、拘役、管制或者剥夺政治权利。</w:t>
      </w:r>
    </w:p>
    <w:p>
      <w:pPr>
        <w:pStyle w:val="102"/>
        <w:ind w:firstLine="579"/>
        <w:rPr>
          <w:rFonts w:hint="eastAsia" w:ascii="宋体" w:hAnsi="宋体" w:eastAsia="宋体" w:cs="宋体"/>
          <w:color w:val="auto"/>
          <w:kern w:val="0"/>
          <w:sz w:val="28"/>
          <w:szCs w:val="28"/>
          <w:lang w:val="en-US" w:eastAsia="zh-CN" w:bidi="ar-SA"/>
        </w:rPr>
      </w:pPr>
      <w:bookmarkStart w:id="21" w:name="_Toc15150"/>
      <w:r>
        <w:rPr>
          <w:rFonts w:hint="eastAsia" w:ascii="宋体" w:hAnsi="宋体" w:eastAsia="宋体" w:cs="宋体"/>
          <w:color w:val="auto"/>
          <w:kern w:val="0"/>
          <w:sz w:val="28"/>
          <w:szCs w:val="28"/>
          <w:lang w:val="en-US" w:eastAsia="zh-CN" w:bidi="ar-SA"/>
        </w:rPr>
        <w:t>（三）关于保证金</w:t>
      </w:r>
      <w:bookmarkEnd w:id="21"/>
    </w:p>
    <w:p>
      <w:pPr>
        <w:spacing w:before="105" w:line="414" w:lineRule="exact"/>
        <w:ind w:left="582"/>
        <w:outlineLvl w:val="9"/>
        <w:rPr>
          <w:rFonts w:hint="eastAsia" w:ascii="宋体" w:hAnsi="宋体" w:eastAsia="宋体" w:cs="宋体"/>
          <w:color w:val="auto"/>
          <w:kern w:val="0"/>
          <w:sz w:val="28"/>
          <w:szCs w:val="28"/>
          <w:lang w:val="en-US" w:eastAsia="zh-CN" w:bidi="ar-SA"/>
        </w:rPr>
      </w:pPr>
      <w:bookmarkStart w:id="22" w:name="_Toc9929"/>
      <w:r>
        <w:rPr>
          <w:rFonts w:hint="eastAsia" w:ascii="宋体" w:hAnsi="宋体" w:eastAsia="宋体" w:cs="宋体"/>
          <w:color w:val="auto"/>
          <w:kern w:val="0"/>
          <w:sz w:val="28"/>
          <w:szCs w:val="28"/>
          <w:lang w:val="en-US" w:eastAsia="zh-CN" w:bidi="ar-SA"/>
        </w:rPr>
        <w:t>1、投标保证金的交纳</w:t>
      </w:r>
    </w:p>
    <w:p>
      <w:pPr>
        <w:spacing w:before="140" w:line="321" w:lineRule="auto"/>
        <w:ind w:left="5" w:right="230" w:firstLine="564"/>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（1）供应商应在投标文件提交截止时间前向宝鸡市公共资源交易中心一 次性足额交纳投标保证金。保证金应当采用转账、网上银行支付或者银行出具的保函等非现金形式交纳。保证金以转账、网上银行支付等方式交纳的，应从其基本账户一次性足额交纳，</w:t>
      </w:r>
    </w:p>
    <w:p>
      <w:pPr>
        <w:spacing w:line="414" w:lineRule="exact"/>
        <w:ind w:left="21"/>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到账时间以宝鸡市公共资源交易中心开户银行确认的收款时间为准；</w:t>
      </w:r>
    </w:p>
    <w:p>
      <w:pPr>
        <w:spacing w:before="85" w:line="414" w:lineRule="exact"/>
        <w:ind w:left="571"/>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开户银行：宝鸡市公共资源交易中心保证金专户</w:t>
      </w:r>
    </w:p>
    <w:p>
      <w:pPr>
        <w:outlineLvl w:val="9"/>
        <w:rPr>
          <w:rFonts w:hint="eastAsia" w:ascii="宋体" w:hAnsi="宋体" w:eastAsia="宋体" w:cs="宋体"/>
          <w:color w:val="auto"/>
          <w:kern w:val="0"/>
          <w:sz w:val="28"/>
          <w:szCs w:val="28"/>
          <w:lang w:val="en-US" w:eastAsia="zh-CN" w:bidi="ar-SA"/>
        </w:rPr>
        <w:sectPr>
          <w:footerReference r:id="rId7" w:type="default"/>
          <w:pgSz w:w="11906" w:h="16839"/>
          <w:pgMar w:top="1431" w:right="1184" w:bottom="1156" w:left="1428" w:header="0" w:footer="996" w:gutter="0"/>
          <w:pgNumType w:fmt="decimal"/>
          <w:cols w:space="720" w:num="1"/>
        </w:sectPr>
      </w:pPr>
    </w:p>
    <w:p>
      <w:pPr>
        <w:spacing w:before="131" w:line="414" w:lineRule="exact"/>
        <w:ind w:left="559"/>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账户名称：长安银行股份有限公司宝鸡分行营业部</w:t>
      </w:r>
    </w:p>
    <w:p>
      <w:pPr>
        <w:spacing w:before="87" w:line="499" w:lineRule="exact"/>
        <w:ind w:left="559"/>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账    号：80602000142101980605330</w:t>
      </w:r>
    </w:p>
    <w:p>
      <w:pPr>
        <w:spacing w:line="419" w:lineRule="exact"/>
        <w:ind w:left="562"/>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备注：</w:t>
      </w:r>
    </w:p>
    <w:p>
      <w:pPr>
        <w:spacing w:before="135" w:line="329" w:lineRule="auto"/>
        <w:ind w:left="11" w:right="101" w:firstLine="554"/>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1）在汇款时务必注明所响应项目的项目编号，否则，因款项用途不明导致投标无效等后果由投标人自行承担；</w:t>
      </w:r>
    </w:p>
    <w:p>
      <w:pPr>
        <w:spacing w:line="331" w:lineRule="auto"/>
        <w:ind w:right="103" w:firstLine="550"/>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2）请各投标供应商在投标文件递交截止时间前，按文件的要求递交投 标保证金；</w:t>
      </w:r>
    </w:p>
    <w:p>
      <w:pPr>
        <w:spacing w:before="1" w:line="228" w:lineRule="auto"/>
        <w:ind w:left="557"/>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3）投标保证金有效期同投标有效期。</w:t>
      </w:r>
    </w:p>
    <w:p>
      <w:pPr>
        <w:spacing w:before="96" w:line="339" w:lineRule="auto"/>
        <w:ind w:right="101" w:firstLine="572"/>
        <w:outlineLvl w:val="9"/>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重要提示：根据法律法规，投标保证金属于投标的一部分，必须在投标截止时间前缴纳方能证明投标有效。请投标供应商考虑资金在银行之间的转账要求和时间成本，确保在投标截止时间之前能将投标保证金递交至以上账户，如果在投标截止时间以前以上账户未能收到投标保证金，则该投标为无效。</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提交投标保证金后，各供应商须将其交纳保证金凭证复印件 (加盖供应商公章) 附在投标文件中，否则视为无效投标。</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供应商未提供相关证明或经查实其交纳账户为非基本存款账户的，陕西</w:t>
      </w:r>
      <w:r>
        <w:rPr>
          <w:rFonts w:hint="eastAsia" w:ascii="宋体" w:hAnsi="宋体" w:eastAsia="宋体" w:cs="宋体"/>
          <w:sz w:val="28"/>
          <w:szCs w:val="28"/>
          <w:lang w:val="en-US" w:eastAsia="zh-CN"/>
        </w:rPr>
        <w:t>卓佲</w:t>
      </w:r>
      <w:r>
        <w:rPr>
          <w:rFonts w:hint="eastAsia" w:ascii="宋体" w:hAnsi="宋体" w:eastAsia="宋体" w:cs="宋体"/>
          <w:sz w:val="28"/>
          <w:szCs w:val="28"/>
        </w:rPr>
        <w:t>项目管理有限公司按该供应商未交纳保证金处理。项目废标后重新组织招标的，保证金会退回原项目投标供应商账户，供应商需按照新的</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rPr>
        <w:t>招标文件要求重新交纳保证金。</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投标保证金的退还</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自中标通知书发出之日起 5 个工作日内退还未中标供应商的投标保证金，自采购合同签订之日起 5个工作日内退还中标供应商的投标保证金。采购项目废标或终止的，投标保证金自废标或终止公告发布之日起5个工作日内退还。</w:t>
      </w:r>
    </w:p>
    <w:p>
      <w:pPr>
        <w:spacing w:line="560" w:lineRule="exact"/>
        <w:ind w:firstLine="576" w:firstLineChars="200"/>
        <w:jc w:val="both"/>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采用银行转账方式交纳的，宝鸡市公共资源交易中心财务部门将按原交纳路径退还；</w:t>
      </w:r>
    </w:p>
    <w:p>
      <w:pPr>
        <w:pStyle w:val="102"/>
        <w:ind w:firstLine="579"/>
        <w:rPr>
          <w:b/>
          <w:bCs/>
          <w:sz w:val="28"/>
          <w:szCs w:val="28"/>
        </w:rPr>
      </w:pPr>
      <w:r>
        <w:rPr>
          <w:rFonts w:hint="eastAsia"/>
          <w:b/>
          <w:bCs/>
          <w:sz w:val="28"/>
          <w:szCs w:val="28"/>
        </w:rPr>
        <w:t>（四）关于联合体</w:t>
      </w:r>
      <w:bookmarkEnd w:id="2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2%-3%（工程项目为1%~2%）的扣除，用扣除后的价格参加评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4．供应商以联合体形式参加政府采购活动时，遵循以下规则：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③ 采用资格前审的项目，联合体应当在提交资格前审申请文件前组成。资格前审后联合体不得增减、更换成员。</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④ 资格审查阶段，采购人将对所有联合体成员进行信用记录查询，联合体成员存在不良信用记录的，视同联合体存在不良信用记录。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⑤ 招标文件要求供应商交纳保证金的，可以由联合体中的一方或者多方共同交纳保证金，其交纳的保证金对联合体各方均具有约束力。</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⑥ 招标文件要求供应商提供履约人员和设备情况的，联合体各方均应提供，以说明其作为独立供应商所具有的能有效执行合同的能力和资源。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⑦ 招标文件要求供应商提供同类或类似项目业绩的，联合体各方符合招标文件要求的同类或类似业绩可以累计，但联合体一方或多方共同参与的同一业绩不重复计算。</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⑨ 对采购项目提出投诉时，应当由组成联合体的所有供应商共同提出。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（5）联合体投标无效，本项目不接受联合体投标</w:t>
      </w:r>
    </w:p>
    <w:p>
      <w:pPr>
        <w:pStyle w:val="102"/>
        <w:ind w:firstLine="579"/>
        <w:rPr>
          <w:b/>
          <w:bCs/>
          <w:sz w:val="28"/>
          <w:szCs w:val="28"/>
        </w:rPr>
      </w:pPr>
      <w:bookmarkStart w:id="23" w:name="_Toc7087"/>
      <w:r>
        <w:rPr>
          <w:rFonts w:hint="eastAsia"/>
          <w:b/>
          <w:bCs/>
          <w:sz w:val="28"/>
          <w:szCs w:val="28"/>
        </w:rPr>
        <w:t>（五）关于进口产品</w:t>
      </w:r>
      <w:bookmarkEnd w:id="2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2"/>
        <w:ind w:firstLine="579"/>
        <w:rPr>
          <w:b/>
          <w:bCs/>
          <w:sz w:val="28"/>
          <w:szCs w:val="28"/>
        </w:rPr>
      </w:pPr>
      <w:bookmarkStart w:id="24" w:name="_Toc15301"/>
      <w:r>
        <w:rPr>
          <w:rFonts w:hint="eastAsia"/>
          <w:b/>
          <w:bCs/>
          <w:sz w:val="28"/>
          <w:szCs w:val="28"/>
        </w:rPr>
        <w:t>（六）关于政府采购政策</w:t>
      </w:r>
      <w:bookmarkEnd w:id="24"/>
    </w:p>
    <w:p>
      <w:pPr>
        <w:pStyle w:val="102"/>
        <w:ind w:firstLine="0" w:firstLineChars="0"/>
        <w:rPr>
          <w:sz w:val="28"/>
          <w:szCs w:val="28"/>
        </w:rPr>
      </w:pPr>
      <w:bookmarkStart w:id="25" w:name="_Toc2460"/>
      <w:r>
        <w:rPr>
          <w:rFonts w:hint="eastAsia"/>
          <w:sz w:val="28"/>
          <w:szCs w:val="28"/>
        </w:rPr>
        <w:t>1．对中小企业、监狱企业、残疾人福利性单位的优惠政策</w:t>
      </w:r>
      <w:bookmarkEnd w:id="2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（2）根据财政部、司法部联合下发的《关于政府采购支持监狱企业发展有关问题的通知》（财库〔2014〕68号）的规定，监狱企业视同小型、微型企业。</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2"/>
        <w:ind w:firstLine="0" w:firstLineChars="0"/>
        <w:rPr>
          <w:sz w:val="28"/>
          <w:szCs w:val="28"/>
        </w:rPr>
      </w:pPr>
      <w:bookmarkStart w:id="26" w:name="_Toc22143"/>
      <w:r>
        <w:rPr>
          <w:rFonts w:hint="eastAsia"/>
          <w:sz w:val="28"/>
          <w:szCs w:val="28"/>
        </w:rPr>
        <w:t>2．节能、环保产品采购政策</w:t>
      </w:r>
      <w:bookmarkEnd w:id="2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（3）《节能产品政府采购品目清单》见财政部、发展改革委《关于印发节能产品政府采购品目清单的通知》（财库〔2019〕19号）附件。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（4）《环境标志产品政府采购品目清单》见财政部、生态环境部《关于印发环境标志产品政府采购品目清单的通知》（财库〔2019〕18号）附件。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（5）“国家确定的认证机构”名单见市场监管总局《关于发布参与实施政府采购节能产品、环境标志产品认证机构名录的公告》（2019年第16号）。</w:t>
      </w:r>
    </w:p>
    <w:p>
      <w:pPr>
        <w:pStyle w:val="102"/>
        <w:ind w:firstLine="577"/>
        <w:rPr>
          <w:sz w:val="28"/>
          <w:szCs w:val="28"/>
        </w:rPr>
      </w:pPr>
      <w:bookmarkStart w:id="27" w:name="_Toc19090"/>
      <w:r>
        <w:rPr>
          <w:rFonts w:hint="eastAsia"/>
          <w:sz w:val="28"/>
          <w:szCs w:val="28"/>
        </w:rPr>
        <w:t>3．陕西省中小企业政府采购信用融资办法</w:t>
      </w:r>
      <w:bookmarkEnd w:id="2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w:t>
      </w:r>
      <w:r>
        <w:fldChar w:fldCharType="begin"/>
      </w:r>
      <w:r>
        <w:instrText xml:space="preserve"> HYPERLINK "http://www.ccgp-shaanxi.gov.cn/zcdservice/zcd/shanxi/article/zcdt/1390497710741917696" </w:instrText>
      </w:r>
      <w:r>
        <w:fldChar w:fldCharType="separate"/>
      </w:r>
      <w:r>
        <w:rPr>
          <w:rStyle w:val="46"/>
          <w:rFonts w:hint="eastAsia" w:ascii="宋体" w:hAnsi="宋体" w:eastAsia="宋体" w:cs="宋体"/>
          <w:color w:val="auto"/>
          <w:sz w:val="28"/>
          <w:szCs w:val="28"/>
          <w:u w:val="none"/>
        </w:rPr>
        <w:t>http://www.ccgp-shaanxi.gov.cn/zcdservice/zcd/shanxi/article/zcdt/1390497710741917696</w:t>
      </w:r>
      <w:r>
        <w:rPr>
          <w:rStyle w:val="46"/>
          <w:rFonts w:hint="eastAsia" w:ascii="宋体" w:hAnsi="宋体" w:eastAsia="宋体" w:cs="宋体"/>
          <w:color w:val="auto"/>
          <w:sz w:val="28"/>
          <w:szCs w:val="28"/>
          <w:u w:val="none"/>
        </w:rPr>
        <w:fldChar w:fldCharType="end"/>
      </w:r>
    </w:p>
    <w:p>
      <w:pPr>
        <w:pStyle w:val="102"/>
        <w:ind w:firstLine="579"/>
        <w:rPr>
          <w:b/>
          <w:bCs/>
          <w:sz w:val="28"/>
          <w:szCs w:val="28"/>
        </w:rPr>
      </w:pPr>
      <w:bookmarkStart w:id="28" w:name="_Toc9302"/>
      <w:r>
        <w:rPr>
          <w:rFonts w:hint="eastAsia"/>
          <w:b/>
          <w:bCs/>
          <w:sz w:val="28"/>
          <w:szCs w:val="28"/>
        </w:rPr>
        <w:t>（七）关于现场踏勘和集中答疑</w:t>
      </w:r>
      <w:bookmarkEnd w:id="2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凡未参加现场踏勘和集中答疑的供应商，由此带来的不利后果由该供应商自行承担。</w:t>
      </w:r>
    </w:p>
    <w:p>
      <w:pPr>
        <w:pStyle w:val="102"/>
        <w:ind w:firstLine="579"/>
        <w:rPr>
          <w:b/>
          <w:bCs/>
          <w:sz w:val="28"/>
          <w:szCs w:val="28"/>
        </w:rPr>
      </w:pPr>
      <w:bookmarkStart w:id="29" w:name="_Toc25219"/>
      <w:r>
        <w:rPr>
          <w:rFonts w:hint="eastAsia"/>
          <w:b/>
          <w:bCs/>
          <w:sz w:val="28"/>
          <w:szCs w:val="28"/>
        </w:rPr>
        <w:t>（八）关于同一品牌产品的处理</w:t>
      </w:r>
      <w:bookmarkEnd w:id="2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2"/>
        <w:ind w:firstLine="579"/>
        <w:rPr>
          <w:b/>
          <w:bCs/>
          <w:sz w:val="28"/>
          <w:szCs w:val="28"/>
        </w:rPr>
      </w:pPr>
      <w:bookmarkStart w:id="30" w:name="_Toc15678"/>
      <w:r>
        <w:rPr>
          <w:rFonts w:hint="eastAsia"/>
          <w:b/>
          <w:bCs/>
          <w:sz w:val="28"/>
          <w:szCs w:val="28"/>
        </w:rPr>
        <w:t>（九）关于知识产权和保密事项</w:t>
      </w:r>
      <w:bookmarkEnd w:id="3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由采购人向供应商提供的用户需求书、图纸、样品、模型、模件和所有资料，供应商获得后，应对其保密。除非采购人同意，供应商不得向第三方透露或将其用于本次投标以外的任何用途。开标后，若采购人有要求，供应商人须归还采购人认为需保密的文件和资料，并销毁所有相应的备份文件及资料。</w:t>
      </w:r>
    </w:p>
    <w:p>
      <w:pPr>
        <w:pStyle w:val="102"/>
        <w:ind w:firstLine="579"/>
        <w:rPr>
          <w:b/>
          <w:bCs/>
          <w:sz w:val="28"/>
          <w:szCs w:val="28"/>
        </w:rPr>
      </w:pPr>
      <w:bookmarkStart w:id="31" w:name="_Toc17978"/>
      <w:r>
        <w:rPr>
          <w:rFonts w:hint="eastAsia"/>
          <w:b/>
          <w:bCs/>
          <w:sz w:val="28"/>
          <w:szCs w:val="28"/>
        </w:rPr>
        <w:t>（十）关于信用记录的查询和使用</w:t>
      </w:r>
      <w:bookmarkEnd w:id="3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6"/>
          <w:rFonts w:hint="eastAsia" w:ascii="宋体" w:hAnsi="宋体" w:eastAsia="宋体" w:cs="宋体"/>
          <w:color w:val="auto"/>
          <w:sz w:val="28"/>
          <w:szCs w:val="28"/>
          <w:u w:val="none"/>
        </w:rPr>
        <w:t>https://www.creditchina.gov.cn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/）和【中国政府采购网】（</w:t>
      </w:r>
      <w:r>
        <w:fldChar w:fldCharType="begin"/>
      </w:r>
      <w:r>
        <w:instrText xml:space="preserve"> HYPERLINK "http://www.ccgp.gov.cn/" </w:instrText>
      </w:r>
      <w:r>
        <w:fldChar w:fldCharType="separate"/>
      </w:r>
      <w:r>
        <w:rPr>
          <w:rStyle w:val="46"/>
          <w:rFonts w:hint="eastAsia" w:ascii="宋体" w:hAnsi="宋体" w:eastAsia="宋体" w:cs="宋体"/>
          <w:color w:val="auto"/>
          <w:sz w:val="28"/>
          <w:szCs w:val="28"/>
          <w:u w:val="none"/>
        </w:rPr>
        <w:t>http://www.ccgp.gov.cn/）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对供应商的信用情况进行甄别。</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4．信用记录查询结果打印后，将与其他采购文件一并保存。</w:t>
      </w:r>
    </w:p>
    <w:p>
      <w:pPr>
        <w:pStyle w:val="102"/>
        <w:ind w:firstLine="579"/>
        <w:rPr>
          <w:b/>
          <w:bCs/>
          <w:sz w:val="28"/>
          <w:szCs w:val="28"/>
        </w:rPr>
      </w:pPr>
      <w:bookmarkStart w:id="32" w:name="_Toc5362"/>
      <w:r>
        <w:rPr>
          <w:rFonts w:hint="eastAsia"/>
          <w:b/>
          <w:bCs/>
          <w:sz w:val="28"/>
          <w:szCs w:val="28"/>
        </w:rPr>
        <w:t>（十一）其他重要事项</w:t>
      </w:r>
      <w:bookmarkEnd w:id="3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1．招标文件内所附网络链接仅供参考，不保证其长期有效性。</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2．供应商的投标费用自理。</w:t>
      </w:r>
    </w:p>
    <w:p>
      <w:pPr>
        <w:pStyle w:val="5"/>
        <w:rPr>
          <w:rFonts w:ascii="宋体" w:hAnsi="宋体" w:eastAsia="宋体" w:cs="宋体"/>
          <w:sz w:val="28"/>
          <w:szCs w:val="28"/>
        </w:rPr>
      </w:pPr>
      <w:bookmarkStart w:id="33" w:name="_Toc18315"/>
      <w:r>
        <w:rPr>
          <w:rFonts w:hint="eastAsia" w:ascii="宋体" w:hAnsi="宋体" w:eastAsia="宋体" w:cs="宋体"/>
          <w:sz w:val="28"/>
          <w:szCs w:val="28"/>
        </w:rPr>
        <w:t>三、招标文件</w:t>
      </w:r>
      <w:bookmarkEnd w:id="33"/>
    </w:p>
    <w:p>
      <w:pPr>
        <w:pStyle w:val="102"/>
        <w:ind w:firstLine="579"/>
        <w:rPr>
          <w:b/>
          <w:bCs/>
          <w:sz w:val="28"/>
          <w:szCs w:val="28"/>
        </w:rPr>
      </w:pPr>
      <w:bookmarkStart w:id="34" w:name="_Toc23274"/>
      <w:r>
        <w:rPr>
          <w:rFonts w:hint="eastAsia"/>
          <w:b/>
          <w:bCs/>
          <w:sz w:val="28"/>
          <w:szCs w:val="28"/>
        </w:rPr>
        <w:t>（一）招标文件的解释权</w:t>
      </w:r>
      <w:bookmarkEnd w:id="3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本项目招标文件的解释权归采购代理机构，评标委员会成员应根据政府采购法律法规和招标文件所载明的评审方法、标准进行评审。</w:t>
      </w:r>
    </w:p>
    <w:p>
      <w:pPr>
        <w:pStyle w:val="102"/>
        <w:ind w:firstLine="579"/>
        <w:rPr>
          <w:b/>
          <w:bCs/>
          <w:sz w:val="28"/>
          <w:szCs w:val="28"/>
        </w:rPr>
      </w:pPr>
      <w:bookmarkStart w:id="35" w:name="_Toc30024"/>
      <w:r>
        <w:rPr>
          <w:rFonts w:hint="eastAsia"/>
          <w:b/>
          <w:bCs/>
          <w:sz w:val="28"/>
          <w:szCs w:val="28"/>
        </w:rPr>
        <w:t>（二）招标文件主要内容</w:t>
      </w:r>
      <w:bookmarkEnd w:id="3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第1章  投标邀请函</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第2章  供应商须知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第3章  招标内容及要求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第4章  合同文本</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第5章  投标文件构成及格式</w:t>
      </w:r>
    </w:p>
    <w:p>
      <w:pPr>
        <w:pStyle w:val="102"/>
        <w:ind w:firstLine="579"/>
        <w:rPr>
          <w:b/>
          <w:bCs/>
          <w:sz w:val="28"/>
          <w:szCs w:val="28"/>
        </w:rPr>
      </w:pPr>
      <w:bookmarkStart w:id="36" w:name="_Toc26313"/>
      <w:r>
        <w:rPr>
          <w:rFonts w:hint="eastAsia"/>
          <w:b/>
          <w:bCs/>
          <w:sz w:val="28"/>
          <w:szCs w:val="28"/>
        </w:rPr>
        <w:t>（三）招标文件的检查及阅读</w:t>
      </w:r>
      <w:bookmarkEnd w:id="3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供应商应认真阅读和充分理解招标文件中所有的事项、格式条款和规范要求，在投标文件中对招标文件做出全面响 应，并按招标文件的要求提交全部资料。</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项目废标后重新组织招标的，采购代理机构将重新编制、发布新版招标文件，供应商应按新版招标文件重新编制投标文件。原招标文件及投标文件失效。</w:t>
      </w:r>
    </w:p>
    <w:p>
      <w:pPr>
        <w:pStyle w:val="102"/>
        <w:ind w:firstLine="579"/>
        <w:rPr>
          <w:b/>
          <w:bCs/>
          <w:sz w:val="28"/>
          <w:szCs w:val="28"/>
        </w:rPr>
      </w:pPr>
      <w:bookmarkStart w:id="37" w:name="_Toc5096"/>
      <w:r>
        <w:rPr>
          <w:rFonts w:hint="eastAsia"/>
          <w:b/>
          <w:bCs/>
          <w:sz w:val="28"/>
          <w:szCs w:val="28"/>
        </w:rPr>
        <w:t>（四）招标文件的修改、澄清</w:t>
      </w:r>
      <w:bookmarkEnd w:id="3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3．澄清或修改的内容可能影响投标文件编制时，采购代理机构将在发布变更公告的同时，提醒供应商下载答疑文件（*.SXSCF，即更新后的电子招标文件）。供应商应及时从</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（1）【</w:t>
      </w:r>
      <w:r>
        <w:fldChar w:fldCharType="begin"/>
      </w:r>
      <w:r>
        <w:instrText xml:space="preserve"> HYPERLINK "http://www.ccgp-shaanxi.gov.cn" </w:instrText>
      </w:r>
      <w:r>
        <w:fldChar w:fldCharType="separate"/>
      </w:r>
      <w:r>
        <w:rPr>
          <w:rStyle w:val="46"/>
          <w:rFonts w:hint="eastAsia" w:ascii="宋体" w:hAnsi="宋体" w:eastAsia="宋体" w:cs="宋体"/>
          <w:color w:val="auto"/>
          <w:sz w:val="28"/>
          <w:szCs w:val="28"/>
          <w:u w:val="none"/>
        </w:rPr>
        <w:t>陕西省政府采购网</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6"/>
          <w:rFonts w:hint="eastAsia" w:ascii="宋体" w:hAnsi="宋体" w:eastAsia="宋体" w:cs="宋体"/>
          <w:color w:val="auto"/>
          <w:sz w:val="28"/>
          <w:szCs w:val="28"/>
          <w:u w:val="none"/>
        </w:rPr>
        <w:t>http://www.ccgp-shaanxi.gov.cn/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）中的〖首页·〉信息公告·〉市级·〉</w:t>
      </w:r>
      <w:r>
        <w:rPr>
          <w:rFonts w:hint="eastAsia" w:ascii="宋体" w:hAnsi="宋体" w:eastAsia="宋体" w:cs="宋体"/>
          <w:sz w:val="28"/>
          <w:szCs w:val="28"/>
          <w:lang w:val="en-US" w:eastAsia="zh-CN"/>
        </w:rPr>
        <w:t>宝鸡</w:t>
      </w:r>
      <w:r>
        <w:rPr>
          <w:rFonts w:hint="eastAsia" w:ascii="宋体" w:hAnsi="宋体" w:eastAsia="宋体" w:cs="宋体"/>
          <w:sz w:val="28"/>
          <w:szCs w:val="28"/>
        </w:rPr>
        <w:t>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w:t>
      </w:r>
      <w:r>
        <w:fldChar w:fldCharType="begin"/>
      </w:r>
      <w:r>
        <w:instrText xml:space="preserve"> HYPERLINK "http://xa.sxggzyjy.cn/" </w:instrText>
      </w:r>
      <w:r>
        <w:fldChar w:fldCharType="separate"/>
      </w:r>
      <w:r>
        <w:rPr>
          <w:rStyle w:val="46"/>
          <w:rFonts w:hint="eastAsia" w:ascii="宋体" w:hAnsi="宋体" w:eastAsia="宋体" w:cs="宋体"/>
          <w:color w:val="auto"/>
          <w:sz w:val="28"/>
          <w:szCs w:val="28"/>
          <w:u w:val="none"/>
        </w:rPr>
        <w:t>全国公共资源交易网（陕西省·</w:t>
      </w:r>
      <w:r>
        <w:rPr>
          <w:rStyle w:val="46"/>
          <w:rFonts w:hint="eastAsia" w:ascii="宋体" w:hAnsi="宋体" w:eastAsia="宋体" w:cs="宋体"/>
          <w:color w:val="auto"/>
          <w:sz w:val="28"/>
          <w:szCs w:val="28"/>
          <w:u w:val="none"/>
          <w:lang w:val="en-US" w:eastAsia="zh-CN"/>
        </w:rPr>
        <w:t>宝鸡</w:t>
      </w:r>
      <w:r>
        <w:rPr>
          <w:rStyle w:val="46"/>
          <w:rFonts w:hint="eastAsia" w:ascii="宋体" w:hAnsi="宋体" w:eastAsia="宋体" w:cs="宋体"/>
          <w:color w:val="auto"/>
          <w:sz w:val="28"/>
          <w:szCs w:val="28"/>
          <w:u w:val="none"/>
        </w:rPr>
        <w:t>市）</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rPr>
          <w:rFonts w:hint="eastAsia" w:ascii="宋体" w:hAnsi="宋体" w:eastAsia="宋体" w:cs="宋体"/>
          <w:sz w:val="28"/>
          <w:szCs w:val="28"/>
          <w:lang w:eastAsia="zh-CN"/>
        </w:rPr>
        <w:t>http://ggzy.baoji.gov.cn/</w:t>
      </w:r>
      <w:r>
        <w:rPr>
          <w:rFonts w:hint="eastAsia" w:ascii="宋体" w:hAnsi="宋体" w:eastAsia="宋体" w:cs="宋体"/>
          <w:sz w:val="28"/>
          <w:szCs w:val="28"/>
        </w:rPr>
        <w:t>）中的〖首页·〉交易大厅·〉政府采购〗。</w:t>
      </w:r>
    </w:p>
    <w:p>
      <w:pPr>
        <w:pStyle w:val="5"/>
        <w:rPr>
          <w:rFonts w:ascii="宋体" w:hAnsi="宋体" w:eastAsia="宋体" w:cs="宋体"/>
          <w:sz w:val="28"/>
          <w:szCs w:val="28"/>
        </w:rPr>
      </w:pPr>
      <w:bookmarkStart w:id="38" w:name="_Toc30360"/>
      <w:r>
        <w:rPr>
          <w:rFonts w:hint="eastAsia" w:ascii="宋体" w:hAnsi="宋体" w:eastAsia="宋体" w:cs="宋体"/>
          <w:sz w:val="28"/>
          <w:szCs w:val="28"/>
        </w:rPr>
        <w:t>四、投标文件</w:t>
      </w:r>
      <w:bookmarkEnd w:id="38"/>
    </w:p>
    <w:p>
      <w:pPr>
        <w:pStyle w:val="102"/>
        <w:ind w:firstLine="579"/>
        <w:rPr>
          <w:b/>
          <w:bCs/>
          <w:sz w:val="28"/>
          <w:szCs w:val="28"/>
        </w:rPr>
      </w:pPr>
      <w:bookmarkStart w:id="39" w:name="_Toc19870"/>
      <w:r>
        <w:rPr>
          <w:rFonts w:hint="eastAsia"/>
          <w:b/>
          <w:bCs/>
          <w:sz w:val="28"/>
          <w:szCs w:val="28"/>
        </w:rPr>
        <w:t>（一）投标文件的式样</w:t>
      </w:r>
      <w:bookmarkEnd w:id="39"/>
    </w:p>
    <w:p>
      <w:pPr>
        <w:pStyle w:val="102"/>
        <w:ind w:firstLine="0" w:firstLineChars="0"/>
        <w:rPr>
          <w:sz w:val="28"/>
          <w:szCs w:val="28"/>
        </w:rPr>
      </w:pPr>
      <w:bookmarkStart w:id="40" w:name="_Toc23111"/>
      <w:r>
        <w:rPr>
          <w:rFonts w:hint="eastAsia"/>
          <w:sz w:val="28"/>
          <w:szCs w:val="28"/>
        </w:rPr>
        <w:t>1．组成及格式</w:t>
      </w:r>
      <w:bookmarkEnd w:id="4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供应商依照招标文件第五章《投标文件构成及格式》给定形式进行编制投标文件。</w:t>
      </w:r>
    </w:p>
    <w:p>
      <w:pPr>
        <w:pStyle w:val="102"/>
        <w:ind w:firstLine="0" w:firstLineChars="0"/>
        <w:rPr>
          <w:sz w:val="28"/>
          <w:szCs w:val="28"/>
        </w:rPr>
      </w:pPr>
      <w:bookmarkStart w:id="41" w:name="_Toc4658"/>
      <w:r>
        <w:rPr>
          <w:rFonts w:hint="eastAsia"/>
          <w:sz w:val="28"/>
          <w:szCs w:val="28"/>
        </w:rPr>
        <w:t>2．语言</w:t>
      </w:r>
      <w:bookmarkEnd w:id="4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招标活动的所有文件、资料、函电文字均使用简体中文，确需提交用其他语言形成的资料，必须翻译成简体中文，如有差异，以简体中文为准。</w:t>
      </w:r>
    </w:p>
    <w:p>
      <w:pPr>
        <w:pStyle w:val="102"/>
        <w:ind w:firstLine="0" w:firstLineChars="0"/>
        <w:rPr>
          <w:sz w:val="28"/>
          <w:szCs w:val="28"/>
        </w:rPr>
      </w:pPr>
      <w:bookmarkStart w:id="42" w:name="_Toc3436"/>
      <w:r>
        <w:rPr>
          <w:rFonts w:hint="eastAsia"/>
          <w:sz w:val="28"/>
          <w:szCs w:val="28"/>
        </w:rPr>
        <w:t>3．计量单位</w:t>
      </w:r>
      <w:bookmarkEnd w:id="4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投标文件的计量单位应使用中华人民共和国法定计量单位，但招标文件另有规定的除外。</w:t>
      </w:r>
    </w:p>
    <w:p>
      <w:pPr>
        <w:pStyle w:val="102"/>
        <w:ind w:firstLine="579"/>
        <w:rPr>
          <w:b/>
          <w:bCs/>
          <w:sz w:val="28"/>
          <w:szCs w:val="28"/>
        </w:rPr>
      </w:pPr>
      <w:bookmarkStart w:id="43" w:name="_Toc15553"/>
      <w:r>
        <w:rPr>
          <w:rFonts w:hint="eastAsia"/>
          <w:b/>
          <w:bCs/>
          <w:sz w:val="28"/>
          <w:szCs w:val="28"/>
        </w:rPr>
        <w:t>（二）投标文件的有效期</w:t>
      </w:r>
      <w:bookmarkEnd w:id="4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投标文件有效期为自开标之日起不少于90个日历日。如中标，延长至合同执行完毕时止。</w:t>
      </w:r>
    </w:p>
    <w:p>
      <w:pPr>
        <w:pStyle w:val="102"/>
        <w:ind w:firstLine="579"/>
        <w:rPr>
          <w:b/>
          <w:bCs/>
          <w:sz w:val="28"/>
          <w:szCs w:val="28"/>
        </w:rPr>
      </w:pPr>
      <w:bookmarkStart w:id="44" w:name="_Toc28137"/>
      <w:r>
        <w:rPr>
          <w:rFonts w:hint="eastAsia"/>
          <w:b/>
          <w:bCs/>
          <w:sz w:val="28"/>
          <w:szCs w:val="28"/>
        </w:rPr>
        <w:t>（三）投标报价</w:t>
      </w:r>
      <w:bookmarkEnd w:id="4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投标报价是供应商响应采购项目要求的全部工作内容的价格体现，包括完成采购内容所需的利润、税金及其它相关的一切费用。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3．投标报价货币：人民币；单位：元。</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4．投标文件报价出现前后不一致的，除招标文件另有规定外，按照下列规则修正：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（1）投标文件中开标一览表内容与投标文件中其他位置相应内容表述不一致的，以开标一览表为准；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（2）大写金额和小写金额不一致的，以大写金额为准；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（3）单价金额小数点或者百分比有明显错位的，以开标一览表的总价为准，并修改单价；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（4）总价金额与按单价汇总金额不一致的，以单价金额计算结果为准。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同时出现两种以上不一致的，按照前款规定的顺序修正。修正后的报价经供应商确认后产生约束力，供应商不确认的，其投标无效。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5．因供应商对招标文件理解不透、误解、疏漏或对市场行情了解不清造成的后果和风险，均由供应商自己负责。</w:t>
      </w:r>
    </w:p>
    <w:p>
      <w:pPr>
        <w:pStyle w:val="102"/>
        <w:ind w:firstLine="579"/>
        <w:rPr>
          <w:b/>
          <w:bCs/>
          <w:sz w:val="28"/>
          <w:szCs w:val="28"/>
        </w:rPr>
      </w:pPr>
      <w:bookmarkStart w:id="45" w:name="_Toc30313"/>
      <w:r>
        <w:rPr>
          <w:rFonts w:hint="eastAsia"/>
          <w:b/>
          <w:bCs/>
          <w:sz w:val="28"/>
          <w:szCs w:val="28"/>
        </w:rPr>
        <w:t>（四）投标文件的制作和签章</w:t>
      </w:r>
      <w:bookmarkEnd w:id="45"/>
    </w:p>
    <w:p>
      <w:pPr>
        <w:spacing w:line="560" w:lineRule="exact"/>
        <w:ind w:firstLine="576"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1．电子投标文件（*.SXSTF）需要使用专用制作软件——“新点投标文件制作软件（陕西公共资源）”进行编制。软件下载地址及操作手册：见</w:t>
      </w:r>
      <w:r>
        <w:rPr>
          <w:rFonts w:hint="eastAsia" w:ascii="宋体" w:hAnsi="宋体" w:eastAsia="宋体" w:cs="宋体"/>
          <w:sz w:val="28"/>
          <w:szCs w:val="28"/>
          <w:highlight w:val="none"/>
          <w:lang w:val="en-US" w:eastAsia="zh-CN"/>
        </w:rPr>
        <w:t>宝鸡</w:t>
      </w:r>
      <w:r>
        <w:rPr>
          <w:rFonts w:hint="eastAsia" w:ascii="宋体" w:hAnsi="宋体" w:eastAsia="宋体" w:cs="宋体"/>
          <w:sz w:val="28"/>
          <w:szCs w:val="28"/>
          <w:highlight w:val="none"/>
        </w:rPr>
        <w:t>市公共资源交易平台〖首页〉服务指南〉下载专区〗中的《宝鸡市公共资源交易投标文件制作操作手册》。</w:t>
      </w:r>
    </w:p>
    <w:p>
      <w:pPr>
        <w:spacing w:line="560" w:lineRule="exact"/>
        <w:ind w:firstLine="576"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链接地址：</w:t>
      </w:r>
    </w:p>
    <w:p>
      <w:pPr>
        <w:spacing w:line="560" w:lineRule="exact"/>
        <w:ind w:firstLine="496" w:firstLineChars="200"/>
        <w:jc w:val="both"/>
        <w:rPr>
          <w:rFonts w:hint="eastAsia"/>
          <w:highlight w:val="none"/>
        </w:rPr>
      </w:pPr>
      <w:r>
        <w:rPr>
          <w:rFonts w:hint="eastAsia"/>
          <w:highlight w:val="none"/>
        </w:rPr>
        <w:fldChar w:fldCharType="begin"/>
      </w:r>
      <w:r>
        <w:rPr>
          <w:rFonts w:hint="eastAsia"/>
          <w:highlight w:val="none"/>
        </w:rPr>
        <w:instrText xml:space="preserve"> HYPERLINK "http://ggzy.baoji.gov.cn/fwzn/004003/20211013/188342c7-84a9-4c17-91d8-eb222e7ae4db.html" </w:instrText>
      </w:r>
      <w:r>
        <w:rPr>
          <w:rFonts w:hint="eastAsia"/>
          <w:highlight w:val="none"/>
        </w:rPr>
        <w:fldChar w:fldCharType="separate"/>
      </w:r>
      <w:r>
        <w:rPr>
          <w:rStyle w:val="46"/>
          <w:rFonts w:hint="eastAsia"/>
          <w:highlight w:val="none"/>
        </w:rPr>
        <w:t>http://ggzy.baoji.gov.cn/fwzn/004003/20211013/188342c7-84a9-4c17-91d8-eb222e7ae4db.html</w:t>
      </w:r>
      <w:r>
        <w:rPr>
          <w:rFonts w:hint="eastAsia"/>
          <w:highlight w:val="none"/>
        </w:rPr>
        <w:fldChar w:fldCharType="end"/>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2"/>
        <w:ind w:firstLine="579"/>
        <w:rPr>
          <w:b/>
          <w:bCs/>
          <w:sz w:val="28"/>
          <w:szCs w:val="28"/>
        </w:rPr>
      </w:pPr>
      <w:bookmarkStart w:id="46" w:name="_Toc15534"/>
      <w:r>
        <w:rPr>
          <w:rFonts w:hint="eastAsia"/>
          <w:b/>
          <w:bCs/>
          <w:sz w:val="28"/>
          <w:szCs w:val="28"/>
        </w:rPr>
        <w:t>（五）投标文件的加密和提交</w:t>
      </w:r>
      <w:bookmarkEnd w:id="4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1．在生成电子投标文件时，需要使用CA锁对投标文件进行加密。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注意：加密投标文件和开标时解密投标文件应当使用同一CA，否则将会导致解密失败。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2．电子投标文件可于提交投标文件截止时间前任意时段，登录</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市公共资源交易平台〖首页·〉电子交易平台·〉企业端〗，登录后切换到〖我的项目〗模块下，依次点选〖项目流程·〉项目管理·〉上传响应文件〗，上传加密后的电子投标文件（*.SXSTF）。上传成功后，</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市公共资源交易平台政府采购系统将予以记录。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3．上传文件有误或需要重新提交的，可先撤销已经上传的文件，然后重新上传新文件。</w:t>
      </w:r>
    </w:p>
    <w:p>
      <w:pPr>
        <w:pStyle w:val="102"/>
        <w:ind w:firstLine="579"/>
        <w:rPr>
          <w:b/>
          <w:bCs/>
          <w:sz w:val="28"/>
          <w:szCs w:val="28"/>
        </w:rPr>
      </w:pPr>
      <w:bookmarkStart w:id="47" w:name="_Toc28545"/>
      <w:r>
        <w:rPr>
          <w:rFonts w:hint="eastAsia"/>
          <w:b/>
          <w:bCs/>
          <w:sz w:val="28"/>
          <w:szCs w:val="28"/>
        </w:rPr>
        <w:t>（六）投标文件的补充、修改和撤回</w:t>
      </w:r>
      <w:bookmarkEnd w:id="4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2．供应商在提交投标文件截止时间后，撤回投标文件的，投标保证金不予退还。</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2"/>
        <w:ind w:firstLine="579"/>
        <w:rPr>
          <w:b/>
          <w:bCs/>
          <w:sz w:val="28"/>
          <w:szCs w:val="28"/>
        </w:rPr>
      </w:pPr>
      <w:bookmarkStart w:id="48" w:name="_Toc5968"/>
      <w:r>
        <w:rPr>
          <w:rFonts w:hint="eastAsia"/>
          <w:b/>
          <w:bCs/>
          <w:sz w:val="28"/>
          <w:szCs w:val="28"/>
        </w:rPr>
        <w:t>（七）关于投标文件的雷同性分析</w:t>
      </w:r>
      <w:bookmarkEnd w:id="4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若“文件创建标识码”一致，则表示不同投标供应商使用投标文件制作软件时，使用同一源工程文件，该情形建议由评标委员会结合项目情况综合判定。</w:t>
      </w:r>
    </w:p>
    <w:p>
      <w:pPr>
        <w:pStyle w:val="102"/>
        <w:ind w:firstLine="579"/>
        <w:rPr>
          <w:b/>
          <w:bCs/>
          <w:sz w:val="28"/>
          <w:szCs w:val="28"/>
        </w:rPr>
      </w:pPr>
      <w:bookmarkStart w:id="49" w:name="_Toc11132"/>
      <w:r>
        <w:rPr>
          <w:rFonts w:hint="eastAsia"/>
          <w:b/>
          <w:bCs/>
          <w:sz w:val="28"/>
          <w:szCs w:val="28"/>
        </w:rPr>
        <w:t>（八）投标文件被拒绝接收的情形</w:t>
      </w:r>
      <w:bookmarkEnd w:id="4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1．误投的或采用旧版电子招标文件制作的；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2．逾期提交电子投标文件的。</w:t>
      </w:r>
    </w:p>
    <w:p>
      <w:pPr>
        <w:pStyle w:val="5"/>
        <w:rPr>
          <w:rFonts w:ascii="宋体" w:hAnsi="宋体" w:eastAsia="宋体" w:cs="宋体"/>
          <w:sz w:val="28"/>
          <w:szCs w:val="28"/>
        </w:rPr>
      </w:pPr>
      <w:bookmarkStart w:id="50" w:name="_Toc13111"/>
      <w:r>
        <w:rPr>
          <w:rFonts w:hint="eastAsia" w:ascii="宋体" w:hAnsi="宋体" w:eastAsia="宋体" w:cs="宋体"/>
          <w:sz w:val="28"/>
          <w:szCs w:val="28"/>
        </w:rPr>
        <w:t>五、开标程序</w:t>
      </w:r>
      <w:bookmarkEnd w:id="5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开标工作由采购代理机构组织实施，整个过程受同级政府采购监管机构的监督、管理。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1．供应商登录：开标前，请各供应商至少提前半小时登录</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市公共资源交易平台〖首页·〉不见面开标〗系统。</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2．主持人宣布开标：提交投标文件截止时间过后，系统将不再接收任何投标文件。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3．解密投标文件：供应商在收到主持人“开始解密”指令后，应使用“加密该投标文件的CA锁（必须是同一把锁）”在线完成投标文件解密。除因【</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市公共资源交易中心】断电、断网、系统故障及其他不可抗力等因素，导致“不见面开标”系统无法正常运行外，供应商应在规定的解密时间内完成解密。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4．唱标：对于公开招标项目，“不见面开标”系统将自动展示供应商名单及其投标报价。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“不见面开标”系统操作说明：详见</w:t>
      </w:r>
      <w:r>
        <w:rPr>
          <w:rFonts w:hint="eastAsia" w:ascii="宋体" w:hAnsi="宋体" w:eastAsia="宋体" w:cs="宋体"/>
          <w:sz w:val="28"/>
          <w:szCs w:val="28"/>
          <w:lang w:val="en-US" w:eastAsia="zh-CN"/>
        </w:rPr>
        <w:t>宝鸡</w:t>
      </w:r>
      <w:r>
        <w:rPr>
          <w:rFonts w:hint="eastAsia" w:ascii="宋体" w:hAnsi="宋体" w:eastAsia="宋体" w:cs="宋体"/>
          <w:sz w:val="28"/>
          <w:szCs w:val="28"/>
        </w:rPr>
        <w:t>市公共资源交易平台〖首页·〉服务指南·〉下载专区〗中的《宝鸡市不见面大厅投标人操作手册》。</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链接地址：http://ggzy.baoji.gov.cn/fwzn/004003/20210601/03cf1f4c-74f3-4281-b3ac-9dee02765ad7.html</w:t>
      </w:r>
    </w:p>
    <w:p>
      <w:pPr>
        <w:pStyle w:val="102"/>
        <w:ind w:firstLine="579"/>
        <w:rPr>
          <w:b/>
          <w:bCs/>
          <w:sz w:val="28"/>
          <w:szCs w:val="28"/>
        </w:rPr>
      </w:pPr>
      <w:bookmarkStart w:id="51" w:name="_Toc15581"/>
      <w:r>
        <w:rPr>
          <w:rFonts w:hint="eastAsia"/>
          <w:b/>
          <w:bCs/>
          <w:sz w:val="28"/>
          <w:szCs w:val="28"/>
        </w:rPr>
        <w:t>（一）开标环节投标文件视为无效的情形</w:t>
      </w:r>
      <w:bookmarkEnd w:id="5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1．供应商放弃或拒绝对电子投标文件进行解密的；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2．因供应商自身原因，导致未在规定的解密时限内完整解密的，如忘带CA锁、或携带的CA锁与加密文件的CA锁不同、或使用旧版招标文件编制投标文件等情形；</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3．上传的电子投标文件无法正常打开的；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4．政府采购法律法规规定的其他无效情形。</w:t>
      </w:r>
    </w:p>
    <w:p>
      <w:pPr>
        <w:pStyle w:val="102"/>
        <w:ind w:firstLine="579"/>
        <w:rPr>
          <w:b/>
          <w:bCs/>
          <w:sz w:val="28"/>
          <w:szCs w:val="28"/>
        </w:rPr>
      </w:pPr>
      <w:bookmarkStart w:id="52" w:name="_Toc4756"/>
      <w:r>
        <w:rPr>
          <w:rFonts w:hint="eastAsia"/>
          <w:b/>
          <w:bCs/>
          <w:sz w:val="28"/>
          <w:szCs w:val="28"/>
        </w:rPr>
        <w:t>（二）突发状况的应急处置</w:t>
      </w:r>
      <w:bookmarkEnd w:id="5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在开评标过程中，如因停电、断网、电子化系统故障等特殊原因导致电子化开、评标工作无法正常进行时，采购代理机构将及时汇报政府采购监管部门，并等待或中止后续活动。</w:t>
      </w:r>
    </w:p>
    <w:p>
      <w:pPr>
        <w:pStyle w:val="5"/>
        <w:rPr>
          <w:rFonts w:ascii="宋体" w:hAnsi="宋体" w:eastAsia="宋体" w:cs="宋体"/>
          <w:sz w:val="28"/>
          <w:szCs w:val="28"/>
        </w:rPr>
      </w:pPr>
      <w:bookmarkStart w:id="53" w:name="_Toc2998"/>
      <w:r>
        <w:rPr>
          <w:rFonts w:hint="eastAsia" w:ascii="宋体" w:hAnsi="宋体" w:eastAsia="宋体" w:cs="宋体"/>
          <w:sz w:val="28"/>
          <w:szCs w:val="28"/>
        </w:rPr>
        <w:t>六、资格审查</w:t>
      </w:r>
      <w:bookmarkEnd w:id="5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开标结束后，依据法律法规和招标文件的规定，对投标文件中的资格证明文件等进行审查，以确保供应商是否具备相应资格。</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供应商提供的资格证明文件缺少任何一项或有任何一项不满足，都将被视为无效投标。供应商所提供的资格证明文件应图文清晰、易于辨识，否则由此带来的不利后果由供应商自行承担。</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rPr>
        <w:t>合格供应商不足3家的，不得评标。</w:t>
      </w:r>
    </w:p>
    <w:p>
      <w:pPr>
        <w:rPr>
          <w:rFonts w:ascii="宋体" w:hAnsi="宋体" w:eastAsia="宋体" w:cs="宋体"/>
          <w:sz w:val="32"/>
          <w:szCs w:val="32"/>
        </w:rPr>
      </w:pPr>
      <w:r>
        <w:rPr>
          <w:rFonts w:hint="eastAsia" w:ascii="宋体" w:hAnsi="宋体" w:eastAsia="宋体" w:cs="宋体"/>
          <w:sz w:val="32"/>
          <w:szCs w:val="32"/>
        </w:rPr>
        <w:br w:type="page"/>
      </w:r>
    </w:p>
    <w:p>
      <w:pPr>
        <w:spacing w:line="560" w:lineRule="exact"/>
        <w:rPr>
          <w:rFonts w:ascii="宋体" w:hAnsi="宋体" w:eastAsia="宋体" w:cs="宋体"/>
          <w:sz w:val="28"/>
          <w:szCs w:val="28"/>
        </w:rPr>
      </w:pPr>
      <w:r>
        <w:rPr>
          <w:rFonts w:hint="eastAsia" w:ascii="宋体" w:hAnsi="宋体" w:eastAsia="宋体" w:cs="宋体"/>
          <w:sz w:val="28"/>
          <w:szCs w:val="28"/>
        </w:rPr>
        <w:t>〖资格性审查表〗</w:t>
      </w:r>
    </w:p>
    <w:tbl>
      <w:tblPr>
        <w:tblStyle w:val="35"/>
        <w:tblW w:w="90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4"/>
        <w:gridCol w:w="2360"/>
        <w:gridCol w:w="581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84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60"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资格项</w:t>
            </w:r>
          </w:p>
        </w:tc>
        <w:tc>
          <w:tcPr>
            <w:tcW w:w="5814"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cs="宋体"/>
                <w:b/>
                <w:bCs/>
                <w:sz w:val="28"/>
                <w:szCs w:val="28"/>
              </w:rPr>
            </w:pPr>
            <w:r>
              <w:rPr>
                <w:rFonts w:hint="eastAsia" w:ascii="宋体" w:hAnsi="宋体" w:eastAsia="宋体" w:cs="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844" w:type="dxa"/>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一</w:t>
            </w:r>
          </w:p>
        </w:tc>
        <w:tc>
          <w:tcPr>
            <w:tcW w:w="8174" w:type="dxa"/>
            <w:gridSpan w:val="2"/>
            <w:tcBorders>
              <w:top w:val="single" w:color="auto" w:sz="2" w:space="0"/>
            </w:tcBorders>
            <w:shd w:val="clear" w:color="auto" w:fill="auto"/>
            <w:vAlign w:val="center"/>
          </w:tcPr>
          <w:p>
            <w:pPr>
              <w:jc w:val="center"/>
              <w:rPr>
                <w:rFonts w:ascii="宋体" w:hAnsi="宋体" w:eastAsia="宋体" w:cs="宋体"/>
                <w:sz w:val="28"/>
                <w:szCs w:val="28"/>
              </w:rPr>
            </w:pPr>
            <w:r>
              <w:rPr>
                <w:rFonts w:hint="eastAsia" w:ascii="宋体" w:hAnsi="宋体" w:eastAsia="宋体" w:cs="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1</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有效的主体资格证明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具有独立承担民事责任能力的法人、其他组织或自然人，提供合法有效的统一社会信用代码营业执照（事业单位提供事业单位法人证书，自然人应提供身份证）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09"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2</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财务状况证明</w:t>
            </w:r>
          </w:p>
        </w:tc>
        <w:tc>
          <w:tcPr>
            <w:tcW w:w="5814" w:type="dxa"/>
            <w:vAlign w:val="center"/>
          </w:tcPr>
          <w:p>
            <w:pPr>
              <w:jc w:val="both"/>
            </w:pPr>
            <w:r>
              <w:rPr>
                <w:rFonts w:hint="eastAsia" w:ascii="宋体" w:hAnsi="宋体" w:eastAsia="宋体" w:cs="宋体"/>
                <w:sz w:val="28"/>
                <w:szCs w:val="28"/>
              </w:rPr>
              <w:t>供应商提供2021年度</w:t>
            </w:r>
            <w:r>
              <w:rPr>
                <w:rFonts w:hint="eastAsia" w:ascii="宋体" w:hAnsi="宋体" w:eastAsia="宋体" w:cs="宋体"/>
                <w:sz w:val="28"/>
                <w:szCs w:val="28"/>
                <w:lang w:val="en-US" w:eastAsia="zh-CN"/>
              </w:rPr>
              <w:t>或2022年度</w:t>
            </w:r>
            <w:r>
              <w:rPr>
                <w:rFonts w:hint="eastAsia" w:ascii="宋体" w:hAnsi="宋体" w:eastAsia="宋体" w:cs="宋体"/>
                <w:sz w:val="28"/>
                <w:szCs w:val="28"/>
              </w:rPr>
              <w:t>经审计完整的财务审计报告（成立时间至提交投标文件截止时间不足一年的可提供成立后任意时段的资产负债表），或其开标前三个月内</w:t>
            </w:r>
            <w:r>
              <w:rPr>
                <w:rFonts w:hint="eastAsia" w:ascii="宋体" w:hAnsi="宋体" w:eastAsia="宋体" w:cs="宋体"/>
                <w:sz w:val="28"/>
                <w:szCs w:val="28"/>
                <w:lang w:val="en-US" w:eastAsia="zh-CN"/>
              </w:rPr>
              <w:t>供应商开户</w:t>
            </w:r>
            <w:r>
              <w:rPr>
                <w:rFonts w:hint="eastAsia" w:ascii="宋体" w:hAnsi="宋体" w:eastAsia="宋体" w:cs="宋体"/>
                <w:sz w:val="28"/>
                <w:szCs w:val="28"/>
              </w:rPr>
              <w:t>银行</w:t>
            </w:r>
            <w:r>
              <w:rPr>
                <w:rFonts w:hint="eastAsia" w:ascii="宋体" w:hAnsi="宋体" w:eastAsia="宋体" w:cs="宋体"/>
                <w:sz w:val="28"/>
                <w:szCs w:val="28"/>
                <w:lang w:val="en-US" w:eastAsia="zh-CN"/>
              </w:rPr>
              <w:t>基本账户银行</w:t>
            </w:r>
            <w:r>
              <w:rPr>
                <w:rFonts w:hint="eastAsia" w:ascii="宋体" w:hAnsi="宋体" w:eastAsia="宋体" w:cs="宋体"/>
                <w:sz w:val="28"/>
                <w:szCs w:val="28"/>
              </w:rPr>
              <w:t>出具的资信证明，或财政部门认可的政府采购专业担保机构出具的投标担保函；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3</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履行合同书面声明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具有履行合同所必需的设备和专业技术能力的书面声明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4</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税收缴纳证明</w:t>
            </w:r>
          </w:p>
          <w:p>
            <w:pPr>
              <w:jc w:val="center"/>
              <w:rPr>
                <w:rFonts w:ascii="宋体" w:hAnsi="宋体" w:eastAsia="宋体" w:cs="宋体"/>
                <w:sz w:val="28"/>
                <w:szCs w:val="28"/>
              </w:rPr>
            </w:pP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提供2022年</w:t>
            </w:r>
            <w:r>
              <w:rPr>
                <w:rFonts w:hint="eastAsia" w:ascii="宋体" w:hAnsi="宋体" w:eastAsia="宋体" w:cs="宋体"/>
                <w:sz w:val="28"/>
                <w:szCs w:val="28"/>
                <w:lang w:val="en-US" w:eastAsia="zh-CN"/>
              </w:rPr>
              <w:t>6</w:t>
            </w:r>
            <w:r>
              <w:rPr>
                <w:rFonts w:hint="eastAsia" w:ascii="宋体" w:hAnsi="宋体" w:eastAsia="宋体" w:cs="宋体"/>
                <w:sz w:val="28"/>
                <w:szCs w:val="28"/>
              </w:rPr>
              <w:t>月以来至少一个月的纳税证明或完税证明，依法免税的单位应提供相关证明材料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5</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社会保障资金缴纳证明</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提供2022年</w:t>
            </w:r>
            <w:r>
              <w:rPr>
                <w:rFonts w:hint="eastAsia" w:ascii="宋体" w:hAnsi="宋体" w:eastAsia="宋体" w:cs="宋体"/>
                <w:sz w:val="28"/>
                <w:szCs w:val="28"/>
                <w:lang w:val="en-US" w:eastAsia="zh-CN"/>
              </w:rPr>
              <w:t>6</w:t>
            </w:r>
            <w:r>
              <w:rPr>
                <w:rFonts w:hint="eastAsia" w:ascii="宋体" w:hAnsi="宋体" w:eastAsia="宋体" w:cs="宋体"/>
                <w:sz w:val="28"/>
                <w:szCs w:val="28"/>
              </w:rPr>
              <w:t>月以来至少一个月的社会保障资金缴存单据或社保机构开具的社会保险参保缴费情况证明。依法不需要缴纳社会保障资金的供应商应提供相关文件证明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6"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6</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无重大违法记录声明</w:t>
            </w:r>
          </w:p>
        </w:tc>
        <w:tc>
          <w:tcPr>
            <w:tcW w:w="5814" w:type="dxa"/>
            <w:vAlign w:val="center"/>
          </w:tcPr>
          <w:p>
            <w:pPr>
              <w:jc w:val="both"/>
              <w:rPr>
                <w:rFonts w:ascii="宋体" w:hAnsi="宋体" w:eastAsia="宋体" w:cs="宋体"/>
                <w:sz w:val="28"/>
                <w:szCs w:val="28"/>
              </w:rPr>
            </w:pPr>
            <w:r>
              <w:rPr>
                <w:rFonts w:ascii="宋体" w:hAnsi="宋体" w:eastAsia="宋体" w:cs="宋体"/>
                <w:sz w:val="28"/>
                <w:szCs w:val="28"/>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ascii="宋体" w:hAnsi="宋体" w:eastAsia="宋体" w:cs="宋体"/>
                <w:sz w:val="28"/>
                <w:szCs w:val="28"/>
              </w:rPr>
            </w:pPr>
            <w:r>
              <w:rPr>
                <w:rFonts w:hint="eastAsia" w:ascii="宋体" w:hAnsi="宋体" w:eastAsia="宋体" w:cs="宋体"/>
                <w:sz w:val="28"/>
                <w:szCs w:val="28"/>
              </w:rPr>
              <w:t>7</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法定代表人委托授权书</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非法定代表人参加投标的，须提供法定代表人委托授权书及被授权人身份证，法定代表人参加投标时,只需提供法定代表人身份证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7" w:hRule="atLeast"/>
          <w:jc w:val="center"/>
        </w:trPr>
        <w:tc>
          <w:tcPr>
            <w:tcW w:w="844"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2360" w:type="dxa"/>
            <w:vAlign w:val="center"/>
          </w:tcPr>
          <w:p>
            <w:pPr>
              <w:jc w:val="center"/>
              <w:rPr>
                <w:rFonts w:hint="eastAsia" w:ascii="宋体" w:hAnsi="宋体" w:eastAsia="宋体" w:cs="宋体"/>
                <w:sz w:val="28"/>
                <w:szCs w:val="28"/>
              </w:rPr>
            </w:pPr>
            <w:r>
              <w:rPr>
                <w:rFonts w:hint="eastAsia" w:ascii="宋体" w:hAnsi="宋体" w:eastAsia="宋体" w:cs="宋体"/>
                <w:sz w:val="28"/>
                <w:szCs w:val="28"/>
                <w:lang w:val="en-US" w:eastAsia="zh-CN"/>
              </w:rPr>
              <w:t>本项目为专门面向中小企业采购项目</w:t>
            </w:r>
          </w:p>
        </w:tc>
        <w:tc>
          <w:tcPr>
            <w:tcW w:w="5814" w:type="dxa"/>
            <w:vAlign w:val="center"/>
          </w:tcPr>
          <w:p>
            <w:pPr>
              <w:jc w:val="both"/>
              <w:rPr>
                <w:rFonts w:hint="eastAsia" w:ascii="宋体" w:hAnsi="宋体" w:eastAsia="宋体" w:cs="宋体"/>
                <w:sz w:val="28"/>
                <w:szCs w:val="28"/>
              </w:rPr>
            </w:pPr>
            <w:r>
              <w:rPr>
                <w:rFonts w:hint="eastAsia" w:ascii="宋体" w:hAnsi="宋体" w:eastAsia="宋体" w:cs="宋体"/>
                <w:sz w:val="28"/>
                <w:szCs w:val="28"/>
                <w:lang w:val="en-US" w:eastAsia="zh-CN"/>
              </w:rPr>
              <w:t>供应商应出具中小企业声明函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7" w:hRule="atLeast"/>
          <w:jc w:val="center"/>
        </w:trPr>
        <w:tc>
          <w:tcPr>
            <w:tcW w:w="844" w:type="dxa"/>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2360" w:type="dxa"/>
            <w:vAlign w:val="center"/>
          </w:tcPr>
          <w:p>
            <w:pPr>
              <w:jc w:val="center"/>
              <w:rPr>
                <w:rFonts w:ascii="宋体" w:hAnsi="宋体" w:eastAsia="宋体" w:cs="宋体"/>
                <w:sz w:val="28"/>
                <w:szCs w:val="28"/>
              </w:rPr>
            </w:pPr>
            <w:r>
              <w:rPr>
                <w:rFonts w:hint="eastAsia" w:ascii="宋体" w:hAnsi="宋体" w:eastAsia="宋体" w:cs="宋体"/>
                <w:sz w:val="28"/>
                <w:szCs w:val="28"/>
              </w:rPr>
              <w:t>联合体</w:t>
            </w:r>
          </w:p>
        </w:tc>
        <w:tc>
          <w:tcPr>
            <w:tcW w:w="5814" w:type="dxa"/>
            <w:vAlign w:val="center"/>
          </w:tcPr>
          <w:p>
            <w:pPr>
              <w:jc w:val="both"/>
              <w:rPr>
                <w:rFonts w:ascii="宋体" w:hAnsi="宋体" w:eastAsia="宋体" w:cs="宋体"/>
                <w:sz w:val="28"/>
                <w:szCs w:val="28"/>
              </w:rPr>
            </w:pPr>
            <w:r>
              <w:rPr>
                <w:rFonts w:hint="eastAsia" w:ascii="宋体" w:hAnsi="宋体" w:eastAsia="宋体" w:cs="宋体"/>
                <w:sz w:val="28"/>
                <w:szCs w:val="28"/>
              </w:rPr>
              <w:t>本项目不接受联合体投标</w:t>
            </w:r>
          </w:p>
        </w:tc>
      </w:tr>
    </w:tbl>
    <w:p>
      <w:pPr>
        <w:pStyle w:val="5"/>
        <w:rPr>
          <w:rFonts w:ascii="宋体" w:hAnsi="宋体" w:eastAsia="宋体" w:cs="宋体"/>
          <w:sz w:val="28"/>
          <w:szCs w:val="28"/>
        </w:rPr>
      </w:pPr>
      <w:bookmarkStart w:id="54" w:name="_Toc21529"/>
      <w:r>
        <w:rPr>
          <w:rFonts w:hint="eastAsia" w:ascii="宋体" w:hAnsi="宋体" w:eastAsia="宋体" w:cs="宋体"/>
          <w:sz w:val="28"/>
          <w:szCs w:val="28"/>
        </w:rPr>
        <w:t>七、评审方法和程序</w:t>
      </w:r>
      <w:bookmarkEnd w:id="54"/>
    </w:p>
    <w:p>
      <w:pPr>
        <w:pStyle w:val="102"/>
        <w:ind w:firstLine="579"/>
        <w:rPr>
          <w:b/>
          <w:bCs/>
          <w:sz w:val="28"/>
          <w:szCs w:val="28"/>
        </w:rPr>
      </w:pPr>
      <w:bookmarkStart w:id="55" w:name="_Toc14369"/>
      <w:r>
        <w:rPr>
          <w:rFonts w:hint="eastAsia"/>
          <w:b/>
          <w:bCs/>
          <w:sz w:val="28"/>
          <w:szCs w:val="28"/>
        </w:rPr>
        <w:t>（一）评标方法</w:t>
      </w:r>
      <w:bookmarkEnd w:id="5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本项目采用综合评分法，即投标文件满足招标文件全部实质性要求，且按照评审因素的量化指标评审得分最高的供应商为中标候选人。</w:t>
      </w:r>
    </w:p>
    <w:p>
      <w:pPr>
        <w:pStyle w:val="102"/>
        <w:ind w:firstLine="579"/>
        <w:rPr>
          <w:b/>
          <w:bCs/>
          <w:sz w:val="28"/>
          <w:szCs w:val="28"/>
        </w:rPr>
      </w:pPr>
      <w:bookmarkStart w:id="56" w:name="_Toc15322"/>
      <w:r>
        <w:rPr>
          <w:rFonts w:hint="eastAsia"/>
          <w:b/>
          <w:bCs/>
          <w:sz w:val="28"/>
          <w:szCs w:val="28"/>
        </w:rPr>
        <w:t>（二）评标程序</w:t>
      </w:r>
      <w:bookmarkEnd w:id="56"/>
    </w:p>
    <w:p>
      <w:pPr>
        <w:pStyle w:val="102"/>
        <w:ind w:firstLine="577"/>
        <w:rPr>
          <w:sz w:val="28"/>
          <w:szCs w:val="28"/>
        </w:rPr>
      </w:pPr>
      <w:bookmarkStart w:id="57" w:name="_Toc19236"/>
      <w:r>
        <w:rPr>
          <w:rFonts w:hint="eastAsia"/>
          <w:sz w:val="28"/>
          <w:szCs w:val="28"/>
        </w:rPr>
        <w:t>1．组建评标委员会</w:t>
      </w:r>
      <w:bookmarkEnd w:id="5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由采购代理机构组织评标委员会推选评标组长，采购人代表不得担任组长。</w:t>
      </w:r>
    </w:p>
    <w:p>
      <w:pPr>
        <w:pStyle w:val="102"/>
        <w:ind w:firstLine="577"/>
        <w:rPr>
          <w:sz w:val="28"/>
          <w:szCs w:val="28"/>
        </w:rPr>
      </w:pPr>
      <w:bookmarkStart w:id="58" w:name="_Toc1683"/>
      <w:r>
        <w:rPr>
          <w:rFonts w:hint="eastAsia"/>
          <w:sz w:val="28"/>
          <w:szCs w:val="28"/>
        </w:rPr>
        <w:t>2．投标文件的符合性审查</w:t>
      </w:r>
      <w:bookmarkEnd w:id="5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供应商资格性审查通过后，评标委员会对符合资格的投标人的投标文件进行符合性审查，以确定其是否满足招标文件的实质性要求。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cs="宋体"/>
          <w:sz w:val="28"/>
          <w:szCs w:val="28"/>
        </w:rPr>
      </w:pPr>
      <w:r>
        <w:rPr>
          <w:rFonts w:hint="eastAsia" w:ascii="宋体" w:hAnsi="宋体" w:eastAsia="宋体" w:cs="宋体"/>
          <w:sz w:val="28"/>
          <w:szCs w:val="28"/>
        </w:rPr>
        <w:t>〖符合性审查表〗</w:t>
      </w:r>
    </w:p>
    <w:tbl>
      <w:tblPr>
        <w:tblStyle w:val="35"/>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392" w:type="dxa"/>
            <w:tcBorders>
              <w:top w:val="single" w:color="auto" w:sz="2" w:space="0"/>
            </w:tcBorders>
            <w:vAlign w:val="center"/>
          </w:tcPr>
          <w:p>
            <w:pPr>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rPr>
              <w:t>投标报价是否超过预算或最高限价</w:t>
            </w:r>
          </w:p>
        </w:tc>
        <w:tc>
          <w:tcPr>
            <w:tcW w:w="5498" w:type="dxa"/>
            <w:tcBorders>
              <w:top w:val="single" w:color="auto" w:sz="2" w:space="0"/>
            </w:tcBorders>
            <w:vAlign w:val="center"/>
          </w:tcPr>
          <w:p>
            <w:pPr>
              <w:jc w:val="both"/>
              <w:rPr>
                <w:rFonts w:hint="eastAsia" w:ascii="宋体" w:hAnsi="宋体" w:eastAsia="宋体" w:cs="宋体"/>
                <w:sz w:val="28"/>
                <w:szCs w:val="28"/>
              </w:rPr>
            </w:pPr>
            <w:r>
              <w:rPr>
                <w:rFonts w:hint="eastAsia" w:ascii="宋体" w:hAnsi="宋体" w:eastAsia="宋体" w:cs="宋体"/>
                <w:sz w:val="28"/>
                <w:szCs w:val="28"/>
              </w:rPr>
              <w:t>投标报价未超过预算或最高限价</w:t>
            </w:r>
          </w:p>
          <w:p>
            <w:pPr>
              <w:jc w:val="both"/>
              <w:rPr>
                <w:rFonts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lang w:val="en-US" w:eastAsia="zh-CN"/>
              </w:rPr>
              <w:t>服务期</w:t>
            </w:r>
            <w:r>
              <w:rPr>
                <w:rFonts w:hint="eastAsia" w:ascii="宋体" w:hAnsi="宋体" w:eastAsia="宋体" w:cs="宋体"/>
                <w:sz w:val="28"/>
                <w:szCs w:val="28"/>
              </w:rPr>
              <w:t>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lang w:val="en-US" w:eastAsia="zh-CN"/>
              </w:rPr>
              <w:t>服务期</w:t>
            </w:r>
            <w:r>
              <w:rPr>
                <w:rFonts w:hint="eastAsia" w:ascii="宋体" w:hAnsi="宋体" w:eastAsia="宋体" w:cs="宋体"/>
                <w:sz w:val="28"/>
                <w:szCs w:val="28"/>
              </w:rPr>
              <w:t>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2392" w:type="dxa"/>
            <w:vAlign w:val="center"/>
          </w:tcPr>
          <w:p>
            <w:pPr>
              <w:jc w:val="both"/>
              <w:rPr>
                <w:rFonts w:ascii="宋体" w:hAnsi="宋体" w:eastAsia="宋体" w:cs="宋体"/>
                <w:sz w:val="28"/>
                <w:szCs w:val="28"/>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的服务内容是否满足招标文件要求</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投标文件</w:t>
            </w:r>
            <w:r>
              <w:rPr>
                <w:rFonts w:hint="eastAsia" w:ascii="宋体" w:hAnsi="宋体" w:eastAsia="宋体" w:cs="宋体"/>
                <w:sz w:val="28"/>
                <w:szCs w:val="28"/>
                <w:lang w:val="en-US" w:eastAsia="zh-CN"/>
              </w:rPr>
              <w:t>的服务内容满足招标文件要求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p>
        </w:tc>
        <w:tc>
          <w:tcPr>
            <w:tcW w:w="2392" w:type="dxa"/>
            <w:vAlign w:val="center"/>
          </w:tcPr>
          <w:p>
            <w:pPr>
              <w:spacing w:line="560" w:lineRule="exact"/>
              <w:jc w:val="center"/>
              <w:rPr>
                <w:rFonts w:ascii="宋体" w:hAnsi="宋体" w:eastAsia="宋体" w:cs="宋体"/>
                <w:sz w:val="28"/>
                <w:szCs w:val="28"/>
              </w:rPr>
            </w:pPr>
            <w:r>
              <w:rPr>
                <w:rFonts w:hint="eastAsia" w:ascii="宋体" w:hAnsi="宋体" w:eastAsia="宋体" w:cs="宋体"/>
                <w:sz w:val="28"/>
                <w:szCs w:val="28"/>
              </w:rPr>
              <w:t>投标文件有效期</w:t>
            </w:r>
          </w:p>
        </w:tc>
        <w:tc>
          <w:tcPr>
            <w:tcW w:w="5498" w:type="dxa"/>
            <w:vAlign w:val="center"/>
          </w:tcPr>
          <w:p>
            <w:pPr>
              <w:jc w:val="both"/>
              <w:rPr>
                <w:rFonts w:ascii="宋体" w:hAnsi="宋体" w:eastAsia="宋体" w:cs="宋体"/>
                <w:sz w:val="28"/>
                <w:szCs w:val="28"/>
              </w:rPr>
            </w:pPr>
            <w:r>
              <w:rPr>
                <w:rFonts w:hint="eastAsia" w:ascii="宋体" w:hAnsi="宋体" w:eastAsia="宋体" w:cs="宋体"/>
                <w:sz w:val="28"/>
                <w:szCs w:val="28"/>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8"/>
                <w:szCs w:val="28"/>
                <w:lang w:val="en-US" w:eastAsia="zh-CN"/>
              </w:rPr>
            </w:pPr>
            <w:bookmarkStart w:id="59" w:name="_Toc11857"/>
            <w:r>
              <w:rPr>
                <w:rFonts w:hint="eastAsia" w:ascii="宋体" w:hAnsi="宋体" w:eastAsia="宋体" w:cs="宋体"/>
                <w:sz w:val="28"/>
                <w:szCs w:val="28"/>
                <w:lang w:val="en-US" w:eastAsia="zh-CN"/>
              </w:rPr>
              <w:t>5</w:t>
            </w:r>
          </w:p>
        </w:tc>
        <w:tc>
          <w:tcPr>
            <w:tcW w:w="2392" w:type="dxa"/>
            <w:vAlign w:val="center"/>
          </w:tcPr>
          <w:p>
            <w:pPr>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投标文件的商务条款是否满足招标文件要求</w:t>
            </w:r>
          </w:p>
        </w:tc>
        <w:tc>
          <w:tcPr>
            <w:tcW w:w="5498" w:type="dxa"/>
            <w:vAlign w:val="center"/>
          </w:tcPr>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投标文件的商务条款满足招标文件要求</w:t>
            </w:r>
          </w:p>
        </w:tc>
      </w:tr>
    </w:tbl>
    <w:p>
      <w:pPr>
        <w:pStyle w:val="102"/>
        <w:ind w:firstLine="577"/>
        <w:rPr>
          <w:sz w:val="28"/>
          <w:szCs w:val="28"/>
        </w:rPr>
      </w:pPr>
      <w:r>
        <w:rPr>
          <w:rFonts w:hint="eastAsia"/>
          <w:sz w:val="28"/>
          <w:szCs w:val="28"/>
        </w:rPr>
        <w:t>3．综合比较与评价</w:t>
      </w:r>
      <w:bookmarkEnd w:id="5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评标委员会按《评审要素及分值一览表》中规定的评标方法和标准，对通过符合性审查的投标文件进行商务和技术评估，综合比较与评价。</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出现下列情形的，供应商投标无效：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（1）投标文件报价出现本章第五小节“投标报价”所列需要修正情形，但供应商对修正后的报价不予确认的；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cs="宋体"/>
          <w:sz w:val="28"/>
          <w:szCs w:val="28"/>
        </w:rPr>
      </w:pPr>
      <w:r>
        <w:rPr>
          <w:rFonts w:hint="eastAsia" w:ascii="宋体" w:hAnsi="宋体" w:eastAsia="宋体" w:cs="宋体"/>
          <w:sz w:val="28"/>
          <w:szCs w:val="28"/>
        </w:rPr>
        <w:br w:type="page"/>
      </w:r>
    </w:p>
    <w:p>
      <w:pPr>
        <w:spacing w:line="560" w:lineRule="exact"/>
        <w:jc w:val="both"/>
        <w:rPr>
          <w:rFonts w:ascii="宋体" w:hAnsi="宋体" w:eastAsia="宋体" w:cs="宋体"/>
          <w:sz w:val="28"/>
          <w:szCs w:val="28"/>
        </w:rPr>
      </w:pPr>
      <w:r>
        <w:rPr>
          <w:rFonts w:hint="eastAsia" w:ascii="宋体" w:hAnsi="宋体" w:eastAsia="宋体" w:cs="宋体"/>
          <w:sz w:val="28"/>
          <w:szCs w:val="28"/>
        </w:rPr>
        <w:t>〖评审要素及分值一览表〗</w:t>
      </w:r>
    </w:p>
    <w:p>
      <w:pPr>
        <w:pStyle w:val="6"/>
        <w:numPr>
          <w:ilvl w:val="3"/>
          <w:numId w:val="0"/>
        </w:numPr>
        <w:rPr>
          <w:rFonts w:hint="eastAsia" w:eastAsia="宋体"/>
          <w:highlight w:val="none"/>
        </w:rPr>
      </w:pPr>
      <w:r>
        <w:rPr>
          <w:rFonts w:hint="eastAsia" w:eastAsia="宋体"/>
          <w:highlight w:val="none"/>
        </w:rPr>
        <w:t>评分标准：</w:t>
      </w:r>
    </w:p>
    <w:tbl>
      <w:tblPr>
        <w:tblStyle w:val="3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276"/>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bCs/>
                <w:sz w:val="24"/>
              </w:rPr>
            </w:pPr>
            <w:r>
              <w:rPr>
                <w:rFonts w:hint="eastAsia" w:ascii="宋体" w:hAnsi="宋体"/>
                <w:b/>
                <w:sz w:val="24"/>
              </w:rPr>
              <w:t>投标</w:t>
            </w:r>
            <w:r>
              <w:rPr>
                <w:rFonts w:hint="eastAsia" w:ascii="宋体" w:hAnsi="宋体"/>
                <w:b/>
                <w:bCs/>
                <w:sz w:val="24"/>
              </w:rPr>
              <w:t>报价</w:t>
            </w:r>
          </w:p>
          <w:p>
            <w:pPr>
              <w:spacing w:line="440" w:lineRule="exact"/>
              <w:jc w:val="center"/>
              <w:rPr>
                <w:rFonts w:ascii="宋体" w:hAnsi="宋体"/>
                <w:b/>
                <w:bCs/>
                <w:sz w:val="24"/>
              </w:rPr>
            </w:pPr>
            <w:r>
              <w:rPr>
                <w:rFonts w:hint="eastAsia" w:ascii="宋体" w:hAnsi="宋体"/>
                <w:b/>
                <w:bCs/>
                <w:sz w:val="24"/>
              </w:rPr>
              <w:t>（</w:t>
            </w:r>
            <w:r>
              <w:rPr>
                <w:rFonts w:ascii="宋体" w:hAnsi="宋体"/>
                <w:b/>
                <w:bCs/>
                <w:sz w:val="24"/>
              </w:rPr>
              <w:t>1</w:t>
            </w:r>
            <w:r>
              <w:rPr>
                <w:rFonts w:hint="eastAsia" w:ascii="宋体" w:hAnsi="宋体"/>
                <w:b/>
                <w:bCs/>
                <w:sz w:val="24"/>
                <w:lang w:val="en-US" w:eastAsia="zh-CN"/>
              </w:rPr>
              <w:t>0</w:t>
            </w:r>
            <w:r>
              <w:rPr>
                <w:rFonts w:hint="eastAsia" w:ascii="宋体" w:hAnsi="宋体"/>
                <w:b/>
                <w:bCs/>
                <w:sz w:val="24"/>
              </w:rPr>
              <w:t>分）</w:t>
            </w:r>
          </w:p>
        </w:tc>
        <w:tc>
          <w:tcPr>
            <w:tcW w:w="765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sz w:val="24"/>
              </w:rPr>
            </w:pPr>
            <w:r>
              <w:rPr>
                <w:rFonts w:hint="eastAsia" w:ascii="宋体" w:hAnsi="宋体"/>
                <w:sz w:val="24"/>
              </w:rPr>
              <w:t>经初审合格的投标响应文件，其投标报价为有效投标价。</w:t>
            </w:r>
          </w:p>
          <w:p>
            <w:pPr>
              <w:spacing w:line="440" w:lineRule="exact"/>
              <w:rPr>
                <w:rFonts w:hint="eastAsia" w:ascii="宋体" w:hAnsi="宋体"/>
                <w:sz w:val="24"/>
              </w:rPr>
            </w:pPr>
            <w:r>
              <w:rPr>
                <w:rFonts w:hint="eastAsia" w:ascii="宋体" w:hAnsi="宋体"/>
                <w:sz w:val="24"/>
              </w:rPr>
              <w:t>评标基准价：即满足招标文件要求且投标价格最低的投标报价为评标基准价。</w:t>
            </w:r>
          </w:p>
          <w:p>
            <w:pPr>
              <w:spacing w:line="440" w:lineRule="exact"/>
              <w:rPr>
                <w:rFonts w:hint="default" w:ascii="宋体" w:hAnsi="宋体" w:eastAsiaTheme="minorEastAsia"/>
                <w:sz w:val="24"/>
                <w:lang w:val="en-US" w:eastAsia="zh-CN"/>
              </w:rPr>
            </w:pPr>
            <w:r>
              <w:rPr>
                <w:rFonts w:hint="eastAsia" w:ascii="宋体" w:hAnsi="宋体"/>
                <w:sz w:val="24"/>
              </w:rPr>
              <w:t>其他供应商的价格分统一按照下列公式计算。投标报价得分=(评标基准价／投标报价)×</w:t>
            </w:r>
            <w:r>
              <w:rPr>
                <w:rFonts w:hint="eastAsia" w:ascii="宋体" w:hAnsi="宋体"/>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bCs/>
                <w:sz w:val="24"/>
              </w:rPr>
            </w:pPr>
            <w:r>
              <w:rPr>
                <w:rFonts w:hint="eastAsia" w:ascii="宋体" w:hAnsi="宋体"/>
                <w:b/>
                <w:sz w:val="24"/>
              </w:rPr>
              <w:t>服务方案</w:t>
            </w:r>
            <w:r>
              <w:rPr>
                <w:rFonts w:hint="eastAsia" w:ascii="宋体" w:hAnsi="宋体"/>
                <w:b/>
                <w:bCs/>
                <w:sz w:val="24"/>
              </w:rPr>
              <w:t>（</w:t>
            </w:r>
            <w:r>
              <w:rPr>
                <w:rFonts w:hint="eastAsia" w:ascii="宋体" w:hAnsi="宋体"/>
                <w:b/>
                <w:bCs/>
                <w:sz w:val="24"/>
                <w:lang w:val="en-US" w:eastAsia="zh-CN"/>
              </w:rPr>
              <w:t>50</w:t>
            </w:r>
            <w:r>
              <w:rPr>
                <w:rFonts w:hint="eastAsia" w:ascii="宋体" w:hAnsi="宋体"/>
                <w:b/>
                <w:bCs/>
                <w:sz w:val="24"/>
              </w:rPr>
              <w:t>分）</w:t>
            </w:r>
          </w:p>
        </w:tc>
        <w:tc>
          <w:tcPr>
            <w:tcW w:w="1276" w:type="dxa"/>
            <w:tcBorders>
              <w:top w:val="single" w:color="auto" w:sz="4" w:space="0"/>
              <w:left w:val="single" w:color="auto" w:sz="4" w:space="0"/>
              <w:right w:val="single" w:color="auto" w:sz="4" w:space="0"/>
            </w:tcBorders>
            <w:noWrap w:val="0"/>
            <w:vAlign w:val="center"/>
          </w:tcPr>
          <w:p>
            <w:pPr>
              <w:kinsoku w:val="0"/>
              <w:spacing w:line="440" w:lineRule="exact"/>
              <w:rPr>
                <w:rFonts w:ascii="宋体" w:hAnsi="宋体"/>
                <w:b/>
                <w:sz w:val="24"/>
              </w:rPr>
            </w:pPr>
            <w:r>
              <w:rPr>
                <w:rFonts w:hint="eastAsia" w:ascii="宋体" w:hAnsi="宋体"/>
                <w:sz w:val="24"/>
              </w:rPr>
              <w:t>赛事总体策划方案（</w:t>
            </w:r>
            <w:r>
              <w:rPr>
                <w:rFonts w:hint="eastAsia" w:ascii="宋体" w:hAnsi="宋体"/>
                <w:sz w:val="24"/>
                <w:lang w:val="en-US" w:eastAsia="zh-CN"/>
              </w:rPr>
              <w:t>5</w:t>
            </w:r>
            <w:r>
              <w:rPr>
                <w:rFonts w:hint="eastAsia" w:ascii="宋体" w:hAnsi="宋体"/>
                <w:sz w:val="24"/>
              </w:rPr>
              <w:t>分）</w:t>
            </w:r>
          </w:p>
        </w:tc>
        <w:tc>
          <w:tcPr>
            <w:tcW w:w="6377" w:type="dxa"/>
            <w:tcBorders>
              <w:top w:val="single" w:color="auto" w:sz="4" w:space="0"/>
              <w:left w:val="single" w:color="auto" w:sz="4" w:space="0"/>
              <w:right w:val="single" w:color="auto" w:sz="4" w:space="0"/>
            </w:tcBorders>
            <w:noWrap w:val="0"/>
            <w:vAlign w:val="center"/>
          </w:tcPr>
          <w:p>
            <w:pPr>
              <w:wordWrap w:val="0"/>
              <w:spacing w:line="420" w:lineRule="exact"/>
              <w:rPr>
                <w:rFonts w:hint="eastAsia" w:ascii="宋体" w:hAnsi="宋体" w:eastAsiaTheme="minorEastAsia"/>
                <w:sz w:val="24"/>
                <w:lang w:eastAsia="zh-CN"/>
              </w:rPr>
            </w:pPr>
            <w:r>
              <w:rPr>
                <w:rFonts w:hint="eastAsia" w:ascii="宋体" w:hAnsi="宋体"/>
                <w:bCs/>
                <w:sz w:val="24"/>
              </w:rPr>
              <w:t>投标单位</w:t>
            </w:r>
            <w:r>
              <w:rPr>
                <w:rFonts w:hint="eastAsia" w:ascii="宋体" w:hAnsi="宋体" w:cs="宋体"/>
                <w:sz w:val="24"/>
              </w:rPr>
              <w:t>须结合相关活动，制定科学、合理、细致的</w:t>
            </w:r>
            <w:r>
              <w:rPr>
                <w:rFonts w:ascii="宋体" w:hAnsi="宋体" w:cs="宋体"/>
                <w:sz w:val="24"/>
              </w:rPr>
              <w:t>总体策划方案</w:t>
            </w:r>
            <w:r>
              <w:rPr>
                <w:rFonts w:hint="eastAsia" w:ascii="宋体" w:hAnsi="宋体" w:cs="宋体"/>
                <w:sz w:val="24"/>
              </w:rPr>
              <w:t>；同时</w:t>
            </w:r>
            <w:r>
              <w:rPr>
                <w:rFonts w:hint="eastAsia" w:ascii="宋体" w:hAnsi="宋体"/>
                <w:sz w:val="24"/>
              </w:rPr>
              <w:t>对各项活动市场开发、城市魅力、城市旅游营销等方面具有科学有效的可行措施</w:t>
            </w:r>
            <w:r>
              <w:rPr>
                <w:rFonts w:hint="eastAsia" w:ascii="宋体" w:hAnsi="宋体"/>
                <w:sz w:val="24"/>
                <w:lang w:eastAsia="zh-CN"/>
              </w:rPr>
              <w:t>，方案完整全面、合理可行得</w:t>
            </w:r>
            <w:r>
              <w:rPr>
                <w:rFonts w:hint="eastAsia" w:ascii="宋体" w:hAnsi="宋体"/>
                <w:sz w:val="24"/>
                <w:lang w:val="en-US" w:eastAsia="zh-CN"/>
              </w:rPr>
              <w:t>3.1</w:t>
            </w: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分；方案简单堆砌，且与本项目不实际切合计0</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分，</w:t>
            </w:r>
            <w:r>
              <w:rPr>
                <w:rFonts w:hint="eastAsia" w:ascii="宋体" w:hAnsi="宋体"/>
                <w:sz w:val="24"/>
                <w:lang w:val="en-US" w:eastAsia="zh-CN"/>
              </w:rPr>
              <w:t>未提供不得分</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bCs/>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insoku w:val="0"/>
              <w:spacing w:line="440" w:lineRule="exact"/>
              <w:rPr>
                <w:rFonts w:ascii="宋体" w:hAnsi="宋体"/>
                <w:sz w:val="24"/>
              </w:rPr>
            </w:pPr>
            <w:r>
              <w:rPr>
                <w:rFonts w:hint="eastAsia" w:ascii="宋体" w:hAnsi="宋体"/>
                <w:sz w:val="24"/>
              </w:rPr>
              <w:t>赛事具体</w:t>
            </w:r>
            <w:r>
              <w:rPr>
                <w:rFonts w:hint="eastAsia" w:ascii="宋体" w:hAnsi="宋体"/>
                <w:sz w:val="24"/>
                <w:lang w:val="en-US" w:eastAsia="zh-CN"/>
              </w:rPr>
              <w:t>组织</w:t>
            </w:r>
            <w:r>
              <w:rPr>
                <w:rFonts w:hint="eastAsia" w:ascii="宋体" w:hAnsi="宋体"/>
                <w:sz w:val="24"/>
              </w:rPr>
              <w:t>方案</w:t>
            </w:r>
          </w:p>
          <w:p>
            <w:pPr>
              <w:kinsoku w:val="0"/>
              <w:spacing w:line="440" w:lineRule="exact"/>
              <w:rPr>
                <w:rFonts w:ascii="宋体" w:hAnsi="宋体"/>
                <w:sz w:val="24"/>
              </w:rPr>
            </w:pPr>
            <w:r>
              <w:rPr>
                <w:rFonts w:hint="eastAsia" w:ascii="宋体" w:hAnsi="宋体"/>
                <w:sz w:val="24"/>
              </w:rPr>
              <w:t>（</w:t>
            </w:r>
            <w:r>
              <w:rPr>
                <w:rFonts w:hint="eastAsia" w:ascii="宋体" w:hAnsi="宋体"/>
                <w:sz w:val="24"/>
                <w:lang w:val="en-US" w:eastAsia="zh-CN"/>
              </w:rPr>
              <w:t>45</w:t>
            </w:r>
            <w:r>
              <w:rPr>
                <w:rFonts w:hint="eastAsia" w:ascii="宋体" w:hAnsi="宋体"/>
                <w:sz w:val="24"/>
              </w:rPr>
              <w:t>分</w:t>
            </w:r>
            <w:r>
              <w:rPr>
                <w:rFonts w:ascii="宋体" w:hAnsi="宋体"/>
                <w:sz w:val="24"/>
              </w:rPr>
              <w:t>）</w:t>
            </w:r>
          </w:p>
        </w:tc>
        <w:tc>
          <w:tcPr>
            <w:tcW w:w="6377" w:type="dxa"/>
            <w:tcBorders>
              <w:top w:val="single" w:color="auto" w:sz="4" w:space="0"/>
              <w:left w:val="single" w:color="auto" w:sz="4" w:space="0"/>
              <w:bottom w:val="single" w:color="auto" w:sz="4" w:space="0"/>
              <w:right w:val="single" w:color="auto" w:sz="4" w:space="0"/>
            </w:tcBorders>
            <w:noWrap w:val="0"/>
            <w:vAlign w:val="center"/>
          </w:tcPr>
          <w:p>
            <w:pPr>
              <w:kinsoku w:val="0"/>
              <w:spacing w:line="440" w:lineRule="exact"/>
            </w:pPr>
            <w:r>
              <w:rPr>
                <w:rFonts w:hint="eastAsia"/>
              </w:rPr>
              <w:t>根据每项</w:t>
            </w:r>
            <w:r>
              <w:rPr>
                <w:rFonts w:hint="eastAsia"/>
                <w:lang w:val="en-US" w:eastAsia="zh-CN"/>
              </w:rPr>
              <w:t>组织</w:t>
            </w:r>
            <w:r>
              <w:rPr>
                <w:rFonts w:hint="eastAsia"/>
              </w:rPr>
              <w:t>方案是否满足采购需求以及方案</w:t>
            </w:r>
            <w:r>
              <w:t>的</w:t>
            </w:r>
            <w:r>
              <w:rPr>
                <w:rFonts w:hint="eastAsia"/>
              </w:rPr>
              <w:t>合理性、可操作性综合</w:t>
            </w:r>
            <w:r>
              <w:t>赋分</w:t>
            </w:r>
            <w:r>
              <w:rPr>
                <w:rFonts w:hint="eastAsia"/>
              </w:rPr>
              <w:t>：</w:t>
            </w:r>
          </w:p>
          <w:p>
            <w:pPr>
              <w:wordWrap w:val="0"/>
              <w:spacing w:line="420" w:lineRule="exact"/>
              <w:rPr>
                <w:rFonts w:ascii="宋体" w:hAnsi="宋体" w:cs="宋体"/>
                <w:sz w:val="24"/>
              </w:rPr>
            </w:pPr>
            <w:r>
              <w:rPr>
                <w:rFonts w:hint="eastAsia" w:ascii="宋体" w:hAnsi="宋体" w:cs="宋体"/>
                <w:sz w:val="24"/>
              </w:rPr>
              <w:t>1、竞赛和器材保障方案。（0</w:t>
            </w:r>
            <w:r>
              <w:rPr>
                <w:rFonts w:ascii="宋体" w:hAnsi="宋体" w:cs="宋体"/>
                <w:sz w:val="24"/>
              </w:rPr>
              <w:t>-</w:t>
            </w:r>
            <w:r>
              <w:rPr>
                <w:rFonts w:hint="eastAsia" w:ascii="宋体" w:hAnsi="宋体" w:cs="宋体"/>
                <w:sz w:val="24"/>
                <w:lang w:val="en-US" w:eastAsia="zh-CN"/>
              </w:rPr>
              <w:t>4</w:t>
            </w:r>
            <w:r>
              <w:rPr>
                <w:rFonts w:hint="eastAsia" w:ascii="宋体" w:hAnsi="宋体" w:cs="宋体"/>
                <w:sz w:val="24"/>
              </w:rPr>
              <w:t>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2、志愿者招募管理方案。（0</w:t>
            </w:r>
            <w:r>
              <w:rPr>
                <w:rFonts w:ascii="宋体" w:hAnsi="宋体" w:cs="宋体"/>
                <w:sz w:val="24"/>
              </w:rPr>
              <w:t>-</w:t>
            </w:r>
            <w:r>
              <w:rPr>
                <w:rFonts w:hint="eastAsia" w:ascii="宋体" w:hAnsi="宋体" w:cs="宋体"/>
                <w:sz w:val="24"/>
                <w:lang w:val="en-US" w:eastAsia="zh-CN"/>
              </w:rPr>
              <w:t>3</w:t>
            </w:r>
            <w:r>
              <w:rPr>
                <w:rFonts w:hint="eastAsia" w:ascii="宋体" w:hAnsi="宋体" w:cs="宋体"/>
                <w:sz w:val="24"/>
              </w:rPr>
              <w:t>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3、宣传推广方案。（0</w:t>
            </w:r>
            <w:r>
              <w:rPr>
                <w:rFonts w:ascii="宋体" w:hAnsi="宋体" w:cs="宋体"/>
                <w:sz w:val="24"/>
              </w:rPr>
              <w:t>-</w:t>
            </w:r>
            <w:r>
              <w:rPr>
                <w:rFonts w:hint="eastAsia" w:ascii="宋体" w:hAnsi="宋体" w:cs="宋体"/>
                <w:sz w:val="24"/>
              </w:rPr>
              <w:t>3分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4、后勤保障方案。（0</w:t>
            </w:r>
            <w:r>
              <w:rPr>
                <w:rFonts w:ascii="宋体" w:hAnsi="宋体" w:cs="宋体"/>
                <w:sz w:val="24"/>
              </w:rPr>
              <w:t>-</w:t>
            </w:r>
            <w:r>
              <w:rPr>
                <w:rFonts w:hint="eastAsia" w:ascii="宋体" w:hAnsi="宋体" w:cs="宋体"/>
                <w:sz w:val="24"/>
                <w:lang w:val="en-US" w:eastAsia="zh-CN"/>
              </w:rPr>
              <w:t>4</w:t>
            </w:r>
            <w:r>
              <w:rPr>
                <w:rFonts w:hint="eastAsia" w:ascii="宋体" w:hAnsi="宋体" w:cs="宋体"/>
                <w:sz w:val="24"/>
              </w:rPr>
              <w:t>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5、赛道勘察及赛事路线方案。（0</w:t>
            </w:r>
            <w:r>
              <w:rPr>
                <w:rFonts w:ascii="宋体" w:hAnsi="宋体" w:cs="宋体"/>
                <w:sz w:val="24"/>
              </w:rPr>
              <w:t>-</w:t>
            </w:r>
            <w:r>
              <w:rPr>
                <w:rFonts w:hint="eastAsia" w:ascii="宋体" w:hAnsi="宋体" w:cs="宋体"/>
                <w:sz w:val="24"/>
              </w:rPr>
              <w:t>3分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6、运动员服务方案。（0</w:t>
            </w:r>
            <w:r>
              <w:rPr>
                <w:rFonts w:ascii="宋体" w:hAnsi="宋体" w:cs="宋体"/>
                <w:sz w:val="24"/>
              </w:rPr>
              <w:t>-</w:t>
            </w:r>
            <w:r>
              <w:rPr>
                <w:rFonts w:hint="eastAsia" w:ascii="宋体" w:hAnsi="宋体" w:cs="宋体"/>
                <w:sz w:val="24"/>
              </w:rPr>
              <w:t>3分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7、商务开发方案。（0</w:t>
            </w:r>
            <w:r>
              <w:rPr>
                <w:rFonts w:ascii="宋体" w:hAnsi="宋体" w:cs="宋体"/>
                <w:sz w:val="24"/>
              </w:rPr>
              <w:t>-</w:t>
            </w:r>
            <w:r>
              <w:rPr>
                <w:rFonts w:hint="eastAsia" w:ascii="宋体" w:hAnsi="宋体" w:cs="宋体"/>
                <w:sz w:val="24"/>
                <w:lang w:val="en-US" w:eastAsia="zh-CN"/>
              </w:rPr>
              <w:t>4</w:t>
            </w:r>
            <w:r>
              <w:rPr>
                <w:rFonts w:hint="eastAsia" w:ascii="宋体" w:hAnsi="宋体" w:cs="宋体"/>
                <w:sz w:val="24"/>
              </w:rPr>
              <w:t>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8、赛事医疗</w:t>
            </w:r>
            <w:r>
              <w:rPr>
                <w:rFonts w:hint="eastAsia" w:ascii="宋体" w:hAnsi="宋体" w:cs="宋体"/>
                <w:sz w:val="24"/>
                <w:lang w:val="en-US" w:eastAsia="zh-CN"/>
              </w:rPr>
              <w:t>救援</w:t>
            </w:r>
            <w:r>
              <w:rPr>
                <w:rFonts w:hint="eastAsia" w:ascii="宋体" w:hAnsi="宋体" w:cs="宋体"/>
                <w:sz w:val="24"/>
              </w:rPr>
              <w:t>工作方案，须提供与知名医疗救助机构合作协议，未提供不得分。（0</w:t>
            </w:r>
            <w:r>
              <w:rPr>
                <w:rFonts w:ascii="宋体" w:hAnsi="宋体" w:cs="宋体"/>
                <w:sz w:val="24"/>
              </w:rPr>
              <w:t>-4</w:t>
            </w:r>
            <w:r>
              <w:rPr>
                <w:rFonts w:hint="eastAsia" w:ascii="宋体" w:hAnsi="宋体" w:cs="宋体"/>
                <w:sz w:val="24"/>
              </w:rPr>
              <w:t>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9、赛事安保工作方案。（0</w:t>
            </w:r>
            <w:r>
              <w:rPr>
                <w:rFonts w:ascii="宋体" w:hAnsi="宋体" w:cs="宋体"/>
                <w:sz w:val="24"/>
              </w:rPr>
              <w:t>-</w:t>
            </w:r>
            <w:r>
              <w:rPr>
                <w:rFonts w:hint="eastAsia" w:ascii="宋体" w:hAnsi="宋体" w:cs="宋体"/>
                <w:sz w:val="24"/>
                <w:lang w:val="en-US" w:eastAsia="zh-CN"/>
              </w:rPr>
              <w:t>3</w:t>
            </w:r>
            <w:r>
              <w:rPr>
                <w:rFonts w:hint="eastAsia" w:ascii="宋体" w:hAnsi="宋体" w:cs="宋体"/>
                <w:sz w:val="24"/>
              </w:rPr>
              <w:t>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10、应急预案</w:t>
            </w:r>
            <w:r>
              <w:rPr>
                <w:rFonts w:hint="eastAsia" w:ascii="宋体" w:hAnsi="宋体" w:cs="宋体"/>
                <w:sz w:val="24"/>
                <w:lang w:eastAsia="zh-CN"/>
              </w:rPr>
              <w:t>，</w:t>
            </w:r>
            <w:r>
              <w:rPr>
                <w:rFonts w:hint="eastAsia" w:ascii="宋体" w:hAnsi="宋体" w:cs="宋体"/>
                <w:sz w:val="24"/>
                <w:lang w:val="en-US" w:eastAsia="zh-CN"/>
              </w:rPr>
              <w:t>溶断机制</w:t>
            </w:r>
            <w:r>
              <w:rPr>
                <w:rFonts w:hint="eastAsia" w:ascii="宋体" w:hAnsi="宋体" w:cs="宋体"/>
                <w:sz w:val="24"/>
              </w:rPr>
              <w:t>。（0</w:t>
            </w:r>
            <w:r>
              <w:rPr>
                <w:rFonts w:ascii="宋体" w:hAnsi="宋体" w:cs="宋体"/>
                <w:sz w:val="24"/>
              </w:rPr>
              <w:t>-4</w:t>
            </w:r>
            <w:r>
              <w:rPr>
                <w:rFonts w:hint="eastAsia" w:ascii="宋体" w:hAnsi="宋体" w:cs="宋体"/>
                <w:sz w:val="24"/>
              </w:rPr>
              <w:t>分</w:t>
            </w:r>
            <w:r>
              <w:rPr>
                <w:rFonts w:ascii="宋体" w:hAnsi="宋体" w:cs="宋体"/>
                <w:sz w:val="24"/>
              </w:rPr>
              <w:t>）</w:t>
            </w:r>
          </w:p>
          <w:p>
            <w:pPr>
              <w:wordWrap w:val="0"/>
              <w:spacing w:line="420" w:lineRule="exact"/>
              <w:rPr>
                <w:rFonts w:ascii="宋体" w:hAnsi="宋体" w:cs="宋体"/>
                <w:sz w:val="24"/>
              </w:rPr>
            </w:pPr>
            <w:r>
              <w:rPr>
                <w:rFonts w:hint="eastAsia" w:ascii="宋体" w:hAnsi="宋体" w:cs="宋体"/>
                <w:sz w:val="24"/>
              </w:rPr>
              <w:t>11、赛道和场地布置方案。（0</w:t>
            </w:r>
            <w:r>
              <w:rPr>
                <w:rFonts w:ascii="宋体" w:hAnsi="宋体" w:cs="宋体"/>
                <w:sz w:val="24"/>
              </w:rPr>
              <w:t>-</w:t>
            </w:r>
            <w:r>
              <w:rPr>
                <w:rFonts w:hint="eastAsia" w:ascii="宋体" w:hAnsi="宋体" w:cs="宋体"/>
                <w:sz w:val="24"/>
              </w:rPr>
              <w:t>3分</w:t>
            </w:r>
            <w:r>
              <w:rPr>
                <w:rFonts w:ascii="宋体" w:hAnsi="宋体" w:cs="宋体"/>
                <w:sz w:val="24"/>
              </w:rPr>
              <w:t>）</w:t>
            </w:r>
          </w:p>
          <w:p>
            <w:pPr>
              <w:wordWrap w:val="0"/>
              <w:spacing w:line="420" w:lineRule="exact"/>
              <w:rPr>
                <w:rFonts w:hint="eastAsia" w:ascii="宋体" w:hAnsi="宋体" w:cs="宋体"/>
                <w:sz w:val="24"/>
              </w:rPr>
            </w:pPr>
            <w:r>
              <w:rPr>
                <w:rFonts w:hint="eastAsia" w:ascii="宋体" w:hAnsi="宋体" w:cs="宋体"/>
                <w:sz w:val="24"/>
              </w:rPr>
              <w:t>12、媒体宣传报道方案，须提供与省级及以上媒体合作协议，未提供不得分。（0-</w:t>
            </w:r>
            <w:r>
              <w:rPr>
                <w:rFonts w:hint="eastAsia" w:ascii="宋体" w:hAnsi="宋体" w:cs="宋体"/>
                <w:sz w:val="24"/>
                <w:lang w:val="en-US" w:eastAsia="zh-CN"/>
              </w:rPr>
              <w:t>4</w:t>
            </w:r>
            <w:r>
              <w:rPr>
                <w:rFonts w:hint="eastAsia" w:ascii="宋体" w:hAnsi="宋体" w:cs="宋体"/>
                <w:sz w:val="24"/>
              </w:rPr>
              <w:t>分）</w:t>
            </w:r>
          </w:p>
          <w:p>
            <w:pPr>
              <w:wordWrap w:val="0"/>
              <w:spacing w:line="420" w:lineRule="exact"/>
              <w:rPr>
                <w:rFonts w:hint="default" w:eastAsiaTheme="minorEastAsia"/>
                <w:lang w:val="en-US" w:eastAsia="zh-CN"/>
              </w:rPr>
            </w:pPr>
            <w:r>
              <w:rPr>
                <w:rFonts w:hint="eastAsia" w:ascii="宋体" w:hAnsi="宋体" w:cs="宋体"/>
                <w:sz w:val="24"/>
                <w:lang w:val="en-US" w:eastAsia="zh-CN"/>
              </w:rPr>
              <w:t>13、赛事成本控制方案。（0-3分）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47"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b/>
                <w:bCs/>
                <w:sz w:val="24"/>
              </w:rPr>
            </w:pPr>
            <w:r>
              <w:rPr>
                <w:rFonts w:hint="eastAsia" w:ascii="宋体" w:hAnsi="宋体"/>
                <w:b/>
                <w:sz w:val="24"/>
              </w:rPr>
              <w:t>组织管理</w:t>
            </w:r>
            <w:r>
              <w:rPr>
                <w:rFonts w:ascii="宋体" w:hAnsi="宋体"/>
                <w:b/>
                <w:sz w:val="24"/>
              </w:rPr>
              <w:t>机构</w:t>
            </w:r>
            <w:r>
              <w:rPr>
                <w:rFonts w:hint="eastAsia" w:ascii="宋体" w:hAnsi="宋体"/>
                <w:b/>
                <w:sz w:val="24"/>
              </w:rPr>
              <w:t>及</w:t>
            </w:r>
            <w:r>
              <w:rPr>
                <w:rFonts w:hint="eastAsia" w:ascii="宋体" w:hAnsi="宋体"/>
                <w:b/>
                <w:sz w:val="24"/>
                <w:lang w:val="en-US" w:eastAsia="zh-CN"/>
              </w:rPr>
              <w:t>人</w:t>
            </w:r>
            <w:r>
              <w:rPr>
                <w:rFonts w:hint="eastAsia" w:ascii="宋体" w:hAnsi="宋体"/>
                <w:b/>
                <w:bCs/>
                <w:sz w:val="24"/>
              </w:rPr>
              <w:t>员配备</w:t>
            </w:r>
          </w:p>
          <w:p>
            <w:pPr>
              <w:spacing w:line="440" w:lineRule="exact"/>
              <w:jc w:val="center"/>
              <w:rPr>
                <w:rFonts w:ascii="宋体" w:hAnsi="宋体"/>
                <w:b/>
                <w:sz w:val="24"/>
              </w:rPr>
            </w:pPr>
            <w:r>
              <w:rPr>
                <w:rFonts w:hint="eastAsia" w:ascii="宋体" w:hAnsi="宋体"/>
                <w:b/>
                <w:sz w:val="24"/>
              </w:rPr>
              <w:t>（10分</w:t>
            </w:r>
            <w:r>
              <w:rPr>
                <w:rFonts w:ascii="宋体" w:hAnsi="宋体"/>
                <w:b/>
                <w:sz w:val="24"/>
              </w:rPr>
              <w:t>）</w:t>
            </w:r>
          </w:p>
          <w:p>
            <w:pPr>
              <w:spacing w:line="440" w:lineRule="exact"/>
              <w:jc w:val="center"/>
              <w:rPr>
                <w:rFonts w:ascii="宋体" w:hAnsi="宋体"/>
                <w:sz w:val="24"/>
              </w:rPr>
            </w:pPr>
          </w:p>
        </w:tc>
        <w:tc>
          <w:tcPr>
            <w:tcW w:w="7653" w:type="dxa"/>
            <w:gridSpan w:val="2"/>
            <w:tcBorders>
              <w:top w:val="single" w:color="auto" w:sz="4" w:space="0"/>
              <w:left w:val="single" w:color="auto" w:sz="4" w:space="0"/>
              <w:right w:val="single" w:color="auto" w:sz="4" w:space="0"/>
            </w:tcBorders>
            <w:noWrap w:val="0"/>
            <w:vAlign w:val="center"/>
          </w:tcPr>
          <w:p>
            <w:pPr>
              <w:spacing w:line="440" w:lineRule="exact"/>
              <w:rPr>
                <w:rFonts w:ascii="宋体" w:hAnsi="宋体"/>
                <w:sz w:val="24"/>
              </w:rPr>
            </w:pPr>
            <w:r>
              <w:rPr>
                <w:rFonts w:hint="eastAsia" w:ascii="宋体" w:hAnsi="宋体"/>
                <w:bCs/>
                <w:sz w:val="24"/>
              </w:rPr>
              <w:t>投标单位</w:t>
            </w:r>
            <w:r>
              <w:rPr>
                <w:rFonts w:hint="eastAsia" w:ascii="宋体" w:hAnsi="宋体"/>
                <w:sz w:val="24"/>
              </w:rPr>
              <w:t>有完善的管理体系，针对本项目的服务组织机构、人员安排有具体方案，分工合理、责任明确，能确保本次赛事顺利执行。按其响应程度计0</w:t>
            </w:r>
            <w:r>
              <w:rPr>
                <w:rFonts w:ascii="宋体" w:hAnsi="宋体"/>
                <w:sz w:val="24"/>
              </w:rPr>
              <w:t>-</w:t>
            </w: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7" w:type="dxa"/>
            <w:vMerge w:val="continue"/>
            <w:tcBorders>
              <w:left w:val="single" w:color="auto" w:sz="4" w:space="0"/>
              <w:right w:val="single" w:color="auto" w:sz="4" w:space="0"/>
            </w:tcBorders>
            <w:noWrap w:val="0"/>
            <w:vAlign w:val="center"/>
          </w:tcPr>
          <w:p>
            <w:pPr>
              <w:spacing w:line="440" w:lineRule="exact"/>
              <w:jc w:val="center"/>
              <w:rPr>
                <w:rFonts w:ascii="宋体" w:hAnsi="宋体"/>
                <w:b/>
                <w:bCs/>
                <w:sz w:val="24"/>
              </w:rPr>
            </w:pPr>
          </w:p>
        </w:tc>
        <w:tc>
          <w:tcPr>
            <w:tcW w:w="7653" w:type="dxa"/>
            <w:gridSpan w:val="2"/>
            <w:tcBorders>
              <w:top w:val="single" w:color="auto" w:sz="4" w:space="0"/>
              <w:left w:val="single" w:color="auto" w:sz="4" w:space="0"/>
              <w:right w:val="single" w:color="auto" w:sz="4" w:space="0"/>
            </w:tcBorders>
            <w:noWrap w:val="0"/>
            <w:vAlign w:val="center"/>
          </w:tcPr>
          <w:p>
            <w:pPr>
              <w:spacing w:line="440" w:lineRule="exact"/>
              <w:rPr>
                <w:rFonts w:ascii="宋体" w:hAnsi="宋体"/>
                <w:sz w:val="24"/>
              </w:rPr>
            </w:pPr>
            <w:r>
              <w:rPr>
                <w:rFonts w:hint="eastAsia" w:ascii="宋体" w:hAnsi="宋体"/>
                <w:sz w:val="24"/>
              </w:rPr>
              <w:t>人员数量配置、到岗时间合理（提供人员配置表及到岗时间表），按其响应程度计0</w:t>
            </w:r>
            <w:r>
              <w:rPr>
                <w:rFonts w:ascii="宋体" w:hAnsi="宋体"/>
                <w:sz w:val="24"/>
              </w:rPr>
              <w:t>-</w:t>
            </w: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7" w:type="dxa"/>
            <w:vMerge w:val="continue"/>
            <w:tcBorders>
              <w:left w:val="single" w:color="auto" w:sz="4" w:space="0"/>
              <w:right w:val="single" w:color="auto" w:sz="4" w:space="0"/>
            </w:tcBorders>
            <w:noWrap w:val="0"/>
            <w:vAlign w:val="center"/>
          </w:tcPr>
          <w:p>
            <w:pPr>
              <w:spacing w:line="440" w:lineRule="exact"/>
              <w:jc w:val="center"/>
              <w:rPr>
                <w:rFonts w:ascii="宋体" w:hAnsi="宋体"/>
                <w:b/>
                <w:bCs/>
                <w:sz w:val="24"/>
              </w:rPr>
            </w:pPr>
          </w:p>
        </w:tc>
        <w:tc>
          <w:tcPr>
            <w:tcW w:w="7653" w:type="dxa"/>
            <w:gridSpan w:val="2"/>
            <w:tcBorders>
              <w:top w:val="single" w:color="auto" w:sz="4" w:space="0"/>
              <w:left w:val="single" w:color="auto" w:sz="4" w:space="0"/>
              <w:right w:val="single" w:color="auto" w:sz="4" w:space="0"/>
            </w:tcBorders>
            <w:noWrap w:val="0"/>
            <w:vAlign w:val="center"/>
          </w:tcPr>
          <w:p>
            <w:pPr>
              <w:spacing w:line="440" w:lineRule="exact"/>
              <w:rPr>
                <w:rFonts w:ascii="宋体" w:hAnsi="宋体"/>
                <w:b/>
                <w:sz w:val="24"/>
              </w:rPr>
            </w:pPr>
            <w:r>
              <w:rPr>
                <w:rFonts w:hint="eastAsia" w:ascii="宋体" w:hAnsi="宋体"/>
                <w:bCs/>
                <w:sz w:val="24"/>
              </w:rPr>
              <w:t>项目团队成员须参与过中国田协举办的马拉松竞赛组织培训，每提供一人证书计2分，共计6分，同时须提供该人员近半年社保缴纳证明，未提供证明文件不得分。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7" w:type="dxa"/>
            <w:vMerge w:val="restart"/>
            <w:tcBorders>
              <w:left w:val="single" w:color="auto" w:sz="4" w:space="0"/>
              <w:right w:val="single" w:color="auto" w:sz="4" w:space="0"/>
            </w:tcBorders>
            <w:noWrap w:val="0"/>
            <w:vAlign w:val="center"/>
          </w:tcPr>
          <w:p>
            <w:pPr>
              <w:spacing w:line="440" w:lineRule="exact"/>
              <w:jc w:val="center"/>
              <w:rPr>
                <w:rFonts w:ascii="宋体" w:hAnsi="宋体"/>
                <w:b/>
                <w:bCs/>
                <w:sz w:val="24"/>
              </w:rPr>
            </w:pPr>
            <w:r>
              <w:rPr>
                <w:rFonts w:hint="eastAsia" w:ascii="宋体" w:hAnsi="宋体"/>
                <w:b/>
                <w:bCs/>
                <w:sz w:val="24"/>
              </w:rPr>
              <w:t>运营质量保障</w:t>
            </w:r>
          </w:p>
          <w:p>
            <w:pPr>
              <w:spacing w:line="440" w:lineRule="exact"/>
              <w:jc w:val="center"/>
              <w:rPr>
                <w:rFonts w:ascii="宋体" w:hAnsi="宋体"/>
                <w:b/>
                <w:bCs/>
                <w:sz w:val="24"/>
              </w:rPr>
            </w:pPr>
            <w:r>
              <w:rPr>
                <w:rFonts w:hint="eastAsia" w:ascii="宋体" w:hAnsi="宋体"/>
                <w:b/>
                <w:bCs/>
                <w:sz w:val="24"/>
              </w:rPr>
              <w:t>（10分）</w:t>
            </w:r>
          </w:p>
        </w:tc>
        <w:tc>
          <w:tcPr>
            <w:tcW w:w="7653" w:type="dxa"/>
            <w:gridSpan w:val="2"/>
            <w:tcBorders>
              <w:top w:val="single" w:color="auto" w:sz="4" w:space="0"/>
              <w:left w:val="single" w:color="auto" w:sz="4" w:space="0"/>
              <w:right w:val="single" w:color="auto" w:sz="4" w:space="0"/>
            </w:tcBorders>
            <w:noWrap w:val="0"/>
            <w:vAlign w:val="center"/>
          </w:tcPr>
          <w:p>
            <w:pPr>
              <w:spacing w:line="440" w:lineRule="exact"/>
              <w:rPr>
                <w:rFonts w:ascii="宋体" w:hAnsi="宋体"/>
                <w:bCs/>
                <w:sz w:val="24"/>
                <w:highlight w:val="none"/>
              </w:rPr>
            </w:pPr>
            <w:r>
              <w:rPr>
                <w:rFonts w:hint="eastAsia" w:ascii="宋体" w:hAnsi="宋体"/>
                <w:bCs/>
                <w:sz w:val="24"/>
                <w:highlight w:val="none"/>
              </w:rPr>
              <w:t>投标单位具备ISO 9001 质量管理体系认证且</w:t>
            </w:r>
            <w:r>
              <w:rPr>
                <w:rFonts w:hint="eastAsia" w:ascii="宋体" w:hAnsi="宋体"/>
                <w:bCs/>
                <w:sz w:val="24"/>
                <w:highlight w:val="none"/>
                <w:lang w:val="en-US" w:eastAsia="zh-CN"/>
              </w:rPr>
              <w:t>认证</w:t>
            </w:r>
            <w:r>
              <w:rPr>
                <w:rFonts w:hint="eastAsia" w:ascii="宋体" w:hAnsi="宋体"/>
                <w:bCs/>
                <w:sz w:val="24"/>
                <w:highlight w:val="none"/>
              </w:rPr>
              <w:t>范围包含：</w:t>
            </w:r>
            <w:r>
              <w:rPr>
                <w:rFonts w:hint="eastAsia" w:ascii="宋体" w:hAnsi="宋体"/>
                <w:bCs/>
                <w:sz w:val="24"/>
                <w:highlight w:val="none"/>
                <w:lang w:val="en-US" w:eastAsia="zh-CN"/>
              </w:rPr>
              <w:t>路跑（或</w:t>
            </w:r>
            <w:r>
              <w:rPr>
                <w:rFonts w:hint="eastAsia" w:ascii="宋体" w:hAnsi="宋体"/>
                <w:bCs/>
                <w:sz w:val="24"/>
                <w:highlight w:val="none"/>
              </w:rPr>
              <w:t>马拉松</w:t>
            </w:r>
            <w:r>
              <w:rPr>
                <w:rFonts w:hint="eastAsia" w:ascii="宋体" w:hAnsi="宋体"/>
                <w:bCs/>
                <w:sz w:val="24"/>
                <w:highlight w:val="none"/>
                <w:lang w:val="en-US" w:eastAsia="zh-CN"/>
              </w:rPr>
              <w:t>）</w:t>
            </w:r>
            <w:r>
              <w:rPr>
                <w:rFonts w:hint="eastAsia" w:ascii="宋体" w:hAnsi="宋体"/>
                <w:bCs/>
                <w:sz w:val="24"/>
                <w:highlight w:val="none"/>
              </w:rPr>
              <w:t>赛的策划、组织、运营服务，计5分。（提供认证证书复印件，未提供不计分）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347" w:type="dxa"/>
            <w:vMerge w:val="continue"/>
            <w:tcBorders>
              <w:left w:val="single" w:color="auto" w:sz="4" w:space="0"/>
              <w:right w:val="single" w:color="auto" w:sz="4" w:space="0"/>
            </w:tcBorders>
            <w:noWrap w:val="0"/>
            <w:vAlign w:val="center"/>
          </w:tcPr>
          <w:p>
            <w:pPr>
              <w:spacing w:line="440" w:lineRule="exact"/>
              <w:jc w:val="center"/>
              <w:rPr>
                <w:rFonts w:ascii="宋体" w:hAnsi="宋体"/>
                <w:b/>
                <w:bCs/>
                <w:sz w:val="24"/>
              </w:rPr>
            </w:pPr>
          </w:p>
        </w:tc>
        <w:tc>
          <w:tcPr>
            <w:tcW w:w="7653" w:type="dxa"/>
            <w:gridSpan w:val="2"/>
            <w:tcBorders>
              <w:top w:val="single" w:color="auto" w:sz="4" w:space="0"/>
              <w:left w:val="single" w:color="auto" w:sz="4" w:space="0"/>
              <w:right w:val="single" w:color="auto" w:sz="4" w:space="0"/>
            </w:tcBorders>
            <w:noWrap w:val="0"/>
            <w:vAlign w:val="center"/>
          </w:tcPr>
          <w:p>
            <w:pPr>
              <w:spacing w:line="440" w:lineRule="exact"/>
              <w:rPr>
                <w:rFonts w:ascii="宋体" w:hAnsi="宋体"/>
                <w:bCs/>
                <w:sz w:val="24"/>
                <w:highlight w:val="none"/>
              </w:rPr>
            </w:pPr>
            <w:r>
              <w:rPr>
                <w:rFonts w:hint="eastAsia" w:ascii="宋体" w:hAnsi="宋体"/>
                <w:bCs/>
                <w:sz w:val="24"/>
                <w:highlight w:val="none"/>
              </w:rPr>
              <w:t>具有独立赛事服务平台（平台功能至少包含计时系统、赛事管理、视频处理、信息管理、节目制作系统）计5分，须提供第三方机构出具的证明材料，缺</w:t>
            </w:r>
            <w:r>
              <w:rPr>
                <w:rFonts w:hint="eastAsia" w:ascii="宋体" w:hAnsi="宋体"/>
                <w:bCs/>
                <w:sz w:val="24"/>
                <w:highlight w:val="none"/>
                <w:lang w:val="en-US" w:eastAsia="zh-CN"/>
              </w:rPr>
              <w:t>少</w:t>
            </w:r>
            <w:r>
              <w:rPr>
                <w:rFonts w:hint="eastAsia" w:ascii="宋体" w:hAnsi="宋体"/>
                <w:bCs/>
                <w:sz w:val="24"/>
                <w:highlight w:val="none"/>
              </w:rPr>
              <w:t>一</w:t>
            </w:r>
            <w:r>
              <w:rPr>
                <w:rFonts w:hint="eastAsia" w:ascii="宋体" w:hAnsi="宋体"/>
                <w:bCs/>
                <w:sz w:val="24"/>
                <w:highlight w:val="none"/>
                <w:lang w:val="en-US" w:eastAsia="zh-CN"/>
              </w:rPr>
              <w:t>项</w:t>
            </w:r>
            <w:r>
              <w:rPr>
                <w:rFonts w:hint="eastAsia" w:ascii="宋体" w:hAnsi="宋体"/>
                <w:bCs/>
                <w:sz w:val="24"/>
                <w:highlight w:val="none"/>
              </w:rPr>
              <w:t>功能不得分。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1347" w:type="dxa"/>
            <w:vMerge w:val="restart"/>
            <w:tcBorders>
              <w:top w:val="single" w:color="auto" w:sz="4" w:space="0"/>
              <w:left w:val="single" w:color="auto" w:sz="4" w:space="0"/>
              <w:right w:val="single" w:color="auto" w:sz="4" w:space="0"/>
            </w:tcBorders>
            <w:noWrap w:val="0"/>
            <w:vAlign w:val="center"/>
          </w:tcPr>
          <w:p>
            <w:pPr>
              <w:kinsoku w:val="0"/>
              <w:spacing w:line="440" w:lineRule="exact"/>
              <w:ind w:left="-15" w:leftChars="-51" w:hanging="111" w:hangingChars="45"/>
              <w:jc w:val="center"/>
              <w:rPr>
                <w:rFonts w:ascii="宋体" w:hAnsi="宋体"/>
                <w:b/>
                <w:bCs/>
                <w:sz w:val="24"/>
                <w:highlight w:val="none"/>
              </w:rPr>
            </w:pPr>
            <w:r>
              <w:rPr>
                <w:rFonts w:hint="eastAsia" w:ascii="宋体" w:hAnsi="宋体"/>
                <w:b/>
                <w:bCs/>
                <w:sz w:val="24"/>
                <w:highlight w:val="none"/>
              </w:rPr>
              <w:t>业绩</w:t>
            </w:r>
          </w:p>
          <w:p>
            <w:pPr>
              <w:kinsoku w:val="0"/>
              <w:spacing w:line="440" w:lineRule="exact"/>
              <w:jc w:val="center"/>
              <w:rPr>
                <w:rFonts w:ascii="宋体" w:hAnsi="宋体"/>
                <w:b/>
                <w:bCs/>
                <w:sz w:val="24"/>
                <w:highlight w:val="none"/>
              </w:rPr>
            </w:pPr>
            <w:r>
              <w:rPr>
                <w:rFonts w:hint="eastAsia" w:ascii="宋体" w:hAnsi="宋体"/>
                <w:b/>
                <w:bCs/>
                <w:sz w:val="24"/>
                <w:highlight w:val="none"/>
              </w:rPr>
              <w:t>（1</w:t>
            </w:r>
            <w:r>
              <w:rPr>
                <w:rFonts w:ascii="宋体" w:hAnsi="宋体"/>
                <w:b/>
                <w:bCs/>
                <w:sz w:val="24"/>
                <w:highlight w:val="none"/>
              </w:rPr>
              <w:t>3</w:t>
            </w:r>
            <w:r>
              <w:rPr>
                <w:rFonts w:hint="eastAsia" w:ascii="宋体" w:hAnsi="宋体"/>
                <w:b/>
                <w:bCs/>
                <w:sz w:val="24"/>
                <w:highlight w:val="none"/>
              </w:rPr>
              <w:t>分）</w:t>
            </w:r>
          </w:p>
        </w:tc>
        <w:tc>
          <w:tcPr>
            <w:tcW w:w="765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lang w:val="en-US" w:eastAsia="zh-CN"/>
              </w:rPr>
            </w:pPr>
            <w:r>
              <w:rPr>
                <w:rFonts w:hint="eastAsia"/>
                <w:lang w:val="en-US" w:eastAsia="zh-CN"/>
              </w:rPr>
              <w:t>1、</w:t>
            </w:r>
            <w:r>
              <w:rPr>
                <w:rFonts w:hint="eastAsia"/>
              </w:rPr>
              <w:t>投标单位具备路跑（或马拉松）运营服务经验，提供2019年1月至今已承接过的路跑（或马拉松）运营服务业绩（提供中标通知书、合同及媒体报道截图）5份，每份计1分，共计5分（同一赛事，不同运营年份仅算作一场赛事）。</w:t>
            </w:r>
          </w:p>
          <w:p>
            <w:pPr>
              <w:spacing w:line="440" w:lineRule="exact"/>
              <w:rPr>
                <w:rFonts w:hint="eastAsia"/>
              </w:rPr>
            </w:pPr>
            <w:r>
              <w:rPr>
                <w:rFonts w:hint="eastAsia"/>
                <w:lang w:val="en-US" w:eastAsia="zh-CN"/>
              </w:rPr>
              <w:t>2、</w:t>
            </w:r>
            <w:r>
              <w:rPr>
                <w:rFonts w:hint="eastAsia"/>
              </w:rPr>
              <w:t>投标单位2019年1月至今策划运营过省级以上赛事，提供业绩合同3份，每份计2分，共6分；且获得省级以上体育部门或单项协会表彰的另加2分。</w:t>
            </w:r>
          </w:p>
          <w:p>
            <w:pPr>
              <w:pStyle w:val="2"/>
              <w:rPr>
                <w:rFonts w:hint="default" w:eastAsiaTheme="minorEastAsia"/>
                <w:lang w:val="en-US" w:eastAsia="zh-CN"/>
              </w:rPr>
            </w:pPr>
            <w:r>
              <w:rPr>
                <w:rFonts w:hint="eastAsia" w:ascii="宋体" w:hAnsi="宋体"/>
                <w:bCs/>
                <w:sz w:val="24"/>
                <w:highlight w:val="none"/>
                <w:lang w:val="en-US" w:eastAsia="zh-CN"/>
              </w:rPr>
              <w:t>注：此两项业绩中同一份业绩不可重复计分。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7" w:type="dxa"/>
            <w:vMerge w:val="restart"/>
            <w:tcBorders>
              <w:top w:val="single" w:color="auto" w:sz="4" w:space="0"/>
              <w:left w:val="single" w:color="auto" w:sz="4" w:space="0"/>
              <w:right w:val="single" w:color="auto" w:sz="4" w:space="0"/>
            </w:tcBorders>
            <w:noWrap w:val="0"/>
            <w:vAlign w:val="center"/>
          </w:tcPr>
          <w:p>
            <w:pPr>
              <w:spacing w:line="440" w:lineRule="exact"/>
              <w:ind w:firstLine="124" w:firstLineChars="50"/>
              <w:jc w:val="center"/>
              <w:rPr>
                <w:rFonts w:ascii="宋体" w:hAnsi="宋体"/>
                <w:b/>
                <w:bCs/>
                <w:sz w:val="24"/>
              </w:rPr>
            </w:pPr>
            <w:r>
              <w:rPr>
                <w:rFonts w:hint="eastAsia" w:ascii="宋体" w:hAnsi="宋体"/>
                <w:b/>
                <w:bCs/>
                <w:sz w:val="24"/>
              </w:rPr>
              <w:t>服务保障</w:t>
            </w:r>
          </w:p>
          <w:p>
            <w:pPr>
              <w:spacing w:line="440" w:lineRule="exact"/>
              <w:ind w:firstLine="124" w:firstLineChars="50"/>
              <w:jc w:val="center"/>
              <w:rPr>
                <w:rFonts w:ascii="宋体" w:hAnsi="宋体"/>
                <w:sz w:val="24"/>
              </w:rPr>
            </w:pPr>
            <w:r>
              <w:rPr>
                <w:rFonts w:hint="eastAsia" w:ascii="宋体" w:hAnsi="宋体"/>
                <w:b/>
                <w:bCs/>
                <w:sz w:val="24"/>
              </w:rPr>
              <w:t>（</w:t>
            </w:r>
            <w:r>
              <w:rPr>
                <w:rFonts w:hint="eastAsia" w:ascii="宋体" w:hAnsi="宋体"/>
                <w:b/>
                <w:bCs/>
                <w:sz w:val="24"/>
                <w:lang w:val="en-US" w:eastAsia="zh-CN"/>
              </w:rPr>
              <w:t>7</w:t>
            </w:r>
            <w:r>
              <w:rPr>
                <w:rFonts w:hint="eastAsia" w:ascii="宋体" w:hAnsi="宋体"/>
                <w:b/>
                <w:bCs/>
                <w:sz w:val="24"/>
              </w:rPr>
              <w:t>分）</w:t>
            </w:r>
          </w:p>
        </w:tc>
        <w:tc>
          <w:tcPr>
            <w:tcW w:w="7653"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r>
              <w:rPr>
                <w:rFonts w:hint="eastAsia" w:ascii="宋体" w:hAnsi="宋体"/>
                <w:bCs/>
                <w:sz w:val="24"/>
              </w:rPr>
              <w:t>投标单位</w:t>
            </w:r>
            <w:r>
              <w:rPr>
                <w:rFonts w:hint="eastAsia" w:ascii="宋体" w:hAnsi="宋体"/>
                <w:sz w:val="24"/>
              </w:rPr>
              <w:t>针对</w:t>
            </w:r>
            <w:r>
              <w:rPr>
                <w:rFonts w:ascii="宋体" w:hAnsi="宋体"/>
                <w:sz w:val="24"/>
              </w:rPr>
              <w:t>本</w:t>
            </w:r>
            <w:r>
              <w:rPr>
                <w:rFonts w:hint="eastAsia" w:ascii="宋体" w:hAnsi="宋体"/>
                <w:sz w:val="24"/>
              </w:rPr>
              <w:t>项目</w:t>
            </w:r>
            <w:r>
              <w:rPr>
                <w:rFonts w:hint="eastAsia" w:ascii="宋体" w:hAnsi="宋体"/>
                <w:sz w:val="24"/>
                <w:lang w:val="en-US" w:eastAsia="zh-CN"/>
              </w:rPr>
              <w:t>提供的</w:t>
            </w:r>
            <w:r>
              <w:rPr>
                <w:rFonts w:hint="eastAsia" w:ascii="宋体" w:hAnsi="宋体"/>
                <w:sz w:val="24"/>
              </w:rPr>
              <w:t>服务内容</w:t>
            </w:r>
            <w:r>
              <w:rPr>
                <w:rFonts w:hint="eastAsia" w:ascii="宋体" w:hAnsi="宋体"/>
                <w:sz w:val="24"/>
                <w:lang w:eastAsia="zh-CN"/>
              </w:rPr>
              <w:t>、</w:t>
            </w:r>
            <w:r>
              <w:rPr>
                <w:rFonts w:hint="eastAsia" w:ascii="宋体" w:hAnsi="宋体"/>
                <w:sz w:val="24"/>
                <w:lang w:val="en-US" w:eastAsia="zh-CN"/>
              </w:rPr>
              <w:t>服务</w:t>
            </w:r>
            <w:r>
              <w:rPr>
                <w:rFonts w:hint="eastAsia" w:ascii="宋体" w:hAnsi="宋体"/>
                <w:sz w:val="24"/>
              </w:rPr>
              <w:t>要求</w:t>
            </w:r>
            <w:r>
              <w:rPr>
                <w:rFonts w:hint="eastAsia" w:ascii="宋体" w:hAnsi="宋体"/>
                <w:sz w:val="24"/>
                <w:lang w:val="en-US" w:eastAsia="zh-CN"/>
              </w:rPr>
              <w:t>和赛事前期须提供驻场服务等</w:t>
            </w:r>
            <w:r>
              <w:rPr>
                <w:rFonts w:hint="eastAsia" w:ascii="宋体" w:hAnsi="宋体"/>
                <w:sz w:val="24"/>
              </w:rPr>
              <w:t>，</w:t>
            </w:r>
            <w:r>
              <w:rPr>
                <w:rFonts w:ascii="宋体" w:hAnsi="宋体"/>
                <w:sz w:val="24"/>
              </w:rPr>
              <w:t>有</w:t>
            </w:r>
            <w:r>
              <w:rPr>
                <w:rFonts w:hint="eastAsia" w:ascii="宋体" w:hAnsi="宋体"/>
                <w:sz w:val="24"/>
              </w:rPr>
              <w:t>切实可行</w:t>
            </w:r>
            <w:r>
              <w:rPr>
                <w:rFonts w:ascii="宋体" w:hAnsi="宋体"/>
                <w:sz w:val="24"/>
              </w:rPr>
              <w:t>的服务承诺</w:t>
            </w:r>
            <w:r>
              <w:rPr>
                <w:rFonts w:hint="eastAsia" w:ascii="宋体" w:hAnsi="宋体"/>
                <w:sz w:val="24"/>
              </w:rPr>
              <w:t>及保障</w:t>
            </w:r>
            <w:r>
              <w:rPr>
                <w:rFonts w:ascii="宋体" w:hAnsi="宋体"/>
                <w:sz w:val="24"/>
              </w:rPr>
              <w:t>措施，</w:t>
            </w:r>
            <w:r>
              <w:rPr>
                <w:rFonts w:hint="eastAsia" w:ascii="宋体" w:hAnsi="宋体"/>
                <w:sz w:val="24"/>
              </w:rPr>
              <w:t>确保</w:t>
            </w:r>
            <w:r>
              <w:rPr>
                <w:rFonts w:ascii="宋体" w:hAnsi="宋体"/>
                <w:sz w:val="24"/>
              </w:rPr>
              <w:t>赛事</w:t>
            </w:r>
            <w:r>
              <w:rPr>
                <w:rFonts w:hint="eastAsia" w:ascii="宋体" w:hAnsi="宋体"/>
                <w:sz w:val="24"/>
              </w:rPr>
              <w:t>的顺利进行</w:t>
            </w:r>
            <w:r>
              <w:rPr>
                <w:rFonts w:ascii="宋体" w:hAnsi="宋体"/>
                <w:sz w:val="24"/>
              </w:rPr>
              <w:t>，</w:t>
            </w:r>
            <w:r>
              <w:rPr>
                <w:rFonts w:hint="eastAsia" w:ascii="宋体" w:hAnsi="宋体"/>
                <w:sz w:val="24"/>
              </w:rPr>
              <w:t>按</w:t>
            </w:r>
            <w:r>
              <w:rPr>
                <w:rFonts w:ascii="宋体" w:hAnsi="宋体"/>
                <w:sz w:val="24"/>
              </w:rPr>
              <w:t>响应程度横向比较计</w:t>
            </w:r>
            <w:r>
              <w:rPr>
                <w:rFonts w:hint="eastAsia" w:ascii="宋体" w:hAnsi="宋体"/>
                <w:sz w:val="24"/>
              </w:rPr>
              <w:t>0</w:t>
            </w:r>
            <w:r>
              <w:rPr>
                <w:rFonts w:ascii="宋体" w:hAnsi="宋体"/>
                <w:sz w:val="24"/>
              </w:rPr>
              <w:t>-</w:t>
            </w:r>
            <w:r>
              <w:rPr>
                <w:rFonts w:hint="eastAsia" w:ascii="宋体" w:hAnsi="宋体"/>
                <w:sz w:val="24"/>
              </w:rPr>
              <w:t>2分</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7" w:type="dxa"/>
            <w:vMerge w:val="continue"/>
            <w:tcBorders>
              <w:left w:val="single" w:color="auto" w:sz="4" w:space="0"/>
              <w:right w:val="single" w:color="auto" w:sz="4" w:space="0"/>
            </w:tcBorders>
            <w:noWrap w:val="0"/>
            <w:vAlign w:val="center"/>
          </w:tcPr>
          <w:p>
            <w:pPr>
              <w:spacing w:line="440" w:lineRule="exact"/>
              <w:ind w:firstLine="124" w:firstLineChars="50"/>
              <w:jc w:val="center"/>
              <w:rPr>
                <w:rFonts w:ascii="宋体" w:hAnsi="宋体"/>
                <w:b/>
                <w:bCs/>
                <w:sz w:val="24"/>
              </w:rPr>
            </w:pPr>
          </w:p>
        </w:tc>
        <w:tc>
          <w:tcPr>
            <w:tcW w:w="7653"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bCs/>
                <w:sz w:val="24"/>
              </w:rPr>
            </w:pPr>
            <w:r>
              <w:rPr>
                <w:rFonts w:hint="eastAsia" w:ascii="宋体" w:hAnsi="宋体"/>
                <w:bCs/>
                <w:sz w:val="24"/>
              </w:rPr>
              <w:t>为保证优质快捷的服务质量，投标单位须配备针对本次项目的固定工作人员及专用服务车辆，计5分。</w:t>
            </w:r>
          </w:p>
          <w:p>
            <w:pPr>
              <w:spacing w:line="440" w:lineRule="exact"/>
              <w:rPr>
                <w:rFonts w:ascii="宋体" w:hAnsi="宋体"/>
                <w:bCs/>
                <w:sz w:val="24"/>
              </w:rPr>
            </w:pPr>
            <w:r>
              <w:rPr>
                <w:rFonts w:hint="eastAsia" w:ascii="宋体" w:hAnsi="宋体"/>
                <w:bCs/>
                <w:sz w:val="24"/>
              </w:rPr>
              <w:t>（投标单位须提供本单位不少于</w:t>
            </w:r>
            <w:r>
              <w:rPr>
                <w:rFonts w:hint="eastAsia" w:ascii="宋体" w:hAnsi="宋体"/>
                <w:bCs/>
                <w:sz w:val="24"/>
                <w:lang w:val="en-US" w:eastAsia="zh-CN"/>
              </w:rPr>
              <w:t>8</w:t>
            </w:r>
            <w:r>
              <w:rPr>
                <w:rFonts w:hint="eastAsia" w:ascii="宋体" w:hAnsi="宋体"/>
                <w:bCs/>
                <w:sz w:val="24"/>
              </w:rPr>
              <w:t>人的社保缴纳证明，提供至少</w:t>
            </w:r>
            <w:r>
              <w:rPr>
                <w:rFonts w:hint="eastAsia" w:ascii="宋体" w:hAnsi="宋体"/>
                <w:bCs/>
                <w:sz w:val="24"/>
                <w:lang w:val="en-US" w:eastAsia="zh-CN"/>
              </w:rPr>
              <w:t>4</w:t>
            </w:r>
            <w:r>
              <w:rPr>
                <w:rFonts w:hint="eastAsia" w:ascii="宋体" w:hAnsi="宋体"/>
                <w:bCs/>
                <w:sz w:val="24"/>
              </w:rPr>
              <w:t>辆自有车辆行驶证等证明材料。）</w:t>
            </w:r>
          </w:p>
        </w:tc>
      </w:tr>
    </w:tbl>
    <w:p>
      <w:pPr>
        <w:pStyle w:val="2"/>
      </w:pPr>
    </w:p>
    <w:p>
      <w:pPr>
        <w:rPr>
          <w:rFonts w:ascii="宋体" w:hAnsi="宋体" w:eastAsia="宋体" w:cs="宋体"/>
          <w:b/>
          <w:bCs/>
        </w:rPr>
      </w:pPr>
      <w:bookmarkStart w:id="60" w:name="_Toc10025"/>
      <w:r>
        <w:rPr>
          <w:rFonts w:hint="eastAsia" w:ascii="宋体" w:hAnsi="宋体" w:eastAsia="宋体" w:cs="宋体"/>
          <w:b/>
          <w:bCs/>
        </w:rPr>
        <w:t xml:space="preserve">评审标准备注： </w:t>
      </w:r>
    </w:p>
    <w:p>
      <w:pPr>
        <w:widowControl w:val="0"/>
        <w:spacing w:line="120" w:lineRule="auto"/>
        <w:ind w:firstLine="496" w:firstLineChars="200"/>
        <w:rPr>
          <w:rFonts w:ascii="宋体" w:hAnsi="宋体" w:eastAsia="宋体" w:cs="宋体"/>
        </w:rPr>
      </w:pPr>
      <w:r>
        <w:rPr>
          <w:rFonts w:hint="eastAsia" w:ascii="宋体" w:hAnsi="宋体" w:eastAsia="宋体" w:cs="宋体"/>
        </w:rPr>
        <w:t>（1）对于非专门面向中小企业的项目、残疾人福利性单位的项目，对小型和微型企业、残疾人福利性单位产品的价格给予10%的扣除，用扣除后的价格参与评审，残疾人福利性单位属于小型、微型企业的，不重复享受政策；</w:t>
      </w:r>
    </w:p>
    <w:p>
      <w:pPr>
        <w:widowControl w:val="0"/>
        <w:spacing w:line="120" w:lineRule="auto"/>
        <w:ind w:firstLine="496" w:firstLineChars="200"/>
        <w:rPr>
          <w:rFonts w:ascii="宋体" w:hAnsi="宋体" w:eastAsia="宋体" w:cs="宋体"/>
        </w:rPr>
      </w:pPr>
      <w:r>
        <w:rPr>
          <w:rFonts w:hint="eastAsia" w:ascii="宋体" w:hAnsi="宋体" w:eastAsia="宋体" w:cs="宋体"/>
        </w:rPr>
        <w:t>（2）《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pPr>
        <w:widowControl w:val="0"/>
        <w:spacing w:line="120" w:lineRule="auto"/>
        <w:ind w:firstLine="496" w:firstLineChars="200"/>
        <w:rPr>
          <w:rFonts w:ascii="宋体" w:hAnsi="宋体" w:eastAsia="宋体" w:cs="宋体"/>
        </w:rPr>
      </w:pPr>
      <w:r>
        <w:rPr>
          <w:rFonts w:hint="eastAsia" w:ascii="宋体" w:hAnsi="宋体" w:eastAsia="宋体" w:cs="宋体"/>
        </w:rPr>
        <w:t>（3）节能环保产品以节能产品、环境标志产品认证证书为准；</w:t>
      </w:r>
    </w:p>
    <w:p>
      <w:pPr>
        <w:widowControl w:val="0"/>
        <w:spacing w:line="120" w:lineRule="auto"/>
        <w:ind w:firstLine="496" w:firstLineChars="200"/>
        <w:rPr>
          <w:rFonts w:ascii="宋体" w:hAnsi="宋体" w:eastAsia="宋体" w:cs="宋体"/>
        </w:rPr>
      </w:pPr>
      <w:r>
        <w:rPr>
          <w:rFonts w:hint="eastAsia" w:ascii="宋体" w:hAnsi="宋体" w:eastAsia="宋体" w:cs="宋体"/>
        </w:rPr>
        <w:t>（4）</w:t>
      </w:r>
      <w:r>
        <w:rPr>
          <w:rFonts w:hint="eastAsia" w:ascii="宋体" w:hAnsi="宋体" w:eastAsia="宋体" w:cs="宋体"/>
          <w:lang w:val="en-US" w:eastAsia="zh-CN"/>
        </w:rPr>
        <w:t xml:space="preserve"> </w:t>
      </w:r>
      <w:r>
        <w:rPr>
          <w:rFonts w:hint="eastAsia" w:ascii="宋体" w:hAnsi="宋体" w:eastAsia="宋体" w:cs="宋体"/>
        </w:rPr>
        <w:t>技术参数正偏离须在技术响应表中注明正偏离的理由和佐证材料的页码；</w:t>
      </w:r>
    </w:p>
    <w:p>
      <w:pPr>
        <w:pStyle w:val="34"/>
        <w:ind w:left="0" w:leftChars="0" w:firstLine="496" w:firstLineChars="200"/>
        <w:rPr>
          <w:rFonts w:ascii="宋体" w:hAnsi="宋体" w:eastAsia="宋体" w:cs="宋体"/>
          <w:sz w:val="24"/>
        </w:rPr>
      </w:pPr>
      <w:r>
        <w:rPr>
          <w:rFonts w:hint="eastAsia" w:ascii="宋体" w:hAnsi="宋体" w:eastAsia="宋体" w:cs="宋体"/>
          <w:sz w:val="24"/>
        </w:rPr>
        <w:t>（5）评审指标出现漏项的最低得分为零分；</w:t>
      </w:r>
    </w:p>
    <w:p>
      <w:pPr>
        <w:pStyle w:val="102"/>
        <w:ind w:firstLine="577"/>
        <w:rPr>
          <w:sz w:val="28"/>
          <w:szCs w:val="28"/>
        </w:rPr>
      </w:pPr>
      <w:r>
        <w:rPr>
          <w:rFonts w:hint="eastAsia"/>
          <w:sz w:val="28"/>
          <w:szCs w:val="28"/>
        </w:rPr>
        <w:t>4．推荐中标候选人</w:t>
      </w:r>
      <w:bookmarkEnd w:id="6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2"/>
        <w:ind w:firstLine="577"/>
        <w:rPr>
          <w:sz w:val="28"/>
          <w:szCs w:val="28"/>
        </w:rPr>
      </w:pPr>
      <w:bookmarkStart w:id="61" w:name="_Toc12762"/>
      <w:r>
        <w:rPr>
          <w:rFonts w:hint="eastAsia"/>
          <w:sz w:val="28"/>
          <w:szCs w:val="28"/>
        </w:rPr>
        <w:t>5．编写评审报告</w:t>
      </w:r>
      <w:bookmarkEnd w:id="6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评审报告是评标委员会根据全体评标成员签字的原始评标记录和评标结果编写的报告，其主要内容包括：</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（1）招标公告刊登的媒体名称、开标日期和地点；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（2）投标供应商名单和评标委员会成员名单；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（3）评标方法；</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（4）开标记录和评标情况及说明，包括投标无效供应商名单及原因；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（5）评标结果，确定的中标候选人名单或者经采购人委托直接确定的中标供应商；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（6）其他需要说明的情况，包括评标过程中投标供应商根据评标委员会要求进行的澄清、说明或者补正，评标委员会成员的更换等。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2"/>
        <w:ind w:firstLine="579"/>
        <w:rPr>
          <w:b/>
          <w:bCs/>
          <w:sz w:val="28"/>
          <w:szCs w:val="28"/>
        </w:rPr>
      </w:pPr>
      <w:bookmarkStart w:id="62" w:name="_Toc8654"/>
      <w:r>
        <w:rPr>
          <w:rFonts w:hint="eastAsia"/>
          <w:b/>
          <w:bCs/>
          <w:sz w:val="28"/>
          <w:szCs w:val="28"/>
        </w:rPr>
        <w:t>（三）评标争议处理规则</w:t>
      </w:r>
      <w:bookmarkEnd w:id="62"/>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2"/>
        <w:ind w:firstLine="579"/>
        <w:rPr>
          <w:b/>
          <w:bCs/>
          <w:sz w:val="28"/>
          <w:szCs w:val="28"/>
        </w:rPr>
      </w:pPr>
      <w:bookmarkStart w:id="63" w:name="_Toc4810"/>
      <w:r>
        <w:rPr>
          <w:rFonts w:hint="eastAsia"/>
          <w:b/>
          <w:bCs/>
          <w:sz w:val="28"/>
          <w:szCs w:val="28"/>
        </w:rPr>
        <w:t>（四）评审现场人员的保密责任</w:t>
      </w:r>
      <w:bookmarkEnd w:id="63"/>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2"/>
        <w:ind w:firstLine="579"/>
        <w:rPr>
          <w:b/>
          <w:bCs/>
          <w:sz w:val="28"/>
          <w:szCs w:val="28"/>
        </w:rPr>
      </w:pPr>
      <w:bookmarkStart w:id="64" w:name="_Toc27257"/>
      <w:r>
        <w:rPr>
          <w:rFonts w:hint="eastAsia"/>
          <w:b/>
          <w:bCs/>
          <w:sz w:val="28"/>
          <w:szCs w:val="28"/>
        </w:rPr>
        <w:t>（五）视同供应商串通投标的情形，其投标无效：</w:t>
      </w:r>
      <w:bookmarkEnd w:id="64"/>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1．不同供应商的投标文件由同一单位或者个人编制；</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2．不同供应商委托同一单位或者个人办理投标事宜；</w:t>
      </w:r>
    </w:p>
    <w:p>
      <w:pPr>
        <w:spacing w:line="560" w:lineRule="exact"/>
        <w:ind w:firstLine="576" w:firstLineChars="200"/>
        <w:jc w:val="both"/>
        <w:rPr>
          <w:rFonts w:hint="eastAsia" w:ascii="宋体" w:hAnsi="宋体" w:eastAsia="宋体" w:cs="宋体"/>
          <w:sz w:val="28"/>
          <w:szCs w:val="28"/>
        </w:rPr>
        <w:sectPr>
          <w:footerReference r:id="rId9" w:type="first"/>
          <w:footerReference r:id="rId8" w:type="default"/>
          <w:pgSz w:w="11906" w:h="16838"/>
          <w:pgMar w:top="1440" w:right="1803" w:bottom="1440" w:left="1803" w:header="850" w:footer="992" w:gutter="0"/>
          <w:pgNumType w:fmt="decimal"/>
          <w:cols w:space="0" w:num="1"/>
          <w:titlePg/>
          <w:docGrid w:type="linesAndChars" w:linePitch="395" w:charSpace="1724"/>
        </w:sect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3．不同供应商的投标文件载明的项目管理成员或者联系人员为同一人；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4．不同供应商的投标文件异常一致或者投标报价呈规律性差异。</w:t>
      </w:r>
    </w:p>
    <w:p>
      <w:pPr>
        <w:pStyle w:val="5"/>
        <w:rPr>
          <w:rFonts w:ascii="宋体" w:hAnsi="宋体" w:eastAsia="宋体" w:cs="宋体"/>
          <w:sz w:val="28"/>
          <w:szCs w:val="28"/>
        </w:rPr>
      </w:pPr>
      <w:bookmarkStart w:id="65" w:name="_Toc20093"/>
      <w:r>
        <w:rPr>
          <w:rFonts w:hint="eastAsia" w:ascii="宋体" w:hAnsi="宋体" w:eastAsia="宋体" w:cs="宋体"/>
          <w:sz w:val="28"/>
          <w:szCs w:val="28"/>
        </w:rPr>
        <w:t>八、中标</w:t>
      </w:r>
      <w:bookmarkEnd w:id="65"/>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2．采购代理机构将在中标供应商确定之日起1个工作日内，在【</w:t>
      </w:r>
      <w:r>
        <w:fldChar w:fldCharType="begin"/>
      </w:r>
      <w:r>
        <w:instrText xml:space="preserve"> HYPERLINK "http://www.ccgp-shaanxi.gov.cn" </w:instrText>
      </w:r>
      <w:r>
        <w:fldChar w:fldCharType="separate"/>
      </w:r>
      <w:r>
        <w:rPr>
          <w:rStyle w:val="46"/>
          <w:rFonts w:hint="eastAsia" w:ascii="宋体" w:hAnsi="宋体" w:eastAsia="宋体" w:cs="宋体"/>
          <w:color w:val="auto"/>
          <w:sz w:val="28"/>
          <w:szCs w:val="28"/>
          <w:u w:val="none"/>
        </w:rPr>
        <w:t>陕西省政府采购网</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w:t>
      </w:r>
      <w:r>
        <w:fldChar w:fldCharType="begin"/>
      </w:r>
      <w:r>
        <w:instrText xml:space="preserve"> HYPERLINK "http://www.ccgp-shaanxi.gov.cn/" </w:instrText>
      </w:r>
      <w:r>
        <w:fldChar w:fldCharType="separate"/>
      </w:r>
      <w:r>
        <w:rPr>
          <w:rStyle w:val="46"/>
          <w:rFonts w:hint="eastAsia" w:ascii="宋体" w:hAnsi="宋体" w:eastAsia="宋体" w:cs="宋体"/>
          <w:color w:val="auto"/>
          <w:sz w:val="28"/>
          <w:szCs w:val="28"/>
          <w:u w:val="none"/>
        </w:rPr>
        <w:t>http://www.ccgp-shaanxi.gov.cn/</w:t>
      </w:r>
      <w:r>
        <w:rPr>
          <w:rStyle w:val="46"/>
          <w:rFonts w:hint="eastAsia" w:ascii="宋体" w:hAnsi="宋体" w:eastAsia="宋体" w:cs="宋体"/>
          <w:color w:val="auto"/>
          <w:sz w:val="28"/>
          <w:szCs w:val="28"/>
          <w:u w:val="none"/>
        </w:rPr>
        <w:fldChar w:fldCharType="end"/>
      </w:r>
      <w:r>
        <w:rPr>
          <w:rFonts w:hint="eastAsia" w:ascii="宋体" w:hAnsi="宋体" w:eastAsia="宋体" w:cs="宋体"/>
          <w:sz w:val="28"/>
          <w:szCs w:val="28"/>
        </w:rPr>
        <w:t>）上公布中标结果。中标公告期限为1个工作日。</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3．采用综合评分法评审的，供应商可登录【全国公共资源交易中心（陕西省·</w:t>
      </w:r>
      <w:r>
        <w:rPr>
          <w:rFonts w:hint="eastAsia" w:ascii="宋体" w:hAnsi="宋体" w:eastAsia="宋体" w:cs="宋体"/>
          <w:sz w:val="28"/>
          <w:szCs w:val="28"/>
          <w:lang w:val="en-US" w:eastAsia="zh-CN"/>
        </w:rPr>
        <w:t>宝鸡</w:t>
      </w:r>
      <w:r>
        <w:rPr>
          <w:rFonts w:hint="eastAsia" w:ascii="宋体" w:hAnsi="宋体" w:eastAsia="宋体" w:cs="宋体"/>
          <w:sz w:val="28"/>
          <w:szCs w:val="28"/>
        </w:rPr>
        <w:t>市）】网站〖首页·〉电子交易平台·〉企业端〗，登录后切换到〖我的项目〗模块，依次点选〖项目流程·〉项目管理·〉评标结果查看〗，查看本单位的最终得分与排序。</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4．采购代理机构按照相关规定将评审报告送监管机构备案。</w:t>
      </w:r>
    </w:p>
    <w:p>
      <w:pPr>
        <w:pStyle w:val="5"/>
        <w:rPr>
          <w:rFonts w:ascii="宋体" w:hAnsi="宋体" w:eastAsia="宋体" w:cs="宋体"/>
          <w:sz w:val="28"/>
          <w:szCs w:val="28"/>
        </w:rPr>
      </w:pPr>
      <w:bookmarkStart w:id="66" w:name="_Toc18710"/>
      <w:r>
        <w:rPr>
          <w:rFonts w:hint="eastAsia" w:ascii="宋体" w:hAnsi="宋体" w:eastAsia="宋体" w:cs="宋体"/>
          <w:sz w:val="28"/>
          <w:szCs w:val="28"/>
        </w:rPr>
        <w:t>九、合同签订、履行及验收</w:t>
      </w:r>
      <w:bookmarkEnd w:id="66"/>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招标文件、投标文件、澄清、补充合同等为政府采购合同的组成部分，具有同等法律效力。</w:t>
      </w:r>
    </w:p>
    <w:p>
      <w:pPr>
        <w:pStyle w:val="102"/>
        <w:ind w:firstLine="579"/>
        <w:rPr>
          <w:b/>
          <w:bCs/>
          <w:sz w:val="28"/>
          <w:szCs w:val="28"/>
        </w:rPr>
      </w:pPr>
      <w:bookmarkStart w:id="67" w:name="_Toc7975"/>
      <w:r>
        <w:rPr>
          <w:rFonts w:hint="eastAsia"/>
          <w:b/>
          <w:bCs/>
          <w:sz w:val="28"/>
          <w:szCs w:val="28"/>
        </w:rPr>
        <w:t>（一）签订政府采购合同</w:t>
      </w:r>
      <w:bookmarkEnd w:id="6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1．自中标通知书发出之日起30日内，采购人与中标供应商应按招标文件和中标供应商投标文件的约定，签订书面合同。</w:t>
      </w:r>
    </w:p>
    <w:p>
      <w:pPr>
        <w:spacing w:line="560" w:lineRule="exact"/>
        <w:ind w:firstLine="576" w:firstLineChars="200"/>
        <w:jc w:val="both"/>
        <w:rPr>
          <w:rFonts w:hint="eastAsia" w:ascii="宋体" w:hAnsi="宋体" w:eastAsia="宋体" w:cs="宋体"/>
          <w:sz w:val="28"/>
          <w:szCs w:val="28"/>
        </w:rPr>
        <w:sectPr>
          <w:footerReference r:id="rId11" w:type="first"/>
          <w:footerReference r:id="rId10" w:type="default"/>
          <w:pgSz w:w="11906" w:h="16838"/>
          <w:pgMar w:top="1440" w:right="1803" w:bottom="1440" w:left="1803" w:header="850" w:footer="992" w:gutter="0"/>
          <w:pgNumType w:fmt="decimal"/>
          <w:cols w:space="0" w:num="1"/>
          <w:titlePg/>
          <w:docGrid w:type="linesAndChars" w:linePitch="395" w:charSpace="1724"/>
        </w:sect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4．质疑或者投诉事项可能影响中标、成交结果的，采购人应当暂停签订合同，已经签订合同的，应当中止履行合同。</w:t>
      </w:r>
    </w:p>
    <w:p>
      <w:pPr>
        <w:pStyle w:val="102"/>
        <w:ind w:firstLine="579"/>
        <w:rPr>
          <w:b/>
          <w:bCs/>
          <w:sz w:val="28"/>
          <w:szCs w:val="28"/>
        </w:rPr>
      </w:pPr>
      <w:bookmarkStart w:id="68" w:name="_Toc19981"/>
      <w:r>
        <w:rPr>
          <w:rFonts w:hint="eastAsia"/>
          <w:b/>
          <w:bCs/>
          <w:sz w:val="28"/>
          <w:szCs w:val="28"/>
        </w:rPr>
        <w:t>（二）合同公告及备案</w:t>
      </w:r>
      <w:bookmarkEnd w:id="68"/>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2．采购人应自合同签订之日起7个工作日内将政府采购合同报送监管机构备案。</w:t>
      </w:r>
    </w:p>
    <w:p>
      <w:pPr>
        <w:pStyle w:val="102"/>
        <w:ind w:firstLine="579"/>
        <w:rPr>
          <w:b/>
          <w:bCs/>
          <w:sz w:val="28"/>
          <w:szCs w:val="28"/>
        </w:rPr>
      </w:pPr>
      <w:bookmarkStart w:id="69" w:name="_Toc20858"/>
      <w:r>
        <w:rPr>
          <w:rFonts w:hint="eastAsia"/>
          <w:b/>
          <w:bCs/>
          <w:sz w:val="28"/>
          <w:szCs w:val="28"/>
        </w:rPr>
        <w:t>（三）履行合同</w:t>
      </w:r>
      <w:bookmarkEnd w:id="69"/>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1．合同一经签订，双方应严格履行合同规定的义务。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2．在合同履行过程中，如发生合同纠纷，合同双方应按照《中华人民共和国民法典》及合同条款的有关规定进行处理。</w:t>
      </w:r>
    </w:p>
    <w:p>
      <w:pPr>
        <w:pStyle w:val="102"/>
        <w:ind w:firstLine="579"/>
        <w:rPr>
          <w:b/>
          <w:bCs/>
          <w:sz w:val="28"/>
          <w:szCs w:val="28"/>
        </w:rPr>
      </w:pPr>
      <w:bookmarkStart w:id="70" w:name="_Toc1157"/>
      <w:r>
        <w:rPr>
          <w:rFonts w:hint="eastAsia"/>
          <w:b/>
          <w:bCs/>
          <w:sz w:val="28"/>
          <w:szCs w:val="28"/>
        </w:rPr>
        <w:t>（四）验收或考核</w:t>
      </w:r>
      <w:bookmarkEnd w:id="70"/>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1．采购人严格按照国家相关法律法规的要求及招标文件的要求组织验收或考核。</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2．采购人按《关于促进政府采购公平竞争优化营商环境的通知》（财库〔2019〕38号）、《保障中小企业款项支付条例》（国务院令第728号）等规定及采购合同的约定进行支付合同款项。</w:t>
      </w:r>
    </w:p>
    <w:p>
      <w:pPr>
        <w:pStyle w:val="5"/>
        <w:rPr>
          <w:rFonts w:ascii="宋体" w:hAnsi="宋体" w:eastAsia="宋体" w:cs="宋体"/>
          <w:sz w:val="28"/>
          <w:szCs w:val="28"/>
        </w:rPr>
      </w:pPr>
      <w:bookmarkStart w:id="71" w:name="_Toc11948"/>
      <w:bookmarkStart w:id="72" w:name="_Toc1462"/>
      <w:bookmarkStart w:id="73" w:name="_Toc100219614"/>
      <w:r>
        <w:rPr>
          <w:rFonts w:hint="eastAsia" w:ascii="宋体" w:hAnsi="宋体" w:eastAsia="宋体" w:cs="宋体"/>
          <w:sz w:val="28"/>
          <w:szCs w:val="28"/>
        </w:rPr>
        <w:t>十、废标及重新招标</w:t>
      </w:r>
      <w:bookmarkEnd w:id="71"/>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2．根据《政府采购法》第三十六条规定，在招标采购中，出现下列情形之一的，本项目按废标处理：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（1）出现影响采购公正的违法、违规行为的；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（2）供应商的报价均超过了采购预算，采购人不能支付的；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（3）因重大变故，采购任务取消的。</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废标后，除采购任务取消外，本项目将重新组织招标。</w:t>
      </w:r>
    </w:p>
    <w:p>
      <w:pPr>
        <w:spacing w:line="560" w:lineRule="exact"/>
        <w:ind w:firstLine="576" w:firstLineChars="200"/>
        <w:jc w:val="both"/>
        <w:rPr>
          <w:rFonts w:ascii="宋体" w:hAnsi="宋体" w:eastAsia="宋体" w:cs="宋体"/>
          <w:sz w:val="32"/>
          <w:szCs w:val="32"/>
        </w:rPr>
      </w:pPr>
      <w:r>
        <w:rPr>
          <w:rFonts w:hint="eastAsia" w:ascii="宋体" w:hAnsi="宋体" w:eastAsia="宋体" w:cs="宋体"/>
          <w:sz w:val="28"/>
          <w:szCs w:val="28"/>
          <w:lang w:val="en-US" w:eastAsia="zh-CN"/>
        </w:rPr>
        <w:t>3</w:t>
      </w:r>
      <w:r>
        <w:rPr>
          <w:rFonts w:hint="eastAsia" w:ascii="宋体" w:hAnsi="宋体" w:eastAsia="宋体" w:cs="宋体"/>
          <w:sz w:val="28"/>
          <w:szCs w:val="28"/>
        </w:rPr>
        <w:t>．招标文件未明确的其他事项，按《政府采购法》及其相关法律法规执行。</w:t>
      </w:r>
    </w:p>
    <w:p>
      <w:pPr>
        <w:rPr>
          <w:rFonts w:ascii="宋体" w:hAnsi="宋体" w:eastAsia="宋体" w:cs="宋体"/>
          <w:sz w:val="32"/>
          <w:szCs w:val="32"/>
        </w:rPr>
      </w:pPr>
      <w:r>
        <w:rPr>
          <w:rFonts w:hint="eastAsia" w:ascii="宋体" w:hAnsi="宋体" w:eastAsia="宋体" w:cs="宋体"/>
          <w:sz w:val="32"/>
          <w:szCs w:val="32"/>
        </w:rPr>
        <w:br w:type="page"/>
      </w:r>
    </w:p>
    <w:p>
      <w:pPr>
        <w:pStyle w:val="3"/>
        <w:pageBreakBefore/>
        <w:spacing w:before="395" w:beforeLines="100" w:after="395" w:afterLines="100" w:line="500" w:lineRule="exact"/>
        <w:rPr>
          <w:rFonts w:hint="eastAsia" w:ascii="宋体" w:hAnsi="宋体" w:eastAsia="宋体" w:cs="宋体"/>
        </w:rPr>
      </w:pPr>
      <w:r>
        <w:rPr>
          <w:rFonts w:hint="eastAsia" w:ascii="宋体" w:hAnsi="宋体" w:eastAsia="宋体" w:cs="宋体"/>
        </w:rPr>
        <w:t>第三</w:t>
      </w:r>
      <w:r>
        <w:rPr>
          <w:rFonts w:hint="eastAsia" w:ascii="宋体" w:hAnsi="宋体" w:eastAsia="宋体" w:cs="宋体"/>
          <w:highlight w:val="none"/>
        </w:rPr>
        <w:t>章  招标内容及要求</w:t>
      </w:r>
      <w:bookmarkEnd w:id="72"/>
      <w:bookmarkEnd w:id="73"/>
      <w:bookmarkStart w:id="74" w:name="_Toc4451"/>
      <w:bookmarkStart w:id="75" w:name="_Toc100219615"/>
    </w:p>
    <w:p>
      <w:pPr>
        <w:pStyle w:val="2"/>
        <w:spacing w:line="360" w:lineRule="auto"/>
        <w:ind w:firstLine="496"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一、采购项目名称</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（一）项目名称： 2023“九成宫杯”陕西宝鸡·麟游夏季半程马拉松赛事运营服务采购项目</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（二）采购人：麟游县教育体育局</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（三）服务期：合同签订后至赛事结束后15天</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（四）服务地点：麟游县教育体育局指定地点</w:t>
      </w:r>
    </w:p>
    <w:p>
      <w:pPr>
        <w:pStyle w:val="2"/>
        <w:spacing w:line="360" w:lineRule="auto"/>
        <w:ind w:firstLine="496"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二、赛事基本情况</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（一）赛事名称：</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2023“九成宫杯”陕西宝鸡·麟游夏季半程马拉松赛</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（二）赛事主题：夏·麟游  新·征程</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（三）拟定赛事时间：定于2023年6月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 xml:space="preserve">日（星期日）8:3O—12:00       </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（四）赛事机构：</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指导单位：陕西省体育局</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主办单位：宝鸡市体育局、中共麟游县委、麟游县人民政府</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承办单位：中共麟游县委宣传部、麟游县教育体育局、麟游县文化和旅游局</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认证单位：中国田径协会、陕西省田径协会</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赛事运营服务公司：本次招标中标人</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（五）赛事规模：</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男女半程马拉松（21.0975公里）、迷你马拉松（5公里）和亲子马拉松（2.5公里）三个组别，参赛规模5000人，其中男女半程马拉松3000人，迷你马拉松和亲子马拉松共2000人。</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（六）赛事路线：</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半程马拉松路线：青莲山广场（起点）→西海苑→南坊新城→南坊加油站（向南）→武家沟隧道→峡口十字（向东）→康家沟隧道→山神沟隧道→马家沟隧道→杜水河大桥（向北）→306省道县城方向（向西）→东大街岔路口（向右前方）→东大街（向西）→西大街（向西）→九成宫路口（向南）→城关桥（过桥）→永安路→永安桥→官坪大道延伸段折返点→官坪大道→向阳村口（向东）→青莲山广场（终点），全程21.0975公里。</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2、迷你马拉松路线：青莲山广场（起点）→向阳新村→官坪大道→永安桥→永安路→九成宫路→碑亭景区（终点），全程5公里。</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3、亲子马拉松路线：青莲山广场（起点）→向阳新村→官坪大道→城南广场（终点），全程2.5公里。</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（七）奖项设置：</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男女半程马拉松分别奖励前30名，增设“宝鸡籍选手奖”，分别奖励前8名。迷你马拉松和亲子马拉松每人奖励完赛奖牌1枚。</w:t>
      </w:r>
    </w:p>
    <w:p>
      <w:pPr>
        <w:pStyle w:val="2"/>
        <w:spacing w:line="360" w:lineRule="auto"/>
        <w:ind w:firstLine="496"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三、赛事策划服务工作内容及技术要求</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为择优选择供应商，供应商负责承担本次赛事的战略规划、运营、品牌定位与推广，以及本次赛事的赛事策划、商务开发、竞赛组织和器材保障、媒体宣传推广、赛道和场地布置、志愿者招募管理、后勤接待保障、各类资料印制、赛事保险、医疗保障配合、安全保卫配合、电力、通信保障及赛后48小时在官方网站发布成绩公告、向省体育局提交赛事总结等与赛事运营有关的一切事务，方案策划及运营服务需符合体育赛事相应规范要求。</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（一）赛事策划方案总体要求：</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1、要求赛事组织方案科学、合理、细致，具体细化方案有创意、可操作。</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2、具体工作推进计划表节点明确、任务明确。</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3、赛事总体思路策划及各方案经采购人和赛事组委会确认后由成交人组织实施，并做好赛事赛道认证工作。</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（二）赛事策划方案具体要求：</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1、竞赛和器材保障方案。整个赛事的竞赛工作由比赛监督、赛事技术代表、技术官员、裁判员、志愿者等人员负责。供应商负责按照竞赛需求提供各类保障，具体包括但不限于：</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（1）赛事竞赛组织须按照中国田径协会颁布的最新《田径竞赛规则》、《中国境内马拉松赛事组织标准》及本次赛程规程组织进行，并配合完成赛道勘测及认证；</w:t>
      </w:r>
    </w:p>
    <w:p>
      <w:pPr>
        <w:pStyle w:val="2"/>
        <w:numPr>
          <w:ilvl w:val="0"/>
          <w:numId w:val="2"/>
        </w:numPr>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配合中国田协委派的丈量员完成赛道丈量工作。绘制赛事卫星、行政区域线路图、起终点、沿途海拔图；</w:t>
      </w:r>
    </w:p>
    <w:p>
      <w:pPr>
        <w:pStyle w:val="2"/>
        <w:numPr>
          <w:ilvl w:val="0"/>
          <w:numId w:val="2"/>
        </w:numPr>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组建竞赛团队，包括技术总监、技术官员、赛事总管、裁判长、裁判员、比赛监督、技术代表、分段计时人员及工作人员等培训</w:t>
      </w:r>
      <w:r>
        <w:rPr>
          <w:rFonts w:hint="eastAsia" w:ascii="宋体" w:hAnsi="宋体" w:eastAsia="宋体" w:cs="宋体"/>
          <w:color w:val="auto"/>
          <w:sz w:val="24"/>
          <w:szCs w:val="24"/>
          <w:lang w:eastAsia="zh-CN"/>
        </w:rPr>
        <w:t>；</w:t>
      </w:r>
    </w:p>
    <w:p>
      <w:pPr>
        <w:pStyle w:val="2"/>
        <w:numPr>
          <w:ilvl w:val="0"/>
          <w:numId w:val="2"/>
        </w:numPr>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制定赛事竞赛规程、应急预案、熔断机制、线路说明、报名须知等赛事对外公布的通告、通知；</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负责赛事报名系统平台开发，并负责后期具体赛事执行管理。包括官方网站、官方微博、微信平台的搭建，要求赛事的报名，完赛成绩证书下载、参赛照片的上传在网络进行；开发赛事报名的渠道，并承担报名推广的费用；赛前运动员领物工作</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（6）负责比赛所需的标识、标志、奖牌等物料的设计、审定和制</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（7）设计制作提供各类证件、印刷资料，包括但不限于裁判员证、官员证、兴奋剂检测员胸卡、志愿者证、车辆通行证、安保人员证、媒体记者证、工作人员证、赛事工作手册、参赛指南</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（8）负责赛道勘察认证及场地、器材、设备的准备；赛事起点和终点区域的场地布置，舞台及背景板、颁奖台、休息区、拉伸区、临时工作用房搭建等工作</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（9）负责确定医疗点、急救点、补给点（含冰袋、冰块）、饮用水点、喷淋点、移动厕所的设置和力量配备工作</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（10）赛事奖项设置、比赛成绩发布、反兴奋剂检测等工作。</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（11）承担赛事奖金，奖金总额根据中国田协的马拉松办赛规定确定，具体奖励名次和金额由赛事规程公布</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承担赛道认证指导服务费及赛道丈量专业人员往返麟游县产生的差旅费、在麟游县期间的食宿费等。承担赛事技术代表、技术官员、裁判员、记者比赛期间的差旅费、劳务费及在麟游县期间的食宿接待，差旅费和劳务费按同类赛事相关标准执行。承担赛前裁判员培训、技术会议、察看线路等工作的会场、食宿和差旅等费用</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（13）提供赛事获奖运动员的奖杯、奖牌、证书、鲜花。</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（14）提供足够数量的参赛选手号码布、完赛纪念牌、存放衣物袋、参赛运动服装、完赛纪念品等。</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负责提供符合比赛要求的感应器计时系统和参赛选手感应计时芯片。提供满足比赛要求的裁判员、后勤保障人员、医疗救护人员的无线通讯系统和设备。提供裁判所需的电脑、打印机和相应耗材。提供比赛所需的录像设备。</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（16）为所有参赛选手、赛事技术代表、技术官员、裁判员、志愿者、记者、工作人员投保人身意外险（含突发性死亡（猝死）保险赔付）</w:t>
      </w:r>
      <w:r>
        <w:rPr>
          <w:rFonts w:hint="eastAsia" w:ascii="宋体" w:hAnsi="宋体" w:eastAsia="宋体" w:cs="宋体"/>
          <w:color w:val="auto"/>
          <w:sz w:val="24"/>
          <w:szCs w:val="24"/>
          <w:lang w:eastAsia="zh-CN"/>
        </w:rPr>
        <w:t>；</w:t>
      </w:r>
    </w:p>
    <w:p>
      <w:pPr>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（17）组织精英选手及嘉宾采访。</w:t>
      </w:r>
    </w:p>
    <w:p>
      <w:pPr>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（18）负责在西安、宝鸡设立集结点，做好运动员的摆渡工作。</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供应商需制订满足上述需求（可高不可低于上述需求）的竞赛和器材保障方案，并要求方案中要根据比赛时间节点明确倒计时实施进度计划，以及相应的工作人员配备情况。</w:t>
      </w:r>
    </w:p>
    <w:p>
      <w:pPr>
        <w:pStyle w:val="2"/>
        <w:numPr>
          <w:ilvl w:val="0"/>
          <w:numId w:val="3"/>
        </w:numPr>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志愿者招募管理方案。本次赛事需要志愿者总人数约1000名左右，其中：具有医师执业证、其他急救证书(美国心脏协会AHA—CPR AED急救证书、红十字救护员证、急救中心初级救护员证)或经过专业培训的医学专业志愿者50-80名；组织培训16名礼仪人员，做好开幕式、颁奖仪式嘉宾接待引导工作。采购人负责志愿者的招募，供应商负责志愿者赛事期间的用餐、车辆接送安排，根据裁判组的要求做好志愿者的培训、岗位分配和比赛期间的集结投放，负责编排开幕式暖场节目，聘请专业人员做好赛前热身拉伸，为每名志愿者提供1件上衣、1顶帽子和人身意外险。</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供应商需按照上述需求（可高不可低于上述需求）协助采购人制订志愿者招募管理方案，并要求方案中要根据比赛时间节点明确倒计时实施进度计划，以及相应的工作人员配备情况。</w:t>
      </w:r>
    </w:p>
    <w:p>
      <w:pPr>
        <w:pStyle w:val="2"/>
        <w:numPr>
          <w:ilvl w:val="0"/>
          <w:numId w:val="3"/>
        </w:numPr>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媒体宣传推广方案。方案要求明确宣传推广总体思路，报名前、赛前、赛中、赛后在不少于30家的中省级主流媒体进行宣传报道，构建反应快速，覆盖全面的宣传推广体系</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4、后勤保障方案。后勤保障需求，包括但不限于：</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（1）承担赛事方面的嘉宾接待工作及其费用（嘉宾具体人数待定）</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（2）提供饮用水、功能饮料、一次性杯子、运动员补给食品，比赛当天的志愿者、裁判员、工作人员早午餐</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（3）提供比赛物资运输等需求的厢式货车，志愿者和裁判员接送、运动员摆渡、寄存赛事包等需求的旅游大巴，嘉宾接送等需求的商务车或小轿车等</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（4）提供移动公厕，保洁员以及帐篷等</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（5）赛道设置防高温设施及物资，包括不限于喷淋棚，海绵块，冰块等</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供应商需按照上述需求（可高不可低于上述需求）制订后勤保障方案，并要求方案中要根据比赛时间节点明确倒计时实施进度计划，以及相应的工作人员配备情况。</w:t>
      </w:r>
    </w:p>
    <w:p>
      <w:pPr>
        <w:pStyle w:val="2"/>
        <w:spacing w:line="360" w:lineRule="auto"/>
        <w:ind w:firstLine="496"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5、赛道和场地布置方案</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要按照马拉松比赛的标准要求进行赛道和场地布置，具体包括但不限于主背景墙、起终点拱门、主席台和颁奖台、音响、起点检录区、终点成绩统计区、终点物品发放区、终点衣物领取区、应急通道、采访背景墙、里程提示牌、补给提示牌、导引提示牌、地贴指示、沿线饮用水和饮料食品补给站、隔离带、A字牌、冲刺带、活动桌椅、各类宣传广告牌和道旗、注水旗等。赛道和场地布置方案要包含形象设计、起终点平面布置图、饮用水补给站布置图、开幕式主席台效果图、终点颁奖台效果图等，以及各类物品的数量和总体施工计划安排。</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6、运动员服务方案。服务需求，包括但不限于：</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（1）负责运动员报名、审核、通知、答疑；</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（2）负责运动员签到、审核、免责申明签署、号码簿与芯片发放、参赛包发放；</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（3）负责比赛起点运动员存包、饮水、引导等服务；</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（4）负责比赛终点运动员完赛包发放、取包服务；引导获奖运动员参加颁奖仪式；</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（5）负责运动员转运服务；</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（6）负责运动员完赛奖牌、完赛证书、浴巾的设计与采购。</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7、 医疗救援工作方案。医疗救援需求，包括但不限于：</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协助卫健局制定赛事医疗救援工作方案，详细列出比赛中医疗点的位置和其提供的医疗服务（第一救助、急救、健康护理、救护车服务、电话联络等）。</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8、赛事安保工作方案。</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协助公安局制定赛事安保工作方案、应急处置工作方案和交通管制工作方案。</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9、赛事财务工作方案。</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制定赛事整体工作预算方案和财务工作方案。</w:t>
      </w:r>
    </w:p>
    <w:p>
      <w:pPr>
        <w:pStyle w:val="2"/>
        <w:spacing w:line="360" w:lineRule="auto"/>
        <w:ind w:firstLine="496" w:firstLineChars="200"/>
        <w:rPr>
          <w:rFonts w:hint="eastAsia" w:ascii="宋体" w:hAnsi="宋体" w:eastAsia="宋体" w:cs="宋体"/>
          <w:color w:val="auto"/>
          <w:spacing w:val="-12"/>
          <w:sz w:val="24"/>
          <w:szCs w:val="24"/>
        </w:rPr>
      </w:pPr>
      <w:r>
        <w:rPr>
          <w:rFonts w:hint="eastAsia" w:ascii="宋体" w:hAnsi="宋体" w:eastAsia="宋体" w:cs="宋体"/>
          <w:color w:val="auto"/>
          <w:sz w:val="24"/>
          <w:szCs w:val="24"/>
        </w:rPr>
        <w:t>10、应急预案。供应商需针对竞赛和器材保障、志愿者招募管理、媒体宣传推广、</w:t>
      </w:r>
      <w:r>
        <w:rPr>
          <w:rFonts w:hint="eastAsia" w:ascii="宋体" w:hAnsi="宋体" w:eastAsia="宋体" w:cs="宋体"/>
          <w:color w:val="auto"/>
          <w:spacing w:val="-12"/>
          <w:sz w:val="24"/>
          <w:szCs w:val="24"/>
        </w:rPr>
        <w:t>后勤保障、赛道和场地布置、医疗救援、赛事安保等工作可能遇到的突发性情况制订应急预案。</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11、市场招商配套方案。</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协助采购人制定赛事商业运作和市场开发方案，扩大赛事品牌知名度。赛事冠名赞助商、冠名赛事名称及形象标识设计确定前须征得赛事组委会同意。市场开发计划和收益分配，由双方协商确定。</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12、其他事项 </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（1）中标人须严格按照中国田径协会关于马拉松及相关运动赛事技术认证工作的通知开展竞赛组织工作。 </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（2）以上所有方案须经大赛组委会许可后方可执行。 </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（3）赛事全部工作结束后，需由采购方选定第三方专业中介机构对本次赛事出具赛事评估报告，委托赛事评估费用均由供应商承担。 </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（4）未尽事宜如因遇到不可抗力而服务需求变动的，采购人和成交人通过友好协商解决。 </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13、采购人与赛事运营服务公司的权益：</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赛事活动赞助商、指定赞助商、活动场地四周（包括起点终点)广告板、活动横幅、活动背景板、赛事海报、活动参与人员服装等市场开发收益的分配如下：</w:t>
      </w:r>
    </w:p>
    <w:p>
      <w:pPr>
        <w:pStyle w:val="2"/>
        <w:spacing w:line="360" w:lineRule="auto"/>
        <w:ind w:firstLine="49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（1）以采购人为主导的市场开发所获取的收益，采购人获得此收益的85%；赛事运营服务公司获得此收益的15%</w:t>
      </w:r>
      <w:r>
        <w:rPr>
          <w:rFonts w:hint="eastAsia" w:ascii="宋体" w:hAnsi="宋体" w:eastAsia="宋体" w:cs="宋体"/>
          <w:color w:val="auto"/>
          <w:sz w:val="24"/>
          <w:szCs w:val="24"/>
          <w:lang w:eastAsia="zh-CN"/>
        </w:rPr>
        <w:t>；</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（2）以赛事运营服务公司为主导的市场开发所获取的收益及报名费，由采购人和赛事运营服务公司另行约定收益分配方式和比例。</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14、知识产权要求 </w:t>
      </w:r>
    </w:p>
    <w:p>
      <w:pPr>
        <w:pStyle w:val="2"/>
        <w:spacing w:line="360" w:lineRule="auto"/>
        <w:ind w:firstLine="49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（1）本次采购项目的中标人提供的有关设计方案的著作权、版权、专利权和使用权均归采购人所有，但中标人有权在该方案中署名。 </w:t>
      </w:r>
    </w:p>
    <w:p>
      <w:pPr>
        <w:spacing w:line="360" w:lineRule="auto"/>
        <w:ind w:firstLine="496"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（2）中标人须保证投标文件及材料均未侵犯他人的知识产权，否则必须承担因此带来的全部责任，包括但不限于因此对采购人造成的损失及采购人因维权而支出的全部费用。</w:t>
      </w:r>
    </w:p>
    <w:p>
      <w:pPr>
        <w:pStyle w:val="2"/>
        <w:keepLines w:val="0"/>
        <w:pageBreakBefore w:val="0"/>
        <w:widowControl/>
        <w:kinsoku/>
        <w:wordWrap/>
        <w:overflowPunct/>
        <w:topLinePunct w:val="0"/>
        <w:autoSpaceDE/>
        <w:autoSpaceDN/>
        <w:bidi w:val="0"/>
        <w:adjustRightInd/>
        <w:snapToGrid/>
        <w:spacing w:line="360" w:lineRule="auto"/>
        <w:ind w:firstLine="496" w:firstLineChars="200"/>
        <w:textAlignment w:val="auto"/>
        <w:rPr>
          <w:rFonts w:ascii="宋体" w:hAnsi="宋体"/>
          <w:color w:val="auto"/>
          <w:sz w:val="24"/>
          <w:szCs w:val="24"/>
        </w:rPr>
      </w:pPr>
      <w:r>
        <w:rPr>
          <w:rFonts w:hint="eastAsia" w:ascii="宋体" w:hAnsi="宋体"/>
          <w:color w:val="auto"/>
          <w:sz w:val="24"/>
          <w:szCs w:val="24"/>
        </w:rPr>
        <w:t xml:space="preserve"> </w:t>
      </w:r>
    </w:p>
    <w:p>
      <w:pPr>
        <w:pStyle w:val="6"/>
        <w:keepLines w:val="0"/>
        <w:pageBreakBefore w:val="0"/>
        <w:widowControl/>
        <w:kinsoku/>
        <w:wordWrap/>
        <w:overflowPunct/>
        <w:topLinePunct w:val="0"/>
        <w:autoSpaceDE/>
        <w:autoSpaceDN/>
        <w:bidi w:val="0"/>
        <w:adjustRightInd/>
        <w:snapToGrid/>
        <w:spacing w:line="360" w:lineRule="auto"/>
        <w:textAlignment w:val="auto"/>
        <w:rPr>
          <w:rFonts w:hint="eastAsia"/>
          <w:sz w:val="24"/>
          <w:szCs w:val="24"/>
        </w:rPr>
        <w:sectPr>
          <w:footerReference r:id="rId13" w:type="first"/>
          <w:footerReference r:id="rId12" w:type="default"/>
          <w:pgSz w:w="11906" w:h="16838"/>
          <w:pgMar w:top="1440" w:right="1803" w:bottom="1440" w:left="1803" w:header="850" w:footer="992" w:gutter="0"/>
          <w:pgNumType w:fmt="decimal"/>
          <w:cols w:space="0" w:num="1"/>
          <w:docGrid w:type="linesAndChars" w:linePitch="395" w:charSpace="1724"/>
        </w:sectPr>
      </w:pPr>
    </w:p>
    <w:p>
      <w:pPr>
        <w:pStyle w:val="3"/>
        <w:rPr>
          <w:rFonts w:ascii="宋体" w:hAnsi="宋体" w:eastAsia="宋体" w:cs="宋体"/>
        </w:rPr>
      </w:pPr>
      <w:r>
        <w:rPr>
          <w:rFonts w:hint="eastAsia" w:ascii="宋体" w:hAnsi="宋体" w:eastAsia="宋体" w:cs="宋体"/>
        </w:rPr>
        <w:t>第四章  合同文本</w:t>
      </w:r>
      <w:bookmarkEnd w:id="74"/>
      <w:bookmarkEnd w:id="75"/>
    </w:p>
    <w:p>
      <w:pPr>
        <w:tabs>
          <w:tab w:val="left" w:pos="735"/>
        </w:tabs>
        <w:autoSpaceDE w:val="0"/>
        <w:autoSpaceDN w:val="0"/>
        <w:adjustRightInd w:val="0"/>
        <w:snapToGrid w:val="0"/>
        <w:spacing w:line="420" w:lineRule="exact"/>
        <w:ind w:firstLine="485" w:firstLineChars="196"/>
        <w:rPr>
          <w:rFonts w:hint="eastAsia" w:ascii="宋体" w:hAnsi="宋体"/>
          <w:b/>
          <w:bCs/>
          <w:sz w:val="28"/>
          <w:szCs w:val="28"/>
          <w:lang w:val="zh-CN"/>
        </w:rPr>
      </w:pPr>
      <w:bookmarkStart w:id="76" w:name="_Toc876"/>
      <w:bookmarkStart w:id="77" w:name="_Toc100219616"/>
      <w:r>
        <w:rPr>
          <w:rFonts w:hint="eastAsia" w:ascii="宋体" w:hAnsi="宋体"/>
          <w:b/>
          <w:sz w:val="24"/>
          <w:lang w:val="zh-CN"/>
        </w:rPr>
        <w:t>（此合同主要条款，除商务条款外，其余部分只作为参考，最终签订的合同以采购人确定的合同内容为准。）</w:t>
      </w:r>
    </w:p>
    <w:p>
      <w:pPr>
        <w:autoSpaceDE w:val="0"/>
        <w:autoSpaceDN w:val="0"/>
        <w:adjustRightInd w:val="0"/>
        <w:snapToGrid w:val="0"/>
        <w:spacing w:after="312" w:afterLines="100"/>
        <w:contextualSpacing/>
        <w:jc w:val="center"/>
        <w:textAlignment w:val="bottom"/>
        <w:rPr>
          <w:rFonts w:ascii="宋体" w:hAnsi="宋体"/>
          <w:b/>
          <w:sz w:val="32"/>
          <w:szCs w:val="32"/>
        </w:rPr>
      </w:pPr>
    </w:p>
    <w:p>
      <w:pPr>
        <w:adjustRightInd w:val="0"/>
        <w:snapToGrid w:val="0"/>
        <w:spacing w:line="460" w:lineRule="exact"/>
        <w:ind w:firstLine="496" w:firstLineChars="200"/>
        <w:rPr>
          <w:rFonts w:ascii="宋体" w:hAnsi="宋体"/>
          <w:sz w:val="24"/>
          <w:szCs w:val="24"/>
          <w:highlight w:val="yellow"/>
        </w:rPr>
      </w:pPr>
      <w:r>
        <w:rPr>
          <w:rFonts w:ascii="宋体" w:hAnsi="宋体"/>
          <w:sz w:val="24"/>
          <w:szCs w:val="24"/>
        </w:rPr>
        <w:t>甲方：</w:t>
      </w:r>
      <w:r>
        <w:rPr>
          <w:rFonts w:hint="eastAsia" w:ascii="宋体" w:hAnsi="宋体"/>
          <w:sz w:val="24"/>
          <w:szCs w:val="24"/>
        </w:rPr>
        <w:t>麟游县教育体育局（麟游县体育赛事委员会办公室）</w:t>
      </w:r>
    </w:p>
    <w:p>
      <w:pPr>
        <w:adjustRightInd w:val="0"/>
        <w:snapToGrid w:val="0"/>
        <w:spacing w:line="460" w:lineRule="exact"/>
        <w:ind w:firstLine="496" w:firstLineChars="200"/>
        <w:rPr>
          <w:rFonts w:ascii="宋体" w:hAnsi="宋体"/>
          <w:sz w:val="24"/>
          <w:szCs w:val="24"/>
        </w:rPr>
      </w:pPr>
      <w:r>
        <w:rPr>
          <w:rFonts w:ascii="宋体" w:hAnsi="宋体"/>
          <w:sz w:val="24"/>
          <w:szCs w:val="24"/>
        </w:rPr>
        <w:t>乙方：</w:t>
      </w:r>
      <w:r>
        <w:rPr>
          <w:rFonts w:ascii="宋体" w:hAnsi="宋体"/>
          <w:sz w:val="24"/>
          <w:szCs w:val="24"/>
          <w:u w:val="single"/>
        </w:rPr>
        <w:t>（中标供应商）</w:t>
      </w:r>
    </w:p>
    <w:p>
      <w:pPr>
        <w:adjustRightInd w:val="0"/>
        <w:snapToGrid w:val="0"/>
        <w:spacing w:line="460" w:lineRule="exact"/>
        <w:ind w:firstLine="496" w:firstLineChars="200"/>
        <w:rPr>
          <w:rFonts w:ascii="宋体" w:hAnsi="宋体"/>
          <w:sz w:val="24"/>
          <w:szCs w:val="24"/>
        </w:rPr>
      </w:pPr>
    </w:p>
    <w:p>
      <w:pPr>
        <w:adjustRightInd w:val="0"/>
        <w:snapToGrid w:val="0"/>
        <w:spacing w:line="440" w:lineRule="exact"/>
        <w:ind w:firstLine="496" w:firstLineChars="200"/>
        <w:rPr>
          <w:rFonts w:ascii="宋体" w:hAnsi="宋体"/>
          <w:sz w:val="24"/>
          <w:szCs w:val="24"/>
        </w:rPr>
      </w:pPr>
      <w:r>
        <w:rPr>
          <w:rFonts w:hint="eastAsia" w:ascii="宋体" w:hAnsi="宋体"/>
          <w:sz w:val="24"/>
          <w:szCs w:val="24"/>
          <w:lang w:eastAsia="zh-CN"/>
        </w:rPr>
        <w:t>麟游县教育体育局</w:t>
      </w:r>
      <w:r>
        <w:rPr>
          <w:rFonts w:hint="eastAsia" w:ascii="宋体" w:hAnsi="宋体"/>
          <w:sz w:val="24"/>
          <w:szCs w:val="24"/>
        </w:rPr>
        <w:t>2023“九成宫杯”陕西宝鸡·麟游夏季半程马拉松赛事运营服务采购项目</w:t>
      </w:r>
      <w:r>
        <w:rPr>
          <w:rFonts w:ascii="宋体" w:hAnsi="宋体"/>
          <w:sz w:val="24"/>
          <w:szCs w:val="24"/>
        </w:rPr>
        <w:t>，在</w:t>
      </w:r>
      <w:r>
        <w:rPr>
          <w:rFonts w:hint="eastAsia" w:ascii="宋体" w:hAnsi="宋体"/>
          <w:sz w:val="24"/>
          <w:szCs w:val="24"/>
        </w:rPr>
        <w:t>麟游</w:t>
      </w:r>
      <w:r>
        <w:rPr>
          <w:rFonts w:ascii="宋体" w:hAnsi="宋体"/>
          <w:sz w:val="24"/>
          <w:szCs w:val="24"/>
        </w:rPr>
        <w:t>县财政局的监督管理下，由</w:t>
      </w:r>
      <w:r>
        <w:rPr>
          <w:rFonts w:hint="eastAsia" w:ascii="宋体" w:hAnsi="宋体"/>
          <w:sz w:val="24"/>
          <w:szCs w:val="24"/>
        </w:rPr>
        <w:t>麟游</w:t>
      </w:r>
      <w:r>
        <w:rPr>
          <w:rFonts w:ascii="宋体" w:hAnsi="宋体"/>
          <w:sz w:val="24"/>
          <w:szCs w:val="24"/>
        </w:rPr>
        <w:t>县</w:t>
      </w:r>
      <w:r>
        <w:rPr>
          <w:rFonts w:hint="eastAsia" w:ascii="宋体" w:hAnsi="宋体"/>
          <w:sz w:val="24"/>
          <w:szCs w:val="24"/>
        </w:rPr>
        <w:t>教育体育</w:t>
      </w:r>
      <w:r>
        <w:rPr>
          <w:rFonts w:ascii="宋体" w:hAnsi="宋体"/>
          <w:sz w:val="24"/>
          <w:szCs w:val="24"/>
        </w:rPr>
        <w:t>局（以下简称甲方）委托陕西</w:t>
      </w:r>
      <w:r>
        <w:rPr>
          <w:rFonts w:hint="eastAsia" w:ascii="宋体" w:hAnsi="宋体"/>
          <w:sz w:val="24"/>
          <w:szCs w:val="24"/>
          <w:lang w:val="en-US" w:eastAsia="zh-CN"/>
        </w:rPr>
        <w:t>卓佲项目管理</w:t>
      </w:r>
      <w:r>
        <w:rPr>
          <w:rFonts w:ascii="宋体" w:hAnsi="宋体"/>
          <w:sz w:val="24"/>
          <w:szCs w:val="24"/>
        </w:rPr>
        <w:t>有限公司组织</w:t>
      </w:r>
      <w:r>
        <w:rPr>
          <w:rFonts w:hint="eastAsia" w:ascii="宋体" w:hAnsi="宋体"/>
          <w:sz w:val="24"/>
          <w:szCs w:val="24"/>
        </w:rPr>
        <w:t>公开招标</w:t>
      </w:r>
      <w:r>
        <w:rPr>
          <w:rFonts w:ascii="宋体" w:hAnsi="宋体"/>
          <w:sz w:val="24"/>
          <w:szCs w:val="24"/>
        </w:rPr>
        <w:t>，经</w:t>
      </w:r>
      <w:r>
        <w:rPr>
          <w:rFonts w:hint="eastAsia" w:ascii="宋体" w:hAnsi="宋体"/>
          <w:sz w:val="24"/>
          <w:szCs w:val="24"/>
        </w:rPr>
        <w:t>招标</w:t>
      </w:r>
      <w:r>
        <w:rPr>
          <w:rFonts w:ascii="宋体" w:hAnsi="宋体"/>
          <w:sz w:val="24"/>
          <w:szCs w:val="24"/>
        </w:rPr>
        <w:t>确定</w:t>
      </w:r>
      <w:r>
        <w:rPr>
          <w:rFonts w:ascii="宋体" w:hAnsi="宋体"/>
          <w:sz w:val="24"/>
          <w:szCs w:val="24"/>
          <w:u w:val="single"/>
        </w:rPr>
        <w:t xml:space="preserve">                  .</w:t>
      </w:r>
      <w:r>
        <w:rPr>
          <w:rFonts w:ascii="宋体" w:hAnsi="宋体"/>
          <w:sz w:val="24"/>
          <w:szCs w:val="24"/>
        </w:rPr>
        <w:t>公司（以下简称乙方）为该项目</w:t>
      </w:r>
      <w:r>
        <w:rPr>
          <w:rFonts w:hint="eastAsia" w:ascii="宋体" w:hAnsi="宋体"/>
          <w:sz w:val="24"/>
          <w:szCs w:val="24"/>
        </w:rPr>
        <w:t>中标</w:t>
      </w:r>
      <w:r>
        <w:rPr>
          <w:rFonts w:ascii="宋体" w:hAnsi="宋体"/>
          <w:sz w:val="24"/>
          <w:szCs w:val="24"/>
        </w:rPr>
        <w:t>单位。依据《中华人民共和国</w:t>
      </w:r>
      <w:r>
        <w:rPr>
          <w:rFonts w:hint="eastAsia" w:ascii="宋体" w:hAnsi="宋体"/>
          <w:sz w:val="24"/>
          <w:szCs w:val="24"/>
          <w:lang w:val="en-US" w:eastAsia="zh-CN"/>
        </w:rPr>
        <w:t>民法典</w:t>
      </w:r>
      <w:r>
        <w:rPr>
          <w:rFonts w:ascii="宋体" w:hAnsi="宋体"/>
          <w:sz w:val="24"/>
          <w:szCs w:val="24"/>
        </w:rPr>
        <w:t>》和《中华人民共和国政府采购法》，经甲、乙双方共同协商，按下述条款和条件签署本合同。</w:t>
      </w:r>
    </w:p>
    <w:p>
      <w:pPr>
        <w:adjustRightInd w:val="0"/>
        <w:snapToGrid w:val="0"/>
        <w:spacing w:line="440" w:lineRule="exact"/>
        <w:ind w:firstLine="496" w:firstLineChars="200"/>
        <w:rPr>
          <w:rFonts w:ascii="宋体" w:hAnsi="宋体"/>
          <w:sz w:val="24"/>
          <w:szCs w:val="24"/>
        </w:rPr>
      </w:pPr>
      <w:r>
        <w:rPr>
          <w:rFonts w:ascii="宋体" w:hAnsi="宋体"/>
          <w:sz w:val="24"/>
          <w:szCs w:val="24"/>
        </w:rPr>
        <w:t>一、合同内容</w:t>
      </w:r>
    </w:p>
    <w:p>
      <w:pPr>
        <w:adjustRightInd w:val="0"/>
        <w:snapToGrid w:val="0"/>
        <w:spacing w:line="440" w:lineRule="exact"/>
        <w:ind w:firstLine="496" w:firstLineChars="200"/>
        <w:rPr>
          <w:rFonts w:ascii="宋体" w:hAnsi="宋体"/>
          <w:sz w:val="24"/>
          <w:szCs w:val="24"/>
        </w:rPr>
      </w:pPr>
      <w:r>
        <w:rPr>
          <w:rFonts w:ascii="宋体" w:hAnsi="宋体"/>
          <w:sz w:val="24"/>
          <w:szCs w:val="24"/>
        </w:rPr>
        <w:t>（一）乙方负责按照合同确定的内容</w:t>
      </w:r>
      <w:r>
        <w:rPr>
          <w:rFonts w:hint="eastAsia" w:ascii="宋体" w:hAnsi="宋体"/>
          <w:sz w:val="24"/>
          <w:szCs w:val="24"/>
        </w:rPr>
        <w:t>提供</w:t>
      </w:r>
      <w:r>
        <w:rPr>
          <w:rFonts w:ascii="宋体" w:hAnsi="宋体"/>
          <w:sz w:val="24"/>
          <w:szCs w:val="24"/>
        </w:rPr>
        <w:t>相关服务</w:t>
      </w:r>
      <w:r>
        <w:rPr>
          <w:rFonts w:hint="eastAsia" w:ascii="宋体" w:hAnsi="宋体"/>
          <w:sz w:val="24"/>
          <w:szCs w:val="24"/>
        </w:rPr>
        <w:t>。</w:t>
      </w:r>
    </w:p>
    <w:p>
      <w:pPr>
        <w:adjustRightInd w:val="0"/>
        <w:snapToGrid w:val="0"/>
        <w:spacing w:line="440" w:lineRule="exact"/>
        <w:ind w:firstLine="496" w:firstLineChars="200"/>
        <w:rPr>
          <w:rFonts w:ascii="宋体" w:hAnsi="宋体"/>
          <w:sz w:val="24"/>
          <w:szCs w:val="24"/>
        </w:rPr>
      </w:pPr>
      <w:r>
        <w:rPr>
          <w:rFonts w:hint="eastAsia" w:ascii="宋体" w:hAnsi="宋体"/>
          <w:sz w:val="24"/>
          <w:szCs w:val="24"/>
        </w:rPr>
        <w:t>（二）服务内容：</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pPr>
        <w:adjustRightInd w:val="0"/>
        <w:snapToGrid w:val="0"/>
        <w:spacing w:line="440" w:lineRule="exact"/>
        <w:ind w:firstLine="496" w:firstLineChars="200"/>
        <w:rPr>
          <w:rFonts w:ascii="宋体" w:hAnsi="宋体"/>
          <w:b/>
          <w:sz w:val="24"/>
          <w:szCs w:val="24"/>
        </w:rPr>
      </w:pPr>
      <w:r>
        <w:rPr>
          <w:rFonts w:ascii="宋体" w:hAnsi="宋体"/>
          <w:b/>
          <w:sz w:val="24"/>
          <w:szCs w:val="24"/>
        </w:rPr>
        <w:t>二、合同价格</w:t>
      </w:r>
    </w:p>
    <w:p>
      <w:pPr>
        <w:adjustRightInd w:val="0"/>
        <w:snapToGrid w:val="0"/>
        <w:spacing w:line="440" w:lineRule="exact"/>
        <w:ind w:firstLine="496" w:firstLineChars="200"/>
        <w:rPr>
          <w:rFonts w:ascii="宋体" w:hAnsi="宋体"/>
          <w:sz w:val="24"/>
          <w:szCs w:val="24"/>
        </w:rPr>
      </w:pPr>
      <w:r>
        <w:rPr>
          <w:rFonts w:ascii="宋体" w:hAnsi="宋体"/>
          <w:sz w:val="24"/>
          <w:szCs w:val="24"/>
        </w:rPr>
        <w:t>合同总价：大写</w:t>
      </w:r>
      <w:r>
        <w:rPr>
          <w:rFonts w:ascii="宋体" w:hAnsi="宋体"/>
          <w:sz w:val="24"/>
          <w:szCs w:val="24"/>
          <w:u w:val="single"/>
        </w:rPr>
        <w:t xml:space="preserve">             </w:t>
      </w:r>
      <w:r>
        <w:rPr>
          <w:rFonts w:ascii="宋体" w:hAnsi="宋体"/>
          <w:sz w:val="24"/>
          <w:szCs w:val="24"/>
        </w:rPr>
        <w:t xml:space="preserve"> 元人民币（¥</w:t>
      </w:r>
      <w:r>
        <w:rPr>
          <w:rFonts w:ascii="宋体" w:hAnsi="宋体"/>
          <w:sz w:val="24"/>
          <w:szCs w:val="24"/>
          <w:u w:val="single"/>
        </w:rPr>
        <w:t xml:space="preserve">      </w:t>
      </w:r>
      <w:r>
        <w:rPr>
          <w:rFonts w:ascii="宋体" w:hAnsi="宋体"/>
          <w:sz w:val="24"/>
          <w:szCs w:val="24"/>
        </w:rPr>
        <w:t>元）。</w:t>
      </w:r>
    </w:p>
    <w:p>
      <w:pPr>
        <w:adjustRightInd w:val="0"/>
        <w:snapToGrid w:val="0"/>
        <w:spacing w:line="440" w:lineRule="exact"/>
        <w:ind w:firstLine="496" w:firstLineChars="200"/>
        <w:rPr>
          <w:rFonts w:ascii="宋体" w:hAnsi="宋体"/>
          <w:sz w:val="24"/>
          <w:szCs w:val="24"/>
        </w:rPr>
      </w:pPr>
      <w:r>
        <w:rPr>
          <w:rFonts w:ascii="宋体" w:hAnsi="宋体"/>
          <w:sz w:val="24"/>
          <w:szCs w:val="24"/>
        </w:rPr>
        <w:t>说明：</w:t>
      </w:r>
    </w:p>
    <w:p>
      <w:pPr>
        <w:adjustRightInd w:val="0"/>
        <w:snapToGrid w:val="0"/>
        <w:spacing w:line="440" w:lineRule="exact"/>
        <w:ind w:firstLine="496" w:firstLineChars="200"/>
        <w:rPr>
          <w:rFonts w:ascii="宋体" w:hAnsi="宋体"/>
          <w:sz w:val="24"/>
          <w:szCs w:val="24"/>
        </w:rPr>
      </w:pPr>
      <w:r>
        <w:rPr>
          <w:rFonts w:ascii="宋体" w:hAnsi="宋体"/>
          <w:sz w:val="24"/>
          <w:szCs w:val="24"/>
        </w:rPr>
        <w:t>（一）合同总价包含赛事承办费</w:t>
      </w:r>
      <w:r>
        <w:rPr>
          <w:rFonts w:hint="eastAsia" w:ascii="宋体" w:hAnsi="宋体"/>
          <w:sz w:val="24"/>
          <w:szCs w:val="24"/>
        </w:rPr>
        <w:t>、服务</w:t>
      </w:r>
      <w:r>
        <w:rPr>
          <w:rFonts w:ascii="宋体" w:hAnsi="宋体"/>
          <w:sz w:val="24"/>
          <w:szCs w:val="24"/>
        </w:rPr>
        <w:t>费、</w:t>
      </w:r>
      <w:r>
        <w:rPr>
          <w:rFonts w:hint="eastAsia" w:ascii="宋体" w:hAnsi="宋体"/>
          <w:sz w:val="24"/>
          <w:szCs w:val="24"/>
        </w:rPr>
        <w:t>宣传</w:t>
      </w:r>
      <w:r>
        <w:rPr>
          <w:rFonts w:ascii="宋体" w:hAnsi="宋体"/>
          <w:sz w:val="24"/>
          <w:szCs w:val="24"/>
        </w:rPr>
        <w:t>费等全部费用。</w:t>
      </w:r>
    </w:p>
    <w:p>
      <w:pPr>
        <w:adjustRightInd w:val="0"/>
        <w:snapToGrid w:val="0"/>
        <w:spacing w:line="440" w:lineRule="exact"/>
        <w:ind w:firstLine="496" w:firstLineChars="200"/>
        <w:rPr>
          <w:rFonts w:ascii="宋体" w:hAnsi="宋体"/>
          <w:sz w:val="24"/>
          <w:szCs w:val="24"/>
        </w:rPr>
      </w:pPr>
      <w:r>
        <w:rPr>
          <w:rFonts w:ascii="宋体" w:hAnsi="宋体"/>
          <w:sz w:val="24"/>
          <w:szCs w:val="24"/>
        </w:rPr>
        <w:t>（二）合同总价位一次性包死，不受市场价格变化的影响，并作为结算的唯一依据。</w:t>
      </w:r>
    </w:p>
    <w:p>
      <w:pPr>
        <w:adjustRightInd w:val="0"/>
        <w:snapToGrid w:val="0"/>
        <w:spacing w:line="440" w:lineRule="exact"/>
        <w:ind w:firstLine="496" w:firstLineChars="200"/>
        <w:rPr>
          <w:rFonts w:ascii="宋体" w:hAnsi="宋体"/>
          <w:b/>
          <w:sz w:val="24"/>
          <w:szCs w:val="24"/>
        </w:rPr>
      </w:pPr>
      <w:r>
        <w:rPr>
          <w:rFonts w:ascii="宋体" w:hAnsi="宋体"/>
          <w:b/>
          <w:sz w:val="24"/>
          <w:szCs w:val="24"/>
        </w:rPr>
        <w:t>三、合同款项支付</w:t>
      </w:r>
    </w:p>
    <w:p>
      <w:pPr>
        <w:adjustRightInd w:val="0"/>
        <w:snapToGrid w:val="0"/>
        <w:spacing w:line="440" w:lineRule="exact"/>
        <w:ind w:firstLine="496" w:firstLineChars="200"/>
        <w:rPr>
          <w:rFonts w:ascii="宋体" w:hAnsi="宋体"/>
          <w:sz w:val="24"/>
          <w:szCs w:val="24"/>
        </w:rPr>
      </w:pPr>
      <w:r>
        <w:rPr>
          <w:rFonts w:ascii="宋体" w:hAnsi="宋体"/>
          <w:sz w:val="24"/>
          <w:szCs w:val="24"/>
        </w:rPr>
        <w:t xml:space="preserve">1. </w:t>
      </w:r>
      <w:r>
        <w:rPr>
          <w:rFonts w:hint="eastAsia" w:ascii="宋体" w:hAnsi="宋体"/>
          <w:sz w:val="24"/>
          <w:szCs w:val="24"/>
        </w:rPr>
        <w:t>付款比例：</w:t>
      </w:r>
    </w:p>
    <w:p>
      <w:pPr>
        <w:adjustRightInd w:val="0"/>
        <w:snapToGrid w:val="0"/>
        <w:spacing w:line="440" w:lineRule="exact"/>
        <w:ind w:firstLine="496" w:firstLineChars="200"/>
        <w:rPr>
          <w:rFonts w:ascii="宋体" w:hAnsi="宋体"/>
          <w:sz w:val="24"/>
          <w:szCs w:val="24"/>
        </w:rPr>
      </w:pPr>
      <w:r>
        <w:rPr>
          <w:rFonts w:hint="eastAsia" w:ascii="宋体" w:hAnsi="宋体"/>
          <w:sz w:val="24"/>
          <w:szCs w:val="24"/>
        </w:rPr>
        <w:t>（1）合同签订后15日内</w:t>
      </w:r>
      <w:r>
        <w:rPr>
          <w:rFonts w:ascii="宋体" w:hAnsi="宋体"/>
          <w:sz w:val="24"/>
          <w:szCs w:val="28"/>
        </w:rPr>
        <w:t>支付合同总价</w:t>
      </w:r>
      <w:r>
        <w:rPr>
          <w:rFonts w:hint="eastAsia" w:ascii="宋体" w:hAnsi="宋体"/>
          <w:sz w:val="24"/>
          <w:szCs w:val="28"/>
        </w:rPr>
        <w:t>款的</w:t>
      </w:r>
      <w:r>
        <w:rPr>
          <w:rFonts w:ascii="宋体" w:hAnsi="宋体"/>
          <w:sz w:val="24"/>
          <w:szCs w:val="28"/>
          <w:u w:val="single"/>
        </w:rPr>
        <w:t xml:space="preserve"> </w:t>
      </w:r>
      <w:r>
        <w:rPr>
          <w:rFonts w:hint="eastAsia" w:ascii="宋体" w:hAnsi="宋体"/>
          <w:sz w:val="24"/>
          <w:szCs w:val="28"/>
          <w:u w:val="single"/>
        </w:rPr>
        <w:t>20</w:t>
      </w:r>
      <w:r>
        <w:rPr>
          <w:rFonts w:ascii="宋体" w:hAnsi="宋体"/>
          <w:sz w:val="24"/>
          <w:szCs w:val="28"/>
          <w:u w:val="single"/>
        </w:rPr>
        <w:t>%</w:t>
      </w:r>
      <w:r>
        <w:rPr>
          <w:rFonts w:hint="eastAsia" w:ascii="宋体" w:hAnsi="宋体"/>
          <w:sz w:val="24"/>
          <w:szCs w:val="28"/>
        </w:rPr>
        <w:t>作为预付款；自行车公开赛结束，半程马拉松赛人员、设备完全进场后支付合同总价的40%。</w:t>
      </w:r>
    </w:p>
    <w:p>
      <w:pPr>
        <w:adjustRightInd w:val="0"/>
        <w:snapToGrid w:val="0"/>
        <w:spacing w:line="440" w:lineRule="exact"/>
        <w:ind w:firstLine="496" w:firstLineChars="200"/>
        <w:rPr>
          <w:rFonts w:hint="eastAsia" w:ascii="宋体" w:hAnsi="宋体"/>
          <w:sz w:val="24"/>
          <w:szCs w:val="28"/>
        </w:rPr>
      </w:pPr>
      <w:r>
        <w:rPr>
          <w:rFonts w:hint="eastAsia" w:ascii="宋体" w:hAnsi="宋体"/>
          <w:sz w:val="24"/>
          <w:szCs w:val="24"/>
        </w:rPr>
        <w:t>（2）</w:t>
      </w:r>
      <w:r>
        <w:rPr>
          <w:rFonts w:hint="eastAsia" w:ascii="宋体" w:hAnsi="宋体"/>
          <w:sz w:val="24"/>
          <w:szCs w:val="28"/>
        </w:rPr>
        <w:t>赛事结束后10日内，在采购方确认中标供应商如约履行各项义务、完成各项善后工作，无任何对本次比赛可能造成不良影响的遗留问题后，提交审计部门进行专项审计，按照审计结果一次性付清剩余全款。</w:t>
      </w:r>
    </w:p>
    <w:p>
      <w:pPr>
        <w:adjustRightInd w:val="0"/>
        <w:snapToGrid w:val="0"/>
        <w:spacing w:line="440" w:lineRule="exact"/>
        <w:ind w:firstLine="496" w:firstLineChars="20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结算方式：银行转账。</w:t>
      </w:r>
    </w:p>
    <w:p>
      <w:pPr>
        <w:adjustRightInd w:val="0"/>
        <w:snapToGrid w:val="0"/>
        <w:spacing w:line="440" w:lineRule="exact"/>
        <w:ind w:firstLine="496" w:firstLineChars="200"/>
        <w:rPr>
          <w:rFonts w:ascii="宋体" w:hAnsi="宋体"/>
          <w:b/>
          <w:sz w:val="24"/>
          <w:szCs w:val="24"/>
        </w:rPr>
      </w:pPr>
      <w:r>
        <w:rPr>
          <w:rFonts w:ascii="宋体" w:hAnsi="宋体"/>
          <w:sz w:val="24"/>
          <w:szCs w:val="24"/>
        </w:rPr>
        <w:t xml:space="preserve">3. </w:t>
      </w:r>
      <w:r>
        <w:rPr>
          <w:rFonts w:hint="eastAsia" w:ascii="宋体" w:hAnsi="宋体"/>
          <w:sz w:val="24"/>
          <w:szCs w:val="24"/>
        </w:rPr>
        <w:t>结算单位：由采购方负责结算，供应商开具合同总价数的全额发票交采购人。</w:t>
      </w:r>
    </w:p>
    <w:p>
      <w:pPr>
        <w:adjustRightInd w:val="0"/>
        <w:snapToGrid w:val="0"/>
        <w:spacing w:line="440" w:lineRule="exact"/>
        <w:ind w:firstLine="496" w:firstLineChars="200"/>
        <w:rPr>
          <w:rFonts w:ascii="宋体" w:hAnsi="宋体"/>
          <w:b/>
          <w:sz w:val="24"/>
          <w:szCs w:val="24"/>
        </w:rPr>
      </w:pPr>
      <w:r>
        <w:rPr>
          <w:rFonts w:ascii="宋体" w:hAnsi="宋体"/>
          <w:b/>
          <w:sz w:val="24"/>
          <w:szCs w:val="24"/>
        </w:rPr>
        <w:t>四、</w:t>
      </w:r>
      <w:r>
        <w:rPr>
          <w:rFonts w:hint="eastAsia" w:ascii="宋体" w:hAnsi="宋体"/>
          <w:b/>
          <w:sz w:val="24"/>
          <w:szCs w:val="24"/>
        </w:rPr>
        <w:t>活动</w:t>
      </w:r>
      <w:r>
        <w:rPr>
          <w:rFonts w:ascii="宋体" w:hAnsi="宋体"/>
          <w:b/>
          <w:sz w:val="24"/>
          <w:szCs w:val="24"/>
        </w:rPr>
        <w:t>条件</w:t>
      </w:r>
    </w:p>
    <w:p>
      <w:pPr>
        <w:tabs>
          <w:tab w:val="left" w:pos="810"/>
        </w:tabs>
        <w:adjustRightInd w:val="0"/>
        <w:snapToGrid w:val="0"/>
        <w:spacing w:line="440" w:lineRule="exact"/>
        <w:ind w:firstLine="496" w:firstLineChars="200"/>
        <w:rPr>
          <w:rFonts w:ascii="宋体" w:hAnsi="宋体"/>
          <w:sz w:val="24"/>
          <w:szCs w:val="24"/>
        </w:rPr>
      </w:pPr>
      <w:r>
        <w:rPr>
          <w:rFonts w:ascii="宋体" w:hAnsi="宋体"/>
          <w:sz w:val="24"/>
          <w:szCs w:val="24"/>
        </w:rPr>
        <w:t>（一）活动地点：</w:t>
      </w:r>
      <w:r>
        <w:rPr>
          <w:rFonts w:hint="eastAsia" w:ascii="宋体" w:hAnsi="宋体"/>
          <w:sz w:val="24"/>
          <w:szCs w:val="24"/>
        </w:rPr>
        <w:t>麟游</w:t>
      </w:r>
      <w:r>
        <w:rPr>
          <w:rFonts w:ascii="宋体" w:hAnsi="宋体"/>
          <w:sz w:val="24"/>
          <w:szCs w:val="24"/>
        </w:rPr>
        <w:t>县</w:t>
      </w:r>
      <w:r>
        <w:rPr>
          <w:rFonts w:hint="eastAsia" w:ascii="宋体" w:hAnsi="宋体"/>
          <w:sz w:val="24"/>
          <w:szCs w:val="24"/>
        </w:rPr>
        <w:t>教育体育</w:t>
      </w:r>
      <w:r>
        <w:rPr>
          <w:rFonts w:ascii="宋体" w:hAnsi="宋体"/>
          <w:sz w:val="24"/>
          <w:szCs w:val="24"/>
        </w:rPr>
        <w:t>局指定地点。</w:t>
      </w:r>
    </w:p>
    <w:p>
      <w:pPr>
        <w:tabs>
          <w:tab w:val="left" w:pos="810"/>
        </w:tabs>
        <w:adjustRightInd w:val="0"/>
        <w:snapToGrid w:val="0"/>
        <w:spacing w:line="440" w:lineRule="exact"/>
        <w:ind w:firstLine="496" w:firstLineChars="200"/>
        <w:rPr>
          <w:rFonts w:ascii="宋体" w:hAnsi="宋体"/>
          <w:sz w:val="24"/>
          <w:szCs w:val="24"/>
        </w:rPr>
      </w:pPr>
      <w:r>
        <w:rPr>
          <w:rFonts w:ascii="宋体" w:hAnsi="宋体"/>
          <w:sz w:val="24"/>
          <w:szCs w:val="24"/>
        </w:rPr>
        <w:t>（二）</w:t>
      </w:r>
      <w:r>
        <w:rPr>
          <w:rFonts w:hint="eastAsia" w:ascii="宋体" w:hAnsi="宋体"/>
          <w:sz w:val="24"/>
          <w:szCs w:val="24"/>
        </w:rPr>
        <w:t>活动日期</w:t>
      </w:r>
      <w:r>
        <w:rPr>
          <w:rFonts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p>
    <w:p>
      <w:pPr>
        <w:tabs>
          <w:tab w:val="left" w:pos="810"/>
        </w:tabs>
        <w:adjustRightInd w:val="0"/>
        <w:snapToGrid w:val="0"/>
        <w:spacing w:line="440" w:lineRule="exact"/>
        <w:ind w:firstLine="496" w:firstLineChars="200"/>
        <w:rPr>
          <w:rFonts w:hint="eastAsia" w:ascii="宋体" w:hAnsi="宋体"/>
          <w:sz w:val="24"/>
          <w:szCs w:val="24"/>
          <w:u w:val="single"/>
        </w:rPr>
      </w:pPr>
      <w:r>
        <w:rPr>
          <w:rFonts w:hint="eastAsia" w:ascii="宋体" w:hAnsi="宋体"/>
          <w:sz w:val="24"/>
          <w:szCs w:val="24"/>
        </w:rPr>
        <w:t xml:space="preserve"> </w:t>
      </w:r>
      <w:r>
        <w:rPr>
          <w:rFonts w:ascii="宋体" w:hAnsi="宋体"/>
          <w:sz w:val="24"/>
          <w:szCs w:val="24"/>
        </w:rPr>
        <w:t xml:space="preserve">               </w:t>
      </w:r>
      <w:r>
        <w:rPr>
          <w:rFonts w:ascii="宋体" w:hAnsi="宋体"/>
          <w:sz w:val="24"/>
          <w:szCs w:val="24"/>
          <w:u w:val="single"/>
        </w:rPr>
        <w:t xml:space="preserve">                           </w:t>
      </w:r>
    </w:p>
    <w:p>
      <w:pPr>
        <w:adjustRightInd w:val="0"/>
        <w:snapToGrid w:val="0"/>
        <w:spacing w:line="440" w:lineRule="exact"/>
        <w:ind w:firstLine="496" w:firstLineChars="200"/>
        <w:rPr>
          <w:rFonts w:ascii="宋体" w:hAnsi="宋体"/>
          <w:b/>
          <w:sz w:val="24"/>
          <w:szCs w:val="24"/>
        </w:rPr>
      </w:pPr>
      <w:r>
        <w:rPr>
          <w:rFonts w:ascii="宋体" w:hAnsi="宋体"/>
          <w:b/>
          <w:sz w:val="24"/>
          <w:szCs w:val="24"/>
        </w:rPr>
        <w:t>五、违约责任</w:t>
      </w:r>
    </w:p>
    <w:p>
      <w:pPr>
        <w:adjustRightInd w:val="0"/>
        <w:snapToGrid w:val="0"/>
        <w:spacing w:line="440" w:lineRule="exact"/>
        <w:ind w:firstLine="496" w:firstLineChars="200"/>
        <w:rPr>
          <w:rFonts w:ascii="宋体" w:hAnsi="宋体"/>
          <w:sz w:val="24"/>
          <w:szCs w:val="24"/>
        </w:rPr>
      </w:pPr>
      <w:r>
        <w:rPr>
          <w:rFonts w:ascii="宋体" w:hAnsi="宋体"/>
          <w:sz w:val="24"/>
          <w:szCs w:val="24"/>
        </w:rPr>
        <w:t>（一）按《</w:t>
      </w:r>
      <w:r>
        <w:rPr>
          <w:rFonts w:hint="eastAsia" w:ascii="宋体" w:hAnsi="宋体"/>
          <w:sz w:val="24"/>
          <w:szCs w:val="24"/>
          <w:lang w:val="en-US" w:eastAsia="zh-CN"/>
        </w:rPr>
        <w:t>民法典</w:t>
      </w:r>
      <w:r>
        <w:rPr>
          <w:rFonts w:ascii="宋体" w:hAnsi="宋体"/>
          <w:sz w:val="24"/>
          <w:szCs w:val="24"/>
        </w:rPr>
        <w:t>》中的相关条款执行。</w:t>
      </w:r>
    </w:p>
    <w:p>
      <w:pPr>
        <w:tabs>
          <w:tab w:val="left" w:pos="426"/>
          <w:tab w:val="left" w:pos="1276"/>
          <w:tab w:val="left" w:pos="1418"/>
        </w:tabs>
        <w:adjustRightInd w:val="0"/>
        <w:snapToGrid w:val="0"/>
        <w:spacing w:line="440" w:lineRule="exact"/>
        <w:ind w:firstLine="496" w:firstLineChars="200"/>
        <w:rPr>
          <w:rFonts w:ascii="宋体" w:hAnsi="宋体"/>
          <w:sz w:val="24"/>
          <w:szCs w:val="24"/>
        </w:rPr>
      </w:pPr>
      <w:r>
        <w:rPr>
          <w:rFonts w:ascii="宋体" w:hAnsi="宋体"/>
          <w:sz w:val="24"/>
          <w:szCs w:val="24"/>
        </w:rPr>
        <w:t>（二）</w:t>
      </w:r>
      <w:r>
        <w:rPr>
          <w:rFonts w:ascii="宋体" w:hAnsi="宋体"/>
          <w:sz w:val="24"/>
          <w:szCs w:val="24"/>
        </w:rPr>
        <w:tab/>
      </w:r>
      <w:r>
        <w:rPr>
          <w:rFonts w:ascii="宋体" w:hAnsi="宋体"/>
          <w:sz w:val="24"/>
          <w:szCs w:val="24"/>
        </w:rPr>
        <w:t>未按合同要求提供</w:t>
      </w:r>
      <w:r>
        <w:rPr>
          <w:rFonts w:hint="eastAsia" w:ascii="宋体" w:hAnsi="宋体"/>
          <w:sz w:val="24"/>
          <w:szCs w:val="24"/>
        </w:rPr>
        <w:t>服务</w:t>
      </w:r>
      <w:r>
        <w:rPr>
          <w:rFonts w:ascii="宋体" w:hAnsi="宋体"/>
          <w:sz w:val="24"/>
          <w:szCs w:val="24"/>
        </w:rPr>
        <w:t>不能满足技术要求（包括</w:t>
      </w:r>
      <w:r>
        <w:rPr>
          <w:rFonts w:ascii="宋体" w:hAnsi="宋体"/>
          <w:sz w:val="24"/>
          <w:szCs w:val="24"/>
          <w:u w:val="single"/>
        </w:rPr>
        <w:t xml:space="preserve">   </w:t>
      </w:r>
      <w:r>
        <w:rPr>
          <w:rFonts w:ascii="宋体" w:hAnsi="宋体"/>
          <w:sz w:val="24"/>
          <w:szCs w:val="24"/>
        </w:rPr>
        <w:t>次修改后）</w:t>
      </w:r>
      <w:r>
        <w:rPr>
          <w:rFonts w:hint="eastAsia" w:ascii="宋体" w:hAnsi="宋体"/>
          <w:sz w:val="24"/>
          <w:szCs w:val="24"/>
        </w:rPr>
        <w:t>麟游</w:t>
      </w:r>
      <w:r>
        <w:rPr>
          <w:rFonts w:ascii="宋体" w:hAnsi="宋体"/>
          <w:sz w:val="24"/>
          <w:szCs w:val="24"/>
        </w:rPr>
        <w:t>县</w:t>
      </w:r>
      <w:r>
        <w:rPr>
          <w:rFonts w:hint="eastAsia" w:ascii="宋体" w:hAnsi="宋体"/>
          <w:sz w:val="24"/>
          <w:szCs w:val="24"/>
        </w:rPr>
        <w:t>教育</w:t>
      </w:r>
      <w:r>
        <w:rPr>
          <w:rFonts w:ascii="宋体" w:hAnsi="宋体"/>
          <w:sz w:val="24"/>
          <w:szCs w:val="24"/>
        </w:rPr>
        <w:t>体育局有权终止合同，甚至对供方违约行为进行追究。</w:t>
      </w:r>
    </w:p>
    <w:p>
      <w:pPr>
        <w:adjustRightInd w:val="0"/>
        <w:snapToGrid w:val="0"/>
        <w:spacing w:line="440" w:lineRule="exact"/>
        <w:ind w:firstLine="496" w:firstLineChars="200"/>
        <w:rPr>
          <w:rFonts w:ascii="宋体" w:hAnsi="宋体"/>
          <w:b/>
          <w:sz w:val="24"/>
          <w:szCs w:val="24"/>
        </w:rPr>
      </w:pPr>
      <w:r>
        <w:rPr>
          <w:rFonts w:ascii="宋体" w:hAnsi="宋体"/>
          <w:b/>
          <w:sz w:val="24"/>
          <w:szCs w:val="24"/>
        </w:rPr>
        <w:t>六、其他事项</w:t>
      </w:r>
    </w:p>
    <w:p>
      <w:pPr>
        <w:tabs>
          <w:tab w:val="left" w:pos="810"/>
        </w:tabs>
        <w:adjustRightInd w:val="0"/>
        <w:snapToGrid w:val="0"/>
        <w:spacing w:line="440" w:lineRule="exact"/>
        <w:ind w:firstLine="496" w:firstLineChars="200"/>
        <w:rPr>
          <w:rFonts w:ascii="宋体" w:hAnsi="宋体"/>
          <w:sz w:val="24"/>
          <w:szCs w:val="24"/>
        </w:rPr>
      </w:pPr>
      <w:r>
        <w:rPr>
          <w:rFonts w:ascii="宋体" w:hAnsi="宋体"/>
          <w:sz w:val="24"/>
          <w:szCs w:val="24"/>
        </w:rPr>
        <w:t>（一）</w:t>
      </w:r>
      <w:r>
        <w:rPr>
          <w:rFonts w:hint="eastAsia" w:ascii="宋体" w:hAnsi="宋体"/>
          <w:sz w:val="24"/>
          <w:szCs w:val="24"/>
        </w:rPr>
        <w:t>麟游</w:t>
      </w:r>
      <w:r>
        <w:rPr>
          <w:rFonts w:ascii="宋体" w:hAnsi="宋体"/>
          <w:sz w:val="24"/>
          <w:szCs w:val="24"/>
        </w:rPr>
        <w:t>县财政局在合同的履行期间以及履行期后，可以随时检查项目的执行情况，对采购标准、采购内容进行调查核实，并对发现的问题进行处理。</w:t>
      </w:r>
    </w:p>
    <w:p>
      <w:pPr>
        <w:tabs>
          <w:tab w:val="left" w:pos="810"/>
        </w:tabs>
        <w:adjustRightInd w:val="0"/>
        <w:snapToGrid w:val="0"/>
        <w:spacing w:line="440" w:lineRule="exact"/>
        <w:ind w:firstLine="496" w:firstLineChars="200"/>
        <w:rPr>
          <w:rFonts w:ascii="宋体" w:hAnsi="宋体"/>
          <w:sz w:val="24"/>
          <w:szCs w:val="24"/>
        </w:rPr>
      </w:pPr>
      <w:r>
        <w:rPr>
          <w:rFonts w:ascii="宋体" w:hAnsi="宋体"/>
          <w:sz w:val="24"/>
          <w:szCs w:val="24"/>
        </w:rPr>
        <w:t>（二）本合同一式</w:t>
      </w:r>
      <w:r>
        <w:rPr>
          <w:rFonts w:ascii="宋体" w:hAnsi="宋体"/>
          <w:sz w:val="24"/>
          <w:szCs w:val="24"/>
          <w:u w:val="single"/>
        </w:rPr>
        <w:t xml:space="preserve">   </w:t>
      </w:r>
      <w:r>
        <w:rPr>
          <w:rFonts w:ascii="宋体" w:hAnsi="宋体"/>
          <w:sz w:val="24"/>
          <w:szCs w:val="24"/>
        </w:rPr>
        <w:t>份，甲方</w:t>
      </w:r>
      <w:r>
        <w:rPr>
          <w:rFonts w:hint="eastAsia" w:ascii="宋体" w:hAnsi="宋体"/>
          <w:sz w:val="24"/>
          <w:szCs w:val="24"/>
        </w:rPr>
        <w:t>麟游</w:t>
      </w:r>
      <w:r>
        <w:rPr>
          <w:rFonts w:ascii="宋体" w:hAnsi="宋体"/>
          <w:sz w:val="24"/>
          <w:szCs w:val="24"/>
        </w:rPr>
        <w:t>县</w:t>
      </w:r>
      <w:r>
        <w:rPr>
          <w:rFonts w:hint="eastAsia" w:ascii="宋体" w:hAnsi="宋体"/>
          <w:sz w:val="24"/>
          <w:szCs w:val="24"/>
        </w:rPr>
        <w:t>教育体育</w:t>
      </w:r>
      <w:r>
        <w:rPr>
          <w:rFonts w:ascii="宋体" w:hAnsi="宋体"/>
          <w:sz w:val="24"/>
          <w:szCs w:val="24"/>
        </w:rPr>
        <w:t>局</w:t>
      </w:r>
      <w:r>
        <w:rPr>
          <w:rFonts w:ascii="宋体" w:hAnsi="宋体"/>
          <w:sz w:val="24"/>
          <w:szCs w:val="24"/>
          <w:u w:val="single"/>
        </w:rPr>
        <w:t xml:space="preserve">   </w:t>
      </w:r>
      <w:r>
        <w:rPr>
          <w:rFonts w:ascii="宋体" w:hAnsi="宋体"/>
          <w:sz w:val="24"/>
          <w:szCs w:val="24"/>
        </w:rPr>
        <w:t>份，乙方</w:t>
      </w:r>
      <w:r>
        <w:rPr>
          <w:rFonts w:ascii="宋体" w:hAnsi="宋体"/>
          <w:sz w:val="24"/>
          <w:szCs w:val="24"/>
          <w:u w:val="single"/>
        </w:rPr>
        <w:t xml:space="preserve">         </w:t>
      </w:r>
      <w:r>
        <w:rPr>
          <w:rFonts w:ascii="宋体" w:hAnsi="宋体"/>
          <w:sz w:val="24"/>
          <w:szCs w:val="24"/>
        </w:rPr>
        <w:t>公司</w:t>
      </w:r>
      <w:r>
        <w:rPr>
          <w:rFonts w:ascii="宋体" w:hAnsi="宋体"/>
          <w:sz w:val="24"/>
          <w:szCs w:val="24"/>
          <w:u w:val="single"/>
        </w:rPr>
        <w:t xml:space="preserve">  </w:t>
      </w:r>
      <w:r>
        <w:rPr>
          <w:rFonts w:ascii="宋体" w:hAnsi="宋体"/>
          <w:sz w:val="24"/>
          <w:szCs w:val="24"/>
        </w:rPr>
        <w:t>份，</w:t>
      </w:r>
      <w:r>
        <w:rPr>
          <w:rFonts w:hint="eastAsia" w:ascii="宋体" w:hAnsi="宋体"/>
          <w:bCs/>
          <w:sz w:val="24"/>
          <w:szCs w:val="24"/>
        </w:rPr>
        <w:t>陕西</w:t>
      </w:r>
      <w:r>
        <w:rPr>
          <w:rFonts w:hint="eastAsia" w:ascii="宋体" w:hAnsi="宋体"/>
          <w:bCs/>
          <w:sz w:val="24"/>
          <w:szCs w:val="24"/>
          <w:lang w:val="en-US" w:eastAsia="zh-CN"/>
        </w:rPr>
        <w:t>卓佲项目管理有限公司</w:t>
      </w:r>
      <w:r>
        <w:rPr>
          <w:rFonts w:ascii="宋体" w:hAnsi="宋体"/>
          <w:sz w:val="24"/>
          <w:szCs w:val="24"/>
        </w:rPr>
        <w:t>一份。甲乙双方签字盖章后生效。</w:t>
      </w:r>
    </w:p>
    <w:p>
      <w:pPr>
        <w:tabs>
          <w:tab w:val="left" w:pos="810"/>
        </w:tabs>
        <w:adjustRightInd w:val="0"/>
        <w:snapToGrid w:val="0"/>
        <w:spacing w:line="440" w:lineRule="exact"/>
        <w:ind w:firstLine="496" w:firstLineChars="200"/>
        <w:rPr>
          <w:rFonts w:ascii="宋体" w:hAnsi="宋体"/>
          <w:sz w:val="24"/>
          <w:szCs w:val="24"/>
        </w:rPr>
      </w:pPr>
      <w:r>
        <w:rPr>
          <w:rFonts w:ascii="宋体" w:hAnsi="宋体"/>
          <w:sz w:val="24"/>
          <w:szCs w:val="24"/>
        </w:rPr>
        <w:t>（三）本合同未尽事项，补充合同内容。</w:t>
      </w:r>
    </w:p>
    <w:p>
      <w:pPr>
        <w:tabs>
          <w:tab w:val="left" w:pos="810"/>
        </w:tabs>
        <w:adjustRightInd w:val="0"/>
        <w:snapToGrid w:val="0"/>
        <w:spacing w:after="156" w:afterLines="50" w:line="440" w:lineRule="exact"/>
        <w:ind w:firstLine="496" w:firstLineChars="200"/>
        <w:rPr>
          <w:rFonts w:ascii="宋体" w:hAnsi="宋体"/>
          <w:w w:val="95"/>
          <w:sz w:val="24"/>
          <w:szCs w:val="24"/>
        </w:rPr>
      </w:pPr>
      <w:r>
        <w:rPr>
          <w:rFonts w:ascii="宋体" w:hAnsi="宋体"/>
          <w:sz w:val="24"/>
          <w:szCs w:val="24"/>
        </w:rPr>
        <w:t>合同签订地点：</w:t>
      </w:r>
      <w:r>
        <w:rPr>
          <w:rFonts w:hint="eastAsia" w:ascii="宋体" w:hAnsi="宋体"/>
          <w:sz w:val="24"/>
          <w:szCs w:val="24"/>
          <w:u w:val="single"/>
        </w:rPr>
        <w:t xml:space="preserve">        </w:t>
      </w:r>
      <w:r>
        <w:rPr>
          <w:rFonts w:ascii="宋体" w:hAnsi="宋体"/>
          <w:sz w:val="24"/>
          <w:szCs w:val="24"/>
        </w:rPr>
        <w:t xml:space="preserve">       合同签订时间：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9"/>
        <w:gridCol w:w="2973"/>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399"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甲  方</w:t>
            </w:r>
          </w:p>
        </w:tc>
        <w:tc>
          <w:tcPr>
            <w:tcW w:w="2973"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乙  方</w:t>
            </w:r>
          </w:p>
        </w:tc>
        <w:tc>
          <w:tcPr>
            <w:tcW w:w="2861"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99"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麟游县体育赛事委员会办公室（盖章）</w:t>
            </w: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（盖章）</w:t>
            </w:r>
          </w:p>
        </w:tc>
        <w:tc>
          <w:tcPr>
            <w:tcW w:w="2861"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陕西</w:t>
            </w:r>
            <w:r>
              <w:rPr>
                <w:rFonts w:hint="eastAsia" w:ascii="宋体" w:hAnsi="宋体"/>
                <w:bCs/>
                <w:sz w:val="24"/>
                <w:szCs w:val="24"/>
                <w:lang w:val="en-US" w:eastAsia="zh-CN"/>
              </w:rPr>
              <w:t>卓佲项目管理有限公司</w:t>
            </w:r>
            <w:r>
              <w:rPr>
                <w:rFonts w:hint="eastAsia" w:ascii="宋体" w:hAnsi="宋体"/>
                <w:bCs/>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399"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地址：麟游县东大街付7号</w:t>
            </w: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地址：</w:t>
            </w:r>
          </w:p>
        </w:tc>
        <w:tc>
          <w:tcPr>
            <w:tcW w:w="2861"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地址：西安市雁塔区科技路10号华奥大厦A座20层2002室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399"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邮编：</w:t>
            </w: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邮编：</w:t>
            </w:r>
          </w:p>
        </w:tc>
        <w:tc>
          <w:tcPr>
            <w:tcW w:w="2861"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邮编：7100</w:t>
            </w:r>
            <w:r>
              <w:rPr>
                <w:rFonts w:hint="eastAsia" w:ascii="宋体" w:hAnsi="宋体"/>
                <w:bCs/>
                <w:sz w:val="24"/>
                <w:szCs w:val="24"/>
                <w:lang w:val="en-US" w:eastAsia="zh-CN"/>
              </w:rPr>
              <w:t>6</w:t>
            </w:r>
            <w:r>
              <w:rPr>
                <w:rFonts w:hint="eastAsia" w:ascii="宋体" w:hAnsi="宋体"/>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399" w:type="dxa"/>
            <w:vMerge w:val="restart"/>
            <w:tcBorders>
              <w:top w:val="single" w:color="auto" w:sz="4" w:space="0"/>
              <w:left w:val="single" w:color="auto" w:sz="12"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全权代表：</w:t>
            </w:r>
          </w:p>
          <w:p>
            <w:pPr>
              <w:adjustRightInd w:val="0"/>
              <w:snapToGrid w:val="0"/>
              <w:rPr>
                <w:rFonts w:hint="eastAsia" w:ascii="宋体" w:hAnsi="宋体"/>
                <w:bCs/>
                <w:sz w:val="24"/>
                <w:szCs w:val="24"/>
              </w:rPr>
            </w:pPr>
            <w:r>
              <w:rPr>
                <w:rFonts w:hint="eastAsia" w:ascii="宋体" w:hAnsi="宋体"/>
                <w:bCs/>
                <w:sz w:val="24"/>
                <w:szCs w:val="24"/>
              </w:rPr>
              <w:t>（签字）</w:t>
            </w: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法定代表人：</w:t>
            </w:r>
          </w:p>
        </w:tc>
        <w:tc>
          <w:tcPr>
            <w:tcW w:w="2861" w:type="dxa"/>
            <w:vMerge w:val="restart"/>
            <w:tcBorders>
              <w:top w:val="single" w:color="auto" w:sz="4" w:space="0"/>
              <w:left w:val="single" w:color="auto" w:sz="4" w:space="0"/>
              <w:right w:val="single" w:color="auto" w:sz="12"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全权代表：</w:t>
            </w:r>
          </w:p>
          <w:p>
            <w:pPr>
              <w:adjustRightInd w:val="0"/>
              <w:snapToGrid w:val="0"/>
              <w:rPr>
                <w:rFonts w:hint="eastAsia" w:ascii="宋体" w:hAnsi="宋体"/>
                <w:bCs/>
                <w:sz w:val="24"/>
                <w:szCs w:val="24"/>
              </w:rPr>
            </w:pPr>
            <w:r>
              <w:rPr>
                <w:rFonts w:hint="eastAsia" w:ascii="宋体" w:hAnsi="宋体"/>
                <w:bCs/>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99" w:type="dxa"/>
            <w:vMerge w:val="continue"/>
            <w:tcBorders>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被授权代表：</w:t>
            </w:r>
          </w:p>
          <w:p>
            <w:pPr>
              <w:adjustRightInd w:val="0"/>
              <w:snapToGrid w:val="0"/>
              <w:rPr>
                <w:rFonts w:hint="eastAsia" w:ascii="宋体" w:hAnsi="宋体"/>
                <w:bCs/>
                <w:sz w:val="24"/>
                <w:szCs w:val="24"/>
              </w:rPr>
            </w:pPr>
            <w:r>
              <w:rPr>
                <w:rFonts w:hint="eastAsia" w:ascii="宋体" w:hAnsi="宋体"/>
                <w:bCs/>
                <w:sz w:val="24"/>
                <w:szCs w:val="24"/>
              </w:rPr>
              <w:t>（签字）</w:t>
            </w:r>
          </w:p>
        </w:tc>
        <w:tc>
          <w:tcPr>
            <w:tcW w:w="2861" w:type="dxa"/>
            <w:vMerge w:val="continue"/>
            <w:tcBorders>
              <w:left w:val="single" w:color="auto" w:sz="4" w:space="0"/>
              <w:bottom w:val="single" w:color="auto" w:sz="4" w:space="0"/>
              <w:right w:val="single" w:color="auto" w:sz="12" w:space="0"/>
            </w:tcBorders>
            <w:noWrap w:val="0"/>
            <w:vAlign w:val="center"/>
          </w:tcPr>
          <w:p>
            <w:pPr>
              <w:adjustRightInd w:val="0"/>
              <w:snapToGrid w:val="0"/>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399"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电话：</w:t>
            </w: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电话：</w:t>
            </w:r>
          </w:p>
        </w:tc>
        <w:tc>
          <w:tcPr>
            <w:tcW w:w="2861"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rPr>
                <w:rFonts w:hint="default" w:ascii="宋体" w:hAnsi="宋体"/>
                <w:bCs/>
                <w:sz w:val="24"/>
                <w:szCs w:val="24"/>
                <w:lang w:val="en-US" w:eastAsia="zh-CN"/>
              </w:rPr>
            </w:pPr>
            <w:r>
              <w:rPr>
                <w:rFonts w:hint="eastAsia" w:ascii="宋体" w:hAnsi="宋体"/>
                <w:bCs/>
                <w:sz w:val="24"/>
                <w:szCs w:val="24"/>
              </w:rPr>
              <w:t>电话：029-</w:t>
            </w:r>
            <w:r>
              <w:rPr>
                <w:rFonts w:hint="eastAsia" w:ascii="宋体" w:hAnsi="宋体"/>
                <w:bCs/>
                <w:sz w:val="24"/>
                <w:szCs w:val="24"/>
                <w:lang w:val="en-US" w:eastAsia="zh-CN"/>
              </w:rPr>
              <w:t>88440695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399"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传真：</w:t>
            </w: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传真：</w:t>
            </w:r>
          </w:p>
        </w:tc>
        <w:tc>
          <w:tcPr>
            <w:tcW w:w="2861"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rPr>
                <w:rFonts w:hint="eastAsia" w:ascii="宋体" w:hAnsi="宋体"/>
                <w:bCs/>
                <w:sz w:val="24"/>
                <w:szCs w:val="24"/>
                <w:lang w:eastAsia="zh-CN"/>
              </w:rPr>
            </w:pPr>
            <w:r>
              <w:rPr>
                <w:rFonts w:hint="eastAsia" w:ascii="宋体" w:hAnsi="宋体"/>
                <w:bCs/>
                <w:sz w:val="24"/>
                <w:szCs w:val="24"/>
              </w:rPr>
              <w:t>传真：</w:t>
            </w:r>
            <w:r>
              <w:rPr>
                <w:rFonts w:hint="eastAsia" w:ascii="宋体" w:hAnsi="宋体"/>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399"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开户银行：</w:t>
            </w:r>
          </w:p>
        </w:tc>
        <w:tc>
          <w:tcPr>
            <w:tcW w:w="2861"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99"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p>
        </w:tc>
        <w:tc>
          <w:tcPr>
            <w:tcW w:w="29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账号:</w:t>
            </w:r>
          </w:p>
        </w:tc>
        <w:tc>
          <w:tcPr>
            <w:tcW w:w="2861"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99"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日期：   年 月 日</w:t>
            </w:r>
          </w:p>
        </w:tc>
        <w:tc>
          <w:tcPr>
            <w:tcW w:w="2973"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日期：  年   月   日</w:t>
            </w:r>
          </w:p>
        </w:tc>
        <w:tc>
          <w:tcPr>
            <w:tcW w:w="2861" w:type="dxa"/>
            <w:tcBorders>
              <w:top w:val="single" w:color="auto" w:sz="4" w:space="0"/>
              <w:left w:val="single" w:color="auto" w:sz="4" w:space="0"/>
              <w:bottom w:val="single" w:color="auto" w:sz="12" w:space="0"/>
              <w:right w:val="single" w:color="auto" w:sz="12" w:space="0"/>
            </w:tcBorders>
            <w:noWrap w:val="0"/>
            <w:vAlign w:val="center"/>
          </w:tcPr>
          <w:p>
            <w:pPr>
              <w:adjustRightInd w:val="0"/>
              <w:snapToGrid w:val="0"/>
              <w:rPr>
                <w:rFonts w:hint="eastAsia" w:ascii="宋体" w:hAnsi="宋体"/>
                <w:bCs/>
                <w:sz w:val="24"/>
                <w:szCs w:val="24"/>
              </w:rPr>
            </w:pPr>
            <w:r>
              <w:rPr>
                <w:rFonts w:hint="eastAsia" w:ascii="宋体" w:hAnsi="宋体"/>
                <w:bCs/>
                <w:sz w:val="24"/>
                <w:szCs w:val="24"/>
              </w:rPr>
              <w:t>日期：   年  月 日</w:t>
            </w:r>
          </w:p>
        </w:tc>
      </w:tr>
    </w:tbl>
    <w:p>
      <w:pPr>
        <w:pStyle w:val="3"/>
        <w:rPr>
          <w:rFonts w:hint="eastAsia" w:ascii="宋体" w:hAnsi="宋体" w:eastAsia="宋体" w:cs="宋体"/>
        </w:rPr>
        <w:sectPr>
          <w:footerReference r:id="rId15" w:type="first"/>
          <w:footerReference r:id="rId14" w:type="default"/>
          <w:pgSz w:w="11906" w:h="16838"/>
          <w:pgMar w:top="1440" w:right="1803" w:bottom="1440" w:left="1803" w:header="850" w:footer="992" w:gutter="0"/>
          <w:pgNumType w:fmt="decimal" w:start="51"/>
          <w:cols w:space="0" w:num="1"/>
          <w:titlePg/>
          <w:docGrid w:type="linesAndChars" w:linePitch="395" w:charSpace="1724"/>
        </w:sectPr>
      </w:pPr>
    </w:p>
    <w:p>
      <w:pPr>
        <w:pStyle w:val="3"/>
        <w:rPr>
          <w:rFonts w:ascii="宋体" w:hAnsi="宋体" w:eastAsia="宋体" w:cs="宋体"/>
        </w:rPr>
      </w:pPr>
      <w:r>
        <w:rPr>
          <w:rFonts w:hint="eastAsia" w:ascii="宋体" w:hAnsi="宋体" w:eastAsia="宋体" w:cs="宋体"/>
        </w:rPr>
        <w:t>第五章  投标文件构成及格式</w:t>
      </w:r>
      <w:bookmarkEnd w:id="76"/>
      <w:bookmarkEnd w:id="77"/>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麟游县教育体育局2023</w:t>
      </w: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“九成宫杯”陕西宝鸡·麟游</w:t>
      </w:r>
    </w:p>
    <w:p>
      <w:pPr>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夏季半程马拉松赛事运营服务</w:t>
      </w:r>
    </w:p>
    <w:p>
      <w:pPr>
        <w:jc w:val="center"/>
        <w:rPr>
          <w:rFonts w:ascii="宋体" w:hAnsi="宋体" w:eastAsia="宋体" w:cs="宋体"/>
          <w:b/>
          <w:bCs/>
          <w:sz w:val="56"/>
          <w:szCs w:val="56"/>
        </w:rPr>
      </w:pPr>
      <w:r>
        <w:rPr>
          <w:rFonts w:hint="eastAsia" w:ascii="宋体" w:hAnsi="宋体" w:eastAsia="宋体" w:cs="宋体"/>
          <w:b/>
          <w:bCs/>
          <w:sz w:val="56"/>
          <w:szCs w:val="56"/>
          <w:lang w:eastAsia="zh-CN"/>
        </w:rPr>
        <w:t>采购项目</w:t>
      </w:r>
    </w:p>
    <w:p>
      <w:pPr>
        <w:snapToGrid w:val="0"/>
        <w:jc w:val="center"/>
        <w:rPr>
          <w:rFonts w:hint="eastAsia" w:asciiTheme="minorEastAsia" w:hAnsiTheme="minorEastAsia" w:cstheme="minorEastAsia"/>
          <w:b/>
          <w:bCs/>
          <w:sz w:val="48"/>
          <w:szCs w:val="48"/>
        </w:rPr>
      </w:pPr>
    </w:p>
    <w:p>
      <w:pPr>
        <w:snapToGrid w:val="0"/>
        <w:jc w:val="center"/>
        <w:rPr>
          <w:rFonts w:hint="eastAsia" w:asciiTheme="minorEastAsia" w:hAnsiTheme="minorEastAsia" w:cstheme="minorEastAsia"/>
          <w:b/>
          <w:bCs/>
          <w:sz w:val="48"/>
          <w:szCs w:val="48"/>
        </w:rPr>
      </w:pPr>
    </w:p>
    <w:p>
      <w:pPr>
        <w:snapToGrid w:val="0"/>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投标文件</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spacing w:line="560" w:lineRule="exact"/>
        <w:ind w:firstLine="736" w:firstLineChars="200"/>
        <w:jc w:val="center"/>
        <w:rPr>
          <w:rFonts w:hint="eastAsia" w:ascii="宋体" w:hAnsi="宋体" w:eastAsia="宋体" w:cs="宋体"/>
          <w:sz w:val="36"/>
          <w:szCs w:val="36"/>
          <w:lang w:eastAsia="zh-CN"/>
        </w:rPr>
      </w:pPr>
      <w:r>
        <w:rPr>
          <w:rFonts w:hint="eastAsia" w:ascii="宋体" w:hAnsi="宋体" w:eastAsia="宋体" w:cs="宋体"/>
          <w:b/>
          <w:bCs/>
          <w:sz w:val="36"/>
          <w:szCs w:val="36"/>
        </w:rPr>
        <w:t>项目编号：</w:t>
      </w:r>
      <w:r>
        <w:rPr>
          <w:rFonts w:hint="eastAsia" w:ascii="宋体" w:hAnsi="宋体" w:eastAsia="宋体" w:cs="宋体"/>
          <w:b/>
          <w:bCs/>
          <w:sz w:val="36"/>
          <w:szCs w:val="36"/>
          <w:lang w:eastAsia="zh-CN"/>
        </w:rPr>
        <w:t>ZMZB2023LYJTJ-46</w:t>
      </w:r>
    </w:p>
    <w:p>
      <w:pPr>
        <w:spacing w:line="560" w:lineRule="exact"/>
        <w:ind w:firstLine="736" w:firstLineChars="200"/>
        <w:jc w:val="both"/>
        <w:rPr>
          <w:rFonts w:ascii="宋体" w:hAnsi="宋体" w:eastAsia="宋体" w:cs="宋体"/>
          <w:sz w:val="36"/>
          <w:szCs w:val="36"/>
        </w:rPr>
      </w:pPr>
    </w:p>
    <w:p>
      <w:pPr>
        <w:spacing w:line="560" w:lineRule="exact"/>
        <w:ind w:firstLine="736" w:firstLineChars="200"/>
        <w:jc w:val="both"/>
        <w:rPr>
          <w:rFonts w:ascii="宋体" w:hAnsi="宋体" w:eastAsia="宋体" w:cs="宋体"/>
          <w:sz w:val="36"/>
          <w:szCs w:val="36"/>
        </w:rPr>
      </w:pPr>
    </w:p>
    <w:p>
      <w:pPr>
        <w:spacing w:line="560" w:lineRule="exact"/>
        <w:ind w:firstLine="656" w:firstLineChars="200"/>
        <w:jc w:val="both"/>
        <w:rPr>
          <w:rFonts w:ascii="宋体" w:hAnsi="宋体" w:eastAsia="宋体" w:cs="宋体"/>
          <w:sz w:val="32"/>
          <w:szCs w:val="32"/>
        </w:rPr>
      </w:pPr>
    </w:p>
    <w:p>
      <w:pPr>
        <w:spacing w:line="560" w:lineRule="exact"/>
        <w:jc w:val="both"/>
        <w:rPr>
          <w:rFonts w:ascii="宋体" w:hAnsi="宋体" w:eastAsia="宋体" w:cs="宋体"/>
          <w:sz w:val="32"/>
          <w:szCs w:val="32"/>
        </w:rPr>
      </w:pPr>
    </w:p>
    <w:p>
      <w:pPr>
        <w:snapToGrid w:val="0"/>
        <w:spacing w:line="360" w:lineRule="auto"/>
        <w:ind w:firstLine="656" w:firstLineChars="200"/>
        <w:rPr>
          <w:rFonts w:ascii="宋体" w:hAnsi="宋体" w:cs="宋体"/>
          <w:sz w:val="32"/>
          <w:szCs w:val="32"/>
          <w:lang w:val="zh-CN"/>
        </w:rPr>
      </w:pPr>
    </w:p>
    <w:p>
      <w:pPr>
        <w:snapToGrid w:val="0"/>
        <w:spacing w:line="360" w:lineRule="auto"/>
        <w:ind w:firstLine="656" w:firstLineChars="200"/>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56" w:firstLineChars="200"/>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spacing w:line="560" w:lineRule="exact"/>
        <w:ind w:firstLine="896" w:firstLineChars="200"/>
        <w:jc w:val="center"/>
        <w:rPr>
          <w:rFonts w:ascii="宋体" w:hAnsi="宋体" w:eastAsia="宋体" w:cs="宋体"/>
          <w:sz w:val="44"/>
          <w:szCs w:val="44"/>
        </w:rPr>
      </w:pPr>
    </w:p>
    <w:p>
      <w:pPr>
        <w:spacing w:line="560" w:lineRule="exact"/>
        <w:ind w:firstLine="896" w:firstLineChars="200"/>
        <w:jc w:val="center"/>
        <w:rPr>
          <w:rFonts w:ascii="宋体" w:hAnsi="宋体" w:eastAsia="宋体" w:cs="宋体"/>
          <w:sz w:val="44"/>
          <w:szCs w:val="44"/>
        </w:rPr>
      </w:pPr>
      <w:r>
        <w:rPr>
          <w:rFonts w:hint="eastAsia" w:ascii="宋体" w:hAnsi="宋体" w:eastAsia="宋体" w:cs="宋体"/>
          <w:sz w:val="44"/>
          <w:szCs w:val="44"/>
        </w:rPr>
        <w:t>目    录</w:t>
      </w:r>
    </w:p>
    <w:p>
      <w:pPr>
        <w:spacing w:line="560" w:lineRule="exact"/>
        <w:ind w:firstLine="656" w:firstLineChars="200"/>
        <w:jc w:val="both"/>
        <w:rPr>
          <w:rFonts w:ascii="宋体" w:hAnsi="宋体" w:eastAsia="宋体" w:cs="宋体"/>
          <w:sz w:val="32"/>
          <w:szCs w:val="32"/>
        </w:rPr>
      </w:pP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78" w:name="_Toc3727_WPSOffice_Level1"/>
      <w:r>
        <w:rPr>
          <w:rFonts w:hint="eastAsia" w:hAnsi="宋体" w:cs="宋体"/>
          <w:b/>
          <w:bCs/>
          <w:color w:val="000000" w:themeColor="text1"/>
          <w:sz w:val="28"/>
          <w:szCs w:val="28"/>
          <w14:textFill>
            <w14:solidFill>
              <w14:schemeClr w14:val="tx1"/>
            </w14:solidFill>
          </w14:textFill>
        </w:rPr>
        <w:t>第一章  投标函</w:t>
      </w:r>
      <w:bookmarkEnd w:id="78"/>
    </w:p>
    <w:p>
      <w:pPr>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79" w:name="_Toc23436_WPSOffice_Level1"/>
      <w:r>
        <w:rPr>
          <w:rFonts w:hint="eastAsia" w:ascii="宋体" w:hAnsi="宋体" w:cs="宋体"/>
          <w:b/>
          <w:color w:val="000000" w:themeColor="text1"/>
          <w:sz w:val="28"/>
          <w:szCs w:val="28"/>
          <w14:textFill>
            <w14:solidFill>
              <w14:schemeClr w14:val="tx1"/>
            </w14:solidFill>
          </w14:textFill>
        </w:rPr>
        <w:t>第二</w:t>
      </w:r>
      <w:r>
        <w:rPr>
          <w:rFonts w:hint="eastAsia" w:hAnsi="宋体" w:cs="宋体"/>
          <w:b/>
          <w:bCs/>
          <w:color w:val="000000" w:themeColor="text1"/>
          <w:sz w:val="28"/>
          <w:szCs w:val="28"/>
          <w14:textFill>
            <w14:solidFill>
              <w14:schemeClr w14:val="tx1"/>
            </w14:solidFill>
          </w14:textFill>
        </w:rPr>
        <w:t xml:space="preserve">章  </w:t>
      </w:r>
      <w:r>
        <w:rPr>
          <w:rFonts w:hint="eastAsia" w:ascii="宋体" w:hAnsi="宋体" w:cs="宋体"/>
          <w:b/>
          <w:color w:val="000000" w:themeColor="text1"/>
          <w:sz w:val="28"/>
          <w:szCs w:val="28"/>
          <w14:textFill>
            <w14:solidFill>
              <w14:schemeClr w14:val="tx1"/>
            </w14:solidFill>
          </w14:textFill>
        </w:rPr>
        <w:t>开标一览表</w:t>
      </w:r>
      <w:bookmarkEnd w:id="79"/>
    </w:p>
    <w:p>
      <w:pPr>
        <w:pStyle w:val="19"/>
        <w:snapToGrid w:val="0"/>
        <w:spacing w:line="480" w:lineRule="auto"/>
        <w:ind w:firstLine="576" w:firstLineChars="200"/>
        <w:rPr>
          <w:rFonts w:hAnsi="宋体" w:cs="宋体"/>
          <w:b/>
          <w:color w:val="000000" w:themeColor="text1"/>
          <w:sz w:val="28"/>
          <w:szCs w:val="28"/>
          <w14:textFill>
            <w14:solidFill>
              <w14:schemeClr w14:val="tx1"/>
            </w14:solidFill>
          </w14:textFill>
        </w:rPr>
      </w:pPr>
      <w:bookmarkStart w:id="80" w:name="_Toc11444_WPSOffice_Level1"/>
      <w:r>
        <w:rPr>
          <w:rFonts w:hint="eastAsia" w:hAnsi="宋体" w:cs="宋体"/>
          <w:b/>
          <w:color w:val="000000" w:themeColor="text1"/>
          <w:sz w:val="28"/>
          <w:szCs w:val="28"/>
          <w14:textFill>
            <w14:solidFill>
              <w14:schemeClr w14:val="tx1"/>
            </w14:solidFill>
          </w14:textFill>
        </w:rPr>
        <w:t>第三</w:t>
      </w:r>
      <w:r>
        <w:rPr>
          <w:rFonts w:hint="eastAsia" w:hAnsi="宋体" w:cs="宋体"/>
          <w:b/>
          <w:bCs/>
          <w:color w:val="000000" w:themeColor="text1"/>
          <w:sz w:val="28"/>
          <w:szCs w:val="28"/>
          <w14:textFill>
            <w14:solidFill>
              <w14:schemeClr w14:val="tx1"/>
            </w14:solidFill>
          </w14:textFill>
        </w:rPr>
        <w:t xml:space="preserve">章  </w:t>
      </w:r>
      <w:bookmarkEnd w:id="80"/>
      <w:r>
        <w:rPr>
          <w:rFonts w:hint="eastAsia" w:hAnsi="宋体" w:cs="宋体"/>
          <w:b/>
          <w:color w:val="000000" w:themeColor="text1"/>
          <w:sz w:val="28"/>
          <w:szCs w:val="28"/>
          <w14:textFill>
            <w14:solidFill>
              <w14:schemeClr w14:val="tx1"/>
            </w14:solidFill>
          </w14:textFill>
        </w:rPr>
        <w:t>资格证明文件</w:t>
      </w:r>
    </w:p>
    <w:p>
      <w:pPr>
        <w:pStyle w:val="19"/>
        <w:snapToGrid w:val="0"/>
        <w:spacing w:line="480" w:lineRule="auto"/>
        <w:ind w:firstLine="576" w:firstLineChars="200"/>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第四</w:t>
      </w:r>
      <w:r>
        <w:rPr>
          <w:rFonts w:hint="eastAsia" w:hAnsi="宋体" w:cs="宋体"/>
          <w:b/>
          <w:bCs/>
          <w:color w:val="000000" w:themeColor="text1"/>
          <w:sz w:val="28"/>
          <w:szCs w:val="28"/>
          <w14:textFill>
            <w14:solidFill>
              <w14:schemeClr w14:val="tx1"/>
            </w14:solidFill>
          </w14:textFill>
        </w:rPr>
        <w:t>章  供应商概况</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1" w:name="_Toc5905_WPSOffice_Level1"/>
      <w:r>
        <w:rPr>
          <w:rFonts w:hint="eastAsia" w:hAnsi="宋体" w:cs="宋体"/>
          <w:b/>
          <w:color w:val="000000" w:themeColor="text1"/>
          <w:sz w:val="28"/>
          <w:szCs w:val="28"/>
          <w14:textFill>
            <w14:solidFill>
              <w14:schemeClr w14:val="tx1"/>
            </w14:solidFill>
          </w14:textFill>
        </w:rPr>
        <w:t>第五</w:t>
      </w:r>
      <w:r>
        <w:rPr>
          <w:rFonts w:hint="eastAsia" w:hAnsi="宋体" w:cs="宋体"/>
          <w:b/>
          <w:bCs/>
          <w:color w:val="000000" w:themeColor="text1"/>
          <w:sz w:val="28"/>
          <w:szCs w:val="28"/>
          <w14:textFill>
            <w14:solidFill>
              <w14:schemeClr w14:val="tx1"/>
            </w14:solidFill>
          </w14:textFill>
        </w:rPr>
        <w:t>章  供应商参加政府采购活动承诺书</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第六章  商务和技术响应偏离表</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第七章  技术与服务方案</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第</w:t>
      </w:r>
      <w:bookmarkEnd w:id="81"/>
      <w:r>
        <w:rPr>
          <w:rFonts w:hint="eastAsia" w:hAnsi="宋体" w:cs="宋体"/>
          <w:b/>
          <w:color w:val="000000" w:themeColor="text1"/>
          <w:sz w:val="28"/>
          <w:szCs w:val="28"/>
          <w14:textFill>
            <w14:solidFill>
              <w14:schemeClr w14:val="tx1"/>
            </w14:solidFill>
          </w14:textFill>
        </w:rPr>
        <w:t>八</w:t>
      </w:r>
      <w:r>
        <w:rPr>
          <w:rFonts w:hint="eastAsia" w:hAnsi="宋体" w:cs="宋体"/>
          <w:b/>
          <w:bCs/>
          <w:color w:val="000000" w:themeColor="text1"/>
          <w:sz w:val="28"/>
          <w:szCs w:val="28"/>
          <w14:textFill>
            <w14:solidFill>
              <w14:schemeClr w14:val="tx1"/>
            </w14:solidFill>
          </w14:textFill>
        </w:rPr>
        <w:t>章  服务承诺</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第九章  供应商业绩一览表</w:t>
      </w:r>
    </w:p>
    <w:p>
      <w:pPr>
        <w:pStyle w:val="19"/>
        <w:snapToGrid w:val="0"/>
        <w:spacing w:line="480" w:lineRule="auto"/>
        <w:ind w:firstLine="576" w:firstLineChars="200"/>
        <w:rPr>
          <w:rFonts w:hAnsi="宋体" w:cs="宋体"/>
          <w:b/>
          <w:bCs/>
          <w:color w:val="000000" w:themeColor="text1"/>
          <w:sz w:val="28"/>
          <w:szCs w:val="28"/>
          <w14:textFill>
            <w14:solidFill>
              <w14:schemeClr w14:val="tx1"/>
            </w14:solidFill>
          </w14:textFill>
        </w:rPr>
      </w:pPr>
      <w:bookmarkStart w:id="82" w:name="_Toc1523_WPSOffice_Level1"/>
      <w:r>
        <w:rPr>
          <w:rFonts w:hint="eastAsia" w:hAnsi="宋体" w:cs="宋体"/>
          <w:b/>
          <w:bCs/>
          <w:color w:val="000000" w:themeColor="text1"/>
          <w:sz w:val="28"/>
          <w:szCs w:val="28"/>
          <w14:textFill>
            <w14:solidFill>
              <w14:schemeClr w14:val="tx1"/>
            </w14:solidFill>
          </w14:textFill>
        </w:rPr>
        <w:t xml:space="preserve">第十章  </w:t>
      </w:r>
      <w:bookmarkEnd w:id="82"/>
      <w:r>
        <w:rPr>
          <w:rFonts w:hint="eastAsia" w:hAnsi="宋体" w:cs="宋体"/>
          <w:b/>
          <w:bCs/>
          <w:color w:val="000000" w:themeColor="text1"/>
          <w:sz w:val="28"/>
          <w:szCs w:val="28"/>
          <w14:textFill>
            <w14:solidFill>
              <w14:schemeClr w14:val="tx1"/>
            </w14:solidFill>
          </w14:textFill>
        </w:rPr>
        <w:t>供应商认为有必要说明的其他问题</w:t>
      </w:r>
    </w:p>
    <w:p>
      <w:pPr>
        <w:rPr>
          <w:rFonts w:ascii="宋体" w:hAnsi="宋体" w:eastAsia="宋体" w:cs="宋体"/>
          <w:sz w:val="32"/>
          <w:szCs w:val="32"/>
        </w:rPr>
      </w:pPr>
      <w:r>
        <w:rPr>
          <w:rFonts w:hint="eastAsia" w:ascii="宋体" w:hAnsi="宋体" w:eastAsia="宋体" w:cs="宋体"/>
        </w:rPr>
        <w:br w:type="page"/>
      </w:r>
    </w:p>
    <w:p>
      <w:pPr>
        <w:pStyle w:val="4"/>
        <w:ind w:firstLine="657"/>
        <w:jc w:val="center"/>
        <w:rPr>
          <w:rFonts w:ascii="宋体" w:hAnsi="宋体" w:eastAsia="宋体" w:cs="宋体"/>
        </w:rPr>
      </w:pPr>
      <w:bookmarkStart w:id="83" w:name="_Toc22486"/>
      <w:r>
        <w:rPr>
          <w:rFonts w:hint="eastAsia" w:ascii="宋体" w:hAnsi="宋体" w:eastAsia="宋体" w:cs="宋体"/>
        </w:rPr>
        <w:t>第一部分  投标函</w:t>
      </w:r>
      <w:bookmarkEnd w:id="83"/>
    </w:p>
    <w:p>
      <w:pPr>
        <w:spacing w:line="560" w:lineRule="exact"/>
        <w:jc w:val="both"/>
        <w:rPr>
          <w:rFonts w:ascii="宋体" w:hAnsi="宋体" w:eastAsia="宋体" w:cs="宋体"/>
          <w:sz w:val="28"/>
          <w:szCs w:val="28"/>
        </w:rPr>
      </w:pPr>
      <w:r>
        <w:rPr>
          <w:rFonts w:hint="eastAsia" w:ascii="宋体" w:hAnsi="宋体" w:eastAsia="宋体" w:cs="宋体"/>
          <w:sz w:val="28"/>
          <w:szCs w:val="28"/>
        </w:rPr>
        <w:t>陕西卓佲项目管理有限公司：</w:t>
      </w:r>
    </w:p>
    <w:p>
      <w:pPr>
        <w:spacing w:line="560" w:lineRule="exact"/>
        <w:ind w:firstLine="576" w:firstLineChars="200"/>
        <w:rPr>
          <w:rFonts w:ascii="宋体" w:hAnsi="宋体" w:eastAsia="宋体" w:cs="宋体"/>
          <w:sz w:val="28"/>
          <w:szCs w:val="28"/>
        </w:rPr>
      </w:pPr>
      <w:r>
        <w:rPr>
          <w:rFonts w:hint="eastAsia" w:ascii="宋体" w:hAnsi="宋体" w:eastAsia="宋体" w:cs="宋体"/>
          <w:sz w:val="28"/>
          <w:szCs w:val="28"/>
        </w:rPr>
        <w:t>我单位收到项目名称为：</w:t>
      </w:r>
      <w:r>
        <w:rPr>
          <w:rFonts w:hint="eastAsia" w:ascii="宋体" w:hAnsi="宋体" w:eastAsia="宋体" w:cs="宋体"/>
          <w:sz w:val="28"/>
          <w:szCs w:val="28"/>
          <w:u w:val="single"/>
        </w:rPr>
        <w:t xml:space="preserve">                  </w:t>
      </w:r>
      <w:r>
        <w:rPr>
          <w:rFonts w:hint="eastAsia" w:ascii="宋体" w:hAnsi="宋体" w:eastAsia="宋体" w:cs="宋体"/>
          <w:sz w:val="28"/>
          <w:szCs w:val="28"/>
        </w:rPr>
        <w:t>（项目编号为</w:t>
      </w:r>
      <w:r>
        <w:rPr>
          <w:rFonts w:hint="eastAsia" w:ascii="宋体" w:hAnsi="宋体" w:eastAsia="宋体" w:cs="宋体"/>
          <w:sz w:val="28"/>
          <w:szCs w:val="28"/>
          <w:u w:val="single"/>
        </w:rPr>
        <w:t xml:space="preserve">：       </w:t>
      </w:r>
      <w:r>
        <w:rPr>
          <w:rFonts w:hint="eastAsia" w:ascii="宋体" w:hAnsi="宋体" w:eastAsia="宋体" w:cs="宋体"/>
          <w:sz w:val="28"/>
          <w:szCs w:val="28"/>
        </w:rPr>
        <w:t>）的招标文件，经详细研究，我公司决定参加本次招标活动。为此，我方郑重承诺以下诸点，并负法律责任。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1．我方已详细阅读了招标文件，完全理解并同意招标文件的所有事项及内容。</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2．我方已悉知并及时关注了贵单位在陕西省政府采购网、全国公共资源交易平台（陕西省·</w:t>
      </w:r>
      <w:r>
        <w:rPr>
          <w:rFonts w:hint="eastAsia" w:ascii="宋体" w:hAnsi="宋体" w:eastAsia="宋体" w:cs="宋体"/>
          <w:sz w:val="28"/>
          <w:szCs w:val="28"/>
          <w:lang w:val="en-US" w:eastAsia="zh-CN"/>
        </w:rPr>
        <w:t>宝鸡</w:t>
      </w:r>
      <w:r>
        <w:rPr>
          <w:rFonts w:hint="eastAsia" w:ascii="宋体" w:hAnsi="宋体" w:eastAsia="宋体" w:cs="宋体"/>
          <w:sz w:val="28"/>
          <w:szCs w:val="28"/>
        </w:rPr>
        <w:t>市）上发布的关于本项目的有关变更公告（包括但不限于对招标文件做出的修改或澄清、答疑纪要，以及项目暂停、重启、延期、终止等）。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3．我方同意向贵单位提供与本次招标有关的全部证明材料，并保证所提交的证明材料真实、合法、有效。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4．我方理解最低价不是成交的唯一条件，并尊重评标委员会的评审结果。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5．我方投标文件在开启之日起___个日历日（应不少于90个日历日）内有效。</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6．若我方成交，我方承诺：（1）将投标文件有效期延长至合同执行完毕；（2）遵照招标文件中的要求，完成本项目的合同责任和义务。</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7．所有关于此次招标活动的函电，请按下列方式联系：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法定代表人或委托代理人：（签字或盖章）</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联系电话：</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通讯地址：</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邮    编：</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电子邮箱：</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sz w:val="32"/>
          <w:szCs w:val="32"/>
        </w:rPr>
      </w:pPr>
      <w:r>
        <w:rPr>
          <w:rFonts w:hint="eastAsia" w:ascii="宋体" w:hAnsi="宋体" w:eastAsia="宋体" w:cs="宋体"/>
        </w:rPr>
        <w:br w:type="page"/>
      </w:r>
    </w:p>
    <w:p>
      <w:pPr>
        <w:pStyle w:val="4"/>
        <w:numPr>
          <w:ilvl w:val="0"/>
          <w:numId w:val="4"/>
        </w:numPr>
        <w:ind w:firstLine="657"/>
        <w:jc w:val="center"/>
        <w:rPr>
          <w:rFonts w:ascii="宋体" w:hAnsi="宋体" w:eastAsia="宋体" w:cs="宋体"/>
        </w:rPr>
      </w:pPr>
      <w:r>
        <w:rPr>
          <w:rFonts w:hint="eastAsia" w:ascii="宋体" w:hAnsi="宋体" w:eastAsia="宋体" w:cs="宋体"/>
        </w:rPr>
        <w:t xml:space="preserve">  </w:t>
      </w:r>
      <w:bookmarkStart w:id="84" w:name="_Toc24058"/>
      <w:r>
        <w:rPr>
          <w:rFonts w:hint="eastAsia" w:ascii="宋体" w:hAnsi="宋体" w:eastAsia="宋体" w:cs="宋体"/>
        </w:rPr>
        <w:t>开标一览表</w:t>
      </w:r>
      <w:bookmarkEnd w:id="84"/>
    </w:p>
    <w:p>
      <w:pPr>
        <w:wordWrap w:val="0"/>
        <w:spacing w:line="360" w:lineRule="auto"/>
        <w:rPr>
          <w:rFonts w:hint="eastAsia" w:ascii="宋体" w:hAnsi="宋体" w:cs="宋体" w:eastAsiaTheme="minorEastAsia"/>
          <w:u w:val="single"/>
          <w:lang w:eastAsia="zh-CN"/>
        </w:rPr>
      </w:pPr>
      <w:r>
        <w:rPr>
          <w:rFonts w:hint="eastAsia" w:ascii="宋体" w:hAnsi="宋体" w:cs="宋体"/>
        </w:rPr>
        <w:t>项目名称：</w:t>
      </w:r>
      <w:r>
        <w:rPr>
          <w:rFonts w:hint="eastAsia" w:ascii="宋体" w:hAnsi="宋体" w:cs="宋体"/>
          <w:u w:val="single"/>
          <w:lang w:eastAsia="zh-CN"/>
        </w:rPr>
        <w:t>麟游县教育体育局2023“九成宫杯”陕西宝鸡·麟游夏季半程马拉松赛事运营服务采购项目</w:t>
      </w:r>
    </w:p>
    <w:p>
      <w:pPr>
        <w:pStyle w:val="12"/>
        <w:ind w:firstLine="0"/>
        <w:rPr>
          <w:rFonts w:hint="eastAsia" w:ascii="宋体" w:hAnsi="宋体" w:eastAsia="宋体" w:cs="宋体"/>
          <w:kern w:val="2"/>
          <w:szCs w:val="21"/>
          <w:lang w:eastAsia="zh-CN"/>
        </w:rPr>
      </w:pPr>
      <w:r>
        <w:rPr>
          <w:rFonts w:hint="eastAsia" w:ascii="宋体" w:hAnsi="宋体" w:eastAsia="宋体" w:cs="宋体"/>
          <w:kern w:val="2"/>
          <w:szCs w:val="21"/>
        </w:rPr>
        <w:t>项目编号：</w:t>
      </w:r>
      <w:r>
        <w:rPr>
          <w:rFonts w:hint="eastAsia" w:ascii="宋体" w:hAnsi="宋体" w:eastAsia="宋体" w:cs="宋体"/>
          <w:kern w:val="2"/>
          <w:szCs w:val="21"/>
          <w:lang w:eastAsia="zh-CN"/>
        </w:rPr>
        <w:t>ZMZB2023LYJTJ-46</w:t>
      </w:r>
    </w:p>
    <w:p>
      <w:r>
        <w:rPr>
          <w:rFonts w:hint="eastAsia" w:ascii="宋体" w:hAnsi="宋体" w:cs="宋体"/>
        </w:rPr>
        <w:t xml:space="preserve">单位：元  </w:t>
      </w:r>
    </w:p>
    <w:tbl>
      <w:tblPr>
        <w:tblStyle w:val="35"/>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9"/>
        <w:gridCol w:w="2468"/>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3779" w:type="dxa"/>
            <w:tcBorders>
              <w:tl2br w:val="single" w:color="auto" w:sz="4" w:space="0"/>
            </w:tcBorders>
          </w:tcPr>
          <w:p>
            <w:pPr>
              <w:kinsoku w:val="0"/>
              <w:spacing w:line="480" w:lineRule="auto"/>
              <w:ind w:right="-235" w:rightChars="-95"/>
              <w:jc w:val="center"/>
              <w:rPr>
                <w:rFonts w:ascii="宋体" w:hAnsi="宋体" w:cs="宋体"/>
              </w:rPr>
            </w:pPr>
            <w:r>
              <w:rPr>
                <w:rFonts w:hint="eastAsia" w:ascii="宋体" w:hAnsi="宋体" w:cs="宋体"/>
              </w:rPr>
              <w:t>报价内容</w:t>
            </w:r>
          </w:p>
          <w:p>
            <w:pPr>
              <w:kinsoku w:val="0"/>
              <w:spacing w:line="480" w:lineRule="auto"/>
              <w:ind w:left="10" w:right="-235" w:rightChars="-95" w:firstLine="517" w:firstLineChars="209"/>
              <w:rPr>
                <w:rFonts w:ascii="宋体" w:hAnsi="宋体" w:cs="宋体"/>
              </w:rPr>
            </w:pPr>
          </w:p>
          <w:p>
            <w:pPr>
              <w:kinsoku w:val="0"/>
              <w:spacing w:line="480" w:lineRule="auto"/>
              <w:ind w:right="-235" w:rightChars="-95"/>
              <w:rPr>
                <w:rFonts w:ascii="宋体" w:hAnsi="宋体" w:cs="宋体"/>
              </w:rPr>
            </w:pPr>
            <w:r>
              <w:rPr>
                <w:rFonts w:hint="eastAsia" w:ascii="宋体" w:hAnsi="宋体" w:cs="宋体"/>
              </w:rPr>
              <w:t>投标内容</w:t>
            </w:r>
          </w:p>
        </w:tc>
        <w:tc>
          <w:tcPr>
            <w:tcW w:w="2468" w:type="dxa"/>
            <w:vAlign w:val="center"/>
          </w:tcPr>
          <w:p>
            <w:pPr>
              <w:kinsoku w:val="0"/>
              <w:spacing w:line="480" w:lineRule="auto"/>
              <w:ind w:right="-235" w:rightChars="-95"/>
              <w:jc w:val="center"/>
              <w:rPr>
                <w:rFonts w:ascii="宋体" w:hAnsi="宋体" w:cs="宋体"/>
              </w:rPr>
            </w:pPr>
            <w:r>
              <w:rPr>
                <w:rFonts w:hint="eastAsia" w:ascii="宋体" w:hAnsi="宋体" w:cs="宋体"/>
              </w:rPr>
              <w:t>总报价</w:t>
            </w:r>
          </w:p>
        </w:tc>
        <w:tc>
          <w:tcPr>
            <w:tcW w:w="2658" w:type="dxa"/>
            <w:vAlign w:val="center"/>
          </w:tcPr>
          <w:p>
            <w:pPr>
              <w:kinsoku w:val="0"/>
              <w:ind w:right="-235" w:rightChars="-95"/>
              <w:jc w:val="center"/>
              <w:rPr>
                <w:rFonts w:hint="eastAsia" w:ascii="宋体" w:hAnsi="宋体" w:cs="宋体" w:eastAsiaTheme="minorEastAsia"/>
                <w:lang w:val="en-US" w:eastAsia="zh-CN"/>
              </w:rPr>
            </w:pPr>
            <w:r>
              <w:rPr>
                <w:rFonts w:hint="eastAsia" w:ascii="宋体" w:hAnsi="宋体" w:cs="宋体"/>
                <w:lang w:val="en-US"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779" w:type="dxa"/>
            <w:vAlign w:val="center"/>
          </w:tcPr>
          <w:p>
            <w:pPr>
              <w:kinsoku w:val="0"/>
              <w:ind w:right="69" w:rightChars="28"/>
              <w:jc w:val="center"/>
              <w:rPr>
                <w:rFonts w:hint="eastAsia" w:ascii="宋体" w:hAnsi="宋体" w:eastAsia="宋体" w:cs="宋体"/>
                <w:lang w:eastAsia="zh-CN"/>
              </w:rPr>
            </w:pPr>
            <w:r>
              <w:rPr>
                <w:rFonts w:hint="eastAsia" w:ascii="宋体" w:hAnsi="宋体" w:eastAsia="宋体" w:cs="宋体"/>
                <w:lang w:eastAsia="zh-CN"/>
              </w:rPr>
              <w:t>麟游县教育体育局2023“九成宫杯”陕西宝鸡·麟游夏季半程马拉松赛事运营服务采购项目</w:t>
            </w:r>
          </w:p>
        </w:tc>
        <w:tc>
          <w:tcPr>
            <w:tcW w:w="2468" w:type="dxa"/>
            <w:vAlign w:val="center"/>
          </w:tcPr>
          <w:p>
            <w:pPr>
              <w:kinsoku w:val="0"/>
              <w:spacing w:line="480" w:lineRule="auto"/>
              <w:ind w:left="10" w:right="-235" w:rightChars="-95" w:firstLine="517" w:firstLineChars="209"/>
              <w:jc w:val="center"/>
              <w:rPr>
                <w:rFonts w:ascii="宋体" w:hAnsi="宋体" w:cs="宋体"/>
              </w:rPr>
            </w:pPr>
          </w:p>
        </w:tc>
        <w:tc>
          <w:tcPr>
            <w:tcW w:w="2658" w:type="dxa"/>
            <w:vAlign w:val="center"/>
          </w:tcPr>
          <w:p>
            <w:pPr>
              <w:kinsoku w:val="0"/>
              <w:spacing w:line="480" w:lineRule="auto"/>
              <w:ind w:left="10" w:right="-235" w:rightChars="-95" w:firstLine="517" w:firstLineChars="20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905" w:type="dxa"/>
            <w:gridSpan w:val="3"/>
          </w:tcPr>
          <w:p>
            <w:pPr>
              <w:kinsoku w:val="0"/>
              <w:ind w:right="-235" w:rightChars="-95"/>
              <w:rPr>
                <w:rFonts w:ascii="宋体" w:hAnsi="宋体" w:cs="宋体"/>
                <w:b/>
                <w:bCs/>
              </w:rPr>
            </w:pPr>
          </w:p>
          <w:p>
            <w:pPr>
              <w:kinsoku w:val="0"/>
              <w:ind w:right="-235" w:rightChars="-95"/>
              <w:rPr>
                <w:rFonts w:hint="eastAsia" w:ascii="宋体" w:hAnsi="宋体" w:cs="宋体"/>
              </w:rPr>
            </w:pPr>
            <w:r>
              <w:rPr>
                <w:rFonts w:hint="eastAsia" w:ascii="宋体" w:hAnsi="宋体" w:cs="宋体"/>
              </w:rPr>
              <w:t>总报价：（大写）________________（小写）_________________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8905" w:type="dxa"/>
            <w:gridSpan w:val="3"/>
            <w:vAlign w:val="center"/>
          </w:tcPr>
          <w:p>
            <w:pPr>
              <w:kinsoku w:val="0"/>
              <w:spacing w:line="48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备注：表内报价内容以元为单位，精确到小数点后两位；</w:t>
            </w:r>
          </w:p>
        </w:tc>
      </w:tr>
    </w:tbl>
    <w:p>
      <w:pPr>
        <w:adjustRightInd w:val="0"/>
        <w:snapToGrid w:val="0"/>
        <w:spacing w:line="480" w:lineRule="auto"/>
        <w:rPr>
          <w:rFonts w:ascii="宋体" w:hAnsi="宋体" w:cs="宋体"/>
        </w:rPr>
      </w:pPr>
    </w:p>
    <w:p>
      <w:pPr>
        <w:adjustRightInd w:val="0"/>
        <w:snapToGrid w:val="0"/>
        <w:spacing w:line="480" w:lineRule="auto"/>
        <w:rPr>
          <w:rFonts w:ascii="宋体" w:hAnsi="宋体" w:cs="宋体"/>
        </w:rPr>
      </w:pPr>
      <w:r>
        <w:rPr>
          <w:rFonts w:hint="eastAsia" w:ascii="宋体" w:hAnsi="宋体" w:cs="宋体"/>
        </w:rPr>
        <w:t>供应商（单位名称及公章）：___________________________</w:t>
      </w:r>
    </w:p>
    <w:p>
      <w:pPr>
        <w:adjustRightInd w:val="0"/>
        <w:snapToGrid w:val="0"/>
        <w:spacing w:line="480" w:lineRule="auto"/>
      </w:pPr>
      <w:r>
        <w:rPr>
          <w:rFonts w:hint="eastAsia" w:ascii="宋体" w:hAnsi="宋体" w:cs="宋体"/>
        </w:rPr>
        <w:t>法定代表人或被授权人（签字或盖章）：__________________</w:t>
      </w:r>
    </w:p>
    <w:p>
      <w:pPr>
        <w:adjustRightInd w:val="0"/>
        <w:snapToGrid w:val="0"/>
        <w:spacing w:line="480" w:lineRule="auto"/>
        <w:rPr>
          <w:rFonts w:ascii="宋体" w:cs="宋体"/>
        </w:rPr>
      </w:pPr>
      <w:r>
        <w:rPr>
          <w:rFonts w:hint="eastAsia" w:ascii="宋体" w:hAnsi="宋体" w:cs="宋体"/>
        </w:rPr>
        <w:t>时间：_______年________月_______日</w:t>
      </w: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p>
    <w:p>
      <w:pPr>
        <w:spacing w:line="560" w:lineRule="exact"/>
        <w:ind w:firstLine="656" w:firstLineChars="200"/>
        <w:jc w:val="both"/>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分项报价表</w:t>
      </w:r>
    </w:p>
    <w:p>
      <w:pPr>
        <w:wordWrap w:val="0"/>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lang w:eastAsia="zh-CN"/>
          <w14:textFill>
            <w14:solidFill>
              <w14:schemeClr w14:val="tx1"/>
            </w14:solidFill>
          </w14:textFill>
        </w:rPr>
        <w:t>麟游县教育体育局2023“九成宫杯”陕西宝鸡·麟游夏季半程马拉松赛事运营服务采购项目</w:t>
      </w:r>
      <w:r>
        <w:rPr>
          <w:rFonts w:hint="eastAsia" w:ascii="宋体" w:hAnsi="宋体" w:cs="宋体"/>
          <w:color w:val="000000" w:themeColor="text1"/>
          <w14:textFill>
            <w14:solidFill>
              <w14:schemeClr w14:val="tx1"/>
            </w14:solidFill>
          </w14:textFill>
        </w:rPr>
        <w:t xml:space="preserve">   </w:t>
      </w:r>
    </w:p>
    <w:p>
      <w:pPr>
        <w:wordWrap w:val="0"/>
        <w:spacing w:line="360" w:lineRule="auto"/>
        <w:rPr>
          <w:rFonts w:hint="eastAsia" w:ascii="宋体" w:cs="宋体" w:eastAsiaTheme="minorEastAsia"/>
          <w:color w:val="000000" w:themeColor="text1"/>
          <w:u w:val="single"/>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ZMZB2023LYJTJ-46</w:t>
      </w:r>
    </w:p>
    <w:p>
      <w:pPr>
        <w:wordWrap w:val="0"/>
        <w:spacing w:line="360" w:lineRule="auto"/>
        <w:rPr>
          <w:rFonts w:ascii="宋体" w:cs="宋体"/>
          <w:b/>
          <w:color w:val="000000" w:themeColor="text1"/>
          <w:sz w:val="36"/>
          <w:szCs w:val="36"/>
          <w14:textFill>
            <w14:solidFill>
              <w14:schemeClr w14:val="tx1"/>
            </w14:solidFill>
          </w14:textFill>
        </w:rPr>
      </w:pPr>
      <w:r>
        <w:rPr>
          <w:rFonts w:hint="eastAsia" w:ascii="宋体" w:hAnsi="宋体" w:cs="宋体"/>
          <w:color w:val="000000" w:themeColor="text1"/>
          <w14:textFill>
            <w14:solidFill>
              <w14:schemeClr w14:val="tx1"/>
            </w14:solidFill>
          </w14:textFill>
        </w:rPr>
        <w:t>共</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页，第</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页</w:t>
      </w:r>
    </w:p>
    <w:tbl>
      <w:tblPr>
        <w:tblStyle w:val="35"/>
        <w:tblW w:w="9587" w:type="dxa"/>
        <w:tblInd w:w="-6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427"/>
        <w:gridCol w:w="1300"/>
        <w:gridCol w:w="2591"/>
        <w:gridCol w:w="696"/>
        <w:gridCol w:w="785"/>
        <w:gridCol w:w="927"/>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明细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8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一、赛事组织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赛事奖金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分别奖励半程马拉松男女前30名，宝鸡籍男、女前8名共计；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赛事认证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申请中国田协A类赛事认证；</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陕西省田径协会赛事认证</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兴奋剂检测</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男女前三名兴奋劲检测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裁判费用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国派裁判5名，含1名技术代表；国家级田径裁判及技术官员，其中省派裁判3天；</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特邀运动员</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10名国内外精英级选手；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VI系统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赛事VI设计；</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报名渠道推广</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赛前赛事报名渠道推广；业界大V、全国马拉松KOL代表、城市发布自媒体平台、新媒体平台等；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芯片计时服务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起终点计时设备</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1套，8米计时区；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中间点计时设备</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6套，4-6米计时区；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计时芯片</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一次性号码布芯片，不含号码布；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号码簿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号码簿，杜邦纤维纸号码簿，每张带4个别针，单独PP袋包装；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起终点和折返点摄像系统</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起点摄像系统1套 折返点摄像系统1套/10公里1套；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LED 计时钟</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1台拱门，2台车载；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设备运输</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包括往返⽐赛地设备运费、赛地设备投放租车费；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工作人员食宿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按200元/人/天，⼯作时间3天计算；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人次</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42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礼仪节目服务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礼仪服务</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15名礼仪（含服装、食宿、交通）</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暖场节目</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三个暖场节目</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服装</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裁判服装</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国派3名、省派裁判23人，技术代表3人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辅助裁判服装</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辅助裁判50人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礼仪服装</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16名礼仪；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志愿者服装、帽子</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T恤短袖，帽子，裤子，本地志愿者使用；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参赛T恤</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参赛跑友发放5000件；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42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赛前领物</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赛前领物系统</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身份证识别系统；</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领物指示牌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2m*1m木质T字板背写真画面，双面；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领物提示板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3*5m*1.5桁架上黑底附宝丽布（桁架含喷绘），双面；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领物提示牌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8m*4桁架上附黑底宝丽布（桁架含喷绘），单面；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铁马</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赛前领物铁马；</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主会场搭建及制作物料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主舞台背景板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16*5m木工板上附黑底宝丽布，双面；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1组</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主舞台</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16*8*0.6m铝合金加厚支撑舞台板；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128㎡</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1组</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舞台台阶</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2*0.6m*2，2米宽3跨2组，四周木工板；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3组</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舞台前挡板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16*1m；四周木工板，附黑底宝丽布；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1组</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舞台地毯</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17.2*8m加厚舞台地毯（主色调）；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LED屏</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5m*8m；户外显示屏；四周喷绘包边；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摄影台</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4m*4m*1.6m（宽*长*高），四周包KT板或喷绘（含台阶），铝合金桁架，加厚台面及舞台地毯；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领操台</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4m*4m*1.6m（宽*长*高） ，四周包KT板或喷绘（含台阶），铝合金桁架，加厚台面及舞台地毯；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音响设备（半程起终点）</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户外大型线阵音效系统16个音响、麦克（手持5、耳麦3）、音控台、调音设备，音箱吊装用镭亚架；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起终点拱门(含配重)</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异形木工板铝合金桁架主体，外径12*5m，横梁高1.2m，立柱1.2*1.2m定制铁架覆宝丽布，贴立体字等；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A字板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3*1m起终点赛道隔离使用（含画面广告位）；黑色宝丽布；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注水道旗</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5米高（含旗面）；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主会场斜面</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主会场斜面异性桁架舞台木工斜面  12组桁架支撑，10组舞台木工异性斜面 25.5m*8m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起点布局平面图</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3*5m*1.5桁架上附黑底宝丽布（桁架含喷绘），双面；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兔子、急救跑者墙</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4乘8米，桁架黑色宝丽布，双面；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拍照背景板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3*5m*1.5桁架上附黑底宝丽布（桁架含喷绘），双面；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主题字</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半程马拉松路程21.0975标识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采访背景板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3*5m*1.5桁架上黑底附宝丽布（桁架含喷绘），双面；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赛事路线图</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3*5m*1.5桁架上黑底附宝丽布（桁架含喷绘），双面；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主会场引导提示牌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竖A板 3m*1m；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现场分流牌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2m*1m木质T字板背写真画面，双面；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停车场指示牌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竖A板2m*1m；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存包提示牌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2m*1m木质T字板背写真画面，双面；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选手检录牌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四面桁架立体黑色宝丽布5m*1.5m；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起终点地贴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logo展示，长10m宽8m；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冲刺带</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起终点使用，双面冲刺带，贡缎料；</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卷</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礼宾杆</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1米线/个，功能区使用（红色）；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支票KT板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男、女各前三名，90*45cm颁奖使用；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功能区KT板（帐篷上用）</w:t>
            </w:r>
          </w:p>
        </w:tc>
        <w:tc>
          <w:tcPr>
            <w:tcW w:w="2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3*0.3m功能区（检录区4+存包10+芯片检测1+起终点医疗2+芯片2+完赛包发放10+志愿者大本营1+打印区1+VIP休息区1+演员休息区1+赛事控制中心1+媒体区1+奖品发放区1+赛前补水1+赛后休息区1等）；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赛道搭建及制作物料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公里点提示牌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3m高*1m宽铝合金定制；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喷淋设备</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赛道运动员降温使用；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终点提示牌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3m高*1m宽竖A板，距离终点1000m、500m、200m、100m；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铁马</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铁马租赁</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2*1m隔离使用2500个；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帐篷、桌子、凳子</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篷房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指挥中心、媒体中心、5*5m篷房4顶，赛后恢复6顶；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vip休息室</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VIP6*9m篷房2个；6*9m完赛篷房4顶；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帐篷</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3*3m帐篷（直径3m）120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折叠桌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1.2*0.6m折叠桌（含5色桌布）200张；</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折叠椅</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主会场、赛道用折叠椅200把；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贵宾桌椅</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一桌四椅（含台布、椅套）；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物资采购制作费用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饮用水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比赛用水20000瓶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功能饮料</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赛事用10000瓶；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桶装水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赛道喷淋设备用水300桶；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香蕉</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8000根；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小西红柿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赛道补给用1000个，约20多个一斤，需要500斤；</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斤</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小面包、巧克力</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参赛队友补给（志愿者）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6500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份</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纸巾</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终点补给处摆放使用（补给区使用）；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包</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定制纸杯</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赛道需20000个，约1000个1箱；</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吸水海绵</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海绵补给站使用；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锡纸托盘</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赛道食品补给50个；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海绵托盘</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海绵补给站使用30个；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工作证件</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志愿者1000个、技术代表5个、总裁判长5个、副总裁判长5个、裁判长5个、裁判50个、赛事总监6个、辅助裁判300人，工作人员500个、嘉宾200个、摄影摄像50个，媒体200个，赞助商200个等；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工作车证</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A4铜版纸，搭建日及比赛日车辆使用(跑友接送车50+嘉宾车30+工作车50+志愿者车10+收容车6+先导车1+摄像摄影1+计时车1+媒体4+搭建车（布点车）10+安保6+裁判巡检1等）；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工作车贴</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工作用车、接待用车、赛道用车；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组</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一次性雨衣</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赛事相关所有工作人员使用；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秩序册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用于嘉宾领导及工作人等、裁判人员查阅参考；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份</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气球</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铝箔气球50，80一个；</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地垫</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3*3m防潮防水地垫；</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无线电基站</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赛事线路盲区无线电基站</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对讲机</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活动中通信使用对讲机120个（租赁），使用周期3天，</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w:t>
            </w:r>
          </w:p>
        </w:tc>
        <w:tc>
          <w:tcPr>
            <w:tcW w:w="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其他物料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日常工作使用</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打印机、硒鼓、打印纸、签字笔、马克笔、板夹、口取纸、自封袋、别针等；插板；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搭建辅助物料</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地毯胶、泡沫胶、双面胶、透明胶、剪刀、扎带、小推车、扩音器等；</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小型制作物料及采购</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手卡、麦标、站位贴、裁判臂章、裁判检查用旗、摄影凳等；水果刀、一次性手套、垃圾袋、扎带；</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跑友参赛物品</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参赛指南</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参赛跑友发放；</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份</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参赛包</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参赛跑友发放；</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完赛定制大浴巾</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半马参赛跑友发放；</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完赛纪念奖牌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完赛跑友发放（完赛包内）（异型）；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完赛包</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完赛跑友发放，无纺布袋；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奖杯</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半程马拉松前3名、女子前3名完赛奖杯；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件</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志愿者纪念徽章</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完赛后发放；</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安检门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主会场安检门，租赁；</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移动厕所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尺寸：1500mm*1000mm*2700mm，（含现场保洁）；</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96"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42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车辆保障</w:t>
            </w:r>
          </w:p>
        </w:tc>
        <w:tc>
          <w:tcPr>
            <w:tcW w:w="13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裁判用车（赛道计时车、巡检车</w:t>
            </w:r>
          </w:p>
        </w:tc>
        <w:tc>
          <w:tcPr>
            <w:tcW w:w="25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越野车；</w:t>
            </w:r>
          </w:p>
        </w:tc>
        <w:tc>
          <w:tcPr>
            <w:tcW w:w="6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辆</w:t>
            </w:r>
          </w:p>
        </w:tc>
        <w:tc>
          <w:tcPr>
            <w:tcW w:w="9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运动员接送车辆</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西安到麟游摆渡专线、宝鸡到麟游摆渡专线；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摄像摩托</w:t>
            </w:r>
          </w:p>
        </w:tc>
        <w:tc>
          <w:tcPr>
            <w:tcW w:w="25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赛道摄影师用（两天）；</w:t>
            </w:r>
          </w:p>
        </w:tc>
        <w:tc>
          <w:tcPr>
            <w:tcW w:w="6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7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辆</w:t>
            </w:r>
          </w:p>
        </w:tc>
        <w:tc>
          <w:tcPr>
            <w:tcW w:w="92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选手照片服务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每位选手约3到5张照片，约30位摄影师；含食宿、路费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比赛摄影摄像服务（不含摇臂）</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航拍、摄影、摄像</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无人机3组、摄像机4组、播音服务（含视频及画册制作）；</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1427" w:type="dxa"/>
            <w:vMerge w:val="restart"/>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领操员</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赛前健身教练引导参赛选手训练；</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官方兔子装备</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官方配速兔子专属装备，共8个时段；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医疗跑者</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医疗跑者专属装备及福利，共8个时段</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32</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住宿</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兔子、医疗跑者住宿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竞赛组织费用小计（元）：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58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FFFF"/>
                <w:sz w:val="21"/>
                <w:szCs w:val="21"/>
                <w:u w:val="none"/>
              </w:rPr>
            </w:pPr>
            <w:r>
              <w:rPr>
                <w:rFonts w:hint="eastAsia" w:ascii="宋体" w:hAnsi="宋体" w:eastAsia="宋体" w:cs="宋体"/>
                <w:b/>
                <w:bCs/>
                <w:i w:val="0"/>
                <w:iCs w:val="0"/>
                <w:color w:val="auto"/>
                <w:kern w:val="0"/>
                <w:sz w:val="21"/>
                <w:szCs w:val="21"/>
                <w:highlight w:val="none"/>
                <w:u w:val="none"/>
                <w:shd w:val="clear"/>
                <w:lang w:val="en-US" w:eastAsia="zh-CN" w:bidi="ar"/>
              </w:rPr>
              <w:t>二、赛事保障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瑜伽垫</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参赛人员赛后放松使用；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冰块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一袋40斤，共需100袋；不含运费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袋</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降温池</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赛后恢复降温池；</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一次性脚套</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赛手恢复用；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活动保险</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参赛人员及工作人员保险，含热射病。</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sz w:val="21"/>
                <w:szCs w:val="21"/>
                <w:u w:val="none"/>
              </w:rPr>
              <w:t>赛事保障费用小计（元）：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58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bCs/>
                <w:i w:val="0"/>
                <w:iCs w:val="0"/>
                <w:color w:val="auto"/>
                <w:sz w:val="21"/>
                <w:szCs w:val="21"/>
                <w:u w:val="none"/>
              </w:rPr>
              <w:t>三、宣传费用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42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新闻发布会</w:t>
            </w:r>
          </w:p>
        </w:tc>
        <w:tc>
          <w:tcPr>
            <w:tcW w:w="13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在西安召开赛事新闻发布会</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场地租赁、布置、30家中省主流媒体、新闻发稿、赛事宣传片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427" w:type="dxa"/>
            <w:tcBorders>
              <w:top w:val="nil"/>
              <w:left w:val="single" w:color="auto"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县城氛围营造</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灯杆旗</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麟游沿街悬挂灯杆旗（画面制作及安装），双面</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9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会期报道</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30家中省主流媒体</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中省级30家主流媒体图文报道（含食宿及交通费）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人次</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9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网络直播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网络直播</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5个以上直播平台分流直播、含直播台</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9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画册、新闻集锦</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设计制作画册</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前期汇报画册、赛后总结画册10本</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4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赛事宣传费用小计（元）：</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四</w:t>
            </w:r>
          </w:p>
        </w:tc>
        <w:tc>
          <w:tcPr>
            <w:tcW w:w="6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不可预估费（按前三项费用合价的8%计取）</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FF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FF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五</w:t>
            </w:r>
          </w:p>
        </w:tc>
        <w:tc>
          <w:tcPr>
            <w:tcW w:w="6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税金（按前三项费用及不可预估费合计的3%计取）</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FF0000"/>
                <w:sz w:val="21"/>
                <w:szCs w:val="21"/>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FF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2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FF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投标报价（合计）：</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FF0000"/>
                <w:sz w:val="21"/>
                <w:szCs w:val="21"/>
                <w:u w:val="none"/>
              </w:rPr>
            </w:pPr>
          </w:p>
        </w:tc>
      </w:tr>
    </w:tbl>
    <w:p>
      <w:pPr>
        <w:adjustRightInd w:val="0"/>
        <w:snapToGrid w:val="0"/>
        <w:spacing w:line="480" w:lineRule="auto"/>
        <w:rPr>
          <w:rFonts w:hint="eastAsia" w:ascii="宋体" w:hAnsi="宋体"/>
          <w:color w:val="000000" w:themeColor="text1"/>
          <w14:textFill>
            <w14:solidFill>
              <w14:schemeClr w14:val="tx1"/>
            </w14:solidFill>
          </w14:textFill>
        </w:rPr>
      </w:pPr>
    </w:p>
    <w:p>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供应商（单位名称及公章）：</w:t>
      </w:r>
      <w:r>
        <w:rPr>
          <w:rFonts w:hint="eastAsia" w:ascii="宋体" w:hAnsi="宋体" w:cs="宋体"/>
        </w:rPr>
        <w:t>___________________________</w:t>
      </w:r>
    </w:p>
    <w:p>
      <w:pPr>
        <w:adjustRightInd w:val="0"/>
        <w:snapToGrid w:val="0"/>
        <w:spacing w:line="480" w:lineRule="auto"/>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法定代表人或被授权人（签字或盖章）：</w:t>
      </w:r>
      <w:r>
        <w:rPr>
          <w:rFonts w:hint="eastAsia" w:ascii="宋体" w:hAnsi="宋体" w:cs="宋体"/>
        </w:rPr>
        <w:t>___________________________</w:t>
      </w:r>
    </w:p>
    <w:p>
      <w:pPr>
        <w:adjustRightInd w:val="0"/>
        <w:snapToGrid w:val="0"/>
        <w:spacing w:line="480" w:lineRule="auto"/>
        <w:rPr>
          <w:rFonts w:ascii="宋体" w:cs="宋体"/>
        </w:rPr>
      </w:pPr>
      <w:r>
        <w:rPr>
          <w:rFonts w:hint="eastAsia" w:ascii="宋体" w:hAnsi="宋体"/>
          <w:color w:val="000000" w:themeColor="text1"/>
          <w14:textFill>
            <w14:solidFill>
              <w14:schemeClr w14:val="tx1"/>
            </w14:solidFill>
          </w14:textFill>
        </w:rPr>
        <w:t>日期：</w:t>
      </w:r>
      <w:r>
        <w:rPr>
          <w:rFonts w:hint="eastAsia" w:ascii="宋体" w:hAnsi="宋体" w:cs="宋体"/>
        </w:rPr>
        <w:t>_______年________月_______日</w:t>
      </w:r>
    </w:p>
    <w:p>
      <w:pPr>
        <w:adjustRightInd w:val="0"/>
        <w:snapToGrid w:val="0"/>
        <w:spacing w:line="480" w:lineRule="auto"/>
        <w:rPr>
          <w:color w:val="000000" w:themeColor="text1"/>
          <w:sz w:val="36"/>
          <w:szCs w:val="36"/>
          <w14:textFill>
            <w14:solidFill>
              <w14:schemeClr w14:val="tx1"/>
            </w14:solidFill>
          </w14:textFill>
        </w:rPr>
        <w:sectPr>
          <w:pgSz w:w="11906" w:h="16838"/>
          <w:pgMar w:top="1440" w:right="1803" w:bottom="1440" w:left="1803" w:header="850" w:footer="992" w:gutter="0"/>
          <w:pgNumType w:fmt="decimal"/>
          <w:cols w:space="0" w:num="1"/>
          <w:titlePg/>
          <w:docGrid w:type="linesAndChars" w:linePitch="395" w:charSpace="1724"/>
        </w:sectPr>
      </w:pPr>
    </w:p>
    <w:p>
      <w:pPr>
        <w:pStyle w:val="4"/>
        <w:jc w:val="center"/>
        <w:rPr>
          <w:rFonts w:ascii="宋体" w:hAnsi="宋体" w:eastAsia="宋体" w:cs="宋体"/>
        </w:rPr>
      </w:pPr>
      <w:bookmarkStart w:id="85" w:name="_Toc30865"/>
      <w:r>
        <w:rPr>
          <w:rFonts w:hint="eastAsia" w:ascii="宋体" w:hAnsi="宋体" w:eastAsia="宋体" w:cs="宋体"/>
        </w:rPr>
        <w:t>第三部分  资格证明文件</w:t>
      </w:r>
      <w:bookmarkEnd w:id="85"/>
    </w:p>
    <w:p>
      <w:pPr>
        <w:spacing w:line="560" w:lineRule="exact"/>
        <w:ind w:firstLine="560" w:firstLineChars="200"/>
        <w:jc w:val="both"/>
        <w:rPr>
          <w:rFonts w:ascii="宋体" w:hAnsi="宋体" w:eastAsia="宋体" w:cs="宋体"/>
          <w:sz w:val="28"/>
          <w:szCs w:val="28"/>
        </w:rPr>
      </w:pPr>
      <w:r>
        <w:rPr>
          <w:rFonts w:hint="eastAsia" w:ascii="宋体" w:hAnsi="宋体" w:eastAsia="宋体" w:cs="宋体"/>
          <w:sz w:val="28"/>
          <w:szCs w:val="28"/>
        </w:rPr>
        <w:t>按照招标文件第一章《投标邀请函》所列“供应商资格要求”提供各项资格证明文件，未按要求提供的，其投标文件将被视为无效文件。</w:t>
      </w:r>
    </w:p>
    <w:p>
      <w:pPr>
        <w:rPr>
          <w:rFonts w:ascii="宋体" w:hAnsi="宋体" w:cs="宋体"/>
        </w:rPr>
      </w:pPr>
      <w:r>
        <w:rPr>
          <w:rFonts w:hint="eastAsia" w:ascii="宋体" w:hAnsi="宋体" w:cs="宋体"/>
          <w:sz w:val="32"/>
          <w:szCs w:val="32"/>
        </w:rPr>
        <w:t>（一）基本资格条件</w:t>
      </w:r>
    </w:p>
    <w:p>
      <w:pPr>
        <w:pStyle w:val="2"/>
        <w:rPr>
          <w:rFonts w:ascii="宋体" w:hAnsi="宋体" w:cs="宋体"/>
          <w:sz w:val="32"/>
          <w:szCs w:val="32"/>
        </w:rPr>
      </w:pPr>
      <w:r>
        <w:rPr>
          <w:rFonts w:hint="eastAsia" w:ascii="宋体" w:hAnsi="宋体" w:cs="宋体"/>
          <w:sz w:val="32"/>
          <w:szCs w:val="32"/>
        </w:rPr>
        <w:t>满足《中华人民共和国政府采购法》第二十二条规定的</w:t>
      </w:r>
    </w:p>
    <w:p>
      <w:pPr>
        <w:pStyle w:val="2"/>
        <w:jc w:val="center"/>
        <w:rPr>
          <w:rFonts w:ascii="宋体" w:hAnsi="宋体" w:cs="宋体"/>
          <w:sz w:val="32"/>
          <w:szCs w:val="32"/>
        </w:rPr>
      </w:pPr>
      <w:r>
        <w:rPr>
          <w:rFonts w:hint="eastAsia" w:ascii="宋体" w:hAnsi="宋体" w:cs="宋体"/>
          <w:sz w:val="32"/>
          <w:szCs w:val="32"/>
        </w:rPr>
        <w:t>资格承诺（格式）</w:t>
      </w: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我单位参与陕西卓佲项目管理有限公司组织________________________(项目名称)公开招标，我公司符合《中华人民共和国政府采购法》规定的供应商资格条件：</w:t>
      </w:r>
    </w:p>
    <w:p>
      <w:pPr>
        <w:numPr>
          <w:ilvl w:val="0"/>
          <w:numId w:val="5"/>
        </w:numPr>
        <w:spacing w:line="500" w:lineRule="exact"/>
        <w:rPr>
          <w:rFonts w:ascii="宋体" w:hAnsi="宋体" w:cs="宋体"/>
        </w:rPr>
      </w:pPr>
      <w:r>
        <w:rPr>
          <w:rFonts w:hint="eastAsia" w:ascii="宋体" w:hAnsi="宋体" w:cs="宋体"/>
        </w:rPr>
        <w:t>具有独立承担民事责任的能力；</w:t>
      </w:r>
    </w:p>
    <w:p>
      <w:pPr>
        <w:numPr>
          <w:ilvl w:val="0"/>
          <w:numId w:val="5"/>
        </w:numPr>
        <w:spacing w:line="500" w:lineRule="exact"/>
        <w:rPr>
          <w:rFonts w:ascii="宋体" w:hAnsi="宋体" w:cs="宋体"/>
        </w:rPr>
      </w:pPr>
      <w:r>
        <w:rPr>
          <w:rFonts w:hint="eastAsia" w:ascii="宋体" w:hAnsi="宋体" w:cs="宋体"/>
        </w:rPr>
        <w:t>具有良好的商业信誉和健全的财务会计制度；</w:t>
      </w:r>
    </w:p>
    <w:p>
      <w:pPr>
        <w:numPr>
          <w:ilvl w:val="0"/>
          <w:numId w:val="5"/>
        </w:numPr>
        <w:spacing w:line="500" w:lineRule="exact"/>
        <w:rPr>
          <w:rFonts w:ascii="宋体" w:hAnsi="宋体" w:cs="宋体"/>
        </w:rPr>
      </w:pPr>
      <w:r>
        <w:rPr>
          <w:rFonts w:hint="eastAsia" w:ascii="宋体" w:hAnsi="宋体" w:cs="宋体"/>
        </w:rPr>
        <w:t>具有履行合同所必需的设备和专业技术能力；</w:t>
      </w:r>
    </w:p>
    <w:p>
      <w:pPr>
        <w:numPr>
          <w:ilvl w:val="0"/>
          <w:numId w:val="5"/>
        </w:numPr>
        <w:spacing w:line="500" w:lineRule="exact"/>
        <w:rPr>
          <w:rFonts w:ascii="宋体" w:hAnsi="宋体" w:cs="宋体"/>
        </w:rPr>
      </w:pPr>
      <w:r>
        <w:rPr>
          <w:rFonts w:hint="eastAsia" w:ascii="宋体" w:hAnsi="宋体" w:cs="宋体"/>
        </w:rPr>
        <w:t>具有依法缴纳税收和社会保障资金的良好记录；</w:t>
      </w:r>
    </w:p>
    <w:p>
      <w:pPr>
        <w:numPr>
          <w:ilvl w:val="0"/>
          <w:numId w:val="5"/>
        </w:numPr>
        <w:spacing w:line="500" w:lineRule="exact"/>
        <w:rPr>
          <w:rFonts w:ascii="宋体" w:hAnsi="宋体" w:cs="宋体"/>
        </w:rPr>
      </w:pPr>
      <w:r>
        <w:rPr>
          <w:rFonts w:hint="eastAsia" w:ascii="宋体" w:hAnsi="宋体" w:cs="宋体"/>
        </w:rPr>
        <w:t>参加此项采购活动前三年内，在经营活动中没有重大违法记录；</w:t>
      </w:r>
    </w:p>
    <w:p>
      <w:pPr>
        <w:numPr>
          <w:ilvl w:val="0"/>
          <w:numId w:val="5"/>
        </w:numPr>
        <w:spacing w:line="500" w:lineRule="exact"/>
        <w:rPr>
          <w:rFonts w:ascii="宋体" w:hAnsi="宋体" w:cs="宋体"/>
        </w:rPr>
      </w:pPr>
      <w:r>
        <w:rPr>
          <w:rFonts w:hint="eastAsia" w:ascii="宋体" w:hAnsi="宋体" w:cs="宋体"/>
        </w:rPr>
        <w:t>法律、行政法规规定的其他条件。</w:t>
      </w:r>
    </w:p>
    <w:p>
      <w:pPr>
        <w:pStyle w:val="2"/>
        <w:rPr>
          <w:rFonts w:ascii="宋体" w:hAnsi="宋体" w:cs="宋体"/>
        </w:rPr>
      </w:pPr>
    </w:p>
    <w:p>
      <w:pPr>
        <w:snapToGrid w:val="0"/>
        <w:spacing w:line="480" w:lineRule="auto"/>
        <w:ind w:firstLine="480" w:firstLineChars="200"/>
        <w:rPr>
          <w:rFonts w:hAnsi="宋体" w:cs="宋体"/>
        </w:rPr>
      </w:pPr>
      <w:r>
        <w:rPr>
          <w:rFonts w:hint="eastAsia" w:ascii="宋体" w:hAnsi="宋体" w:cs="宋体"/>
        </w:rPr>
        <w:t>我方对此声明负全部法律责任。</w:t>
      </w:r>
    </w:p>
    <w:p>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rPr>
          <w:rFonts w:hint="eastAsia" w:ascii="宋体" w:hAnsi="宋体" w:cs="宋体"/>
          <w:sz w:val="28"/>
          <w:szCs w:val="32"/>
        </w:rPr>
      </w:pPr>
      <w:bookmarkStart w:id="86" w:name="_Toc9106"/>
      <w:bookmarkStart w:id="87" w:name="_Toc32575"/>
      <w:bookmarkStart w:id="88" w:name="_Toc30568"/>
      <w:bookmarkStart w:id="89" w:name="_Toc28294"/>
      <w:bookmarkStart w:id="90" w:name="_Toc29109"/>
      <w:bookmarkStart w:id="91" w:name="_Toc18738"/>
      <w:bookmarkStart w:id="92" w:name="_Toc14575"/>
      <w:bookmarkStart w:id="93" w:name="_Toc26570"/>
      <w:r>
        <w:rPr>
          <w:rFonts w:hint="eastAsia" w:ascii="宋体" w:hAnsi="宋体" w:cs="宋体"/>
          <w:sz w:val="28"/>
          <w:szCs w:val="32"/>
        </w:rPr>
        <w:br w:type="page"/>
      </w:r>
    </w:p>
    <w:p>
      <w:pPr>
        <w:spacing w:line="360" w:lineRule="auto"/>
        <w:rPr>
          <w:rFonts w:ascii="宋体" w:hAnsi="宋体" w:cs="宋体"/>
          <w:sz w:val="28"/>
          <w:szCs w:val="32"/>
        </w:rPr>
      </w:pPr>
      <w:r>
        <w:rPr>
          <w:rFonts w:hint="eastAsia" w:ascii="宋体" w:hAnsi="宋体" w:cs="宋体"/>
          <w:sz w:val="28"/>
          <w:szCs w:val="32"/>
        </w:rPr>
        <w:t>（二）特定资格条件</w:t>
      </w:r>
    </w:p>
    <w:p>
      <w:pPr>
        <w:spacing w:line="360" w:lineRule="auto"/>
        <w:ind w:firstLine="480" w:firstLineChars="200"/>
        <w:rPr>
          <w:rFonts w:ascii="宋体" w:hAnsi="宋体" w:cs="宋体"/>
        </w:rPr>
      </w:pPr>
      <w:r>
        <w:rPr>
          <w:rFonts w:hint="eastAsia" w:ascii="宋体" w:hAnsi="宋体" w:cs="宋体"/>
        </w:rPr>
        <w:t>1、具有独立承担民事责任能力的法人、其他组织或自然人，提供合法有效的统一社会信用代码营业执照（事业单位提供事业单位法人证书，自然人应提供身份证）；</w:t>
      </w:r>
    </w:p>
    <w:p>
      <w:pPr>
        <w:keepNext/>
        <w:keepLines/>
        <w:pageBreakBefore w:val="0"/>
        <w:widowControl/>
        <w:kinsoku/>
        <w:wordWrap/>
        <w:overflowPunct/>
        <w:topLinePunct w:val="0"/>
        <w:autoSpaceDE/>
        <w:autoSpaceDN/>
        <w:bidi w:val="0"/>
        <w:adjustRightInd/>
        <w:snapToGrid/>
        <w:spacing w:line="413" w:lineRule="auto"/>
        <w:ind w:firstLine="480" w:firstLineChars="200"/>
        <w:jc w:val="left"/>
        <w:textAlignment w:val="auto"/>
        <w:rPr>
          <w:rFonts w:ascii="宋体" w:hAnsi="宋体" w:cs="宋体"/>
          <w:sz w:val="32"/>
        </w:rPr>
        <w:sectPr>
          <w:headerReference r:id="rId16"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rPr>
        <w:t>2、财务状况证明：供应商提供2021年度</w:t>
      </w:r>
      <w:r>
        <w:rPr>
          <w:rFonts w:hint="eastAsia" w:ascii="宋体" w:hAnsi="宋体" w:cs="宋体"/>
          <w:lang w:val="en-US" w:eastAsia="zh-CN"/>
        </w:rPr>
        <w:t>或2022年度</w:t>
      </w:r>
      <w:r>
        <w:rPr>
          <w:rFonts w:hint="eastAsia" w:ascii="宋体" w:hAnsi="宋体" w:cs="宋体"/>
        </w:rPr>
        <w:t>经审计完整的财务审计报告（成立时间至提交投标文件截止时间不足一年的可提供成立后任意时段的资产负债表），或其开标前三个月内</w:t>
      </w:r>
      <w:r>
        <w:rPr>
          <w:rFonts w:hint="eastAsia" w:ascii="宋体" w:hAnsi="宋体" w:cs="宋体"/>
          <w:lang w:val="en-US" w:eastAsia="zh-CN"/>
        </w:rPr>
        <w:t>供应商开户</w:t>
      </w:r>
      <w:r>
        <w:rPr>
          <w:rFonts w:hint="eastAsia" w:ascii="宋体" w:hAnsi="宋体" w:cs="宋体"/>
        </w:rPr>
        <w:t>银行</w:t>
      </w:r>
      <w:r>
        <w:rPr>
          <w:rFonts w:hint="eastAsia" w:ascii="宋体" w:hAnsi="宋体" w:cs="宋体"/>
          <w:lang w:val="en-US" w:eastAsia="zh-CN"/>
        </w:rPr>
        <w:t>基本账户银行</w:t>
      </w:r>
      <w:r>
        <w:rPr>
          <w:rFonts w:hint="eastAsia" w:ascii="宋体" w:hAnsi="宋体" w:cs="宋体"/>
        </w:rPr>
        <w:t>出具的资信证明，或财政部门认可的政府采购专业担保机构出具的投标担保函；</w:t>
      </w:r>
    </w:p>
    <w:p>
      <w:pPr>
        <w:keepNext/>
        <w:keepLines/>
        <w:spacing w:line="413" w:lineRule="auto"/>
        <w:jc w:val="center"/>
        <w:rPr>
          <w:rFonts w:ascii="宋体" w:hAnsi="宋体" w:cs="宋体"/>
          <w:sz w:val="32"/>
        </w:rPr>
      </w:pPr>
      <w:r>
        <w:rPr>
          <w:rFonts w:hint="eastAsia" w:ascii="宋体" w:hAnsi="宋体" w:cs="宋体"/>
          <w:sz w:val="32"/>
        </w:rPr>
        <w:t>3、履行合同所必需的设备和专业技术能力声明（格式）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720" w:firstLineChars="300"/>
        <w:rPr>
          <w:rFonts w:ascii="宋体" w:hAnsi="宋体" w:cs="宋体"/>
        </w:rPr>
      </w:pPr>
      <w:r>
        <w:rPr>
          <w:rFonts w:hint="eastAsia" w:ascii="宋体" w:hAnsi="宋体" w:cs="宋体"/>
        </w:rPr>
        <w:t>我单位参与陕西卓佲项目管理有限公司组织的____________________(项目名称)，我单位郑重声明：我方</w:t>
      </w:r>
      <w:r>
        <w:rPr>
          <w:rFonts w:hint="eastAsia" w:ascii="宋体" w:hAnsi="宋体" w:cs="宋体"/>
          <w:b/>
          <w:bCs/>
        </w:rPr>
        <w:t>具有履行合同所必需的设备和专业技术能力</w:t>
      </w:r>
      <w:r>
        <w:rPr>
          <w:rFonts w:hint="eastAsia" w:ascii="宋体" w:hAnsi="宋体" w:cs="宋体"/>
        </w:rPr>
        <w:t>，符合《中华人民共和国政府采购法》规定的供应商资格条件，我方对此声明负全部法律责任。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9"/>
        <w:spacing w:line="500" w:lineRule="exact"/>
        <w:rPr>
          <w:rFonts w:hAnsi="宋体" w:cs="宋体"/>
          <w:sz w:val="24"/>
        </w:rPr>
      </w:pPr>
    </w:p>
    <w:p>
      <w:pPr>
        <w:pStyle w:val="19"/>
        <w:spacing w:line="480" w:lineRule="auto"/>
        <w:rPr>
          <w:rFonts w:hAnsi="宋体" w:cs="宋体"/>
          <w:sz w:val="24"/>
        </w:rPr>
      </w:pPr>
    </w:p>
    <w:p>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spacing w:line="360" w:lineRule="auto"/>
        <w:ind w:firstLine="480" w:firstLineChars="200"/>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rPr>
      </w:pPr>
      <w:r>
        <w:rPr>
          <w:rFonts w:hint="eastAsia" w:ascii="宋体" w:hAnsi="宋体" w:cs="宋体"/>
        </w:rPr>
        <w:t>4、社会保障资金缴纳证明：提供2022年</w:t>
      </w:r>
      <w:r>
        <w:rPr>
          <w:rFonts w:hint="eastAsia" w:ascii="宋体" w:hAnsi="宋体" w:cs="宋体"/>
          <w:lang w:val="en-US" w:eastAsia="zh-CN"/>
        </w:rPr>
        <w:t>6</w:t>
      </w:r>
      <w:r>
        <w:rPr>
          <w:rFonts w:hint="eastAsia" w:ascii="宋体" w:hAnsi="宋体" w:cs="宋体"/>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rPr>
      </w:pPr>
      <w:r>
        <w:rPr>
          <w:rFonts w:hint="eastAsia" w:ascii="宋体" w:hAnsi="宋体" w:cs="宋体"/>
        </w:rPr>
        <w:t>5、税收缴纳证明：提供2022年</w:t>
      </w:r>
      <w:r>
        <w:rPr>
          <w:rFonts w:hint="eastAsia" w:ascii="宋体" w:hAnsi="宋体" w:cs="宋体"/>
          <w:lang w:val="en-US" w:eastAsia="zh-CN"/>
        </w:rPr>
        <w:t>6</w:t>
      </w:r>
      <w:r>
        <w:rPr>
          <w:rFonts w:hint="eastAsia" w:ascii="宋体" w:hAnsi="宋体" w:cs="宋体"/>
        </w:rPr>
        <w:t>月以来至少一个月的纳税证明或完税证明，依法免税的单位应提供相关证明材料；</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tabs>
          <w:tab w:val="left" w:pos="2850"/>
        </w:tabs>
        <w:rPr>
          <w:rFonts w:ascii="宋体" w:hAnsi="宋体" w:cs="宋体"/>
          <w:sz w:val="28"/>
          <w:szCs w:val="32"/>
        </w:rPr>
      </w:pPr>
      <w:r>
        <w:rPr>
          <w:rFonts w:hint="eastAsia" w:ascii="宋体" w:hAnsi="宋体" w:cs="宋体"/>
          <w:sz w:val="28"/>
          <w:szCs w:val="32"/>
        </w:rPr>
        <w:tab/>
      </w:r>
    </w:p>
    <w:p>
      <w:pPr>
        <w:pStyle w:val="12"/>
      </w:pPr>
    </w:p>
    <w:p>
      <w:pPr>
        <w:tabs>
          <w:tab w:val="left" w:pos="2235"/>
        </w:tabs>
        <w:rPr>
          <w:rFonts w:ascii="宋体" w:hAnsi="宋体" w:cs="宋体"/>
          <w:sz w:val="28"/>
          <w:szCs w:val="32"/>
        </w:rPr>
      </w:pPr>
      <w:r>
        <w:rPr>
          <w:rFonts w:hint="eastAsia" w:ascii="宋体" w:hAnsi="宋体" w:cs="宋体"/>
          <w:sz w:val="28"/>
          <w:szCs w:val="32"/>
        </w:rPr>
        <w:tab/>
      </w:r>
    </w:p>
    <w:p>
      <w:pPr>
        <w:pStyle w:val="12"/>
        <w:rPr>
          <w:rFonts w:ascii="宋体" w:hAnsi="宋体" w:cs="宋体"/>
          <w:sz w:val="28"/>
          <w:szCs w:val="32"/>
        </w:rPr>
      </w:pPr>
    </w:p>
    <w:p>
      <w:pPr>
        <w:pStyle w:val="19"/>
        <w:rPr>
          <w:rFonts w:hAnsi="宋体" w:cs="宋体"/>
          <w:sz w:val="28"/>
          <w:szCs w:val="32"/>
        </w:rPr>
      </w:pPr>
    </w:p>
    <w:p>
      <w:pPr>
        <w:pStyle w:val="19"/>
        <w:rPr>
          <w:rFonts w:hAnsi="宋体" w:cs="宋体"/>
          <w:sz w:val="28"/>
          <w:szCs w:val="32"/>
        </w:rPr>
      </w:pPr>
    </w:p>
    <w:p>
      <w:pPr>
        <w:pStyle w:val="19"/>
        <w:rPr>
          <w:rFonts w:hAnsi="宋体" w:cs="宋体"/>
          <w:sz w:val="28"/>
          <w:szCs w:val="32"/>
        </w:rPr>
      </w:pPr>
    </w:p>
    <w:p>
      <w:pPr>
        <w:pStyle w:val="19"/>
        <w:rPr>
          <w:rFonts w:hAnsi="宋体" w:cs="宋体"/>
          <w:sz w:val="28"/>
          <w:szCs w:val="32"/>
        </w:rPr>
      </w:pPr>
    </w:p>
    <w:p>
      <w:pPr>
        <w:pStyle w:val="19"/>
        <w:rPr>
          <w:rFonts w:hAnsi="宋体" w:cs="宋体"/>
          <w:sz w:val="28"/>
          <w:szCs w:val="32"/>
        </w:rPr>
      </w:pPr>
    </w:p>
    <w:p>
      <w:pPr>
        <w:jc w:val="center"/>
        <w:rPr>
          <w:rFonts w:ascii="宋体" w:hAnsi="宋体" w:cs="宋体"/>
          <w:sz w:val="28"/>
          <w:szCs w:val="32"/>
        </w:rPr>
      </w:pPr>
    </w:p>
    <w:p>
      <w:pPr>
        <w:keepNext/>
        <w:keepLines/>
        <w:spacing w:line="413" w:lineRule="auto"/>
        <w:jc w:val="center"/>
        <w:rPr>
          <w:rFonts w:ascii="宋体" w:hAnsi="宋体" w:cs="宋体"/>
          <w:sz w:val="32"/>
        </w:rPr>
      </w:pPr>
      <w:r>
        <w:rPr>
          <w:rFonts w:hint="eastAsia" w:ascii="宋体" w:hAnsi="宋体" w:cs="宋体"/>
          <w:sz w:val="32"/>
        </w:rPr>
        <w:t>6、无重大违法记录声明（格式）</w:t>
      </w:r>
    </w:p>
    <w:p>
      <w:pPr>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napToGrid w:val="0"/>
        <w:spacing w:line="480" w:lineRule="auto"/>
        <w:ind w:firstLine="480" w:firstLineChars="200"/>
        <w:rPr>
          <w:rFonts w:ascii="宋体" w:hAnsi="宋体" w:cs="宋体"/>
        </w:rPr>
      </w:pPr>
      <w:r>
        <w:rPr>
          <w:rFonts w:hint="eastAsia" w:ascii="宋体" w:hAnsi="宋体" w:cs="宋体"/>
        </w:rPr>
        <w:t>我单位参与陕西卓佲项目管理有限公司组织的______________________(项目名称)公开招标，我单位郑重声明：我方参加本项目公开招标工作前三年内无重大违法活动记录，符合《中华人民共和国政府采购法》规定的供应商资格条件，我方对此声明负全部法律责任。</w:t>
      </w:r>
    </w:p>
    <w:p>
      <w:pPr>
        <w:snapToGrid w:val="0"/>
        <w:spacing w:line="480" w:lineRule="auto"/>
        <w:ind w:firstLine="480" w:firstLineChars="200"/>
        <w:rPr>
          <w:rFonts w:ascii="宋体" w:hAnsi="宋体" w:cs="宋体"/>
        </w:rPr>
      </w:pPr>
      <w:r>
        <w:rPr>
          <w:rFonts w:hint="eastAsia" w:ascii="宋体" w:hAnsi="宋体" w:cs="宋体"/>
        </w:rPr>
        <w:t>特此声明。</w:t>
      </w:r>
    </w:p>
    <w:p>
      <w:pPr>
        <w:pStyle w:val="19"/>
        <w:spacing w:line="500" w:lineRule="exact"/>
        <w:rPr>
          <w:rFonts w:hAnsi="宋体" w:cs="宋体"/>
          <w:sz w:val="24"/>
        </w:rPr>
      </w:pPr>
    </w:p>
    <w:p>
      <w:pPr>
        <w:pStyle w:val="19"/>
        <w:spacing w:line="480" w:lineRule="auto"/>
        <w:rPr>
          <w:rFonts w:hAnsi="宋体" w:cs="宋体"/>
          <w:sz w:val="24"/>
        </w:rPr>
      </w:pPr>
    </w:p>
    <w:p>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p>
    <w:p>
      <w:pPr>
        <w:jc w:val="center"/>
        <w:rPr>
          <w:rFonts w:ascii="宋体" w:hAnsi="宋体" w:cs="宋体"/>
          <w:sz w:val="28"/>
          <w:szCs w:val="32"/>
        </w:rPr>
      </w:pPr>
      <w:r>
        <w:rPr>
          <w:rFonts w:hint="eastAsia" w:ascii="宋体" w:hAnsi="宋体" w:cs="宋体"/>
          <w:sz w:val="28"/>
          <w:szCs w:val="32"/>
        </w:rPr>
        <w:t>7-1法定代表人证明书（格式）</w:t>
      </w:r>
    </w:p>
    <w:tbl>
      <w:tblPr>
        <w:tblStyle w:val="3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rPr>
                <w:rFonts w:ascii="宋体" w:hAnsi="宋体" w:cs="宋体"/>
              </w:rPr>
            </w:pPr>
            <w:r>
              <w:rPr>
                <w:rFonts w:hint="eastAsia" w:ascii="宋体" w:hAnsi="宋体" w:cs="宋体"/>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企</w:t>
            </w:r>
          </w:p>
          <w:p>
            <w:pPr>
              <w:tabs>
                <w:tab w:val="left" w:pos="210"/>
              </w:tabs>
              <w:spacing w:line="360" w:lineRule="auto"/>
              <w:jc w:val="center"/>
              <w:rPr>
                <w:rFonts w:ascii="宋体" w:hAnsi="宋体" w:cs="宋体"/>
              </w:rPr>
            </w:pPr>
            <w:r>
              <w:rPr>
                <w:rFonts w:hint="eastAsia" w:ascii="宋体" w:hAnsi="宋体" w:cs="宋体"/>
              </w:rPr>
              <w:t>业</w:t>
            </w:r>
          </w:p>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企业名称</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法定地址</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邮政编码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工商登记机关</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统一社会信用代码</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tc>
        <w:tc>
          <w:tcPr>
            <w:tcW w:w="2160" w:type="dxa"/>
            <w:vAlign w:val="center"/>
          </w:tcPr>
          <w:p>
            <w:pPr>
              <w:tabs>
                <w:tab w:val="left" w:pos="210"/>
              </w:tabs>
              <w:spacing w:line="360" w:lineRule="auto"/>
              <w:rPr>
                <w:rFonts w:ascii="宋体" w:hAnsi="宋体" w:cs="宋体"/>
              </w:rPr>
            </w:pPr>
            <w:r>
              <w:rPr>
                <w:rFonts w:hint="eastAsia" w:ascii="宋体" w:hAnsi="宋体" w:cs="宋体"/>
              </w:rPr>
              <w:t>姓名</w:t>
            </w:r>
          </w:p>
        </w:tc>
        <w:tc>
          <w:tcPr>
            <w:tcW w:w="2340" w:type="dxa"/>
            <w:gridSpan w:val="2"/>
            <w:vAlign w:val="center"/>
          </w:tcPr>
          <w:p>
            <w:pPr>
              <w:tabs>
                <w:tab w:val="left" w:pos="210"/>
              </w:tabs>
              <w:spacing w:line="360" w:lineRule="auto"/>
              <w:ind w:firstLine="480" w:firstLineChars="200"/>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性别</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职务</w:t>
            </w:r>
          </w:p>
        </w:tc>
        <w:tc>
          <w:tcPr>
            <w:tcW w:w="2340" w:type="dxa"/>
            <w:gridSpan w:val="2"/>
            <w:vAlign w:val="center"/>
          </w:tcPr>
          <w:p>
            <w:pPr>
              <w:tabs>
                <w:tab w:val="left" w:pos="210"/>
              </w:tabs>
              <w:spacing w:line="360" w:lineRule="auto"/>
              <w:rPr>
                <w:rFonts w:ascii="宋体" w:hAnsi="宋体" w:cs="宋体"/>
              </w:rPr>
            </w:pPr>
          </w:p>
        </w:tc>
        <w:tc>
          <w:tcPr>
            <w:tcW w:w="2156" w:type="dxa"/>
            <w:vAlign w:val="center"/>
          </w:tcPr>
          <w:p>
            <w:pPr>
              <w:tabs>
                <w:tab w:val="left" w:pos="210"/>
              </w:tabs>
              <w:spacing w:line="360" w:lineRule="auto"/>
              <w:ind w:firstLine="480" w:firstLineChars="200"/>
              <w:rPr>
                <w:rFonts w:ascii="宋体" w:hAnsi="宋体" w:cs="宋体"/>
              </w:rPr>
            </w:pPr>
            <w:r>
              <w:rPr>
                <w:rFonts w:hint="eastAsia" w:ascii="宋体" w:hAnsi="宋体" w:cs="宋体"/>
              </w:rPr>
              <w:t>联系电话</w:t>
            </w:r>
          </w:p>
        </w:tc>
        <w:tc>
          <w:tcPr>
            <w:tcW w:w="2160" w:type="dxa"/>
            <w:vAlign w:val="center"/>
          </w:tcPr>
          <w:p>
            <w:pPr>
              <w:tabs>
                <w:tab w:val="left" w:pos="210"/>
              </w:tabs>
              <w:spacing w:line="360" w:lineRule="auto"/>
              <w:ind w:firstLine="480" w:firstLineChars="2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pPr>
              <w:tabs>
                <w:tab w:val="left" w:pos="210"/>
              </w:tabs>
              <w:spacing w:line="360" w:lineRule="auto"/>
              <w:ind w:firstLine="480" w:firstLineChars="200"/>
              <w:jc w:val="center"/>
              <w:rPr>
                <w:rFonts w:ascii="宋体" w:hAnsi="宋体" w:cs="宋体"/>
              </w:rPr>
            </w:pPr>
          </w:p>
        </w:tc>
        <w:tc>
          <w:tcPr>
            <w:tcW w:w="2160" w:type="dxa"/>
            <w:vAlign w:val="center"/>
          </w:tcPr>
          <w:p>
            <w:pPr>
              <w:tabs>
                <w:tab w:val="left" w:pos="210"/>
              </w:tabs>
              <w:spacing w:line="360" w:lineRule="auto"/>
              <w:rPr>
                <w:rFonts w:ascii="宋体" w:hAnsi="宋体" w:cs="宋体"/>
              </w:rPr>
            </w:pPr>
            <w:r>
              <w:rPr>
                <w:rFonts w:hint="eastAsia" w:ascii="宋体" w:hAnsi="宋体" w:cs="宋体"/>
              </w:rPr>
              <w:t>传真</w:t>
            </w:r>
          </w:p>
        </w:tc>
        <w:tc>
          <w:tcPr>
            <w:tcW w:w="6656" w:type="dxa"/>
            <w:gridSpan w:val="4"/>
            <w:vAlign w:val="center"/>
          </w:tcPr>
          <w:p>
            <w:pPr>
              <w:tabs>
                <w:tab w:val="left" w:pos="210"/>
              </w:tabs>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rPr>
            </w:pPr>
            <w:r>
              <w:rPr>
                <w:rFonts w:hint="eastAsia" w:ascii="宋体" w:hAnsi="宋体" w:cs="宋体"/>
              </w:rPr>
              <w:t>法</w:t>
            </w:r>
          </w:p>
          <w:p>
            <w:pPr>
              <w:tabs>
                <w:tab w:val="left" w:pos="210"/>
              </w:tabs>
              <w:spacing w:line="360" w:lineRule="auto"/>
              <w:jc w:val="center"/>
              <w:rPr>
                <w:rFonts w:ascii="宋体" w:hAnsi="宋体" w:cs="宋体"/>
              </w:rPr>
            </w:pPr>
            <w:r>
              <w:rPr>
                <w:rFonts w:hint="eastAsia" w:ascii="宋体" w:hAnsi="宋体" w:cs="宋体"/>
              </w:rPr>
              <w:t>定</w:t>
            </w:r>
          </w:p>
          <w:p>
            <w:pPr>
              <w:tabs>
                <w:tab w:val="left" w:pos="210"/>
              </w:tabs>
              <w:spacing w:line="360" w:lineRule="auto"/>
              <w:jc w:val="center"/>
              <w:rPr>
                <w:rFonts w:ascii="宋体" w:hAnsi="宋体" w:cs="宋体"/>
              </w:rPr>
            </w:pPr>
            <w:r>
              <w:rPr>
                <w:rFonts w:hint="eastAsia" w:ascii="宋体" w:hAnsi="宋体" w:cs="宋体"/>
              </w:rPr>
              <w:t>代</w:t>
            </w:r>
          </w:p>
          <w:p>
            <w:pPr>
              <w:tabs>
                <w:tab w:val="left" w:pos="210"/>
              </w:tabs>
              <w:spacing w:line="360" w:lineRule="auto"/>
              <w:jc w:val="center"/>
              <w:rPr>
                <w:rFonts w:ascii="宋体" w:hAnsi="宋体" w:cs="宋体"/>
              </w:rPr>
            </w:pPr>
            <w:r>
              <w:rPr>
                <w:rFonts w:hint="eastAsia" w:ascii="宋体" w:hAnsi="宋体" w:cs="宋体"/>
              </w:rPr>
              <w:t>表</w:t>
            </w:r>
          </w:p>
          <w:p>
            <w:pPr>
              <w:tabs>
                <w:tab w:val="left" w:pos="210"/>
              </w:tabs>
              <w:spacing w:line="360" w:lineRule="auto"/>
              <w:jc w:val="center"/>
              <w:rPr>
                <w:rFonts w:ascii="宋体" w:hAnsi="宋体" w:cs="宋体"/>
              </w:rPr>
            </w:pPr>
            <w:r>
              <w:rPr>
                <w:rFonts w:hint="eastAsia" w:ascii="宋体" w:hAnsi="宋体" w:cs="宋体"/>
              </w:rPr>
              <w:t>人</w:t>
            </w:r>
          </w:p>
          <w:p>
            <w:pPr>
              <w:tabs>
                <w:tab w:val="left" w:pos="210"/>
              </w:tabs>
              <w:spacing w:line="360" w:lineRule="auto"/>
              <w:jc w:val="center"/>
              <w:rPr>
                <w:rFonts w:ascii="宋体" w:hAnsi="宋体" w:cs="宋体"/>
              </w:rPr>
            </w:pPr>
            <w:r>
              <w:rPr>
                <w:rFonts w:hint="eastAsia" w:ascii="宋体" w:hAnsi="宋体" w:cs="宋体"/>
              </w:rPr>
              <w:t>身</w:t>
            </w:r>
          </w:p>
          <w:p>
            <w:pPr>
              <w:tabs>
                <w:tab w:val="left" w:pos="210"/>
              </w:tabs>
              <w:spacing w:line="360" w:lineRule="auto"/>
              <w:jc w:val="center"/>
              <w:rPr>
                <w:rFonts w:ascii="宋体" w:hAnsi="宋体" w:cs="宋体"/>
              </w:rPr>
            </w:pPr>
            <w:r>
              <w:rPr>
                <w:rFonts w:hint="eastAsia" w:ascii="宋体" w:hAnsi="宋体" w:cs="宋体"/>
              </w:rPr>
              <w:t>份</w:t>
            </w:r>
          </w:p>
          <w:p>
            <w:pPr>
              <w:tabs>
                <w:tab w:val="left" w:pos="210"/>
              </w:tabs>
              <w:spacing w:line="360" w:lineRule="auto"/>
              <w:jc w:val="center"/>
              <w:rPr>
                <w:rFonts w:ascii="宋体" w:hAnsi="宋体" w:cs="宋体"/>
              </w:rPr>
            </w:pPr>
            <w:r>
              <w:rPr>
                <w:rFonts w:hint="eastAsia" w:ascii="宋体" w:hAnsi="宋体" w:cs="宋体"/>
              </w:rPr>
              <w:t>证</w:t>
            </w:r>
          </w:p>
          <w:p>
            <w:pPr>
              <w:tabs>
                <w:tab w:val="left" w:pos="210"/>
              </w:tabs>
              <w:spacing w:line="360" w:lineRule="auto"/>
              <w:jc w:val="center"/>
              <w:rPr>
                <w:rFonts w:ascii="宋体" w:hAnsi="宋体" w:cs="宋体"/>
              </w:rPr>
            </w:pPr>
            <w:r>
              <w:rPr>
                <w:rFonts w:hint="eastAsia" w:ascii="宋体" w:hAnsi="宋体" w:cs="宋体"/>
              </w:rPr>
              <w:t>复</w:t>
            </w:r>
          </w:p>
          <w:p>
            <w:pPr>
              <w:tabs>
                <w:tab w:val="left" w:pos="210"/>
              </w:tabs>
              <w:spacing w:line="360" w:lineRule="auto"/>
              <w:jc w:val="center"/>
              <w:rPr>
                <w:rFonts w:ascii="宋体" w:hAnsi="宋体" w:cs="宋体"/>
              </w:rPr>
            </w:pPr>
            <w:r>
              <w:rPr>
                <w:rFonts w:hint="eastAsia" w:ascii="宋体" w:hAnsi="宋体" w:cs="宋体"/>
              </w:rPr>
              <w:t>印</w:t>
            </w:r>
          </w:p>
          <w:p>
            <w:pPr>
              <w:tabs>
                <w:tab w:val="left" w:pos="210"/>
              </w:tabs>
              <w:spacing w:line="360" w:lineRule="auto"/>
              <w:jc w:val="center"/>
              <w:rPr>
                <w:rFonts w:ascii="宋体" w:hAnsi="宋体" w:cs="宋体"/>
              </w:rPr>
            </w:pPr>
            <w:r>
              <w:rPr>
                <w:rFonts w:hint="eastAsia" w:ascii="宋体" w:hAnsi="宋体" w:cs="宋体"/>
              </w:rPr>
              <w:t>件</w:t>
            </w:r>
          </w:p>
        </w:tc>
        <w:tc>
          <w:tcPr>
            <w:tcW w:w="4316" w:type="dxa"/>
            <w:gridSpan w:val="2"/>
            <w:vMerge w:val="restart"/>
            <w:vAlign w:val="center"/>
          </w:tcPr>
          <w:p>
            <w:pPr>
              <w:tabs>
                <w:tab w:val="left" w:pos="210"/>
              </w:tabs>
              <w:spacing w:line="360" w:lineRule="auto"/>
              <w:ind w:firstLine="480" w:firstLineChars="200"/>
              <w:rPr>
                <w:rFonts w:ascii="宋体" w:hAnsi="宋体" w:cs="宋体"/>
              </w:rPr>
            </w:pPr>
            <w:r>
              <w:rPr>
                <w:rFonts w:hint="eastAsia" w:ascii="宋体" w:hAnsi="宋体" w:cs="宋体"/>
              </w:rPr>
              <w:t>（正反面）</w:t>
            </w:r>
          </w:p>
        </w:tc>
        <w:tc>
          <w:tcPr>
            <w:tcW w:w="4500" w:type="dxa"/>
            <w:gridSpan w:val="3"/>
            <w:vAlign w:val="center"/>
          </w:tcPr>
          <w:p>
            <w:pPr>
              <w:tabs>
                <w:tab w:val="left" w:pos="210"/>
              </w:tabs>
              <w:spacing w:line="360" w:lineRule="auto"/>
              <w:ind w:firstLine="480" w:firstLineChars="200"/>
              <w:rPr>
                <w:rFonts w:ascii="宋体" w:hAnsi="宋体" w:cs="宋体"/>
              </w:rPr>
            </w:pPr>
            <w:r>
              <w:rPr>
                <w:rFonts w:hint="eastAsia" w:ascii="宋体" w:hAnsi="宋体" w:cs="宋体"/>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rPr>
                <w:rFonts w:ascii="宋体" w:hAnsi="宋体" w:cs="宋体"/>
              </w:rPr>
            </w:pPr>
          </w:p>
        </w:tc>
        <w:tc>
          <w:tcPr>
            <w:tcW w:w="4316" w:type="dxa"/>
            <w:gridSpan w:val="2"/>
            <w:vMerge w:val="continue"/>
            <w:vAlign w:val="center"/>
          </w:tcPr>
          <w:p>
            <w:pPr>
              <w:tabs>
                <w:tab w:val="left" w:pos="210"/>
              </w:tabs>
              <w:spacing w:line="360" w:lineRule="auto"/>
              <w:ind w:firstLine="480" w:firstLineChars="200"/>
              <w:rPr>
                <w:rFonts w:ascii="宋体" w:hAnsi="宋体" w:cs="宋体"/>
              </w:rPr>
            </w:pPr>
          </w:p>
        </w:tc>
        <w:tc>
          <w:tcPr>
            <w:tcW w:w="4500" w:type="dxa"/>
            <w:gridSpan w:val="3"/>
            <w:vAlign w:val="bottom"/>
          </w:tcPr>
          <w:p>
            <w:pPr>
              <w:tabs>
                <w:tab w:val="left" w:pos="210"/>
              </w:tabs>
              <w:spacing w:line="360" w:lineRule="auto"/>
              <w:ind w:firstLine="480" w:firstLineChars="200"/>
              <w:rPr>
                <w:rFonts w:ascii="宋体" w:hAnsi="宋体" w:cs="宋体"/>
              </w:rPr>
            </w:pPr>
            <w:r>
              <w:rPr>
                <w:rFonts w:hint="eastAsia" w:ascii="宋体" w:hAnsi="宋体" w:cs="宋体"/>
              </w:rPr>
              <w:t>（公章）</w:t>
            </w: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tabs>
                <w:tab w:val="left" w:pos="210"/>
              </w:tabs>
              <w:spacing w:line="360" w:lineRule="auto"/>
              <w:rPr>
                <w:rFonts w:ascii="宋体" w:hAnsi="宋体" w:cs="宋体"/>
              </w:rPr>
            </w:pPr>
          </w:p>
          <w:p>
            <w:pPr>
              <w:adjustRightInd w:val="0"/>
              <w:snapToGrid w:val="0"/>
              <w:spacing w:line="480" w:lineRule="auto"/>
              <w:ind w:firstLine="480" w:firstLineChars="200"/>
              <w:jc w:val="right"/>
              <w:rPr>
                <w:rFonts w:ascii="宋体" w:hAnsi="宋体" w:cs="宋体"/>
              </w:rPr>
            </w:pPr>
            <w:r>
              <w:rPr>
                <w:rFonts w:hint="eastAsia" w:ascii="宋体" w:hAnsi="宋体" w:cs="宋体"/>
              </w:rPr>
              <w:t>_________年______月 _____日</w:t>
            </w:r>
          </w:p>
        </w:tc>
      </w:tr>
    </w:tbl>
    <w:p>
      <w:pPr>
        <w:pStyle w:val="19"/>
        <w:spacing w:line="500" w:lineRule="exact"/>
        <w:jc w:val="center"/>
        <w:rPr>
          <w:rFonts w:hAnsi="宋体" w:cs="宋体"/>
          <w:sz w:val="24"/>
        </w:rPr>
      </w:pPr>
      <w:r>
        <w:rPr>
          <w:rFonts w:hint="eastAsia" w:hAnsi="宋体" w:cs="宋体"/>
          <w:b/>
          <w:sz w:val="24"/>
        </w:rPr>
        <w:br w:type="page"/>
      </w:r>
      <w:r>
        <w:rPr>
          <w:rFonts w:hint="eastAsia" w:hAnsi="宋体" w:cs="宋体"/>
          <w:b/>
          <w:sz w:val="24"/>
        </w:rPr>
        <w:t>7-2法定代表人授权书（格式）</w:t>
      </w:r>
    </w:p>
    <w:p>
      <w:pPr>
        <w:pStyle w:val="19"/>
        <w:spacing w:line="500" w:lineRule="exact"/>
        <w:rPr>
          <w:rFonts w:hAnsi="宋体" w:cs="宋体"/>
          <w:sz w:val="24"/>
        </w:rPr>
      </w:pPr>
      <w:r>
        <w:rPr>
          <w:rFonts w:hint="eastAsia" w:hAnsi="宋体" w:cs="宋体"/>
          <w:sz w:val="24"/>
        </w:rPr>
        <w:t>陕西卓佲项目管理有限公司：</w:t>
      </w:r>
    </w:p>
    <w:p>
      <w:pPr>
        <w:tabs>
          <w:tab w:val="left" w:pos="8820"/>
        </w:tabs>
        <w:spacing w:line="360" w:lineRule="auto"/>
        <w:ind w:firstLine="570"/>
        <w:rPr>
          <w:rFonts w:ascii="宋体" w:hAnsi="宋体" w:cs="宋体"/>
          <w:u w:val="single"/>
        </w:rPr>
      </w:pPr>
      <w:r>
        <w:rPr>
          <w:rFonts w:hint="eastAsia" w:ascii="宋体" w:hAnsi="宋体" w:cs="宋体"/>
        </w:rPr>
        <w:t>本授权委托书声明：我</w:t>
      </w:r>
      <w:r>
        <w:rPr>
          <w:rFonts w:hint="eastAsia" w:ascii="宋体" w:hAnsi="宋体" w:cs="宋体"/>
          <w:u w:val="single"/>
        </w:rPr>
        <w:t xml:space="preserve">（法定代表人姓名）   </w:t>
      </w:r>
      <w:r>
        <w:rPr>
          <w:rFonts w:hint="eastAsia" w:ascii="宋体" w:hAnsi="宋体" w:cs="宋体"/>
        </w:rPr>
        <w:t>系注册于</w:t>
      </w:r>
      <w:r>
        <w:rPr>
          <w:rFonts w:hint="eastAsia" w:ascii="宋体" w:hAnsi="宋体" w:cs="宋体"/>
          <w:u w:val="single"/>
        </w:rPr>
        <w:t xml:space="preserve">  （供应商地址）     </w:t>
      </w:r>
      <w:r>
        <w:rPr>
          <w:rFonts w:hint="eastAsia" w:ascii="宋体" w:hAnsi="宋体" w:cs="宋体"/>
        </w:rPr>
        <w:t>的</w:t>
      </w:r>
      <w:r>
        <w:rPr>
          <w:rFonts w:hint="eastAsia" w:ascii="宋体" w:hAnsi="宋体" w:cs="宋体"/>
          <w:u w:val="single"/>
        </w:rPr>
        <w:t xml:space="preserve">（供应商名称）  </w:t>
      </w:r>
      <w:r>
        <w:rPr>
          <w:rFonts w:hint="eastAsia" w:ascii="宋体" w:hAnsi="宋体" w:cs="宋体"/>
        </w:rPr>
        <w:t>的法定代表人，现代表公司授权</w:t>
      </w:r>
      <w:r>
        <w:rPr>
          <w:rFonts w:hint="eastAsia" w:ascii="宋体" w:hAnsi="宋体" w:cs="宋体"/>
          <w:u w:val="single"/>
        </w:rPr>
        <w:t xml:space="preserve">（被授权人的姓名、职务）   </w:t>
      </w:r>
      <w:r>
        <w:rPr>
          <w:rFonts w:hint="eastAsia" w:ascii="宋体" w:hAnsi="宋体" w:cs="宋体"/>
        </w:rPr>
        <w:t>为我公司合法代理人，代表本公司参加</w:t>
      </w:r>
      <w:r>
        <w:rPr>
          <w:rFonts w:hint="eastAsia" w:ascii="宋体" w:hAnsi="宋体" w:cs="宋体"/>
          <w:u w:val="single"/>
        </w:rPr>
        <w:t xml:space="preserve">  （项目名称） （项目编号）</w:t>
      </w:r>
      <w:r>
        <w:rPr>
          <w:rFonts w:hint="eastAsia" w:ascii="宋体" w:hAnsi="宋体" w:cs="宋体"/>
        </w:rPr>
        <w:t>的采购活动。以我方名义全权处理该项目有关招标、签订合同以及执行合同等一切事宜。</w:t>
      </w:r>
    </w:p>
    <w:p>
      <w:pPr>
        <w:spacing w:line="360" w:lineRule="auto"/>
        <w:ind w:firstLine="482" w:firstLineChars="200"/>
        <w:rPr>
          <w:rFonts w:ascii="宋体" w:hAnsi="宋体" w:cs="宋体"/>
          <w:b/>
          <w:bCs/>
        </w:rPr>
      </w:pPr>
      <w:r>
        <w:rPr>
          <w:rFonts w:hint="eastAsia" w:ascii="宋体" w:hAnsi="宋体" w:cs="宋体"/>
          <w:b/>
          <w:bCs/>
        </w:rPr>
        <w:t>本授权书自投标文件递交截止之日起生效，有效期与投标文件有效期一致，特此声明。</w:t>
      </w:r>
    </w:p>
    <w:p>
      <w:pPr>
        <w:pStyle w:val="19"/>
        <w:spacing w:line="500" w:lineRule="exact"/>
        <w:ind w:firstLine="480" w:firstLineChars="200"/>
        <w:rPr>
          <w:rFonts w:hAnsi="宋体" w:cs="宋体"/>
          <w:sz w:val="24"/>
        </w:rPr>
      </w:pPr>
      <w:r>
        <w:rPr>
          <w:rFonts w:hint="eastAsia" w:hAnsi="宋体" w:cs="宋体"/>
          <w:sz w:val="24"/>
        </w:rPr>
        <w:t>供应商（单位名称及公章）：</w:t>
      </w:r>
      <w:r>
        <w:rPr>
          <w:rFonts w:hint="eastAsia" w:hAnsi="宋体" w:cs="宋体"/>
          <w:sz w:val="28"/>
          <w:szCs w:val="28"/>
        </w:rPr>
        <w:t>__________________</w:t>
      </w:r>
    </w:p>
    <w:p>
      <w:pPr>
        <w:pStyle w:val="19"/>
        <w:spacing w:line="500" w:lineRule="exact"/>
        <w:ind w:firstLine="480" w:firstLineChars="200"/>
        <w:rPr>
          <w:rFonts w:hAnsi="宋体" w:cs="宋体"/>
          <w:sz w:val="24"/>
        </w:rPr>
      </w:pPr>
      <w:r>
        <w:rPr>
          <w:rFonts w:hint="eastAsia" w:hAnsi="宋体" w:cs="宋体"/>
          <w:sz w:val="24"/>
        </w:rPr>
        <w:t xml:space="preserve">法定代表人（签字或盖章）： </w:t>
      </w:r>
      <w:r>
        <w:rPr>
          <w:rFonts w:hint="eastAsia" w:hAnsi="宋体" w:cs="宋体"/>
          <w:sz w:val="28"/>
          <w:szCs w:val="28"/>
        </w:rPr>
        <w:t>__________________</w:t>
      </w:r>
    </w:p>
    <w:p>
      <w:pPr>
        <w:pStyle w:val="19"/>
        <w:spacing w:line="500" w:lineRule="exact"/>
        <w:ind w:firstLine="480" w:firstLineChars="200"/>
        <w:rPr>
          <w:rFonts w:hAnsi="宋体" w:cs="宋体"/>
          <w:sz w:val="24"/>
          <w:u w:val="single"/>
        </w:rPr>
      </w:pPr>
      <w:r>
        <w:rPr>
          <w:rFonts w:hint="eastAsia" w:hAnsi="宋体" w:cs="宋体"/>
          <w:sz w:val="24"/>
        </w:rPr>
        <w:t>被授权人：</w:t>
      </w:r>
      <w:r>
        <w:rPr>
          <w:rFonts w:hint="eastAsia" w:hAnsi="宋体" w:cs="宋体"/>
          <w:sz w:val="28"/>
          <w:szCs w:val="28"/>
        </w:rPr>
        <w:t>_____________</w:t>
      </w:r>
      <w:r>
        <w:rPr>
          <w:rFonts w:hint="eastAsia" w:hAnsi="宋体" w:cs="宋体"/>
          <w:sz w:val="24"/>
        </w:rPr>
        <w:t>性别：</w:t>
      </w:r>
      <w:r>
        <w:rPr>
          <w:rFonts w:hint="eastAsia" w:hAnsi="宋体" w:cs="宋体"/>
          <w:sz w:val="28"/>
          <w:szCs w:val="28"/>
        </w:rPr>
        <w:t>____________</w:t>
      </w:r>
      <w:r>
        <w:rPr>
          <w:rFonts w:hint="eastAsia" w:hAnsi="宋体" w:cs="宋体"/>
          <w:sz w:val="24"/>
        </w:rPr>
        <w:t>职务：</w:t>
      </w:r>
      <w:r>
        <w:rPr>
          <w:rFonts w:hint="eastAsia" w:hAnsi="宋体" w:cs="宋体"/>
          <w:sz w:val="28"/>
          <w:szCs w:val="28"/>
        </w:rPr>
        <w:t>_________</w:t>
      </w:r>
    </w:p>
    <w:p>
      <w:pPr>
        <w:pStyle w:val="19"/>
        <w:spacing w:line="500" w:lineRule="exact"/>
        <w:ind w:firstLine="480" w:firstLineChars="200"/>
        <w:rPr>
          <w:rFonts w:hAnsi="宋体" w:cs="宋体"/>
          <w:sz w:val="24"/>
          <w:u w:val="single"/>
        </w:rPr>
      </w:pPr>
      <w:r>
        <w:rPr>
          <w:rFonts w:hint="eastAsia" w:hAnsi="宋体" w:cs="宋体"/>
          <w:sz w:val="24"/>
        </w:rPr>
        <w:t xml:space="preserve">联系地址：  </w:t>
      </w:r>
      <w:r>
        <w:rPr>
          <w:rFonts w:hint="eastAsia" w:hAnsi="宋体" w:cs="宋体"/>
          <w:sz w:val="28"/>
          <w:szCs w:val="28"/>
        </w:rPr>
        <w:t>________________</w:t>
      </w:r>
    </w:p>
    <w:p>
      <w:pPr>
        <w:pStyle w:val="19"/>
        <w:spacing w:line="500" w:lineRule="exact"/>
        <w:ind w:firstLine="480" w:firstLineChars="200"/>
        <w:rPr>
          <w:rFonts w:hAnsi="宋体" w:cs="宋体"/>
          <w:sz w:val="24"/>
          <w:u w:val="single"/>
        </w:rPr>
      </w:pPr>
      <w:r>
        <w:rPr>
          <w:rFonts w:hint="eastAsia" w:hAnsi="宋体" w:cs="宋体"/>
          <w:sz w:val="24"/>
        </w:rPr>
        <w:t>联系电话：</w:t>
      </w:r>
      <w:r>
        <w:rPr>
          <w:rFonts w:hint="eastAsia" w:hAnsi="宋体" w:cs="宋体"/>
          <w:sz w:val="28"/>
          <w:szCs w:val="28"/>
        </w:rPr>
        <w:t>________________</w:t>
      </w:r>
    </w:p>
    <w:p>
      <w:pPr>
        <w:pStyle w:val="19"/>
        <w:spacing w:line="500" w:lineRule="exact"/>
        <w:ind w:firstLine="480" w:firstLineChars="200"/>
        <w:rPr>
          <w:rFonts w:hAnsi="宋体" w:cs="宋体"/>
          <w:sz w:val="24"/>
        </w:rPr>
      </w:pPr>
      <w:r>
        <w:rPr>
          <w:rFonts w:hint="eastAsia" w:hAnsi="宋体" w:cs="宋体"/>
          <w:sz w:val="24"/>
        </w:rPr>
        <w:t>法定代表人及被授权人身份证复印件或扫描件</w:t>
      </w:r>
    </w:p>
    <w:tbl>
      <w:tblPr>
        <w:tblStyle w:val="35"/>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9"/>
              <w:spacing w:line="500" w:lineRule="exact"/>
              <w:rPr>
                <w:rFonts w:hAnsi="宋体" w:cs="宋体"/>
                <w:sz w:val="24"/>
                <w:shd w:val="pct10" w:color="auto" w:fill="FFFFFF"/>
              </w:rPr>
            </w:pPr>
            <w:r>
              <w:rPr>
                <w:rFonts w:hint="eastAsia" w:hAnsi="宋体" w:cs="宋体"/>
                <w:sz w:val="24"/>
                <w:shd w:val="pct10" w:color="auto" w:fill="FFFFFF"/>
              </w:rPr>
              <w:t>法定代表人身份证复印件（正反面）</w:t>
            </w:r>
          </w:p>
          <w:p>
            <w:pPr>
              <w:pStyle w:val="19"/>
              <w:spacing w:line="500" w:lineRule="exact"/>
              <w:rPr>
                <w:rFonts w:hAnsi="宋体" w:cs="宋体"/>
                <w:sz w:val="24"/>
                <w:shd w:val="pct10" w:color="auto" w:fill="FFFFFF"/>
              </w:rPr>
            </w:pPr>
          </w:p>
        </w:tc>
        <w:tc>
          <w:tcPr>
            <w:tcW w:w="4546" w:type="dxa"/>
            <w:shd w:val="clear" w:color="auto" w:fill="D9D9D9"/>
            <w:vAlign w:val="center"/>
          </w:tcPr>
          <w:p>
            <w:pPr>
              <w:pStyle w:val="19"/>
              <w:spacing w:line="500" w:lineRule="exact"/>
              <w:ind w:firstLine="480" w:firstLineChars="200"/>
              <w:rPr>
                <w:rFonts w:hAnsi="宋体" w:cs="宋体"/>
                <w:sz w:val="24"/>
                <w:shd w:val="pct10" w:color="auto" w:fill="FFFFFF"/>
              </w:rPr>
            </w:pPr>
            <w:r>
              <w:rPr>
                <w:rFonts w:hint="eastAsia" w:hAnsi="宋体" w:cs="宋体"/>
                <w:sz w:val="24"/>
                <w:shd w:val="pct10" w:color="auto" w:fill="FFFFFF"/>
              </w:rPr>
              <w:t>被授权人身份证复印件（正反面）</w:t>
            </w:r>
          </w:p>
          <w:p>
            <w:pPr>
              <w:pStyle w:val="19"/>
              <w:spacing w:line="500" w:lineRule="exact"/>
              <w:ind w:firstLine="480" w:firstLineChars="200"/>
              <w:rPr>
                <w:rFonts w:hAnsi="宋体" w:cs="宋体"/>
                <w:sz w:val="24"/>
                <w:shd w:val="pct10" w:color="auto" w:fill="FFFFFF"/>
              </w:rPr>
            </w:pPr>
          </w:p>
        </w:tc>
      </w:tr>
    </w:tbl>
    <w:p>
      <w:pPr>
        <w:pStyle w:val="4"/>
        <w:spacing w:before="319" w:beforeLines="100" w:after="478" w:afterLines="150" w:line="500" w:lineRule="exact"/>
        <w:ind w:firstLine="720"/>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bookmarkStart w:id="94" w:name="_Toc9172"/>
      <w:bookmarkStart w:id="95" w:name="_Toc12851"/>
    </w:p>
    <w:bookmarkEnd w:id="94"/>
    <w:bookmarkEnd w:id="95"/>
    <w:p>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8、本项目为专门面向中小企业采购项目，供应商应出具中小企业声明函；</w:t>
      </w:r>
    </w:p>
    <w:p>
      <w:pPr>
        <w:spacing w:line="360" w:lineRule="auto"/>
        <w:jc w:val="center"/>
        <w:outlineLvl w:val="9"/>
        <w:rPr>
          <w:rFonts w:ascii="宋体" w:hAnsi="宋体" w:cs="宋体"/>
          <w:sz w:val="21"/>
          <w:szCs w:val="21"/>
        </w:rPr>
      </w:pPr>
      <w:r>
        <w:rPr>
          <w:rFonts w:hint="eastAsia" w:ascii="宋体" w:hAnsi="宋体" w:cs="宋体"/>
          <w:b/>
          <w:bCs/>
          <w:kern w:val="0"/>
          <w:sz w:val="24"/>
          <w:szCs w:val="24"/>
        </w:rPr>
        <w:t>中</w:t>
      </w:r>
      <w:r>
        <w:rPr>
          <w:rFonts w:hint="eastAsia" w:ascii="宋体" w:hAnsi="宋体"/>
          <w:b/>
          <w:bCs/>
          <w:sz w:val="24"/>
          <w:szCs w:val="15"/>
        </w:rPr>
        <w:t>小企业声明函（服务）</w:t>
      </w:r>
    </w:p>
    <w:p>
      <w:pPr>
        <w:spacing w:line="360" w:lineRule="auto"/>
        <w:ind w:firstLine="444" w:firstLineChars="200"/>
        <w:rPr>
          <w:rFonts w:ascii="宋体" w:hAnsi="宋体" w:cs="宋体"/>
          <w:spacing w:val="6"/>
          <w:sz w:val="21"/>
          <w:szCs w:val="21"/>
        </w:rPr>
      </w:pPr>
      <w:r>
        <w:rPr>
          <w:rFonts w:hint="eastAsia" w:ascii="宋体" w:hAnsi="宋体" w:cs="宋体"/>
          <w:spacing w:val="6"/>
          <w:sz w:val="21"/>
          <w:szCs w:val="21"/>
        </w:rPr>
        <w:t>根据《政府采购促进中小企业发展管理办法》（财库﹝2020﹞46 号）的规定，由供应商自行声明并对真实性负责。如有虚假，将依法承担相应责任。</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本公司（联合体）郑重声明，根据《政府采购促进中小企业发展管理办法》（财库﹝2020﹞46 号）的规定，本公司（联合体）参加</w:t>
      </w:r>
      <w:r>
        <w:rPr>
          <w:rFonts w:hint="eastAsia" w:ascii="宋体" w:hAnsi="宋体" w:cs="宋体"/>
          <w:sz w:val="21"/>
          <w:szCs w:val="13"/>
          <w:u w:val="single"/>
        </w:rPr>
        <w:t>（单位名称）</w:t>
      </w:r>
      <w:r>
        <w:rPr>
          <w:rFonts w:hint="eastAsia" w:ascii="宋体" w:hAnsi="宋体" w:cs="宋体"/>
          <w:sz w:val="21"/>
          <w:szCs w:val="13"/>
        </w:rPr>
        <w:t>的</w:t>
      </w:r>
      <w:r>
        <w:rPr>
          <w:rFonts w:hint="eastAsia" w:ascii="宋体" w:hAnsi="宋体" w:cs="宋体"/>
          <w:sz w:val="21"/>
          <w:szCs w:val="13"/>
          <w:u w:val="single"/>
        </w:rPr>
        <w:t>（项目名称</w:t>
      </w:r>
      <w:r>
        <w:rPr>
          <w:rFonts w:hint="eastAsia" w:ascii="宋体" w:hAnsi="宋体" w:cs="宋体"/>
          <w:sz w:val="21"/>
          <w:szCs w:val="13"/>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1.</w:t>
      </w:r>
      <w:r>
        <w:rPr>
          <w:rFonts w:hint="eastAsia" w:ascii="宋体" w:hAnsi="宋体" w:cs="宋体"/>
          <w:sz w:val="21"/>
          <w:szCs w:val="13"/>
          <w:u w:val="single"/>
        </w:rPr>
        <w:t>（标的名称）</w:t>
      </w:r>
      <w:r>
        <w:rPr>
          <w:rFonts w:hint="eastAsia" w:ascii="宋体" w:hAnsi="宋体" w:cs="宋体"/>
          <w:sz w:val="21"/>
          <w:szCs w:val="13"/>
        </w:rPr>
        <w:t xml:space="preserve"> ，属于</w:t>
      </w:r>
      <w:r>
        <w:rPr>
          <w:rFonts w:hint="eastAsia" w:ascii="宋体" w:hAnsi="宋体" w:cs="宋体"/>
          <w:sz w:val="21"/>
          <w:szCs w:val="13"/>
          <w:u w:val="single"/>
        </w:rPr>
        <w:t>（采购文件中明确的所属行业）</w:t>
      </w:r>
      <w:r>
        <w:rPr>
          <w:rFonts w:hint="eastAsia" w:ascii="宋体" w:hAnsi="宋体" w:cs="宋体"/>
          <w:sz w:val="21"/>
          <w:szCs w:val="13"/>
        </w:rPr>
        <w:t>；承建（承接）企业为</w:t>
      </w:r>
      <w:r>
        <w:rPr>
          <w:rFonts w:hint="eastAsia" w:ascii="宋体" w:hAnsi="宋体" w:cs="宋体"/>
          <w:sz w:val="21"/>
          <w:szCs w:val="13"/>
          <w:u w:val="single"/>
        </w:rPr>
        <w:t>（企业名称）</w:t>
      </w:r>
      <w:r>
        <w:rPr>
          <w:rFonts w:hint="eastAsia" w:ascii="宋体" w:hAnsi="宋体" w:cs="宋体"/>
          <w:sz w:val="21"/>
          <w:szCs w:val="13"/>
        </w:rPr>
        <w:t>，从业人员</w:t>
      </w:r>
      <w:r>
        <w:rPr>
          <w:rFonts w:hint="eastAsia" w:ascii="宋体" w:hAnsi="宋体" w:cs="宋体"/>
          <w:sz w:val="21"/>
          <w:szCs w:val="13"/>
          <w:u w:val="single"/>
        </w:rPr>
        <w:t xml:space="preserve">    </w:t>
      </w:r>
      <w:r>
        <w:rPr>
          <w:rFonts w:hint="eastAsia" w:ascii="宋体" w:hAnsi="宋体" w:cs="宋体"/>
          <w:sz w:val="21"/>
          <w:szCs w:val="13"/>
        </w:rPr>
        <w:t>人，营业收入为</w:t>
      </w:r>
      <w:r>
        <w:rPr>
          <w:rFonts w:hint="eastAsia" w:ascii="宋体" w:hAnsi="宋体" w:cs="宋体"/>
          <w:sz w:val="21"/>
          <w:szCs w:val="13"/>
          <w:u w:val="single"/>
        </w:rPr>
        <w:t xml:space="preserve">    </w:t>
      </w:r>
      <w:r>
        <w:rPr>
          <w:rFonts w:hint="eastAsia" w:ascii="宋体" w:hAnsi="宋体" w:cs="宋体"/>
          <w:sz w:val="21"/>
          <w:szCs w:val="13"/>
        </w:rPr>
        <w:t>万元，资产总额为</w:t>
      </w:r>
      <w:r>
        <w:rPr>
          <w:rFonts w:hint="eastAsia" w:ascii="宋体" w:hAnsi="宋体" w:cs="宋体"/>
          <w:sz w:val="21"/>
          <w:szCs w:val="13"/>
          <w:u w:val="single"/>
        </w:rPr>
        <w:t xml:space="preserve">   </w:t>
      </w:r>
      <w:r>
        <w:rPr>
          <w:rFonts w:hint="eastAsia" w:ascii="宋体" w:hAnsi="宋体" w:cs="宋体"/>
          <w:sz w:val="21"/>
          <w:szCs w:val="13"/>
        </w:rPr>
        <w:t>万元，属于</w:t>
      </w:r>
      <w:r>
        <w:rPr>
          <w:rFonts w:hint="eastAsia" w:ascii="宋体" w:hAnsi="宋体" w:cs="宋体"/>
          <w:sz w:val="21"/>
          <w:szCs w:val="13"/>
          <w:u w:val="single"/>
        </w:rPr>
        <w:t>（中型企业、小型企业、微型企业）</w:t>
      </w:r>
      <w:r>
        <w:rPr>
          <w:rFonts w:hint="eastAsia" w:ascii="宋体" w:hAnsi="宋体" w:cs="宋体"/>
          <w:sz w:val="21"/>
          <w:szCs w:val="13"/>
        </w:rPr>
        <w:t>；</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2.</w:t>
      </w:r>
      <w:r>
        <w:rPr>
          <w:rFonts w:hint="eastAsia" w:ascii="宋体" w:hAnsi="宋体" w:cs="宋体"/>
          <w:sz w:val="21"/>
          <w:szCs w:val="13"/>
          <w:u w:val="single"/>
        </w:rPr>
        <w:t>（标的名称）</w:t>
      </w:r>
      <w:r>
        <w:rPr>
          <w:rFonts w:hint="eastAsia" w:ascii="宋体" w:hAnsi="宋体" w:cs="宋体"/>
          <w:sz w:val="21"/>
          <w:szCs w:val="13"/>
        </w:rPr>
        <w:t xml:space="preserve"> ，属于</w:t>
      </w:r>
      <w:r>
        <w:rPr>
          <w:rFonts w:hint="eastAsia" w:ascii="宋体" w:hAnsi="宋体" w:cs="宋体"/>
          <w:sz w:val="21"/>
          <w:szCs w:val="13"/>
          <w:u w:val="single"/>
        </w:rPr>
        <w:t>（采购文件中明确的所属行业）</w:t>
      </w:r>
      <w:r>
        <w:rPr>
          <w:rFonts w:hint="eastAsia" w:ascii="宋体" w:hAnsi="宋体" w:cs="宋体"/>
          <w:sz w:val="21"/>
          <w:szCs w:val="13"/>
        </w:rPr>
        <w:t>；承建（承接）企业为</w:t>
      </w:r>
      <w:r>
        <w:rPr>
          <w:rFonts w:hint="eastAsia" w:ascii="宋体" w:hAnsi="宋体" w:cs="宋体"/>
          <w:sz w:val="21"/>
          <w:szCs w:val="13"/>
          <w:u w:val="single"/>
        </w:rPr>
        <w:t>（企业名称）</w:t>
      </w:r>
      <w:r>
        <w:rPr>
          <w:rFonts w:hint="eastAsia" w:ascii="宋体" w:hAnsi="宋体" w:cs="宋体"/>
          <w:sz w:val="21"/>
          <w:szCs w:val="13"/>
        </w:rPr>
        <w:t>，从业人员</w:t>
      </w:r>
      <w:r>
        <w:rPr>
          <w:rFonts w:hint="eastAsia" w:ascii="宋体" w:hAnsi="宋体" w:cs="宋体"/>
          <w:sz w:val="21"/>
          <w:szCs w:val="13"/>
          <w:u w:val="single"/>
        </w:rPr>
        <w:t xml:space="preserve">    </w:t>
      </w:r>
      <w:r>
        <w:rPr>
          <w:rFonts w:hint="eastAsia" w:ascii="宋体" w:hAnsi="宋体" w:cs="宋体"/>
          <w:sz w:val="21"/>
          <w:szCs w:val="13"/>
        </w:rPr>
        <w:t>人，营业收入为</w:t>
      </w:r>
      <w:r>
        <w:rPr>
          <w:rFonts w:hint="eastAsia" w:ascii="宋体" w:hAnsi="宋体" w:cs="宋体"/>
          <w:sz w:val="21"/>
          <w:szCs w:val="13"/>
          <w:u w:val="single"/>
        </w:rPr>
        <w:t xml:space="preserve">    </w:t>
      </w:r>
      <w:r>
        <w:rPr>
          <w:rFonts w:hint="eastAsia" w:ascii="宋体" w:hAnsi="宋体" w:cs="宋体"/>
          <w:sz w:val="21"/>
          <w:szCs w:val="13"/>
        </w:rPr>
        <w:t>万元，资产总额为</w:t>
      </w:r>
      <w:r>
        <w:rPr>
          <w:rFonts w:hint="eastAsia" w:ascii="宋体" w:hAnsi="宋体" w:cs="宋体"/>
          <w:sz w:val="21"/>
          <w:szCs w:val="13"/>
          <w:u w:val="single"/>
        </w:rPr>
        <w:t xml:space="preserve">   </w:t>
      </w:r>
      <w:r>
        <w:rPr>
          <w:rFonts w:hint="eastAsia" w:ascii="宋体" w:hAnsi="宋体" w:cs="宋体"/>
          <w:sz w:val="21"/>
          <w:szCs w:val="13"/>
        </w:rPr>
        <w:t>万元，属于</w:t>
      </w:r>
      <w:r>
        <w:rPr>
          <w:rFonts w:hint="eastAsia" w:ascii="宋体" w:hAnsi="宋体" w:cs="宋体"/>
          <w:sz w:val="21"/>
          <w:szCs w:val="13"/>
          <w:u w:val="single"/>
        </w:rPr>
        <w:t>（中型企业、小型企业、微型企业）</w:t>
      </w:r>
      <w:r>
        <w:rPr>
          <w:rFonts w:hint="eastAsia" w:ascii="宋体" w:hAnsi="宋体" w:cs="宋体"/>
          <w:sz w:val="21"/>
          <w:szCs w:val="13"/>
        </w:rPr>
        <w:t>；</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本企业对上述声明内容的真实性负责。如有虚假，将依法承担相应责任。</w:t>
      </w:r>
    </w:p>
    <w:p>
      <w:pPr>
        <w:widowControl/>
        <w:spacing w:line="360" w:lineRule="auto"/>
        <w:ind w:firstLine="420" w:firstLineChars="200"/>
        <w:jc w:val="center"/>
        <w:rPr>
          <w:rFonts w:hint="eastAsia" w:ascii="宋体" w:hAnsi="宋体" w:cs="宋体"/>
          <w:sz w:val="21"/>
          <w:szCs w:val="13"/>
        </w:rPr>
      </w:pPr>
      <w:r>
        <w:rPr>
          <w:rFonts w:hint="eastAsia" w:ascii="宋体" w:hAnsi="宋体" w:cs="宋体"/>
          <w:sz w:val="21"/>
          <w:szCs w:val="13"/>
        </w:rPr>
        <w:t xml:space="preserve">                         企业名称（盖章）：</w:t>
      </w:r>
    </w:p>
    <w:p>
      <w:pPr>
        <w:adjustRightInd w:val="0"/>
        <w:spacing w:line="360" w:lineRule="auto"/>
        <w:jc w:val="center"/>
        <w:textAlignment w:val="baseline"/>
        <w:rPr>
          <w:sz w:val="16"/>
          <w:szCs w:val="18"/>
        </w:rPr>
      </w:pPr>
      <w:r>
        <w:rPr>
          <w:rFonts w:hint="eastAsia" w:ascii="宋体" w:hAnsi="宋体" w:cs="宋体"/>
          <w:sz w:val="21"/>
          <w:szCs w:val="13"/>
        </w:rPr>
        <w:t xml:space="preserve">                                         日期：</w:t>
      </w:r>
    </w:p>
    <w:p>
      <w:pPr>
        <w:spacing w:line="360" w:lineRule="auto"/>
        <w:rPr>
          <w:rFonts w:eastAsia="Times New Roman"/>
          <w:sz w:val="21"/>
          <w:szCs w:val="21"/>
          <w:vertAlign w:val="superscript"/>
        </w:rPr>
      </w:pPr>
    </w:p>
    <w:p>
      <w:pPr>
        <w:spacing w:line="360" w:lineRule="auto"/>
        <w:rPr>
          <w:rFonts w:ascii="宋体" w:hAnsi="宋体"/>
          <w:sz w:val="18"/>
        </w:rPr>
      </w:pPr>
      <w:r>
        <w:rPr>
          <w:rFonts w:ascii="仿宋" w:hAnsi="仿宋" w:eastAsia="仿宋"/>
          <w:sz w:val="24"/>
          <w:szCs w:val="21"/>
        </w:rPr>
        <w:drawing>
          <wp:anchor distT="0" distB="0" distL="114300" distR="114300" simplePos="0" relativeHeight="251663360"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828800" cy="12700"/>
                    </a:xfrm>
                    <a:prstGeom prst="rect">
                      <a:avLst/>
                    </a:prstGeom>
                    <a:noFill/>
                    <a:ln>
                      <a:noFill/>
                    </a:ln>
                  </pic:spPr>
                </pic:pic>
              </a:graphicData>
            </a:graphic>
          </wp:anchor>
        </w:drawing>
      </w:r>
      <w:r>
        <w:rPr>
          <w:rFonts w:eastAsia="Times New Roman"/>
          <w:sz w:val="21"/>
          <w:szCs w:val="21"/>
          <w:vertAlign w:val="superscript"/>
        </w:rPr>
        <w:t>1</w:t>
      </w:r>
      <w:r>
        <w:rPr>
          <w:rFonts w:ascii="宋体" w:hAnsi="宋体"/>
          <w:sz w:val="15"/>
          <w:szCs w:val="21"/>
        </w:rPr>
        <w:t>从业人员、营业收入、资产总额填报上一年度数据，无上一年度数据的新成立企业可不填报。</w:t>
      </w:r>
    </w:p>
    <w:p>
      <w:pPr>
        <w:spacing w:line="360" w:lineRule="auto"/>
        <w:ind w:left="840"/>
        <w:jc w:val="center"/>
        <w:rPr>
          <w:rFonts w:hint="eastAsia" w:ascii="宋体" w:hAnsi="宋体" w:cs="宋体"/>
          <w:sz w:val="32"/>
          <w:szCs w:val="32"/>
          <w:lang w:val="en-US" w:eastAsia="zh-CN"/>
        </w:rPr>
        <w:sectPr>
          <w:footerReference r:id="rId17" w:type="default"/>
          <w:pgSz w:w="11906" w:h="16838"/>
          <w:pgMar w:top="1440" w:right="1803" w:bottom="1440" w:left="1803" w:header="851" w:footer="992" w:gutter="0"/>
          <w:pgNumType w:fmt="decimal"/>
          <w:cols w:space="720" w:num="1"/>
          <w:docGrid w:type="lines" w:linePitch="319" w:charSpace="0"/>
        </w:sectPr>
      </w:pPr>
    </w:p>
    <w:p>
      <w:pPr>
        <w:spacing w:line="360" w:lineRule="auto"/>
        <w:ind w:left="840"/>
        <w:jc w:val="center"/>
        <w:rPr>
          <w:rFonts w:ascii="宋体" w:hAnsi="宋体" w:cs="宋体"/>
          <w:sz w:val="32"/>
          <w:szCs w:val="32"/>
        </w:rPr>
      </w:pPr>
      <w:r>
        <w:rPr>
          <w:rFonts w:hint="eastAsia" w:ascii="宋体" w:hAnsi="宋体" w:cs="宋体"/>
          <w:sz w:val="32"/>
          <w:szCs w:val="32"/>
          <w:lang w:val="en-US" w:eastAsia="zh-CN"/>
        </w:rPr>
        <w:t>9</w:t>
      </w:r>
      <w:r>
        <w:rPr>
          <w:rFonts w:hint="eastAsia" w:ascii="宋体" w:hAnsi="宋体" w:cs="宋体"/>
          <w:sz w:val="32"/>
          <w:szCs w:val="32"/>
        </w:rPr>
        <w:t>、本项目不接受联合体</w:t>
      </w:r>
    </w:p>
    <w:p>
      <w:pPr>
        <w:pStyle w:val="12"/>
        <w:ind w:left="480" w:leftChars="200" w:firstLine="0"/>
        <w:rPr>
          <w:rFonts w:ascii="宋体" w:hAnsi="宋体" w:cs="宋体"/>
        </w:rPr>
      </w:pPr>
    </w:p>
    <w:p>
      <w:pPr>
        <w:pStyle w:val="34"/>
        <w:ind w:left="480"/>
        <w:rPr>
          <w:rFonts w:ascii="宋体" w:hAnsi="宋体" w:cs="宋体"/>
        </w:rPr>
      </w:pPr>
    </w:p>
    <w:p>
      <w:pPr>
        <w:snapToGrid w:val="0"/>
        <w:spacing w:line="480" w:lineRule="auto"/>
        <w:rPr>
          <w:rFonts w:ascii="宋体" w:hAnsi="宋体" w:cs="宋体"/>
        </w:rPr>
      </w:pPr>
      <w:r>
        <w:rPr>
          <w:rFonts w:hint="eastAsia" w:ascii="宋体" w:hAnsi="宋体" w:cs="宋体"/>
        </w:rPr>
        <w:t>(采购人名称）_______________________：</w:t>
      </w:r>
    </w:p>
    <w:p>
      <w:pPr>
        <w:spacing w:line="360" w:lineRule="auto"/>
        <w:ind w:firstLine="480"/>
        <w:rPr>
          <w:rFonts w:ascii="宋体" w:hAnsi="宋体" w:cs="宋体"/>
        </w:rPr>
      </w:pPr>
      <w:r>
        <w:rPr>
          <w:rFonts w:hint="eastAsia" w:ascii="宋体" w:hAnsi="宋体" w:cs="宋体"/>
        </w:rPr>
        <w:t>我单位参与陕西卓佲项目管理有限公司组织的____________________(项目名称)，我单位郑重声明：我方非联合体，如有虚假，承担相应责任。</w:t>
      </w:r>
    </w:p>
    <w:p>
      <w:pPr>
        <w:spacing w:line="360" w:lineRule="auto"/>
        <w:ind w:firstLine="480"/>
        <w:rPr>
          <w:rFonts w:ascii="宋体" w:hAnsi="宋体" w:cs="宋体"/>
        </w:rPr>
      </w:pPr>
      <w:r>
        <w:rPr>
          <w:rFonts w:hint="eastAsia" w:ascii="宋体" w:hAnsi="宋体" w:cs="宋体"/>
        </w:rPr>
        <w:t>特此声明！</w:t>
      </w:r>
    </w:p>
    <w:p>
      <w:pPr>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2"/>
        <w:rPr>
          <w:rFonts w:ascii="宋体" w:hAnsi="宋体" w:cs="宋体"/>
        </w:rPr>
      </w:pPr>
    </w:p>
    <w:p>
      <w:pPr>
        <w:pStyle w:val="19"/>
        <w:spacing w:line="480" w:lineRule="auto"/>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9"/>
        <w:spacing w:line="480" w:lineRule="auto"/>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rPr>
      </w:pPr>
      <w:r>
        <w:rPr>
          <w:rFonts w:hint="eastAsia" w:ascii="宋体" w:hAnsi="宋体" w:cs="宋体"/>
        </w:rPr>
        <w:t>日    期：</w:t>
      </w:r>
      <w:r>
        <w:rPr>
          <w:rFonts w:hint="eastAsia" w:ascii="宋体" w:hAnsi="宋体" w:cs="宋体"/>
          <w:sz w:val="28"/>
          <w:szCs w:val="28"/>
        </w:rPr>
        <w:t>______________________</w:t>
      </w:r>
    </w:p>
    <w:p>
      <w:pPr>
        <w:pStyle w:val="4"/>
        <w:tabs>
          <w:tab w:val="left" w:pos="2096"/>
          <w:tab w:val="center" w:pos="5024"/>
        </w:tabs>
        <w:spacing w:before="319" w:beforeLines="100" w:after="478" w:afterLines="150" w:line="500" w:lineRule="exact"/>
        <w:ind w:firstLine="1080" w:firstLineChars="300"/>
        <w:rPr>
          <w:rFonts w:ascii="宋体" w:hAnsi="宋体" w:cs="宋体"/>
          <w:sz w:val="36"/>
          <w:szCs w:val="36"/>
        </w:rPr>
        <w:sectPr>
          <w:pgSz w:w="11906" w:h="16838"/>
          <w:pgMar w:top="1440" w:right="1803" w:bottom="1440" w:left="1803" w:header="851" w:footer="992" w:gutter="0"/>
          <w:pgNumType w:fmt="decimal"/>
          <w:cols w:space="720" w:num="1"/>
          <w:docGrid w:type="lines" w:linePitch="319" w:charSpace="0"/>
        </w:sectPr>
      </w:pPr>
    </w:p>
    <w:p>
      <w:pPr>
        <w:pStyle w:val="113"/>
        <w:spacing w:before="197" w:after="197"/>
        <w:ind w:firstLine="659"/>
        <w:jc w:val="center"/>
        <w:rPr>
          <w:rFonts w:eastAsia="宋体"/>
        </w:rPr>
      </w:pPr>
      <w:bookmarkStart w:id="96" w:name="_Toc15409"/>
      <w:r>
        <w:rPr>
          <w:rFonts w:hint="eastAsia" w:ascii="宋体" w:hAnsi="宋体" w:eastAsia="宋体" w:cs="宋体"/>
          <w:color w:val="000000" w:themeColor="text1"/>
          <w14:textFill>
            <w14:solidFill>
              <w14:schemeClr w14:val="tx1"/>
            </w14:solidFill>
          </w14:textFill>
        </w:rPr>
        <w:t xml:space="preserve">第四部分  </w:t>
      </w:r>
      <w:r>
        <w:rPr>
          <w:rFonts w:hint="eastAsia" w:eastAsia="宋体"/>
        </w:rPr>
        <w:t>供应商概况</w:t>
      </w:r>
      <w:bookmarkEnd w:id="96"/>
    </w:p>
    <w:tbl>
      <w:tblPr>
        <w:tblStyle w:val="10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供应商全称</w:t>
            </w: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注册地址</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成立时间</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统一社会信用代码</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单位性质</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法定代表人</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（主要负责人）</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所属行业</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基本存款账户</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开户银行</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基本存款</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账户账号</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上年度</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营业收入*</w:t>
            </w: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资产总额</w:t>
            </w: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经营范围</w:t>
            </w: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资质证书名称</w:t>
            </w:r>
          </w:p>
        </w:tc>
        <w:tc>
          <w:tcPr>
            <w:tcW w:w="2416" w:type="dxa"/>
            <w:gridSpan w:val="2"/>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证书号</w:t>
            </w:r>
          </w:p>
        </w:tc>
        <w:tc>
          <w:tcPr>
            <w:tcW w:w="1411"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等级</w:t>
            </w:r>
          </w:p>
        </w:tc>
        <w:tc>
          <w:tcPr>
            <w:tcW w:w="2929" w:type="dxa"/>
            <w:gridSpan w:val="2"/>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2416" w:type="dxa"/>
            <w:gridSpan w:val="2"/>
          </w:tcPr>
          <w:p>
            <w:pPr>
              <w:ind w:firstLine="0"/>
              <w:jc w:val="both"/>
              <w:rPr>
                <w:rFonts w:ascii="宋体" w:hAnsi="宋体" w:eastAsia="宋体" w:cs="宋体"/>
                <w:kern w:val="2"/>
                <w:sz w:val="28"/>
                <w:szCs w:val="28"/>
              </w:rPr>
            </w:pPr>
          </w:p>
        </w:tc>
        <w:tc>
          <w:tcPr>
            <w:tcW w:w="1411" w:type="dxa"/>
          </w:tcPr>
          <w:p>
            <w:pPr>
              <w:ind w:firstLine="0"/>
              <w:jc w:val="both"/>
              <w:rPr>
                <w:rFonts w:ascii="宋体" w:hAnsi="宋体" w:eastAsia="宋体" w:cs="宋体"/>
                <w:kern w:val="2"/>
                <w:sz w:val="28"/>
                <w:szCs w:val="28"/>
              </w:rPr>
            </w:pPr>
          </w:p>
        </w:tc>
        <w:tc>
          <w:tcPr>
            <w:tcW w:w="2929" w:type="dxa"/>
            <w:gridSpan w:val="2"/>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从业人员总数</w:t>
            </w:r>
          </w:p>
        </w:tc>
        <w:tc>
          <w:tcPr>
            <w:tcW w:w="992" w:type="dxa"/>
            <w:vMerge w:val="restart"/>
          </w:tcPr>
          <w:p>
            <w:pPr>
              <w:ind w:firstLine="0"/>
              <w:jc w:val="both"/>
              <w:rPr>
                <w:rFonts w:ascii="宋体" w:hAnsi="宋体" w:eastAsia="宋体" w:cs="宋体"/>
                <w:kern w:val="2"/>
                <w:sz w:val="28"/>
                <w:szCs w:val="28"/>
              </w:rPr>
            </w:pPr>
          </w:p>
        </w:tc>
        <w:tc>
          <w:tcPr>
            <w:tcW w:w="142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管理人员</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ascii="宋体" w:hAnsi="宋体" w:eastAsia="宋体" w:cs="宋体"/>
                <w:kern w:val="2"/>
                <w:sz w:val="28"/>
                <w:szCs w:val="28"/>
              </w:rPr>
            </w:pPr>
          </w:p>
        </w:tc>
        <w:tc>
          <w:tcPr>
            <w:tcW w:w="146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专业技术</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人员数量</w:t>
            </w:r>
          </w:p>
        </w:tc>
        <w:tc>
          <w:tcPr>
            <w:tcW w:w="1465" w:type="dxa"/>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宋体" w:hAnsi="宋体" w:eastAsia="宋体" w:cs="宋体"/>
                <w:kern w:val="2"/>
                <w:sz w:val="28"/>
                <w:szCs w:val="28"/>
              </w:rPr>
            </w:pPr>
          </w:p>
        </w:tc>
        <w:tc>
          <w:tcPr>
            <w:tcW w:w="992" w:type="dxa"/>
            <w:vMerge w:val="continue"/>
          </w:tcPr>
          <w:p>
            <w:pPr>
              <w:ind w:firstLine="0"/>
              <w:jc w:val="both"/>
              <w:rPr>
                <w:rFonts w:ascii="宋体" w:hAnsi="宋体" w:eastAsia="宋体" w:cs="宋体"/>
                <w:kern w:val="2"/>
                <w:sz w:val="28"/>
                <w:szCs w:val="28"/>
              </w:rPr>
            </w:pPr>
          </w:p>
        </w:tc>
        <w:tc>
          <w:tcPr>
            <w:tcW w:w="142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残疾人</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11" w:type="dxa"/>
          </w:tcPr>
          <w:p>
            <w:pPr>
              <w:ind w:firstLine="0"/>
              <w:jc w:val="both"/>
              <w:rPr>
                <w:rFonts w:ascii="宋体" w:hAnsi="宋体" w:eastAsia="宋体" w:cs="宋体"/>
                <w:kern w:val="2"/>
                <w:sz w:val="28"/>
                <w:szCs w:val="28"/>
              </w:rPr>
            </w:pPr>
          </w:p>
        </w:tc>
        <w:tc>
          <w:tcPr>
            <w:tcW w:w="1464"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少数民族</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数量</w:t>
            </w:r>
          </w:p>
        </w:tc>
        <w:tc>
          <w:tcPr>
            <w:tcW w:w="1465" w:type="dxa"/>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关系</w:t>
            </w:r>
          </w:p>
        </w:tc>
        <w:tc>
          <w:tcPr>
            <w:tcW w:w="6756" w:type="dxa"/>
            <w:gridSpan w:val="5"/>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p>
        </w:tc>
        <w:tc>
          <w:tcPr>
            <w:tcW w:w="6756" w:type="dxa"/>
            <w:gridSpan w:val="5"/>
          </w:tcPr>
          <w:p>
            <w:pPr>
              <w:ind w:firstLine="0"/>
              <w:jc w:val="both"/>
              <w:rPr>
                <w:rFonts w:ascii="宋体" w:hAnsi="宋体" w:eastAsia="宋体" w:cs="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说明</w:t>
            </w:r>
          </w:p>
        </w:tc>
        <w:tc>
          <w:tcPr>
            <w:tcW w:w="6756" w:type="dxa"/>
            <w:gridSpan w:val="5"/>
          </w:tcPr>
          <w:p>
            <w:pPr>
              <w:ind w:firstLine="0"/>
              <w:jc w:val="both"/>
              <w:rPr>
                <w:rFonts w:ascii="宋体" w:hAnsi="宋体" w:eastAsia="宋体" w:cs="宋体"/>
                <w:kern w:val="2"/>
                <w:sz w:val="28"/>
                <w:szCs w:val="28"/>
              </w:rPr>
            </w:pPr>
            <w:r>
              <w:rPr>
                <w:rFonts w:hint="eastAsia" w:ascii="宋体" w:hAnsi="宋体" w:eastAsia="宋体" w:cs="宋体"/>
                <w:kern w:val="2"/>
                <w:sz w:val="28"/>
                <w:szCs w:val="28"/>
              </w:rPr>
              <w:t>1.成立时间至提交投标文件截止时间不足一年的可不填写“上年度营业收入”；</w:t>
            </w:r>
          </w:p>
          <w:p>
            <w:pPr>
              <w:ind w:firstLine="0"/>
              <w:jc w:val="both"/>
              <w:rPr>
                <w:rFonts w:ascii="宋体" w:hAnsi="宋体" w:eastAsia="宋体" w:cs="宋体"/>
                <w:kern w:val="2"/>
                <w:sz w:val="28"/>
                <w:szCs w:val="28"/>
              </w:rPr>
            </w:pPr>
            <w:r>
              <w:rPr>
                <w:rFonts w:hint="eastAsia" w:ascii="宋体" w:hAnsi="宋体" w:eastAsia="宋体" w:cs="宋体"/>
                <w:kern w:val="2"/>
                <w:sz w:val="28"/>
                <w:szCs w:val="28"/>
              </w:rPr>
              <w:t>2.表格空间不足时，请自行扩展。</w:t>
            </w:r>
          </w:p>
        </w:tc>
      </w:tr>
    </w:tbl>
    <w:p>
      <w:pPr>
        <w:rPr>
          <w:rFonts w:ascii="宋体" w:hAnsi="宋体" w:eastAsia="宋体" w:cs="宋体"/>
          <w:color w:val="000000" w:themeColor="text1"/>
          <w:sz w:val="32"/>
          <w:szCs w:val="32"/>
          <w14:textFill>
            <w14:solidFill>
              <w14:schemeClr w14:val="tx1"/>
            </w14:solidFill>
          </w14:textFill>
        </w:rPr>
      </w:pP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pPr>
      <w:bookmarkStart w:id="97" w:name="_Toc10196"/>
      <w:r>
        <w:t>第五部分</w:t>
      </w:r>
      <w:r>
        <w:rPr>
          <w:rFonts w:hint="eastAsia"/>
        </w:rPr>
        <w:t xml:space="preserve">  </w:t>
      </w:r>
      <w:r>
        <w:t>供应商参加政府采购活动承诺书</w:t>
      </w:r>
      <w:bookmarkEnd w:id="97"/>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未签署下列承诺书的，将被视为无效投标，其责任由供应商自行承担。</w:t>
      </w:r>
    </w:p>
    <w:p>
      <w:pPr>
        <w:jc w:val="center"/>
        <w:rPr>
          <w:rFonts w:ascii="宋体" w:hAnsi="宋体" w:eastAsia="宋体" w:cs="宋体"/>
          <w:sz w:val="32"/>
          <w:szCs w:val="32"/>
        </w:rPr>
      </w:pPr>
      <w:r>
        <w:rPr>
          <w:rFonts w:hint="eastAsia" w:ascii="宋体" w:hAnsi="宋体" w:eastAsia="宋体" w:cs="宋体"/>
          <w:sz w:val="32"/>
          <w:szCs w:val="32"/>
        </w:rPr>
        <w:t>（一）质量安全责任承诺书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为保证本采购项目顺利进行，作为投标供应商，现郑重承诺：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1．我方所投产品的生产（包括设计、制造、安装、改造、维修等）、投入使用的材料等均完全符合国家现行质量、安全、环保标准和要求。</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3．对于因产品生产质量以及储存、运输、安装调试、服务、施工等过程中产生的任何安全事故，我方承担全部责任。</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spacing w:line="560" w:lineRule="exact"/>
        <w:ind w:firstLine="576" w:firstLineChars="200"/>
        <w:jc w:val="both"/>
        <w:rPr>
          <w:rFonts w:ascii="宋体" w:hAnsi="宋体" w:eastAsia="宋体" w:cs="宋体"/>
          <w:sz w:val="28"/>
          <w:szCs w:val="28"/>
        </w:rPr>
      </w:pPr>
    </w:p>
    <w:p>
      <w:pPr>
        <w:rPr>
          <w:rFonts w:ascii="宋体" w:hAnsi="宋体" w:eastAsia="宋体" w:cs="宋体"/>
          <w:sz w:val="32"/>
          <w:szCs w:val="32"/>
        </w:rPr>
      </w:pPr>
      <w:r>
        <w:rPr>
          <w:rFonts w:hint="eastAsia" w:ascii="宋体" w:hAnsi="宋体" w:eastAsia="宋体" w:cs="宋体"/>
          <w:sz w:val="32"/>
          <w:szCs w:val="32"/>
        </w:rPr>
        <w:br w:type="page"/>
      </w:r>
    </w:p>
    <w:p>
      <w:pPr>
        <w:jc w:val="center"/>
        <w:rPr>
          <w:rFonts w:ascii="宋体" w:hAnsi="宋体" w:eastAsia="宋体" w:cs="宋体"/>
          <w:sz w:val="32"/>
          <w:szCs w:val="32"/>
        </w:rPr>
      </w:pPr>
      <w:r>
        <w:rPr>
          <w:rFonts w:hint="eastAsia" w:ascii="宋体" w:hAnsi="宋体" w:eastAsia="宋体" w:cs="宋体"/>
          <w:sz w:val="32"/>
          <w:szCs w:val="32"/>
        </w:rPr>
        <w:t>（二）参加政府采购活动行为自律承诺书</w:t>
      </w:r>
    </w:p>
    <w:p>
      <w:pPr>
        <w:spacing w:line="560" w:lineRule="exact"/>
        <w:ind w:firstLine="576" w:firstLineChars="200"/>
        <w:jc w:val="both"/>
        <w:rPr>
          <w:rFonts w:ascii="宋体" w:hAnsi="宋体" w:eastAsia="宋体" w:cs="宋体"/>
          <w:sz w:val="28"/>
          <w:szCs w:val="28"/>
        </w:rPr>
      </w:pP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作为参加本次政府采购项目的供应商，我方郑重承诺在参与政府采购活动中遵纪守法、公平竞争、诚实守信，如有违反愿承担一切责任及后果：</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1．不与采购人、采购代理机构、政府采购评审专家恶意串通，不向其行贿或提供其他不正当利益；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2．不与其他供应商恶意串通，采取“围标、串标、陪标”等商业欺诈手段谋取中标、成交；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4．不采取不正当手段诋毁、排挤其他供应商；</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5．不以不正当理由拒不与采购人签订政府采购合同，或逾期签订政府采购合同，或不按照采购文件确定的事项签订政府采购合同；</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6．不以不正当理由拒绝履行合同义务，不会擅自变更、中止或者终止政府采购合同或将政府采购合同转包；</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7．不在提供商品、服务或工程施工过程中提供假冒伪劣产品，损害采购人的合法权益或公共利益；</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8．不采取捏造事实、提供虚假材料或者以非法手段取得证明材料进行质疑和投诉；</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9．不发生其他有悖于政府采购公开、公平、公正和诚信原则的行为。</w:t>
      </w:r>
    </w:p>
    <w:p>
      <w:pPr>
        <w:spacing w:line="560" w:lineRule="exact"/>
        <w:ind w:firstLine="576" w:firstLineChars="200"/>
        <w:jc w:val="both"/>
        <w:rPr>
          <w:rFonts w:ascii="宋体" w:hAnsi="宋体" w:eastAsia="宋体" w:cs="宋体"/>
          <w:sz w:val="28"/>
          <w:szCs w:val="28"/>
        </w:rPr>
      </w:pPr>
      <w:r>
        <w:rPr>
          <w:rFonts w:hint="eastAsia" w:ascii="宋体" w:hAnsi="宋体" w:eastAsia="宋体" w:cs="宋体"/>
          <w:sz w:val="28"/>
          <w:szCs w:val="28"/>
        </w:rPr>
        <w:t>10．尊重和接受政府采购监督管理部门的监督和采购人、采购代理机构的政府采购工作要求，愿意承担因违约行为给采购人造成的损失。</w:t>
      </w:r>
    </w:p>
    <w:p>
      <w:pPr>
        <w:spacing w:line="560" w:lineRule="exact"/>
        <w:ind w:firstLine="576" w:firstLineChars="200"/>
        <w:jc w:val="both"/>
        <w:rPr>
          <w:rFonts w:ascii="宋体" w:hAnsi="宋体" w:eastAsia="宋体" w:cs="宋体"/>
          <w:sz w:val="28"/>
          <w:szCs w:val="28"/>
        </w:rPr>
      </w:pP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供应商：（供应商全称并加盖公章）</w:t>
      </w:r>
    </w:p>
    <w:p>
      <w:pPr>
        <w:spacing w:line="560" w:lineRule="exact"/>
        <w:ind w:firstLine="3187" w:firstLineChars="1107"/>
        <w:jc w:val="both"/>
        <w:rPr>
          <w:rFonts w:ascii="宋体" w:hAnsi="宋体" w:eastAsia="宋体" w:cs="宋体"/>
          <w:sz w:val="28"/>
          <w:szCs w:val="28"/>
        </w:rPr>
      </w:pPr>
      <w:r>
        <w:rPr>
          <w:rFonts w:hint="eastAsia" w:ascii="宋体" w:hAnsi="宋体" w:eastAsia="宋体" w:cs="宋体"/>
          <w:sz w:val="28"/>
          <w:szCs w:val="28"/>
        </w:rPr>
        <w:t>日  期：    年  月  日</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ind w:firstLine="657"/>
        <w:jc w:val="center"/>
        <w:rPr>
          <w:rFonts w:ascii="宋体" w:hAnsi="宋体" w:eastAsia="宋体" w:cs="宋体"/>
          <w:color w:val="000000" w:themeColor="text1"/>
          <w14:textFill>
            <w14:solidFill>
              <w14:schemeClr w14:val="tx1"/>
            </w14:solidFill>
          </w14:textFill>
        </w:rPr>
      </w:pPr>
      <w:bookmarkStart w:id="98" w:name="_Toc12115"/>
      <w:r>
        <w:rPr>
          <w:rFonts w:hint="eastAsia" w:ascii="宋体" w:hAnsi="宋体" w:eastAsia="宋体" w:cs="宋体"/>
          <w:color w:val="000000" w:themeColor="text1"/>
          <w14:textFill>
            <w14:solidFill>
              <w14:schemeClr w14:val="tx1"/>
            </w14:solidFill>
          </w14:textFill>
        </w:rPr>
        <w:t>第六部分  商务和技术响应偏离表</w:t>
      </w:r>
      <w:bookmarkEnd w:id="86"/>
      <w:bookmarkEnd w:id="87"/>
      <w:bookmarkEnd w:id="88"/>
      <w:bookmarkEnd w:id="89"/>
      <w:bookmarkEnd w:id="98"/>
    </w:p>
    <w:p>
      <w:pPr>
        <w:kinsoku w:val="0"/>
        <w:spacing w:line="480" w:lineRule="auto"/>
        <w:ind w:left="1269" w:hanging="1267" w:hangingChars="44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表1、商务响应偏差表</w:t>
      </w:r>
    </w:p>
    <w:tbl>
      <w:tblPr>
        <w:tblStyle w:val="35"/>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9"/>
              <w:spacing w:line="360" w:lineRule="auto"/>
              <w:jc w:val="center"/>
              <w:rPr>
                <w:rFonts w:hAnsi="宋体" w:cs="宋体"/>
                <w:sz w:val="24"/>
              </w:rPr>
            </w:pPr>
            <w:r>
              <w:rPr>
                <w:rFonts w:hint="eastAsia" w:hAnsi="宋体" w:cs="宋体"/>
                <w:sz w:val="24"/>
              </w:rPr>
              <w:t>序号</w:t>
            </w:r>
          </w:p>
        </w:tc>
        <w:tc>
          <w:tcPr>
            <w:tcW w:w="1521" w:type="dxa"/>
            <w:vAlign w:val="center"/>
          </w:tcPr>
          <w:p>
            <w:pPr>
              <w:pStyle w:val="19"/>
              <w:spacing w:line="360" w:lineRule="auto"/>
              <w:jc w:val="center"/>
              <w:rPr>
                <w:rFonts w:hAnsi="宋体" w:cs="宋体"/>
                <w:sz w:val="24"/>
              </w:rPr>
            </w:pPr>
            <w:r>
              <w:rPr>
                <w:rFonts w:hint="eastAsia" w:hAnsi="宋体" w:cs="宋体"/>
                <w:sz w:val="24"/>
              </w:rPr>
              <w:t>商务条款</w:t>
            </w:r>
          </w:p>
        </w:tc>
        <w:tc>
          <w:tcPr>
            <w:tcW w:w="1600" w:type="dxa"/>
            <w:vAlign w:val="center"/>
          </w:tcPr>
          <w:p>
            <w:pPr>
              <w:pStyle w:val="19"/>
              <w:spacing w:line="360" w:lineRule="auto"/>
              <w:jc w:val="center"/>
              <w:rPr>
                <w:rFonts w:hAnsi="宋体" w:cs="宋体"/>
                <w:sz w:val="24"/>
              </w:rPr>
            </w:pPr>
            <w:r>
              <w:rPr>
                <w:rFonts w:hint="eastAsia" w:hAnsi="宋体" w:cs="宋体"/>
                <w:sz w:val="24"/>
              </w:rPr>
              <w:t>商务要求</w:t>
            </w:r>
          </w:p>
          <w:p>
            <w:pPr>
              <w:pStyle w:val="19"/>
              <w:spacing w:line="360" w:lineRule="auto"/>
              <w:jc w:val="center"/>
              <w:rPr>
                <w:rFonts w:hAnsi="宋体" w:cs="宋体"/>
                <w:sz w:val="24"/>
              </w:rPr>
            </w:pPr>
            <w:r>
              <w:rPr>
                <w:rFonts w:hint="eastAsia" w:hAnsi="宋体" w:cs="宋体"/>
                <w:sz w:val="24"/>
              </w:rPr>
              <w:t>内容</w:t>
            </w:r>
          </w:p>
        </w:tc>
        <w:tc>
          <w:tcPr>
            <w:tcW w:w="1938" w:type="dxa"/>
            <w:vAlign w:val="center"/>
          </w:tcPr>
          <w:p>
            <w:pPr>
              <w:pStyle w:val="19"/>
              <w:spacing w:line="360" w:lineRule="auto"/>
              <w:jc w:val="center"/>
              <w:rPr>
                <w:rFonts w:hAnsi="宋体" w:cs="宋体"/>
                <w:sz w:val="24"/>
              </w:rPr>
            </w:pPr>
            <w:r>
              <w:rPr>
                <w:rFonts w:hint="eastAsia" w:hAnsi="宋体" w:cs="宋体"/>
                <w:sz w:val="24"/>
              </w:rPr>
              <w:t>投标文件</w:t>
            </w:r>
          </w:p>
          <w:p>
            <w:pPr>
              <w:pStyle w:val="19"/>
              <w:spacing w:line="360" w:lineRule="auto"/>
              <w:jc w:val="center"/>
              <w:rPr>
                <w:rFonts w:hAnsi="宋体" w:cs="宋体"/>
                <w:sz w:val="24"/>
              </w:rPr>
            </w:pPr>
            <w:r>
              <w:rPr>
                <w:rFonts w:hint="eastAsia" w:hAnsi="宋体" w:cs="宋体"/>
                <w:sz w:val="24"/>
              </w:rPr>
              <w:t>响应商务内容</w:t>
            </w:r>
          </w:p>
        </w:tc>
        <w:tc>
          <w:tcPr>
            <w:tcW w:w="1410" w:type="dxa"/>
            <w:vAlign w:val="center"/>
          </w:tcPr>
          <w:p>
            <w:pPr>
              <w:pStyle w:val="19"/>
              <w:spacing w:line="360" w:lineRule="auto"/>
              <w:jc w:val="center"/>
              <w:rPr>
                <w:rFonts w:hAnsi="宋体" w:cs="宋体"/>
                <w:sz w:val="24"/>
              </w:rPr>
            </w:pPr>
            <w:r>
              <w:rPr>
                <w:rFonts w:hint="eastAsia" w:hAnsi="宋体" w:cs="宋体"/>
                <w:sz w:val="24"/>
              </w:rPr>
              <w:t>偏离情况</w:t>
            </w:r>
          </w:p>
        </w:tc>
        <w:tc>
          <w:tcPr>
            <w:tcW w:w="1356" w:type="dxa"/>
            <w:vAlign w:val="center"/>
          </w:tcPr>
          <w:p>
            <w:pPr>
              <w:pStyle w:val="19"/>
              <w:spacing w:line="360" w:lineRule="auto"/>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vAlign w:val="center"/>
          </w:tcPr>
          <w:p>
            <w:pPr>
              <w:pStyle w:val="19"/>
              <w:spacing w:line="480" w:lineRule="auto"/>
              <w:ind w:firstLine="496" w:firstLineChars="200"/>
              <w:rPr>
                <w:rFonts w:hAnsi="宋体" w:cs="宋体"/>
                <w:sz w:val="24"/>
              </w:rPr>
            </w:pPr>
          </w:p>
        </w:tc>
        <w:tc>
          <w:tcPr>
            <w:tcW w:w="1938" w:type="dxa"/>
            <w:vAlign w:val="center"/>
          </w:tcPr>
          <w:p>
            <w:pPr>
              <w:pStyle w:val="19"/>
              <w:spacing w:line="480" w:lineRule="auto"/>
              <w:ind w:firstLine="496" w:firstLineChars="200"/>
              <w:rPr>
                <w:rFonts w:hAnsi="宋体" w:cs="宋体"/>
                <w:sz w:val="24"/>
              </w:rPr>
            </w:pPr>
          </w:p>
        </w:tc>
        <w:tc>
          <w:tcPr>
            <w:tcW w:w="1410" w:type="dxa"/>
            <w:vAlign w:val="center"/>
          </w:tcPr>
          <w:p>
            <w:pPr>
              <w:pStyle w:val="19"/>
              <w:spacing w:line="480" w:lineRule="auto"/>
              <w:ind w:firstLine="496" w:firstLineChars="200"/>
              <w:rPr>
                <w:rFonts w:hAnsi="宋体" w:cs="宋体"/>
                <w:sz w:val="24"/>
              </w:rPr>
            </w:pPr>
          </w:p>
        </w:tc>
        <w:tc>
          <w:tcPr>
            <w:tcW w:w="1356" w:type="dxa"/>
            <w:vAlign w:val="center"/>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9"/>
              <w:spacing w:line="480" w:lineRule="auto"/>
              <w:ind w:firstLine="496" w:firstLineChars="200"/>
              <w:rPr>
                <w:rFonts w:hAnsi="宋体" w:cs="宋体"/>
                <w:sz w:val="24"/>
              </w:rPr>
            </w:pPr>
          </w:p>
        </w:tc>
        <w:tc>
          <w:tcPr>
            <w:tcW w:w="1521" w:type="dxa"/>
          </w:tcPr>
          <w:p>
            <w:pPr>
              <w:pStyle w:val="19"/>
              <w:spacing w:line="480" w:lineRule="auto"/>
              <w:ind w:firstLine="496" w:firstLineChars="200"/>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9"/>
              <w:spacing w:line="480" w:lineRule="auto"/>
              <w:rPr>
                <w:rFonts w:hAnsi="宋体" w:cs="宋体"/>
                <w:sz w:val="24"/>
              </w:rPr>
            </w:pPr>
          </w:p>
        </w:tc>
        <w:tc>
          <w:tcPr>
            <w:tcW w:w="1521" w:type="dxa"/>
          </w:tcPr>
          <w:p>
            <w:pPr>
              <w:pStyle w:val="19"/>
              <w:spacing w:line="480" w:lineRule="auto"/>
              <w:rPr>
                <w:rFonts w:hAnsi="宋体" w:cs="宋体"/>
                <w:sz w:val="24"/>
              </w:rPr>
            </w:pPr>
          </w:p>
        </w:tc>
        <w:tc>
          <w:tcPr>
            <w:tcW w:w="1600" w:type="dxa"/>
          </w:tcPr>
          <w:p>
            <w:pPr>
              <w:pStyle w:val="19"/>
              <w:spacing w:line="480" w:lineRule="auto"/>
              <w:ind w:firstLine="496" w:firstLineChars="200"/>
              <w:rPr>
                <w:rFonts w:hAnsi="宋体" w:cs="宋体"/>
                <w:sz w:val="24"/>
              </w:rPr>
            </w:pPr>
          </w:p>
        </w:tc>
        <w:tc>
          <w:tcPr>
            <w:tcW w:w="1938" w:type="dxa"/>
          </w:tcPr>
          <w:p>
            <w:pPr>
              <w:pStyle w:val="19"/>
              <w:spacing w:line="480" w:lineRule="auto"/>
              <w:ind w:firstLine="496" w:firstLineChars="200"/>
              <w:rPr>
                <w:rFonts w:hAnsi="宋体" w:cs="宋体"/>
                <w:sz w:val="24"/>
              </w:rPr>
            </w:pPr>
          </w:p>
        </w:tc>
        <w:tc>
          <w:tcPr>
            <w:tcW w:w="1410" w:type="dxa"/>
          </w:tcPr>
          <w:p>
            <w:pPr>
              <w:pStyle w:val="19"/>
              <w:spacing w:line="480" w:lineRule="auto"/>
              <w:ind w:firstLine="496" w:firstLineChars="200"/>
              <w:rPr>
                <w:rFonts w:hAnsi="宋体" w:cs="宋体"/>
                <w:sz w:val="24"/>
              </w:rPr>
            </w:pPr>
          </w:p>
        </w:tc>
        <w:tc>
          <w:tcPr>
            <w:tcW w:w="1356" w:type="dxa"/>
          </w:tcPr>
          <w:p>
            <w:pPr>
              <w:pStyle w:val="19"/>
              <w:spacing w:line="480" w:lineRule="auto"/>
              <w:ind w:firstLine="496" w:firstLineChars="200"/>
              <w:rPr>
                <w:rFonts w:hAnsi="宋体" w:cs="宋体"/>
                <w:sz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1、本表须按“第二章供应商须知”中所列商务条款进行比较和响应；</w:t>
      </w:r>
    </w:p>
    <w:p>
      <w:pPr>
        <w:pStyle w:val="12"/>
        <w:spacing w:line="360" w:lineRule="auto"/>
        <w:ind w:firstLine="248" w:firstLineChars="100"/>
        <w:rPr>
          <w:rFonts w:ascii="宋体" w:hAnsi="宋体" w:cs="宋体"/>
          <w:b/>
          <w:bCs/>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b/>
          <w:bCs/>
        </w:rPr>
      </w:pPr>
      <w:r>
        <w:rPr>
          <w:rFonts w:hint="eastAsia" w:ascii="宋体" w:hAnsi="宋体" w:cs="宋体"/>
          <w:b/>
          <w:bCs/>
        </w:rPr>
        <w:t>3、该表可扩展。商务条款不允许负偏离；</w:t>
      </w:r>
    </w:p>
    <w:p>
      <w:pPr>
        <w:adjustRightInd w:val="0"/>
        <w:snapToGrid w:val="0"/>
        <w:spacing w:line="480" w:lineRule="auto"/>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供应商（单位名称及公章）：</w:t>
      </w:r>
    </w:p>
    <w:p>
      <w:pPr>
        <w:adjustRightInd w:val="0"/>
        <w:snapToGrid w:val="0"/>
        <w:spacing w:line="48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法定代表人或被授权人（签字或盖章）：</w:t>
      </w:r>
    </w:p>
    <w:p>
      <w:pPr>
        <w:adjustRightInd w:val="0"/>
        <w:snapToGrid w:val="0"/>
        <w:spacing w:line="480" w:lineRule="auto"/>
        <w:rPr>
          <w:rFonts w:ascii="宋体" w:hAnsi="宋体"/>
          <w:color w:val="000000" w:themeColor="text1"/>
          <w14:textFill>
            <w14:solidFill>
              <w14:schemeClr w14:val="tx1"/>
            </w14:solidFill>
          </w14:textFill>
        </w:rPr>
        <w:sectPr>
          <w:headerReference r:id="rId18" w:type="default"/>
          <w:pgSz w:w="11906" w:h="16838"/>
          <w:pgMar w:top="1440" w:right="1803" w:bottom="1440" w:left="1803" w:header="850" w:footer="992" w:gutter="0"/>
          <w:pgNumType w:fmt="decimal"/>
          <w:cols w:space="0" w:num="1"/>
          <w:titlePg/>
          <w:docGrid w:type="linesAndChars" w:linePitch="395" w:charSpace="1724"/>
        </w:sectPr>
      </w:pPr>
      <w:r>
        <w:rPr>
          <w:rFonts w:hint="eastAsia" w:ascii="宋体" w:hAnsi="宋体" w:cs="宋体"/>
          <w:color w:val="000000" w:themeColor="text1"/>
          <w14:textFill>
            <w14:solidFill>
              <w14:schemeClr w14:val="tx1"/>
            </w14:solidFill>
          </w14:textFill>
        </w:rPr>
        <w:t>日    期：   年   月    日</w:t>
      </w:r>
    </w:p>
    <w:p>
      <w:pPr>
        <w:rPr>
          <w:rFonts w:ascii="宋体" w:hAnsi="宋体" w:cs="宋体"/>
        </w:rPr>
      </w:pPr>
      <w:r>
        <w:rPr>
          <w:rFonts w:hint="eastAsia" w:asciiTheme="minorEastAsia" w:hAnsiTheme="minorEastAsia" w:cstheme="minorEastAsia"/>
          <w:color w:val="000000" w:themeColor="text1"/>
          <w:sz w:val="28"/>
          <w:szCs w:val="28"/>
          <w14:textFill>
            <w14:solidFill>
              <w14:schemeClr w14:val="tx1"/>
            </w14:solidFill>
          </w14:textFill>
        </w:rPr>
        <w:t>表2、</w:t>
      </w:r>
      <w:r>
        <w:rPr>
          <w:rFonts w:hint="eastAsia" w:ascii="宋体" w:hAnsi="宋体" w:cs="宋体"/>
          <w:sz w:val="28"/>
          <w:szCs w:val="32"/>
        </w:rPr>
        <w:t>技术响应偏离表</w:t>
      </w:r>
    </w:p>
    <w:tbl>
      <w:tblPr>
        <w:tblStyle w:val="35"/>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center"/>
          </w:tcPr>
          <w:p>
            <w:pPr>
              <w:pStyle w:val="19"/>
              <w:spacing w:line="360" w:lineRule="auto"/>
              <w:jc w:val="center"/>
              <w:rPr>
                <w:rFonts w:hint="eastAsia" w:hAnsi="宋体" w:cs="宋体"/>
                <w:sz w:val="24"/>
                <w:szCs w:val="24"/>
              </w:rPr>
            </w:pPr>
            <w:r>
              <w:rPr>
                <w:rFonts w:hint="eastAsia" w:hAnsi="宋体" w:cs="宋体"/>
                <w:sz w:val="24"/>
                <w:szCs w:val="24"/>
              </w:rPr>
              <w:t>序号</w:t>
            </w:r>
          </w:p>
        </w:tc>
        <w:tc>
          <w:tcPr>
            <w:tcW w:w="1521" w:type="dxa"/>
            <w:noWrap w:val="0"/>
            <w:vAlign w:val="center"/>
          </w:tcPr>
          <w:p>
            <w:pPr>
              <w:pStyle w:val="19"/>
              <w:spacing w:line="360" w:lineRule="auto"/>
              <w:jc w:val="center"/>
              <w:rPr>
                <w:rFonts w:hint="eastAsia" w:hAnsi="宋体" w:eastAsia="宋体" w:cs="宋体"/>
                <w:sz w:val="24"/>
                <w:szCs w:val="24"/>
                <w:lang w:eastAsia="zh-CN"/>
              </w:rPr>
            </w:pPr>
            <w:r>
              <w:rPr>
                <w:rFonts w:hint="eastAsia" w:hAnsi="宋体" w:cs="宋体"/>
                <w:sz w:val="24"/>
                <w:lang w:eastAsia="zh-CN"/>
              </w:rPr>
              <w:t>服务内容</w:t>
            </w:r>
          </w:p>
        </w:tc>
        <w:tc>
          <w:tcPr>
            <w:tcW w:w="1600" w:type="dxa"/>
            <w:noWrap w:val="0"/>
            <w:vAlign w:val="center"/>
          </w:tcPr>
          <w:p>
            <w:pPr>
              <w:spacing w:line="500" w:lineRule="exact"/>
              <w:jc w:val="center"/>
              <w:rPr>
                <w:sz w:val="24"/>
              </w:rPr>
            </w:pPr>
            <w:r>
              <w:rPr>
                <w:rFonts w:hint="eastAsia"/>
                <w:sz w:val="24"/>
              </w:rPr>
              <w:t>标书要求</w:t>
            </w:r>
          </w:p>
          <w:p>
            <w:pPr>
              <w:spacing w:line="500" w:lineRule="exact"/>
              <w:jc w:val="center"/>
              <w:rPr>
                <w:rFonts w:hint="eastAsia" w:ascii="宋体" w:hAnsi="宋体" w:cs="宋体"/>
                <w:sz w:val="24"/>
                <w:szCs w:val="24"/>
              </w:rPr>
            </w:pPr>
            <w:r>
              <w:rPr>
                <w:rFonts w:hint="eastAsia"/>
                <w:sz w:val="24"/>
              </w:rPr>
              <w:t>技术指标</w:t>
            </w:r>
          </w:p>
        </w:tc>
        <w:tc>
          <w:tcPr>
            <w:tcW w:w="1938" w:type="dxa"/>
            <w:noWrap w:val="0"/>
            <w:vAlign w:val="center"/>
          </w:tcPr>
          <w:p>
            <w:pPr>
              <w:spacing w:line="500" w:lineRule="exact"/>
              <w:jc w:val="center"/>
              <w:rPr>
                <w:rFonts w:hint="eastAsia"/>
                <w:sz w:val="24"/>
              </w:rPr>
            </w:pPr>
            <w:r>
              <w:rPr>
                <w:rFonts w:hint="eastAsia"/>
                <w:sz w:val="24"/>
              </w:rPr>
              <w:t>投标响应</w:t>
            </w:r>
          </w:p>
          <w:p>
            <w:pPr>
              <w:spacing w:line="500" w:lineRule="exact"/>
              <w:jc w:val="center"/>
              <w:rPr>
                <w:rFonts w:hint="eastAsia" w:ascii="宋体" w:hAnsi="宋体" w:cs="宋体"/>
                <w:sz w:val="24"/>
                <w:szCs w:val="24"/>
              </w:rPr>
            </w:pPr>
            <w:r>
              <w:rPr>
                <w:rFonts w:hint="eastAsia"/>
                <w:sz w:val="24"/>
              </w:rPr>
              <w:t>技术指标</w:t>
            </w:r>
          </w:p>
        </w:tc>
        <w:tc>
          <w:tcPr>
            <w:tcW w:w="1410" w:type="dxa"/>
            <w:noWrap w:val="0"/>
            <w:vAlign w:val="center"/>
          </w:tcPr>
          <w:p>
            <w:pPr>
              <w:spacing w:line="500" w:lineRule="exact"/>
              <w:jc w:val="center"/>
              <w:rPr>
                <w:rFonts w:hint="eastAsia" w:ascii="宋体" w:hAnsi="宋体" w:cs="宋体"/>
                <w:sz w:val="24"/>
                <w:szCs w:val="24"/>
              </w:rPr>
            </w:pPr>
            <w:r>
              <w:rPr>
                <w:rFonts w:hint="eastAsia" w:ascii="宋体" w:hAnsi="宋体" w:cs="宋体"/>
                <w:sz w:val="24"/>
              </w:rPr>
              <w:t>偏离情况</w:t>
            </w:r>
          </w:p>
        </w:tc>
        <w:tc>
          <w:tcPr>
            <w:tcW w:w="1356" w:type="dxa"/>
            <w:noWrap w:val="0"/>
            <w:vAlign w:val="center"/>
          </w:tcPr>
          <w:p>
            <w:pPr>
              <w:pStyle w:val="19"/>
              <w:spacing w:line="360" w:lineRule="auto"/>
              <w:jc w:val="center"/>
              <w:rPr>
                <w:rFonts w:hint="eastAsia"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9"/>
              <w:spacing w:line="480" w:lineRule="auto"/>
              <w:ind w:firstLine="480" w:firstLineChars="200"/>
              <w:jc w:val="left"/>
              <w:rPr>
                <w:rFonts w:hint="eastAsia" w:hAnsi="宋体" w:cs="宋体"/>
                <w:sz w:val="24"/>
                <w:szCs w:val="24"/>
              </w:rPr>
            </w:pPr>
          </w:p>
        </w:tc>
        <w:tc>
          <w:tcPr>
            <w:tcW w:w="1521" w:type="dxa"/>
            <w:noWrap w:val="0"/>
            <w:vAlign w:val="top"/>
          </w:tcPr>
          <w:p>
            <w:pPr>
              <w:pStyle w:val="19"/>
              <w:spacing w:line="480" w:lineRule="auto"/>
              <w:ind w:firstLine="480" w:firstLineChars="200"/>
              <w:jc w:val="left"/>
              <w:rPr>
                <w:rFonts w:hint="eastAsia" w:hAnsi="宋体" w:cs="宋体"/>
                <w:sz w:val="24"/>
                <w:szCs w:val="24"/>
              </w:rPr>
            </w:pPr>
          </w:p>
        </w:tc>
        <w:tc>
          <w:tcPr>
            <w:tcW w:w="1600" w:type="dxa"/>
            <w:noWrap w:val="0"/>
            <w:vAlign w:val="center"/>
          </w:tcPr>
          <w:p>
            <w:pPr>
              <w:pStyle w:val="19"/>
              <w:spacing w:line="480" w:lineRule="auto"/>
              <w:ind w:firstLine="480" w:firstLineChars="200"/>
              <w:jc w:val="left"/>
              <w:rPr>
                <w:rFonts w:hint="eastAsia" w:hAnsi="宋体" w:cs="宋体"/>
                <w:sz w:val="24"/>
                <w:szCs w:val="24"/>
              </w:rPr>
            </w:pPr>
          </w:p>
        </w:tc>
        <w:tc>
          <w:tcPr>
            <w:tcW w:w="1938" w:type="dxa"/>
            <w:noWrap w:val="0"/>
            <w:vAlign w:val="center"/>
          </w:tcPr>
          <w:p>
            <w:pPr>
              <w:pStyle w:val="19"/>
              <w:spacing w:line="480" w:lineRule="auto"/>
              <w:ind w:firstLine="480" w:firstLineChars="200"/>
              <w:jc w:val="left"/>
              <w:rPr>
                <w:rFonts w:hint="eastAsia" w:hAnsi="宋体" w:cs="宋体"/>
                <w:sz w:val="24"/>
                <w:szCs w:val="24"/>
              </w:rPr>
            </w:pPr>
          </w:p>
        </w:tc>
        <w:tc>
          <w:tcPr>
            <w:tcW w:w="1410" w:type="dxa"/>
            <w:noWrap w:val="0"/>
            <w:vAlign w:val="center"/>
          </w:tcPr>
          <w:p>
            <w:pPr>
              <w:pStyle w:val="19"/>
              <w:spacing w:line="480" w:lineRule="auto"/>
              <w:ind w:firstLine="480" w:firstLineChars="200"/>
              <w:jc w:val="left"/>
              <w:rPr>
                <w:rFonts w:hint="eastAsia" w:hAnsi="宋体" w:cs="宋体"/>
                <w:sz w:val="24"/>
                <w:szCs w:val="24"/>
              </w:rPr>
            </w:pPr>
          </w:p>
        </w:tc>
        <w:tc>
          <w:tcPr>
            <w:tcW w:w="1356" w:type="dxa"/>
            <w:noWrap w:val="0"/>
            <w:vAlign w:val="center"/>
          </w:tcPr>
          <w:p>
            <w:pPr>
              <w:pStyle w:val="19"/>
              <w:spacing w:line="48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9"/>
              <w:spacing w:line="480" w:lineRule="auto"/>
              <w:ind w:firstLine="480" w:firstLineChars="200"/>
              <w:jc w:val="left"/>
              <w:rPr>
                <w:rFonts w:hint="eastAsia" w:hAnsi="宋体" w:cs="宋体"/>
                <w:sz w:val="24"/>
                <w:szCs w:val="24"/>
              </w:rPr>
            </w:pPr>
          </w:p>
        </w:tc>
        <w:tc>
          <w:tcPr>
            <w:tcW w:w="1521" w:type="dxa"/>
            <w:noWrap w:val="0"/>
            <w:vAlign w:val="top"/>
          </w:tcPr>
          <w:p>
            <w:pPr>
              <w:pStyle w:val="19"/>
              <w:spacing w:line="480" w:lineRule="auto"/>
              <w:ind w:firstLine="480" w:firstLineChars="200"/>
              <w:jc w:val="left"/>
              <w:rPr>
                <w:rFonts w:hint="eastAsia" w:hAnsi="宋体" w:cs="宋体"/>
                <w:sz w:val="24"/>
                <w:szCs w:val="24"/>
              </w:rPr>
            </w:pPr>
          </w:p>
        </w:tc>
        <w:tc>
          <w:tcPr>
            <w:tcW w:w="1600" w:type="dxa"/>
            <w:noWrap w:val="0"/>
            <w:vAlign w:val="top"/>
          </w:tcPr>
          <w:p>
            <w:pPr>
              <w:pStyle w:val="19"/>
              <w:spacing w:line="480" w:lineRule="auto"/>
              <w:ind w:firstLine="480" w:firstLineChars="200"/>
              <w:jc w:val="left"/>
              <w:rPr>
                <w:rFonts w:hint="eastAsia" w:hAnsi="宋体" w:cs="宋体"/>
                <w:sz w:val="24"/>
                <w:szCs w:val="24"/>
              </w:rPr>
            </w:pPr>
          </w:p>
        </w:tc>
        <w:tc>
          <w:tcPr>
            <w:tcW w:w="1938" w:type="dxa"/>
            <w:noWrap w:val="0"/>
            <w:vAlign w:val="top"/>
          </w:tcPr>
          <w:p>
            <w:pPr>
              <w:pStyle w:val="19"/>
              <w:spacing w:line="480" w:lineRule="auto"/>
              <w:ind w:firstLine="480" w:firstLineChars="200"/>
              <w:jc w:val="left"/>
              <w:rPr>
                <w:rFonts w:hint="eastAsia" w:hAnsi="宋体" w:cs="宋体"/>
                <w:sz w:val="24"/>
                <w:szCs w:val="24"/>
              </w:rPr>
            </w:pPr>
          </w:p>
        </w:tc>
        <w:tc>
          <w:tcPr>
            <w:tcW w:w="1410" w:type="dxa"/>
            <w:noWrap w:val="0"/>
            <w:vAlign w:val="top"/>
          </w:tcPr>
          <w:p>
            <w:pPr>
              <w:pStyle w:val="19"/>
              <w:spacing w:line="480" w:lineRule="auto"/>
              <w:ind w:firstLine="480" w:firstLineChars="200"/>
              <w:jc w:val="left"/>
              <w:rPr>
                <w:rFonts w:hint="eastAsia" w:hAnsi="宋体" w:cs="宋体"/>
                <w:sz w:val="24"/>
                <w:szCs w:val="24"/>
              </w:rPr>
            </w:pPr>
          </w:p>
        </w:tc>
        <w:tc>
          <w:tcPr>
            <w:tcW w:w="1356" w:type="dxa"/>
            <w:noWrap w:val="0"/>
            <w:vAlign w:val="top"/>
          </w:tcPr>
          <w:p>
            <w:pPr>
              <w:pStyle w:val="19"/>
              <w:spacing w:line="48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9"/>
              <w:spacing w:line="480" w:lineRule="auto"/>
              <w:ind w:firstLine="480" w:firstLineChars="200"/>
              <w:jc w:val="left"/>
              <w:rPr>
                <w:rFonts w:hint="eastAsia" w:hAnsi="宋体" w:cs="宋体"/>
                <w:sz w:val="24"/>
                <w:szCs w:val="24"/>
              </w:rPr>
            </w:pPr>
          </w:p>
        </w:tc>
        <w:tc>
          <w:tcPr>
            <w:tcW w:w="1521" w:type="dxa"/>
            <w:noWrap w:val="0"/>
            <w:vAlign w:val="top"/>
          </w:tcPr>
          <w:p>
            <w:pPr>
              <w:pStyle w:val="19"/>
              <w:spacing w:line="480" w:lineRule="auto"/>
              <w:ind w:firstLine="480" w:firstLineChars="200"/>
              <w:jc w:val="left"/>
              <w:rPr>
                <w:rFonts w:hint="eastAsia" w:hAnsi="宋体" w:cs="宋体"/>
                <w:sz w:val="24"/>
                <w:szCs w:val="24"/>
              </w:rPr>
            </w:pPr>
          </w:p>
        </w:tc>
        <w:tc>
          <w:tcPr>
            <w:tcW w:w="1600" w:type="dxa"/>
            <w:noWrap w:val="0"/>
            <w:vAlign w:val="top"/>
          </w:tcPr>
          <w:p>
            <w:pPr>
              <w:pStyle w:val="19"/>
              <w:spacing w:line="480" w:lineRule="auto"/>
              <w:ind w:firstLine="480" w:firstLineChars="200"/>
              <w:jc w:val="left"/>
              <w:rPr>
                <w:rFonts w:hint="eastAsia" w:hAnsi="宋体" w:cs="宋体"/>
                <w:sz w:val="24"/>
                <w:szCs w:val="24"/>
              </w:rPr>
            </w:pPr>
          </w:p>
        </w:tc>
        <w:tc>
          <w:tcPr>
            <w:tcW w:w="1938" w:type="dxa"/>
            <w:noWrap w:val="0"/>
            <w:vAlign w:val="top"/>
          </w:tcPr>
          <w:p>
            <w:pPr>
              <w:pStyle w:val="19"/>
              <w:spacing w:line="480" w:lineRule="auto"/>
              <w:ind w:firstLine="480" w:firstLineChars="200"/>
              <w:jc w:val="left"/>
              <w:rPr>
                <w:rFonts w:hint="eastAsia" w:hAnsi="宋体" w:cs="宋体"/>
                <w:sz w:val="24"/>
                <w:szCs w:val="24"/>
              </w:rPr>
            </w:pPr>
          </w:p>
        </w:tc>
        <w:tc>
          <w:tcPr>
            <w:tcW w:w="1410" w:type="dxa"/>
            <w:noWrap w:val="0"/>
            <w:vAlign w:val="top"/>
          </w:tcPr>
          <w:p>
            <w:pPr>
              <w:pStyle w:val="19"/>
              <w:spacing w:line="480" w:lineRule="auto"/>
              <w:ind w:firstLine="480" w:firstLineChars="200"/>
              <w:jc w:val="left"/>
              <w:rPr>
                <w:rFonts w:hint="eastAsia" w:hAnsi="宋体" w:cs="宋体"/>
                <w:sz w:val="24"/>
                <w:szCs w:val="24"/>
              </w:rPr>
            </w:pPr>
          </w:p>
        </w:tc>
        <w:tc>
          <w:tcPr>
            <w:tcW w:w="1356" w:type="dxa"/>
            <w:noWrap w:val="0"/>
            <w:vAlign w:val="top"/>
          </w:tcPr>
          <w:p>
            <w:pPr>
              <w:pStyle w:val="19"/>
              <w:spacing w:line="48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9"/>
              <w:spacing w:line="480" w:lineRule="auto"/>
              <w:ind w:firstLine="480" w:firstLineChars="200"/>
              <w:jc w:val="left"/>
              <w:rPr>
                <w:rFonts w:hint="eastAsia" w:hAnsi="宋体" w:cs="宋体"/>
                <w:sz w:val="24"/>
                <w:szCs w:val="24"/>
              </w:rPr>
            </w:pPr>
          </w:p>
        </w:tc>
        <w:tc>
          <w:tcPr>
            <w:tcW w:w="1521" w:type="dxa"/>
            <w:noWrap w:val="0"/>
            <w:vAlign w:val="top"/>
          </w:tcPr>
          <w:p>
            <w:pPr>
              <w:pStyle w:val="19"/>
              <w:spacing w:line="480" w:lineRule="auto"/>
              <w:ind w:firstLine="480" w:firstLineChars="200"/>
              <w:jc w:val="left"/>
              <w:rPr>
                <w:rFonts w:hint="eastAsia" w:hAnsi="宋体" w:cs="宋体"/>
                <w:sz w:val="24"/>
                <w:szCs w:val="24"/>
              </w:rPr>
            </w:pPr>
          </w:p>
        </w:tc>
        <w:tc>
          <w:tcPr>
            <w:tcW w:w="1600" w:type="dxa"/>
            <w:noWrap w:val="0"/>
            <w:vAlign w:val="top"/>
          </w:tcPr>
          <w:p>
            <w:pPr>
              <w:pStyle w:val="19"/>
              <w:spacing w:line="480" w:lineRule="auto"/>
              <w:ind w:firstLine="480" w:firstLineChars="200"/>
              <w:jc w:val="left"/>
              <w:rPr>
                <w:rFonts w:hint="eastAsia" w:hAnsi="宋体" w:cs="宋体"/>
                <w:sz w:val="24"/>
                <w:szCs w:val="24"/>
              </w:rPr>
            </w:pPr>
          </w:p>
        </w:tc>
        <w:tc>
          <w:tcPr>
            <w:tcW w:w="1938" w:type="dxa"/>
            <w:noWrap w:val="0"/>
            <w:vAlign w:val="top"/>
          </w:tcPr>
          <w:p>
            <w:pPr>
              <w:pStyle w:val="19"/>
              <w:spacing w:line="480" w:lineRule="auto"/>
              <w:ind w:firstLine="480" w:firstLineChars="200"/>
              <w:jc w:val="left"/>
              <w:rPr>
                <w:rFonts w:hint="eastAsia" w:hAnsi="宋体" w:cs="宋体"/>
                <w:sz w:val="24"/>
                <w:szCs w:val="24"/>
              </w:rPr>
            </w:pPr>
          </w:p>
        </w:tc>
        <w:tc>
          <w:tcPr>
            <w:tcW w:w="1410" w:type="dxa"/>
            <w:noWrap w:val="0"/>
            <w:vAlign w:val="top"/>
          </w:tcPr>
          <w:p>
            <w:pPr>
              <w:pStyle w:val="19"/>
              <w:spacing w:line="480" w:lineRule="auto"/>
              <w:ind w:firstLine="480" w:firstLineChars="200"/>
              <w:jc w:val="left"/>
              <w:rPr>
                <w:rFonts w:hint="eastAsia" w:hAnsi="宋体" w:cs="宋体"/>
                <w:sz w:val="24"/>
                <w:szCs w:val="24"/>
              </w:rPr>
            </w:pPr>
          </w:p>
        </w:tc>
        <w:tc>
          <w:tcPr>
            <w:tcW w:w="1356" w:type="dxa"/>
            <w:noWrap w:val="0"/>
            <w:vAlign w:val="top"/>
          </w:tcPr>
          <w:p>
            <w:pPr>
              <w:pStyle w:val="19"/>
              <w:spacing w:line="48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9"/>
              <w:spacing w:line="480" w:lineRule="auto"/>
              <w:ind w:firstLine="480" w:firstLineChars="200"/>
              <w:jc w:val="left"/>
              <w:rPr>
                <w:rFonts w:hint="eastAsia" w:hAnsi="宋体" w:cs="宋体"/>
                <w:sz w:val="24"/>
                <w:szCs w:val="24"/>
              </w:rPr>
            </w:pPr>
          </w:p>
        </w:tc>
        <w:tc>
          <w:tcPr>
            <w:tcW w:w="1521" w:type="dxa"/>
            <w:noWrap w:val="0"/>
            <w:vAlign w:val="top"/>
          </w:tcPr>
          <w:p>
            <w:pPr>
              <w:pStyle w:val="19"/>
              <w:spacing w:line="480" w:lineRule="auto"/>
              <w:ind w:firstLine="480" w:firstLineChars="200"/>
              <w:jc w:val="left"/>
              <w:rPr>
                <w:rFonts w:hint="eastAsia" w:hAnsi="宋体" w:cs="宋体"/>
                <w:sz w:val="24"/>
                <w:szCs w:val="24"/>
              </w:rPr>
            </w:pPr>
          </w:p>
        </w:tc>
        <w:tc>
          <w:tcPr>
            <w:tcW w:w="1600" w:type="dxa"/>
            <w:noWrap w:val="0"/>
            <w:vAlign w:val="top"/>
          </w:tcPr>
          <w:p>
            <w:pPr>
              <w:pStyle w:val="19"/>
              <w:spacing w:line="480" w:lineRule="auto"/>
              <w:ind w:firstLine="480" w:firstLineChars="200"/>
              <w:jc w:val="left"/>
              <w:rPr>
                <w:rFonts w:hint="eastAsia" w:hAnsi="宋体" w:cs="宋体"/>
                <w:sz w:val="24"/>
                <w:szCs w:val="24"/>
              </w:rPr>
            </w:pPr>
          </w:p>
        </w:tc>
        <w:tc>
          <w:tcPr>
            <w:tcW w:w="1938" w:type="dxa"/>
            <w:noWrap w:val="0"/>
            <w:vAlign w:val="top"/>
          </w:tcPr>
          <w:p>
            <w:pPr>
              <w:pStyle w:val="19"/>
              <w:spacing w:line="480" w:lineRule="auto"/>
              <w:ind w:firstLine="480" w:firstLineChars="200"/>
              <w:jc w:val="left"/>
              <w:rPr>
                <w:rFonts w:hint="eastAsia" w:hAnsi="宋体" w:cs="宋体"/>
                <w:sz w:val="24"/>
                <w:szCs w:val="24"/>
              </w:rPr>
            </w:pPr>
          </w:p>
        </w:tc>
        <w:tc>
          <w:tcPr>
            <w:tcW w:w="1410" w:type="dxa"/>
            <w:noWrap w:val="0"/>
            <w:vAlign w:val="top"/>
          </w:tcPr>
          <w:p>
            <w:pPr>
              <w:pStyle w:val="19"/>
              <w:spacing w:line="480" w:lineRule="auto"/>
              <w:ind w:firstLine="480" w:firstLineChars="200"/>
              <w:jc w:val="left"/>
              <w:rPr>
                <w:rFonts w:hint="eastAsia" w:hAnsi="宋体" w:cs="宋体"/>
                <w:sz w:val="24"/>
                <w:szCs w:val="24"/>
              </w:rPr>
            </w:pPr>
          </w:p>
        </w:tc>
        <w:tc>
          <w:tcPr>
            <w:tcW w:w="1356" w:type="dxa"/>
            <w:noWrap w:val="0"/>
            <w:vAlign w:val="top"/>
          </w:tcPr>
          <w:p>
            <w:pPr>
              <w:pStyle w:val="19"/>
              <w:spacing w:line="48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9"/>
              <w:spacing w:line="480" w:lineRule="auto"/>
              <w:ind w:firstLine="480" w:firstLineChars="200"/>
              <w:jc w:val="left"/>
              <w:rPr>
                <w:rFonts w:hint="eastAsia" w:hAnsi="宋体" w:cs="宋体"/>
                <w:sz w:val="24"/>
                <w:szCs w:val="24"/>
              </w:rPr>
            </w:pPr>
          </w:p>
        </w:tc>
        <w:tc>
          <w:tcPr>
            <w:tcW w:w="1521" w:type="dxa"/>
            <w:noWrap w:val="0"/>
            <w:vAlign w:val="top"/>
          </w:tcPr>
          <w:p>
            <w:pPr>
              <w:pStyle w:val="19"/>
              <w:spacing w:line="480" w:lineRule="auto"/>
              <w:ind w:firstLine="480" w:firstLineChars="200"/>
              <w:jc w:val="left"/>
              <w:rPr>
                <w:rFonts w:hint="eastAsia" w:hAnsi="宋体" w:cs="宋体"/>
                <w:sz w:val="24"/>
                <w:szCs w:val="24"/>
              </w:rPr>
            </w:pPr>
          </w:p>
        </w:tc>
        <w:tc>
          <w:tcPr>
            <w:tcW w:w="1600" w:type="dxa"/>
            <w:noWrap w:val="0"/>
            <w:vAlign w:val="top"/>
          </w:tcPr>
          <w:p>
            <w:pPr>
              <w:pStyle w:val="19"/>
              <w:spacing w:line="480" w:lineRule="auto"/>
              <w:ind w:firstLine="480" w:firstLineChars="200"/>
              <w:jc w:val="left"/>
              <w:rPr>
                <w:rFonts w:hint="eastAsia" w:hAnsi="宋体" w:cs="宋体"/>
                <w:sz w:val="24"/>
                <w:szCs w:val="24"/>
              </w:rPr>
            </w:pPr>
          </w:p>
        </w:tc>
        <w:tc>
          <w:tcPr>
            <w:tcW w:w="1938" w:type="dxa"/>
            <w:noWrap w:val="0"/>
            <w:vAlign w:val="top"/>
          </w:tcPr>
          <w:p>
            <w:pPr>
              <w:pStyle w:val="19"/>
              <w:spacing w:line="480" w:lineRule="auto"/>
              <w:ind w:firstLine="480" w:firstLineChars="200"/>
              <w:jc w:val="left"/>
              <w:rPr>
                <w:rFonts w:hint="eastAsia" w:hAnsi="宋体" w:cs="宋体"/>
                <w:sz w:val="24"/>
                <w:szCs w:val="24"/>
              </w:rPr>
            </w:pPr>
          </w:p>
        </w:tc>
        <w:tc>
          <w:tcPr>
            <w:tcW w:w="1410" w:type="dxa"/>
            <w:noWrap w:val="0"/>
            <w:vAlign w:val="top"/>
          </w:tcPr>
          <w:p>
            <w:pPr>
              <w:pStyle w:val="19"/>
              <w:spacing w:line="480" w:lineRule="auto"/>
              <w:ind w:firstLine="480" w:firstLineChars="200"/>
              <w:jc w:val="left"/>
              <w:rPr>
                <w:rFonts w:hint="eastAsia" w:hAnsi="宋体" w:cs="宋体"/>
                <w:sz w:val="24"/>
                <w:szCs w:val="24"/>
              </w:rPr>
            </w:pPr>
          </w:p>
        </w:tc>
        <w:tc>
          <w:tcPr>
            <w:tcW w:w="1356" w:type="dxa"/>
            <w:noWrap w:val="0"/>
            <w:vAlign w:val="top"/>
          </w:tcPr>
          <w:p>
            <w:pPr>
              <w:pStyle w:val="19"/>
              <w:spacing w:line="48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noWrap w:val="0"/>
            <w:vAlign w:val="top"/>
          </w:tcPr>
          <w:p>
            <w:pPr>
              <w:pStyle w:val="19"/>
              <w:spacing w:line="480" w:lineRule="auto"/>
              <w:ind w:firstLine="480" w:firstLineChars="200"/>
              <w:jc w:val="left"/>
              <w:rPr>
                <w:rFonts w:hint="eastAsia" w:hAnsi="宋体" w:cs="宋体"/>
                <w:sz w:val="24"/>
                <w:szCs w:val="24"/>
              </w:rPr>
            </w:pPr>
          </w:p>
        </w:tc>
        <w:tc>
          <w:tcPr>
            <w:tcW w:w="1521" w:type="dxa"/>
            <w:noWrap w:val="0"/>
            <w:vAlign w:val="top"/>
          </w:tcPr>
          <w:p>
            <w:pPr>
              <w:pStyle w:val="19"/>
              <w:spacing w:line="480" w:lineRule="auto"/>
              <w:ind w:firstLine="480" w:firstLineChars="200"/>
              <w:jc w:val="left"/>
              <w:rPr>
                <w:rFonts w:hint="eastAsia" w:hAnsi="宋体" w:cs="宋体"/>
                <w:sz w:val="24"/>
                <w:szCs w:val="24"/>
              </w:rPr>
            </w:pPr>
          </w:p>
        </w:tc>
        <w:tc>
          <w:tcPr>
            <w:tcW w:w="1600" w:type="dxa"/>
            <w:noWrap w:val="0"/>
            <w:vAlign w:val="top"/>
          </w:tcPr>
          <w:p>
            <w:pPr>
              <w:pStyle w:val="19"/>
              <w:spacing w:line="480" w:lineRule="auto"/>
              <w:ind w:firstLine="480" w:firstLineChars="200"/>
              <w:jc w:val="left"/>
              <w:rPr>
                <w:rFonts w:hint="eastAsia" w:hAnsi="宋体" w:cs="宋体"/>
                <w:sz w:val="24"/>
                <w:szCs w:val="24"/>
              </w:rPr>
            </w:pPr>
          </w:p>
        </w:tc>
        <w:tc>
          <w:tcPr>
            <w:tcW w:w="1938" w:type="dxa"/>
            <w:noWrap w:val="0"/>
            <w:vAlign w:val="top"/>
          </w:tcPr>
          <w:p>
            <w:pPr>
              <w:pStyle w:val="19"/>
              <w:spacing w:line="480" w:lineRule="auto"/>
              <w:ind w:firstLine="480" w:firstLineChars="200"/>
              <w:jc w:val="left"/>
              <w:rPr>
                <w:rFonts w:hint="eastAsia" w:hAnsi="宋体" w:cs="宋体"/>
                <w:sz w:val="24"/>
                <w:szCs w:val="24"/>
              </w:rPr>
            </w:pPr>
          </w:p>
        </w:tc>
        <w:tc>
          <w:tcPr>
            <w:tcW w:w="1410" w:type="dxa"/>
            <w:noWrap w:val="0"/>
            <w:vAlign w:val="top"/>
          </w:tcPr>
          <w:p>
            <w:pPr>
              <w:pStyle w:val="19"/>
              <w:spacing w:line="480" w:lineRule="auto"/>
              <w:ind w:firstLine="480" w:firstLineChars="200"/>
              <w:jc w:val="left"/>
              <w:rPr>
                <w:rFonts w:hint="eastAsia" w:hAnsi="宋体" w:cs="宋体"/>
                <w:sz w:val="24"/>
                <w:szCs w:val="24"/>
              </w:rPr>
            </w:pPr>
          </w:p>
        </w:tc>
        <w:tc>
          <w:tcPr>
            <w:tcW w:w="1356" w:type="dxa"/>
            <w:noWrap w:val="0"/>
            <w:vAlign w:val="top"/>
          </w:tcPr>
          <w:p>
            <w:pPr>
              <w:pStyle w:val="19"/>
              <w:spacing w:line="48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noWrap w:val="0"/>
            <w:vAlign w:val="top"/>
          </w:tcPr>
          <w:p>
            <w:pPr>
              <w:pStyle w:val="19"/>
              <w:spacing w:line="480" w:lineRule="auto"/>
              <w:jc w:val="left"/>
              <w:rPr>
                <w:rFonts w:hint="eastAsia" w:hAnsi="宋体" w:cs="宋体"/>
                <w:sz w:val="24"/>
                <w:szCs w:val="24"/>
              </w:rPr>
            </w:pPr>
          </w:p>
        </w:tc>
        <w:tc>
          <w:tcPr>
            <w:tcW w:w="1521" w:type="dxa"/>
            <w:noWrap w:val="0"/>
            <w:vAlign w:val="top"/>
          </w:tcPr>
          <w:p>
            <w:pPr>
              <w:pStyle w:val="19"/>
              <w:spacing w:line="480" w:lineRule="auto"/>
              <w:jc w:val="left"/>
              <w:rPr>
                <w:rFonts w:hint="eastAsia" w:hAnsi="宋体" w:cs="宋体"/>
                <w:sz w:val="24"/>
                <w:szCs w:val="24"/>
              </w:rPr>
            </w:pPr>
          </w:p>
        </w:tc>
        <w:tc>
          <w:tcPr>
            <w:tcW w:w="1600" w:type="dxa"/>
            <w:noWrap w:val="0"/>
            <w:vAlign w:val="top"/>
          </w:tcPr>
          <w:p>
            <w:pPr>
              <w:pStyle w:val="19"/>
              <w:spacing w:line="480" w:lineRule="auto"/>
              <w:ind w:firstLine="480" w:firstLineChars="200"/>
              <w:jc w:val="left"/>
              <w:rPr>
                <w:rFonts w:hint="eastAsia" w:hAnsi="宋体" w:cs="宋体"/>
                <w:sz w:val="24"/>
                <w:szCs w:val="24"/>
              </w:rPr>
            </w:pPr>
          </w:p>
        </w:tc>
        <w:tc>
          <w:tcPr>
            <w:tcW w:w="1938" w:type="dxa"/>
            <w:noWrap w:val="0"/>
            <w:vAlign w:val="top"/>
          </w:tcPr>
          <w:p>
            <w:pPr>
              <w:pStyle w:val="19"/>
              <w:spacing w:line="480" w:lineRule="auto"/>
              <w:ind w:firstLine="480" w:firstLineChars="200"/>
              <w:jc w:val="left"/>
              <w:rPr>
                <w:rFonts w:hint="eastAsia" w:hAnsi="宋体" w:cs="宋体"/>
                <w:sz w:val="24"/>
                <w:szCs w:val="24"/>
              </w:rPr>
            </w:pPr>
          </w:p>
        </w:tc>
        <w:tc>
          <w:tcPr>
            <w:tcW w:w="1410" w:type="dxa"/>
            <w:noWrap w:val="0"/>
            <w:vAlign w:val="top"/>
          </w:tcPr>
          <w:p>
            <w:pPr>
              <w:pStyle w:val="19"/>
              <w:spacing w:line="480" w:lineRule="auto"/>
              <w:ind w:firstLine="480" w:firstLineChars="200"/>
              <w:jc w:val="left"/>
              <w:rPr>
                <w:rFonts w:hint="eastAsia" w:hAnsi="宋体" w:cs="宋体"/>
                <w:sz w:val="24"/>
                <w:szCs w:val="24"/>
              </w:rPr>
            </w:pPr>
          </w:p>
        </w:tc>
        <w:tc>
          <w:tcPr>
            <w:tcW w:w="1356" w:type="dxa"/>
            <w:noWrap w:val="0"/>
            <w:vAlign w:val="top"/>
          </w:tcPr>
          <w:p>
            <w:pPr>
              <w:pStyle w:val="19"/>
              <w:spacing w:line="480" w:lineRule="auto"/>
              <w:ind w:firstLine="480" w:firstLineChars="200"/>
              <w:jc w:val="left"/>
              <w:rPr>
                <w:rFonts w:hint="eastAsia" w:hAnsi="宋体" w:cs="宋体"/>
                <w:sz w:val="24"/>
                <w:szCs w:val="24"/>
              </w:rPr>
            </w:pPr>
          </w:p>
        </w:tc>
      </w:tr>
    </w:tbl>
    <w:p>
      <w:pPr>
        <w:pStyle w:val="12"/>
        <w:spacing w:line="360" w:lineRule="auto"/>
        <w:ind w:left="140" w:firstLine="0"/>
        <w:rPr>
          <w:rFonts w:ascii="宋体" w:hAnsi="宋体" w:cs="宋体"/>
          <w:b/>
          <w:bCs/>
        </w:rPr>
      </w:pPr>
      <w:r>
        <w:rPr>
          <w:rFonts w:hint="eastAsia" w:ascii="宋体" w:hAnsi="宋体" w:cs="宋体"/>
          <w:b/>
          <w:bCs/>
        </w:rPr>
        <w:t>1、本表须按“第三章招标内容及要求”中所列服务要求进行比较和响应；</w:t>
      </w:r>
    </w:p>
    <w:p>
      <w:pPr>
        <w:pStyle w:val="12"/>
        <w:spacing w:line="360" w:lineRule="auto"/>
        <w:ind w:left="140" w:firstLine="0"/>
        <w:rPr>
          <w:rFonts w:ascii="宋体" w:hAnsi="宋体" w:cs="宋体"/>
        </w:rPr>
      </w:pPr>
      <w:r>
        <w:rPr>
          <w:rFonts w:hint="eastAsia" w:ascii="宋体" w:hAnsi="宋体" w:cs="宋体"/>
          <w:b/>
          <w:bCs/>
        </w:rPr>
        <w:t>2、该表必须按照招标文件要求逐条如实填写，根据情况在“偏离情况”项填写正偏离或负偏离或无偏离，在“说明”项填写正偏离或负偏离原因。</w:t>
      </w:r>
    </w:p>
    <w:p>
      <w:pPr>
        <w:pStyle w:val="12"/>
        <w:spacing w:line="360" w:lineRule="auto"/>
        <w:ind w:left="140" w:firstLine="0"/>
        <w:rPr>
          <w:rFonts w:ascii="宋体" w:hAnsi="宋体" w:cs="宋体"/>
        </w:rPr>
      </w:pPr>
      <w:r>
        <w:rPr>
          <w:rFonts w:hint="eastAsia" w:ascii="宋体" w:hAnsi="宋体" w:cs="宋体"/>
          <w:b/>
          <w:bCs/>
        </w:rPr>
        <w:t>3、该表可扩展。</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p>
    <w:p>
      <w:pPr>
        <w:adjustRightInd w:val="0"/>
        <w:snapToGrid w:val="0"/>
        <w:spacing w:line="480" w:lineRule="auto"/>
        <w:rPr>
          <w:rFonts w:asciiTheme="minorEastAsia" w:hAnsiTheme="minorEastAsia" w:cstheme="minorEastAsia"/>
          <w:color w:val="000000" w:themeColor="text1"/>
          <w:u w:val="single"/>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供应商（单位名称及公章）：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48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日    期：    年     月    日</w:t>
      </w:r>
    </w:p>
    <w:p/>
    <w:bookmarkEnd w:id="90"/>
    <w:bookmarkEnd w:id="91"/>
    <w:bookmarkEnd w:id="92"/>
    <w:bookmarkEnd w:id="93"/>
    <w:p>
      <w:pPr>
        <w:rPr>
          <w:rFonts w:asciiTheme="minorEastAsia" w:hAnsiTheme="minorEastAsia" w:cstheme="minorEastAsia"/>
          <w:color w:val="000000" w:themeColor="text1"/>
          <w:sz w:val="36"/>
          <w:szCs w:val="36"/>
          <w14:textFill>
            <w14:solidFill>
              <w14:schemeClr w14:val="tx1"/>
            </w14:solidFill>
          </w14:textFill>
        </w:rPr>
      </w:pPr>
      <w:bookmarkStart w:id="99" w:name="_Toc24830"/>
      <w:r>
        <w:rPr>
          <w:rFonts w:hint="eastAsia" w:asciiTheme="minorEastAsia" w:hAnsiTheme="minorEastAsia" w:cstheme="minorEastAsia"/>
          <w:color w:val="000000" w:themeColor="text1"/>
          <w:sz w:val="36"/>
          <w:szCs w:val="36"/>
          <w14:textFill>
            <w14:solidFill>
              <w14:schemeClr w14:val="tx1"/>
            </w14:solidFill>
          </w14:textFill>
        </w:rPr>
        <w:br w:type="page"/>
      </w:r>
    </w:p>
    <w:p>
      <w:pPr>
        <w:pStyle w:val="4"/>
        <w:spacing w:before="319" w:beforeLines="100" w:after="478" w:afterLines="150" w:line="500" w:lineRule="exact"/>
        <w:jc w:val="center"/>
        <w:rPr>
          <w:rFonts w:asciiTheme="minorEastAsia" w:hAnsiTheme="minorEastAsia" w:eastAsiaTheme="minorEastAsia" w:cstheme="minorEastAsia"/>
          <w:color w:val="000000" w:themeColor="text1"/>
          <w14:textFill>
            <w14:solidFill>
              <w14:schemeClr w14:val="tx1"/>
            </w14:solidFill>
          </w14:textFill>
        </w:rPr>
      </w:pPr>
      <w:bookmarkStart w:id="100" w:name="_Toc258"/>
      <w:bookmarkStart w:id="101" w:name="_Toc12239"/>
      <w:r>
        <w:rPr>
          <w:rFonts w:hint="eastAsia" w:asciiTheme="minorEastAsia" w:hAnsiTheme="minorEastAsia" w:eastAsiaTheme="minorEastAsia" w:cstheme="minorEastAsia"/>
          <w:color w:val="000000" w:themeColor="text1"/>
          <w14:textFill>
            <w14:solidFill>
              <w14:schemeClr w14:val="tx1"/>
            </w14:solidFill>
          </w14:textFill>
        </w:rPr>
        <w:t xml:space="preserve">第七部分  </w:t>
      </w:r>
      <w:bookmarkEnd w:id="99"/>
      <w:bookmarkEnd w:id="100"/>
      <w:r>
        <w:rPr>
          <w:rFonts w:hint="eastAsia" w:asciiTheme="minorEastAsia" w:hAnsiTheme="minorEastAsia" w:eastAsiaTheme="minorEastAsia" w:cstheme="minorEastAsia"/>
          <w:color w:val="000000" w:themeColor="text1"/>
          <w14:textFill>
            <w14:solidFill>
              <w14:schemeClr w14:val="tx1"/>
            </w14:solidFill>
          </w14:textFill>
        </w:rPr>
        <w:t>技术与服务方案</w:t>
      </w:r>
      <w:bookmarkEnd w:id="101"/>
    </w:p>
    <w:p>
      <w:pPr>
        <w:rPr>
          <w:rFonts w:ascii="宋体" w:hAnsi="宋体" w:cs="宋体"/>
          <w:b/>
          <w:bCs/>
          <w:sz w:val="20"/>
          <w:szCs w:val="20"/>
        </w:rPr>
      </w:pPr>
      <w:r>
        <w:rPr>
          <w:rFonts w:hint="eastAsia" w:ascii="宋体" w:hAnsi="宋体" w:cs="宋体"/>
          <w:b/>
          <w:bCs/>
        </w:rPr>
        <w:t>由供应商自行编写，无具体格式。</w:t>
      </w:r>
    </w:p>
    <w:p>
      <w:pPr>
        <w:jc w:val="both"/>
        <w:rPr>
          <w:rFonts w:asciiTheme="minorEastAsia" w:hAnsiTheme="minorEastAsia" w:cstheme="minorEastAsia"/>
        </w:rPr>
      </w:pPr>
      <w:r>
        <w:rPr>
          <w:rFonts w:hint="eastAsia" w:asciiTheme="minorEastAsia" w:hAnsiTheme="minorEastAsia" w:cstheme="minorEastAsia"/>
        </w:rPr>
        <w:t xml:space="preserve">  </w:t>
      </w:r>
    </w:p>
    <w:p>
      <w:pPr>
        <w:rPr>
          <w:rFonts w:asciiTheme="minorEastAsia" w:hAnsiTheme="minorEastAsia" w:cstheme="minorEastAsia"/>
          <w:color w:val="000000" w:themeColor="text1"/>
          <w:sz w:val="32"/>
          <w:szCs w:val="32"/>
          <w14:textFill>
            <w14:solidFill>
              <w14:schemeClr w14:val="tx1"/>
            </w14:solidFill>
          </w14:textFill>
        </w:rPr>
      </w:pPr>
      <w:r>
        <w:rPr>
          <w:rFonts w:hint="eastAsia"/>
        </w:rPr>
        <w:t xml:space="preserve">                      </w:t>
      </w:r>
      <w:r>
        <w:rPr>
          <w:rFonts w:hint="eastAsia" w:asciiTheme="minorEastAsia" w:hAnsiTheme="minorEastAsia" w:cstheme="minorEastAsia"/>
          <w:color w:val="000000" w:themeColor="text1"/>
          <w:sz w:val="32"/>
          <w:szCs w:val="32"/>
          <w14:textFill>
            <w14:solidFill>
              <w14:schemeClr w14:val="tx1"/>
            </w14:solidFill>
          </w14:textFill>
        </w:rPr>
        <w:t xml:space="preserve"> </w:t>
      </w:r>
    </w:p>
    <w:p>
      <w:pPr>
        <w:rPr>
          <w:rFonts w:asciiTheme="minorEastAsia" w:hAnsiTheme="minorEastAsia" w:cstheme="minorEastAsia"/>
          <w:color w:val="000000" w:themeColor="text1"/>
          <w:sz w:val="32"/>
          <w:szCs w:val="32"/>
          <w14:textFill>
            <w14:solidFill>
              <w14:schemeClr w14:val="tx1"/>
            </w14:solidFill>
          </w14:textFill>
        </w:rPr>
      </w:pPr>
      <w:r>
        <w:rPr>
          <w:rFonts w:hint="eastAsia" w:asciiTheme="minorEastAsia" w:hAnsiTheme="minorEastAsia" w:cstheme="minorEastAsia"/>
          <w:color w:val="000000" w:themeColor="text1"/>
          <w:sz w:val="32"/>
          <w:szCs w:val="32"/>
          <w14:textFill>
            <w14:solidFill>
              <w14:schemeClr w14:val="tx1"/>
            </w14:solidFill>
          </w14:textFill>
        </w:rPr>
        <w:br w:type="page"/>
      </w:r>
    </w:p>
    <w:p>
      <w:pPr>
        <w:jc w:val="center"/>
        <w:outlineLvl w:val="1"/>
      </w:pPr>
      <w:bookmarkStart w:id="102" w:name="_Toc18145"/>
      <w:r>
        <w:rPr>
          <w:rFonts w:hint="eastAsia" w:asciiTheme="minorEastAsia" w:hAnsiTheme="minorEastAsia" w:cstheme="minorEastAsia"/>
          <w:color w:val="000000" w:themeColor="text1"/>
          <w:sz w:val="32"/>
          <w:szCs w:val="32"/>
          <w14:textFill>
            <w14:solidFill>
              <w14:schemeClr w14:val="tx1"/>
            </w14:solidFill>
          </w14:textFill>
        </w:rPr>
        <w:t>第八部分  服务承诺</w:t>
      </w:r>
      <w:bookmarkEnd w:id="102"/>
    </w:p>
    <w:p>
      <w:pPr>
        <w:rPr>
          <w:rFonts w:ascii="宋体" w:hAnsi="宋体" w:cs="宋体"/>
          <w:b/>
          <w:bCs/>
          <w:sz w:val="20"/>
          <w:szCs w:val="20"/>
        </w:rPr>
      </w:pPr>
      <w:bookmarkStart w:id="103" w:name="_Toc11540"/>
      <w:bookmarkStart w:id="104" w:name="_Toc6020"/>
      <w:bookmarkStart w:id="105" w:name="_Toc24882"/>
      <w:bookmarkStart w:id="106" w:name="_Toc3034"/>
      <w:bookmarkStart w:id="107" w:name="_Toc8494"/>
      <w:bookmarkStart w:id="108" w:name="_Toc12793"/>
      <w:bookmarkStart w:id="109" w:name="_Toc11410"/>
      <w:bookmarkStart w:id="110" w:name="_Toc30983"/>
      <w:r>
        <w:rPr>
          <w:rFonts w:hint="eastAsia" w:ascii="宋体" w:hAnsi="宋体" w:cs="宋体"/>
          <w:b/>
          <w:bCs/>
        </w:rPr>
        <w:t>由供应商自行编写，无具体格式。</w:t>
      </w:r>
    </w:p>
    <w:p>
      <w:pPr>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p>
    <w:p>
      <w:pPr>
        <w:pStyle w:val="4"/>
        <w:jc w:val="center"/>
        <w:rPr>
          <w:rFonts w:ascii="宋体" w:hAnsi="宋体" w:eastAsia="宋体" w:cs="宋体"/>
          <w:color w:val="000000" w:themeColor="text1"/>
          <w14:textFill>
            <w14:solidFill>
              <w14:schemeClr w14:val="tx1"/>
            </w14:solidFill>
          </w14:textFill>
        </w:rPr>
      </w:pPr>
      <w:bookmarkStart w:id="111" w:name="_Toc24522"/>
      <w:r>
        <w:rPr>
          <w:rFonts w:hint="eastAsia" w:ascii="宋体" w:hAnsi="宋体" w:eastAsia="宋体" w:cs="宋体"/>
          <w:color w:val="000000" w:themeColor="text1"/>
          <w14:textFill>
            <w14:solidFill>
              <w14:schemeClr w14:val="tx1"/>
            </w14:solidFill>
          </w14:textFill>
        </w:rPr>
        <w:t>第九部分  供应商业绩一览表</w:t>
      </w:r>
      <w:bookmarkEnd w:id="103"/>
      <w:bookmarkEnd w:id="104"/>
      <w:bookmarkEnd w:id="105"/>
      <w:bookmarkEnd w:id="106"/>
      <w:bookmarkEnd w:id="111"/>
    </w:p>
    <w:p>
      <w:pPr>
        <w:rPr>
          <w:rFonts w:asciiTheme="minorEastAsia" w:hAnsiTheme="minorEastAsia" w:cstheme="minorEastAsia"/>
          <w:color w:val="000000" w:themeColor="text1"/>
          <w14:textFill>
            <w14:solidFill>
              <w14:schemeClr w14:val="tx1"/>
            </w14:solidFill>
          </w14:textFill>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1"/>
        <w:gridCol w:w="1602"/>
        <w:gridCol w:w="1468"/>
        <w:gridCol w:w="1485"/>
        <w:gridCol w:w="1577"/>
        <w:gridCol w:w="11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35" w:hRule="atLeast"/>
          <w:jc w:val="center"/>
        </w:trPr>
        <w:tc>
          <w:tcPr>
            <w:tcW w:w="801" w:type="dxa"/>
            <w:tcBorders>
              <w:top w:val="single" w:color="auto" w:sz="4" w:space="0"/>
            </w:tcBorders>
            <w:vAlign w:val="center"/>
          </w:tcPr>
          <w:p>
            <w:pPr>
              <w:spacing w:line="400" w:lineRule="exact"/>
              <w:rPr>
                <w:rFonts w:ascii="宋体" w:hAnsi="宋体" w:cs="宋体"/>
              </w:rPr>
            </w:pPr>
            <w:r>
              <w:rPr>
                <w:rFonts w:hint="eastAsia" w:ascii="宋体" w:hAnsi="宋体" w:cs="宋体"/>
              </w:rPr>
              <w:t>年份</w:t>
            </w:r>
          </w:p>
        </w:tc>
        <w:tc>
          <w:tcPr>
            <w:tcW w:w="1602"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用户名称</w:t>
            </w:r>
          </w:p>
        </w:tc>
        <w:tc>
          <w:tcPr>
            <w:tcW w:w="1468" w:type="dxa"/>
            <w:tcBorders>
              <w:top w:val="single" w:color="auto" w:sz="4" w:space="0"/>
            </w:tcBorders>
            <w:vAlign w:val="center"/>
          </w:tcPr>
          <w:p>
            <w:pPr>
              <w:spacing w:line="400" w:lineRule="exact"/>
              <w:jc w:val="center"/>
              <w:rPr>
                <w:rFonts w:ascii="宋体" w:hAnsi="宋体" w:cs="宋体"/>
              </w:rPr>
            </w:pPr>
            <w:r>
              <w:rPr>
                <w:rFonts w:hint="eastAsia" w:ascii="宋体" w:hAnsi="宋体" w:cs="宋体"/>
              </w:rPr>
              <w:t>项目名称</w:t>
            </w:r>
          </w:p>
        </w:tc>
        <w:tc>
          <w:tcPr>
            <w:tcW w:w="1485" w:type="dxa"/>
            <w:tcBorders>
              <w:top w:val="single" w:color="auto" w:sz="4" w:space="0"/>
            </w:tcBorders>
            <w:vAlign w:val="center"/>
          </w:tcPr>
          <w:p>
            <w:pPr>
              <w:spacing w:line="400" w:lineRule="exact"/>
              <w:jc w:val="center"/>
              <w:rPr>
                <w:rFonts w:ascii="宋体" w:hAnsi="宋体" w:eastAsia="宋体" w:cs="宋体"/>
              </w:rPr>
            </w:pPr>
            <w:r>
              <w:rPr>
                <w:rFonts w:hint="eastAsia" w:ascii="宋体" w:hAnsi="宋体" w:cs="宋体"/>
              </w:rPr>
              <w:t>合同签订时间</w:t>
            </w:r>
          </w:p>
        </w:tc>
        <w:tc>
          <w:tcPr>
            <w:tcW w:w="1577" w:type="dxa"/>
            <w:tcBorders>
              <w:top w:val="single" w:color="auto" w:sz="4" w:space="0"/>
            </w:tcBorders>
            <w:vAlign w:val="center"/>
          </w:tcPr>
          <w:p>
            <w:pPr>
              <w:spacing w:line="400" w:lineRule="exact"/>
              <w:ind w:firstLine="120" w:firstLineChars="50"/>
              <w:rPr>
                <w:rFonts w:ascii="宋体" w:hAnsi="宋体" w:cs="宋体"/>
              </w:rPr>
            </w:pPr>
            <w:r>
              <w:rPr>
                <w:rFonts w:hint="eastAsia" w:ascii="宋体" w:hAnsi="宋体" w:cs="宋体"/>
              </w:rPr>
              <w:t>合同金额</w:t>
            </w:r>
          </w:p>
        </w:tc>
        <w:tc>
          <w:tcPr>
            <w:tcW w:w="1163" w:type="dxa"/>
            <w:tcBorders>
              <w:top w:val="single" w:color="auto" w:sz="4" w:space="0"/>
              <w:left w:val="single" w:color="auto" w:sz="4" w:space="0"/>
            </w:tcBorders>
            <w:vAlign w:val="center"/>
          </w:tcPr>
          <w:p>
            <w:pPr>
              <w:spacing w:line="400" w:lineRule="exact"/>
              <w:rPr>
                <w:rFonts w:ascii="宋体" w:hAnsi="宋体" w:cs="宋体"/>
              </w:rPr>
            </w:pPr>
            <w:r>
              <w:rPr>
                <w:rFonts w:hint="eastAsia" w:ascii="宋体" w:hAnsi="宋体" w:cs="宋体"/>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vAlign w:val="center"/>
          </w:tcPr>
          <w:p>
            <w:pPr>
              <w:spacing w:line="400" w:lineRule="exact"/>
              <w:jc w:val="center"/>
              <w:rPr>
                <w:rFonts w:ascii="宋体" w:hAnsi="宋体" w:cs="宋体"/>
              </w:rPr>
            </w:pPr>
          </w:p>
        </w:tc>
        <w:tc>
          <w:tcPr>
            <w:tcW w:w="1468" w:type="dxa"/>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jc w:val="center"/>
              <w:rPr>
                <w:rFonts w:ascii="宋体" w:hAnsi="宋体" w:cs="宋体"/>
              </w:rPr>
            </w:pPr>
          </w:p>
        </w:tc>
        <w:tc>
          <w:tcPr>
            <w:tcW w:w="1602" w:type="dxa"/>
            <w:tcBorders>
              <w:right w:val="single" w:color="auto" w:sz="4" w:space="0"/>
            </w:tcBorders>
            <w:vAlign w:val="center"/>
          </w:tcPr>
          <w:p>
            <w:pPr>
              <w:spacing w:line="400" w:lineRule="exact"/>
              <w:jc w:val="center"/>
              <w:rPr>
                <w:rFonts w:ascii="宋体" w:hAnsi="宋体" w:cs="宋体"/>
              </w:rPr>
            </w:pPr>
          </w:p>
        </w:tc>
        <w:tc>
          <w:tcPr>
            <w:tcW w:w="1468" w:type="dxa"/>
            <w:tcBorders>
              <w:left w:val="single" w:color="auto" w:sz="4" w:space="0"/>
            </w:tcBorders>
            <w:vAlign w:val="center"/>
          </w:tcPr>
          <w:p>
            <w:pPr>
              <w:spacing w:line="400" w:lineRule="exact"/>
              <w:jc w:val="center"/>
              <w:rPr>
                <w:rFonts w:ascii="宋体" w:hAnsi="宋体" w:cs="宋体"/>
              </w:rPr>
            </w:pPr>
          </w:p>
        </w:tc>
        <w:tc>
          <w:tcPr>
            <w:tcW w:w="1485" w:type="dxa"/>
            <w:vAlign w:val="center"/>
          </w:tcPr>
          <w:p>
            <w:pPr>
              <w:spacing w:line="400" w:lineRule="exact"/>
              <w:jc w:val="center"/>
              <w:rPr>
                <w:rFonts w:ascii="宋体" w:hAnsi="宋体" w:cs="宋体"/>
              </w:rPr>
            </w:pPr>
          </w:p>
        </w:tc>
        <w:tc>
          <w:tcPr>
            <w:tcW w:w="1577" w:type="dxa"/>
            <w:vAlign w:val="center"/>
          </w:tcPr>
          <w:p>
            <w:pPr>
              <w:spacing w:line="400" w:lineRule="exact"/>
              <w:jc w:val="center"/>
              <w:rPr>
                <w:rFonts w:ascii="宋体" w:hAnsi="宋体" w:cs="宋体"/>
              </w:rPr>
            </w:pPr>
          </w:p>
        </w:tc>
        <w:tc>
          <w:tcPr>
            <w:tcW w:w="1163" w:type="dxa"/>
            <w:tcBorders>
              <w:left w:val="single" w:color="auto" w:sz="4" w:space="0"/>
            </w:tcBorders>
            <w:vAlign w:val="center"/>
          </w:tcPr>
          <w:p>
            <w:pPr>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tcBorders>
              <w:right w:val="single" w:color="auto" w:sz="4" w:space="0"/>
            </w:tcBorders>
            <w:vAlign w:val="center"/>
          </w:tcPr>
          <w:p>
            <w:pPr>
              <w:spacing w:line="400" w:lineRule="exact"/>
              <w:rPr>
                <w:rFonts w:ascii="宋体" w:hAnsi="宋体" w:cs="宋体"/>
              </w:rPr>
            </w:pPr>
          </w:p>
        </w:tc>
        <w:tc>
          <w:tcPr>
            <w:tcW w:w="1602" w:type="dxa"/>
            <w:tcBorders>
              <w:left w:val="single" w:color="auto" w:sz="4" w:space="0"/>
              <w:right w:val="single" w:color="auto" w:sz="4" w:space="0"/>
            </w:tcBorders>
            <w:vAlign w:val="center"/>
          </w:tcPr>
          <w:p>
            <w:pPr>
              <w:spacing w:line="400" w:lineRule="exact"/>
              <w:rPr>
                <w:rFonts w:ascii="宋体" w:hAnsi="宋体" w:cs="宋体"/>
              </w:rPr>
            </w:pPr>
          </w:p>
        </w:tc>
        <w:tc>
          <w:tcPr>
            <w:tcW w:w="1468" w:type="dxa"/>
            <w:tcBorders>
              <w:left w:val="single" w:color="auto" w:sz="4" w:space="0"/>
              <w:right w:val="single" w:color="auto" w:sz="4" w:space="0"/>
            </w:tcBorders>
            <w:vAlign w:val="center"/>
          </w:tcPr>
          <w:p>
            <w:pPr>
              <w:spacing w:line="400" w:lineRule="exact"/>
              <w:rPr>
                <w:rFonts w:ascii="宋体" w:hAnsi="宋体" w:cs="宋体"/>
              </w:rPr>
            </w:pPr>
          </w:p>
        </w:tc>
        <w:tc>
          <w:tcPr>
            <w:tcW w:w="1485" w:type="dxa"/>
            <w:tcBorders>
              <w:left w:val="single" w:color="auto" w:sz="4" w:space="0"/>
              <w:right w:val="single" w:color="auto" w:sz="4" w:space="0"/>
            </w:tcBorders>
            <w:vAlign w:val="center"/>
          </w:tcPr>
          <w:p>
            <w:pPr>
              <w:spacing w:line="400" w:lineRule="exact"/>
              <w:rPr>
                <w:rFonts w:ascii="宋体" w:hAnsi="宋体" w:cs="宋体"/>
              </w:rPr>
            </w:pPr>
          </w:p>
        </w:tc>
        <w:tc>
          <w:tcPr>
            <w:tcW w:w="1577" w:type="dxa"/>
            <w:tcBorders>
              <w:left w:val="single" w:color="auto" w:sz="4" w:space="0"/>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801" w:type="dxa"/>
            <w:vAlign w:val="center"/>
          </w:tcPr>
          <w:p>
            <w:pPr>
              <w:spacing w:line="400" w:lineRule="exact"/>
              <w:rPr>
                <w:rFonts w:ascii="宋体" w:hAnsi="宋体" w:cs="宋体"/>
              </w:rPr>
            </w:pPr>
          </w:p>
        </w:tc>
        <w:tc>
          <w:tcPr>
            <w:tcW w:w="1602" w:type="dxa"/>
            <w:vAlign w:val="center"/>
          </w:tcPr>
          <w:p>
            <w:pPr>
              <w:spacing w:line="400" w:lineRule="exact"/>
              <w:rPr>
                <w:rFonts w:ascii="宋体" w:hAnsi="宋体" w:cs="宋体"/>
              </w:rPr>
            </w:pPr>
          </w:p>
        </w:tc>
        <w:tc>
          <w:tcPr>
            <w:tcW w:w="1468" w:type="dxa"/>
            <w:vAlign w:val="center"/>
          </w:tcPr>
          <w:p>
            <w:pPr>
              <w:spacing w:line="400" w:lineRule="exact"/>
              <w:rPr>
                <w:rFonts w:ascii="宋体" w:hAnsi="宋体" w:cs="宋体"/>
              </w:rPr>
            </w:pPr>
          </w:p>
        </w:tc>
        <w:tc>
          <w:tcPr>
            <w:tcW w:w="1485" w:type="dxa"/>
            <w:vAlign w:val="center"/>
          </w:tcPr>
          <w:p>
            <w:pPr>
              <w:spacing w:line="400" w:lineRule="exact"/>
              <w:rPr>
                <w:rFonts w:ascii="宋体" w:hAnsi="宋体" w:cs="宋体"/>
              </w:rPr>
            </w:pPr>
          </w:p>
        </w:tc>
        <w:tc>
          <w:tcPr>
            <w:tcW w:w="1577" w:type="dxa"/>
            <w:tcBorders>
              <w:right w:val="single" w:color="auto" w:sz="4" w:space="0"/>
            </w:tcBorders>
            <w:vAlign w:val="center"/>
          </w:tcPr>
          <w:p>
            <w:pPr>
              <w:spacing w:line="400" w:lineRule="exact"/>
              <w:rPr>
                <w:rFonts w:ascii="宋体" w:hAnsi="宋体" w:cs="宋体"/>
              </w:rPr>
            </w:pPr>
          </w:p>
        </w:tc>
        <w:tc>
          <w:tcPr>
            <w:tcW w:w="1163" w:type="dxa"/>
            <w:tcBorders>
              <w:left w:val="single" w:color="auto" w:sz="4" w:space="0"/>
            </w:tcBorders>
            <w:vAlign w:val="center"/>
          </w:tcPr>
          <w:p>
            <w:pPr>
              <w:spacing w:line="400" w:lineRule="exact"/>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801" w:type="dxa"/>
            <w:tcBorders>
              <w:bottom w:val="single" w:color="auto" w:sz="4" w:space="0"/>
            </w:tcBorders>
            <w:vAlign w:val="center"/>
          </w:tcPr>
          <w:p>
            <w:pPr>
              <w:spacing w:line="400" w:lineRule="exact"/>
              <w:jc w:val="center"/>
              <w:rPr>
                <w:rFonts w:ascii="宋体" w:hAnsi="宋体" w:cs="宋体"/>
              </w:rPr>
            </w:pPr>
          </w:p>
        </w:tc>
        <w:tc>
          <w:tcPr>
            <w:tcW w:w="1602" w:type="dxa"/>
            <w:tcBorders>
              <w:bottom w:val="single" w:color="auto" w:sz="4" w:space="0"/>
            </w:tcBorders>
            <w:vAlign w:val="center"/>
          </w:tcPr>
          <w:p>
            <w:pPr>
              <w:spacing w:line="400" w:lineRule="exact"/>
              <w:jc w:val="center"/>
              <w:rPr>
                <w:rFonts w:ascii="宋体" w:hAnsi="宋体" w:cs="宋体"/>
              </w:rPr>
            </w:pPr>
          </w:p>
        </w:tc>
        <w:tc>
          <w:tcPr>
            <w:tcW w:w="1468" w:type="dxa"/>
            <w:tcBorders>
              <w:bottom w:val="single" w:color="auto" w:sz="4" w:space="0"/>
            </w:tcBorders>
            <w:vAlign w:val="center"/>
          </w:tcPr>
          <w:p>
            <w:pPr>
              <w:spacing w:line="400" w:lineRule="exact"/>
              <w:jc w:val="center"/>
              <w:rPr>
                <w:rFonts w:ascii="宋体" w:hAnsi="宋体" w:cs="宋体"/>
              </w:rPr>
            </w:pPr>
          </w:p>
        </w:tc>
        <w:tc>
          <w:tcPr>
            <w:tcW w:w="1485" w:type="dxa"/>
            <w:tcBorders>
              <w:bottom w:val="single" w:color="auto" w:sz="4" w:space="0"/>
            </w:tcBorders>
            <w:vAlign w:val="center"/>
          </w:tcPr>
          <w:p>
            <w:pPr>
              <w:spacing w:line="400" w:lineRule="exact"/>
              <w:jc w:val="center"/>
              <w:rPr>
                <w:rFonts w:ascii="宋体" w:hAnsi="宋体" w:cs="宋体"/>
              </w:rPr>
            </w:pPr>
          </w:p>
        </w:tc>
        <w:tc>
          <w:tcPr>
            <w:tcW w:w="1577" w:type="dxa"/>
            <w:tcBorders>
              <w:bottom w:val="single" w:color="auto" w:sz="4" w:space="0"/>
              <w:right w:val="single" w:color="auto" w:sz="4" w:space="0"/>
            </w:tcBorders>
            <w:vAlign w:val="center"/>
          </w:tcPr>
          <w:p>
            <w:pPr>
              <w:spacing w:line="400" w:lineRule="exact"/>
              <w:jc w:val="center"/>
              <w:rPr>
                <w:rFonts w:ascii="宋体" w:hAnsi="宋体" w:cs="宋体"/>
              </w:rPr>
            </w:pPr>
          </w:p>
        </w:tc>
        <w:tc>
          <w:tcPr>
            <w:tcW w:w="1163" w:type="dxa"/>
            <w:tcBorders>
              <w:left w:val="single" w:color="auto" w:sz="4" w:space="0"/>
              <w:bottom w:val="single" w:color="auto" w:sz="4" w:space="0"/>
            </w:tcBorders>
            <w:vAlign w:val="center"/>
          </w:tcPr>
          <w:p>
            <w:pPr>
              <w:spacing w:line="400" w:lineRule="exact"/>
              <w:jc w:val="center"/>
              <w:rPr>
                <w:rFonts w:ascii="宋体" w:hAnsi="宋体" w:cs="宋体"/>
              </w:rPr>
            </w:pPr>
          </w:p>
        </w:tc>
      </w:tr>
    </w:tbl>
    <w:p>
      <w:pPr>
        <w:spacing w:line="360" w:lineRule="auto"/>
        <w:ind w:left="360"/>
        <w:rPr>
          <w:rFonts w:asciiTheme="minorEastAsia" w:hAnsiTheme="minorEastAsia" w:cstheme="minorEastAsia"/>
          <w:color w:val="000000" w:themeColor="text1"/>
          <w14:textFill>
            <w14:solidFill>
              <w14:schemeClr w14:val="tx1"/>
            </w14:solidFill>
          </w14:textFill>
        </w:rPr>
      </w:pPr>
    </w:p>
    <w:p>
      <w:pPr>
        <w:spacing w:line="360" w:lineRule="auto"/>
        <w:rPr>
          <w:rFonts w:ascii="宋体" w:hAnsi="宋体" w:cs="宋体"/>
        </w:rPr>
      </w:pPr>
      <w:r>
        <w:rPr>
          <w:rFonts w:hint="eastAsia" w:asciiTheme="minorEastAsia" w:hAnsiTheme="minorEastAsia" w:cstheme="minorEastAsia"/>
          <w:color w:val="000000" w:themeColor="text1"/>
          <w14:textFill>
            <w14:solidFill>
              <w14:schemeClr w14:val="tx1"/>
            </w14:solidFill>
          </w14:textFill>
        </w:rPr>
        <w:t xml:space="preserve"> 注：</w:t>
      </w:r>
      <w:r>
        <w:rPr>
          <w:rFonts w:hint="eastAsia" w:ascii="宋体" w:hAnsi="宋体" w:cs="宋体"/>
        </w:rPr>
        <w:t>后附合同复印件</w:t>
      </w:r>
    </w:p>
    <w:p>
      <w:pPr>
        <w:spacing w:line="360" w:lineRule="auto"/>
        <w:rPr>
          <w:rFonts w:asciiTheme="minorEastAsia" w:hAnsiTheme="minorEastAsia" w:cstheme="minorEastAsia"/>
          <w:color w:val="000000" w:themeColor="text1"/>
          <w14:textFill>
            <w14:solidFill>
              <w14:schemeClr w14:val="tx1"/>
            </w14:solidFill>
          </w14:textFill>
        </w:rPr>
      </w:pPr>
    </w:p>
    <w:p>
      <w:pPr>
        <w:adjustRightInd w:val="0"/>
        <w:spacing w:line="600" w:lineRule="auto"/>
        <w:rPr>
          <w:rFonts w:asciiTheme="minorEastAsia" w:hAnsiTheme="minorEastAsia" w:cstheme="minorEastAsia"/>
          <w:bCs/>
          <w:color w:val="000000" w:themeColor="text1"/>
          <w:u w:val="single"/>
          <w14:textFill>
            <w14:solidFill>
              <w14:schemeClr w14:val="tx1"/>
            </w14:solidFill>
          </w14:textFill>
        </w:rPr>
      </w:pPr>
      <w:r>
        <w:rPr>
          <w:rFonts w:hint="eastAsia" w:asciiTheme="minorEastAsia" w:hAnsiTheme="minorEastAsia" w:cstheme="minorEastAsia"/>
          <w:bCs/>
          <w:color w:val="000000" w:themeColor="text1"/>
          <w14:textFill>
            <w14:solidFill>
              <w14:schemeClr w14:val="tx1"/>
            </w14:solidFill>
          </w14:textFill>
        </w:rPr>
        <w:t>供应商名称：</w:t>
      </w:r>
      <w:r>
        <w:rPr>
          <w:rFonts w:hint="eastAsia" w:asciiTheme="minorEastAsia" w:hAnsiTheme="minorEastAsia" w:cstheme="minorEastAsia"/>
          <w:bCs/>
          <w:color w:val="000000" w:themeColor="text1"/>
          <w:u w:val="single"/>
          <w14:textFill>
            <w14:solidFill>
              <w14:schemeClr w14:val="tx1"/>
            </w14:solidFill>
          </w14:textFill>
        </w:rPr>
        <w:t xml:space="preserve">              （全称及公章）</w:t>
      </w:r>
    </w:p>
    <w:p>
      <w:pPr>
        <w:adjustRightInd w:val="0"/>
        <w:snapToGrid w:val="0"/>
        <w:spacing w:line="600" w:lineRule="auto"/>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法定代表人或被授权人（签字或盖章）：</w:t>
      </w:r>
    </w:p>
    <w:p>
      <w:pPr>
        <w:adjustRightInd w:val="0"/>
        <w:snapToGrid w:val="0"/>
        <w:spacing w:line="600" w:lineRule="auto"/>
        <w:rPr>
          <w:rFonts w:asciiTheme="minorEastAsia" w:hAnsiTheme="minorEastAsia" w:cstheme="minorEastAsia"/>
          <w:sz w:val="36"/>
          <w:szCs w:val="36"/>
        </w:rPr>
      </w:pPr>
      <w:r>
        <w:rPr>
          <w:rFonts w:hint="eastAsia" w:asciiTheme="minorEastAsia" w:hAnsiTheme="minorEastAsia" w:cstheme="minorEastAsia"/>
          <w:bCs/>
          <w:color w:val="000000" w:themeColor="text1"/>
          <w14:textFill>
            <w14:solidFill>
              <w14:schemeClr w14:val="tx1"/>
            </w14:solidFill>
          </w14:textFill>
        </w:rPr>
        <w:t xml:space="preserve">日    </w:t>
      </w:r>
      <w:r>
        <w:rPr>
          <w:rFonts w:hint="eastAsia" w:asciiTheme="minorEastAsia" w:hAnsiTheme="minorEastAsia" w:cstheme="minorEastAsia"/>
          <w:color w:val="000000" w:themeColor="text1"/>
          <w14:textFill>
            <w14:solidFill>
              <w14:schemeClr w14:val="tx1"/>
            </w14:solidFill>
          </w14:textFill>
        </w:rPr>
        <w:t xml:space="preserve">期:                   </w:t>
      </w:r>
      <w:bookmarkEnd w:id="107"/>
      <w:bookmarkEnd w:id="108"/>
      <w:bookmarkEnd w:id="109"/>
      <w:bookmarkEnd w:id="110"/>
    </w:p>
    <w:p>
      <w:r>
        <w:br w:type="page"/>
      </w:r>
    </w:p>
    <w:p>
      <w:pPr>
        <w:pStyle w:val="4"/>
        <w:rPr>
          <w:rFonts w:ascii="宋体" w:hAnsi="宋体" w:eastAsia="宋体" w:cs="宋体"/>
          <w:color w:val="000000" w:themeColor="text1"/>
          <w14:textFill>
            <w14:solidFill>
              <w14:schemeClr w14:val="tx1"/>
            </w14:solidFill>
          </w14:textFill>
        </w:rPr>
      </w:pPr>
      <w:bookmarkStart w:id="112" w:name="_Toc29034"/>
      <w:bookmarkStart w:id="113" w:name="_Toc18894"/>
      <w:bookmarkStart w:id="114" w:name="_Toc17319"/>
      <w:bookmarkStart w:id="115" w:name="_Toc23432"/>
      <w:bookmarkStart w:id="116" w:name="_Toc9666"/>
      <w:bookmarkStart w:id="117" w:name="_Toc22400"/>
      <w:r>
        <w:rPr>
          <w:rFonts w:hint="eastAsia" w:ascii="宋体" w:hAnsi="宋体" w:eastAsia="宋体" w:cs="宋体"/>
          <w:color w:val="000000" w:themeColor="text1"/>
          <w14:textFill>
            <w14:solidFill>
              <w14:schemeClr w14:val="tx1"/>
            </w14:solidFill>
          </w14:textFill>
        </w:rPr>
        <w:t>第十部分  供应商认为有必要说明的其他问题</w:t>
      </w:r>
      <w:bookmarkEnd w:id="112"/>
      <w:bookmarkEnd w:id="113"/>
      <w:bookmarkEnd w:id="114"/>
      <w:bookmarkEnd w:id="115"/>
      <w:bookmarkEnd w:id="116"/>
      <w:bookmarkEnd w:id="117"/>
    </w:p>
    <w:p>
      <w:pPr>
        <w:rPr>
          <w:rFonts w:asciiTheme="minorEastAsia" w:hAnsiTheme="minorEastAsia" w:cstheme="minorEastAsia"/>
          <w:color w:val="000000" w:themeColor="text1"/>
          <w14:textFill>
            <w14:solidFill>
              <w14:schemeClr w14:val="tx1"/>
            </w14:solidFill>
          </w14:textFill>
        </w:rPr>
      </w:pPr>
    </w:p>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供应商认为有必要提供的其他证明文件</w:t>
      </w:r>
    </w:p>
    <w:p>
      <w:r>
        <w:br w:type="page"/>
      </w:r>
    </w:p>
    <w:p>
      <w:pPr>
        <w:adjustRightInd w:val="0"/>
        <w:spacing w:line="416" w:lineRule="atLeast"/>
        <w:jc w:val="center"/>
        <w:textAlignment w:val="baseline"/>
        <w:outlineLvl w:val="1"/>
        <w:rPr>
          <w:rFonts w:asciiTheme="minorEastAsia" w:hAnsiTheme="minorEastAsia" w:cstheme="minorEastAsia"/>
        </w:rPr>
      </w:pPr>
      <w:bookmarkStart w:id="118" w:name="_Toc22501"/>
      <w:bookmarkStart w:id="119" w:name="_Toc20129"/>
      <w:bookmarkStart w:id="120" w:name="_Toc8177"/>
      <w:bookmarkStart w:id="121" w:name="_Toc29049"/>
      <w:bookmarkStart w:id="122" w:name="_Toc7273"/>
      <w:bookmarkStart w:id="123" w:name="_Toc9607"/>
      <w:bookmarkStart w:id="124" w:name="_Toc22866"/>
      <w:r>
        <w:rPr>
          <w:rFonts w:hint="eastAsia" w:asciiTheme="minorEastAsia" w:hAnsiTheme="minorEastAsia" w:cstheme="minorEastAsia"/>
        </w:rPr>
        <w:t>附件一、中小企业声明</w:t>
      </w:r>
      <w:bookmarkEnd w:id="118"/>
      <w:bookmarkEnd w:id="119"/>
      <w:bookmarkEnd w:id="120"/>
      <w:bookmarkEnd w:id="121"/>
      <w:bookmarkEnd w:id="122"/>
      <w:bookmarkEnd w:id="123"/>
      <w:bookmarkEnd w:id="124"/>
    </w:p>
    <w:p>
      <w:pPr>
        <w:rPr>
          <w:rFonts w:asciiTheme="minorEastAsia" w:hAnsiTheme="minorEastAsia" w:cstheme="minorEastAsia"/>
        </w:rPr>
      </w:pPr>
    </w:p>
    <w:p>
      <w:pPr>
        <w:spacing w:line="588" w:lineRule="exact"/>
        <w:ind w:firstLine="504" w:firstLineChars="200"/>
        <w:rPr>
          <w:rFonts w:ascii="宋体" w:hAnsi="宋体"/>
          <w:color w:val="000000"/>
          <w:spacing w:val="6"/>
        </w:rPr>
      </w:pPr>
      <w:bookmarkStart w:id="125" w:name="_Toc11130"/>
      <w:bookmarkStart w:id="126" w:name="_Toc15467"/>
      <w:bookmarkStart w:id="127" w:name="_Toc11556"/>
      <w:bookmarkStart w:id="128" w:name="_Toc30503"/>
      <w:bookmarkStart w:id="129" w:name="_Toc3198"/>
      <w:r>
        <w:rPr>
          <w:rFonts w:hint="eastAsia" w:ascii="宋体" w:hAnsi="宋体"/>
          <w:color w:val="000000"/>
          <w:spacing w:val="6"/>
        </w:rPr>
        <w:t>根据《政府采购促进中小企业发展管理办法》（财库[2020]46号）的规定，由供应商自行声明并对真实性负责。如有虚假，将依法承担相应责任。</w:t>
      </w:r>
    </w:p>
    <w:bookmarkEnd w:id="125"/>
    <w:bookmarkEnd w:id="126"/>
    <w:bookmarkEnd w:id="127"/>
    <w:bookmarkEnd w:id="128"/>
    <w:bookmarkEnd w:id="129"/>
    <w:p>
      <w:pPr>
        <w:spacing w:line="360" w:lineRule="auto"/>
        <w:jc w:val="center"/>
        <w:outlineLvl w:val="9"/>
        <w:rPr>
          <w:rFonts w:ascii="宋体" w:hAnsi="宋体" w:cs="宋体"/>
          <w:sz w:val="21"/>
          <w:szCs w:val="21"/>
        </w:rPr>
      </w:pPr>
      <w:bookmarkStart w:id="130" w:name="_Toc5814"/>
      <w:bookmarkStart w:id="131" w:name="_Toc12531"/>
      <w:bookmarkStart w:id="132" w:name="_Toc21117"/>
      <w:bookmarkStart w:id="133" w:name="_Toc11896"/>
      <w:bookmarkStart w:id="134" w:name="_Toc32438"/>
      <w:bookmarkStart w:id="135" w:name="_Toc6022"/>
      <w:bookmarkStart w:id="136" w:name="_Toc10807"/>
      <w:bookmarkStart w:id="137" w:name="_Toc21466"/>
      <w:bookmarkStart w:id="138" w:name="_Toc21174"/>
      <w:bookmarkStart w:id="139" w:name="_Toc14587"/>
      <w:r>
        <w:rPr>
          <w:rFonts w:hint="eastAsia" w:ascii="宋体" w:hAnsi="宋体" w:cs="宋体"/>
          <w:b/>
          <w:bCs/>
          <w:kern w:val="0"/>
          <w:sz w:val="24"/>
          <w:szCs w:val="24"/>
        </w:rPr>
        <w:t>中</w:t>
      </w:r>
      <w:r>
        <w:rPr>
          <w:rFonts w:hint="eastAsia" w:ascii="宋体" w:hAnsi="宋体"/>
          <w:b/>
          <w:bCs/>
          <w:sz w:val="24"/>
          <w:szCs w:val="15"/>
        </w:rPr>
        <w:t>小企业声明函（服务）</w:t>
      </w:r>
    </w:p>
    <w:p>
      <w:pPr>
        <w:spacing w:line="360" w:lineRule="auto"/>
        <w:ind w:firstLine="444" w:firstLineChars="200"/>
        <w:rPr>
          <w:rFonts w:ascii="宋体" w:hAnsi="宋体" w:cs="宋体"/>
          <w:spacing w:val="6"/>
          <w:sz w:val="21"/>
          <w:szCs w:val="21"/>
        </w:rPr>
      </w:pPr>
      <w:r>
        <w:rPr>
          <w:rFonts w:hint="eastAsia" w:ascii="宋体" w:hAnsi="宋体" w:cs="宋体"/>
          <w:spacing w:val="6"/>
          <w:sz w:val="21"/>
          <w:szCs w:val="21"/>
        </w:rPr>
        <w:t>根据《政府采购促进中小企业发展管理办法》（财库﹝2020﹞46 号）的规定，由供应商自行声明并对真实性负责。如有虚假，将依法承担相应责任。</w:t>
      </w:r>
    </w:p>
    <w:p>
      <w:pPr>
        <w:widowControl/>
        <w:spacing w:line="360" w:lineRule="auto"/>
        <w:ind w:firstLine="420" w:firstLineChars="200"/>
        <w:jc w:val="left"/>
        <w:rPr>
          <w:rFonts w:hint="eastAsia" w:ascii="宋体" w:hAnsi="宋体" w:cs="宋体"/>
          <w:sz w:val="21"/>
          <w:szCs w:val="13"/>
        </w:rPr>
      </w:pPr>
      <w:bookmarkStart w:id="140" w:name="page10"/>
      <w:bookmarkEnd w:id="140"/>
      <w:r>
        <w:rPr>
          <w:rFonts w:hint="eastAsia" w:ascii="宋体" w:hAnsi="宋体" w:cs="宋体"/>
          <w:sz w:val="21"/>
          <w:szCs w:val="13"/>
        </w:rPr>
        <w:t>本公司（联合体）郑重声明，根据《政府采购促进中小企业发展管理办法》（财库﹝2020﹞46 号）的规定，本公司（联合体）参加</w:t>
      </w:r>
      <w:r>
        <w:rPr>
          <w:rFonts w:hint="eastAsia" w:ascii="宋体" w:hAnsi="宋体" w:cs="宋体"/>
          <w:sz w:val="21"/>
          <w:szCs w:val="13"/>
          <w:u w:val="single"/>
        </w:rPr>
        <w:t>（单位名称）</w:t>
      </w:r>
      <w:r>
        <w:rPr>
          <w:rFonts w:hint="eastAsia" w:ascii="宋体" w:hAnsi="宋体" w:cs="宋体"/>
          <w:sz w:val="21"/>
          <w:szCs w:val="13"/>
        </w:rPr>
        <w:t>的</w:t>
      </w:r>
      <w:r>
        <w:rPr>
          <w:rFonts w:hint="eastAsia" w:ascii="宋体" w:hAnsi="宋体" w:cs="宋体"/>
          <w:sz w:val="21"/>
          <w:szCs w:val="13"/>
          <w:u w:val="single"/>
        </w:rPr>
        <w:t>（项目名称</w:t>
      </w:r>
      <w:r>
        <w:rPr>
          <w:rFonts w:hint="eastAsia" w:ascii="宋体" w:hAnsi="宋体" w:cs="宋体"/>
          <w:sz w:val="21"/>
          <w:szCs w:val="13"/>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1.</w:t>
      </w:r>
      <w:r>
        <w:rPr>
          <w:rFonts w:hint="eastAsia" w:ascii="宋体" w:hAnsi="宋体" w:cs="宋体"/>
          <w:sz w:val="21"/>
          <w:szCs w:val="13"/>
          <w:u w:val="single"/>
        </w:rPr>
        <w:t>（标的名称）</w:t>
      </w:r>
      <w:r>
        <w:rPr>
          <w:rFonts w:hint="eastAsia" w:ascii="宋体" w:hAnsi="宋体" w:cs="宋体"/>
          <w:sz w:val="21"/>
          <w:szCs w:val="13"/>
        </w:rPr>
        <w:t xml:space="preserve"> ，属于</w:t>
      </w:r>
      <w:r>
        <w:rPr>
          <w:rFonts w:hint="eastAsia" w:ascii="宋体" w:hAnsi="宋体" w:cs="宋体"/>
          <w:sz w:val="21"/>
          <w:szCs w:val="13"/>
          <w:u w:val="single"/>
        </w:rPr>
        <w:t>（采购文件中明确的所属行业）</w:t>
      </w:r>
      <w:r>
        <w:rPr>
          <w:rFonts w:hint="eastAsia" w:ascii="宋体" w:hAnsi="宋体" w:cs="宋体"/>
          <w:sz w:val="21"/>
          <w:szCs w:val="13"/>
        </w:rPr>
        <w:t>；承建（承接）企业为</w:t>
      </w:r>
      <w:r>
        <w:rPr>
          <w:rFonts w:hint="eastAsia" w:ascii="宋体" w:hAnsi="宋体" w:cs="宋体"/>
          <w:sz w:val="21"/>
          <w:szCs w:val="13"/>
          <w:u w:val="single"/>
        </w:rPr>
        <w:t>（企业名称）</w:t>
      </w:r>
      <w:r>
        <w:rPr>
          <w:rFonts w:hint="eastAsia" w:ascii="宋体" w:hAnsi="宋体" w:cs="宋体"/>
          <w:sz w:val="21"/>
          <w:szCs w:val="13"/>
        </w:rPr>
        <w:t>，从业人员</w:t>
      </w:r>
      <w:r>
        <w:rPr>
          <w:rFonts w:hint="eastAsia" w:ascii="宋体" w:hAnsi="宋体" w:cs="宋体"/>
          <w:sz w:val="21"/>
          <w:szCs w:val="13"/>
          <w:u w:val="single"/>
        </w:rPr>
        <w:t xml:space="preserve">    </w:t>
      </w:r>
      <w:r>
        <w:rPr>
          <w:rFonts w:hint="eastAsia" w:ascii="宋体" w:hAnsi="宋体" w:cs="宋体"/>
          <w:sz w:val="21"/>
          <w:szCs w:val="13"/>
        </w:rPr>
        <w:t>人，营业收入为</w:t>
      </w:r>
      <w:r>
        <w:rPr>
          <w:rFonts w:hint="eastAsia" w:ascii="宋体" w:hAnsi="宋体" w:cs="宋体"/>
          <w:sz w:val="21"/>
          <w:szCs w:val="13"/>
          <w:u w:val="single"/>
        </w:rPr>
        <w:t xml:space="preserve">    </w:t>
      </w:r>
      <w:r>
        <w:rPr>
          <w:rFonts w:hint="eastAsia" w:ascii="宋体" w:hAnsi="宋体" w:cs="宋体"/>
          <w:sz w:val="21"/>
          <w:szCs w:val="13"/>
        </w:rPr>
        <w:t>万元，资产总额为</w:t>
      </w:r>
      <w:r>
        <w:rPr>
          <w:rFonts w:hint="eastAsia" w:ascii="宋体" w:hAnsi="宋体" w:cs="宋体"/>
          <w:sz w:val="21"/>
          <w:szCs w:val="13"/>
          <w:u w:val="single"/>
        </w:rPr>
        <w:t xml:space="preserve">   </w:t>
      </w:r>
      <w:r>
        <w:rPr>
          <w:rFonts w:hint="eastAsia" w:ascii="宋体" w:hAnsi="宋体" w:cs="宋体"/>
          <w:sz w:val="21"/>
          <w:szCs w:val="13"/>
        </w:rPr>
        <w:t>万元，属于</w:t>
      </w:r>
      <w:r>
        <w:rPr>
          <w:rFonts w:hint="eastAsia" w:ascii="宋体" w:hAnsi="宋体" w:cs="宋体"/>
          <w:sz w:val="21"/>
          <w:szCs w:val="13"/>
          <w:u w:val="single"/>
        </w:rPr>
        <w:t>（中型企业、小型企业、微型企业）</w:t>
      </w:r>
      <w:r>
        <w:rPr>
          <w:rFonts w:hint="eastAsia" w:ascii="宋体" w:hAnsi="宋体" w:cs="宋体"/>
          <w:sz w:val="21"/>
          <w:szCs w:val="13"/>
        </w:rPr>
        <w:t>；</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2.</w:t>
      </w:r>
      <w:r>
        <w:rPr>
          <w:rFonts w:hint="eastAsia" w:ascii="宋体" w:hAnsi="宋体" w:cs="宋体"/>
          <w:sz w:val="21"/>
          <w:szCs w:val="13"/>
          <w:u w:val="single"/>
        </w:rPr>
        <w:t>（标的名称）</w:t>
      </w:r>
      <w:r>
        <w:rPr>
          <w:rFonts w:hint="eastAsia" w:ascii="宋体" w:hAnsi="宋体" w:cs="宋体"/>
          <w:sz w:val="21"/>
          <w:szCs w:val="13"/>
        </w:rPr>
        <w:t xml:space="preserve"> ，属于</w:t>
      </w:r>
      <w:r>
        <w:rPr>
          <w:rFonts w:hint="eastAsia" w:ascii="宋体" w:hAnsi="宋体" w:cs="宋体"/>
          <w:sz w:val="21"/>
          <w:szCs w:val="13"/>
          <w:u w:val="single"/>
        </w:rPr>
        <w:t>（采购文件中明确的所属行业）</w:t>
      </w:r>
      <w:r>
        <w:rPr>
          <w:rFonts w:hint="eastAsia" w:ascii="宋体" w:hAnsi="宋体" w:cs="宋体"/>
          <w:sz w:val="21"/>
          <w:szCs w:val="13"/>
        </w:rPr>
        <w:t>；承建（承接）企业为</w:t>
      </w:r>
      <w:r>
        <w:rPr>
          <w:rFonts w:hint="eastAsia" w:ascii="宋体" w:hAnsi="宋体" w:cs="宋体"/>
          <w:sz w:val="21"/>
          <w:szCs w:val="13"/>
          <w:u w:val="single"/>
        </w:rPr>
        <w:t>（企业名称）</w:t>
      </w:r>
      <w:r>
        <w:rPr>
          <w:rFonts w:hint="eastAsia" w:ascii="宋体" w:hAnsi="宋体" w:cs="宋体"/>
          <w:sz w:val="21"/>
          <w:szCs w:val="13"/>
        </w:rPr>
        <w:t>，从业人员</w:t>
      </w:r>
      <w:r>
        <w:rPr>
          <w:rFonts w:hint="eastAsia" w:ascii="宋体" w:hAnsi="宋体" w:cs="宋体"/>
          <w:sz w:val="21"/>
          <w:szCs w:val="13"/>
          <w:u w:val="single"/>
        </w:rPr>
        <w:t xml:space="preserve">    </w:t>
      </w:r>
      <w:r>
        <w:rPr>
          <w:rFonts w:hint="eastAsia" w:ascii="宋体" w:hAnsi="宋体" w:cs="宋体"/>
          <w:sz w:val="21"/>
          <w:szCs w:val="13"/>
        </w:rPr>
        <w:t>人，营业收入为</w:t>
      </w:r>
      <w:r>
        <w:rPr>
          <w:rFonts w:hint="eastAsia" w:ascii="宋体" w:hAnsi="宋体" w:cs="宋体"/>
          <w:sz w:val="21"/>
          <w:szCs w:val="13"/>
          <w:u w:val="single"/>
        </w:rPr>
        <w:t xml:space="preserve">    </w:t>
      </w:r>
      <w:r>
        <w:rPr>
          <w:rFonts w:hint="eastAsia" w:ascii="宋体" w:hAnsi="宋体" w:cs="宋体"/>
          <w:sz w:val="21"/>
          <w:szCs w:val="13"/>
        </w:rPr>
        <w:t>万元，资产总额为</w:t>
      </w:r>
      <w:r>
        <w:rPr>
          <w:rFonts w:hint="eastAsia" w:ascii="宋体" w:hAnsi="宋体" w:cs="宋体"/>
          <w:sz w:val="21"/>
          <w:szCs w:val="13"/>
          <w:u w:val="single"/>
        </w:rPr>
        <w:t xml:space="preserve">   </w:t>
      </w:r>
      <w:r>
        <w:rPr>
          <w:rFonts w:hint="eastAsia" w:ascii="宋体" w:hAnsi="宋体" w:cs="宋体"/>
          <w:sz w:val="21"/>
          <w:szCs w:val="13"/>
        </w:rPr>
        <w:t>万元，属于</w:t>
      </w:r>
      <w:r>
        <w:rPr>
          <w:rFonts w:hint="eastAsia" w:ascii="宋体" w:hAnsi="宋体" w:cs="宋体"/>
          <w:sz w:val="21"/>
          <w:szCs w:val="13"/>
          <w:u w:val="single"/>
        </w:rPr>
        <w:t>（中型企业、小型企业、微型企业）</w:t>
      </w:r>
      <w:r>
        <w:rPr>
          <w:rFonts w:hint="eastAsia" w:ascii="宋体" w:hAnsi="宋体" w:cs="宋体"/>
          <w:sz w:val="21"/>
          <w:szCs w:val="13"/>
        </w:rPr>
        <w:t>；</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cs="宋体"/>
          <w:sz w:val="21"/>
          <w:szCs w:val="13"/>
        </w:rPr>
      </w:pPr>
      <w:r>
        <w:rPr>
          <w:rFonts w:hint="eastAsia" w:ascii="宋体" w:hAnsi="宋体" w:cs="宋体"/>
          <w:sz w:val="21"/>
          <w:szCs w:val="13"/>
        </w:rPr>
        <w:t>本企业对上述声明内容的真实性负责。如有虚假，将依法承担相应责任。</w:t>
      </w:r>
    </w:p>
    <w:p>
      <w:pPr>
        <w:widowControl/>
        <w:spacing w:line="360" w:lineRule="auto"/>
        <w:ind w:firstLine="420" w:firstLineChars="200"/>
        <w:jc w:val="center"/>
        <w:rPr>
          <w:rFonts w:hint="eastAsia" w:ascii="宋体" w:hAnsi="宋体" w:cs="宋体"/>
          <w:sz w:val="21"/>
          <w:szCs w:val="13"/>
        </w:rPr>
      </w:pPr>
      <w:r>
        <w:rPr>
          <w:rFonts w:hint="eastAsia" w:ascii="宋体" w:hAnsi="宋体" w:cs="宋体"/>
          <w:sz w:val="21"/>
          <w:szCs w:val="13"/>
        </w:rPr>
        <w:t xml:space="preserve">                         企业名称（盖章）：</w:t>
      </w:r>
    </w:p>
    <w:p>
      <w:pPr>
        <w:adjustRightInd w:val="0"/>
        <w:spacing w:line="360" w:lineRule="auto"/>
        <w:jc w:val="center"/>
        <w:textAlignment w:val="baseline"/>
        <w:rPr>
          <w:sz w:val="16"/>
          <w:szCs w:val="18"/>
        </w:rPr>
      </w:pPr>
      <w:r>
        <w:rPr>
          <w:rFonts w:hint="eastAsia" w:ascii="宋体" w:hAnsi="宋体" w:cs="宋体"/>
          <w:sz w:val="21"/>
          <w:szCs w:val="13"/>
        </w:rPr>
        <w:t xml:space="preserve">                                         日期：</w:t>
      </w:r>
    </w:p>
    <w:p>
      <w:pPr>
        <w:spacing w:line="360" w:lineRule="auto"/>
        <w:rPr>
          <w:rFonts w:eastAsia="Times New Roman"/>
          <w:sz w:val="21"/>
          <w:szCs w:val="21"/>
          <w:vertAlign w:val="superscript"/>
        </w:rPr>
      </w:pPr>
    </w:p>
    <w:p>
      <w:pPr>
        <w:spacing w:line="360" w:lineRule="auto"/>
        <w:rPr>
          <w:rFonts w:ascii="宋体" w:hAnsi="宋体"/>
          <w:sz w:val="18"/>
        </w:rPr>
      </w:pPr>
      <w:r>
        <w:rPr>
          <w:rFonts w:ascii="仿宋" w:hAnsi="仿宋" w:eastAsia="仿宋"/>
          <w:sz w:val="24"/>
          <w:szCs w:val="21"/>
        </w:rPr>
        <w:drawing>
          <wp:anchor distT="0" distB="0" distL="114300" distR="114300" simplePos="0" relativeHeight="251660288"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5"/>
                    <a:stretch>
                      <a:fillRect/>
                    </a:stretch>
                  </pic:blipFill>
                  <pic:spPr>
                    <a:xfrm>
                      <a:off x="0" y="0"/>
                      <a:ext cx="1828800" cy="12700"/>
                    </a:xfrm>
                    <a:prstGeom prst="rect">
                      <a:avLst/>
                    </a:prstGeom>
                    <a:noFill/>
                    <a:ln>
                      <a:noFill/>
                    </a:ln>
                  </pic:spPr>
                </pic:pic>
              </a:graphicData>
            </a:graphic>
          </wp:anchor>
        </w:drawing>
      </w:r>
      <w:r>
        <w:rPr>
          <w:rFonts w:eastAsia="Times New Roman"/>
          <w:sz w:val="21"/>
          <w:szCs w:val="21"/>
          <w:vertAlign w:val="superscript"/>
        </w:rPr>
        <w:t>1</w:t>
      </w:r>
      <w:r>
        <w:rPr>
          <w:rFonts w:ascii="宋体" w:hAnsi="宋体"/>
          <w:sz w:val="15"/>
          <w:szCs w:val="21"/>
        </w:rPr>
        <w:t>从业人员、营业收入、资产总额填报上一年度数据，无上一年度数据的新成立企业可不填报。</w:t>
      </w:r>
    </w:p>
    <w:p>
      <w:pPr>
        <w:rPr>
          <w:rFonts w:ascii="宋体" w:hAnsi="宋体"/>
          <w:sz w:val="18"/>
        </w:rPr>
      </w:pPr>
    </w:p>
    <w:p>
      <w:pPr>
        <w:rPr>
          <w:rFonts w:hint="eastAsia"/>
        </w:rPr>
        <w:sectPr>
          <w:footerReference r:id="rId19" w:type="default"/>
          <w:pgSz w:w="11906" w:h="16838"/>
          <w:pgMar w:top="1440" w:right="1803" w:bottom="1440" w:left="1803" w:header="851" w:footer="992" w:gutter="0"/>
          <w:pgNumType w:fmt="decimal"/>
          <w:cols w:space="720" w:num="1"/>
          <w:docGrid w:type="lines" w:linePitch="319" w:charSpace="0"/>
        </w:sectPr>
      </w:pPr>
    </w:p>
    <w:bookmarkEnd w:id="130"/>
    <w:bookmarkEnd w:id="131"/>
    <w:bookmarkEnd w:id="132"/>
    <w:bookmarkEnd w:id="133"/>
    <w:bookmarkEnd w:id="134"/>
    <w:bookmarkEnd w:id="135"/>
    <w:bookmarkEnd w:id="136"/>
    <w:p>
      <w:pPr>
        <w:shd w:val="clear" w:color="auto" w:fill="FFFFFF"/>
        <w:spacing w:before="450" w:after="300" w:line="540" w:lineRule="atLeast"/>
        <w:jc w:val="center"/>
        <w:textAlignment w:val="baseline"/>
        <w:rPr>
          <w:rFonts w:ascii="微软雅黑" w:hAnsi="微软雅黑" w:eastAsia="微软雅黑" w:cs="微软雅黑"/>
          <w:color w:val="383940"/>
          <w:sz w:val="39"/>
          <w:szCs w:val="39"/>
        </w:rPr>
      </w:pPr>
      <w:r>
        <w:rPr>
          <w:rFonts w:hint="eastAsia" w:ascii="微软雅黑" w:hAnsi="微软雅黑" w:eastAsia="微软雅黑" w:cs="微软雅黑"/>
          <w:color w:val="383940"/>
          <w:sz w:val="39"/>
          <w:szCs w:val="39"/>
          <w:shd w:val="clear" w:color="auto" w:fill="FFFFFF"/>
        </w:rPr>
        <w:t>关于印发中小企业划型标准规定的通知</w:t>
      </w:r>
    </w:p>
    <w:p>
      <w:pPr>
        <w:pStyle w:val="30"/>
        <w:shd w:val="clear" w:color="auto" w:fill="FFFFFF"/>
        <w:rPr>
          <w:rFonts w:eastAsia="宋体"/>
          <w:color w:val="000000"/>
          <w:shd w:val="clear" w:color="auto" w:fill="FFFFFF"/>
        </w:rPr>
      </w:pPr>
      <w:r>
        <w:rPr>
          <w:rFonts w:hint="eastAsia"/>
          <w:color w:val="000000"/>
          <w:shd w:val="clear" w:color="auto" w:fill="FFFFFF"/>
        </w:rPr>
        <w:t>各省、自治区、直辖市人民政府，国务院各部委、各直属机构及有关单位：</w:t>
      </w:r>
    </w:p>
    <w:p>
      <w:pPr>
        <w:pStyle w:val="30"/>
        <w:shd w:val="clear" w:color="auto" w:fill="FFFFFF"/>
        <w:rPr>
          <w:rFonts w:eastAsia="宋体"/>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0"/>
        <w:shd w:val="clear" w:color="auto" w:fill="FFFFFF"/>
        <w:rPr>
          <w:rFonts w:eastAsia="宋体"/>
          <w:color w:val="000000"/>
          <w:shd w:val="clear" w:color="auto" w:fill="FFFFFF"/>
        </w:rPr>
      </w:pPr>
      <w:r>
        <w:rPr>
          <w:rFonts w:hint="eastAsia"/>
          <w:color w:val="000000"/>
          <w:shd w:val="clear" w:color="auto" w:fill="FFFFFF"/>
        </w:rPr>
        <w:t>　　　　　　　　　　　　　　　　　　　　　工业和信息化部　国家统计局</w:t>
      </w:r>
    </w:p>
    <w:p>
      <w:pPr>
        <w:pStyle w:val="30"/>
        <w:shd w:val="clear" w:color="auto" w:fill="FFFFFF"/>
        <w:rPr>
          <w:rFonts w:eastAsia="宋体"/>
          <w:color w:val="000000"/>
          <w:shd w:val="clear" w:color="auto" w:fill="FFFFFF"/>
        </w:rPr>
      </w:pPr>
      <w:r>
        <w:rPr>
          <w:rFonts w:hint="eastAsia"/>
          <w:color w:val="000000"/>
          <w:shd w:val="clear" w:color="auto" w:fill="FFFFFF"/>
        </w:rPr>
        <w:t>　　　　　　　　　　　　　　　　　　　　国家发展和改革委员会　财政部</w:t>
      </w:r>
    </w:p>
    <w:p>
      <w:pPr>
        <w:pStyle w:val="30"/>
        <w:shd w:val="clear" w:color="auto" w:fill="FFFFFF"/>
        <w:rPr>
          <w:color w:val="000000"/>
        </w:rPr>
      </w:pPr>
      <w:r>
        <w:rPr>
          <w:rFonts w:hint="eastAsia"/>
          <w:color w:val="000000"/>
          <w:shd w:val="clear" w:color="auto" w:fill="FFFFFF"/>
        </w:rPr>
        <w:t>　　　　　　　　　　　　　　　　　　　　　　　　二○一一年六月十八日</w:t>
      </w:r>
    </w:p>
    <w:p>
      <w:pPr>
        <w:pStyle w:val="30"/>
        <w:shd w:val="clear" w:color="auto" w:fill="FFFFFF"/>
        <w:rPr>
          <w:color w:val="000000"/>
        </w:rPr>
      </w:pPr>
      <w:r>
        <w:rPr>
          <w:rFonts w:hint="eastAsia"/>
          <w:color w:val="000000"/>
          <w:shd w:val="clear" w:color="auto" w:fill="FFFFFF"/>
        </w:rPr>
        <w:t> </w:t>
      </w:r>
    </w:p>
    <w:p>
      <w:pPr>
        <w:pStyle w:val="30"/>
        <w:shd w:val="clear" w:color="auto" w:fill="FFFFFF"/>
        <w:jc w:val="center"/>
        <w:rPr>
          <w:rStyle w:val="38"/>
          <w:color w:val="000000"/>
          <w:sz w:val="36"/>
          <w:szCs w:val="36"/>
          <w:shd w:val="clear" w:color="auto" w:fill="FFFFFF"/>
        </w:rPr>
      </w:pPr>
      <w:r>
        <w:rPr>
          <w:rStyle w:val="38"/>
          <w:rFonts w:hint="eastAsia"/>
          <w:color w:val="000000"/>
          <w:sz w:val="36"/>
          <w:szCs w:val="36"/>
          <w:shd w:val="clear" w:color="auto" w:fill="FFFFFF"/>
        </w:rPr>
        <w:t>中小企业划型标准规定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一、根据《中华人民共和国中小企业促进法》和《国务院关于进一步促进中小企业发展的若干意见》(国发〔2009〕36号)，制定本规定。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二、中小企业划分为中型、小型、微型三种类型，具体标准根据企业从业人员、营业收入、资产总额等指标，结合行业特点制定。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rPr>
          <w:rFonts w:ascii="宋体" w:hAnsi="宋体" w:eastAsia="宋体" w:cs="宋体"/>
          <w:color w:val="000000"/>
          <w:shd w:val="clear" w:color="auto" w:fill="FFFFFF"/>
        </w:rPr>
      </w:pPr>
      <w:r>
        <w:rPr>
          <w:rFonts w:hint="eastAsia" w:ascii="宋体" w:hAnsi="宋体" w:cs="宋体"/>
          <w:color w:val="000000"/>
          <w:shd w:val="clear" w:color="auto" w:fill="FFFFFF"/>
        </w:rPr>
        <w:t>　　四、各行业划型标准为：</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（十六）其他未列明行业。从业人员300人以下的为中小微型企业。其中，从业人员100人及以上的为中型企业；从业人员10人及以上的为小型企业；从业人员10人以下的为微型企业。</w:t>
      </w:r>
    </w:p>
    <w:p>
      <w:pPr>
        <w:rPr>
          <w:rFonts w:ascii="宋体" w:hAnsi="宋体" w:eastAsia="宋体" w:cs="宋体"/>
          <w:color w:val="000000"/>
          <w:shd w:val="clear" w:color="auto" w:fill="FFFFFF"/>
        </w:rPr>
      </w:pPr>
      <w:r>
        <w:rPr>
          <w:rFonts w:hint="eastAsia" w:ascii="宋体" w:hAnsi="宋体" w:cs="宋体"/>
          <w:color w:val="000000"/>
          <w:shd w:val="clear" w:color="auto" w:fill="FFFFFF"/>
        </w:rPr>
        <w:t>　　五、企业类型的划分以统计部门的统计数据为依据。</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六、本规定适用于在中华人民共和国境内依法设立的各类所有制和各种组织形式的企业。个体工商户和本规定以外的行业，参照本规定进行划型。</w:t>
      </w:r>
    </w:p>
    <w:p>
      <w:pPr>
        <w:rPr>
          <w:rFonts w:ascii="宋体" w:hAnsi="宋体" w:eastAsia="宋体" w:cs="宋体"/>
          <w:color w:val="000000"/>
          <w:shd w:val="clear" w:color="auto" w:fill="FFFFFF"/>
        </w:rPr>
      </w:pPr>
      <w:r>
        <w:rPr>
          <w:rFonts w:hint="eastAsia" w:ascii="宋体" w:hAnsi="宋体" w:cs="宋体"/>
          <w:color w:val="000000"/>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rPr>
          <w:rFonts w:ascii="宋体" w:hAnsi="宋体" w:eastAsia="宋体" w:cs="宋体"/>
          <w:color w:val="000000"/>
          <w:shd w:val="clear" w:color="auto" w:fill="FFFFFF"/>
        </w:rPr>
      </w:pPr>
      <w:r>
        <w:rPr>
          <w:rFonts w:hint="eastAsia" w:ascii="宋体" w:hAnsi="宋体" w:cs="宋体"/>
          <w:color w:val="000000"/>
          <w:shd w:val="clear" w:color="auto" w:fill="FFFFFF"/>
        </w:rPr>
        <w:t>　　八、本规定由工业和信息化部、国家统计局会同有关部门根据《国民经济行业分类》修订情况和企业发展变化情况适时修订。</w:t>
      </w:r>
    </w:p>
    <w:p>
      <w:pPr>
        <w:rPr>
          <w:rFonts w:ascii="宋体" w:hAnsi="宋体" w:eastAsia="宋体" w:cs="宋体"/>
          <w:color w:val="000000"/>
          <w:shd w:val="clear" w:color="auto" w:fill="FFFFFF"/>
        </w:rPr>
      </w:pPr>
      <w:r>
        <w:rPr>
          <w:rFonts w:hint="eastAsia" w:ascii="宋体" w:hAnsi="宋体" w:cs="宋体"/>
          <w:color w:val="000000"/>
          <w:shd w:val="clear" w:color="auto" w:fill="FFFFFF"/>
        </w:rPr>
        <w:t>　　九、本规定由工业和信息化部、国家统计局会同有关部门负责解释。</w:t>
      </w:r>
    </w:p>
    <w:p>
      <w:pPr>
        <w:sectPr>
          <w:footerReference r:id="rId20"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000000"/>
          <w:shd w:val="clear" w:color="auto" w:fill="FFFFFF"/>
        </w:rPr>
        <w:t>　　十、本规定自发布之日起执行，原国家经贸委、原国家计委、财政部和国家统计局2003年颁布的《中小企业标准暂行规定》同时废止。</w:t>
      </w:r>
    </w:p>
    <w:p>
      <w:pPr>
        <w:adjustRightInd w:val="0"/>
        <w:spacing w:line="416" w:lineRule="atLeast"/>
        <w:jc w:val="center"/>
        <w:textAlignment w:val="baseline"/>
        <w:outlineLvl w:val="1"/>
        <w:rPr>
          <w:rFonts w:asciiTheme="minorEastAsia" w:hAnsiTheme="minorEastAsia" w:cstheme="minorEastAsia"/>
        </w:rPr>
      </w:pPr>
      <w:bookmarkStart w:id="141" w:name="_Toc27703"/>
      <w:r>
        <w:rPr>
          <w:rFonts w:hint="eastAsia" w:asciiTheme="minorEastAsia" w:hAnsiTheme="minorEastAsia" w:cstheme="minorEastAsia"/>
        </w:rPr>
        <w:t>附件二、残疾人福利性单位声明</w:t>
      </w:r>
      <w:bookmarkEnd w:id="137"/>
      <w:bookmarkEnd w:id="138"/>
      <w:bookmarkEnd w:id="139"/>
      <w:bookmarkEnd w:id="141"/>
    </w:p>
    <w:p>
      <w:pPr>
        <w:spacing w:line="588" w:lineRule="exact"/>
        <w:ind w:firstLine="504" w:firstLineChars="200"/>
        <w:rPr>
          <w:rFonts w:ascii="宋体" w:hAnsi="宋体" w:cs="宋体"/>
          <w:spacing w:val="6"/>
        </w:rPr>
      </w:pPr>
      <w:r>
        <w:rPr>
          <w:rFonts w:hint="eastAsia" w:ascii="宋体" w:hAnsi="宋体" w:cs="宋体"/>
          <w:spacing w:val="6"/>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adjustRightInd w:val="0"/>
        <w:spacing w:line="416" w:lineRule="atLeast"/>
        <w:jc w:val="center"/>
        <w:textAlignment w:val="baseline"/>
        <w:outlineLvl w:val="1"/>
        <w:rPr>
          <w:rFonts w:asciiTheme="minorEastAsia" w:hAnsiTheme="minorEastAsia" w:cstheme="minorEastAsia"/>
        </w:rPr>
      </w:pPr>
      <w:bookmarkStart w:id="142" w:name="_Toc26193"/>
      <w:bookmarkStart w:id="143" w:name="_Toc32272"/>
      <w:bookmarkStart w:id="144" w:name="_Toc13817"/>
      <w:bookmarkStart w:id="145" w:name="_Toc27385"/>
      <w:bookmarkStart w:id="146" w:name="_Toc2723"/>
      <w:bookmarkStart w:id="147" w:name="_Toc13075"/>
      <w:bookmarkStart w:id="148" w:name="_Toc3053"/>
      <w:r>
        <w:rPr>
          <w:rFonts w:hint="eastAsia" w:asciiTheme="minorEastAsia" w:hAnsiTheme="minorEastAsia" w:cstheme="minorEastAsia"/>
        </w:rPr>
        <w:t>附件三、监狱企业证明文件</w:t>
      </w:r>
      <w:bookmarkEnd w:id="142"/>
      <w:bookmarkEnd w:id="143"/>
      <w:bookmarkEnd w:id="144"/>
      <w:bookmarkEnd w:id="145"/>
      <w:bookmarkEnd w:id="146"/>
      <w:bookmarkEnd w:id="147"/>
      <w:bookmarkEnd w:id="148"/>
    </w:p>
    <w:p>
      <w:pPr>
        <w:rPr>
          <w:rFonts w:ascii="宋体" w:hAnsi="宋体" w:cs="宋体"/>
        </w:rPr>
      </w:pPr>
    </w:p>
    <w:p>
      <w:pPr>
        <w:snapToGrid w:val="0"/>
        <w:spacing w:line="360" w:lineRule="auto"/>
        <w:ind w:firstLine="504" w:firstLineChars="200"/>
        <w:rPr>
          <w:rFonts w:ascii="宋体" w:hAnsi="宋体" w:cs="宋体"/>
          <w:b/>
          <w:bCs/>
          <w:spacing w:val="48"/>
          <w:sz w:val="72"/>
          <w:szCs w:val="72"/>
        </w:rPr>
      </w:pPr>
      <w:r>
        <w:rPr>
          <w:rFonts w:hint="eastAsia" w:ascii="宋体" w:hAnsi="宋体" w:cs="宋体"/>
          <w:spacing w:val="6"/>
        </w:rPr>
        <w:t>说明：根据</w:t>
      </w:r>
      <w:r>
        <w:rPr>
          <w:rFonts w:hint="eastAsia" w:ascii="宋体" w:hAnsi="宋体" w:cs="宋体"/>
        </w:rPr>
        <w:t>《关于政府采购支持监狱企业发展有关问题的通知》（财库〔2014〕68号）的规定，监狱企业参加政府采购活动时，应当提供由省级以上监狱管理局、戒毒管理局（含新疆生产建设兵团）出具的属于监狱企业的证明文件。</w:t>
      </w:r>
    </w:p>
    <w:p>
      <w:pPr>
        <w:rPr>
          <w:rFonts w:ascii="宋体" w:hAnsi="宋体" w:cs="宋体"/>
        </w:rPr>
      </w:pPr>
      <w:bookmarkStart w:id="149" w:name="_Toc13303"/>
      <w:bookmarkStart w:id="150" w:name="_Toc13539"/>
      <w:bookmarkStart w:id="151" w:name="_Toc563"/>
      <w:bookmarkStart w:id="152" w:name="_Toc3267"/>
      <w:bookmarkStart w:id="153" w:name="_Toc2126"/>
      <w:bookmarkStart w:id="154" w:name="_Toc11969"/>
      <w:bookmarkStart w:id="155" w:name="_Toc13122"/>
      <w:bookmarkStart w:id="156" w:name="_Toc19198"/>
    </w:p>
    <w:p>
      <w:pPr>
        <w:jc w:val="center"/>
        <w:rPr>
          <w:rFonts w:ascii="宋体" w:hAnsi="宋体" w:cs="宋体"/>
        </w:rPr>
      </w:pPr>
      <w:r>
        <w:rPr>
          <w:rFonts w:hint="eastAsia" w:ascii="宋体" w:hAnsi="宋体" w:cs="宋体"/>
        </w:rPr>
        <w:t>附件四、“节能产品”，“环境标志产品”证明材料</w:t>
      </w:r>
      <w:bookmarkEnd w:id="149"/>
      <w:bookmarkEnd w:id="150"/>
      <w:bookmarkEnd w:id="151"/>
      <w:bookmarkEnd w:id="152"/>
      <w:bookmarkEnd w:id="153"/>
      <w:bookmarkEnd w:id="154"/>
      <w:bookmarkEnd w:id="155"/>
      <w:bookmarkEnd w:id="156"/>
    </w:p>
    <w:p>
      <w:pPr>
        <w:rPr>
          <w:rFonts w:ascii="宋体" w:hAnsi="宋体" w:cs="宋体"/>
        </w:rPr>
      </w:pPr>
    </w:p>
    <w:p>
      <w:pPr>
        <w:rPr>
          <w:rFonts w:ascii="宋体" w:hAnsi="宋体" w:cs="宋体"/>
        </w:rPr>
      </w:pPr>
      <w:r>
        <w:rPr>
          <w:rFonts w:hint="eastAsia" w:ascii="宋体" w:hAnsi="宋体" w:cs="宋体"/>
        </w:rPr>
        <w:t>1、供应商提供的产品属于“节能产品”，“环境标志产品”，应提供产品列入“节能产品”，“环境标志产品”相应产品的国家确定的认证机构出具的、处于有效期内的节能产品、环境标志产品认证证书。</w:t>
      </w:r>
    </w:p>
    <w:p>
      <w:pPr>
        <w:rPr>
          <w:rFonts w:ascii="宋体" w:hAnsi="宋体" w:cs="宋体"/>
        </w:rPr>
      </w:pPr>
      <w:r>
        <w:rPr>
          <w:rFonts w:hint="eastAsia" w:ascii="宋体" w:hAnsi="宋体" w:cs="宋体"/>
        </w:rPr>
        <w:t>2、未按照上述要求提供的，评审时不予以考虑。</w:t>
      </w:r>
    </w:p>
    <w:p>
      <w:pPr>
        <w:spacing w:line="360" w:lineRule="auto"/>
        <w:ind w:left="480" w:leftChars="200"/>
        <w:rPr>
          <w:rFonts w:ascii="宋体" w:hAnsi="宋体" w:cs="宋体"/>
        </w:rPr>
      </w:pPr>
    </w:p>
    <w:p>
      <w:pPr>
        <w:spacing w:line="360" w:lineRule="auto"/>
        <w:ind w:left="480" w:leftChars="200"/>
        <w:rPr>
          <w:rFonts w:asciiTheme="minorEastAsia" w:hAnsiTheme="minorEastAsia" w:cstheme="minorEastAsia"/>
        </w:rPr>
      </w:pPr>
    </w:p>
    <w:p>
      <w:pPr>
        <w:snapToGrid w:val="0"/>
        <w:spacing w:line="360" w:lineRule="auto"/>
        <w:ind w:firstLine="480" w:firstLineChars="200"/>
        <w:rPr>
          <w:rFonts w:asciiTheme="minorEastAsia" w:hAnsiTheme="minorEastAsia" w:cstheme="minorEastAsia"/>
        </w:rPr>
      </w:pPr>
    </w:p>
    <w:p>
      <w:pPr>
        <w:rPr>
          <w:rFonts w:asciiTheme="minorEastAsia" w:hAnsiTheme="minorEastAsia" w:cstheme="minorEastAsia"/>
        </w:rPr>
      </w:pPr>
      <w:bookmarkStart w:id="157" w:name="_Toc364"/>
      <w:bookmarkStart w:id="158" w:name="_Toc11924"/>
      <w:bookmarkStart w:id="159" w:name="_Toc4757"/>
      <w:bookmarkStart w:id="160" w:name="_Toc3159"/>
      <w:bookmarkStart w:id="161" w:name="_Toc654"/>
      <w:bookmarkStart w:id="162" w:name="_Toc5338"/>
      <w:r>
        <w:rPr>
          <w:rFonts w:hint="eastAsia" w:asciiTheme="minorEastAsia" w:hAnsiTheme="minorEastAsia" w:cstheme="minorEastAsia"/>
        </w:rPr>
        <w:br w:type="page"/>
      </w:r>
    </w:p>
    <w:bookmarkEnd w:id="157"/>
    <w:p>
      <w:pPr>
        <w:adjustRightInd w:val="0"/>
        <w:spacing w:line="416" w:lineRule="atLeast"/>
        <w:textAlignment w:val="baseline"/>
        <w:rPr>
          <w:rFonts w:asciiTheme="minorEastAsia" w:hAnsiTheme="minorEastAsia" w:cstheme="minorEastAsia"/>
          <w:sz w:val="22"/>
          <w:szCs w:val="22"/>
        </w:rPr>
      </w:pPr>
      <w:r>
        <w:rPr>
          <w:rFonts w:hint="eastAsia" w:asciiTheme="minorEastAsia" w:hAnsiTheme="minorEastAsia" w:cstheme="minorEastAsia"/>
          <w:sz w:val="22"/>
          <w:szCs w:val="22"/>
        </w:rPr>
        <w:t>附件五、质疑函样本</w:t>
      </w:r>
    </w:p>
    <w:p>
      <w:pPr>
        <w:adjustRightInd w:val="0"/>
        <w:spacing w:line="416" w:lineRule="atLeast"/>
        <w:textAlignment w:val="baseline"/>
        <w:rPr>
          <w:rFonts w:asciiTheme="minorEastAsia" w:hAnsiTheme="minorEastAsia" w:cstheme="minorEastAsia"/>
          <w:bCs/>
          <w:sz w:val="22"/>
          <w:szCs w:val="22"/>
        </w:rPr>
      </w:pPr>
      <w:r>
        <w:rPr>
          <w:rFonts w:hint="eastAsia" w:asciiTheme="minorEastAsia" w:hAnsiTheme="minorEastAsia" w:cstheme="minorEastAsia"/>
          <w:bCs/>
          <w:sz w:val="22"/>
          <w:szCs w:val="22"/>
        </w:rPr>
        <w:t>一、质疑供应商基本信息</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质疑供应商：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联系人：                      联系电话：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授权代表：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联系电话：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地址：                         邮编：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二、质疑项目基本情况</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质疑项目的名称：              </w:t>
      </w:r>
      <w:r>
        <w:rPr>
          <w:rFonts w:hint="eastAsia" w:ascii="宋体" w:hAnsi="宋体" w:cs="宋体"/>
        </w:rPr>
        <w:t xml:space="preserve"> 包号：  </w:t>
      </w:r>
      <w:r>
        <w:rPr>
          <w:rFonts w:hint="eastAsia" w:asciiTheme="minorEastAsia" w:hAnsiTheme="minorEastAsia" w:cstheme="minorEastAsia"/>
          <w:bCs/>
        </w:rPr>
        <w:t xml:space="preserve">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质疑项目的编号：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采购人名称：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采购文件获取日期：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三、质疑事项具体内容</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质疑事项1：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事实依据：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法律依据：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质疑事项2</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四、与质疑事项相关的质疑请求</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请求：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签字(签章)：                   公章：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 xml:space="preserve">日期：    </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质疑函制作说明：</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1.供应商提出质疑时，应提交质疑函和必要的证明材料。</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3.质疑供应商若对项目的某一分包进行质疑，质疑函中应列明具体分。</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4.质疑函的质疑事项应具体、明确，并有必要的事实依据和法律依据。</w:t>
      </w:r>
    </w:p>
    <w:p>
      <w:pPr>
        <w:keepNext/>
        <w:keepLines/>
        <w:adjustRightInd w:val="0"/>
        <w:spacing w:line="416" w:lineRule="atLeast"/>
        <w:textAlignment w:val="baseline"/>
        <w:rPr>
          <w:rFonts w:asciiTheme="minorEastAsia" w:hAnsiTheme="minorEastAsia" w:cstheme="minorEastAsia"/>
          <w:bCs/>
        </w:rPr>
      </w:pPr>
      <w:r>
        <w:rPr>
          <w:rFonts w:hint="eastAsia" w:asciiTheme="minorEastAsia" w:hAnsiTheme="minorEastAsia" w:cstheme="minorEastAsia"/>
          <w:bCs/>
        </w:rPr>
        <w:t>5.质疑函的质疑请求应与质疑事项相关。</w:t>
      </w:r>
    </w:p>
    <w:p>
      <w:pPr>
        <w:rPr>
          <w:rFonts w:asciiTheme="minorEastAsia" w:hAnsiTheme="minorEastAsia" w:cstheme="minorEastAsia"/>
        </w:rPr>
      </w:pPr>
      <w:r>
        <w:rPr>
          <w:rFonts w:hint="eastAsia" w:asciiTheme="minorEastAsia" w:hAnsiTheme="minorEastAsia" w:cstheme="minorEastAsia"/>
          <w:bCs/>
        </w:rPr>
        <w:t>6.质疑供应商为自然人的，质疑函应由本人签字；质疑供应商为法人或者其他组织的，质疑函应由法定代表人、主要负责人，或者其授权代表签字或者盖章，并加盖公章。</w:t>
      </w:r>
    </w:p>
    <w:bookmarkEnd w:id="158"/>
    <w:bookmarkEnd w:id="159"/>
    <w:bookmarkEnd w:id="160"/>
    <w:bookmarkEnd w:id="161"/>
    <w:bookmarkEnd w:id="162"/>
    <w:p>
      <w:pPr>
        <w:rPr>
          <w:rFonts w:asciiTheme="minorEastAsia" w:hAnsiTheme="minorEastAsia" w:cstheme="minorEastAsia"/>
          <w:b/>
          <w:bCs/>
          <w:spacing w:val="48"/>
          <w:sz w:val="72"/>
          <w:szCs w:val="72"/>
        </w:rPr>
      </w:pPr>
      <w:r>
        <w:rPr>
          <w:rFonts w:hint="eastAsia" w:asciiTheme="minorEastAsia" w:hAnsiTheme="minorEastAsia" w:cstheme="minorEastAsia"/>
          <w:b/>
          <w:bCs/>
          <w:spacing w:val="48"/>
          <w:sz w:val="72"/>
          <w:szCs w:val="72"/>
        </w:rPr>
        <w:br w:type="page"/>
      </w:r>
    </w:p>
    <w:p>
      <w:pPr>
        <w:ind w:firstLine="816" w:firstLineChars="100"/>
        <w:rPr>
          <w:rFonts w:ascii="宋体" w:hAnsi="宋体" w:cs="宋体"/>
          <w:b/>
          <w:spacing w:val="48"/>
          <w:sz w:val="72"/>
          <w:szCs w:val="72"/>
        </w:rPr>
      </w:pPr>
    </w:p>
    <w:p>
      <w:pPr>
        <w:ind w:firstLine="816" w:firstLineChars="100"/>
        <w:rPr>
          <w:rFonts w:ascii="宋体" w:hAnsi="宋体" w:cs="宋体"/>
          <w:b/>
          <w:spacing w:val="48"/>
          <w:sz w:val="72"/>
          <w:szCs w:val="72"/>
        </w:rPr>
      </w:pPr>
      <w:r>
        <w:rPr>
          <w:rFonts w:hint="eastAsia" w:ascii="宋体" w:hAnsi="宋体" w:cs="宋体"/>
          <w:b/>
          <w:spacing w:val="48"/>
          <w:sz w:val="72"/>
          <w:szCs w:val="72"/>
        </w:rPr>
        <w:t>公平       公正</w:t>
      </w: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ind w:firstLine="816" w:firstLineChars="100"/>
        <w:rPr>
          <w:rFonts w:ascii="宋体" w:hAnsi="宋体" w:cs="宋体"/>
          <w:b/>
          <w:spacing w:val="48"/>
          <w:sz w:val="72"/>
          <w:szCs w:val="72"/>
        </w:rPr>
      </w:pPr>
      <w:bookmarkStart w:id="163" w:name="_Toc9946"/>
      <w:r>
        <w:rPr>
          <w:rFonts w:hint="eastAsia" w:ascii="宋体" w:hAnsi="宋体" w:cs="宋体"/>
          <w:b/>
          <w:spacing w:val="48"/>
          <w:sz w:val="72"/>
          <w:szCs w:val="72"/>
        </w:rPr>
        <w:t>专业       高效</w:t>
      </w:r>
      <w:bookmarkEnd w:id="163"/>
    </w:p>
    <w:p>
      <w:pPr>
        <w:rPr>
          <w:rFonts w:ascii="宋体" w:hAnsi="宋体" w:cs="宋体"/>
          <w:spacing w:val="48"/>
          <w:sz w:val="72"/>
          <w:szCs w:val="72"/>
        </w:rPr>
      </w:pPr>
    </w:p>
    <w:p>
      <w:pPr>
        <w:rPr>
          <w:rFonts w:ascii="宋体" w:hAnsi="宋体" w:cs="宋体"/>
          <w:b/>
          <w:spacing w:val="48"/>
          <w:sz w:val="72"/>
          <w:szCs w:val="72"/>
        </w:rPr>
      </w:pPr>
    </w:p>
    <w:p>
      <w:pPr>
        <w:rPr>
          <w:rFonts w:ascii="宋体" w:hAnsi="宋体" w:cs="宋体"/>
          <w:spacing w:val="48"/>
          <w:sz w:val="72"/>
          <w:szCs w:val="72"/>
        </w:rPr>
      </w:pPr>
    </w:p>
    <w:p>
      <w:pPr>
        <w:rPr>
          <w:rFonts w:ascii="宋体" w:hAnsi="宋体" w:cs="宋体"/>
        </w:rPr>
      </w:pPr>
    </w:p>
    <w:p>
      <w:pPr>
        <w:rPr>
          <w:rFonts w:ascii="宋体" w:hAnsi="宋体" w:cs="宋体"/>
          <w:b/>
          <w:sz w:val="30"/>
          <w:szCs w:val="30"/>
        </w:rPr>
      </w:pPr>
    </w:p>
    <w:p>
      <w:pPr>
        <w:rPr>
          <w:rFonts w:ascii="宋体" w:hAnsi="宋体" w:cs="宋体"/>
          <w:b/>
          <w:sz w:val="30"/>
          <w:szCs w:val="30"/>
        </w:rPr>
      </w:pPr>
      <w:bookmarkStart w:id="164" w:name="_Toc32384"/>
      <w:r>
        <w:rPr>
          <w:rFonts w:hint="eastAsia" w:ascii="宋体" w:hAnsi="宋体" w:cs="宋体"/>
          <w:b/>
          <w:sz w:val="30"/>
          <w:szCs w:val="30"/>
        </w:rPr>
        <w:t>企业名称：陕西卓佲项目管理有限公司</w:t>
      </w:r>
      <w:bookmarkEnd w:id="164"/>
    </w:p>
    <w:p>
      <w:pPr>
        <w:rPr>
          <w:rFonts w:ascii="宋体" w:hAnsi="宋体" w:cs="宋体"/>
          <w:b/>
          <w:sz w:val="30"/>
          <w:szCs w:val="30"/>
        </w:rPr>
      </w:pPr>
      <w:bookmarkStart w:id="165" w:name="_Toc25918"/>
      <w:r>
        <w:rPr>
          <w:rFonts w:hint="eastAsia" w:ascii="宋体" w:hAnsi="宋体" w:cs="宋体"/>
          <w:b/>
          <w:sz w:val="30"/>
          <w:szCs w:val="30"/>
        </w:rPr>
        <w:t>地址：西安市雁塔区科技路十号华奥大厦A座20层2002室</w:t>
      </w:r>
      <w:bookmarkEnd w:id="165"/>
    </w:p>
    <w:p>
      <w:pPr>
        <w:rPr>
          <w:rFonts w:ascii="宋体" w:hAnsi="宋体" w:cs="宋体"/>
          <w:b/>
          <w:sz w:val="30"/>
          <w:szCs w:val="30"/>
        </w:rPr>
      </w:pPr>
      <w:bookmarkStart w:id="166" w:name="_Toc26276"/>
      <w:r>
        <w:rPr>
          <w:rFonts w:hint="eastAsia" w:ascii="宋体" w:hAnsi="宋体" w:cs="宋体"/>
          <w:b/>
          <w:sz w:val="30"/>
          <w:szCs w:val="30"/>
        </w:rPr>
        <w:t>邮政编码：710065</w:t>
      </w:r>
      <w:bookmarkEnd w:id="166"/>
    </w:p>
    <w:p>
      <w:pPr>
        <w:rPr>
          <w:rFonts w:ascii="宋体" w:hAnsi="宋体" w:cs="宋体"/>
          <w:b/>
          <w:sz w:val="30"/>
          <w:szCs w:val="30"/>
        </w:rPr>
      </w:pPr>
      <w:bookmarkStart w:id="167" w:name="_Toc1409"/>
      <w:r>
        <w:rPr>
          <w:rFonts w:hint="eastAsia" w:ascii="宋体" w:hAnsi="宋体" w:cs="宋体"/>
          <w:b/>
          <w:sz w:val="30"/>
          <w:szCs w:val="30"/>
        </w:rPr>
        <w:t>电话：029-88440695</w:t>
      </w:r>
      <w:bookmarkEnd w:id="167"/>
    </w:p>
    <w:p>
      <w:pPr>
        <w:rPr>
          <w:rFonts w:ascii="宋体" w:hAnsi="宋体" w:cs="宋体"/>
        </w:rPr>
      </w:pPr>
      <w:bookmarkStart w:id="168" w:name="_Toc13292"/>
      <w:r>
        <w:rPr>
          <w:rFonts w:hint="eastAsia" w:ascii="宋体" w:hAnsi="宋体" w:cs="宋体"/>
          <w:b/>
          <w:sz w:val="30"/>
          <w:szCs w:val="30"/>
        </w:rPr>
        <w:t>传真：029-88440695</w:t>
      </w:r>
      <w:bookmarkEnd w:id="168"/>
    </w:p>
    <w:sectPr>
      <w:headerReference r:id="rId21" w:type="default"/>
      <w:footerReference r:id="rId23" w:type="default"/>
      <w:headerReference r:id="rId22" w:type="even"/>
      <w:pgSz w:w="11906" w:h="16838"/>
      <w:pgMar w:top="1440" w:right="1800" w:bottom="1440" w:left="1800" w:header="851" w:footer="992" w:gutter="0"/>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0"/>
        <w:tab w:val="right" w:pos="8420"/>
        <w:tab w:val="clear" w:pos="4153"/>
      </w:tabs>
      <w:rPr>
        <w:rFonts w:ascii="宋体" w:hAnsi="宋体" w:cs="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0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ascii="宋体" w:cs="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54002"/>
    <w:multiLevelType w:val="singleLevel"/>
    <w:tmpl w:val="87F54002"/>
    <w:lvl w:ilvl="0" w:tentative="0">
      <w:start w:val="2"/>
      <w:numFmt w:val="decimal"/>
      <w:suff w:val="nothing"/>
      <w:lvlText w:val="（%1）"/>
      <w:lvlJc w:val="left"/>
    </w:lvl>
  </w:abstractNum>
  <w:abstractNum w:abstractNumId="1">
    <w:nsid w:val="C8560D05"/>
    <w:multiLevelType w:val="singleLevel"/>
    <w:tmpl w:val="C8560D05"/>
    <w:lvl w:ilvl="0" w:tentative="0">
      <w:start w:val="2"/>
      <w:numFmt w:val="chineseCounting"/>
      <w:suff w:val="space"/>
      <w:lvlText w:val="第%1部分"/>
      <w:lvlJc w:val="left"/>
      <w:rPr>
        <w:rFonts w:hint="eastAsia"/>
      </w:rPr>
    </w:lvl>
  </w:abstractNum>
  <w:abstractNum w:abstractNumId="2">
    <w:nsid w:val="EB91A580"/>
    <w:multiLevelType w:val="singleLevel"/>
    <w:tmpl w:val="EB91A580"/>
    <w:lvl w:ilvl="0" w:tentative="0">
      <w:start w:val="2"/>
      <w:numFmt w:val="decimal"/>
      <w:suff w:val="nothing"/>
      <w:lvlText w:val="%1、"/>
      <w:lvlJc w:val="left"/>
    </w:lvl>
  </w:abstractNum>
  <w:abstractNum w:abstractNumId="3">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4">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YjRkMGE3NzQxYjczMTVhMGMzZWI2OGY4N2I2NjY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0513"/>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2C8"/>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1FC"/>
    <w:rsid w:val="003A2A14"/>
    <w:rsid w:val="003B086A"/>
    <w:rsid w:val="003B0D75"/>
    <w:rsid w:val="003B2AF6"/>
    <w:rsid w:val="003B3207"/>
    <w:rsid w:val="003B6EB4"/>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E4A"/>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775F3"/>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66C1"/>
    <w:rsid w:val="00C2744F"/>
    <w:rsid w:val="00C33D5F"/>
    <w:rsid w:val="00C34648"/>
    <w:rsid w:val="00C34D95"/>
    <w:rsid w:val="00C357EB"/>
    <w:rsid w:val="00C37015"/>
    <w:rsid w:val="00C40072"/>
    <w:rsid w:val="00C408BD"/>
    <w:rsid w:val="00C4213E"/>
    <w:rsid w:val="00C438D5"/>
    <w:rsid w:val="00C45741"/>
    <w:rsid w:val="00C4699F"/>
    <w:rsid w:val="00C472A3"/>
    <w:rsid w:val="00C50B26"/>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D4674"/>
    <w:rsid w:val="015754F6"/>
    <w:rsid w:val="01B373CC"/>
    <w:rsid w:val="01F568BD"/>
    <w:rsid w:val="022168B5"/>
    <w:rsid w:val="02A058B1"/>
    <w:rsid w:val="037A4244"/>
    <w:rsid w:val="041C3746"/>
    <w:rsid w:val="043D09D3"/>
    <w:rsid w:val="04EE2B86"/>
    <w:rsid w:val="05102754"/>
    <w:rsid w:val="05A84815"/>
    <w:rsid w:val="060C68AF"/>
    <w:rsid w:val="06922A4D"/>
    <w:rsid w:val="06DA4BFF"/>
    <w:rsid w:val="07443B77"/>
    <w:rsid w:val="079B25E0"/>
    <w:rsid w:val="07EF60DC"/>
    <w:rsid w:val="07FC7F20"/>
    <w:rsid w:val="080A2213"/>
    <w:rsid w:val="08346591"/>
    <w:rsid w:val="08561BE0"/>
    <w:rsid w:val="086134DE"/>
    <w:rsid w:val="087C3466"/>
    <w:rsid w:val="090D12BC"/>
    <w:rsid w:val="0923754C"/>
    <w:rsid w:val="0A4A209B"/>
    <w:rsid w:val="0A532031"/>
    <w:rsid w:val="0A837BAB"/>
    <w:rsid w:val="0B5847B0"/>
    <w:rsid w:val="0B802556"/>
    <w:rsid w:val="0BEE2623"/>
    <w:rsid w:val="0C7E576B"/>
    <w:rsid w:val="0CA43CE5"/>
    <w:rsid w:val="0CD96C5B"/>
    <w:rsid w:val="0CEA36C2"/>
    <w:rsid w:val="0CEF0CD8"/>
    <w:rsid w:val="0D4D168F"/>
    <w:rsid w:val="0E90420D"/>
    <w:rsid w:val="0EBB70C4"/>
    <w:rsid w:val="0EE43BE8"/>
    <w:rsid w:val="0F835D24"/>
    <w:rsid w:val="100F7F11"/>
    <w:rsid w:val="105B7A30"/>
    <w:rsid w:val="11053E91"/>
    <w:rsid w:val="11905FF2"/>
    <w:rsid w:val="11BE084A"/>
    <w:rsid w:val="11D83173"/>
    <w:rsid w:val="122E14D8"/>
    <w:rsid w:val="126C1FE6"/>
    <w:rsid w:val="12BD78F2"/>
    <w:rsid w:val="131F7E9C"/>
    <w:rsid w:val="13763F01"/>
    <w:rsid w:val="13DA623E"/>
    <w:rsid w:val="144164B4"/>
    <w:rsid w:val="14E32ED1"/>
    <w:rsid w:val="158D4FD4"/>
    <w:rsid w:val="15BA5427"/>
    <w:rsid w:val="15FC3113"/>
    <w:rsid w:val="164D4B16"/>
    <w:rsid w:val="16C06226"/>
    <w:rsid w:val="172E221E"/>
    <w:rsid w:val="17E506B7"/>
    <w:rsid w:val="18850951"/>
    <w:rsid w:val="18BA4890"/>
    <w:rsid w:val="18D70F9E"/>
    <w:rsid w:val="18D92F68"/>
    <w:rsid w:val="19137AFC"/>
    <w:rsid w:val="19571F01"/>
    <w:rsid w:val="196C7450"/>
    <w:rsid w:val="19714C74"/>
    <w:rsid w:val="1A304E0A"/>
    <w:rsid w:val="1A584361"/>
    <w:rsid w:val="1A8962C8"/>
    <w:rsid w:val="1AD4799A"/>
    <w:rsid w:val="1ADA0249"/>
    <w:rsid w:val="1B1A7868"/>
    <w:rsid w:val="1B2C7D91"/>
    <w:rsid w:val="1B4B7A22"/>
    <w:rsid w:val="1B99253B"/>
    <w:rsid w:val="1BF63E31"/>
    <w:rsid w:val="1C46244F"/>
    <w:rsid w:val="1C4B249E"/>
    <w:rsid w:val="1C6963B1"/>
    <w:rsid w:val="1C7F5BD5"/>
    <w:rsid w:val="1D7604E8"/>
    <w:rsid w:val="1D835834"/>
    <w:rsid w:val="1DC73CCF"/>
    <w:rsid w:val="1DC837DE"/>
    <w:rsid w:val="1E3B1447"/>
    <w:rsid w:val="1E47661F"/>
    <w:rsid w:val="1E7159F1"/>
    <w:rsid w:val="1F116CBE"/>
    <w:rsid w:val="1F321241"/>
    <w:rsid w:val="1F4924CA"/>
    <w:rsid w:val="1F6A2B6C"/>
    <w:rsid w:val="1F9B4A89"/>
    <w:rsid w:val="1FC57DA2"/>
    <w:rsid w:val="1FE52A42"/>
    <w:rsid w:val="202645B9"/>
    <w:rsid w:val="20BB0812"/>
    <w:rsid w:val="20F84C73"/>
    <w:rsid w:val="229E4983"/>
    <w:rsid w:val="23040BE2"/>
    <w:rsid w:val="230E59D1"/>
    <w:rsid w:val="234D7EF6"/>
    <w:rsid w:val="23627FFE"/>
    <w:rsid w:val="23DF5EC9"/>
    <w:rsid w:val="23F83053"/>
    <w:rsid w:val="24673642"/>
    <w:rsid w:val="249B5576"/>
    <w:rsid w:val="252512E3"/>
    <w:rsid w:val="25730241"/>
    <w:rsid w:val="25C33F51"/>
    <w:rsid w:val="25FD402B"/>
    <w:rsid w:val="2658362A"/>
    <w:rsid w:val="2665408D"/>
    <w:rsid w:val="26A5092E"/>
    <w:rsid w:val="26B05CC8"/>
    <w:rsid w:val="26F176CF"/>
    <w:rsid w:val="27067907"/>
    <w:rsid w:val="27270459"/>
    <w:rsid w:val="274F0899"/>
    <w:rsid w:val="278C389C"/>
    <w:rsid w:val="27A92F3E"/>
    <w:rsid w:val="27B74703"/>
    <w:rsid w:val="280F63FC"/>
    <w:rsid w:val="28666B45"/>
    <w:rsid w:val="28681C13"/>
    <w:rsid w:val="28F50415"/>
    <w:rsid w:val="290318C7"/>
    <w:rsid w:val="2A5243F0"/>
    <w:rsid w:val="2A895E70"/>
    <w:rsid w:val="2AB56C65"/>
    <w:rsid w:val="2B3B360F"/>
    <w:rsid w:val="2B413A8E"/>
    <w:rsid w:val="2B593A95"/>
    <w:rsid w:val="2BEE0681"/>
    <w:rsid w:val="2BF176E7"/>
    <w:rsid w:val="2CAB41BB"/>
    <w:rsid w:val="2CB35427"/>
    <w:rsid w:val="2CB700CA"/>
    <w:rsid w:val="2CDA6E57"/>
    <w:rsid w:val="2D2C5840"/>
    <w:rsid w:val="2D3F75C0"/>
    <w:rsid w:val="2D92328E"/>
    <w:rsid w:val="2DC25921"/>
    <w:rsid w:val="2E301AD7"/>
    <w:rsid w:val="2E6B4140"/>
    <w:rsid w:val="2EFA558F"/>
    <w:rsid w:val="2F81180C"/>
    <w:rsid w:val="300A7A53"/>
    <w:rsid w:val="30B74016"/>
    <w:rsid w:val="30E2763D"/>
    <w:rsid w:val="310E70CF"/>
    <w:rsid w:val="312D1245"/>
    <w:rsid w:val="31350B00"/>
    <w:rsid w:val="3140197F"/>
    <w:rsid w:val="31572633"/>
    <w:rsid w:val="317F5EB0"/>
    <w:rsid w:val="31FE7144"/>
    <w:rsid w:val="32075FF9"/>
    <w:rsid w:val="3352736A"/>
    <w:rsid w:val="34386694"/>
    <w:rsid w:val="34444A62"/>
    <w:rsid w:val="344572AC"/>
    <w:rsid w:val="344D6161"/>
    <w:rsid w:val="34BC25CF"/>
    <w:rsid w:val="34C32621"/>
    <w:rsid w:val="350B5A84"/>
    <w:rsid w:val="350E3B42"/>
    <w:rsid w:val="35B14B30"/>
    <w:rsid w:val="35B20971"/>
    <w:rsid w:val="364E3BC9"/>
    <w:rsid w:val="36513CE6"/>
    <w:rsid w:val="377D5C98"/>
    <w:rsid w:val="37904CE2"/>
    <w:rsid w:val="37922808"/>
    <w:rsid w:val="383A69FC"/>
    <w:rsid w:val="386E7489"/>
    <w:rsid w:val="38867D66"/>
    <w:rsid w:val="390C6041"/>
    <w:rsid w:val="398113A5"/>
    <w:rsid w:val="39B73932"/>
    <w:rsid w:val="3A3F654C"/>
    <w:rsid w:val="3A9D5770"/>
    <w:rsid w:val="3AB34DA7"/>
    <w:rsid w:val="3B3174F5"/>
    <w:rsid w:val="3B614DE8"/>
    <w:rsid w:val="3BB317EF"/>
    <w:rsid w:val="3C03254D"/>
    <w:rsid w:val="3C3E4E93"/>
    <w:rsid w:val="3C8B3166"/>
    <w:rsid w:val="3CEC29BB"/>
    <w:rsid w:val="3D7151BE"/>
    <w:rsid w:val="3D74650C"/>
    <w:rsid w:val="3D7E6E49"/>
    <w:rsid w:val="3E604681"/>
    <w:rsid w:val="3F8A0269"/>
    <w:rsid w:val="3FB15BEC"/>
    <w:rsid w:val="3FC926D3"/>
    <w:rsid w:val="404A4180"/>
    <w:rsid w:val="40782F31"/>
    <w:rsid w:val="40885906"/>
    <w:rsid w:val="413C37E5"/>
    <w:rsid w:val="41A90E7A"/>
    <w:rsid w:val="422724DE"/>
    <w:rsid w:val="42731806"/>
    <w:rsid w:val="427B34DE"/>
    <w:rsid w:val="42910921"/>
    <w:rsid w:val="42DE0CD7"/>
    <w:rsid w:val="42ED63FC"/>
    <w:rsid w:val="4306005C"/>
    <w:rsid w:val="436030C2"/>
    <w:rsid w:val="43AC1830"/>
    <w:rsid w:val="43B92B1D"/>
    <w:rsid w:val="43C17076"/>
    <w:rsid w:val="43EF4B3E"/>
    <w:rsid w:val="44670713"/>
    <w:rsid w:val="44982BA3"/>
    <w:rsid w:val="449C1812"/>
    <w:rsid w:val="45A656D1"/>
    <w:rsid w:val="45D65FB6"/>
    <w:rsid w:val="464279F3"/>
    <w:rsid w:val="465C73B7"/>
    <w:rsid w:val="46631D6D"/>
    <w:rsid w:val="46FE497F"/>
    <w:rsid w:val="47017063"/>
    <w:rsid w:val="47DA173E"/>
    <w:rsid w:val="482C4A12"/>
    <w:rsid w:val="48550F4C"/>
    <w:rsid w:val="48937C53"/>
    <w:rsid w:val="48A71E8C"/>
    <w:rsid w:val="49543B6E"/>
    <w:rsid w:val="4981092F"/>
    <w:rsid w:val="49886DC7"/>
    <w:rsid w:val="49A40179"/>
    <w:rsid w:val="49C40127"/>
    <w:rsid w:val="49C777B9"/>
    <w:rsid w:val="4AA932D2"/>
    <w:rsid w:val="4B217CD3"/>
    <w:rsid w:val="4B413ED2"/>
    <w:rsid w:val="4B887635"/>
    <w:rsid w:val="4BCA036B"/>
    <w:rsid w:val="4BD96800"/>
    <w:rsid w:val="4C244391"/>
    <w:rsid w:val="4CD34FFD"/>
    <w:rsid w:val="4D5C5088"/>
    <w:rsid w:val="4DFE60AA"/>
    <w:rsid w:val="4E0A3905"/>
    <w:rsid w:val="4EFA3E5D"/>
    <w:rsid w:val="50FD4D3F"/>
    <w:rsid w:val="5144296E"/>
    <w:rsid w:val="51612D03"/>
    <w:rsid w:val="51DE4CD1"/>
    <w:rsid w:val="51F32C4E"/>
    <w:rsid w:val="53F87A3F"/>
    <w:rsid w:val="54A6749B"/>
    <w:rsid w:val="54A74C40"/>
    <w:rsid w:val="55006BAB"/>
    <w:rsid w:val="55166930"/>
    <w:rsid w:val="55FE15B9"/>
    <w:rsid w:val="56597110"/>
    <w:rsid w:val="565F03FC"/>
    <w:rsid w:val="56706D92"/>
    <w:rsid w:val="56A904DB"/>
    <w:rsid w:val="57603931"/>
    <w:rsid w:val="57A0018C"/>
    <w:rsid w:val="58366D88"/>
    <w:rsid w:val="59024537"/>
    <w:rsid w:val="59097BB5"/>
    <w:rsid w:val="596F4300"/>
    <w:rsid w:val="59722042"/>
    <w:rsid w:val="5ADB3188"/>
    <w:rsid w:val="5B3A26EB"/>
    <w:rsid w:val="5B406587"/>
    <w:rsid w:val="5B8C73EB"/>
    <w:rsid w:val="5BAC1C28"/>
    <w:rsid w:val="5BE12E76"/>
    <w:rsid w:val="5C514534"/>
    <w:rsid w:val="5CD54DC2"/>
    <w:rsid w:val="5CE73FFA"/>
    <w:rsid w:val="5D3C099D"/>
    <w:rsid w:val="5D4D6706"/>
    <w:rsid w:val="5D9661E5"/>
    <w:rsid w:val="5DFA6003"/>
    <w:rsid w:val="5DFD27A3"/>
    <w:rsid w:val="5E5127C4"/>
    <w:rsid w:val="5F01473D"/>
    <w:rsid w:val="5F2D4A41"/>
    <w:rsid w:val="5F443B39"/>
    <w:rsid w:val="5F47525B"/>
    <w:rsid w:val="602A5424"/>
    <w:rsid w:val="60CB755B"/>
    <w:rsid w:val="60E7015E"/>
    <w:rsid w:val="60EE6452"/>
    <w:rsid w:val="615349A7"/>
    <w:rsid w:val="6155027F"/>
    <w:rsid w:val="619F75B4"/>
    <w:rsid w:val="62614DF5"/>
    <w:rsid w:val="62625436"/>
    <w:rsid w:val="62634C1E"/>
    <w:rsid w:val="62637F5B"/>
    <w:rsid w:val="62B7218C"/>
    <w:rsid w:val="6304300D"/>
    <w:rsid w:val="63343EC4"/>
    <w:rsid w:val="634A0DD6"/>
    <w:rsid w:val="63670656"/>
    <w:rsid w:val="63735DDF"/>
    <w:rsid w:val="63837613"/>
    <w:rsid w:val="63DE5C52"/>
    <w:rsid w:val="63FC2C34"/>
    <w:rsid w:val="642F125B"/>
    <w:rsid w:val="64503B1C"/>
    <w:rsid w:val="64ED149F"/>
    <w:rsid w:val="6546685C"/>
    <w:rsid w:val="65496236"/>
    <w:rsid w:val="66CA526B"/>
    <w:rsid w:val="67981A2E"/>
    <w:rsid w:val="67BD6B7E"/>
    <w:rsid w:val="67CF3401"/>
    <w:rsid w:val="67E43DAD"/>
    <w:rsid w:val="67FE59FB"/>
    <w:rsid w:val="68202928"/>
    <w:rsid w:val="68236DB9"/>
    <w:rsid w:val="682679F7"/>
    <w:rsid w:val="68324E76"/>
    <w:rsid w:val="684757A0"/>
    <w:rsid w:val="68761884"/>
    <w:rsid w:val="68AB1877"/>
    <w:rsid w:val="68E556A9"/>
    <w:rsid w:val="69004013"/>
    <w:rsid w:val="69461C41"/>
    <w:rsid w:val="69C16861"/>
    <w:rsid w:val="69CC12FA"/>
    <w:rsid w:val="6A8348AD"/>
    <w:rsid w:val="6B0F149F"/>
    <w:rsid w:val="6B234F4A"/>
    <w:rsid w:val="6B321631"/>
    <w:rsid w:val="6B69424F"/>
    <w:rsid w:val="6BC02799"/>
    <w:rsid w:val="6BC16918"/>
    <w:rsid w:val="6C3F7B62"/>
    <w:rsid w:val="6C4E46B2"/>
    <w:rsid w:val="6C6D0B73"/>
    <w:rsid w:val="6C90660F"/>
    <w:rsid w:val="6CEE7E43"/>
    <w:rsid w:val="6D0940D3"/>
    <w:rsid w:val="6D8D2B4F"/>
    <w:rsid w:val="6DCF3167"/>
    <w:rsid w:val="6EE844E0"/>
    <w:rsid w:val="6FD11F5A"/>
    <w:rsid w:val="6FEA0B0A"/>
    <w:rsid w:val="70B77D23"/>
    <w:rsid w:val="70D43C51"/>
    <w:rsid w:val="71530DA7"/>
    <w:rsid w:val="718214FC"/>
    <w:rsid w:val="720535FB"/>
    <w:rsid w:val="725D4F25"/>
    <w:rsid w:val="728A30F6"/>
    <w:rsid w:val="734168B5"/>
    <w:rsid w:val="746233F8"/>
    <w:rsid w:val="746F7452"/>
    <w:rsid w:val="7472106E"/>
    <w:rsid w:val="74B0259D"/>
    <w:rsid w:val="75834F63"/>
    <w:rsid w:val="75D51D24"/>
    <w:rsid w:val="75ED4028"/>
    <w:rsid w:val="76103A8F"/>
    <w:rsid w:val="76283D5C"/>
    <w:rsid w:val="765E777E"/>
    <w:rsid w:val="76962A74"/>
    <w:rsid w:val="769D3B99"/>
    <w:rsid w:val="76CF58C2"/>
    <w:rsid w:val="76ED1ED7"/>
    <w:rsid w:val="76FB321F"/>
    <w:rsid w:val="77A80CB1"/>
    <w:rsid w:val="77BA23AA"/>
    <w:rsid w:val="78B72C6D"/>
    <w:rsid w:val="790C34C1"/>
    <w:rsid w:val="79205A39"/>
    <w:rsid w:val="793818A8"/>
    <w:rsid w:val="7958651B"/>
    <w:rsid w:val="79882CF8"/>
    <w:rsid w:val="79A85920"/>
    <w:rsid w:val="79F513FE"/>
    <w:rsid w:val="7A212F9C"/>
    <w:rsid w:val="7A2A6ADE"/>
    <w:rsid w:val="7B254D67"/>
    <w:rsid w:val="7B501E0E"/>
    <w:rsid w:val="7B670A25"/>
    <w:rsid w:val="7C2379C5"/>
    <w:rsid w:val="7C262AEC"/>
    <w:rsid w:val="7C3F0683"/>
    <w:rsid w:val="7C6C2355"/>
    <w:rsid w:val="7C945CA8"/>
    <w:rsid w:val="7CBC2A29"/>
    <w:rsid w:val="7CC74424"/>
    <w:rsid w:val="7D8C0737"/>
    <w:rsid w:val="7DA22FBC"/>
    <w:rsid w:val="7DCC1471"/>
    <w:rsid w:val="7E33329E"/>
    <w:rsid w:val="7E5046A0"/>
    <w:rsid w:val="7E592D37"/>
    <w:rsid w:val="7E70004F"/>
    <w:rsid w:val="7E717ADF"/>
    <w:rsid w:val="7EB504E1"/>
    <w:rsid w:val="7EF42A2E"/>
    <w:rsid w:val="7F9D70F1"/>
    <w:rsid w:val="7FC473CA"/>
    <w:rsid w:val="7FFF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7"/>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8"/>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79"/>
    <w:unhideWhenUsed/>
    <w:qFormat/>
    <w:uiPriority w:val="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80"/>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81"/>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82"/>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83"/>
    <w:semiHidden/>
    <w:unhideWhenUsed/>
    <w:qFormat/>
    <w:uiPriority w:val="9"/>
    <w:pPr>
      <w:numPr>
        <w:ilvl w:val="6"/>
        <w:numId w:val="1"/>
      </w:numPr>
      <w:spacing w:before="240" w:after="60"/>
      <w:outlineLvl w:val="6"/>
    </w:pPr>
  </w:style>
  <w:style w:type="paragraph" w:styleId="10">
    <w:name w:val="heading 8"/>
    <w:basedOn w:val="1"/>
    <w:next w:val="1"/>
    <w:link w:val="84"/>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8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 w:val="20"/>
    </w:rPr>
  </w:style>
  <w:style w:type="paragraph" w:styleId="12">
    <w:name w:val="Normal Indent"/>
    <w:basedOn w:val="1"/>
    <w:next w:val="13"/>
    <w:qFormat/>
    <w:uiPriority w:val="99"/>
    <w:pPr>
      <w:ind w:firstLine="420"/>
    </w:pPr>
  </w:style>
  <w:style w:type="paragraph" w:styleId="13">
    <w:name w:val="toc 4"/>
    <w:basedOn w:val="1"/>
    <w:next w:val="1"/>
    <w:unhideWhenUsed/>
    <w:qFormat/>
    <w:uiPriority w:val="39"/>
    <w:pPr>
      <w:ind w:left="1260" w:leftChars="600"/>
    </w:p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9"/>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101"/>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Indent"/>
    <w:basedOn w:val="1"/>
    <w:next w:val="1"/>
    <w:qFormat/>
    <w:uiPriority w:val="99"/>
    <w:pPr>
      <w:spacing w:after="120"/>
      <w:ind w:left="420" w:leftChars="200"/>
    </w:pPr>
    <w:rPr>
      <w:sz w:val="20"/>
    </w:rPr>
  </w:style>
  <w:style w:type="paragraph" w:styleId="18">
    <w:name w:val="toc 3"/>
    <w:basedOn w:val="1"/>
    <w:next w:val="1"/>
    <w:semiHidden/>
    <w:unhideWhenUsed/>
    <w:qFormat/>
    <w:uiPriority w:val="39"/>
    <w:pPr>
      <w:ind w:left="840" w:leftChars="400"/>
    </w:pPr>
  </w:style>
  <w:style w:type="paragraph" w:styleId="19">
    <w:name w:val="Plain Text"/>
    <w:basedOn w:val="1"/>
    <w:qFormat/>
    <w:uiPriority w:val="99"/>
    <w:pPr>
      <w:spacing w:line="324" w:lineRule="auto"/>
    </w:pPr>
    <w:rPr>
      <w:rFonts w:ascii="宋体" w:hAnsi="Courier New"/>
      <w:sz w:val="20"/>
    </w:rPr>
  </w:style>
  <w:style w:type="paragraph" w:styleId="20">
    <w:name w:val="Date"/>
    <w:basedOn w:val="1"/>
    <w:next w:val="1"/>
    <w:link w:val="74"/>
    <w:semiHidden/>
    <w:unhideWhenUsed/>
    <w:qFormat/>
    <w:uiPriority w:val="99"/>
    <w:pPr>
      <w:ind w:left="100" w:leftChars="2500"/>
    </w:pPr>
  </w:style>
  <w:style w:type="paragraph" w:styleId="21">
    <w:name w:val="endnote text"/>
    <w:basedOn w:val="1"/>
    <w:semiHidden/>
    <w:qFormat/>
    <w:uiPriority w:val="0"/>
    <w:pPr>
      <w:snapToGrid w:val="0"/>
    </w:pPr>
  </w:style>
  <w:style w:type="paragraph" w:styleId="22">
    <w:name w:val="Balloon Text"/>
    <w:basedOn w:val="1"/>
    <w:link w:val="100"/>
    <w:semiHidden/>
    <w:unhideWhenUsed/>
    <w:qFormat/>
    <w:uiPriority w:val="99"/>
    <w:rPr>
      <w:sz w:val="18"/>
      <w:szCs w:val="18"/>
    </w:rPr>
  </w:style>
  <w:style w:type="paragraph" w:styleId="23">
    <w:name w:val="footer"/>
    <w:basedOn w:val="1"/>
    <w:link w:val="76"/>
    <w:unhideWhenUsed/>
    <w:qFormat/>
    <w:uiPriority w:val="99"/>
    <w:pPr>
      <w:tabs>
        <w:tab w:val="center" w:pos="4153"/>
        <w:tab w:val="right" w:pos="8306"/>
      </w:tabs>
      <w:snapToGrid w:val="0"/>
      <w:spacing w:line="240" w:lineRule="atLeast"/>
    </w:pPr>
    <w:rPr>
      <w:sz w:val="18"/>
      <w:szCs w:val="18"/>
    </w:rPr>
  </w:style>
  <w:style w:type="paragraph" w:styleId="24">
    <w:name w:val="header"/>
    <w:basedOn w:val="1"/>
    <w:link w:val="7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5">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6">
    <w:name w:val="index heading"/>
    <w:basedOn w:val="1"/>
    <w:next w:val="27"/>
    <w:unhideWhenUsed/>
    <w:qFormat/>
    <w:uiPriority w:val="99"/>
    <w:rPr>
      <w:rFonts w:asciiTheme="majorHAnsi" w:hAnsiTheme="majorHAnsi" w:eastAsiaTheme="majorEastAsia" w:cstheme="majorBidi"/>
      <w:b/>
      <w:bCs/>
    </w:rPr>
  </w:style>
  <w:style w:type="paragraph" w:styleId="27">
    <w:name w:val="index 1"/>
    <w:basedOn w:val="1"/>
    <w:next w:val="1"/>
    <w:semiHidden/>
    <w:unhideWhenUsed/>
    <w:qFormat/>
    <w:uiPriority w:val="99"/>
  </w:style>
  <w:style w:type="paragraph" w:styleId="28">
    <w:name w:val="Subtitle"/>
    <w:basedOn w:val="1"/>
    <w:next w:val="1"/>
    <w:link w:val="87"/>
    <w:qFormat/>
    <w:uiPriority w:val="11"/>
    <w:pPr>
      <w:keepNext/>
      <w:spacing w:before="50" w:beforeLines="50" w:after="50" w:afterLines="50"/>
      <w:jc w:val="center"/>
      <w:outlineLvl w:val="1"/>
    </w:pPr>
    <w:rPr>
      <w:rFonts w:ascii="Calibri" w:hAnsi="Calibri" w:eastAsia="黑体" w:cstheme="majorBidi"/>
      <w:sz w:val="32"/>
    </w:rPr>
  </w:style>
  <w:style w:type="paragraph" w:styleId="29">
    <w:name w:val="toc 2"/>
    <w:basedOn w:val="1"/>
    <w:next w:val="1"/>
    <w:semiHidden/>
    <w:unhideWhenUsed/>
    <w:qFormat/>
    <w:uiPriority w:val="39"/>
    <w:pPr>
      <w:ind w:left="420" w:leftChars="200"/>
    </w:pPr>
  </w:style>
  <w:style w:type="paragraph" w:styleId="30">
    <w:name w:val="Normal (Web)"/>
    <w:basedOn w:val="1"/>
    <w:qFormat/>
    <w:uiPriority w:val="99"/>
    <w:pPr>
      <w:spacing w:before="100" w:beforeAutospacing="1" w:after="100" w:afterAutospacing="1"/>
    </w:pPr>
    <w:rPr>
      <w:rFonts w:ascii="宋体" w:hAnsi="宋体" w:cs="宋体"/>
    </w:rPr>
  </w:style>
  <w:style w:type="paragraph" w:styleId="31">
    <w:name w:val="Title"/>
    <w:basedOn w:val="1"/>
    <w:next w:val="1"/>
    <w:link w:val="8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2">
    <w:name w:val="annotation subject"/>
    <w:basedOn w:val="16"/>
    <w:next w:val="16"/>
    <w:link w:val="108"/>
    <w:semiHidden/>
    <w:unhideWhenUsed/>
    <w:qFormat/>
    <w:uiPriority w:val="99"/>
    <w:rPr>
      <w:b/>
      <w:bCs/>
    </w:rPr>
  </w:style>
  <w:style w:type="paragraph" w:styleId="33">
    <w:name w:val="Body Text First Indent"/>
    <w:basedOn w:val="2"/>
    <w:next w:val="1"/>
    <w:qFormat/>
    <w:uiPriority w:val="0"/>
    <w:pPr>
      <w:spacing w:line="300" w:lineRule="auto"/>
      <w:ind w:firstLine="602"/>
    </w:pPr>
  </w:style>
  <w:style w:type="paragraph" w:styleId="34">
    <w:name w:val="Body Text First Indent 2"/>
    <w:basedOn w:val="17"/>
    <w:next w:val="12"/>
    <w:qFormat/>
    <w:uiPriority w:val="0"/>
    <w:pPr>
      <w:ind w:firstLine="420"/>
    </w:p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22"/>
    <w:rPr>
      <w:b/>
      <w:bCs/>
    </w:rPr>
  </w:style>
  <w:style w:type="character" w:styleId="39">
    <w:name w:val="page number"/>
    <w:qFormat/>
    <w:uiPriority w:val="0"/>
    <w:rPr>
      <w:rFonts w:ascii="Times New Roman" w:hAnsi="Times New Roman" w:eastAsia="宋体" w:cs="Times New Roman"/>
    </w:rPr>
  </w:style>
  <w:style w:type="character" w:styleId="40">
    <w:name w:val="FollowedHyperlink"/>
    <w:basedOn w:val="37"/>
    <w:semiHidden/>
    <w:unhideWhenUsed/>
    <w:qFormat/>
    <w:uiPriority w:val="99"/>
    <w:rPr>
      <w:color w:val="954F72" w:themeColor="followedHyperlink"/>
      <w:u w:val="single"/>
      <w14:textFill>
        <w14:solidFill>
          <w14:schemeClr w14:val="folHlink"/>
        </w14:solidFill>
      </w14:textFill>
    </w:rPr>
  </w:style>
  <w:style w:type="character" w:styleId="41">
    <w:name w:val="Emphasis"/>
    <w:basedOn w:val="37"/>
    <w:qFormat/>
    <w:uiPriority w:val="20"/>
    <w:rPr>
      <w:rFonts w:asciiTheme="minorHAnsi" w:hAnsiTheme="minorHAnsi"/>
      <w:b/>
      <w:i/>
      <w:iCs/>
    </w:rPr>
  </w:style>
  <w:style w:type="character" w:styleId="42">
    <w:name w:val="HTML Definition"/>
    <w:basedOn w:val="37"/>
    <w:semiHidden/>
    <w:unhideWhenUsed/>
    <w:qFormat/>
    <w:uiPriority w:val="99"/>
    <w:rPr>
      <w:color w:val="FFFFFF"/>
      <w:shd w:val="clear" w:color="auto" w:fill="048FD2"/>
    </w:rPr>
  </w:style>
  <w:style w:type="character" w:styleId="43">
    <w:name w:val="HTML Typewriter"/>
    <w:basedOn w:val="37"/>
    <w:semiHidden/>
    <w:unhideWhenUsed/>
    <w:qFormat/>
    <w:uiPriority w:val="99"/>
    <w:rPr>
      <w:rFonts w:hint="default" w:ascii="monospace" w:hAnsi="monospace" w:eastAsia="monospace" w:cs="monospace"/>
      <w:sz w:val="20"/>
    </w:rPr>
  </w:style>
  <w:style w:type="character" w:styleId="44">
    <w:name w:val="HTML Acronym"/>
    <w:basedOn w:val="37"/>
    <w:semiHidden/>
    <w:unhideWhenUsed/>
    <w:qFormat/>
    <w:uiPriority w:val="99"/>
  </w:style>
  <w:style w:type="character" w:styleId="45">
    <w:name w:val="HTML Variable"/>
    <w:basedOn w:val="37"/>
    <w:semiHidden/>
    <w:unhideWhenUsed/>
    <w:qFormat/>
    <w:uiPriority w:val="99"/>
  </w:style>
  <w:style w:type="character" w:styleId="46">
    <w:name w:val="Hyperlink"/>
    <w:basedOn w:val="37"/>
    <w:unhideWhenUsed/>
    <w:qFormat/>
    <w:uiPriority w:val="99"/>
    <w:rPr>
      <w:color w:val="0563C1" w:themeColor="hyperlink"/>
      <w:u w:val="single"/>
      <w14:textFill>
        <w14:solidFill>
          <w14:schemeClr w14:val="hlink"/>
        </w14:solidFill>
      </w14:textFill>
    </w:rPr>
  </w:style>
  <w:style w:type="character" w:styleId="47">
    <w:name w:val="HTML Code"/>
    <w:basedOn w:val="37"/>
    <w:semiHidden/>
    <w:unhideWhenUsed/>
    <w:qFormat/>
    <w:uiPriority w:val="99"/>
    <w:rPr>
      <w:rFonts w:hint="default" w:ascii="monospace" w:hAnsi="monospace" w:eastAsia="monospace" w:cs="monospace"/>
      <w:sz w:val="20"/>
    </w:rPr>
  </w:style>
  <w:style w:type="character" w:styleId="48">
    <w:name w:val="annotation reference"/>
    <w:basedOn w:val="37"/>
    <w:semiHidden/>
    <w:unhideWhenUsed/>
    <w:qFormat/>
    <w:uiPriority w:val="99"/>
    <w:rPr>
      <w:sz w:val="21"/>
      <w:szCs w:val="21"/>
    </w:rPr>
  </w:style>
  <w:style w:type="character" w:styleId="49">
    <w:name w:val="HTML Cite"/>
    <w:basedOn w:val="37"/>
    <w:semiHidden/>
    <w:unhideWhenUsed/>
    <w:qFormat/>
    <w:uiPriority w:val="99"/>
  </w:style>
  <w:style w:type="character" w:styleId="50">
    <w:name w:val="HTML Keyboard"/>
    <w:basedOn w:val="37"/>
    <w:semiHidden/>
    <w:unhideWhenUsed/>
    <w:qFormat/>
    <w:uiPriority w:val="99"/>
    <w:rPr>
      <w:rFonts w:ascii="monospace" w:hAnsi="monospace" w:eastAsia="monospace" w:cs="monospace"/>
      <w:sz w:val="20"/>
    </w:rPr>
  </w:style>
  <w:style w:type="character" w:styleId="51">
    <w:name w:val="HTML Sample"/>
    <w:basedOn w:val="37"/>
    <w:semiHidden/>
    <w:unhideWhenUsed/>
    <w:qFormat/>
    <w:uiPriority w:val="99"/>
    <w:rPr>
      <w:rFonts w:hint="default" w:ascii="monospace" w:hAnsi="monospace" w:eastAsia="monospace" w:cs="monospace"/>
    </w:rPr>
  </w:style>
  <w:style w:type="paragraph" w:customStyle="1" w:styleId="52">
    <w:name w:val="Default"/>
    <w:next w:val="53"/>
    <w:qFormat/>
    <w:uiPriority w:val="0"/>
    <w:pPr>
      <w:widowControl w:val="0"/>
      <w:autoSpaceDE w:val="0"/>
      <w:autoSpaceDN w:val="0"/>
      <w:adjustRightInd w:val="0"/>
    </w:pPr>
    <w:rPr>
      <w:rFonts w:ascii="......." w:hAnsi="Times New Roman" w:eastAsia="......." w:cs="Times New Roman"/>
      <w:color w:val="000000"/>
      <w:kern w:val="2"/>
      <w:sz w:val="24"/>
      <w:szCs w:val="24"/>
      <w:lang w:val="en-US" w:eastAsia="zh-CN" w:bidi="ar-SA"/>
    </w:rPr>
  </w:style>
  <w:style w:type="paragraph" w:customStyle="1" w:styleId="5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4">
    <w:name w:val="※封面大标题"/>
    <w:basedOn w:val="1"/>
    <w:next w:val="1"/>
    <w:qFormat/>
    <w:uiPriority w:val="0"/>
    <w:pPr>
      <w:jc w:val="center"/>
    </w:pPr>
    <w:rPr>
      <w:rFonts w:ascii="华文中宋" w:hAnsi="华文中宋" w:eastAsia="华文中宋"/>
      <w:sz w:val="96"/>
      <w:szCs w:val="96"/>
    </w:rPr>
  </w:style>
  <w:style w:type="paragraph" w:customStyle="1" w:styleId="55">
    <w:name w:val="※封面题颌"/>
    <w:basedOn w:val="1"/>
    <w:next w:val="1"/>
    <w:qFormat/>
    <w:uiPriority w:val="0"/>
    <w:pPr>
      <w:jc w:val="center"/>
    </w:pPr>
    <w:rPr>
      <w:rFonts w:ascii="Calibri Light" w:hAnsi="Calibri Light" w:eastAsia="华文仿宋"/>
      <w:sz w:val="36"/>
      <w:szCs w:val="36"/>
    </w:rPr>
  </w:style>
  <w:style w:type="paragraph" w:customStyle="1" w:styleId="56">
    <w:name w:val="※封面题眉"/>
    <w:basedOn w:val="1"/>
    <w:next w:val="54"/>
    <w:qFormat/>
    <w:uiPriority w:val="0"/>
    <w:pPr>
      <w:jc w:val="center"/>
    </w:pPr>
    <w:rPr>
      <w:rFonts w:ascii="华文仿宋" w:hAnsi="华文仿宋" w:eastAsia="华文仿宋"/>
      <w:sz w:val="52"/>
      <w:szCs w:val="28"/>
    </w:rPr>
  </w:style>
  <w:style w:type="paragraph" w:customStyle="1" w:styleId="5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6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6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62">
    <w:name w:val="※小标题 一"/>
    <w:basedOn w:val="61"/>
    <w:next w:val="61"/>
    <w:qFormat/>
    <w:uiPriority w:val="0"/>
    <w:pPr>
      <w:spacing w:before="120" w:line="240" w:lineRule="auto"/>
      <w:outlineLvl w:val="2"/>
    </w:pPr>
    <w:rPr>
      <w:b/>
      <w:color w:val="203864" w:themeColor="accent5" w:themeShade="80"/>
      <w:sz w:val="32"/>
    </w:rPr>
  </w:style>
  <w:style w:type="paragraph" w:customStyle="1" w:styleId="63">
    <w:name w:val="※小标题（1）"/>
    <w:basedOn w:val="1"/>
    <w:next w:val="6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64">
    <w:name w:val="※小标题（一）"/>
    <w:basedOn w:val="1"/>
    <w:next w:val="6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7">
    <w:name w:val="※页眉"/>
    <w:basedOn w:val="61"/>
    <w:qFormat/>
    <w:uiPriority w:val="0"/>
    <w:pPr>
      <w:pBdr>
        <w:bottom w:val="single" w:color="auto" w:sz="4" w:space="1"/>
      </w:pBdr>
      <w:spacing w:line="240" w:lineRule="atLeast"/>
      <w:jc w:val="right"/>
    </w:pPr>
    <w:rPr>
      <w:rFonts w:ascii="宋体" w:hAnsi="宋体" w:eastAsia="宋体"/>
      <w:sz w:val="18"/>
    </w:rPr>
  </w:style>
  <w:style w:type="paragraph" w:customStyle="1" w:styleId="68">
    <w:name w:val="※章节标题（第X章）"/>
    <w:basedOn w:val="1"/>
    <w:qFormat/>
    <w:uiPriority w:val="0"/>
    <w:pPr>
      <w:jc w:val="center"/>
      <w:outlineLvl w:val="0"/>
    </w:pPr>
    <w:rPr>
      <w:rFonts w:ascii="Calibri Light" w:hAnsi="Calibri Light" w:eastAsia="黑体"/>
      <w:sz w:val="36"/>
      <w:szCs w:val="28"/>
    </w:rPr>
  </w:style>
  <w:style w:type="paragraph" w:customStyle="1" w:styleId="6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70">
    <w:name w:val="※章节标题（第Z部分分项）"/>
    <w:basedOn w:val="69"/>
    <w:qFormat/>
    <w:uiPriority w:val="0"/>
    <w:pPr>
      <w:outlineLvl w:val="2"/>
    </w:pPr>
  </w:style>
  <w:style w:type="paragraph" w:customStyle="1" w:styleId="7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72">
    <w:name w:val="※正文（缩进2）"/>
    <w:basedOn w:val="61"/>
    <w:qFormat/>
    <w:uiPriority w:val="0"/>
    <w:pPr>
      <w:ind w:firstLine="200" w:firstLineChars="200"/>
    </w:pPr>
  </w:style>
  <w:style w:type="paragraph" w:customStyle="1" w:styleId="73">
    <w:name w:val="※正文（缩进4）"/>
    <w:basedOn w:val="61"/>
    <w:qFormat/>
    <w:uiPriority w:val="0"/>
    <w:pPr>
      <w:ind w:firstLine="400" w:firstLineChars="400"/>
    </w:pPr>
  </w:style>
  <w:style w:type="character" w:customStyle="1" w:styleId="74">
    <w:name w:val="日期 Char"/>
    <w:basedOn w:val="37"/>
    <w:link w:val="20"/>
    <w:semiHidden/>
    <w:qFormat/>
    <w:uiPriority w:val="99"/>
    <w:rPr>
      <w:rFonts w:ascii="华文仿宋" w:hAnsi="华文仿宋" w:eastAsia="华文仿宋"/>
      <w:sz w:val="28"/>
      <w:szCs w:val="28"/>
    </w:rPr>
  </w:style>
  <w:style w:type="character" w:customStyle="1" w:styleId="75">
    <w:name w:val="页眉 Char"/>
    <w:basedOn w:val="37"/>
    <w:link w:val="24"/>
    <w:qFormat/>
    <w:uiPriority w:val="0"/>
    <w:rPr>
      <w:rFonts w:ascii="华文仿宋" w:hAnsi="华文仿宋" w:eastAsia="华文仿宋"/>
      <w:sz w:val="18"/>
      <w:szCs w:val="18"/>
    </w:rPr>
  </w:style>
  <w:style w:type="character" w:customStyle="1" w:styleId="76">
    <w:name w:val="页脚 Char"/>
    <w:basedOn w:val="37"/>
    <w:link w:val="23"/>
    <w:qFormat/>
    <w:uiPriority w:val="99"/>
    <w:rPr>
      <w:rFonts w:ascii="华文仿宋" w:hAnsi="华文仿宋" w:eastAsia="华文仿宋"/>
      <w:sz w:val="18"/>
      <w:szCs w:val="18"/>
    </w:rPr>
  </w:style>
  <w:style w:type="character" w:customStyle="1" w:styleId="77">
    <w:name w:val="标题 1 Char"/>
    <w:basedOn w:val="37"/>
    <w:link w:val="3"/>
    <w:qFormat/>
    <w:uiPriority w:val="9"/>
    <w:rPr>
      <w:rFonts w:ascii="方正小标宋_GBK" w:hAnsi="仿宋" w:eastAsia="方正小标宋_GBK"/>
      <w:sz w:val="44"/>
      <w:szCs w:val="44"/>
    </w:rPr>
  </w:style>
  <w:style w:type="character" w:customStyle="1" w:styleId="78">
    <w:name w:val="标题 2 Char"/>
    <w:basedOn w:val="37"/>
    <w:link w:val="4"/>
    <w:qFormat/>
    <w:uiPriority w:val="9"/>
    <w:rPr>
      <w:rFonts w:ascii="楷体" w:hAnsi="楷体" w:eastAsia="黑体"/>
      <w:sz w:val="32"/>
      <w:szCs w:val="32"/>
    </w:rPr>
  </w:style>
  <w:style w:type="character" w:customStyle="1" w:styleId="79">
    <w:name w:val="标题 3 Char"/>
    <w:basedOn w:val="37"/>
    <w:link w:val="5"/>
    <w:qFormat/>
    <w:uiPriority w:val="9"/>
    <w:rPr>
      <w:rFonts w:ascii="方正小标宋_GBK" w:hAnsi="仿宋" w:eastAsia="方正小标宋_GBK"/>
      <w:sz w:val="36"/>
      <w:szCs w:val="36"/>
    </w:rPr>
  </w:style>
  <w:style w:type="character" w:customStyle="1" w:styleId="80">
    <w:name w:val="标题 4 Char"/>
    <w:basedOn w:val="37"/>
    <w:link w:val="6"/>
    <w:semiHidden/>
    <w:qFormat/>
    <w:uiPriority w:val="9"/>
    <w:rPr>
      <w:rFonts w:cstheme="majorBidi"/>
      <w:b/>
      <w:bCs/>
      <w:sz w:val="28"/>
      <w:szCs w:val="28"/>
    </w:rPr>
  </w:style>
  <w:style w:type="character" w:customStyle="1" w:styleId="81">
    <w:name w:val="标题 5 Char"/>
    <w:basedOn w:val="37"/>
    <w:link w:val="7"/>
    <w:semiHidden/>
    <w:qFormat/>
    <w:uiPriority w:val="9"/>
    <w:rPr>
      <w:b/>
      <w:bCs/>
      <w:i/>
      <w:iCs/>
      <w:sz w:val="26"/>
      <w:szCs w:val="26"/>
    </w:rPr>
  </w:style>
  <w:style w:type="character" w:customStyle="1" w:styleId="82">
    <w:name w:val="标题 6 Char"/>
    <w:basedOn w:val="37"/>
    <w:link w:val="8"/>
    <w:semiHidden/>
    <w:qFormat/>
    <w:uiPriority w:val="9"/>
    <w:rPr>
      <w:rFonts w:cstheme="majorBidi"/>
      <w:b/>
      <w:bCs/>
    </w:rPr>
  </w:style>
  <w:style w:type="character" w:customStyle="1" w:styleId="83">
    <w:name w:val="标题 7 Char"/>
    <w:basedOn w:val="37"/>
    <w:link w:val="9"/>
    <w:semiHidden/>
    <w:qFormat/>
    <w:uiPriority w:val="9"/>
    <w:rPr>
      <w:sz w:val="24"/>
      <w:szCs w:val="24"/>
    </w:rPr>
  </w:style>
  <w:style w:type="character" w:customStyle="1" w:styleId="84">
    <w:name w:val="标题 8 Char"/>
    <w:basedOn w:val="37"/>
    <w:link w:val="10"/>
    <w:semiHidden/>
    <w:qFormat/>
    <w:uiPriority w:val="9"/>
    <w:rPr>
      <w:rFonts w:cstheme="majorBidi"/>
      <w:i/>
      <w:iCs/>
      <w:sz w:val="24"/>
      <w:szCs w:val="24"/>
    </w:rPr>
  </w:style>
  <w:style w:type="character" w:customStyle="1" w:styleId="85">
    <w:name w:val="标题 9 Char"/>
    <w:basedOn w:val="37"/>
    <w:link w:val="11"/>
    <w:semiHidden/>
    <w:qFormat/>
    <w:uiPriority w:val="9"/>
    <w:rPr>
      <w:rFonts w:asciiTheme="majorHAnsi" w:hAnsiTheme="majorHAnsi" w:eastAsiaTheme="majorEastAsia" w:cstheme="majorBidi"/>
    </w:rPr>
  </w:style>
  <w:style w:type="character" w:customStyle="1" w:styleId="86">
    <w:name w:val="标题 Char"/>
    <w:basedOn w:val="37"/>
    <w:link w:val="31"/>
    <w:qFormat/>
    <w:uiPriority w:val="10"/>
    <w:rPr>
      <w:rFonts w:asciiTheme="majorHAnsi" w:hAnsiTheme="majorHAnsi" w:eastAsiaTheme="majorEastAsia" w:cstheme="majorBidi"/>
      <w:b/>
      <w:bCs/>
      <w:kern w:val="28"/>
      <w:sz w:val="32"/>
      <w:szCs w:val="32"/>
    </w:rPr>
  </w:style>
  <w:style w:type="character" w:customStyle="1" w:styleId="87">
    <w:name w:val="副标题 Char"/>
    <w:basedOn w:val="37"/>
    <w:link w:val="28"/>
    <w:qFormat/>
    <w:uiPriority w:val="11"/>
    <w:rPr>
      <w:rFonts w:ascii="Calibri" w:hAnsi="Calibri" w:eastAsia="黑体" w:cstheme="majorBidi"/>
      <w:sz w:val="32"/>
      <w:szCs w:val="24"/>
    </w:rPr>
  </w:style>
  <w:style w:type="paragraph" w:styleId="88">
    <w:name w:val="No Spacing"/>
    <w:basedOn w:val="1"/>
    <w:qFormat/>
    <w:uiPriority w:val="1"/>
    <w:rPr>
      <w:szCs w:val="32"/>
    </w:rPr>
  </w:style>
  <w:style w:type="paragraph" w:styleId="89">
    <w:name w:val="List Paragraph"/>
    <w:basedOn w:val="1"/>
    <w:qFormat/>
    <w:uiPriority w:val="0"/>
    <w:pPr>
      <w:ind w:left="720"/>
      <w:contextualSpacing/>
    </w:pPr>
  </w:style>
  <w:style w:type="paragraph" w:styleId="90">
    <w:name w:val="Quote"/>
    <w:basedOn w:val="1"/>
    <w:next w:val="1"/>
    <w:link w:val="91"/>
    <w:qFormat/>
    <w:uiPriority w:val="29"/>
    <w:rPr>
      <w:i/>
    </w:rPr>
  </w:style>
  <w:style w:type="character" w:customStyle="1" w:styleId="91">
    <w:name w:val="引用 Char"/>
    <w:basedOn w:val="37"/>
    <w:link w:val="90"/>
    <w:qFormat/>
    <w:uiPriority w:val="29"/>
    <w:rPr>
      <w:i/>
      <w:sz w:val="24"/>
      <w:szCs w:val="24"/>
    </w:rPr>
  </w:style>
  <w:style w:type="paragraph" w:styleId="92">
    <w:name w:val="Intense Quote"/>
    <w:basedOn w:val="1"/>
    <w:next w:val="1"/>
    <w:link w:val="93"/>
    <w:qFormat/>
    <w:uiPriority w:val="30"/>
    <w:pPr>
      <w:ind w:left="720" w:right="720"/>
    </w:pPr>
    <w:rPr>
      <w:b/>
      <w:i/>
      <w:szCs w:val="22"/>
    </w:rPr>
  </w:style>
  <w:style w:type="character" w:customStyle="1" w:styleId="93">
    <w:name w:val="明显引用 Char"/>
    <w:basedOn w:val="37"/>
    <w:link w:val="92"/>
    <w:qFormat/>
    <w:uiPriority w:val="30"/>
    <w:rPr>
      <w:b/>
      <w:i/>
      <w:sz w:val="24"/>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37"/>
    <w:qFormat/>
    <w:uiPriority w:val="21"/>
    <w:rPr>
      <w:b/>
      <w:i/>
      <w:sz w:val="24"/>
      <w:szCs w:val="24"/>
      <w:u w:val="single"/>
    </w:rPr>
  </w:style>
  <w:style w:type="character" w:customStyle="1" w:styleId="96">
    <w:name w:val="不明显参考1"/>
    <w:basedOn w:val="37"/>
    <w:qFormat/>
    <w:uiPriority w:val="31"/>
    <w:rPr>
      <w:sz w:val="24"/>
      <w:szCs w:val="24"/>
      <w:u w:val="single"/>
    </w:rPr>
  </w:style>
  <w:style w:type="character" w:customStyle="1" w:styleId="97">
    <w:name w:val="明显参考1"/>
    <w:basedOn w:val="37"/>
    <w:qFormat/>
    <w:uiPriority w:val="32"/>
    <w:rPr>
      <w:b/>
      <w:sz w:val="24"/>
      <w:u w:val="single"/>
    </w:rPr>
  </w:style>
  <w:style w:type="character" w:customStyle="1" w:styleId="98">
    <w:name w:val="书籍标题1"/>
    <w:basedOn w:val="37"/>
    <w:qFormat/>
    <w:uiPriority w:val="33"/>
    <w:rPr>
      <w:rFonts w:asciiTheme="majorHAnsi" w:hAnsiTheme="majorHAnsi" w:eastAsiaTheme="majorEastAsia"/>
      <w:b/>
      <w:i/>
      <w:sz w:val="24"/>
      <w:szCs w:val="24"/>
    </w:rPr>
  </w:style>
  <w:style w:type="paragraph" w:customStyle="1" w:styleId="99">
    <w:name w:val="TOC 标题1"/>
    <w:basedOn w:val="3"/>
    <w:next w:val="1"/>
    <w:semiHidden/>
    <w:unhideWhenUsed/>
    <w:qFormat/>
    <w:uiPriority w:val="39"/>
    <w:pPr>
      <w:outlineLvl w:val="9"/>
    </w:pPr>
  </w:style>
  <w:style w:type="character" w:customStyle="1" w:styleId="100">
    <w:name w:val="批注框文本 Char"/>
    <w:basedOn w:val="37"/>
    <w:link w:val="22"/>
    <w:semiHidden/>
    <w:qFormat/>
    <w:uiPriority w:val="99"/>
    <w:rPr>
      <w:sz w:val="18"/>
      <w:szCs w:val="18"/>
    </w:rPr>
  </w:style>
  <w:style w:type="character" w:customStyle="1" w:styleId="101">
    <w:name w:val="批注文字 Char"/>
    <w:basedOn w:val="37"/>
    <w:link w:val="16"/>
    <w:qFormat/>
    <w:uiPriority w:val="99"/>
    <w:rPr>
      <w:rFonts w:ascii="Calibri Light" w:hAnsi="Calibri Light" w:eastAsia="华文仿宋" w:cs="Calibri Light"/>
      <w:kern w:val="2"/>
      <w:sz w:val="28"/>
      <w:szCs w:val="28"/>
    </w:rPr>
  </w:style>
  <w:style w:type="paragraph" w:customStyle="1" w:styleId="102">
    <w:name w:val="@正文"/>
    <w:basedOn w:val="6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03">
    <w:name w:val="@一级小标题"/>
    <w:basedOn w:val="1"/>
    <w:next w:val="102"/>
    <w:qFormat/>
    <w:uiPriority w:val="0"/>
    <w:pPr>
      <w:keepNext/>
      <w:spacing w:before="120" w:after="60"/>
      <w:outlineLvl w:val="2"/>
    </w:pPr>
    <w:rPr>
      <w:rFonts w:ascii="Calibri" w:hAnsi="Calibri" w:eastAsia="黑体"/>
      <w:kern w:val="28"/>
      <w:sz w:val="28"/>
    </w:rPr>
  </w:style>
  <w:style w:type="paragraph" w:customStyle="1" w:styleId="104">
    <w:name w:val="@标题"/>
    <w:basedOn w:val="1"/>
    <w:next w:val="102"/>
    <w:qFormat/>
    <w:uiPriority w:val="0"/>
    <w:pPr>
      <w:keepNext/>
      <w:spacing w:before="50" w:beforeLines="50" w:after="50" w:afterLines="50"/>
      <w:jc w:val="center"/>
      <w:outlineLvl w:val="1"/>
    </w:pPr>
    <w:rPr>
      <w:rFonts w:ascii="Calibri" w:hAnsi="Calibri" w:eastAsia="黑体"/>
      <w:kern w:val="32"/>
      <w:sz w:val="32"/>
    </w:rPr>
  </w:style>
  <w:style w:type="table" w:customStyle="1" w:styleId="105">
    <w:name w:val="网格型1"/>
    <w:basedOn w:val="3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6">
    <w:name w:val="页眉 Char1"/>
    <w:basedOn w:val="37"/>
    <w:semiHidden/>
    <w:qFormat/>
    <w:uiPriority w:val="99"/>
    <w:rPr>
      <w:rFonts w:cs="Calibri Light"/>
      <w:sz w:val="18"/>
      <w:szCs w:val="18"/>
    </w:rPr>
  </w:style>
  <w:style w:type="character" w:customStyle="1" w:styleId="107">
    <w:name w:val="页脚 Char1"/>
    <w:basedOn w:val="37"/>
    <w:semiHidden/>
    <w:qFormat/>
    <w:uiPriority w:val="99"/>
    <w:rPr>
      <w:rFonts w:cs="Calibri Light"/>
      <w:sz w:val="18"/>
      <w:szCs w:val="18"/>
    </w:rPr>
  </w:style>
  <w:style w:type="character" w:customStyle="1" w:styleId="108">
    <w:name w:val="批注主题 Char"/>
    <w:basedOn w:val="101"/>
    <w:link w:val="32"/>
    <w:semiHidden/>
    <w:qFormat/>
    <w:uiPriority w:val="99"/>
    <w:rPr>
      <w:rFonts w:ascii="Calibri Light" w:hAnsi="Calibri Light" w:eastAsia="华文仿宋" w:cs="Calibri Light"/>
      <w:b/>
      <w:bCs/>
      <w:kern w:val="2"/>
      <w:sz w:val="28"/>
      <w:szCs w:val="28"/>
    </w:rPr>
  </w:style>
  <w:style w:type="character" w:customStyle="1" w:styleId="109">
    <w:name w:val="文档结构图 Char"/>
    <w:basedOn w:val="37"/>
    <w:link w:val="15"/>
    <w:semiHidden/>
    <w:qFormat/>
    <w:uiPriority w:val="99"/>
    <w:rPr>
      <w:rFonts w:ascii="宋体" w:hAnsi="Calibri Light" w:eastAsia="宋体" w:cs="Calibri Light"/>
      <w:kern w:val="2"/>
      <w:sz w:val="18"/>
      <w:szCs w:val="18"/>
    </w:rPr>
  </w:style>
  <w:style w:type="character" w:styleId="110">
    <w:name w:val="Placeholder Text"/>
    <w:basedOn w:val="37"/>
    <w:semiHidden/>
    <w:qFormat/>
    <w:uiPriority w:val="99"/>
    <w:rPr>
      <w:color w:val="808080"/>
    </w:rPr>
  </w:style>
  <w:style w:type="character" w:customStyle="1" w:styleId="111">
    <w:name w:val="Unresolved Mention"/>
    <w:basedOn w:val="37"/>
    <w:semiHidden/>
    <w:unhideWhenUsed/>
    <w:qFormat/>
    <w:uiPriority w:val="99"/>
    <w:rPr>
      <w:color w:val="605E5C"/>
      <w:shd w:val="clear" w:color="auto" w:fill="E1DFDD"/>
    </w:rPr>
  </w:style>
  <w:style w:type="paragraph" w:customStyle="1" w:styleId="112">
    <w:name w:val="样式1"/>
    <w:basedOn w:val="5"/>
    <w:link w:val="114"/>
    <w:qFormat/>
    <w:uiPriority w:val="0"/>
    <w:pPr>
      <w:jc w:val="left"/>
    </w:pPr>
    <w:rPr>
      <w:rFonts w:eastAsia="楷体"/>
      <w:sz w:val="32"/>
    </w:rPr>
  </w:style>
  <w:style w:type="paragraph" w:customStyle="1" w:styleId="113">
    <w:name w:val="样式2"/>
    <w:basedOn w:val="104"/>
    <w:link w:val="116"/>
    <w:qFormat/>
    <w:uiPriority w:val="0"/>
    <w:pPr>
      <w:spacing w:line="560" w:lineRule="exact"/>
      <w:ind w:firstLine="643" w:firstLineChars="200"/>
      <w:jc w:val="both"/>
    </w:pPr>
    <w:rPr>
      <w:rFonts w:ascii="仿宋_GB2312" w:hAnsi="仿宋" w:eastAsia="仿宋_GB2312"/>
      <w:b/>
      <w:bCs/>
      <w:szCs w:val="32"/>
    </w:rPr>
  </w:style>
  <w:style w:type="character" w:customStyle="1" w:styleId="114">
    <w:name w:val="样式1 字符"/>
    <w:basedOn w:val="78"/>
    <w:link w:val="112"/>
    <w:qFormat/>
    <w:uiPriority w:val="0"/>
    <w:rPr>
      <w:rFonts w:ascii="方正小标宋_GBK" w:hAnsi="仿宋" w:eastAsia="楷体"/>
      <w:sz w:val="32"/>
      <w:szCs w:val="36"/>
    </w:rPr>
  </w:style>
  <w:style w:type="paragraph" w:customStyle="1" w:styleId="115">
    <w:name w:val="样式3"/>
    <w:basedOn w:val="1"/>
    <w:link w:val="117"/>
    <w:qFormat/>
    <w:uiPriority w:val="0"/>
    <w:pPr>
      <w:spacing w:line="560" w:lineRule="exact"/>
      <w:jc w:val="center"/>
    </w:pPr>
    <w:rPr>
      <w:rFonts w:ascii="方正小标宋_GBK" w:hAnsi="仿宋" w:eastAsia="方正小标宋_GBK"/>
      <w:sz w:val="36"/>
      <w:szCs w:val="36"/>
    </w:rPr>
  </w:style>
  <w:style w:type="character" w:customStyle="1" w:styleId="116">
    <w:name w:val="样式2 字符"/>
    <w:basedOn w:val="37"/>
    <w:link w:val="113"/>
    <w:qFormat/>
    <w:uiPriority w:val="0"/>
    <w:rPr>
      <w:rFonts w:ascii="仿宋_GB2312" w:hAnsi="仿宋" w:eastAsia="仿宋_GB2312"/>
      <w:b/>
      <w:bCs/>
      <w:kern w:val="32"/>
      <w:sz w:val="32"/>
      <w:szCs w:val="32"/>
    </w:rPr>
  </w:style>
  <w:style w:type="character" w:customStyle="1" w:styleId="117">
    <w:name w:val="样式3 字符"/>
    <w:basedOn w:val="37"/>
    <w:link w:val="115"/>
    <w:qFormat/>
    <w:uiPriority w:val="0"/>
    <w:rPr>
      <w:rFonts w:ascii="方正小标宋_GBK" w:hAnsi="仿宋" w:eastAsia="方正小标宋_GBK"/>
      <w:sz w:val="36"/>
      <w:szCs w:val="36"/>
    </w:rPr>
  </w:style>
  <w:style w:type="paragraph" w:customStyle="1" w:styleId="118">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19">
    <w:name w:val="Table Paragraph"/>
    <w:basedOn w:val="1"/>
    <w:qFormat/>
    <w:uiPriority w:val="1"/>
  </w:style>
  <w:style w:type="paragraph" w:customStyle="1" w:styleId="120">
    <w:name w:val="纯文本1"/>
    <w:basedOn w:val="1"/>
    <w:qFormat/>
    <w:uiPriority w:val="0"/>
    <w:rPr>
      <w:rFonts w:ascii="宋体" w:hAnsi="Courier New" w:eastAsia="宋体"/>
      <w:szCs w:val="22"/>
    </w:rPr>
  </w:style>
  <w:style w:type="paragraph" w:customStyle="1" w:styleId="121">
    <w:name w:val="WPSOffice手动目录 1"/>
    <w:qFormat/>
    <w:uiPriority w:val="0"/>
    <w:rPr>
      <w:rFonts w:ascii="Times New Roman" w:hAnsi="Times New Roman" w:eastAsia="宋体" w:cs="Times New Roman"/>
      <w:lang w:val="en-US" w:eastAsia="zh-CN" w:bidi="ar-SA"/>
    </w:rPr>
  </w:style>
  <w:style w:type="paragraph" w:customStyle="1" w:styleId="12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24">
    <w:name w:val="mini-outputtext1"/>
    <w:basedOn w:val="37"/>
    <w:qFormat/>
    <w:uiPriority w:val="0"/>
  </w:style>
  <w:style w:type="character" w:customStyle="1" w:styleId="125">
    <w:name w:val="NormalCharacter"/>
    <w:semiHidden/>
    <w:qFormat/>
    <w:uiPriority w:val="0"/>
    <w:rPr>
      <w:rFonts w:cs="Times New Roman" w:asciiTheme="minorHAnsi" w:hAnsiTheme="minorHAnsi" w:eastAsiaTheme="minorEastAsia"/>
      <w:sz w:val="24"/>
      <w:szCs w:val="24"/>
      <w:lang w:val="en-US" w:eastAsia="zh-CN" w:bidi="ar-SA"/>
    </w:rPr>
  </w:style>
  <w:style w:type="paragraph" w:customStyle="1" w:styleId="126">
    <w:name w:val="AnnotationText"/>
    <w:basedOn w:val="1"/>
    <w:qFormat/>
    <w:uiPriority w:val="0"/>
    <w:pPr>
      <w:textAlignment w:val="baseline"/>
    </w:pPr>
    <w:rPr>
      <w:rFonts w:ascii="宋体" w:hAnsi="宋体" w:eastAsia="Times New Roman"/>
      <w:szCs w:val="20"/>
    </w:rPr>
  </w:style>
  <w:style w:type="paragraph" w:customStyle="1" w:styleId="127">
    <w:name w:val="_Style 4"/>
    <w:basedOn w:val="1"/>
    <w:qFormat/>
    <w:uiPriority w:val="99"/>
    <w:pPr>
      <w:ind w:firstLine="420" w:firstLineChars="200"/>
    </w:pPr>
  </w:style>
  <w:style w:type="paragraph" w:customStyle="1" w:styleId="128">
    <w:name w:val="列出段落1"/>
    <w:basedOn w:val="1"/>
    <w:unhideWhenUsed/>
    <w:qFormat/>
    <w:uiPriority w:val="34"/>
    <w:pPr>
      <w:ind w:firstLine="420" w:firstLineChars="200"/>
    </w:pPr>
  </w:style>
  <w:style w:type="character" w:customStyle="1" w:styleId="129">
    <w:name w:val="font81"/>
    <w:basedOn w:val="37"/>
    <w:qFormat/>
    <w:uiPriority w:val="0"/>
    <w:rPr>
      <w:rFonts w:hint="default" w:ascii="Calibri" w:hAnsi="Calibri" w:cs="Calibri"/>
      <w:color w:val="000000"/>
      <w:sz w:val="20"/>
      <w:szCs w:val="20"/>
      <w:u w:val="none"/>
    </w:rPr>
  </w:style>
  <w:style w:type="character" w:customStyle="1" w:styleId="130">
    <w:name w:val="font51"/>
    <w:basedOn w:val="37"/>
    <w:qFormat/>
    <w:uiPriority w:val="0"/>
    <w:rPr>
      <w:rFonts w:hint="eastAsia" w:ascii="宋体" w:hAnsi="宋体" w:eastAsia="宋体" w:cs="宋体"/>
      <w:color w:val="000000"/>
      <w:sz w:val="20"/>
      <w:szCs w:val="20"/>
      <w:u w:val="none"/>
    </w:rPr>
  </w:style>
  <w:style w:type="character" w:customStyle="1" w:styleId="131">
    <w:name w:val="font11"/>
    <w:basedOn w:val="37"/>
    <w:qFormat/>
    <w:uiPriority w:val="0"/>
    <w:rPr>
      <w:rFonts w:ascii="Calibri" w:hAnsi="Calibri" w:cs="Calibri"/>
      <w:color w:val="000000"/>
      <w:sz w:val="20"/>
      <w:szCs w:val="20"/>
      <w:u w:val="none"/>
    </w:rPr>
  </w:style>
  <w:style w:type="character" w:customStyle="1" w:styleId="132">
    <w:name w:val="font71"/>
    <w:basedOn w:val="37"/>
    <w:qFormat/>
    <w:uiPriority w:val="0"/>
    <w:rPr>
      <w:rFonts w:hint="eastAsia" w:ascii="宋体" w:hAnsi="宋体" w:eastAsia="宋体" w:cs="宋体"/>
      <w:color w:val="000000"/>
      <w:sz w:val="20"/>
      <w:szCs w:val="20"/>
      <w:u w:val="none"/>
    </w:rPr>
  </w:style>
  <w:style w:type="character" w:customStyle="1" w:styleId="133">
    <w:name w:val="font31"/>
    <w:basedOn w:val="37"/>
    <w:qFormat/>
    <w:uiPriority w:val="0"/>
    <w:rPr>
      <w:rFonts w:hint="eastAsia" w:ascii="宋体" w:hAnsi="宋体" w:eastAsia="宋体" w:cs="宋体"/>
      <w:color w:val="000000"/>
      <w:sz w:val="20"/>
      <w:szCs w:val="20"/>
      <w:u w:val="none"/>
    </w:rPr>
  </w:style>
  <w:style w:type="paragraph" w:customStyle="1" w:styleId="134">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0"/>
      <w:lang w:val="en-US" w:eastAsia="zh-CN" w:bidi="ar-SA"/>
    </w:rPr>
  </w:style>
  <w:style w:type="paragraph" w:customStyle="1" w:styleId="135">
    <w:name w:val="标题 2 Char1"/>
    <w:basedOn w:val="1"/>
    <w:qFormat/>
    <w:uiPriority w:val="0"/>
    <w:rPr>
      <w:szCs w:val="21"/>
    </w:rPr>
  </w:style>
  <w:style w:type="character" w:customStyle="1" w:styleId="136">
    <w:name w:val="font21"/>
    <w:basedOn w:val="37"/>
    <w:qFormat/>
    <w:uiPriority w:val="0"/>
    <w:rPr>
      <w:rFonts w:hint="eastAsia" w:ascii="宋体" w:hAnsi="宋体" w:eastAsia="宋体" w:cs="宋体"/>
      <w:color w:val="000000"/>
      <w:sz w:val="20"/>
      <w:szCs w:val="20"/>
      <w:u w:val="none"/>
    </w:rPr>
  </w:style>
  <w:style w:type="paragraph" w:customStyle="1" w:styleId="1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38">
    <w:name w:val="font91"/>
    <w:basedOn w:val="3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header" Target="header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4.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B268D-D5B1-48F5-ABCF-55811AA830E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102</Pages>
  <Words>39783</Words>
  <Characters>45415</Characters>
  <Lines>303</Lines>
  <Paragraphs>85</Paragraphs>
  <TotalTime>69</TotalTime>
  <ScaleCrop>false</ScaleCrop>
  <LinksUpToDate>false</LinksUpToDate>
  <CharactersWithSpaces>47111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2022-09-30T07:21:00Z</dcterms:created>
  <dc:creator>lenovo</dc:creator>
  <cp:lastModifiedBy>趁早</cp:lastModifiedBy>
  <cp:lastPrinted>2023-04-27T03:24:00Z</cp:lastPrinted>
  <dcterms:modified xsi:type="dcterms:W3CDTF">2023-04-27T08:54:12Z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845B623C8DC440C5A818FF05510BBB78_13</vt:lpwstr>
  </property>
</Properties>
</file>