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321" w:firstLineChars="100"/>
        <w:rPr>
          <w:rFonts w:hint="eastAsia" w:ascii="宋体"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E-234132XA011/02</w:t>
      </w:r>
    </w:p>
    <w:p>
      <w:pPr>
        <w:spacing w:before="156" w:beforeLines="50" w:after="156" w:afterLines="50" w:line="360" w:lineRule="auto"/>
        <w:rPr>
          <w:b/>
          <w:bCs/>
          <w:color w:val="auto"/>
          <w:sz w:val="54"/>
          <w:szCs w:val="54"/>
          <w:highlight w:val="none"/>
        </w:rPr>
      </w:pPr>
    </w:p>
    <w:p>
      <w:pPr>
        <w:pStyle w:val="30"/>
        <w:spacing w:before="156" w:beforeLines="50"/>
        <w:jc w:val="both"/>
        <w:rPr>
          <w:rFonts w:ascii="宋体" w:hAnsi="宋体"/>
          <w:b/>
          <w:color w:val="auto"/>
          <w:sz w:val="48"/>
          <w:szCs w:val="48"/>
          <w:highlight w:val="none"/>
        </w:rPr>
      </w:pPr>
    </w:p>
    <w:p>
      <w:pPr>
        <w:pStyle w:val="30"/>
        <w:keepNext w:val="0"/>
        <w:keepLines w:val="0"/>
        <w:pageBreakBefore w:val="0"/>
        <w:widowControl w:val="0"/>
        <w:kinsoku/>
        <w:wordWrap/>
        <w:overflowPunct/>
        <w:topLinePunct w:val="0"/>
        <w:autoSpaceDE/>
        <w:autoSpaceDN/>
        <w:bidi w:val="0"/>
        <w:adjustRightInd/>
        <w:snapToGrid/>
        <w:spacing w:before="156" w:beforeLines="50" w:line="600" w:lineRule="auto"/>
        <w:jc w:val="center"/>
        <w:textAlignment w:val="auto"/>
        <w:outlineLvl w:val="0"/>
        <w:rPr>
          <w:rFonts w:hint="eastAsia" w:ascii="宋体" w:hAnsi="宋体" w:eastAsia="宋体"/>
          <w:b/>
          <w:color w:val="auto"/>
          <w:sz w:val="48"/>
          <w:szCs w:val="48"/>
          <w:highlight w:val="none"/>
          <w:lang w:eastAsia="zh-CN"/>
        </w:rPr>
      </w:pPr>
      <w:r>
        <w:rPr>
          <w:rFonts w:hint="eastAsia" w:ascii="宋体" w:hAnsi="宋体"/>
          <w:b/>
          <w:color w:val="auto"/>
          <w:sz w:val="48"/>
          <w:szCs w:val="48"/>
          <w:highlight w:val="none"/>
          <w:lang w:eastAsia="zh-CN"/>
        </w:rPr>
        <w:t>咸阳市中心医院智慧医院建设提升、智慧医疗管理系统建设及环境扩容服务</w:t>
      </w:r>
    </w:p>
    <w:p>
      <w:pPr>
        <w:spacing w:before="156" w:beforeLines="50" w:after="156" w:afterLines="50"/>
        <w:ind w:right="-334" w:rightChars="-159"/>
        <w:jc w:val="center"/>
        <w:outlineLvl w:val="0"/>
        <w:rPr>
          <w:rFonts w:hint="eastAsia" w:ascii="宋体" w:hAnsi="宋体" w:eastAsia="宋体" w:cs="Times New Roman"/>
          <w:b/>
          <w:color w:val="auto"/>
          <w:kern w:val="2"/>
          <w:sz w:val="32"/>
          <w:szCs w:val="32"/>
          <w:highlight w:val="none"/>
          <w:lang w:val="en-US" w:eastAsia="zh-CN" w:bidi="ar-SA"/>
        </w:rPr>
      </w:pPr>
      <w:bookmarkStart w:id="0" w:name="_Toc17495"/>
      <w:r>
        <w:rPr>
          <w:rFonts w:hint="eastAsia" w:ascii="宋体" w:hAnsi="宋体" w:eastAsia="宋体" w:cs="Times New Roman"/>
          <w:b/>
          <w:color w:val="auto"/>
          <w:kern w:val="2"/>
          <w:sz w:val="32"/>
          <w:szCs w:val="32"/>
          <w:highlight w:val="none"/>
          <w:lang w:val="en-US" w:eastAsia="zh-CN" w:bidi="ar-SA"/>
        </w:rPr>
        <w:t>（</w:t>
      </w:r>
      <w:r>
        <w:rPr>
          <w:rFonts w:hint="eastAsia" w:ascii="宋体" w:hAnsi="宋体" w:cs="Times New Roman"/>
          <w:b/>
          <w:color w:val="auto"/>
          <w:kern w:val="2"/>
          <w:sz w:val="32"/>
          <w:szCs w:val="32"/>
          <w:highlight w:val="none"/>
          <w:lang w:val="en-US" w:eastAsia="zh-CN" w:bidi="ar-SA"/>
        </w:rPr>
        <w:t>02包：康复中心信息管理系统</w:t>
      </w:r>
      <w:r>
        <w:rPr>
          <w:rFonts w:hint="eastAsia" w:ascii="宋体" w:hAnsi="宋体" w:eastAsia="宋体" w:cs="Times New Roman"/>
          <w:b/>
          <w:color w:val="auto"/>
          <w:kern w:val="2"/>
          <w:sz w:val="32"/>
          <w:szCs w:val="32"/>
          <w:highlight w:val="none"/>
          <w:lang w:val="en-US" w:eastAsia="zh-CN" w:bidi="ar-SA"/>
        </w:rPr>
        <w:t>）</w:t>
      </w:r>
      <w:bookmarkEnd w:id="0"/>
    </w:p>
    <w:p>
      <w:pPr>
        <w:pStyle w:val="30"/>
        <w:rPr>
          <w:color w:val="auto"/>
          <w:highlight w:val="none"/>
        </w:rPr>
      </w:pPr>
    </w:p>
    <w:p>
      <w:pPr>
        <w:spacing w:before="156" w:beforeLines="50" w:after="156" w:afterLines="50"/>
        <w:ind w:left="-178" w:leftChars="-85" w:right="-334" w:rightChars="-159"/>
        <w:jc w:val="center"/>
        <w:rPr>
          <w:rFonts w:hint="eastAsia" w:ascii="黑体" w:eastAsia="黑体"/>
          <w:b/>
          <w:color w:val="auto"/>
          <w:spacing w:val="40"/>
          <w:sz w:val="96"/>
          <w:szCs w:val="96"/>
          <w:highlight w:val="none"/>
        </w:rPr>
      </w:pPr>
    </w:p>
    <w:p>
      <w:pPr>
        <w:spacing w:before="156" w:beforeLines="50" w:after="156" w:afterLines="50"/>
        <w:ind w:left="-178" w:leftChars="-85" w:right="-334" w:rightChars="-159"/>
        <w:jc w:val="center"/>
        <w:rPr>
          <w:rFonts w:ascii="黑体" w:eastAsia="黑体"/>
          <w:b/>
          <w:color w:val="auto"/>
          <w:spacing w:val="40"/>
          <w:sz w:val="96"/>
          <w:szCs w:val="96"/>
          <w:highlight w:val="none"/>
        </w:rPr>
      </w:pPr>
      <w:r>
        <w:rPr>
          <w:rFonts w:hint="eastAsia" w:ascii="黑体" w:eastAsia="黑体"/>
          <w:b/>
          <w:color w:val="auto"/>
          <w:spacing w:val="40"/>
          <w:sz w:val="96"/>
          <w:szCs w:val="96"/>
          <w:highlight w:val="none"/>
        </w:rPr>
        <w:t>招标文件</w:t>
      </w:r>
    </w:p>
    <w:p>
      <w:pPr>
        <w:pStyle w:val="30"/>
        <w:rPr>
          <w:rFonts w:hAnsi="宋体"/>
          <w:b/>
          <w:color w:val="auto"/>
          <w:spacing w:val="4"/>
          <w:sz w:val="32"/>
          <w:szCs w:val="32"/>
          <w:highlight w:val="none"/>
        </w:rPr>
      </w:pPr>
    </w:p>
    <w:p>
      <w:pPr>
        <w:pStyle w:val="18"/>
        <w:rPr>
          <w:rFonts w:hAnsi="宋体"/>
          <w:b/>
          <w:color w:val="auto"/>
          <w:spacing w:val="4"/>
          <w:sz w:val="32"/>
          <w:szCs w:val="32"/>
          <w:highlight w:val="none"/>
        </w:rPr>
      </w:pPr>
    </w:p>
    <w:p>
      <w:pPr>
        <w:rPr>
          <w:color w:val="auto"/>
          <w:highlight w:val="none"/>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left"/>
        <w:textAlignment w:val="auto"/>
        <w:rPr>
          <w:rFonts w:hint="eastAsia" w:hAnsi="宋体"/>
          <w:b/>
          <w:color w:val="auto"/>
          <w:spacing w:val="4"/>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1082" w:firstLineChars="350"/>
        <w:jc w:val="left"/>
        <w:textAlignment w:val="auto"/>
        <w:outlineLvl w:val="0"/>
        <w:rPr>
          <w:rFonts w:hint="eastAsia" w:hAnsi="宋体"/>
          <w:b/>
          <w:color w:val="auto"/>
          <w:spacing w:val="4"/>
          <w:sz w:val="30"/>
          <w:szCs w:val="30"/>
          <w:highlight w:val="none"/>
        </w:rPr>
      </w:pPr>
      <w:bookmarkStart w:id="1" w:name="_Toc2837"/>
      <w:r>
        <w:rPr>
          <w:rFonts w:hint="eastAsia" w:hAnsi="宋体"/>
          <w:b/>
          <w:color w:val="auto"/>
          <w:spacing w:val="4"/>
          <w:sz w:val="30"/>
          <w:szCs w:val="30"/>
          <w:highlight w:val="none"/>
          <w:lang w:eastAsia="zh-CN"/>
        </w:rPr>
        <w:t>采购人</w:t>
      </w:r>
      <w:r>
        <w:rPr>
          <w:rFonts w:hint="eastAsia" w:hAnsi="宋体"/>
          <w:b/>
          <w:color w:val="auto"/>
          <w:spacing w:val="4"/>
          <w:sz w:val="30"/>
          <w:szCs w:val="30"/>
          <w:highlight w:val="none"/>
        </w:rPr>
        <w:t>：咸阳市中心医院</w:t>
      </w:r>
      <w:bookmarkEnd w:id="1"/>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1062" w:firstLineChars="317"/>
        <w:jc w:val="left"/>
        <w:textAlignment w:val="auto"/>
        <w:rPr>
          <w:rFonts w:ascii="宋体" w:hAnsi="宋体" w:cs="宋体"/>
          <w:b/>
          <w:color w:val="auto"/>
          <w:sz w:val="30"/>
          <w:szCs w:val="30"/>
          <w:highlight w:val="none"/>
        </w:rPr>
      </w:pPr>
      <w:r>
        <w:rPr>
          <w:rFonts w:hint="eastAsia" w:ascii="宋体" w:hAnsi="宋体" w:cs="宋体"/>
          <w:b/>
          <w:color w:val="auto"/>
          <w:spacing w:val="17"/>
          <w:sz w:val="30"/>
          <w:szCs w:val="30"/>
          <w:highlight w:val="none"/>
          <w:lang w:eastAsia="zh-CN"/>
        </w:rPr>
        <w:t>采购代理机构</w:t>
      </w:r>
      <w:r>
        <w:rPr>
          <w:rFonts w:hint="eastAsia" w:ascii="宋体" w:hAnsi="宋体" w:cs="宋体"/>
          <w:b/>
          <w:color w:val="auto"/>
          <w:spacing w:val="17"/>
          <w:sz w:val="30"/>
          <w:szCs w:val="30"/>
          <w:highlight w:val="none"/>
        </w:rPr>
        <w:t>：</w:t>
      </w:r>
      <w:r>
        <w:rPr>
          <w:rFonts w:hint="eastAsia" w:ascii="宋体" w:hAnsi="宋体" w:cs="宋体"/>
          <w:b/>
          <w:color w:val="auto"/>
          <w:sz w:val="30"/>
          <w:szCs w:val="30"/>
          <w:highlight w:val="none"/>
        </w:rPr>
        <w:t>中航技（北京）工程管理有限公司</w:t>
      </w:r>
    </w:p>
    <w:p>
      <w:pPr>
        <w:spacing w:line="480" w:lineRule="auto"/>
        <w:jc w:val="center"/>
        <w:rPr>
          <w:rFonts w:ascii="宋体" w:hAnsi="宋体" w:cs="宋体"/>
          <w:b/>
          <w:color w:val="auto"/>
          <w:sz w:val="30"/>
          <w:szCs w:val="30"/>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三</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十一</w:t>
      </w:r>
      <w:r>
        <w:rPr>
          <w:rFonts w:hint="eastAsia" w:ascii="宋体" w:hAnsi="宋体" w:cs="宋体"/>
          <w:b/>
          <w:color w:val="auto"/>
          <w:sz w:val="30"/>
          <w:szCs w:val="30"/>
          <w:highlight w:val="none"/>
        </w:rPr>
        <w:t>月</w:t>
      </w:r>
    </w:p>
    <w:p>
      <w:pPr>
        <w:spacing w:line="480" w:lineRule="auto"/>
        <w:jc w:val="center"/>
        <w:rPr>
          <w:rFonts w:ascii="宋体" w:hAnsi="宋体"/>
          <w:b/>
          <w:bCs/>
          <w:color w:val="auto"/>
          <w:sz w:val="32"/>
          <w:szCs w:val="32"/>
          <w:highlight w:val="none"/>
        </w:rPr>
      </w:pPr>
    </w:p>
    <w:sdt>
      <w:sdtPr>
        <w:rPr>
          <w:rFonts w:ascii="宋体" w:hAnsi="宋体" w:eastAsia="宋体" w:cs="Times New Roman"/>
          <w:b/>
          <w:bCs/>
          <w:kern w:val="2"/>
          <w:sz w:val="32"/>
          <w:szCs w:val="32"/>
          <w:lang w:val="en-US" w:eastAsia="zh-CN" w:bidi="ar-SA"/>
        </w:rPr>
        <w:id w:val="147462810"/>
        <w15:color w:val="DBDBDB"/>
        <w:docPartObj>
          <w:docPartGallery w:val="Table of Contents"/>
          <w:docPartUnique/>
        </w:docPartObj>
      </w:sdtPr>
      <w:sdtEndPr>
        <w:rPr>
          <w:rFonts w:ascii="宋体" w:hAnsi="宋体" w:eastAsia="宋体" w:cs="Times New Roman"/>
          <w:b/>
          <w:bCs/>
          <w:color w:val="auto"/>
          <w:kern w:val="2"/>
          <w:sz w:val="21"/>
          <w:szCs w:val="32"/>
          <w:highlight w:val="none"/>
          <w:lang w:val="en-US" w:eastAsia="zh-CN" w:bidi="ar-SA"/>
        </w:rPr>
      </w:sdtEndPr>
      <w:sdtContent>
        <w:p>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pPr>
            <w:pStyle w:val="36"/>
            <w:tabs>
              <w:tab w:val="right" w:leader="dot" w:pos="8754"/>
            </w:tabs>
          </w:pPr>
          <w:r>
            <w:rPr>
              <w:rFonts w:ascii="宋体" w:hAnsi="宋体"/>
              <w:color w:val="auto"/>
              <w:sz w:val="32"/>
              <w:szCs w:val="32"/>
              <w:highlight w:val="none"/>
            </w:rPr>
            <w:fldChar w:fldCharType="begin"/>
          </w:r>
          <w:r>
            <w:rPr>
              <w:rFonts w:ascii="宋体" w:hAnsi="宋体"/>
              <w:color w:val="auto"/>
              <w:sz w:val="32"/>
              <w:szCs w:val="32"/>
              <w:highlight w:val="none"/>
            </w:rPr>
            <w:instrText xml:space="preserve">TOC \o "1-1" \h \u </w:instrText>
          </w:r>
          <w:r>
            <w:rPr>
              <w:rFonts w:ascii="宋体" w:hAnsi="宋体"/>
              <w:color w:val="auto"/>
              <w:sz w:val="32"/>
              <w:szCs w:val="32"/>
              <w:highlight w:val="none"/>
            </w:rPr>
            <w:fldChar w:fldCharType="separate"/>
          </w:r>
        </w:p>
        <w:p>
          <w:pPr>
            <w:pStyle w:val="36"/>
            <w:keepNext w:val="0"/>
            <w:keepLines w:val="0"/>
            <w:pageBreakBefore w:val="0"/>
            <w:widowControl/>
            <w:tabs>
              <w:tab w:val="right" w:leader="dot" w:pos="8754"/>
            </w:tabs>
            <w:kinsoku/>
            <w:wordWrap/>
            <w:overflowPunct/>
            <w:topLinePunct w:val="0"/>
            <w:autoSpaceDE/>
            <w:autoSpaceDN/>
            <w:bidi w:val="0"/>
            <w:adjustRightInd/>
            <w:snapToGrid/>
            <w:spacing w:line="360" w:lineRule="auto"/>
            <w:textAlignment w:val="auto"/>
            <w:rPr>
              <w:sz w:val="24"/>
              <w:szCs w:val="24"/>
            </w:rPr>
          </w:pPr>
          <w:r>
            <w:rPr>
              <w:rFonts w:ascii="宋体" w:hAnsi="宋体"/>
              <w:color w:val="auto"/>
              <w:sz w:val="24"/>
              <w:szCs w:val="24"/>
              <w:highlight w:val="none"/>
            </w:rPr>
            <w:fldChar w:fldCharType="begin"/>
          </w:r>
          <w:r>
            <w:rPr>
              <w:rFonts w:ascii="宋体" w:hAnsi="宋体"/>
              <w:sz w:val="24"/>
              <w:szCs w:val="24"/>
              <w:highlight w:val="none"/>
            </w:rPr>
            <w:instrText xml:space="preserve"> HYPERLINK \l _Toc29207 </w:instrText>
          </w:r>
          <w:r>
            <w:rPr>
              <w:rFonts w:ascii="宋体" w:hAnsi="宋体"/>
              <w:sz w:val="24"/>
              <w:szCs w:val="24"/>
              <w:highlight w:val="none"/>
            </w:rPr>
            <w:fldChar w:fldCharType="separate"/>
          </w:r>
          <w:r>
            <w:rPr>
              <w:rFonts w:hint="eastAsia" w:ascii="宋体" w:hAnsi="宋体"/>
              <w:bCs/>
              <w:sz w:val="24"/>
              <w:szCs w:val="24"/>
              <w:highlight w:val="none"/>
            </w:rPr>
            <w:t>第一章 招标公告</w:t>
          </w:r>
          <w:r>
            <w:rPr>
              <w:sz w:val="24"/>
              <w:szCs w:val="24"/>
            </w:rPr>
            <w:tab/>
          </w:r>
          <w:r>
            <w:rPr>
              <w:sz w:val="24"/>
              <w:szCs w:val="24"/>
            </w:rPr>
            <w:fldChar w:fldCharType="begin"/>
          </w:r>
          <w:r>
            <w:rPr>
              <w:sz w:val="24"/>
              <w:szCs w:val="24"/>
            </w:rPr>
            <w:instrText xml:space="preserve"> PAGEREF _Toc29207 \h </w:instrText>
          </w:r>
          <w:r>
            <w:rPr>
              <w:sz w:val="24"/>
              <w:szCs w:val="24"/>
            </w:rPr>
            <w:fldChar w:fldCharType="separate"/>
          </w:r>
          <w:r>
            <w:rPr>
              <w:sz w:val="24"/>
              <w:szCs w:val="24"/>
            </w:rPr>
            <w:t>2</w:t>
          </w:r>
          <w:r>
            <w:rPr>
              <w:sz w:val="24"/>
              <w:szCs w:val="24"/>
            </w:rPr>
            <w:fldChar w:fldCharType="end"/>
          </w:r>
          <w:r>
            <w:rPr>
              <w:rFonts w:ascii="宋体" w:hAnsi="宋体"/>
              <w:color w:val="auto"/>
              <w:sz w:val="24"/>
              <w:szCs w:val="24"/>
              <w:highlight w:val="none"/>
            </w:rPr>
            <w:fldChar w:fldCharType="end"/>
          </w:r>
        </w:p>
        <w:p>
          <w:pPr>
            <w:pStyle w:val="36"/>
            <w:keepNext w:val="0"/>
            <w:keepLines w:val="0"/>
            <w:pageBreakBefore w:val="0"/>
            <w:widowControl/>
            <w:tabs>
              <w:tab w:val="right" w:leader="dot" w:pos="8754"/>
            </w:tabs>
            <w:kinsoku/>
            <w:wordWrap/>
            <w:overflowPunct/>
            <w:topLinePunct w:val="0"/>
            <w:autoSpaceDE/>
            <w:autoSpaceDN/>
            <w:bidi w:val="0"/>
            <w:adjustRightInd/>
            <w:snapToGrid/>
            <w:spacing w:line="360" w:lineRule="auto"/>
            <w:textAlignment w:val="auto"/>
            <w:rPr>
              <w:sz w:val="24"/>
              <w:szCs w:val="24"/>
            </w:rPr>
          </w:pPr>
          <w:r>
            <w:rPr>
              <w:rFonts w:ascii="宋体" w:hAnsi="宋体"/>
              <w:color w:val="auto"/>
              <w:sz w:val="24"/>
              <w:szCs w:val="24"/>
              <w:highlight w:val="none"/>
            </w:rPr>
            <w:fldChar w:fldCharType="begin"/>
          </w:r>
          <w:r>
            <w:rPr>
              <w:rFonts w:ascii="宋体" w:hAnsi="宋体"/>
              <w:sz w:val="24"/>
              <w:szCs w:val="24"/>
              <w:highlight w:val="none"/>
            </w:rPr>
            <w:instrText xml:space="preserve"> HYPERLINK \l _Toc786 </w:instrText>
          </w:r>
          <w:r>
            <w:rPr>
              <w:rFonts w:ascii="宋体" w:hAnsi="宋体"/>
              <w:sz w:val="24"/>
              <w:szCs w:val="24"/>
              <w:highlight w:val="none"/>
            </w:rPr>
            <w:fldChar w:fldCharType="separate"/>
          </w:r>
          <w:r>
            <w:rPr>
              <w:rFonts w:hint="eastAsia" w:ascii="宋体" w:hAnsi="宋体"/>
              <w:sz w:val="24"/>
              <w:szCs w:val="24"/>
              <w:highlight w:val="none"/>
            </w:rPr>
            <w:t>第二章 投标人须知</w:t>
          </w:r>
          <w:r>
            <w:rPr>
              <w:sz w:val="24"/>
              <w:szCs w:val="24"/>
            </w:rPr>
            <w:tab/>
          </w:r>
          <w:r>
            <w:rPr>
              <w:sz w:val="24"/>
              <w:szCs w:val="24"/>
            </w:rPr>
            <w:fldChar w:fldCharType="begin"/>
          </w:r>
          <w:r>
            <w:rPr>
              <w:sz w:val="24"/>
              <w:szCs w:val="24"/>
            </w:rPr>
            <w:instrText xml:space="preserve"> PAGEREF _Toc786 \h </w:instrText>
          </w:r>
          <w:r>
            <w:rPr>
              <w:sz w:val="24"/>
              <w:szCs w:val="24"/>
            </w:rPr>
            <w:fldChar w:fldCharType="separate"/>
          </w:r>
          <w:r>
            <w:rPr>
              <w:sz w:val="24"/>
              <w:szCs w:val="24"/>
            </w:rPr>
            <w:t>7</w:t>
          </w:r>
          <w:r>
            <w:rPr>
              <w:sz w:val="24"/>
              <w:szCs w:val="24"/>
            </w:rPr>
            <w:fldChar w:fldCharType="end"/>
          </w:r>
          <w:r>
            <w:rPr>
              <w:rFonts w:ascii="宋体" w:hAnsi="宋体"/>
              <w:color w:val="auto"/>
              <w:sz w:val="24"/>
              <w:szCs w:val="24"/>
              <w:highlight w:val="none"/>
            </w:rPr>
            <w:fldChar w:fldCharType="end"/>
          </w:r>
        </w:p>
        <w:p>
          <w:pPr>
            <w:pStyle w:val="36"/>
            <w:keepNext w:val="0"/>
            <w:keepLines w:val="0"/>
            <w:pageBreakBefore w:val="0"/>
            <w:widowControl/>
            <w:tabs>
              <w:tab w:val="right" w:leader="dot" w:pos="8754"/>
            </w:tabs>
            <w:kinsoku/>
            <w:wordWrap/>
            <w:overflowPunct/>
            <w:topLinePunct w:val="0"/>
            <w:autoSpaceDE/>
            <w:autoSpaceDN/>
            <w:bidi w:val="0"/>
            <w:adjustRightInd/>
            <w:snapToGrid/>
            <w:spacing w:line="360" w:lineRule="auto"/>
            <w:textAlignment w:val="auto"/>
            <w:rPr>
              <w:sz w:val="24"/>
              <w:szCs w:val="24"/>
            </w:rPr>
          </w:pPr>
          <w:r>
            <w:rPr>
              <w:rFonts w:ascii="宋体" w:hAnsi="宋体"/>
              <w:color w:val="auto"/>
              <w:sz w:val="24"/>
              <w:szCs w:val="24"/>
              <w:highlight w:val="none"/>
            </w:rPr>
            <w:fldChar w:fldCharType="begin"/>
          </w:r>
          <w:r>
            <w:rPr>
              <w:rFonts w:ascii="宋体" w:hAnsi="宋体"/>
              <w:sz w:val="24"/>
              <w:szCs w:val="24"/>
              <w:highlight w:val="none"/>
            </w:rPr>
            <w:instrText xml:space="preserve"> HYPERLINK \l _Toc22285 </w:instrText>
          </w:r>
          <w:r>
            <w:rPr>
              <w:rFonts w:ascii="宋体" w:hAnsi="宋体"/>
              <w:sz w:val="24"/>
              <w:szCs w:val="24"/>
              <w:highlight w:val="none"/>
            </w:rPr>
            <w:fldChar w:fldCharType="separate"/>
          </w:r>
          <w:r>
            <w:rPr>
              <w:rFonts w:ascii="宋体" w:hAnsi="宋体"/>
              <w:kern w:val="44"/>
              <w:sz w:val="24"/>
              <w:szCs w:val="24"/>
              <w:highlight w:val="none"/>
            </w:rPr>
            <w:t>第</w:t>
          </w:r>
          <w:r>
            <w:rPr>
              <w:rFonts w:hint="eastAsia" w:ascii="宋体" w:hAnsi="宋体"/>
              <w:kern w:val="44"/>
              <w:sz w:val="24"/>
              <w:szCs w:val="24"/>
              <w:highlight w:val="none"/>
            </w:rPr>
            <w:t>三</w:t>
          </w:r>
          <w:r>
            <w:rPr>
              <w:rFonts w:ascii="宋体" w:hAnsi="宋体"/>
              <w:kern w:val="44"/>
              <w:sz w:val="24"/>
              <w:szCs w:val="24"/>
              <w:highlight w:val="none"/>
            </w:rPr>
            <w:t>章 评标标准及方法</w:t>
          </w:r>
          <w:r>
            <w:rPr>
              <w:sz w:val="24"/>
              <w:szCs w:val="24"/>
            </w:rPr>
            <w:tab/>
          </w:r>
          <w:r>
            <w:rPr>
              <w:sz w:val="24"/>
              <w:szCs w:val="24"/>
            </w:rPr>
            <w:fldChar w:fldCharType="begin"/>
          </w:r>
          <w:r>
            <w:rPr>
              <w:sz w:val="24"/>
              <w:szCs w:val="24"/>
            </w:rPr>
            <w:instrText xml:space="preserve"> PAGEREF _Toc22285 \h </w:instrText>
          </w:r>
          <w:r>
            <w:rPr>
              <w:sz w:val="24"/>
              <w:szCs w:val="24"/>
            </w:rPr>
            <w:fldChar w:fldCharType="separate"/>
          </w:r>
          <w:r>
            <w:rPr>
              <w:sz w:val="24"/>
              <w:szCs w:val="24"/>
            </w:rPr>
            <w:t>23</w:t>
          </w:r>
          <w:r>
            <w:rPr>
              <w:sz w:val="24"/>
              <w:szCs w:val="24"/>
            </w:rPr>
            <w:fldChar w:fldCharType="end"/>
          </w:r>
          <w:r>
            <w:rPr>
              <w:rFonts w:ascii="宋体" w:hAnsi="宋体"/>
              <w:color w:val="auto"/>
              <w:sz w:val="24"/>
              <w:szCs w:val="24"/>
              <w:highlight w:val="none"/>
            </w:rPr>
            <w:fldChar w:fldCharType="end"/>
          </w:r>
        </w:p>
        <w:p>
          <w:pPr>
            <w:pStyle w:val="36"/>
            <w:keepNext w:val="0"/>
            <w:keepLines w:val="0"/>
            <w:pageBreakBefore w:val="0"/>
            <w:widowControl/>
            <w:tabs>
              <w:tab w:val="right" w:leader="dot" w:pos="8754"/>
            </w:tabs>
            <w:kinsoku/>
            <w:wordWrap/>
            <w:overflowPunct/>
            <w:topLinePunct w:val="0"/>
            <w:autoSpaceDE/>
            <w:autoSpaceDN/>
            <w:bidi w:val="0"/>
            <w:adjustRightInd/>
            <w:snapToGrid/>
            <w:spacing w:line="360" w:lineRule="auto"/>
            <w:textAlignment w:val="auto"/>
            <w:rPr>
              <w:sz w:val="24"/>
              <w:szCs w:val="24"/>
            </w:rPr>
          </w:pPr>
          <w:r>
            <w:rPr>
              <w:rFonts w:ascii="宋体" w:hAnsi="宋体"/>
              <w:color w:val="auto"/>
              <w:sz w:val="24"/>
              <w:szCs w:val="24"/>
              <w:highlight w:val="none"/>
            </w:rPr>
            <w:fldChar w:fldCharType="begin"/>
          </w:r>
          <w:r>
            <w:rPr>
              <w:rFonts w:ascii="宋体" w:hAnsi="宋体"/>
              <w:sz w:val="24"/>
              <w:szCs w:val="24"/>
              <w:highlight w:val="none"/>
            </w:rPr>
            <w:instrText xml:space="preserve"> HYPERLINK \l _Toc31625 </w:instrText>
          </w:r>
          <w:r>
            <w:rPr>
              <w:rFonts w:ascii="宋体" w:hAnsi="宋体"/>
              <w:sz w:val="24"/>
              <w:szCs w:val="24"/>
              <w:highlight w:val="none"/>
            </w:rPr>
            <w:fldChar w:fldCharType="separate"/>
          </w:r>
          <w:r>
            <w:rPr>
              <w:rFonts w:hint="eastAsia" w:ascii="宋体" w:hAnsi="宋体"/>
              <w:kern w:val="44"/>
              <w:sz w:val="24"/>
              <w:szCs w:val="24"/>
            </w:rPr>
            <w:t xml:space="preserve">第四章 </w:t>
          </w:r>
          <w:r>
            <w:rPr>
              <w:rFonts w:hint="eastAsia" w:ascii="宋体" w:hAnsi="宋体"/>
              <w:kern w:val="44"/>
              <w:sz w:val="24"/>
              <w:szCs w:val="24"/>
              <w:highlight w:val="none"/>
            </w:rPr>
            <w:t>采购内容及要求</w:t>
          </w:r>
          <w:r>
            <w:rPr>
              <w:sz w:val="24"/>
              <w:szCs w:val="24"/>
            </w:rPr>
            <w:tab/>
          </w:r>
          <w:r>
            <w:rPr>
              <w:sz w:val="24"/>
              <w:szCs w:val="24"/>
            </w:rPr>
            <w:fldChar w:fldCharType="begin"/>
          </w:r>
          <w:r>
            <w:rPr>
              <w:sz w:val="24"/>
              <w:szCs w:val="24"/>
            </w:rPr>
            <w:instrText xml:space="preserve"> PAGEREF _Toc31625 \h </w:instrText>
          </w:r>
          <w:r>
            <w:rPr>
              <w:sz w:val="24"/>
              <w:szCs w:val="24"/>
            </w:rPr>
            <w:fldChar w:fldCharType="separate"/>
          </w:r>
          <w:r>
            <w:rPr>
              <w:sz w:val="24"/>
              <w:szCs w:val="24"/>
            </w:rPr>
            <w:t>32</w:t>
          </w:r>
          <w:r>
            <w:rPr>
              <w:sz w:val="24"/>
              <w:szCs w:val="24"/>
            </w:rPr>
            <w:fldChar w:fldCharType="end"/>
          </w:r>
          <w:r>
            <w:rPr>
              <w:rFonts w:ascii="宋体" w:hAnsi="宋体"/>
              <w:color w:val="auto"/>
              <w:sz w:val="24"/>
              <w:szCs w:val="24"/>
              <w:highlight w:val="none"/>
            </w:rPr>
            <w:fldChar w:fldCharType="end"/>
          </w:r>
        </w:p>
        <w:p>
          <w:pPr>
            <w:pStyle w:val="36"/>
            <w:keepNext w:val="0"/>
            <w:keepLines w:val="0"/>
            <w:pageBreakBefore w:val="0"/>
            <w:widowControl/>
            <w:tabs>
              <w:tab w:val="right" w:leader="dot" w:pos="8754"/>
            </w:tabs>
            <w:kinsoku/>
            <w:wordWrap/>
            <w:overflowPunct/>
            <w:topLinePunct w:val="0"/>
            <w:autoSpaceDE/>
            <w:autoSpaceDN/>
            <w:bidi w:val="0"/>
            <w:adjustRightInd/>
            <w:snapToGrid/>
            <w:spacing w:line="360" w:lineRule="auto"/>
            <w:textAlignment w:val="auto"/>
            <w:rPr>
              <w:sz w:val="24"/>
              <w:szCs w:val="24"/>
            </w:rPr>
          </w:pPr>
          <w:r>
            <w:rPr>
              <w:rFonts w:ascii="宋体" w:hAnsi="宋体"/>
              <w:color w:val="auto"/>
              <w:sz w:val="24"/>
              <w:szCs w:val="24"/>
              <w:highlight w:val="none"/>
            </w:rPr>
            <w:fldChar w:fldCharType="begin"/>
          </w:r>
          <w:r>
            <w:rPr>
              <w:rFonts w:ascii="宋体" w:hAnsi="宋体"/>
              <w:sz w:val="24"/>
              <w:szCs w:val="24"/>
              <w:highlight w:val="none"/>
            </w:rPr>
            <w:instrText xml:space="preserve"> HYPERLINK \l _Toc32687 </w:instrText>
          </w:r>
          <w:r>
            <w:rPr>
              <w:rFonts w:ascii="宋体" w:hAnsi="宋体"/>
              <w:sz w:val="24"/>
              <w:szCs w:val="24"/>
              <w:highlight w:val="none"/>
            </w:rPr>
            <w:fldChar w:fldCharType="separate"/>
          </w:r>
          <w:r>
            <w:rPr>
              <w:rFonts w:hint="eastAsia" w:ascii="宋体" w:hAnsi="宋体"/>
              <w:kern w:val="44"/>
              <w:sz w:val="24"/>
              <w:szCs w:val="24"/>
              <w:highlight w:val="none"/>
              <w:lang w:val="en-US" w:eastAsia="zh-CN"/>
            </w:rPr>
            <w:t>第五章 合同条款</w:t>
          </w:r>
          <w:r>
            <w:rPr>
              <w:sz w:val="24"/>
              <w:szCs w:val="24"/>
            </w:rPr>
            <w:tab/>
          </w:r>
          <w:r>
            <w:rPr>
              <w:sz w:val="24"/>
              <w:szCs w:val="24"/>
            </w:rPr>
            <w:fldChar w:fldCharType="begin"/>
          </w:r>
          <w:r>
            <w:rPr>
              <w:sz w:val="24"/>
              <w:szCs w:val="24"/>
            </w:rPr>
            <w:instrText xml:space="preserve"> PAGEREF _Toc32687 \h </w:instrText>
          </w:r>
          <w:r>
            <w:rPr>
              <w:sz w:val="24"/>
              <w:szCs w:val="24"/>
            </w:rPr>
            <w:fldChar w:fldCharType="separate"/>
          </w:r>
          <w:r>
            <w:rPr>
              <w:sz w:val="24"/>
              <w:szCs w:val="24"/>
            </w:rPr>
            <w:t>47</w:t>
          </w:r>
          <w:r>
            <w:rPr>
              <w:sz w:val="24"/>
              <w:szCs w:val="24"/>
            </w:rPr>
            <w:fldChar w:fldCharType="end"/>
          </w:r>
          <w:r>
            <w:rPr>
              <w:rFonts w:ascii="宋体" w:hAnsi="宋体"/>
              <w:color w:val="auto"/>
              <w:sz w:val="24"/>
              <w:szCs w:val="24"/>
              <w:highlight w:val="none"/>
            </w:rPr>
            <w:fldChar w:fldCharType="end"/>
          </w:r>
        </w:p>
        <w:p>
          <w:pPr>
            <w:pStyle w:val="36"/>
            <w:keepNext w:val="0"/>
            <w:keepLines w:val="0"/>
            <w:pageBreakBefore w:val="0"/>
            <w:widowControl/>
            <w:tabs>
              <w:tab w:val="right" w:leader="dot" w:pos="8754"/>
            </w:tabs>
            <w:kinsoku/>
            <w:wordWrap/>
            <w:overflowPunct/>
            <w:topLinePunct w:val="0"/>
            <w:autoSpaceDE/>
            <w:autoSpaceDN/>
            <w:bidi w:val="0"/>
            <w:adjustRightInd/>
            <w:snapToGrid/>
            <w:spacing w:line="360" w:lineRule="auto"/>
            <w:textAlignment w:val="auto"/>
            <w:rPr>
              <w:sz w:val="24"/>
              <w:szCs w:val="24"/>
            </w:rPr>
          </w:pPr>
          <w:r>
            <w:rPr>
              <w:rFonts w:ascii="宋体" w:hAnsi="宋体"/>
              <w:color w:val="auto"/>
              <w:sz w:val="24"/>
              <w:szCs w:val="24"/>
              <w:highlight w:val="none"/>
            </w:rPr>
            <w:fldChar w:fldCharType="begin"/>
          </w:r>
          <w:r>
            <w:rPr>
              <w:rFonts w:ascii="宋体" w:hAnsi="宋体"/>
              <w:sz w:val="24"/>
              <w:szCs w:val="24"/>
              <w:highlight w:val="none"/>
            </w:rPr>
            <w:instrText xml:space="preserve"> HYPERLINK \l _Toc8247 </w:instrText>
          </w:r>
          <w:r>
            <w:rPr>
              <w:rFonts w:ascii="宋体" w:hAnsi="宋体"/>
              <w:sz w:val="24"/>
              <w:szCs w:val="24"/>
              <w:highlight w:val="none"/>
            </w:rPr>
            <w:fldChar w:fldCharType="separate"/>
          </w:r>
          <w:r>
            <w:rPr>
              <w:rFonts w:hint="eastAsia" w:ascii="宋体" w:hAnsi="宋体"/>
              <w:sz w:val="24"/>
              <w:szCs w:val="24"/>
              <w:highlight w:val="none"/>
            </w:rPr>
            <w:t>第六章</w:t>
          </w:r>
          <w:r>
            <w:rPr>
              <w:rFonts w:hint="eastAsia" w:ascii="宋体" w:hAnsi="宋体"/>
              <w:sz w:val="24"/>
              <w:szCs w:val="24"/>
              <w:highlight w:val="none"/>
              <w:lang w:val="en-US" w:eastAsia="zh-CN"/>
            </w:rPr>
            <w:t xml:space="preserve"> </w:t>
          </w:r>
          <w:r>
            <w:rPr>
              <w:rFonts w:hint="eastAsia" w:ascii="宋体" w:hAnsi="宋体"/>
              <w:sz w:val="24"/>
              <w:szCs w:val="24"/>
              <w:highlight w:val="none"/>
            </w:rPr>
            <w:t>投标文件格式</w:t>
          </w:r>
          <w:r>
            <w:rPr>
              <w:sz w:val="24"/>
              <w:szCs w:val="24"/>
            </w:rPr>
            <w:tab/>
          </w:r>
          <w:r>
            <w:rPr>
              <w:sz w:val="24"/>
              <w:szCs w:val="24"/>
            </w:rPr>
            <w:fldChar w:fldCharType="begin"/>
          </w:r>
          <w:r>
            <w:rPr>
              <w:sz w:val="24"/>
              <w:szCs w:val="24"/>
            </w:rPr>
            <w:instrText xml:space="preserve"> PAGEREF _Toc8247 \h </w:instrText>
          </w:r>
          <w:r>
            <w:rPr>
              <w:sz w:val="24"/>
              <w:szCs w:val="24"/>
            </w:rPr>
            <w:fldChar w:fldCharType="separate"/>
          </w:r>
          <w:r>
            <w:rPr>
              <w:sz w:val="24"/>
              <w:szCs w:val="24"/>
            </w:rPr>
            <w:t>53</w:t>
          </w:r>
          <w:r>
            <w:rPr>
              <w:sz w:val="24"/>
              <w:szCs w:val="24"/>
            </w:rPr>
            <w:fldChar w:fldCharType="end"/>
          </w:r>
          <w:r>
            <w:rPr>
              <w:rFonts w:ascii="宋体" w:hAnsi="宋体"/>
              <w:color w:val="auto"/>
              <w:sz w:val="24"/>
              <w:szCs w:val="24"/>
              <w:highlight w:val="none"/>
            </w:rPr>
            <w:fldChar w:fldCharType="end"/>
          </w:r>
        </w:p>
        <w:p>
          <w:pPr>
            <w:pStyle w:val="36"/>
            <w:keepNext w:val="0"/>
            <w:keepLines w:val="0"/>
            <w:pageBreakBefore w:val="0"/>
            <w:widowControl/>
            <w:tabs>
              <w:tab w:val="right" w:leader="dot" w:pos="8754"/>
            </w:tabs>
            <w:kinsoku/>
            <w:wordWrap/>
            <w:overflowPunct/>
            <w:topLinePunct w:val="0"/>
            <w:autoSpaceDE/>
            <w:autoSpaceDN/>
            <w:bidi w:val="0"/>
            <w:adjustRightInd/>
            <w:snapToGrid/>
            <w:spacing w:line="360" w:lineRule="auto"/>
            <w:textAlignment w:val="auto"/>
            <w:rPr>
              <w:sz w:val="24"/>
              <w:szCs w:val="24"/>
            </w:rPr>
          </w:pPr>
          <w:r>
            <w:rPr>
              <w:rFonts w:ascii="宋体" w:hAnsi="宋体"/>
              <w:color w:val="auto"/>
              <w:sz w:val="24"/>
              <w:szCs w:val="24"/>
              <w:highlight w:val="none"/>
            </w:rPr>
            <w:fldChar w:fldCharType="begin"/>
          </w:r>
          <w:r>
            <w:rPr>
              <w:rFonts w:ascii="宋体" w:hAnsi="宋体"/>
              <w:sz w:val="24"/>
              <w:szCs w:val="24"/>
              <w:highlight w:val="none"/>
            </w:rPr>
            <w:instrText xml:space="preserve"> HYPERLINK \l _Toc21652 </w:instrText>
          </w:r>
          <w:r>
            <w:rPr>
              <w:rFonts w:ascii="宋体" w:hAnsi="宋体"/>
              <w:sz w:val="24"/>
              <w:szCs w:val="24"/>
              <w:highlight w:val="none"/>
            </w:rPr>
            <w:fldChar w:fldCharType="separate"/>
          </w:r>
          <w:r>
            <w:rPr>
              <w:rFonts w:hint="eastAsia"/>
              <w:sz w:val="24"/>
              <w:szCs w:val="24"/>
              <w:highlight w:val="none"/>
              <w:lang w:val="en-US" w:eastAsia="zh-CN"/>
            </w:rPr>
            <w:t xml:space="preserve">第七章 </w:t>
          </w:r>
          <w:r>
            <w:rPr>
              <w:rFonts w:hint="eastAsia"/>
              <w:sz w:val="24"/>
              <w:szCs w:val="24"/>
              <w:highlight w:val="none"/>
            </w:rPr>
            <w:t>质疑和投诉</w:t>
          </w:r>
          <w:r>
            <w:rPr>
              <w:sz w:val="24"/>
              <w:szCs w:val="24"/>
            </w:rPr>
            <w:tab/>
          </w:r>
          <w:r>
            <w:rPr>
              <w:sz w:val="24"/>
              <w:szCs w:val="24"/>
            </w:rPr>
            <w:fldChar w:fldCharType="begin"/>
          </w:r>
          <w:r>
            <w:rPr>
              <w:sz w:val="24"/>
              <w:szCs w:val="24"/>
            </w:rPr>
            <w:instrText xml:space="preserve"> PAGEREF _Toc21652 \h </w:instrText>
          </w:r>
          <w:r>
            <w:rPr>
              <w:sz w:val="24"/>
              <w:szCs w:val="24"/>
            </w:rPr>
            <w:fldChar w:fldCharType="separate"/>
          </w:r>
          <w:r>
            <w:rPr>
              <w:sz w:val="24"/>
              <w:szCs w:val="24"/>
            </w:rPr>
            <w:t>74</w:t>
          </w:r>
          <w:r>
            <w:rPr>
              <w:sz w:val="24"/>
              <w:szCs w:val="24"/>
            </w:rPr>
            <w:fldChar w:fldCharType="end"/>
          </w:r>
          <w:r>
            <w:rPr>
              <w:rFonts w:ascii="宋体" w:hAnsi="宋体"/>
              <w:color w:val="auto"/>
              <w:sz w:val="24"/>
              <w:szCs w:val="24"/>
              <w:highlight w:val="none"/>
            </w:rPr>
            <w:fldChar w:fldCharType="end"/>
          </w:r>
        </w:p>
        <w:p>
          <w:pPr>
            <w:pStyle w:val="23"/>
            <w:ind w:firstLine="640"/>
            <w:rPr>
              <w:rFonts w:ascii="宋体" w:hAnsi="宋体"/>
              <w:color w:val="auto"/>
              <w:sz w:val="32"/>
              <w:szCs w:val="32"/>
              <w:highlight w:val="none"/>
            </w:rPr>
          </w:pPr>
          <w:r>
            <w:rPr>
              <w:rFonts w:ascii="宋体" w:hAnsi="宋体"/>
              <w:color w:val="auto"/>
              <w:szCs w:val="32"/>
              <w:highlight w:val="none"/>
            </w:rPr>
            <w:fldChar w:fldCharType="end"/>
          </w:r>
        </w:p>
      </w:sdtContent>
    </w:sdt>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rPr>
          <w:rFonts w:ascii="宋体" w:hAnsi="宋体"/>
          <w:b/>
          <w:bCs/>
          <w:color w:val="auto"/>
          <w:sz w:val="32"/>
          <w:szCs w:val="32"/>
          <w:highlight w:val="none"/>
        </w:rPr>
      </w:pPr>
      <w:bookmarkStart w:id="2" w:name="_Toc674"/>
      <w:bookmarkStart w:id="3" w:name="_Toc9496"/>
      <w:r>
        <w:rPr>
          <w:rFonts w:hint="eastAsia" w:ascii="宋体" w:hAnsi="宋体"/>
          <w:b/>
          <w:bCs/>
          <w:color w:val="auto"/>
          <w:sz w:val="32"/>
          <w:szCs w:val="32"/>
          <w:highlight w:val="none"/>
        </w:rPr>
        <w:br w:type="page"/>
      </w:r>
    </w:p>
    <w:p>
      <w:pPr>
        <w:spacing w:line="360" w:lineRule="auto"/>
        <w:ind w:firstLine="643" w:firstLineChars="200"/>
        <w:jc w:val="center"/>
        <w:outlineLvl w:val="0"/>
        <w:rPr>
          <w:rFonts w:ascii="宋体" w:hAnsi="宋体"/>
          <w:b/>
          <w:bCs/>
          <w:color w:val="auto"/>
          <w:sz w:val="32"/>
          <w:szCs w:val="32"/>
          <w:highlight w:val="none"/>
        </w:rPr>
      </w:pPr>
      <w:bookmarkStart w:id="4" w:name="_Toc29207"/>
      <w:r>
        <w:rPr>
          <w:rFonts w:hint="eastAsia" w:ascii="宋体" w:hAnsi="宋体"/>
          <w:b/>
          <w:bCs/>
          <w:color w:val="auto"/>
          <w:sz w:val="32"/>
          <w:szCs w:val="32"/>
          <w:highlight w:val="none"/>
        </w:rPr>
        <w:t>第一章 招标公告</w:t>
      </w:r>
      <w:bookmarkEnd w:id="2"/>
      <w:bookmarkEnd w:id="3"/>
      <w:bookmarkEnd w:id="4"/>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313" w:beforeLines="100" w:beforeAutospacing="0" w:after="157" w:afterLines="50" w:afterAutospacing="0" w:line="360" w:lineRule="auto"/>
        <w:ind w:right="0"/>
        <w:jc w:val="center"/>
        <w:textAlignment w:val="auto"/>
        <w:rPr>
          <w:rFonts w:hint="default" w:ascii="宋体" w:hAnsi="宋体" w:eastAsia="宋体" w:cs="宋体"/>
          <w:b/>
          <w:bCs/>
          <w:i w:val="0"/>
          <w:iCs w:val="0"/>
          <w:caps w:val="0"/>
          <w:color w:val="auto"/>
          <w:spacing w:val="0"/>
          <w:sz w:val="28"/>
          <w:szCs w:val="28"/>
          <w:highlight w:val="none"/>
          <w:shd w:val="clear" w:color="auto" w:fill="auto"/>
          <w:lang w:val="en-US" w:eastAsia="zh-CN"/>
        </w:rPr>
      </w:pPr>
      <w:r>
        <w:rPr>
          <w:rFonts w:hint="eastAsia" w:cs="宋体"/>
          <w:b/>
          <w:bCs/>
          <w:i w:val="0"/>
          <w:iCs w:val="0"/>
          <w:caps w:val="0"/>
          <w:color w:val="auto"/>
          <w:spacing w:val="0"/>
          <w:sz w:val="28"/>
          <w:szCs w:val="28"/>
          <w:highlight w:val="none"/>
          <w:shd w:val="clear" w:color="auto" w:fill="auto"/>
          <w:lang w:eastAsia="zh-CN"/>
        </w:rPr>
        <w:t>咸阳市中心医院智慧医院建设提升、智慧医疗管理系统建设及环境扩容服务</w:t>
      </w:r>
      <w:r>
        <w:rPr>
          <w:rFonts w:hint="eastAsia" w:cs="宋体"/>
          <w:b/>
          <w:bCs/>
          <w:i w:val="0"/>
          <w:iCs w:val="0"/>
          <w:caps w:val="0"/>
          <w:color w:val="auto"/>
          <w:spacing w:val="0"/>
          <w:sz w:val="28"/>
          <w:szCs w:val="28"/>
          <w:highlight w:val="none"/>
          <w:shd w:val="clear" w:color="auto" w:fill="auto"/>
          <w:lang w:val="en-US" w:eastAsia="zh-CN"/>
        </w:rPr>
        <w:t>招标公告</w:t>
      </w:r>
    </w:p>
    <w:p>
      <w:pPr>
        <w:pStyle w:val="6"/>
        <w:keepNext w:val="0"/>
        <w:keepLines w:val="0"/>
        <w:pageBreakBefore w:val="0"/>
        <w:widowControl/>
        <w:suppressLineNumbers w:val="0"/>
        <w:pBdr>
          <w:top w:val="single" w:color="auto" w:sz="4" w:space="0"/>
          <w:left w:val="single" w:color="auto" w:sz="4" w:space="0"/>
          <w:bottom w:val="single" w:color="auto" w:sz="4" w:space="0"/>
          <w:right w:val="single" w:color="auto" w:sz="4"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bCs/>
          <w:i w:val="0"/>
          <w:iCs w:val="0"/>
          <w:caps w:val="0"/>
          <w:color w:val="auto"/>
          <w:spacing w:val="0"/>
          <w:kern w:val="0"/>
          <w:sz w:val="21"/>
          <w:szCs w:val="21"/>
          <w:highlight w:val="none"/>
          <w:shd w:val="clear" w:color="auto" w:fill="auto"/>
          <w:lang w:val="en-US" w:eastAsia="zh-CN" w:bidi="ar-SA"/>
        </w:rPr>
      </w:pPr>
      <w:r>
        <w:rPr>
          <w:rFonts w:hint="eastAsia" w:ascii="宋体" w:hAnsi="宋体" w:eastAsia="宋体" w:cs="宋体"/>
          <w:b/>
          <w:bCs/>
          <w:i w:val="0"/>
          <w:iCs w:val="0"/>
          <w:caps w:val="0"/>
          <w:color w:val="auto"/>
          <w:spacing w:val="0"/>
          <w:kern w:val="0"/>
          <w:sz w:val="21"/>
          <w:szCs w:val="21"/>
          <w:highlight w:val="none"/>
          <w:shd w:val="clear" w:color="auto" w:fill="auto"/>
          <w:lang w:val="en-US" w:eastAsia="zh-CN" w:bidi="ar-SA"/>
        </w:rPr>
        <w:t>项目概况</w:t>
      </w:r>
    </w:p>
    <w:p>
      <w:pPr>
        <w:pStyle w:val="21"/>
        <w:keepNext w:val="0"/>
        <w:keepLines w:val="0"/>
        <w:pageBreakBefore w:val="0"/>
        <w:widowControl/>
        <w:suppressLineNumbers w:val="0"/>
        <w:pBdr>
          <w:top w:val="single" w:color="auto" w:sz="4" w:space="0"/>
          <w:left w:val="single" w:color="auto" w:sz="4" w:space="0"/>
          <w:bottom w:val="single" w:color="auto" w:sz="4" w:space="0"/>
          <w:right w:val="single" w:color="auto" w:sz="4"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智慧医院建设提升、智慧医疗管理系统建设及环境扩容服务招标项目的潜在投标人应在西安市高新区沣惠南路34号摩尔中心A座24层获取招标文件，并于2023年12月13日 09时30分（北京时间）前递交投标文件。</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lang w:val="en-US" w:eastAsia="zh-CN"/>
        </w:rPr>
      </w:pP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一、项目基本情况</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项目编号：E-234132XA011</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项目名称：智慧医院建设提升、智慧医疗管理系统建设及环境扩容服务</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采购方式：公开招标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预算金额：21,730,000.00元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采购需求：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合同包1(互联网医院功能深化等项目):</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合同包预算金额：9,200,000.00元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合同包最高限价：8,500,000.00元</w:t>
      </w:r>
    </w:p>
    <w:tbl>
      <w:tblPr>
        <w:tblStyle w:val="25"/>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495"/>
        <w:gridCol w:w="147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1-1</w:t>
            </w:r>
          </w:p>
        </w:tc>
        <w:tc>
          <w:tcPr>
            <w:tcW w:w="112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行业应用软件开发服务</w:t>
            </w:r>
          </w:p>
        </w:tc>
        <w:tc>
          <w:tcPr>
            <w:tcW w:w="115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9200000</w:t>
            </w:r>
          </w:p>
        </w:tc>
        <w:tc>
          <w:tcPr>
            <w:tcW w:w="97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1(项)</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详见采购文件</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9,200,000.00</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8,500,000.00</w:t>
            </w:r>
          </w:p>
        </w:tc>
      </w:tr>
    </w:tbl>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合同包2(康复中心信息管理系统):</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合同包预算金额：1,100,000.00元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合同包最高限价：1,100,000.00元</w:t>
      </w:r>
    </w:p>
    <w:tbl>
      <w:tblPr>
        <w:tblStyle w:val="25"/>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495"/>
        <w:gridCol w:w="147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2-1</w:t>
            </w:r>
          </w:p>
        </w:tc>
        <w:tc>
          <w:tcPr>
            <w:tcW w:w="11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行业应用软件开发服务</w:t>
            </w:r>
          </w:p>
        </w:tc>
        <w:tc>
          <w:tcPr>
            <w:tcW w:w="115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1100000</w:t>
            </w:r>
          </w:p>
        </w:tc>
        <w:tc>
          <w:tcPr>
            <w:tcW w:w="97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1(项)</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详见采购文件</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1,100,000.00</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1,100,000.00</w:t>
            </w:r>
          </w:p>
        </w:tc>
      </w:tr>
    </w:tbl>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合同包3(区域医疗中心建设):</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合同包预算金额：2,500,000.00元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合同包最高限价：2,000,000.00元</w:t>
      </w:r>
    </w:p>
    <w:tbl>
      <w:tblPr>
        <w:tblStyle w:val="25"/>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495"/>
        <w:gridCol w:w="147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bookmarkStart w:id="5" w:name="_Toc1447"/>
            <w:bookmarkStart w:id="6" w:name="_Toc18266"/>
            <w:bookmarkStart w:id="7" w:name="_Toc5339"/>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3-1</w:t>
            </w:r>
          </w:p>
        </w:tc>
        <w:tc>
          <w:tcPr>
            <w:tcW w:w="11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行业应用软件开发服务</w:t>
            </w:r>
          </w:p>
        </w:tc>
        <w:tc>
          <w:tcPr>
            <w:tcW w:w="115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2500000</w:t>
            </w:r>
          </w:p>
        </w:tc>
        <w:tc>
          <w:tcPr>
            <w:tcW w:w="97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1(项)</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详见采购文件</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2,500,000.00</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2,000,000.00</w:t>
            </w:r>
          </w:p>
        </w:tc>
      </w:tr>
    </w:tbl>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合同包4(智慧医疗管理系统建设及环境扩容服务项目):</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合同包预算金额：8,930,000.00元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合同包最高限价：8,930,000.00元</w:t>
      </w:r>
    </w:p>
    <w:tbl>
      <w:tblPr>
        <w:tblStyle w:val="25"/>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495"/>
        <w:gridCol w:w="147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4-1</w:t>
            </w:r>
          </w:p>
        </w:tc>
        <w:tc>
          <w:tcPr>
            <w:tcW w:w="11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行业应用软件开发服务</w:t>
            </w:r>
          </w:p>
        </w:tc>
        <w:tc>
          <w:tcPr>
            <w:tcW w:w="115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8930000</w:t>
            </w:r>
          </w:p>
        </w:tc>
        <w:tc>
          <w:tcPr>
            <w:tcW w:w="97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1(项)</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详见采购文件</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8,930,000.00</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8,930,000.00</w:t>
            </w:r>
          </w:p>
        </w:tc>
      </w:tr>
    </w:tbl>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二、申请人的资格要求：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rPr>
        <w:t>1.满足《中华人民共和国政府采购法》第二十二条规定</w:t>
      </w:r>
      <w:r>
        <w:rPr>
          <w:rFonts w:hint="eastAsia" w:cs="宋体"/>
          <w:i w:val="0"/>
          <w:iCs w:val="0"/>
          <w:caps w:val="0"/>
          <w:color w:val="auto"/>
          <w:spacing w:val="0"/>
          <w:sz w:val="21"/>
          <w:szCs w:val="21"/>
          <w:highlight w:val="none"/>
          <w:shd w:val="clear" w:color="auto" w:fill="auto"/>
          <w:lang w:eastAsia="zh-CN"/>
        </w:rPr>
        <w:t>；</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2.落实政府采购政策需满足的资格要求：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合同包1(互联网医院功能深化等项目)落实政府采购政策需满足的资格要求如下: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合同包2(康复中心信息管理系统)落实政府采购政策需满足的资格要求如下: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合同包3(区域医疗中心建设)落实政府采购政策需满足的资格要求如下: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合同包4(智慧医疗管理系统建设及环境扩容服务项目)落实政府采购政策需满足的资格要求如下: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3.本项目的特定资格要求：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合同包1(互联网医院功能深化等项目)特定资格要求如下: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合同包2(康复中心信息管理系统)特定资格要求如下: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合同包3(区域医疗中心建设)特定资格要求如下: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合同包4(智慧医疗管理系统建设及环境扩容服务项目)特定资格要求如下: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三、获取招标文件</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时间： 2023年11月23日 至 2023年11月29日 ，每天上午 09:00:00 至 12:00:00 ，下午 12:00:00 至 17:00:00 （北京时间）</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途径：西安市高新区沣惠南路34号摩尔中心A座24层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方式：现场获取</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售价： 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四、提交投标文件截止时间、开标时间和地点</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时间： 2023年12月13日 09时30分00秒 （北京时间）</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提交投标文件地点：西安市高新区沣惠南路34号摩尔中心A座24层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开标地点：西安市高新区沣惠南路34号摩尔中心A座24层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五、公告期限</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自本公告发布之日起5个工作日。</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六、其他补充事宜</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1、凡有意愿报名者需提供真实有效的信息，符合政府采购法第二十二条规定，持单位介绍信、被委托人身份证原件及复印件至本代理机构领取招标文件。</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2、投标人登记免费领取招标文件的，如不参与项目投标，应在递交投标文件截止时间前一天以书面形式告知采购代理机构。否则，采购代理机构可以向财政部门反应情况并提供相应佐证。投标人一年内累计出现三次该情形，将被监管部门记录为失信行为。</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七、对本次招标提出询问，请按以下方式联系。</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1.采购人信息</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名称：咸阳市中心医院</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地址：咸阳市人民东路78号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联系方式：029-33284535</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2.采购代理机构信息</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名称：中航技（北京）工程管理有限公司</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地址：西安市高新区沣惠南路34号摩尔中心A座24楼</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联系方式：029-89187077</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3.项目联系方式</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项目联系人：赵伟、李冲</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color w:val="auto"/>
          <w:sz w:val="32"/>
          <w:szCs w:val="32"/>
          <w:highlight w:val="none"/>
        </w:rPr>
      </w:pPr>
      <w:r>
        <w:rPr>
          <w:rFonts w:hint="eastAsia" w:ascii="宋体" w:hAnsi="宋体" w:eastAsia="宋体" w:cs="宋体"/>
          <w:b w:val="0"/>
          <w:bCs w:val="0"/>
          <w:i w:val="0"/>
          <w:iCs w:val="0"/>
          <w:caps w:val="0"/>
          <w:color w:val="auto"/>
          <w:spacing w:val="0"/>
          <w:sz w:val="21"/>
          <w:szCs w:val="21"/>
          <w:highlight w:val="none"/>
          <w:shd w:val="clear" w:color="auto" w:fill="auto"/>
        </w:rPr>
        <w:t>电话：029-89187077</w:t>
      </w:r>
      <w:r>
        <w:rPr>
          <w:rFonts w:hint="eastAsia" w:ascii="宋体" w:hAnsi="宋体"/>
          <w:color w:val="auto"/>
          <w:sz w:val="32"/>
          <w:szCs w:val="32"/>
          <w:highlight w:val="none"/>
        </w:rPr>
        <w:br w:type="page"/>
      </w:r>
    </w:p>
    <w:p>
      <w:pPr>
        <w:pStyle w:val="2"/>
        <w:spacing w:after="240" w:line="240" w:lineRule="auto"/>
        <w:ind w:left="0" w:firstLine="0"/>
        <w:jc w:val="center"/>
        <w:rPr>
          <w:rFonts w:ascii="宋体" w:hAnsi="宋体"/>
          <w:color w:val="auto"/>
          <w:sz w:val="32"/>
          <w:szCs w:val="32"/>
          <w:highlight w:val="none"/>
        </w:rPr>
      </w:pPr>
      <w:bookmarkStart w:id="8" w:name="_Toc786"/>
      <w:r>
        <w:rPr>
          <w:rFonts w:hint="eastAsia" w:ascii="宋体" w:hAnsi="宋体"/>
          <w:color w:val="auto"/>
          <w:sz w:val="32"/>
          <w:szCs w:val="32"/>
          <w:highlight w:val="none"/>
        </w:rPr>
        <w:t>第二章  投标人须知</w:t>
      </w:r>
      <w:bookmarkEnd w:id="5"/>
      <w:bookmarkEnd w:id="6"/>
      <w:bookmarkEnd w:id="7"/>
      <w:bookmarkEnd w:id="8"/>
    </w:p>
    <w:p>
      <w:pPr>
        <w:pStyle w:val="3"/>
        <w:bidi w:val="0"/>
        <w:jc w:val="center"/>
        <w:rPr>
          <w:color w:val="auto"/>
          <w:highlight w:val="none"/>
        </w:rPr>
      </w:pPr>
      <w:r>
        <w:rPr>
          <w:rFonts w:hint="eastAsia"/>
          <w:color w:val="auto"/>
          <w:highlight w:val="none"/>
        </w:rPr>
        <w:t>投标人</w:t>
      </w:r>
      <w:r>
        <w:rPr>
          <w:color w:val="auto"/>
          <w:highlight w:val="none"/>
        </w:rPr>
        <w:t>须知前附表</w:t>
      </w:r>
    </w:p>
    <w:tbl>
      <w:tblPr>
        <w:tblStyle w:val="24"/>
        <w:tblW w:w="97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831"/>
        <w:gridCol w:w="72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687"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831"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7226"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 xml:space="preserve">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226" w:type="dxa"/>
            <w:vAlign w:val="center"/>
          </w:tcPr>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名称：咸阳市中心医院</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地址：咸阳市人民东路78号</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祁</w:t>
            </w:r>
            <w:r>
              <w:rPr>
                <w:rFonts w:hint="eastAsia" w:ascii="宋体" w:hAnsi="宋体" w:cs="宋体"/>
                <w:color w:val="auto"/>
                <w:szCs w:val="21"/>
                <w:highlight w:val="none"/>
              </w:rPr>
              <w:t>老师</w:t>
            </w:r>
          </w:p>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 xml:space="preserve">电话：029-33284535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831"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采购代理机构</w:t>
            </w:r>
          </w:p>
        </w:tc>
        <w:tc>
          <w:tcPr>
            <w:tcW w:w="7226" w:type="dxa"/>
            <w:vAlign w:val="center"/>
          </w:tcPr>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rPr>
              <w:t>：中航技（北京）工程管理有限公司</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地址：西安市高新区沣惠南路34号摩尔中心A座24楼</w:t>
            </w:r>
          </w:p>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联系人：赵伟、李冲</w:t>
            </w:r>
          </w:p>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电话：029-</w:t>
            </w:r>
            <w:r>
              <w:rPr>
                <w:rFonts w:hint="eastAsia" w:ascii="宋体" w:hAnsi="宋体" w:cs="宋体"/>
                <w:color w:val="auto"/>
                <w:szCs w:val="21"/>
                <w:highlight w:val="none"/>
                <w:lang w:val="en-US" w:eastAsia="zh-CN"/>
              </w:rPr>
              <w:t>89187077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831"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项目名称</w:t>
            </w:r>
          </w:p>
        </w:tc>
        <w:tc>
          <w:tcPr>
            <w:tcW w:w="7226" w:type="dxa"/>
            <w:vAlign w:val="center"/>
          </w:tcPr>
          <w:p>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Cs w:val="21"/>
                <w:highlight w:val="none"/>
                <w:lang w:eastAsia="zh-CN"/>
              </w:rPr>
            </w:pPr>
            <w:r>
              <w:rPr>
                <w:rFonts w:hint="eastAsia" w:ascii="宋体" w:hAnsi="宋体" w:cs="宋体"/>
                <w:i w:val="0"/>
                <w:iCs w:val="0"/>
                <w:caps w:val="0"/>
                <w:color w:val="auto"/>
                <w:spacing w:val="0"/>
                <w:kern w:val="0"/>
                <w:sz w:val="21"/>
                <w:szCs w:val="21"/>
                <w:highlight w:val="none"/>
                <w:shd w:val="clear" w:color="auto" w:fill="auto"/>
                <w:lang w:val="en-US" w:eastAsia="zh-CN" w:bidi="ar-SA"/>
              </w:rPr>
              <w:t>咸阳市中心医院智慧医院建设提升、智慧医疗管理系统建设及环境扩容服务</w:t>
            </w:r>
            <w:r>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t>（</w:t>
            </w:r>
            <w:r>
              <w:rPr>
                <w:rFonts w:hint="eastAsia" w:ascii="宋体" w:hAnsi="宋体" w:cs="宋体"/>
                <w:i w:val="0"/>
                <w:iCs w:val="0"/>
                <w:caps w:val="0"/>
                <w:color w:val="auto"/>
                <w:spacing w:val="0"/>
                <w:kern w:val="0"/>
                <w:sz w:val="21"/>
                <w:szCs w:val="21"/>
                <w:highlight w:val="none"/>
                <w:shd w:val="clear" w:color="auto" w:fill="auto"/>
                <w:lang w:val="en-US" w:eastAsia="zh-CN" w:bidi="ar-SA"/>
              </w:rPr>
              <w:t>02包：康复中心信息管理系统</w:t>
            </w:r>
            <w:r>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项目概况</w:t>
            </w:r>
          </w:p>
        </w:tc>
        <w:tc>
          <w:tcPr>
            <w:tcW w:w="7226"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textAlignment w:val="auto"/>
              <w:rPr>
                <w:rFonts w:hint="default" w:cs="宋体"/>
                <w:i w:val="0"/>
                <w:iCs w:val="0"/>
                <w:caps w:val="0"/>
                <w:color w:val="auto"/>
                <w:spacing w:val="0"/>
                <w:sz w:val="21"/>
                <w:szCs w:val="21"/>
                <w:highlight w:val="none"/>
                <w:shd w:val="clear" w:color="auto" w:fill="auto"/>
                <w:lang w:val="en-US" w:eastAsia="zh-CN"/>
              </w:rPr>
            </w:pPr>
            <w:r>
              <w:rPr>
                <w:rFonts w:hint="eastAsia" w:cs="宋体"/>
                <w:i w:val="0"/>
                <w:iCs w:val="0"/>
                <w:caps w:val="0"/>
                <w:color w:val="auto"/>
                <w:spacing w:val="0"/>
                <w:sz w:val="21"/>
                <w:szCs w:val="21"/>
                <w:highlight w:val="none"/>
                <w:shd w:val="clear" w:color="auto" w:fill="auto"/>
                <w:lang w:val="en-US" w:eastAsia="zh-CN"/>
              </w:rPr>
              <w:t>加速医院信息化建设，满足医疗应用系统对基础平台承载能力及安全的要求，结合医院业务发展实际需要，针对智慧医院系统应用所需环境进行配套扩容建设</w:t>
            </w:r>
            <w:r>
              <w:rPr>
                <w:rFonts w:hint="eastAsia" w:ascii="宋体" w:hAnsi="宋体" w:eastAsia="宋体" w:cs="宋体"/>
                <w:i w:val="0"/>
                <w:iCs w:val="0"/>
                <w:caps w:val="0"/>
                <w:color w:val="auto"/>
                <w:spacing w:val="0"/>
                <w:sz w:val="21"/>
                <w:szCs w:val="21"/>
                <w:highlight w:val="none"/>
                <w:shd w:val="clear" w:color="auto" w:fill="auto"/>
              </w:rPr>
              <w:t>。</w:t>
            </w:r>
            <w:r>
              <w:rPr>
                <w:rFonts w:hint="eastAsia" w:cs="宋体"/>
                <w:i w:val="0"/>
                <w:iCs w:val="0"/>
                <w:caps w:val="0"/>
                <w:color w:val="auto"/>
                <w:spacing w:val="0"/>
                <w:sz w:val="21"/>
                <w:szCs w:val="21"/>
                <w:highlight w:val="none"/>
                <w:shd w:val="clear" w:color="auto" w:fill="auto"/>
                <w:lang w:val="en-US" w:eastAsia="zh-CN"/>
              </w:rPr>
              <w:t>具体内容详见“</w:t>
            </w:r>
            <w:r>
              <w:rPr>
                <w:rFonts w:hint="eastAsia" w:cs="宋体"/>
                <w:i w:val="0"/>
                <w:iCs w:val="0"/>
                <w:caps w:val="0"/>
                <w:color w:val="auto"/>
                <w:spacing w:val="0"/>
                <w:sz w:val="21"/>
                <w:szCs w:val="21"/>
                <w:highlight w:val="none"/>
                <w:shd w:val="clear" w:color="auto" w:fill="auto"/>
                <w:lang w:eastAsia="zh-CN"/>
              </w:rPr>
              <w:t>第四章 采购内容及要求”。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831"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服务地点</w:t>
            </w:r>
          </w:p>
        </w:tc>
        <w:tc>
          <w:tcPr>
            <w:tcW w:w="7226" w:type="dxa"/>
            <w:vAlign w:val="center"/>
          </w:tcPr>
          <w:p>
            <w:pPr>
              <w:widowControl/>
              <w:rPr>
                <w:rFonts w:ascii="宋体" w:hAnsi="宋体" w:cs="宋体"/>
                <w:b/>
                <w:color w:val="auto"/>
                <w:szCs w:val="21"/>
                <w:highlight w:val="none"/>
              </w:rPr>
            </w:pPr>
            <w:r>
              <w:rPr>
                <w:rFonts w:hint="eastAsia" w:ascii="宋体" w:hAnsi="宋体" w:cs="宋体"/>
                <w:color w:val="auto"/>
                <w:szCs w:val="21"/>
                <w:highlight w:val="none"/>
              </w:rPr>
              <w:t>咸阳市中心医院指定地点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831" w:type="dxa"/>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226" w:type="dxa"/>
            <w:vAlign w:val="center"/>
          </w:tcPr>
          <w:p>
            <w:pPr>
              <w:rPr>
                <w:rFonts w:hint="default" w:ascii="宋体" w:hAnsi="宋体" w:cs="宋体"/>
                <w:color w:val="auto"/>
                <w:szCs w:val="21"/>
                <w:highlight w:val="none"/>
                <w:lang w:val="en-US" w:eastAsia="zh-CN"/>
              </w:rPr>
            </w:pPr>
            <w:r>
              <w:rPr>
                <w:rFonts w:hint="eastAsia" w:ascii="宋体" w:hAnsi="宋体" w:cs="宋体"/>
                <w:color w:val="auto"/>
                <w:sz w:val="21"/>
                <w:szCs w:val="21"/>
                <w:highlight w:val="none"/>
                <w:vertAlign w:val="baseline"/>
                <w:lang w:val="en-US" w:eastAsia="zh-CN"/>
              </w:rPr>
              <w:t>110.00</w:t>
            </w:r>
            <w:r>
              <w:rPr>
                <w:rFonts w:hint="eastAsia" w:ascii="宋体" w:hAnsi="宋体" w:cs="宋体"/>
                <w:color w:val="auto"/>
                <w:szCs w:val="21"/>
                <w:highlight w:val="none"/>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831"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资金来源</w:t>
            </w:r>
          </w:p>
        </w:tc>
        <w:tc>
          <w:tcPr>
            <w:tcW w:w="7226" w:type="dxa"/>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831"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项目完工期</w:t>
            </w:r>
          </w:p>
        </w:tc>
        <w:tc>
          <w:tcPr>
            <w:tcW w:w="7226" w:type="dxa"/>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226" w:type="dxa"/>
            <w:vAlign w:val="center"/>
          </w:tcPr>
          <w:p>
            <w:pPr>
              <w:rPr>
                <w:rFonts w:ascii="宋体" w:hAnsi="宋体" w:cs="宋体"/>
                <w:color w:val="auto"/>
                <w:szCs w:val="21"/>
                <w:highlight w:val="none"/>
                <w:u w:val="single"/>
              </w:rPr>
            </w:pPr>
            <w:r>
              <w:rPr>
                <w:rFonts w:hint="eastAsia" w:ascii="宋体" w:hAnsi="宋体" w:cs="宋体"/>
                <w:color w:val="auto"/>
                <w:szCs w:val="21"/>
                <w:highlight w:val="none"/>
              </w:rPr>
              <w:t>本项目招标文件包含的全部内容。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详见第五章合同条款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7226" w:type="dxa"/>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符合国家标准、行业规范和医院需求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投标人资格要求</w:t>
            </w:r>
          </w:p>
        </w:tc>
        <w:tc>
          <w:tcPr>
            <w:tcW w:w="7226"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1、参加政府采购活动的投标人应当具备政府采购法第二十二条第一款规定“具有独立承担民事责任的能力”的条件，并提供下列材料（加盖公章），未按要求提供或者提供的资料不全或未盖公章，视为未实质性响应招标文件要求，按相应无效处理：</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1）法人或者其他组织的营业执照等复印件加盖投标人公章，</w:t>
            </w:r>
            <w:r>
              <w:rPr>
                <w:rFonts w:hint="eastAsia"/>
                <w:color w:val="auto"/>
                <w:sz w:val="21"/>
                <w:szCs w:val="21"/>
                <w:highlight w:val="none"/>
                <w:lang w:eastAsia="zh-CN"/>
              </w:rPr>
              <w:t>自然人提供本人身份证</w:t>
            </w:r>
            <w:r>
              <w:rPr>
                <w:rFonts w:hint="eastAsia"/>
                <w:color w:val="auto"/>
                <w:sz w:val="21"/>
                <w:szCs w:val="21"/>
                <w:highlight w:val="none"/>
              </w:rPr>
              <w:t>；</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提供法定代表人授权委托书</w:t>
            </w:r>
            <w:r>
              <w:rPr>
                <w:rFonts w:hint="eastAsia"/>
                <w:color w:val="auto"/>
                <w:sz w:val="21"/>
                <w:szCs w:val="21"/>
                <w:highlight w:val="none"/>
              </w:rPr>
              <w:t>并附</w:t>
            </w:r>
            <w:r>
              <w:rPr>
                <w:rFonts w:hint="eastAsia"/>
                <w:color w:val="auto"/>
                <w:sz w:val="21"/>
                <w:szCs w:val="21"/>
                <w:highlight w:val="none"/>
                <w:lang w:val="en-US" w:eastAsia="zh-CN"/>
              </w:rPr>
              <w:t>法定代表人</w:t>
            </w:r>
            <w:r>
              <w:rPr>
                <w:rFonts w:hint="eastAsia"/>
                <w:color w:val="auto"/>
                <w:sz w:val="21"/>
                <w:szCs w:val="21"/>
                <w:highlight w:val="none"/>
              </w:rPr>
              <w:t>及授权人代表身份证复印件并依照规定格式签署和盖章，法定代表人参加投标的提供身份证复印件；</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eastAsia="宋体"/>
                <w:color w:val="auto"/>
                <w:sz w:val="21"/>
                <w:szCs w:val="21"/>
                <w:highlight w:val="none"/>
                <w:lang w:eastAsia="zh-CN"/>
              </w:rPr>
            </w:pPr>
            <w:r>
              <w:rPr>
                <w:rFonts w:hint="eastAsia"/>
                <w:color w:val="auto"/>
                <w:sz w:val="21"/>
                <w:szCs w:val="21"/>
                <w:highlight w:val="none"/>
              </w:rPr>
              <w:t>3）</w:t>
            </w:r>
            <w:r>
              <w:rPr>
                <w:rFonts w:hint="eastAsia"/>
                <w:color w:val="auto"/>
                <w:sz w:val="21"/>
                <w:szCs w:val="21"/>
                <w:highlight w:val="none"/>
                <w:lang w:eastAsia="zh-CN"/>
              </w:rPr>
              <w:t>提供2022年度经审计的财务报告，或投标截止时间前6个月内任意时段的资产负债表，或投标截止时间前6个月内任意时间由基本开户银行出具的资信证明，或财政部门认可的政府采购专业担保机构出具的投标担保函。（以上四种形式的资料提供任何一种即可）</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4）</w:t>
            </w:r>
            <w:r>
              <w:rPr>
                <w:rFonts w:hint="eastAsia"/>
                <w:color w:val="auto"/>
                <w:sz w:val="21"/>
                <w:szCs w:val="21"/>
                <w:highlight w:val="none"/>
                <w:lang w:eastAsia="zh-CN"/>
              </w:rPr>
              <w:t>提供自投标截止时间前6个月内已缴纳任意时段完税凭证或税务机关开具的完税证明（任意税种）；依法免税的应提供相关文件证明</w:t>
            </w:r>
            <w:r>
              <w:rPr>
                <w:rFonts w:hint="eastAsia"/>
                <w:color w:val="auto"/>
                <w:sz w:val="21"/>
                <w:szCs w:val="21"/>
                <w:highlight w:val="none"/>
              </w:rPr>
              <w:t>；</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lang w:eastAsia="zh-CN"/>
              </w:rPr>
            </w:pPr>
            <w:r>
              <w:rPr>
                <w:rFonts w:hint="eastAsia"/>
                <w:color w:val="auto"/>
                <w:sz w:val="21"/>
                <w:szCs w:val="21"/>
                <w:highlight w:val="none"/>
              </w:rPr>
              <w:t>5）</w:t>
            </w:r>
            <w:r>
              <w:rPr>
                <w:rFonts w:hint="eastAsia"/>
                <w:color w:val="auto"/>
                <w:sz w:val="21"/>
                <w:szCs w:val="21"/>
                <w:highlight w:val="none"/>
                <w:lang w:eastAsia="zh-CN"/>
              </w:rPr>
              <w:t>提供自投标截止时间前6个月内已缴存的任意时段的社会保障资金缴存单据或社保机构开具的社会保险参保缴费情况证明；依法不需要缴纳社会保障资金的应提供相关文件证明；</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6）</w:t>
            </w:r>
            <w:r>
              <w:rPr>
                <w:rFonts w:hint="eastAsia"/>
                <w:color w:val="auto"/>
                <w:sz w:val="21"/>
                <w:szCs w:val="21"/>
                <w:highlight w:val="none"/>
                <w:lang w:eastAsia="zh-CN"/>
              </w:rPr>
              <w:t>具备履行合同所必需的设备和专业技术能力</w:t>
            </w:r>
            <w:r>
              <w:rPr>
                <w:rFonts w:hint="eastAsia"/>
                <w:color w:val="auto"/>
                <w:sz w:val="21"/>
                <w:szCs w:val="21"/>
                <w:highlight w:val="none"/>
              </w:rPr>
              <w:t>书面声明，格式自拟；</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7）参加政府采购活动前3年内在经营活动中没有重大违法记录的书面声明，格式自拟；</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default"/>
                <w:color w:val="auto"/>
                <w:sz w:val="21"/>
                <w:szCs w:val="21"/>
                <w:highlight w:val="none"/>
                <w:lang w:val="en-US"/>
              </w:rPr>
            </w:pPr>
            <w:r>
              <w:rPr>
                <w:rFonts w:hint="eastAsia"/>
                <w:color w:val="auto"/>
                <w:sz w:val="21"/>
                <w:szCs w:val="21"/>
                <w:highlight w:val="none"/>
                <w:lang w:val="en-US" w:eastAsia="zh-CN"/>
              </w:rPr>
              <w:t>2、特定资格条件：无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采购方式</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1831" w:type="dxa"/>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质疑与答复</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提出质疑截止时间：潜在供应商已依法获取其可质疑的采购文件的，可以对该文件提出质疑。对采购文件提出质疑的，应当在获取采购文件或者采购文件公告期限届满之日起 7 个工作日内提出。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提出方式：书面形式（格式详见招标文件第七章）</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质疑答复：采购人、采购代理机构应当在收到质疑函后7个工作日内作出答复，并以书面形式通知质疑供应商和其他有关供应商。 </w:t>
            </w:r>
          </w:p>
          <w:p>
            <w:pPr>
              <w:pStyle w:val="9"/>
              <w:rPr>
                <w:rFonts w:hint="default" w:eastAsia="宋体"/>
                <w:color w:val="auto"/>
                <w:highlight w:val="none"/>
                <w:lang w:val="en-US" w:eastAsia="zh-CN"/>
              </w:rPr>
            </w:pPr>
            <w:r>
              <w:rPr>
                <w:rFonts w:hint="eastAsia" w:ascii="宋体" w:hAnsi="宋体"/>
                <w:color w:val="auto"/>
                <w:sz w:val="21"/>
                <w:szCs w:val="21"/>
                <w:highlight w:val="none"/>
              </w:rPr>
              <w:t>针对同一采购程序环节又提出其他质疑事项的，或质疑答复后就同一事项再次提出质疑的</w:t>
            </w:r>
            <w:r>
              <w:rPr>
                <w:rFonts w:hint="eastAsia" w:ascii="宋体" w:hAnsi="宋体"/>
                <w:color w:val="auto"/>
                <w:sz w:val="21"/>
                <w:szCs w:val="21"/>
                <w:highlight w:val="none"/>
                <w:lang w:val="en-US" w:eastAsia="zh-CN"/>
              </w:rPr>
              <w:t>为无效质疑，采购人或代理机构不予接收。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招标文件澄清和修改</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bookmarkStart w:id="9" w:name="_Toc11785"/>
            <w:r>
              <w:rPr>
                <w:rFonts w:hint="eastAsia" w:ascii="宋体" w:hAnsi="宋体" w:cs="宋体"/>
                <w:color w:val="auto"/>
                <w:szCs w:val="21"/>
                <w:highlight w:val="none"/>
              </w:rPr>
              <w:t>招标文件的澄清和修改：投标截止时间15日前</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在投标截止时间15日前，招标人可以澄清或修改招标文件，并以书面形式通知各投标人。如果修改招标文件的时间距投标截止时间不足15日时，招标人将延长投标截止时间。</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16</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12月13日</w:t>
            </w:r>
            <w:r>
              <w:rPr>
                <w:rFonts w:hint="eastAsia" w:ascii="宋体" w:hAnsi="宋体" w:cs="宋体"/>
                <w:color w:val="auto"/>
                <w:szCs w:val="21"/>
                <w:highlight w:val="none"/>
              </w:rPr>
              <w:t>09时30分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17</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226" w:type="dxa"/>
            <w:vAlign w:val="center"/>
          </w:tcPr>
          <w:p>
            <w:pPr>
              <w:rPr>
                <w:rFonts w:ascii="宋体" w:hAnsi="宋体" w:cs="宋体"/>
                <w:color w:val="auto"/>
                <w:szCs w:val="21"/>
                <w:highlight w:val="none"/>
              </w:rPr>
            </w:pPr>
            <w:r>
              <w:rPr>
                <w:rFonts w:hint="eastAsia" w:ascii="宋体" w:hAnsi="宋体" w:cs="宋体"/>
                <w:color w:val="auto"/>
                <w:kern w:val="0"/>
                <w:szCs w:val="21"/>
                <w:highlight w:val="none"/>
              </w:rPr>
              <w:t>90天（从提交投标文件的截止之日起算）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本项目不收取保证金。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是否允许递交备选方案</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183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纸质投标文件封面及其它有要求的部位应加盖投标人公章并经</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投标文件的份数及装订要求</w:t>
            </w:r>
          </w:p>
        </w:tc>
        <w:tc>
          <w:tcPr>
            <w:tcW w:w="7226"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份数要求：</w:t>
            </w:r>
          </w:p>
          <w:p>
            <w:pPr>
              <w:widowControl/>
              <w:spacing w:line="259" w:lineRule="auto"/>
              <w:jc w:val="left"/>
              <w:rPr>
                <w:rFonts w:hint="eastAsia" w:ascii="宋体" w:hAnsi="宋体"/>
                <w:color w:val="auto"/>
                <w:sz w:val="21"/>
                <w:szCs w:val="21"/>
                <w:highlight w:val="none"/>
              </w:rPr>
            </w:pPr>
            <w:r>
              <w:rPr>
                <w:rFonts w:hint="eastAsia" w:ascii="宋体" w:hAnsi="宋体"/>
                <w:color w:val="auto"/>
                <w:sz w:val="21"/>
                <w:szCs w:val="21"/>
                <w:highlight w:val="none"/>
              </w:rPr>
              <w:t>1）</w:t>
            </w:r>
            <w:r>
              <w:rPr>
                <w:rFonts w:ascii="宋体" w:hAnsi="宋体"/>
                <w:b/>
                <w:bCs/>
                <w:color w:val="auto"/>
                <w:sz w:val="21"/>
                <w:szCs w:val="21"/>
                <w:highlight w:val="none"/>
              </w:rPr>
              <w:t>一份投标文件正本和</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份</w:t>
            </w:r>
            <w:r>
              <w:rPr>
                <w:rFonts w:ascii="宋体" w:hAnsi="宋体"/>
                <w:b/>
                <w:bCs/>
                <w:color w:val="auto"/>
                <w:sz w:val="21"/>
                <w:szCs w:val="21"/>
                <w:highlight w:val="none"/>
              </w:rPr>
              <w:t>副本</w:t>
            </w:r>
            <w:r>
              <w:rPr>
                <w:rFonts w:ascii="宋体" w:hAnsi="宋体"/>
                <w:color w:val="auto"/>
                <w:sz w:val="21"/>
                <w:szCs w:val="21"/>
                <w:highlight w:val="none"/>
              </w:rPr>
              <w:t>，每套投标文件须清楚地标明“正本”或“副本”</w:t>
            </w:r>
            <w:r>
              <w:rPr>
                <w:rFonts w:hint="eastAsia" w:ascii="宋体" w:hAnsi="宋体"/>
                <w:color w:val="auto"/>
                <w:sz w:val="21"/>
                <w:szCs w:val="21"/>
                <w:highlight w:val="none"/>
              </w:rPr>
              <w:t>，</w:t>
            </w:r>
            <w:r>
              <w:rPr>
                <w:rFonts w:ascii="宋体" w:hAnsi="宋体"/>
                <w:color w:val="auto"/>
                <w:sz w:val="21"/>
                <w:szCs w:val="21"/>
                <w:highlight w:val="none"/>
              </w:rPr>
              <w:t>若副本与正本不符，以正本为准</w:t>
            </w:r>
            <w:r>
              <w:rPr>
                <w:rFonts w:hint="eastAsia" w:ascii="宋体" w:hAnsi="宋体"/>
                <w:color w:val="auto"/>
                <w:sz w:val="21"/>
                <w:szCs w:val="21"/>
                <w:highlight w:val="none"/>
              </w:rPr>
              <w:t>；</w:t>
            </w:r>
          </w:p>
          <w:p>
            <w:pPr>
              <w:widowControl/>
              <w:spacing w:line="259" w:lineRule="auto"/>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lang w:val="en-US" w:eastAsia="zh-CN"/>
              </w:rPr>
              <w:t>按招标文件要求</w:t>
            </w:r>
            <w:r>
              <w:rPr>
                <w:rFonts w:hint="eastAsia" w:ascii="宋体" w:hAnsi="宋体"/>
                <w:b/>
                <w:bCs/>
                <w:color w:val="auto"/>
                <w:sz w:val="21"/>
                <w:szCs w:val="21"/>
                <w:highlight w:val="none"/>
              </w:rPr>
              <w:t>签字</w:t>
            </w:r>
            <w:r>
              <w:rPr>
                <w:rFonts w:hint="eastAsia" w:ascii="宋体" w:hAnsi="宋体"/>
                <w:b/>
                <w:bCs/>
                <w:color w:val="auto"/>
                <w:sz w:val="21"/>
                <w:szCs w:val="21"/>
                <w:highlight w:val="none"/>
                <w:lang w:val="en-US" w:eastAsia="zh-CN"/>
              </w:rPr>
              <w:t>盖章</w:t>
            </w:r>
            <w:r>
              <w:rPr>
                <w:rFonts w:hint="eastAsia" w:ascii="宋体" w:hAnsi="宋体"/>
                <w:b/>
                <w:bCs/>
                <w:color w:val="auto"/>
                <w:sz w:val="21"/>
                <w:szCs w:val="21"/>
                <w:highlight w:val="none"/>
              </w:rPr>
              <w:t>的“开标一览表”2份</w:t>
            </w:r>
            <w:r>
              <w:rPr>
                <w:rFonts w:hint="eastAsia" w:ascii="宋体" w:hAnsi="宋体"/>
                <w:color w:val="auto"/>
                <w:sz w:val="21"/>
                <w:szCs w:val="21"/>
                <w:highlight w:val="none"/>
              </w:rPr>
              <w:t>；</w:t>
            </w:r>
          </w:p>
          <w:p>
            <w:pPr>
              <w:pStyle w:val="9"/>
              <w:rPr>
                <w:rFonts w:ascii="宋体" w:hAnsi="宋体" w:cs="宋体"/>
                <w:b/>
                <w:bCs/>
                <w:color w:val="auto"/>
                <w:sz w:val="21"/>
                <w:szCs w:val="21"/>
                <w:highlight w:val="none"/>
              </w:rPr>
            </w:pPr>
            <w:r>
              <w:rPr>
                <w:rFonts w:hint="eastAsia" w:ascii="宋体" w:hAnsi="宋体"/>
                <w:color w:val="auto"/>
                <w:sz w:val="21"/>
                <w:szCs w:val="21"/>
                <w:highlight w:val="none"/>
              </w:rPr>
              <w:t>3）</w:t>
            </w:r>
            <w:r>
              <w:rPr>
                <w:rFonts w:ascii="宋体" w:hAnsi="宋体"/>
                <w:b/>
                <w:bCs/>
                <w:color w:val="auto"/>
                <w:sz w:val="21"/>
                <w:szCs w:val="21"/>
                <w:highlight w:val="none"/>
              </w:rPr>
              <w:t>同时提供</w:t>
            </w:r>
            <w:r>
              <w:rPr>
                <w:rFonts w:hint="eastAsia" w:ascii="宋体" w:hAnsi="宋体"/>
                <w:b/>
                <w:bCs/>
                <w:color w:val="auto"/>
                <w:sz w:val="21"/>
                <w:szCs w:val="21"/>
                <w:highlight w:val="none"/>
              </w:rPr>
              <w:t>1份</w:t>
            </w:r>
            <w:r>
              <w:rPr>
                <w:rFonts w:ascii="宋体" w:hAnsi="宋体"/>
                <w:b/>
                <w:bCs/>
                <w:color w:val="auto"/>
                <w:sz w:val="21"/>
                <w:szCs w:val="21"/>
                <w:highlight w:val="none"/>
              </w:rPr>
              <w:t>电子介质的投标文件</w:t>
            </w:r>
            <w:r>
              <w:rPr>
                <w:rFonts w:hint="eastAsia" w:ascii="宋体" w:hAnsi="宋体"/>
                <w:b/>
                <w:bCs/>
                <w:color w:val="auto"/>
                <w:sz w:val="21"/>
                <w:szCs w:val="21"/>
                <w:highlight w:val="none"/>
              </w:rPr>
              <w:t>（U盘）</w:t>
            </w:r>
            <w:r>
              <w:rPr>
                <w:rFonts w:hint="eastAsia" w:ascii="宋体" w:hAnsi="宋体"/>
                <w:color w:val="auto"/>
                <w:sz w:val="21"/>
                <w:szCs w:val="21"/>
                <w:highlight w:val="none"/>
              </w:rPr>
              <w:t>，包括投标文件正本完整版（PDF格式</w:t>
            </w:r>
            <w:r>
              <w:rPr>
                <w:rFonts w:hint="eastAsia" w:ascii="宋体" w:hAnsi="宋体"/>
                <w:color w:val="auto"/>
                <w:sz w:val="21"/>
                <w:szCs w:val="21"/>
                <w:highlight w:val="none"/>
                <w:lang w:val="en-US" w:eastAsia="zh-CN"/>
              </w:rPr>
              <w:t>和</w:t>
            </w:r>
            <w:r>
              <w:rPr>
                <w:rFonts w:hint="eastAsia" w:ascii="宋体" w:hAnsi="宋体"/>
                <w:color w:val="auto"/>
                <w:sz w:val="21"/>
                <w:szCs w:val="21"/>
                <w:highlight w:val="none"/>
              </w:rPr>
              <w:t>WORD格式）</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项</w:t>
            </w:r>
            <w:r>
              <w:rPr>
                <w:rFonts w:ascii="宋体" w:hAnsi="宋体"/>
                <w:color w:val="auto"/>
                <w:sz w:val="21"/>
                <w:szCs w:val="21"/>
                <w:highlight w:val="none"/>
              </w:rPr>
              <w:t>。电子介质的投标文件与纸质投标文件具有同等的法律效力。当电子介质的投标文件与纸质投标文件不一致时，以纸质投标文件为准。</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装订要求：正、副本分别</w:t>
            </w:r>
            <w:r>
              <w:rPr>
                <w:rFonts w:hint="eastAsia" w:ascii="宋体" w:hAnsi="宋体" w:cs="宋体"/>
                <w:color w:val="auto"/>
                <w:szCs w:val="21"/>
                <w:highlight w:val="none"/>
                <w:lang w:val="en-US" w:eastAsia="zh-CN"/>
              </w:rPr>
              <w:t>胶装</w:t>
            </w:r>
            <w:r>
              <w:rPr>
                <w:rFonts w:hint="eastAsia" w:ascii="宋体" w:hAnsi="宋体" w:cs="宋体"/>
                <w:color w:val="auto"/>
                <w:szCs w:val="21"/>
                <w:highlight w:val="none"/>
              </w:rPr>
              <w:t>成册，如有彩页应装订成册，不允许活页夹装订；</w:t>
            </w:r>
            <w:r>
              <w:rPr>
                <w:rFonts w:hint="eastAsia" w:ascii="宋体" w:hAnsi="宋体" w:cs="宋体"/>
                <w:b/>
                <w:bCs/>
                <w:color w:val="auto"/>
                <w:szCs w:val="21"/>
                <w:highlight w:val="none"/>
              </w:rPr>
              <w:t>书脊处标明项目名称及投标人名称。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687" w:type="dxa"/>
            <w:vMerge w:val="restart"/>
            <w:vAlign w:val="center"/>
          </w:tcPr>
          <w:p>
            <w:pPr>
              <w:spacing w:line="288"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1831" w:type="dxa"/>
            <w:vMerge w:val="restart"/>
            <w:vAlign w:val="center"/>
          </w:tcPr>
          <w:p>
            <w:pPr>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投标文件的密封和标记</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投标文件应包括开标一览表。为方便开标时唱标，投标人还应将①开标一览表单独密封提交并在信封上标注“开标一览表</w:t>
            </w:r>
            <w:r>
              <w:rPr>
                <w:rFonts w:hint="eastAsia" w:ascii="宋体" w:hAnsi="宋体" w:cs="宋体"/>
                <w:color w:val="auto"/>
                <w:szCs w:val="21"/>
                <w:highlight w:val="none"/>
                <w:lang w:eastAsia="zh-CN"/>
              </w:rPr>
              <w:t>”</w:t>
            </w:r>
            <w:r>
              <w:rPr>
                <w:rFonts w:hint="eastAsia" w:ascii="宋体" w:hAnsi="宋体" w:cs="宋体"/>
                <w:color w:val="auto"/>
                <w:szCs w:val="21"/>
                <w:highlight w:val="none"/>
              </w:rPr>
              <w:t>字样</w:t>
            </w:r>
            <w:r>
              <w:rPr>
                <w:rFonts w:hint="eastAsia" w:ascii="宋体" w:hAnsi="宋体" w:cs="宋体"/>
                <w:color w:val="auto"/>
                <w:szCs w:val="21"/>
                <w:highlight w:val="none"/>
                <w:lang w:eastAsia="zh-CN"/>
              </w:rPr>
              <w:t>。</w:t>
            </w:r>
            <w:r>
              <w:rPr>
                <w:rFonts w:hint="eastAsia" w:ascii="宋体" w:hAnsi="宋体" w:cs="宋体"/>
                <w:color w:val="auto"/>
                <w:szCs w:val="21"/>
                <w:highlight w:val="none"/>
              </w:rPr>
              <w:t>②电子介质投标文件单独密封提交并在信封上标注“电子投标文件”字样。③投标文件正本</w:t>
            </w:r>
            <w:r>
              <w:rPr>
                <w:rFonts w:hint="eastAsia" w:ascii="宋体" w:hAnsi="宋体" w:cs="宋体"/>
                <w:color w:val="auto"/>
                <w:szCs w:val="21"/>
                <w:highlight w:val="none"/>
                <w:lang w:eastAsia="zh-CN"/>
              </w:rPr>
              <w:t>、</w:t>
            </w:r>
            <w:r>
              <w:rPr>
                <w:rFonts w:hint="eastAsia" w:ascii="宋体" w:hAnsi="宋体" w:cs="宋体"/>
                <w:color w:val="auto"/>
                <w:szCs w:val="21"/>
                <w:highlight w:val="none"/>
              </w:rPr>
              <w:t>所有的副本封装在一个信封中，如投标文件副本厚重体积大造成递交不便利，允许将副本分为1或最多2个信封密封包装。招标人将拒收不按招标文件要求密封的投标文件。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687" w:type="dxa"/>
            <w:vMerge w:val="continue"/>
            <w:vAlign w:val="center"/>
          </w:tcPr>
          <w:p>
            <w:pPr>
              <w:jc w:val="center"/>
              <w:rPr>
                <w:rFonts w:ascii="宋体" w:hAnsi="宋体" w:cs="宋体"/>
                <w:color w:val="auto"/>
                <w:szCs w:val="21"/>
                <w:highlight w:val="none"/>
              </w:rPr>
            </w:pPr>
          </w:p>
        </w:tc>
        <w:tc>
          <w:tcPr>
            <w:tcW w:w="1831" w:type="dxa"/>
            <w:vMerge w:val="continue"/>
            <w:vAlign w:val="center"/>
          </w:tcPr>
          <w:p>
            <w:pPr>
              <w:spacing w:line="288" w:lineRule="auto"/>
              <w:jc w:val="center"/>
              <w:rPr>
                <w:rFonts w:ascii="宋体" w:hAnsi="宋体" w:cs="宋体"/>
                <w:color w:val="auto"/>
                <w:szCs w:val="21"/>
                <w:highlight w:val="none"/>
              </w:rPr>
            </w:pP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外层信封均应标明</w:t>
            </w:r>
            <w:r>
              <w:rPr>
                <w:rFonts w:hint="eastAsia" w:ascii="宋体" w:hAnsi="宋体" w:cs="宋体"/>
                <w:color w:val="auto"/>
                <w:szCs w:val="21"/>
                <w:highlight w:val="none"/>
                <w:lang w:val="en-US" w:eastAsia="zh-CN"/>
              </w:rPr>
              <w:t>以下字样</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E-234132XA011/02</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i w:val="0"/>
                <w:iCs w:val="0"/>
                <w:caps w:val="0"/>
                <w:color w:val="auto"/>
                <w:spacing w:val="0"/>
                <w:kern w:val="0"/>
                <w:sz w:val="21"/>
                <w:szCs w:val="21"/>
                <w:highlight w:val="none"/>
                <w:shd w:val="clear" w:color="auto" w:fill="auto"/>
                <w:lang w:val="en-US" w:eastAsia="zh-CN" w:bidi="ar-SA"/>
              </w:rPr>
              <w:t>咸阳市中心医院智慧医院建设提升、智慧医疗管理系统建设及环境扩容服务</w:t>
            </w:r>
            <w:r>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t>（</w:t>
            </w:r>
            <w:r>
              <w:rPr>
                <w:rFonts w:hint="eastAsia" w:ascii="宋体" w:hAnsi="宋体" w:cs="宋体"/>
                <w:i w:val="0"/>
                <w:iCs w:val="0"/>
                <w:caps w:val="0"/>
                <w:color w:val="auto"/>
                <w:spacing w:val="0"/>
                <w:kern w:val="0"/>
                <w:sz w:val="21"/>
                <w:szCs w:val="21"/>
                <w:highlight w:val="none"/>
                <w:shd w:val="clear" w:color="auto" w:fill="auto"/>
                <w:lang w:val="en-US" w:eastAsia="zh-CN" w:bidi="ar-SA"/>
              </w:rPr>
              <w:t>02包：康复中心信息管理系统</w:t>
            </w:r>
            <w:r>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288" w:lineRule="auto"/>
              <w:ind w:firstLine="1890" w:firstLineChars="9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投标文件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投标人名称（盖章）：</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投标文件递交截止时间</w:t>
            </w:r>
            <w:r>
              <w:rPr>
                <w:rFonts w:hint="eastAsia" w:ascii="宋体" w:hAnsi="宋体" w:cs="宋体"/>
                <w:color w:val="auto"/>
                <w:szCs w:val="21"/>
                <w:highlight w:val="none"/>
              </w:rPr>
              <w:t>之前不得启封。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23</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递交投标文件地点</w:t>
            </w:r>
          </w:p>
        </w:tc>
        <w:tc>
          <w:tcPr>
            <w:tcW w:w="7226" w:type="dxa"/>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西安市高新区沣惠南路34号摩尔中心A座24层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7226" w:type="dxa"/>
            <w:vAlign w:val="center"/>
          </w:tcPr>
          <w:p>
            <w:pPr>
              <w:spacing w:line="288" w:lineRule="auto"/>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 xml:space="preserve"> 13 </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p>
            <w:pPr>
              <w:spacing w:line="288" w:lineRule="auto"/>
              <w:rPr>
                <w:rFonts w:ascii="宋体" w:hAnsi="宋体" w:cs="宋体"/>
                <w:color w:val="auto"/>
                <w:szCs w:val="21"/>
                <w:highlight w:val="none"/>
              </w:rPr>
            </w:pPr>
            <w:r>
              <w:rPr>
                <w:rFonts w:hint="eastAsia" w:ascii="宋体" w:hAnsi="宋体" w:cs="宋体"/>
                <w:color w:val="auto"/>
                <w:szCs w:val="21"/>
                <w:highlight w:val="none"/>
              </w:rPr>
              <w:t>开标地点：陕西省西安市高新区沣惠南路34号摩尔中心A座24层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25</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评标委员会</w:t>
            </w:r>
          </w:p>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的组建</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人，其中招标人代表 </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名、专家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名。</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评标专家确定方式：</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评审专家库中随机抽取。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26</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是否授权评标委员会确定中标投标人</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否，推荐的中标候选人数量：3名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9057" w:type="dxa"/>
            <w:gridSpan w:val="2"/>
            <w:vAlign w:val="center"/>
          </w:tcPr>
          <w:p>
            <w:pPr>
              <w:jc w:val="left"/>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831" w:type="dxa"/>
            <w:vAlign w:val="center"/>
          </w:tcPr>
          <w:p>
            <w:pPr>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核心产品</w:t>
            </w:r>
          </w:p>
        </w:tc>
        <w:tc>
          <w:tcPr>
            <w:tcW w:w="7226" w:type="dxa"/>
            <w:vAlign w:val="center"/>
          </w:tcPr>
          <w:p>
            <w:pPr>
              <w:jc w:val="left"/>
              <w:rPr>
                <w:rFonts w:hint="eastAsia" w:ascii="宋体" w:hAnsi="宋体" w:eastAsia="宋体" w:cs="宋体"/>
                <w:color w:val="auto"/>
                <w:szCs w:val="21"/>
                <w:highlight w:val="none"/>
                <w:lang w:eastAsia="zh-CN"/>
              </w:rPr>
            </w:pPr>
            <w:r>
              <w:rPr>
                <w:rFonts w:hint="eastAsia" w:ascii="宋体" w:hAnsi="宋体" w:cs="宋体"/>
                <w:b w:val="0"/>
                <w:bCs w:val="0"/>
                <w:color w:val="auto"/>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7226" w:type="dxa"/>
            <w:vAlign w:val="center"/>
          </w:tcPr>
          <w:p>
            <w:pPr>
              <w:numPr>
                <w:ilvl w:val="0"/>
                <w:numId w:val="0"/>
              </w:numPr>
              <w:tabs>
                <w:tab w:val="left" w:pos="9030"/>
              </w:tabs>
              <w:spacing w:line="288" w:lineRule="auto"/>
              <w:jc w:val="left"/>
              <w:rPr>
                <w:rFonts w:hint="eastAsia" w:ascii="宋体" w:hAnsi="宋体" w:cs="宋体"/>
                <w:szCs w:val="21"/>
                <w:lang w:val="en-US" w:eastAsia="zh-CN"/>
              </w:rPr>
            </w:pPr>
            <w:r>
              <w:rPr>
                <w:rFonts w:hint="eastAsia" w:ascii="宋体" w:hAnsi="宋体" w:cs="宋体"/>
                <w:szCs w:val="21"/>
                <w:lang w:val="en-US" w:eastAsia="zh-CN"/>
              </w:rPr>
              <w:t>1、</w:t>
            </w:r>
            <w:r>
              <w:rPr>
                <w:rFonts w:hint="eastAsia" w:ascii="宋体" w:hAnsi="宋体" w:cs="宋体"/>
                <w:color w:val="auto"/>
                <w:szCs w:val="21"/>
                <w:highlight w:val="none"/>
              </w:rPr>
              <w:t>招标代理服务费</w:t>
            </w:r>
          </w:p>
          <w:p>
            <w:pPr>
              <w:numPr>
                <w:ilvl w:val="0"/>
                <w:numId w:val="0"/>
              </w:numPr>
              <w:tabs>
                <w:tab w:val="left" w:pos="9030"/>
              </w:tabs>
              <w:spacing w:line="288" w:lineRule="auto"/>
              <w:jc w:val="left"/>
              <w:rPr>
                <w:rFonts w:hint="eastAsia" w:ascii="宋体" w:hAnsi="宋体" w:cs="宋体"/>
                <w:szCs w:val="21"/>
              </w:rPr>
            </w:pPr>
            <w:r>
              <w:rPr>
                <w:rFonts w:hint="eastAsia" w:ascii="宋体" w:hAnsi="宋体" w:cs="宋体"/>
                <w:szCs w:val="21"/>
              </w:rPr>
              <w:t>按照国家计委颁布的«招标代理服务收费管理暂行办法»（计价格[2002]1980号）和国家发改委办公厅颁布的«国家发改委办公厅关于招标代理服务收费有关问题的通知（发改办价格[2003]857号）规定</w:t>
            </w:r>
            <w:r>
              <w:rPr>
                <w:rFonts w:hint="eastAsia" w:ascii="宋体" w:hAnsi="宋体" w:cs="宋体"/>
                <w:szCs w:val="21"/>
                <w:lang w:val="en-US" w:eastAsia="zh-CN"/>
              </w:rPr>
              <w:t>按固定下浮百分比取费</w:t>
            </w:r>
            <w:r>
              <w:rPr>
                <w:rFonts w:hint="eastAsia" w:ascii="宋体" w:hAnsi="宋体" w:cs="宋体"/>
                <w:szCs w:val="21"/>
              </w:rPr>
              <w:t>。由中标单位在领取中标通知书之前支付。</w:t>
            </w:r>
          </w:p>
          <w:p>
            <w:pPr>
              <w:pStyle w:val="30"/>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中标金额＜100万元，按照标准下浮30%收取。</w:t>
            </w:r>
          </w:p>
          <w:p>
            <w:pPr>
              <w:pStyle w:val="30"/>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100万元≤中标金额＜200万元，按照标准下浮35%收取。</w:t>
            </w:r>
          </w:p>
          <w:p>
            <w:pPr>
              <w:pStyle w:val="30"/>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val="zh-CN" w:eastAsia="zh-CN" w:bidi="ar-SA"/>
              </w:rPr>
              <w:t>00万元≤中标金额＜</w:t>
            </w:r>
            <w:r>
              <w:rPr>
                <w:rFonts w:hint="eastAsia" w:ascii="宋体" w:hAnsi="宋体" w:eastAsia="宋体" w:cs="宋体"/>
                <w:kern w:val="2"/>
                <w:sz w:val="21"/>
                <w:szCs w:val="21"/>
                <w:lang w:val="en-US" w:eastAsia="zh-CN" w:bidi="ar-SA"/>
              </w:rPr>
              <w:t>5</w:t>
            </w:r>
            <w:r>
              <w:rPr>
                <w:rFonts w:hint="eastAsia" w:ascii="宋体" w:hAnsi="宋体" w:eastAsia="宋体" w:cs="宋体"/>
                <w:kern w:val="2"/>
                <w:sz w:val="21"/>
                <w:szCs w:val="21"/>
                <w:lang w:val="zh-CN" w:eastAsia="zh-CN" w:bidi="ar-SA"/>
              </w:rPr>
              <w:t>00万元，按照标准下浮</w:t>
            </w:r>
            <w:r>
              <w:rPr>
                <w:rFonts w:hint="eastAsia" w:ascii="宋体" w:hAnsi="宋体" w:eastAsia="宋体" w:cs="宋体"/>
                <w:kern w:val="2"/>
                <w:sz w:val="21"/>
                <w:szCs w:val="21"/>
                <w:lang w:val="en-US" w:eastAsia="zh-CN" w:bidi="ar-SA"/>
              </w:rPr>
              <w:t>40</w:t>
            </w:r>
            <w:r>
              <w:rPr>
                <w:rFonts w:hint="eastAsia" w:ascii="宋体" w:hAnsi="宋体" w:eastAsia="宋体" w:cs="宋体"/>
                <w:kern w:val="2"/>
                <w:sz w:val="21"/>
                <w:szCs w:val="21"/>
                <w:lang w:val="zh-CN" w:eastAsia="zh-CN" w:bidi="ar-SA"/>
              </w:rPr>
              <w:t>%收取。</w:t>
            </w:r>
          </w:p>
          <w:p>
            <w:pPr>
              <w:pStyle w:val="30"/>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5</w:t>
            </w:r>
            <w:r>
              <w:rPr>
                <w:rFonts w:hint="eastAsia" w:ascii="宋体" w:hAnsi="宋体" w:eastAsia="宋体" w:cs="宋体"/>
                <w:kern w:val="2"/>
                <w:sz w:val="21"/>
                <w:szCs w:val="21"/>
                <w:lang w:val="zh-CN" w:eastAsia="zh-CN" w:bidi="ar-SA"/>
              </w:rPr>
              <w:t>00万元≤中标金额＜</w:t>
            </w:r>
            <w:r>
              <w:rPr>
                <w:rFonts w:hint="eastAsia" w:ascii="宋体" w:hAnsi="宋体" w:eastAsia="宋体" w:cs="宋体"/>
                <w:kern w:val="2"/>
                <w:sz w:val="21"/>
                <w:szCs w:val="21"/>
                <w:lang w:val="en-US" w:eastAsia="zh-CN" w:bidi="ar-SA"/>
              </w:rPr>
              <w:t>10</w:t>
            </w:r>
            <w:r>
              <w:rPr>
                <w:rFonts w:hint="eastAsia" w:ascii="宋体" w:hAnsi="宋体" w:eastAsia="宋体" w:cs="宋体"/>
                <w:kern w:val="2"/>
                <w:sz w:val="21"/>
                <w:szCs w:val="21"/>
                <w:lang w:val="zh-CN" w:eastAsia="zh-CN" w:bidi="ar-SA"/>
              </w:rPr>
              <w:t>00万元，按照标准下浮</w:t>
            </w:r>
            <w:r>
              <w:rPr>
                <w:rFonts w:hint="eastAsia" w:ascii="宋体" w:hAnsi="宋体" w:eastAsia="宋体" w:cs="宋体"/>
                <w:kern w:val="2"/>
                <w:sz w:val="21"/>
                <w:szCs w:val="21"/>
                <w:lang w:val="en-US" w:eastAsia="zh-CN" w:bidi="ar-SA"/>
              </w:rPr>
              <w:t>45</w:t>
            </w:r>
            <w:r>
              <w:rPr>
                <w:rFonts w:hint="eastAsia" w:ascii="宋体" w:hAnsi="宋体" w:eastAsia="宋体" w:cs="宋体"/>
                <w:kern w:val="2"/>
                <w:sz w:val="21"/>
                <w:szCs w:val="21"/>
                <w:lang w:val="zh-CN" w:eastAsia="zh-CN" w:bidi="ar-SA"/>
              </w:rPr>
              <w:t>%收取。</w:t>
            </w:r>
          </w:p>
          <w:p>
            <w:pPr>
              <w:tabs>
                <w:tab w:val="left" w:pos="9030"/>
              </w:tabs>
              <w:spacing w:line="288" w:lineRule="auto"/>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招标代理服务费交纳信息</w:t>
            </w:r>
          </w:p>
          <w:p>
            <w:pPr>
              <w:tabs>
                <w:tab w:val="left" w:pos="9030"/>
              </w:tabs>
              <w:spacing w:line="288" w:lineRule="auto"/>
              <w:jc w:val="left"/>
              <w:rPr>
                <w:rFonts w:ascii="宋体" w:hAnsi="宋体" w:cs="宋体"/>
                <w:szCs w:val="21"/>
              </w:rPr>
            </w:pPr>
            <w:r>
              <w:rPr>
                <w:rFonts w:hint="eastAsia" w:ascii="宋体" w:hAnsi="宋体" w:cs="宋体"/>
                <w:szCs w:val="21"/>
              </w:rPr>
              <w:t>账户</w:t>
            </w:r>
            <w:r>
              <w:rPr>
                <w:rFonts w:hint="eastAsia" w:ascii="宋体" w:hAnsi="宋体" w:cs="宋体"/>
                <w:szCs w:val="21"/>
                <w:lang w:val="zh-CN"/>
              </w:rPr>
              <w:t>名称：中航技（北京）工程管理有限公司</w:t>
            </w:r>
            <w:r>
              <w:rPr>
                <w:rFonts w:hint="eastAsia" w:ascii="宋体" w:hAnsi="宋体" w:cs="宋体"/>
                <w:szCs w:val="21"/>
              </w:rPr>
              <w:t>西安分公司</w:t>
            </w:r>
          </w:p>
          <w:p>
            <w:pPr>
              <w:tabs>
                <w:tab w:val="left" w:pos="9030"/>
              </w:tabs>
              <w:spacing w:line="288" w:lineRule="auto"/>
              <w:jc w:val="left"/>
              <w:rPr>
                <w:rFonts w:ascii="宋体" w:hAnsi="宋体" w:cs="宋体"/>
                <w:szCs w:val="21"/>
                <w:lang w:val="zh-CN"/>
              </w:rPr>
            </w:pPr>
            <w:r>
              <w:rPr>
                <w:rFonts w:hint="eastAsia" w:ascii="宋体" w:hAnsi="宋体" w:cs="宋体"/>
                <w:szCs w:val="21"/>
                <w:lang w:val="zh-CN"/>
              </w:rPr>
              <w:t>开户银行：</w:t>
            </w:r>
            <w:r>
              <w:rPr>
                <w:rFonts w:hint="eastAsia" w:ascii="宋体" w:hAnsi="宋体" w:cs="宋体"/>
                <w:szCs w:val="21"/>
              </w:rPr>
              <w:t>中国银行西安高科智慧园支行</w:t>
            </w:r>
          </w:p>
          <w:p>
            <w:pPr>
              <w:tabs>
                <w:tab w:val="left" w:pos="9030"/>
              </w:tabs>
              <w:spacing w:line="288" w:lineRule="auto"/>
              <w:jc w:val="left"/>
              <w:rPr>
                <w:rFonts w:ascii="宋体" w:hAnsi="宋体" w:cs="宋体"/>
                <w:color w:val="auto"/>
                <w:szCs w:val="21"/>
                <w:highlight w:val="none"/>
              </w:rPr>
            </w:pPr>
            <w:r>
              <w:rPr>
                <w:rFonts w:hint="eastAsia" w:ascii="宋体" w:hAnsi="宋体" w:cs="宋体"/>
                <w:szCs w:val="21"/>
                <w:lang w:val="zh-CN"/>
              </w:rPr>
              <w:t>账    号：</w:t>
            </w:r>
            <w:r>
              <w:rPr>
                <w:rFonts w:hint="eastAsia" w:ascii="宋体" w:hAnsi="宋体" w:cs="宋体"/>
                <w:szCs w:val="21"/>
              </w:rPr>
              <w:t>102876626131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p>
        </w:tc>
        <w:tc>
          <w:tcPr>
            <w:tcW w:w="9057" w:type="dxa"/>
            <w:gridSpan w:val="2"/>
            <w:vAlign w:val="center"/>
          </w:tcPr>
          <w:p>
            <w:pPr>
              <w:jc w:val="left"/>
              <w:rPr>
                <w:rFonts w:ascii="宋体" w:hAnsi="宋体" w:cs="宋体"/>
                <w:color w:val="auto"/>
                <w:szCs w:val="21"/>
                <w:highlight w:val="none"/>
              </w:rPr>
            </w:pPr>
            <w:r>
              <w:rPr>
                <w:rFonts w:hint="eastAsia" w:ascii="宋体" w:hAnsi="宋体" w:cs="宋体"/>
                <w:color w:val="auto"/>
                <w:szCs w:val="21"/>
                <w:highlight w:val="none"/>
              </w:rPr>
              <w:t>投标人须知前附表和须知不一致的地方，以前附表为准。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p>
        </w:tc>
        <w:tc>
          <w:tcPr>
            <w:tcW w:w="9057" w:type="dxa"/>
            <w:gridSpan w:val="2"/>
            <w:vAlign w:val="center"/>
          </w:tcPr>
          <w:p>
            <w:pPr>
              <w:jc w:val="left"/>
              <w:rPr>
                <w:rFonts w:ascii="宋体" w:hAnsi="宋体" w:cs="宋体"/>
                <w:color w:val="auto"/>
                <w:szCs w:val="21"/>
                <w:highlight w:val="none"/>
              </w:rPr>
            </w:pPr>
            <w:r>
              <w:rPr>
                <w:rFonts w:hint="eastAsia" w:ascii="宋体" w:hAnsi="宋体" w:cs="宋体"/>
                <w:color w:val="auto"/>
                <w:szCs w:val="21"/>
                <w:highlight w:val="none"/>
              </w:rPr>
              <w:t>文件未明确的其他事项，按照有关法律、法规或省市有关规定执行。</w:t>
            </w:r>
            <w:r>
              <w:rPr>
                <w:rFonts w:hint="eastAsia" w:ascii="宋体" w:hAnsi="宋体" w:cs="宋体"/>
                <w:szCs w:val="21"/>
              </w:rPr>
              <w:t>本招标文件由招标人和采购代理机构负责解释。</w:t>
            </w:r>
          </w:p>
        </w:tc>
      </w:tr>
    </w:tbl>
    <w:p>
      <w:pPr>
        <w:rPr>
          <w:color w:val="auto"/>
          <w:highlight w:val="none"/>
        </w:rPr>
      </w:pPr>
      <w:r>
        <w:rPr>
          <w:color w:val="auto"/>
          <w:highlight w:val="none"/>
        </w:rPr>
        <w:br w:type="page"/>
      </w:r>
    </w:p>
    <w:p>
      <w:pPr>
        <w:pStyle w:val="3"/>
        <w:bidi w:val="0"/>
        <w:rPr>
          <w:rFonts w:hint="eastAsia"/>
          <w:color w:val="auto"/>
          <w:sz w:val="22"/>
          <w:szCs w:val="16"/>
          <w:highlight w:val="none"/>
        </w:rPr>
      </w:pPr>
      <w:r>
        <w:rPr>
          <w:rFonts w:hint="eastAsia"/>
          <w:color w:val="auto"/>
          <w:sz w:val="22"/>
          <w:szCs w:val="16"/>
          <w:highlight w:val="none"/>
        </w:rPr>
        <w:t>一、总  则</w:t>
      </w:r>
    </w:p>
    <w:p>
      <w:pPr>
        <w:spacing w:line="360" w:lineRule="auto"/>
        <w:rPr>
          <w:rFonts w:ascii="宋体" w:hAnsi="宋体"/>
          <w:b/>
          <w:color w:val="auto"/>
          <w:sz w:val="21"/>
          <w:szCs w:val="21"/>
          <w:highlight w:val="none"/>
        </w:rPr>
      </w:pPr>
      <w:bookmarkStart w:id="10" w:name="_Toc30853"/>
      <w:bookmarkStart w:id="11" w:name="_Toc235544703"/>
      <w:bookmarkStart w:id="12" w:name="_Toc238899378"/>
      <w:bookmarkStart w:id="13" w:name="_Toc269407612"/>
      <w:bookmarkStart w:id="14" w:name="_Toc250572264"/>
      <w:bookmarkStart w:id="15" w:name="_Toc67552688"/>
      <w:bookmarkStart w:id="16" w:name="_Toc54404815"/>
      <w:r>
        <w:rPr>
          <w:rFonts w:hint="eastAsia" w:ascii="宋体" w:hAnsi="宋体"/>
          <w:b/>
          <w:color w:val="auto"/>
          <w:sz w:val="21"/>
          <w:szCs w:val="21"/>
          <w:highlight w:val="none"/>
        </w:rPr>
        <w:t>1.1 项目概况</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 根据《中华人民共和国政府采购法》及实施条例等有关法律、法规和规章的规定，本招标项目已具备招标条件，现对本项目进行招标。</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 本招标项目招标人：见投标人须知前附表。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1.1.3 本招标项目</w:t>
      </w:r>
      <w:r>
        <w:rPr>
          <w:rFonts w:hint="eastAsia" w:ascii="宋体" w:hAnsi="宋体" w:cs="宋体"/>
          <w:color w:val="auto"/>
          <w:szCs w:val="21"/>
          <w:highlight w:val="none"/>
          <w:lang w:val="en-US" w:eastAsia="zh-CN"/>
        </w:rPr>
        <w:t>采购代理机构</w:t>
      </w:r>
      <w:r>
        <w:rPr>
          <w:rFonts w:hint="eastAsia" w:ascii="宋体" w:hAnsi="宋体" w:eastAsia="宋体" w:cs="宋体"/>
          <w:color w:val="auto"/>
          <w:szCs w:val="21"/>
          <w:highlight w:val="none"/>
          <w:lang w:val="en-US" w:eastAsia="zh-CN"/>
        </w:rPr>
        <w:t>：见投标人须知前附表。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 本招标项目名称：见投标人须知前附表。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 本招标项目地点：见投标人须知前附表。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1.2 资金来源</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1.2.1 本招标项目的</w:t>
      </w:r>
      <w:r>
        <w:rPr>
          <w:rFonts w:hint="eastAsia" w:ascii="宋体" w:hAnsi="宋体"/>
          <w:color w:val="auto"/>
          <w:sz w:val="21"/>
          <w:szCs w:val="21"/>
          <w:highlight w:val="none"/>
          <w:lang w:eastAsia="zh-CN"/>
        </w:rPr>
        <w:t>最高限价</w:t>
      </w:r>
      <w:r>
        <w:rPr>
          <w:rFonts w:hint="eastAsia" w:ascii="宋体" w:hAnsi="宋体"/>
          <w:color w:val="auto"/>
          <w:sz w:val="21"/>
          <w:szCs w:val="21"/>
          <w:highlight w:val="none"/>
        </w:rPr>
        <w:t>：见投标人须知前附表。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1.3 招标范围</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1.3.1 本次招标范围：见投标人须知前附表。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1.4 投标人资格要求</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1.4.1 投标人应具备承担本项目的资质条件：见投标人须知前附表。</w:t>
      </w:r>
    </w:p>
    <w:p>
      <w:pPr>
        <w:spacing w:line="360" w:lineRule="auto"/>
        <w:ind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none"/>
        </w:rPr>
        <w:t xml:space="preserve">1.4.2 </w:t>
      </w:r>
      <w:r>
        <w:rPr>
          <w:rFonts w:hint="eastAsia" w:ascii="宋体" w:hAnsi="宋体"/>
          <w:color w:val="auto"/>
          <w:sz w:val="21"/>
          <w:szCs w:val="21"/>
          <w:highlight w:val="none"/>
          <w:lang w:eastAsia="zh-CN"/>
        </w:rPr>
        <w:t>单位负责人为同一人或者存在直接控股、管理关系的不同供应商，不得参加同一合同项下的政府采购活动。</w:t>
      </w:r>
    </w:p>
    <w:p>
      <w:pPr>
        <w:spacing w:line="360" w:lineRule="auto"/>
        <w:ind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none"/>
        </w:rPr>
        <w:t>为采购项目提供整体设计、规范编制或者项目管理、监理、检测等服务的供应商，不得再参加该采购项目的其他采购活动。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1.5 费用承担</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投标人准备和参加投标活动发生的费用自理。</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1.6 保密</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参与招标投标活动的各方应对招标文件和投标文件中的商业和技术等秘密保密，违者应对由此造成的后果承担法律责任。</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1.7 语言文字</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1.7.1投标人提交的投标文件以及投标人与采购代理机构就有关投标所有来往书面文件均须使用中文简体。投标文件中如附有外文资料，必须对应翻译成中文并加盖投标人公章后附在相关外文资料后面，否则，投标人的投标文件将作为无效投标处理。</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1.7.2翻译的中文资料与外文资料如果出现差异和矛盾以中文为准。投标人不能以响应招标文件为目的将不满足招标文件要求和规定的投标故意翻译成满足的投标，否则，投标人的投标将作为无效投标处理。</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1.8 计量单位</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投标文件中所使用的计量单位，除技术规格及要求另有规定外，本采购项目的投标均采用中华人民共和国法定计量单位。</w:t>
      </w:r>
    </w:p>
    <w:p>
      <w:pPr>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1.9 踏勘现场</w:t>
      </w:r>
    </w:p>
    <w:p>
      <w:pPr>
        <w:bidi w:val="0"/>
        <w:rPr>
          <w:rFonts w:hint="default" w:eastAsia="宋体"/>
          <w:color w:val="auto"/>
          <w:highlight w:val="none"/>
          <w:lang w:val="en-US" w:eastAsia="zh-CN"/>
        </w:rPr>
      </w:pPr>
      <w:r>
        <w:rPr>
          <w:rFonts w:hint="eastAsia"/>
          <w:color w:val="auto"/>
          <w:highlight w:val="none"/>
          <w:lang w:val="en-US" w:eastAsia="zh-CN"/>
        </w:rPr>
        <w:t xml:space="preserve">    本项目不组织现场踏勘。</w:t>
      </w:r>
    </w:p>
    <w:p>
      <w:pPr>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1.10招标文件取得</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招标公告在</w:t>
      </w:r>
      <w:r>
        <w:rPr>
          <w:rFonts w:hint="eastAsia" w:ascii="宋体" w:hAnsi="宋体" w:eastAsia="宋体" w:cs="Times New Roman"/>
          <w:color w:val="auto"/>
          <w:sz w:val="21"/>
          <w:szCs w:val="21"/>
          <w:highlight w:val="none"/>
          <w:lang w:val="en-US" w:eastAsia="zh-CN"/>
        </w:rPr>
        <w:t>陕西省政府采购网</w:t>
      </w:r>
      <w:r>
        <w:rPr>
          <w:rFonts w:hint="eastAsia" w:ascii="宋体" w:hAnsi="宋体" w:eastAsia="宋体" w:cs="Times New Roman"/>
          <w:color w:val="auto"/>
          <w:sz w:val="21"/>
          <w:szCs w:val="21"/>
          <w:highlight w:val="none"/>
        </w:rPr>
        <w:t>发布并以此为准，有意愿投标的合格投标人必须在采购代理机构获取招标文件，凡未在采购代理机构获取本项目招标文件或未在采购代理机构获取本项目招标文件采取复制他人招标文件的投标将被拒绝。</w:t>
      </w:r>
    </w:p>
    <w:p>
      <w:pPr>
        <w:spacing w:line="360" w:lineRule="auto"/>
        <w:rPr>
          <w:rFonts w:hint="eastAsia" w:ascii="宋体" w:hAnsi="宋体" w:eastAsia="宋体" w:cs="Times New Roman"/>
          <w:b/>
          <w:color w:val="auto"/>
          <w:sz w:val="21"/>
          <w:szCs w:val="21"/>
          <w:highlight w:val="none"/>
        </w:rPr>
      </w:pPr>
      <w:bookmarkStart w:id="17" w:name="_Toc52064303"/>
      <w:bookmarkStart w:id="18" w:name="_Toc52064846"/>
      <w:bookmarkStart w:id="19" w:name="_Toc48301710"/>
      <w:r>
        <w:rPr>
          <w:rFonts w:hint="eastAsia" w:ascii="宋体" w:hAnsi="宋体" w:eastAsia="宋体" w:cs="Times New Roman"/>
          <w:b/>
          <w:color w:val="auto"/>
          <w:sz w:val="21"/>
          <w:szCs w:val="21"/>
          <w:highlight w:val="none"/>
        </w:rPr>
        <w:t>1.11投标文件的货币单位</w:t>
      </w:r>
      <w:bookmarkEnd w:id="17"/>
      <w:bookmarkEnd w:id="18"/>
      <w:bookmarkEnd w:id="19"/>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本项目投标文件所采用的货币单位：元</w:t>
      </w:r>
    </w:p>
    <w:p>
      <w:pPr>
        <w:spacing w:line="360" w:lineRule="auto"/>
        <w:rPr>
          <w:rFonts w:hint="eastAsia" w:ascii="宋体" w:hAnsi="宋体"/>
          <w:b/>
          <w:color w:val="auto"/>
          <w:sz w:val="21"/>
          <w:szCs w:val="21"/>
          <w:highlight w:val="none"/>
        </w:rPr>
      </w:pPr>
      <w:bookmarkStart w:id="20" w:name="_Toc52064304"/>
      <w:bookmarkStart w:id="21" w:name="_Toc48301711"/>
      <w:bookmarkStart w:id="22" w:name="_Toc52064847"/>
      <w:r>
        <w:rPr>
          <w:rFonts w:hint="eastAsia" w:ascii="宋体" w:hAnsi="宋体"/>
          <w:b/>
          <w:color w:val="auto"/>
          <w:sz w:val="21"/>
          <w:szCs w:val="21"/>
          <w:highlight w:val="none"/>
        </w:rPr>
        <w:t>1.12投标文件的投标范围</w:t>
      </w:r>
      <w:bookmarkEnd w:id="20"/>
      <w:bookmarkEnd w:id="21"/>
      <w:bookmarkEnd w:id="22"/>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投标人可以对招标文件中采购项目所列货物</w:t>
      </w:r>
      <w:r>
        <w:rPr>
          <w:rFonts w:hint="eastAsia" w:ascii="宋体" w:hAnsi="宋体"/>
          <w:color w:val="auto"/>
          <w:sz w:val="21"/>
          <w:szCs w:val="21"/>
          <w:highlight w:val="none"/>
          <w:lang w:val="en-US" w:eastAsia="zh-CN"/>
        </w:rPr>
        <w:t>或服务</w:t>
      </w:r>
      <w:r>
        <w:rPr>
          <w:rFonts w:hint="eastAsia" w:ascii="宋体" w:hAnsi="宋体"/>
          <w:color w:val="auto"/>
          <w:sz w:val="21"/>
          <w:szCs w:val="21"/>
          <w:highlight w:val="none"/>
        </w:rPr>
        <w:t>进行投标，但不得将同一个包中的内容拆开投标，将同一个包内容拆开的投标将按无效投标处理。</w:t>
      </w:r>
    </w:p>
    <w:p>
      <w:pPr>
        <w:spacing w:line="360" w:lineRule="auto"/>
        <w:rPr>
          <w:rFonts w:hint="eastAsia" w:ascii="宋体" w:hAnsi="宋体"/>
          <w:b/>
          <w:color w:val="auto"/>
          <w:sz w:val="21"/>
          <w:szCs w:val="21"/>
          <w:highlight w:val="none"/>
        </w:rPr>
      </w:pPr>
      <w:bookmarkStart w:id="23" w:name="_Toc52064305"/>
      <w:bookmarkStart w:id="24" w:name="_Toc52064848"/>
      <w:bookmarkStart w:id="25" w:name="_Toc48301712"/>
      <w:r>
        <w:rPr>
          <w:rFonts w:hint="eastAsia" w:ascii="宋体" w:hAnsi="宋体"/>
          <w:b/>
          <w:color w:val="auto"/>
          <w:sz w:val="21"/>
          <w:szCs w:val="21"/>
          <w:highlight w:val="none"/>
        </w:rPr>
        <w:t>1.13联合体投标的规定</w:t>
      </w:r>
      <w:bookmarkEnd w:id="23"/>
      <w:bookmarkEnd w:id="24"/>
      <w:bookmarkEnd w:id="25"/>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本次采购活动不接受联合体投标。</w:t>
      </w:r>
    </w:p>
    <w:p>
      <w:pPr>
        <w:spacing w:line="360" w:lineRule="auto"/>
        <w:rPr>
          <w:rFonts w:hint="eastAsia" w:ascii="宋体" w:hAnsi="宋体"/>
          <w:b/>
          <w:color w:val="auto"/>
          <w:sz w:val="21"/>
          <w:szCs w:val="21"/>
          <w:highlight w:val="none"/>
        </w:rPr>
      </w:pPr>
      <w:bookmarkStart w:id="26" w:name="_Toc48301713"/>
      <w:bookmarkStart w:id="27" w:name="_Toc52064306"/>
      <w:bookmarkStart w:id="28" w:name="_Toc52064849"/>
      <w:r>
        <w:rPr>
          <w:rFonts w:hint="eastAsia" w:ascii="宋体" w:hAnsi="宋体"/>
          <w:b/>
          <w:color w:val="auto"/>
          <w:sz w:val="21"/>
          <w:szCs w:val="21"/>
          <w:highlight w:val="none"/>
        </w:rPr>
        <w:t>1.14所涉及的知识产权</w:t>
      </w:r>
      <w:bookmarkEnd w:id="26"/>
      <w:bookmarkEnd w:id="27"/>
      <w:bookmarkEnd w:id="28"/>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1.14.1投标人应保证对本项目投标的任何货物（包括部分使用）时，不会产生因第三方提出侵犯其专利权、商标权或其它知识产权而引起的法律和经济纠纷，否则，由投标人承担所有相关责任。</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1.14.2采购人享有本项目实施过程中产生的知识成果及知识产权。</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1.14.3投标人如欲在项目实施过程中采用自有知识成果，需在投标文件中声明并提供知识产权和市场准入的相关证明文件。使用该知识成果后，投标人需提供和开放开发接口和开发手册等技术文档，并承诺提供无限期技术支持，采购人享有永久使用权。</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eastAsia="宋体" w:cs="宋体"/>
          <w:color w:val="auto"/>
          <w:szCs w:val="21"/>
          <w:highlight w:val="none"/>
          <w:lang w:val="en-US" w:eastAsia="zh-CN"/>
        </w:rPr>
        <w:t>1.14.4如采用投标人所不拥有的知识产权，则在投标报价中必须包括合法获取</w:t>
      </w:r>
      <w:r>
        <w:rPr>
          <w:rFonts w:hint="eastAsia" w:ascii="宋体" w:hAnsi="宋体"/>
          <w:color w:val="auto"/>
          <w:sz w:val="21"/>
          <w:szCs w:val="21"/>
          <w:highlight w:val="none"/>
        </w:rPr>
        <w:t>该知识产权无限制使用的相关费用。</w:t>
      </w:r>
    </w:p>
    <w:p>
      <w:pPr>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1.15应落实的政府采购政策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1.15.1对中小企业、监狱企业、残疾人福利性单位的优惠政策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（1）根据《政府采购促进中小企业发展管理办法》（财库〔2020〕46号）</w:t>
      </w:r>
      <w:r>
        <w:rPr>
          <w:rFonts w:hint="eastAsia" w:ascii="宋体" w:hAnsi="宋体" w:cs="宋体"/>
          <w:color w:val="auto"/>
          <w:szCs w:val="21"/>
          <w:highlight w:val="none"/>
          <w:lang w:val="en-US" w:eastAsia="zh-CN"/>
        </w:rPr>
        <w:t>、《关于进一步加大政府采购支持中小企业力度的通知》财库〔2022〕19号的相关规定</w:t>
      </w:r>
      <w:r>
        <w:rPr>
          <w:rFonts w:hint="eastAsia" w:ascii="宋体" w:hAnsi="宋体" w:eastAsia="宋体" w:cs="宋体"/>
          <w:color w:val="auto"/>
          <w:szCs w:val="21"/>
          <w:highlight w:val="none"/>
          <w:lang w:val="en-US" w:eastAsia="zh-CN"/>
        </w:rPr>
        <w:t>，提供小微企业制造的货物、承建的工程或者承接的服务（不包括使用大型、中型企业商号或者注册商标的货物）参与政府采购活动时对小型和微型企业产品的报价给予10%~20%的扣除（实际价格扣除比例以</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第三章  评标标准及方法</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中的具体规定为准），用扣除后的价格参加评审。同时，依据该办法第四条第二款规定在货物采购项目中，投标人提供的货物既有中小企业制造货物，也有大型企业制造货物的，不享受中小企业扶持政策。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（2）根据财政部、司法部联合下发的《关于政府采购支持监狱企业发展有关问题的通知》（财库〔2014〕68号）的规定，监狱企业视同小型、微型企业。</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1.15.2节能、环保产品采购政策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（3）《节能产品政府采购品目清单》见财政部、发展改革委《关于印发节能产品政府采购品目清单的通知》（财库〔2019〕19号）附件。</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（4）《环境标志产品政府采购品目清单》见财政部、生态环境部《关于印发环境标志产品政府采购品目清单的通知》（财库〔2019〕18号）附件。</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eastAsia="宋体" w:cs="宋体"/>
          <w:color w:val="auto"/>
          <w:szCs w:val="21"/>
          <w:highlight w:val="none"/>
          <w:lang w:val="en-US" w:eastAsia="zh-CN"/>
        </w:rPr>
        <w:t>（5）“国家确定的认证机构”名单见市场监管总局《关于发布参与实施政府采购节能产品、环境标志产品认证机构名录的公告》（2019年第16号）。</w:t>
      </w:r>
    </w:p>
    <w:p>
      <w:pPr>
        <w:spacing w:line="360" w:lineRule="auto"/>
        <w:ind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1.15.3陕西省中小企业政府采购信用融资办法</w:t>
      </w:r>
    </w:p>
    <w:p>
      <w:pPr>
        <w:spacing w:line="360" w:lineRule="auto"/>
        <w:ind w:firstLine="525" w:firstLineChars="250"/>
        <w:rPr>
          <w:rFonts w:hint="eastAsia" w:ascii="宋体" w:hAnsi="宋体" w:eastAsia="宋体" w:cs="宋体"/>
          <w:color w:val="auto"/>
          <w:szCs w:val="21"/>
          <w:highlight w:val="none"/>
          <w:lang w:val="en-US" w:eastAsia="zh-CN"/>
        </w:rPr>
      </w:pPr>
      <w:r>
        <w:rPr>
          <w:rFonts w:hint="eastAsia" w:ascii="宋体" w:hAnsi="宋体"/>
          <w:color w:val="auto"/>
          <w:sz w:val="21"/>
          <w:szCs w:val="21"/>
          <w:highlight w:val="none"/>
        </w:rPr>
        <w:t>为进</w:t>
      </w:r>
      <w:r>
        <w:rPr>
          <w:rFonts w:hint="eastAsia" w:ascii="宋体" w:hAnsi="宋体" w:eastAsia="宋体" w:cs="宋体"/>
          <w:color w:val="auto"/>
          <w:szCs w:val="21"/>
          <w:highlight w:val="none"/>
          <w:lang w:val="en-US" w:eastAsia="zh-CN"/>
        </w:rPr>
        <w:t>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360" w:lineRule="auto"/>
        <w:rPr>
          <w:rFonts w:ascii="宋体" w:hAnsi="宋体"/>
          <w:b/>
          <w:bCs/>
          <w:color w:val="auto"/>
          <w:sz w:val="21"/>
          <w:szCs w:val="21"/>
          <w:highlight w:val="none"/>
        </w:rPr>
      </w:pPr>
      <w:r>
        <w:rPr>
          <w:rFonts w:hint="eastAsia" w:ascii="宋体" w:hAnsi="宋体"/>
          <w:b/>
          <w:bCs/>
          <w:color w:val="auto"/>
          <w:sz w:val="21"/>
          <w:szCs w:val="21"/>
          <w:highlight w:val="none"/>
        </w:rPr>
        <w:t>1.16相同品牌认定</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1.16.1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根据报价由低到高的方式，如报价相同采取随机抽取方式）确定一个投标人获得中标人推荐资格，招标文件未规定的采取随机抽取方式确定，其他同品牌投标人不作为中标候选人。 </w:t>
      </w:r>
    </w:p>
    <w:p>
      <w:pPr>
        <w:pStyle w:val="3"/>
        <w:bidi w:val="0"/>
        <w:ind w:left="0" w:firstLine="0"/>
        <w:rPr>
          <w:rFonts w:hint="eastAsia" w:ascii="宋体" w:hAnsi="宋体" w:eastAsia="宋体"/>
          <w:color w:val="auto"/>
          <w:sz w:val="22"/>
          <w:szCs w:val="16"/>
          <w:highlight w:val="none"/>
        </w:rPr>
      </w:pPr>
      <w:r>
        <w:rPr>
          <w:rFonts w:hint="eastAsia" w:ascii="宋体" w:hAnsi="宋体" w:eastAsia="宋体"/>
          <w:color w:val="auto"/>
          <w:sz w:val="22"/>
          <w:szCs w:val="16"/>
          <w:highlight w:val="none"/>
        </w:rPr>
        <w:t>二、招标文件</w:t>
      </w:r>
      <w:bookmarkEnd w:id="10"/>
      <w:bookmarkEnd w:id="11"/>
      <w:bookmarkEnd w:id="12"/>
      <w:bookmarkEnd w:id="13"/>
      <w:bookmarkEnd w:id="14"/>
      <w:bookmarkEnd w:id="15"/>
      <w:bookmarkEnd w:id="16"/>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招标文件的构成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2.1.1</w:t>
      </w:r>
      <w:r>
        <w:rPr>
          <w:rFonts w:hint="eastAsia" w:ascii="宋体" w:hAnsi="宋体" w:cs="宋体"/>
          <w:color w:val="auto"/>
          <w:szCs w:val="21"/>
          <w:highlight w:val="none"/>
        </w:rPr>
        <w:t>招标文件包括下列内容：</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第一章  招标公告</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投标人须知</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第三章  评标标准及方法</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第四章  采购内容及要求</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第五章  合同条款</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第六章  投标文件格式</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第七章  质疑和投诉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以书面形式发给投标人的解释、修改、补充通知等也是本招标文件的正式组成部分。</w:t>
      </w:r>
    </w:p>
    <w:p>
      <w:pPr>
        <w:spacing w:line="360" w:lineRule="auto"/>
        <w:ind w:firstLine="420" w:firstLineChars="200"/>
        <w:jc w:val="left"/>
        <w:rPr>
          <w:rFonts w:hint="eastAsia" w:ascii="宋体" w:hAnsi="宋体" w:cs="宋体"/>
          <w:color w:val="auto"/>
          <w:szCs w:val="21"/>
          <w:highlight w:val="none"/>
        </w:rPr>
      </w:pPr>
      <w:bookmarkStart w:id="29" w:name="_Toc52064292"/>
      <w:bookmarkStart w:id="30" w:name="_Toc52064835"/>
      <w:bookmarkStart w:id="31" w:name="_Toc48301700"/>
      <w:r>
        <w:rPr>
          <w:rFonts w:hint="eastAsia" w:ascii="宋体" w:hAnsi="宋体" w:cs="宋体"/>
          <w:color w:val="auto"/>
          <w:szCs w:val="21"/>
          <w:highlight w:val="none"/>
        </w:rPr>
        <w:t>2.2招标文件澄清或者修改</w:t>
      </w:r>
      <w:bookmarkEnd w:id="29"/>
      <w:bookmarkEnd w:id="30"/>
      <w:bookmarkEnd w:id="31"/>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2.2.1采购代理机构可以对已发出的招标文件进行必要澄清和修改，但不得改变采购标的和资格条件。澄清或者修改应当在原公告发布媒体上发布澄清公告。澄清或修改的内容为招标文件组成部分。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2.2.2澄清或者修改的内容可能影响投标文件编制的，采购代理机构应当在投标截止时间至少15日前，以书面形式或者电子邮件通知所有获取招标文件的潜在投标人；不足15日的，采购代理机构应当顺延提交投标文件的截止时间。</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2.2.3获取招标文件的潜在投标人在投标截止时间15日前收到的澄清或者修改，要求潜在投标人以书面或电子邮件形式回复和盖章确认，方式为原件送达采购代理机构或者盖章后的PDF格式文档通过电子邮件回复至代理机构规定的邮箱地址。招标文件澄清或者修改的书面或电子邮件通知与潜在投标人预留的联系方式无法联系或发送，或者潜在投标人对已发出的招标文件澄清或者修改的书面或电子邮件通知未以书面或电子邮件形式按照要求回复和确认的，采购代理机构视同潜在投标人对招标文件澄清或者修改的书面或电子邮件通知已经认可。</w:t>
      </w:r>
    </w:p>
    <w:p>
      <w:pPr>
        <w:spacing w:line="360" w:lineRule="auto"/>
        <w:ind w:firstLine="420" w:firstLineChars="200"/>
        <w:jc w:val="left"/>
        <w:rPr>
          <w:rFonts w:hint="eastAsia" w:ascii="宋体" w:hAnsi="宋体" w:eastAsia="宋体" w:cs="宋体"/>
          <w:color w:val="auto"/>
          <w:szCs w:val="21"/>
          <w:highlight w:val="none"/>
          <w:lang w:val="en-US" w:eastAsia="zh-CN"/>
        </w:rPr>
      </w:pPr>
      <w:bookmarkStart w:id="32" w:name="_Toc52064293"/>
      <w:bookmarkStart w:id="33" w:name="_Toc52064836"/>
      <w:r>
        <w:rPr>
          <w:rFonts w:hint="eastAsia" w:ascii="宋体" w:hAnsi="宋体" w:eastAsia="宋体" w:cs="宋体"/>
          <w:color w:val="auto"/>
          <w:szCs w:val="21"/>
          <w:highlight w:val="none"/>
          <w:lang w:val="en-US" w:eastAsia="zh-CN"/>
        </w:rPr>
        <w:t>2.3对采购代理机构书面通知的回复和确认</w:t>
      </w:r>
      <w:bookmarkEnd w:id="32"/>
      <w:bookmarkEnd w:id="33"/>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本项目采购活动中，采购代理机构按照有关法规和规定对获取招标文件的潜在投标人发出的书面或者电子邮件通知要求回复和盖章并签字确认的，潜在投标人应当在规定时间内以书面或电子邮件形式回复和盖章并签字确认，方式为原件送达采购代理机构或者盖章并签字后的PDF格式文档通过电子邮件回复至采购代理机构规定的邮箱地址。书面或电子邮件/电话通知与潜在投标人预留的联系方式无法联系或发送，或者潜在投标人对已发出的书面通知未以书面形式按照要求回复和确认的，采购代理机构视同潜在投标人对采购代理机构书面或电子邮件通知已经认可。</w:t>
      </w:r>
    </w:p>
    <w:p>
      <w:pPr>
        <w:pStyle w:val="3"/>
        <w:bidi w:val="0"/>
        <w:ind w:left="0" w:firstLine="0"/>
        <w:rPr>
          <w:rFonts w:hint="eastAsia" w:ascii="宋体" w:hAnsi="宋体" w:eastAsia="宋体"/>
          <w:color w:val="auto"/>
          <w:sz w:val="22"/>
          <w:szCs w:val="16"/>
          <w:highlight w:val="none"/>
        </w:rPr>
      </w:pPr>
      <w:bookmarkStart w:id="34" w:name="_Toc67552689"/>
      <w:bookmarkStart w:id="35" w:name="_Toc269407613"/>
      <w:bookmarkStart w:id="36" w:name="_Toc235544704"/>
      <w:bookmarkStart w:id="37" w:name="_Toc54404816"/>
      <w:bookmarkStart w:id="38" w:name="_Toc250572265"/>
      <w:bookmarkStart w:id="39" w:name="_Toc14169"/>
      <w:bookmarkStart w:id="40" w:name="_Toc238899379"/>
      <w:r>
        <w:rPr>
          <w:rFonts w:hint="eastAsia" w:ascii="宋体" w:hAnsi="宋体" w:eastAsia="宋体"/>
          <w:color w:val="auto"/>
          <w:sz w:val="22"/>
          <w:szCs w:val="16"/>
          <w:highlight w:val="none"/>
        </w:rPr>
        <w:t>三、投标文件</w:t>
      </w:r>
      <w:bookmarkEnd w:id="34"/>
      <w:bookmarkEnd w:id="35"/>
      <w:bookmarkEnd w:id="36"/>
      <w:bookmarkEnd w:id="37"/>
      <w:bookmarkEnd w:id="38"/>
      <w:bookmarkEnd w:id="39"/>
      <w:bookmarkEnd w:id="40"/>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投标要求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.1 投标人获取招标文件后，应仔细检查招标文件的所有内容，如有残缺、印刷不清等问题应</w:t>
      </w:r>
      <w:r>
        <w:rPr>
          <w:rFonts w:hint="eastAsia" w:ascii="宋体" w:hAnsi="宋体" w:cs="宋体"/>
          <w:color w:val="auto"/>
          <w:szCs w:val="21"/>
          <w:highlight w:val="none"/>
          <w:lang w:val="en-US" w:eastAsia="zh-CN"/>
        </w:rPr>
        <w:t>及时</w:t>
      </w:r>
      <w:r>
        <w:rPr>
          <w:rFonts w:hint="eastAsia" w:ascii="宋体" w:hAnsi="宋体" w:cs="宋体"/>
          <w:color w:val="auto"/>
          <w:szCs w:val="21"/>
          <w:highlight w:val="none"/>
        </w:rPr>
        <w:t>向</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提出，否则，由此引起的损失由投标人自行承担。投标人同时应认真阅读招标文件中的所有内容、格式、条款和规范要求，按招标文件的要求编写和提交投标文件，并保证所提供的全部资料的真实性。若投标人的投标文件没有按招标文件要求提交，或投标文件没有对招标文件作出实质性的响应等，根据相关条款规定其投标可能被拒绝。</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投标文件的组成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投标文件由以下内容、并按顺序以及提供的格式（如有）组成：</w:t>
      </w:r>
    </w:p>
    <w:p>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一  投标函</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二  </w:t>
      </w:r>
      <w:r>
        <w:rPr>
          <w:rFonts w:hint="eastAsia" w:ascii="宋体" w:hAnsi="宋体" w:cs="宋体"/>
          <w:color w:val="auto"/>
          <w:szCs w:val="21"/>
          <w:highlight w:val="none"/>
          <w:lang w:val="en-US" w:eastAsia="zh-CN"/>
        </w:rPr>
        <w:t>开标一览表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  投标人资格</w:t>
      </w:r>
    </w:p>
    <w:p>
      <w:pPr>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 xml:space="preserve">四  </w:t>
      </w:r>
      <w:r>
        <w:rPr>
          <w:rFonts w:hint="eastAsia" w:ascii="宋体" w:hAnsi="宋体" w:cs="宋体"/>
          <w:bCs/>
          <w:color w:val="auto"/>
          <w:szCs w:val="21"/>
          <w:highlight w:val="none"/>
          <w:lang w:val="en-US" w:eastAsia="zh-CN"/>
        </w:rPr>
        <w:t>技术方案</w:t>
      </w:r>
    </w:p>
    <w:p>
      <w:pPr>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五</w:t>
      </w:r>
      <w:r>
        <w:rPr>
          <w:rFonts w:hint="eastAsia" w:ascii="宋体" w:hAnsi="宋体" w:cs="宋体"/>
          <w:bCs/>
          <w:color w:val="auto"/>
          <w:szCs w:val="21"/>
          <w:highlight w:val="none"/>
        </w:rPr>
        <w:t xml:space="preserve">  商务</w:t>
      </w:r>
      <w:r>
        <w:rPr>
          <w:rFonts w:hint="eastAsia" w:ascii="宋体" w:hAnsi="宋体" w:cs="宋体"/>
          <w:bCs/>
          <w:color w:val="auto"/>
          <w:szCs w:val="21"/>
          <w:highlight w:val="none"/>
          <w:lang w:val="en-US" w:eastAsia="zh-CN"/>
        </w:rPr>
        <w:t>响应</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六</w:t>
      </w:r>
      <w:r>
        <w:rPr>
          <w:rFonts w:hint="eastAsia" w:ascii="宋体" w:hAnsi="宋体" w:cs="宋体"/>
          <w:bCs/>
          <w:color w:val="auto"/>
          <w:szCs w:val="21"/>
          <w:highlight w:val="none"/>
        </w:rPr>
        <w:t xml:space="preserve">  </w:t>
      </w:r>
      <w:r>
        <w:rPr>
          <w:rFonts w:hint="eastAsia" w:ascii="宋体" w:hAnsi="宋体" w:cs="宋体"/>
          <w:bCs/>
          <w:color w:val="auto"/>
          <w:szCs w:val="21"/>
          <w:highlight w:val="none"/>
          <w:lang w:val="zh-CN" w:eastAsia="zh-CN"/>
        </w:rPr>
        <w:t>提供政府采购政策等证明材料</w:t>
      </w:r>
    </w:p>
    <w:p>
      <w:pPr>
        <w:bidi w:val="0"/>
        <w:rPr>
          <w:rFonts w:hint="default" w:eastAsia="宋体"/>
          <w:color w:val="auto"/>
          <w:highlight w:val="none"/>
          <w:lang w:val="en-US" w:eastAsia="zh-CN"/>
        </w:rPr>
      </w:pPr>
      <w:r>
        <w:rPr>
          <w:rFonts w:hint="eastAsia"/>
          <w:color w:val="auto"/>
          <w:highlight w:val="none"/>
          <w:lang w:val="en-US" w:eastAsia="zh-CN"/>
        </w:rPr>
        <w:t xml:space="preserve">    七  投标人认为需要提供的其他资料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投标文件格式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.1 投标人提供的投标文件应设置目录且逐页标注页码。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.2 投标人应严格按招标文件中提供的投标文件格式填写投标函、技术要求响应表、投标报价清单等。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 xml:space="preserve"> 投标报价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.1投标报价不得超过本项目</w:t>
      </w:r>
      <w:r>
        <w:rPr>
          <w:rFonts w:hint="eastAsia" w:ascii="宋体" w:hAnsi="宋体" w:cs="宋体"/>
          <w:color w:val="auto"/>
          <w:szCs w:val="21"/>
          <w:highlight w:val="none"/>
          <w:lang w:eastAsia="zh-CN"/>
        </w:rPr>
        <w:t>最高限价</w:t>
      </w:r>
      <w:r>
        <w:rPr>
          <w:rFonts w:hint="eastAsia" w:ascii="宋体" w:hAnsi="宋体" w:cs="宋体"/>
          <w:color w:val="auto"/>
          <w:szCs w:val="21"/>
          <w:highlight w:val="none"/>
        </w:rPr>
        <w:t>，否则按废标处理。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.2投标人应列出详细的清单及报价，并对此项目所列的所有货物及伴随服务进行报价。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.3 任何有选择的投标报价招标人不接受。</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.4 投标报价为完成本项目所发生的</w:t>
      </w:r>
      <w:r>
        <w:rPr>
          <w:rFonts w:hint="eastAsia" w:ascii="宋体" w:hAnsi="宋体" w:cs="宋体"/>
          <w:color w:val="auto"/>
          <w:szCs w:val="21"/>
          <w:highlight w:val="none"/>
          <w:lang w:eastAsia="zh-CN"/>
        </w:rPr>
        <w:t>全部费用，</w:t>
      </w:r>
      <w:r>
        <w:rPr>
          <w:rFonts w:hint="eastAsia" w:ascii="宋体" w:hAnsi="宋体" w:cs="宋体"/>
          <w:color w:val="auto"/>
          <w:szCs w:val="21"/>
          <w:highlight w:val="none"/>
        </w:rPr>
        <w:t>包括但不限于</w:t>
      </w:r>
      <w:r>
        <w:rPr>
          <w:rFonts w:hint="eastAsia" w:ascii="宋体" w:hAnsi="宋体" w:cs="宋体"/>
          <w:color w:val="auto"/>
          <w:szCs w:val="21"/>
          <w:highlight w:val="none"/>
          <w:lang w:eastAsia="zh-CN"/>
        </w:rPr>
        <w:t>项目开发、技术资料提供、技术服务配合、税金及质保期内产生的一切费用及人员培训</w:t>
      </w:r>
      <w:r>
        <w:rPr>
          <w:rFonts w:hint="eastAsia" w:ascii="宋体" w:hAnsi="宋体" w:cs="宋体"/>
          <w:color w:val="auto"/>
          <w:szCs w:val="21"/>
          <w:highlight w:val="none"/>
        </w:rPr>
        <w:t>等所有费用，如有遗漏，视为已包含在内。</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投标人应充分考虑各种费用、市场风险、责任、合同主要条款和付款条件等。投标报价不受市场价格变化的影响，一次包死。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投标货物符合招标文件规定的技术规格参数及其他要求。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.1投标人应对招标文件中的各项条款做出清晰准确的答复。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.2 上述文件可以是文字资料、图纸和数据，并须提供货物主要性能的详细描述。</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3.6投标保证金</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本项目不收取投标保证金。</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投标有效期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.1 投标有效期：见投标人须知前附表。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.2 特殊情况下，投标人可于投标有效期满之前要求投标人同意延长有效期，要求与答复均以书面形式。投标人可以拒绝上述要求而其投标保证金将予以退还。对于同意该要求的投标人，既不要求也不允许其修改投标文件，但将要求其相应延长投标保证金的有效期，有关退还和不予退还投标保证金的规定在投标有效期的延长期内继续有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投标文件的签署及规定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.1 投标人须按照招标文件的份数要求提供投标文件，在每一份投标文件上要明确注明“正本”、“副本”字样，正副本内容不致的，以正本为准。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.2 投标文件正本和副本均应使用不能擦去的墨水打印或书写，并由投标人法定代表人或其正式授权的委托代理人签署，且加盖投标人公章。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.3 投标人除对错处作必要修改外，投标文件中不许有加行、涂抹或改写。若有修改须由投标文件</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或其委托代理人签字。</w:t>
      </w:r>
    </w:p>
    <w:p>
      <w:pPr>
        <w:spacing w:line="360" w:lineRule="auto"/>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.4 以电报、电话、传真、电子邮件等形式投标概不接受。</w:t>
      </w:r>
      <w:bookmarkStart w:id="41" w:name="_Toc235544705"/>
      <w:bookmarkStart w:id="42" w:name="_Toc269407614"/>
      <w:bookmarkStart w:id="43" w:name="_Toc250572266"/>
      <w:bookmarkStart w:id="44" w:name="_Toc54404817"/>
      <w:bookmarkStart w:id="45" w:name="_Toc238899380"/>
      <w:bookmarkStart w:id="46" w:name="_Toc67552690"/>
      <w:bookmarkStart w:id="47" w:name="_Toc12453"/>
    </w:p>
    <w:p>
      <w:pPr>
        <w:pStyle w:val="3"/>
        <w:bidi w:val="0"/>
        <w:ind w:left="0" w:firstLine="0"/>
        <w:rPr>
          <w:rFonts w:hint="eastAsia" w:ascii="宋体" w:hAnsi="宋体" w:eastAsia="宋体"/>
          <w:color w:val="auto"/>
          <w:sz w:val="22"/>
          <w:szCs w:val="16"/>
          <w:highlight w:val="none"/>
        </w:rPr>
      </w:pPr>
      <w:r>
        <w:rPr>
          <w:rFonts w:hint="eastAsia" w:ascii="宋体" w:hAnsi="宋体" w:eastAsia="宋体"/>
          <w:color w:val="auto"/>
          <w:sz w:val="22"/>
          <w:szCs w:val="16"/>
          <w:highlight w:val="none"/>
        </w:rPr>
        <w:t>四、投标文件的递交</w:t>
      </w:r>
      <w:bookmarkEnd w:id="41"/>
      <w:bookmarkEnd w:id="42"/>
      <w:bookmarkEnd w:id="43"/>
      <w:bookmarkEnd w:id="44"/>
      <w:bookmarkEnd w:id="45"/>
      <w:bookmarkEnd w:id="46"/>
      <w:bookmarkEnd w:id="47"/>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投标文件的密封、标记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.1 投标人应将正、副本分别</w:t>
      </w:r>
      <w:r>
        <w:rPr>
          <w:rFonts w:hint="eastAsia" w:ascii="宋体" w:hAnsi="宋体" w:cs="宋体"/>
          <w:color w:val="auto"/>
          <w:szCs w:val="21"/>
          <w:highlight w:val="none"/>
          <w:lang w:val="en-US" w:eastAsia="zh-CN"/>
        </w:rPr>
        <w:t>胶装成册</w:t>
      </w:r>
      <w:r>
        <w:rPr>
          <w:rFonts w:hint="eastAsia" w:ascii="宋体" w:hAnsi="宋体" w:cs="宋体"/>
          <w:color w:val="auto"/>
          <w:szCs w:val="21"/>
          <w:highlight w:val="none"/>
        </w:rPr>
        <w:t>，密封包装，密封袋上标明的内容见投标人须知前附表，并在密封袋封口处加盖投标人公章。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.2 如果未按上述规定进行密封和标记，招标人可以拒收或者告知投标人，招标人将不承担投标文件错放、提前开封、泄露商业机密等任何责任。对于提前开封的投标文件将视为投标无效。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递交投标文件的截止时间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.1 投标文件由专人提交，投标人应将投标文件按投标人须知的规定进行密封和标记，按投标人须知前附表要求的时间、地点送交</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，超过规定时限送交的投标文件，招标人将不予接收。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.2 招标人可以以修改补充通知的方式，延长提交投标文件的截止时间。在此情况下，投标人的所有权利和义务以及投标人受制约的截止时间，均以延长后新的投标截止时间为准。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4.3</w:t>
      </w:r>
      <w:r>
        <w:rPr>
          <w:rFonts w:hint="eastAsia" w:ascii="宋体" w:hAnsi="宋体" w:cs="宋体"/>
          <w:color w:val="auto"/>
          <w:szCs w:val="21"/>
          <w:highlight w:val="none"/>
        </w:rPr>
        <w:t>投标文件有下列情形之一的，招标人不予受理：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（一）逾期送达的或者未送达指定地点的；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（二）未按招标文件要求密封的。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投标文件的修改和撤销</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.1 投标人在提交投标文件以后，在规定的投标截止时间之前，可以书面形式补充修改或撤回已提交的投标文件，并以书面形式通知招标人。补充、修改的内容作为投标文件的组成部分。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.2 投标人对投标文件的补充、修改，应按本须知有关规定密封、标记和提交，并在内外层投标文件密封袋上清楚标明“补充、修改”或“撤回”字样。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.3 投标截止时间以后，投标人不得补充、修改投标文件。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.4 投标人不得在投标有效期内，撤销投标文件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否则招标人将不予退还其投标保证金。</w:t>
      </w:r>
    </w:p>
    <w:p>
      <w:pPr>
        <w:pStyle w:val="3"/>
        <w:bidi w:val="0"/>
        <w:ind w:left="0" w:firstLine="0"/>
        <w:rPr>
          <w:rFonts w:hint="eastAsia" w:ascii="宋体" w:hAnsi="宋体" w:eastAsia="宋体"/>
          <w:color w:val="auto"/>
          <w:sz w:val="22"/>
          <w:szCs w:val="16"/>
          <w:highlight w:val="none"/>
        </w:rPr>
      </w:pPr>
      <w:bookmarkStart w:id="48" w:name="_Toc238899381"/>
      <w:bookmarkStart w:id="49" w:name="_Toc67552691"/>
      <w:bookmarkStart w:id="50" w:name="_Toc235544706"/>
      <w:bookmarkStart w:id="51" w:name="_Toc54404818"/>
      <w:bookmarkStart w:id="52" w:name="_Toc9240"/>
      <w:bookmarkStart w:id="53" w:name="_Toc269407615"/>
      <w:bookmarkStart w:id="54" w:name="_Toc250572267"/>
      <w:r>
        <w:rPr>
          <w:rFonts w:hint="eastAsia" w:ascii="宋体" w:hAnsi="宋体" w:eastAsia="宋体"/>
          <w:color w:val="auto"/>
          <w:sz w:val="22"/>
          <w:szCs w:val="16"/>
          <w:highlight w:val="none"/>
        </w:rPr>
        <w:t>五、开标</w:t>
      </w:r>
      <w:bookmarkEnd w:id="48"/>
      <w:bookmarkEnd w:id="49"/>
      <w:bookmarkEnd w:id="50"/>
      <w:bookmarkEnd w:id="51"/>
      <w:bookmarkEnd w:id="52"/>
      <w:bookmarkEnd w:id="53"/>
      <w:bookmarkEnd w:id="54"/>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开标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.1 招标人在规定的投标截止时间（开标时间）和投标人须知前附表规定的地点公开开标，并邀请所有投标人的</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或其委托代理人准时参加。</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5.2采购代理机构在招标文件规定的时间和地点组织公开开标，邀请投标人代表或法定代表人参加；</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5.3开标时，应当由投标人或者其推选的代表检查投标文件的密封情况；经确认无误后，由采购代理机构工作人员当众拆封，宣布投标人名称、投标价格和招标文件规定的需要宣布的其他内容；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5.4投标人不足三家不得开标；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5.5开标过程应当由采购代理机构负责记录，由参加开标的各投标人代表和相关工作人员签字确认；</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5.6投标人代表对开标过程和开标记录有疑义，以及认为采购代理机构相关工作人员有需要回避的情形的，应当场提出询问或者回避申请；</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5.7投标人未参加开标的，视同认可开标结果；</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5.8开标时，“</w:t>
      </w:r>
      <w:bookmarkStart w:id="288" w:name="_GoBack"/>
      <w:bookmarkEnd w:id="288"/>
      <w:r>
        <w:rPr>
          <w:rFonts w:hint="eastAsia" w:ascii="宋体" w:hAnsi="宋体" w:cs="宋体"/>
          <w:color w:val="auto"/>
          <w:szCs w:val="21"/>
          <w:highlight w:val="none"/>
          <w:lang w:eastAsia="zh-CN"/>
        </w:rPr>
        <w:t>开标一览表</w:t>
      </w:r>
      <w:r>
        <w:rPr>
          <w:rFonts w:hint="eastAsia" w:ascii="宋体" w:hAnsi="宋体" w:cs="宋体"/>
          <w:color w:val="auto"/>
          <w:szCs w:val="21"/>
          <w:highlight w:val="none"/>
        </w:rPr>
        <w:t>”中的大写金额与小写金额不一致的，以大写金额为准；总价金额与按单价计算的汇总金额不一致的，以单价计算的汇总金额为准；单价金额有明显小数点错误的，以总价为准，并修改单价。按上述修正错误的方法调整的投标报价应对投标人具有约束力，如果投标人不接受修正后的价格，其投标将被拒绝；</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5.9开标过程应当全程录音录像并保存归档。</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六、</w:t>
      </w:r>
      <w:r>
        <w:rPr>
          <w:rFonts w:hint="eastAsia" w:ascii="宋体" w:hAnsi="宋体" w:eastAsia="宋体"/>
          <w:color w:val="auto"/>
          <w:sz w:val="22"/>
          <w:szCs w:val="16"/>
          <w:highlight w:val="none"/>
          <w:lang w:val="en-US" w:eastAsia="zh-CN"/>
        </w:rPr>
        <w:t>评标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 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 评标过程的保密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6.2.1开标后，直至授予中标人合同为止，凡属于对投标文件的审查、澄清、评价和比较的有关资料以及中标候选人的推荐情况，与评标有关的其他任何情况均严格保密。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6.2.2在投标文件的评审和比较、中标候选人推荐以及授予合同的过程中，投标人向招标人和评标委员会施加影响的任何行为，都将会导致其投标被拒绝。</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6.2.3中标人确定后，招标人不对未中标人就评标过程以及未能中标原因作出任何解释,亦不退回投标文件。未中标人不得向评标委员会组成人员和招标人或其他有关人员索问评标过程的情况和材料。</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七、</w:t>
      </w:r>
      <w:r>
        <w:rPr>
          <w:rFonts w:hint="eastAsia" w:ascii="宋体" w:hAnsi="宋体" w:eastAsia="宋体"/>
          <w:color w:val="auto"/>
          <w:sz w:val="22"/>
          <w:szCs w:val="16"/>
          <w:highlight w:val="none"/>
          <w:lang w:val="en-US" w:eastAsia="zh-CN"/>
        </w:rPr>
        <w:t>中标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7.1采购代理机构在评标结束后2个工作日内将评标报告送采购人；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7.2采购人在收到评标报告后5个工作日内，按照评标报告中推荐的中标候选人顺序确定中标人；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7.3根据采购人确定的中标人，采购代理机构在采购人确定中标人之日起2个工作日内在</w:t>
      </w:r>
      <w:r>
        <w:rPr>
          <w:rFonts w:hint="eastAsia" w:ascii="宋体" w:hAnsi="宋体" w:cs="宋体"/>
          <w:color w:val="auto"/>
          <w:szCs w:val="21"/>
          <w:highlight w:val="none"/>
          <w:lang w:eastAsia="zh-CN"/>
        </w:rPr>
        <w:t>陕西省政府采购网</w:t>
      </w:r>
      <w:r>
        <w:rPr>
          <w:rFonts w:hint="eastAsia" w:ascii="宋体" w:hAnsi="宋体" w:cs="宋体"/>
          <w:color w:val="auto"/>
          <w:szCs w:val="21"/>
          <w:highlight w:val="none"/>
        </w:rPr>
        <w:t>上公告中标结果，同时向中标人发出中标通知书；</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7.4中标公告期限为1个工作日；</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7.5对未通过资格审查的投标人，采购代理机构应当告知其未通过的原因，以及未中标人的评审得分与排序；</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7.8中标通知书：</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7.8.1中标通知书为签订采购合同的依据，是合同的有效组成部分；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7.8.2中标通知书对采购人和中标人均具有法律效力。中标通知书发出后，采购人改变中标结果，或者中标人无正当理由放弃中标的，应当承担相应的法律责任；</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7.8.3中标人的投标文件本应作为无效投标处理或者有采购相关法律法规规章制度规定的中标无效情形的，采购代理机构在取得有权主体的认定以后，应当宣布发出的中标通知书无效，并收回发出的中标通知书（中标人也应当</w:t>
      </w:r>
      <w:r>
        <w:rPr>
          <w:rFonts w:hint="eastAsia" w:ascii="宋体" w:hAnsi="宋体" w:cs="宋体"/>
          <w:color w:val="auto"/>
          <w:szCs w:val="21"/>
          <w:highlight w:val="none"/>
          <w:lang w:val="en-US" w:eastAsia="zh-CN"/>
        </w:rPr>
        <w:t>交</w:t>
      </w:r>
      <w:r>
        <w:rPr>
          <w:rFonts w:hint="eastAsia" w:ascii="宋体" w:hAnsi="宋体" w:cs="宋体"/>
          <w:color w:val="auto"/>
          <w:szCs w:val="21"/>
          <w:highlight w:val="none"/>
        </w:rPr>
        <w:t>回），依法重新确定中标人或者重新开展采购活动。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7.9中标服务费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见投标人须知前附表</w:t>
      </w:r>
      <w:r>
        <w:rPr>
          <w:rFonts w:hint="eastAsia" w:ascii="宋体" w:hAnsi="宋体" w:cs="宋体"/>
          <w:color w:val="auto"/>
          <w:szCs w:val="21"/>
          <w:highlight w:val="none"/>
        </w:rPr>
        <w:t>。</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八、</w:t>
      </w:r>
      <w:r>
        <w:rPr>
          <w:rFonts w:hint="eastAsia" w:ascii="宋体" w:hAnsi="宋体" w:eastAsia="宋体"/>
          <w:color w:val="auto"/>
          <w:sz w:val="22"/>
          <w:szCs w:val="16"/>
          <w:highlight w:val="none"/>
          <w:lang w:val="en-US" w:eastAsia="zh-CN"/>
        </w:rPr>
        <w:t>合同授予</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8.1签订时间的约束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自中标通知书发出之日起30日内，按照招标文件和中标人投标文件的规定，采购人应当与中标人签订书面合同。采购人不得违法改变中标结果，中标人无正当理由不得放弃中标。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8.2签订内容的约束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8.2.1所签订的合同不得对招标文件确定的事项和中标人投标文件作实质性修改，中标人应当严格接受招标文件和中标人投标文件的约束，不得对投标产品的名称、型号规格、数量、技术规格、配置、商务和招标文件要求的内容做实质性变动。采购人不得向中标人提出任何不合理的要求作为签订合同的条件。</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8.2.2政府采购合同应当包括采购人与中标人的名称和住所、标的、数量、质量、价款或者报酬、履行期限及地点和方式、验收要求、违约责任、解决争议的方法等内容。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8.2.3采购人与中标人应当根据合同的约定依法履行合同义务。政府采购合同的履行、违约责任和解决争议的方法等适用《中华人民共和国民法典》。</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8.3合同履约的约束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8.3.1货物必须符合招标文件规定的国家相关标准、行业标准、地方标准或者其他标准、规范；</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8.3.2货物必须符合招标文件规定的质量、安全、技术规格、物理特性等要求；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8.3.3货物必须符合招标文件和中标人投标文件规定的数量、项目交付或者实施的时间和地点。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8.3.4中标人需提供满足项目实施的货物的标准、期限、实现的效率等规定和措施；</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8.3.5中标人应当提供完成项目的计划方案、相关资料或借鉴完成类似项目的检验大纲等验收依据或者完备、合理和科学的验收标准，以及相关的其他技术、服务等支持；</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8.3.6中标人应当积极配合采购人及时对项目进行验收。或者必要时采购人可以邀请参加本项目的其他投标人或者第三方机构参与验收的配合。</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8.3.7对于中标人违反采购合同约定的行为，采购人应当及时处理，依法追究其违约责任。</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8.4合同签订事项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8.4.1中标人在收到招标人发出的《中标通知书》后，应在规定的时间内与采购人签订采购合同。由于中标人的原因逾期未与采购人签订采购合同的，将视为放弃中标，取消其中标资格并将按相关规定进行处理。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8.4.2采购人不得向中标人提出任何不合理的要求，作为签订合同的条件。中标人拒绝按照招标文件和投标文件签订合同的或者签订的合同对服务内容做出了实质性修改，采购人有权终止合同，并保留要求经济赔偿的权利。</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8.4.3中标人因不可抗力原因不能履行采购合同或放弃中标的，采购人可以与排在中标人之后第一位的中标候选人签订采购合同，以此类推。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8.4.4中标人在合同签订之后三个工作日内，将签订的合同（</w:t>
      </w:r>
      <w:r>
        <w:rPr>
          <w:rFonts w:hint="eastAsia" w:ascii="宋体" w:hAnsi="宋体" w:cs="宋体"/>
          <w:color w:val="auto"/>
          <w:szCs w:val="21"/>
          <w:highlight w:val="none"/>
          <w:lang w:val="en-US" w:eastAsia="zh-CN"/>
        </w:rPr>
        <w:t>PDF扫描件或原件复印件</w:t>
      </w:r>
      <w:r>
        <w:rPr>
          <w:rFonts w:hint="eastAsia" w:ascii="宋体" w:hAnsi="宋体" w:cs="宋体"/>
          <w:color w:val="auto"/>
          <w:szCs w:val="21"/>
          <w:highlight w:val="none"/>
        </w:rPr>
        <w:t>）送采购代理机构留存。</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九、</w:t>
      </w:r>
      <w:r>
        <w:rPr>
          <w:rFonts w:hint="eastAsia" w:ascii="宋体" w:hAnsi="宋体" w:eastAsia="宋体"/>
          <w:color w:val="auto"/>
          <w:sz w:val="22"/>
          <w:szCs w:val="16"/>
          <w:highlight w:val="none"/>
          <w:lang w:val="en-US" w:eastAsia="zh-CN"/>
        </w:rPr>
        <w:t>样品</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本次采购活动不要求提供样品。</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w:t>
      </w:r>
      <w:r>
        <w:rPr>
          <w:rFonts w:hint="eastAsia" w:ascii="宋体" w:hAnsi="宋体" w:eastAsia="宋体"/>
          <w:color w:val="auto"/>
          <w:sz w:val="22"/>
          <w:szCs w:val="16"/>
          <w:highlight w:val="none"/>
          <w:lang w:val="en-US" w:eastAsia="zh-CN"/>
        </w:rPr>
        <w:t>图纸</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本次采购活动</w:t>
      </w:r>
      <w:r>
        <w:rPr>
          <w:rFonts w:hint="eastAsia" w:ascii="宋体" w:hAnsi="宋体" w:cs="宋体"/>
          <w:color w:val="auto"/>
          <w:szCs w:val="21"/>
          <w:highlight w:val="none"/>
          <w:lang w:val="en-US" w:eastAsia="zh-CN"/>
        </w:rPr>
        <w:t>无图纸</w:t>
      </w:r>
      <w:r>
        <w:rPr>
          <w:rFonts w:hint="eastAsia" w:ascii="宋体" w:hAnsi="宋体" w:cs="宋体"/>
          <w:color w:val="auto"/>
          <w:szCs w:val="21"/>
          <w:highlight w:val="none"/>
        </w:rPr>
        <w:t>。</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十一、</w:t>
      </w:r>
      <w:r>
        <w:rPr>
          <w:rFonts w:hint="eastAsia" w:ascii="宋体" w:hAnsi="宋体" w:eastAsia="宋体"/>
          <w:color w:val="auto"/>
          <w:sz w:val="22"/>
          <w:szCs w:val="16"/>
          <w:highlight w:val="none"/>
          <w:lang w:val="en-US" w:eastAsia="zh-CN"/>
        </w:rPr>
        <w:t>招标活动的终止</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采购代理机构在发布招标公告后，除因重大变故采购任务取消情况外，不得擅自终止招标活动。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终止招标的，采购代理机构应当及时在原公告发布媒体上发布终止公告，以书面或电子邮件形式通知已获取招标文件的潜在投标人。</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十二、</w:t>
      </w:r>
      <w:r>
        <w:rPr>
          <w:rFonts w:hint="eastAsia" w:ascii="宋体" w:hAnsi="宋体" w:eastAsia="宋体"/>
          <w:color w:val="auto"/>
          <w:sz w:val="22"/>
          <w:szCs w:val="16"/>
          <w:highlight w:val="none"/>
          <w:lang w:val="en-US" w:eastAsia="zh-CN"/>
        </w:rPr>
        <w:t>行贿与受贿约束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在获取招标文件后，在投标过程中不得向采购代理机构工作人员提供、赠予、给予等任何形式的有价物品，不得向采购人给予赠品、回扣或者与采购无关的其他商品、服务，坚决杜绝和抵制影响采购招标的正常决策行为。投标人一旦发生上述行为且证据明确，其投标资格被取消并承担相应法律责任。</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十三、</w:t>
      </w:r>
      <w:r>
        <w:rPr>
          <w:rFonts w:hint="eastAsia" w:ascii="宋体" w:hAnsi="宋体" w:eastAsia="宋体"/>
          <w:color w:val="auto"/>
          <w:sz w:val="22"/>
          <w:szCs w:val="16"/>
          <w:highlight w:val="none"/>
          <w:lang w:val="en-US" w:eastAsia="zh-CN"/>
        </w:rPr>
        <w:t>投标人信用查询方法和途径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13.1</w:t>
      </w:r>
      <w:r>
        <w:rPr>
          <w:rFonts w:hint="eastAsia" w:ascii="宋体" w:hAnsi="宋体" w:cs="宋体"/>
          <w:color w:val="auto"/>
          <w:szCs w:val="21"/>
          <w:highlight w:val="none"/>
        </w:rPr>
        <w:t>根据财政部《关于在政府采购活动中查询及使用信用记录有关问题的通知》（财库〔2016〕125号）第二条有关要求，采购人将在资格审查阶段通过【信用中国】（</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"https://www.creditchina.gov.cn"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https://www.creditchina.gov.cn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/）和【中国政府采购网】（</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"http://www.ccgp.gov.cn/"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http://www.ccgp.gov.cn/）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对供应商的信用情况进行甄别。</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13.2</w:t>
      </w:r>
      <w:r>
        <w:rPr>
          <w:rFonts w:hint="eastAsia" w:ascii="宋体" w:hAnsi="宋体" w:cs="宋体"/>
          <w:color w:val="auto"/>
          <w:szCs w:val="21"/>
          <w:highlight w:val="none"/>
        </w:rPr>
        <w:t>对列入失信被执行人、重大税收违法案件当事人名单、政府采购严重违法失信行为记录名单及其他不符合《中华人民共和国政府采购法》第二十二条规定条件的供应商，将拒绝其参与政府采购活动。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13.3</w:t>
      </w:r>
      <w:r>
        <w:rPr>
          <w:rFonts w:hint="eastAsia" w:ascii="宋体" w:hAnsi="宋体" w:cs="宋体"/>
          <w:color w:val="auto"/>
          <w:szCs w:val="21"/>
          <w:highlight w:val="none"/>
        </w:rPr>
        <w:t>供应商在参加政府采购活动前3年内因违法经营被禁止在一定期限内参加政府采购活动，期限届满的，可以参加政府采购活动的，但供应商应提供相关证明材料。</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13.4</w:t>
      </w:r>
      <w:r>
        <w:rPr>
          <w:rFonts w:hint="eastAsia" w:ascii="宋体" w:hAnsi="宋体" w:cs="宋体"/>
          <w:color w:val="auto"/>
          <w:szCs w:val="21"/>
          <w:highlight w:val="none"/>
        </w:rPr>
        <w:t>信用记录查询结果打印后，将与其他采购文件一并保存。</w:t>
      </w:r>
    </w:p>
    <w:p>
      <w:pPr>
        <w:pStyle w:val="3"/>
        <w:bidi w:val="0"/>
        <w:ind w:left="0" w:firstLine="0"/>
        <w:rPr>
          <w:rFonts w:hint="eastAsia"/>
          <w:color w:val="auto"/>
          <w:sz w:val="22"/>
          <w:szCs w:val="16"/>
          <w:highlight w:val="none"/>
          <w:lang w:val="en-US" w:eastAsia="zh-CN"/>
        </w:rPr>
      </w:pPr>
      <w:r>
        <w:rPr>
          <w:rFonts w:hint="eastAsia"/>
          <w:color w:val="auto"/>
          <w:sz w:val="22"/>
          <w:szCs w:val="16"/>
          <w:highlight w:val="none"/>
          <w:lang w:val="en-US" w:eastAsia="zh-CN"/>
        </w:rPr>
        <w:t>十四、其他说明</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投标人不得存在下列情形之一，否则</w:t>
      </w:r>
      <w:r>
        <w:rPr>
          <w:rFonts w:hint="eastAsia" w:ascii="宋体" w:hAnsi="宋体" w:cs="宋体"/>
          <w:color w:val="auto"/>
          <w:szCs w:val="21"/>
          <w:highlight w:val="none"/>
        </w:rPr>
        <w:t>其投标将被否决：</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（1）为招标人不具有独立法人资格的附属机构（单位）；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（2）为本项目提供招标代理服务的；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（3）被责令停业的；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（4）被暂停或取消投标资格的；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（5）财产被接管或冻结的；</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（6）在最近三年内有骗取中标或严重违约或重大质量问题的；</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（7）存在提供虚假的财务状况、业绩、虚假的信用状况等弄虚作假的行为；</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（8）不按评标委员会要求澄清、说明或补正的。</w:t>
      </w:r>
    </w:p>
    <w:p>
      <w:pPr>
        <w:spacing w:line="360" w:lineRule="auto"/>
        <w:ind w:firstLine="420"/>
        <w:rPr>
          <w:rFonts w:hint="eastAsia" w:ascii="宋体" w:hAnsi="宋体" w:eastAsia="宋体" w:cs="宋体"/>
          <w:b/>
          <w:bCs/>
          <w:color w:val="auto"/>
          <w:sz w:val="24"/>
          <w:highlight w:val="none"/>
        </w:rPr>
      </w:pPr>
      <w:r>
        <w:rPr>
          <w:rFonts w:hint="eastAsia" w:ascii="宋体" w:hAnsi="宋体" w:cs="宋体"/>
          <w:color w:val="auto"/>
          <w:sz w:val="24"/>
          <w:highlight w:val="none"/>
        </w:rPr>
        <w:br w:type="page"/>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政府采购信用担保及信用融资政策：</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支持和促进中小企业发展，进一步发挥政府采购政策功能作用，根据《财政部关于开展政府采购信用担保试点工作的通知》（财库（2011）124号），陕西省财政厅制订了《陕西省政府采购信用担保试点工作实施方案（试行）》及《陕西省中小企业政府采购信用融资办法》（陕财办采〔2018〕23号），为参与陕西省政府采购项目的供应商提供政府采购信用担保和融资服务，并按照程序确定了合作的担保机构和商业银行。</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中标人如果需要融资贷款服务的，可凭中标通知书、政府采购合同等相关资料，按照文件规定的程序申请办理，具体规定可登陆陕西省政府采购网(www.ccgp-shaanxi.gov.cn/)重要通知专栏中查询了解。</w:t>
      </w:r>
    </w:p>
    <w:p>
      <w:pPr>
        <w:rPr>
          <w:rFonts w:ascii="宋体" w:hAnsi="宋体" w:cs="宋体"/>
          <w:color w:val="auto"/>
          <w:sz w:val="24"/>
          <w:highlight w:val="none"/>
        </w:rPr>
      </w:pPr>
      <w:r>
        <w:rPr>
          <w:rFonts w:hint="eastAsia" w:ascii="楷体" w:hAnsi="楷体" w:eastAsia="楷体" w:cs="楷体"/>
          <w:color w:val="auto"/>
          <w:szCs w:val="21"/>
          <w:highlight w:val="none"/>
        </w:rPr>
        <w:drawing>
          <wp:inline distT="0" distB="0" distL="114300" distR="114300">
            <wp:extent cx="5786120" cy="4500245"/>
            <wp:effectExtent l="0" t="0" r="5080" b="146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5786120" cy="4500245"/>
                    </a:xfrm>
                    <a:prstGeom prst="rect">
                      <a:avLst/>
                    </a:prstGeom>
                    <a:noFill/>
                    <a:ln>
                      <a:noFill/>
                    </a:ln>
                  </pic:spPr>
                </pic:pic>
              </a:graphicData>
            </a:graphic>
          </wp:inline>
        </w:drawing>
      </w:r>
    </w:p>
    <w:p>
      <w:pPr>
        <w:rPr>
          <w:rFonts w:ascii="宋体" w:hAnsi="宋体"/>
          <w:b/>
          <w:color w:val="auto"/>
          <w:kern w:val="44"/>
          <w:sz w:val="32"/>
          <w:highlight w:val="none"/>
        </w:rPr>
      </w:pPr>
      <w:bookmarkStart w:id="55" w:name="_Toc23925"/>
      <w:bookmarkStart w:id="56" w:name="_Toc20329"/>
      <w:r>
        <w:rPr>
          <w:rFonts w:ascii="宋体" w:hAnsi="宋体"/>
          <w:b/>
          <w:color w:val="auto"/>
          <w:kern w:val="44"/>
          <w:sz w:val="32"/>
          <w:highlight w:val="none"/>
        </w:rPr>
        <w:br w:type="page"/>
      </w:r>
    </w:p>
    <w:p>
      <w:pPr>
        <w:spacing w:line="360" w:lineRule="auto"/>
        <w:jc w:val="center"/>
        <w:outlineLvl w:val="0"/>
        <w:rPr>
          <w:rFonts w:ascii="宋体" w:hAnsi="宋体"/>
          <w:b/>
          <w:color w:val="auto"/>
          <w:kern w:val="44"/>
          <w:sz w:val="32"/>
          <w:highlight w:val="none"/>
        </w:rPr>
      </w:pPr>
      <w:bookmarkStart w:id="57" w:name="_Toc22285"/>
      <w:r>
        <w:rPr>
          <w:rFonts w:ascii="宋体" w:hAnsi="宋体"/>
          <w:b/>
          <w:color w:val="auto"/>
          <w:kern w:val="44"/>
          <w:sz w:val="32"/>
          <w:highlight w:val="none"/>
        </w:rPr>
        <w:t>第</w:t>
      </w:r>
      <w:r>
        <w:rPr>
          <w:rFonts w:hint="eastAsia" w:ascii="宋体" w:hAnsi="宋体"/>
          <w:b/>
          <w:color w:val="auto"/>
          <w:kern w:val="44"/>
          <w:sz w:val="32"/>
          <w:highlight w:val="none"/>
        </w:rPr>
        <w:t>三</w:t>
      </w:r>
      <w:r>
        <w:rPr>
          <w:rFonts w:ascii="宋体" w:hAnsi="宋体"/>
          <w:b/>
          <w:color w:val="auto"/>
          <w:kern w:val="44"/>
          <w:sz w:val="32"/>
          <w:highlight w:val="none"/>
        </w:rPr>
        <w:t>章  评标标准及方法</w:t>
      </w:r>
      <w:bookmarkEnd w:id="55"/>
      <w:bookmarkEnd w:id="56"/>
      <w:bookmarkEnd w:id="57"/>
    </w:p>
    <w:p>
      <w:pPr>
        <w:pStyle w:val="3"/>
        <w:spacing w:before="78" w:after="78"/>
        <w:rPr>
          <w:rFonts w:hint="eastAsia" w:ascii="宋体" w:hAnsi="宋体"/>
          <w:color w:val="auto"/>
          <w:highlight w:val="none"/>
        </w:rPr>
      </w:pPr>
      <w:bookmarkStart w:id="58" w:name="_Toc363463332"/>
      <w:bookmarkStart w:id="59" w:name="_Toc29875"/>
      <w:r>
        <w:rPr>
          <w:rFonts w:hint="eastAsia" w:ascii="宋体" w:hAnsi="宋体"/>
          <w:color w:val="auto"/>
          <w:highlight w:val="none"/>
        </w:rPr>
        <w:t>一</w:t>
      </w:r>
      <w:r>
        <w:rPr>
          <w:rFonts w:hint="eastAsia"/>
          <w:color w:val="auto"/>
          <w:highlight w:val="none"/>
          <w:lang w:eastAsia="zh-CN"/>
        </w:rPr>
        <w:t>、</w:t>
      </w:r>
      <w:r>
        <w:rPr>
          <w:rFonts w:hint="eastAsia" w:ascii="宋体" w:hAnsi="宋体"/>
          <w:color w:val="auto"/>
          <w:highlight w:val="none"/>
        </w:rPr>
        <w:t>评标方法</w:t>
      </w:r>
      <w:bookmarkEnd w:id="58"/>
      <w:bookmarkEnd w:id="59"/>
    </w:p>
    <w:p>
      <w:pPr>
        <w:spacing w:line="360" w:lineRule="auto"/>
        <w:ind w:firstLine="420" w:firstLineChars="200"/>
        <w:rPr>
          <w:rFonts w:ascii="宋体" w:hAnsi="宋体" w:cs="宋体"/>
          <w:bCs/>
          <w:color w:val="auto"/>
          <w:sz w:val="21"/>
          <w:szCs w:val="21"/>
          <w:highlight w:val="none"/>
        </w:rPr>
      </w:pPr>
      <w:r>
        <w:rPr>
          <w:rFonts w:hint="eastAsia" w:ascii="宋体" w:hAnsi="宋体"/>
          <w:color w:val="auto"/>
          <w:sz w:val="21"/>
          <w:szCs w:val="21"/>
          <w:highlight w:val="none"/>
        </w:rPr>
        <w:t>按照《中华人民共和国政府采购法》、《中华人民共和国政府采购法实施条例》和《政府采购服务和服务招标投标管理办法》</w:t>
      </w:r>
      <w:r>
        <w:rPr>
          <w:rFonts w:hint="eastAsia" w:ascii="宋体" w:hAnsi="宋体"/>
          <w:color w:val="auto"/>
          <w:sz w:val="21"/>
          <w:szCs w:val="21"/>
          <w:highlight w:val="none"/>
          <w:lang w:eastAsia="zh-CN"/>
        </w:rPr>
        <w:t>（</w:t>
      </w:r>
      <w:r>
        <w:rPr>
          <w:rFonts w:hint="eastAsia" w:ascii="宋体" w:hAnsi="宋体"/>
          <w:color w:val="auto"/>
          <w:sz w:val="21"/>
          <w:szCs w:val="21"/>
          <w:highlight w:val="none"/>
        </w:rPr>
        <w:t>第87号令</w:t>
      </w:r>
      <w:r>
        <w:rPr>
          <w:rFonts w:hint="eastAsia" w:ascii="宋体" w:hAnsi="宋体"/>
          <w:color w:val="auto"/>
          <w:sz w:val="21"/>
          <w:szCs w:val="21"/>
          <w:highlight w:val="none"/>
          <w:lang w:eastAsia="zh-CN"/>
        </w:rPr>
        <w:t>）</w:t>
      </w:r>
      <w:r>
        <w:rPr>
          <w:rFonts w:hint="eastAsia" w:ascii="宋体" w:hAnsi="宋体"/>
          <w:color w:val="auto"/>
          <w:sz w:val="21"/>
          <w:szCs w:val="21"/>
          <w:highlight w:val="none"/>
        </w:rPr>
        <w:t>的规定，本次评标采用综合评分法--投标文件满足招标文件全部实质性要求，且按照评审因素的量化指标评审得分最高的投标人为中标候选人。（最低报价不是中标的唯一标准）。</w:t>
      </w:r>
    </w:p>
    <w:p>
      <w:pPr>
        <w:pStyle w:val="3"/>
        <w:spacing w:before="78" w:after="78"/>
        <w:rPr>
          <w:rFonts w:hint="eastAsia" w:ascii="宋体" w:hAnsi="宋体"/>
          <w:color w:val="auto"/>
          <w:highlight w:val="none"/>
          <w:lang w:val="en-US" w:eastAsia="zh-CN"/>
        </w:rPr>
      </w:pPr>
      <w:bookmarkStart w:id="60" w:name="_Toc30213"/>
      <w:r>
        <w:rPr>
          <w:rFonts w:hint="eastAsia" w:ascii="宋体" w:hAnsi="宋体"/>
          <w:color w:val="auto"/>
          <w:highlight w:val="none"/>
          <w:lang w:val="en-US" w:eastAsia="zh-CN"/>
        </w:rPr>
        <w:t>二</w:t>
      </w:r>
      <w:r>
        <w:rPr>
          <w:rFonts w:hint="eastAsia"/>
          <w:color w:val="auto"/>
          <w:highlight w:val="none"/>
          <w:lang w:val="en-US" w:eastAsia="zh-CN"/>
        </w:rPr>
        <w:t>、</w:t>
      </w:r>
      <w:r>
        <w:rPr>
          <w:rFonts w:hint="eastAsia" w:ascii="宋体" w:hAnsi="宋体"/>
          <w:color w:val="auto"/>
          <w:highlight w:val="none"/>
          <w:lang w:val="en-US" w:eastAsia="zh-CN"/>
        </w:rPr>
        <w:t>资格性审查</w:t>
      </w:r>
      <w:bookmarkEnd w:id="60"/>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资格评审标准：开标结束后，采购人或者采购代理机构应当依法对投标人的资格进行审查。合格投标人不足三家的，不得评标。</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审查内容出现任何一项不符合，按无效响应处理。资格审查内容如下：</w:t>
      </w:r>
    </w:p>
    <w:tbl>
      <w:tblPr>
        <w:tblStyle w:val="24"/>
        <w:tblW w:w="9018" w:type="dxa"/>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5723"/>
        <w:gridCol w:w="2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5723" w:type="dxa"/>
            <w:noWrap w:val="0"/>
            <w:vAlign w:val="center"/>
          </w:tcPr>
          <w:p>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审查内容</w:t>
            </w:r>
          </w:p>
        </w:tc>
        <w:tc>
          <w:tcPr>
            <w:tcW w:w="2595" w:type="dxa"/>
            <w:noWrap w:val="0"/>
            <w:vAlign w:val="center"/>
          </w:tcPr>
          <w:p>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法人或者其他组织的营业执照等复印件加盖投标人公章，</w:t>
            </w:r>
            <w:r>
              <w:rPr>
                <w:rFonts w:hint="eastAsia" w:ascii="宋体" w:hAnsi="宋体" w:cs="宋体"/>
                <w:color w:val="auto"/>
                <w:kern w:val="0"/>
                <w:sz w:val="21"/>
                <w:szCs w:val="21"/>
                <w:highlight w:val="none"/>
                <w:lang w:eastAsia="zh-CN"/>
              </w:rPr>
              <w:t>自然人提供本人身份证</w:t>
            </w:r>
            <w:r>
              <w:rPr>
                <w:rFonts w:hint="eastAsia" w:ascii="宋体" w:hAnsi="宋体" w:cs="宋体"/>
                <w:color w:val="auto"/>
                <w:kern w:val="0"/>
                <w:sz w:val="21"/>
                <w:szCs w:val="21"/>
                <w:highlight w:val="none"/>
              </w:rPr>
              <w:t>；</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提供法定代表人授权委托书</w:t>
            </w:r>
            <w:r>
              <w:rPr>
                <w:rFonts w:hint="eastAsia" w:ascii="宋体" w:hAnsi="宋体" w:cs="宋体"/>
                <w:color w:val="auto"/>
                <w:kern w:val="0"/>
                <w:sz w:val="21"/>
                <w:szCs w:val="21"/>
                <w:highlight w:val="none"/>
              </w:rPr>
              <w:t>并附</w:t>
            </w:r>
            <w:r>
              <w:rPr>
                <w:rFonts w:hint="eastAsia" w:ascii="宋体" w:hAnsi="宋体" w:cs="宋体"/>
                <w:color w:val="auto"/>
                <w:kern w:val="0"/>
                <w:sz w:val="21"/>
                <w:szCs w:val="21"/>
                <w:highlight w:val="none"/>
                <w:lang w:val="en-US" w:eastAsia="zh-CN"/>
              </w:rPr>
              <w:t>法定代表人</w:t>
            </w:r>
            <w:r>
              <w:rPr>
                <w:rFonts w:hint="eastAsia" w:ascii="宋体" w:hAnsi="宋体" w:cs="宋体"/>
                <w:color w:val="auto"/>
                <w:kern w:val="0"/>
                <w:sz w:val="21"/>
                <w:szCs w:val="21"/>
                <w:highlight w:val="none"/>
              </w:rPr>
              <w:t>及授权人代表身份证复印件并依照规定格式签署和盖章，法定代表人参加投标的提供身份证复印件；</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5723" w:type="dxa"/>
            <w:noWrap w:val="0"/>
            <w:vAlign w:val="center"/>
          </w:tcPr>
          <w:p>
            <w:pP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提供2022年度经审计的财务报告，或投标截止时间前6个月内任意时段的资产负债表，或投标截止时间前6个月内任意时间由基本开户银行出具的资信证明，或财政部门认可的政府采购专业担保机构出具的投标担保函。（以上四种形式的资料提供任何一种即可）</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提供自投标截止时间前6个月内已缴纳任意时段完税凭证或税务机关开具的完税证明（任意税种）；依法免税的应提供相关文件证明</w:t>
            </w:r>
            <w:r>
              <w:rPr>
                <w:rFonts w:hint="eastAsia" w:ascii="宋体" w:hAnsi="宋体" w:cs="宋体"/>
                <w:color w:val="auto"/>
                <w:kern w:val="0"/>
                <w:sz w:val="21"/>
                <w:szCs w:val="21"/>
                <w:highlight w:val="none"/>
              </w:rPr>
              <w:t>；</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5723" w:type="dxa"/>
            <w:noWrap w:val="0"/>
            <w:vAlign w:val="center"/>
          </w:tcPr>
          <w:p>
            <w:pP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提供自投标截止时间前6个月内已缴存的任意时段的社会保障资金缴存单据或社保机构开具的社会保险参保缴费情况证明；依法不需要缴纳社会保障资金的应提供相关文件证明；</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具备履行合同所必需的设备和专业技术能力的书面声明，格式自拟；</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参加政府采购活动前3年内在经营活动中没有重大违法记录的书面声明，格式自拟；</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信用查询</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bl>
    <w:p>
      <w:pPr>
        <w:pStyle w:val="3"/>
        <w:spacing w:before="78" w:after="78"/>
        <w:rPr>
          <w:rFonts w:hint="eastAsia" w:ascii="宋体" w:hAnsi="宋体"/>
          <w:color w:val="auto"/>
          <w:highlight w:val="none"/>
          <w:lang w:val="en-US" w:eastAsia="zh-CN"/>
        </w:rPr>
      </w:pPr>
      <w:bookmarkStart w:id="61" w:name="_Toc25772"/>
      <w:bookmarkStart w:id="62" w:name="_Toc48301729"/>
      <w:bookmarkStart w:id="63" w:name="_Toc52064327"/>
      <w:bookmarkStart w:id="64" w:name="_Toc52064870"/>
      <w:r>
        <w:rPr>
          <w:rFonts w:hint="eastAsia" w:ascii="宋体" w:hAnsi="宋体"/>
          <w:color w:val="auto"/>
          <w:highlight w:val="none"/>
          <w:lang w:val="en-US" w:eastAsia="zh-CN"/>
        </w:rPr>
        <w:t>三</w:t>
      </w:r>
      <w:r>
        <w:rPr>
          <w:rFonts w:hint="eastAsia"/>
          <w:color w:val="auto"/>
          <w:highlight w:val="none"/>
          <w:lang w:val="en-US" w:eastAsia="zh-CN"/>
        </w:rPr>
        <w:t>、</w:t>
      </w:r>
      <w:r>
        <w:rPr>
          <w:rFonts w:hint="eastAsia" w:ascii="宋体" w:hAnsi="宋体"/>
          <w:color w:val="auto"/>
          <w:highlight w:val="none"/>
          <w:lang w:val="en-US" w:eastAsia="zh-CN"/>
        </w:rPr>
        <w:t>评标</w:t>
      </w:r>
      <w:bookmarkEnd w:id="61"/>
      <w:bookmarkEnd w:id="62"/>
      <w:bookmarkEnd w:id="63"/>
      <w:bookmarkEnd w:id="64"/>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（一）采购代理机构负责组织评标工作，并履行下列职责：</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1、核对评审专家身份和采购人对采购人代表授权函，对评审专家在政府采购活动重的职责履行情况予以记录，并及时将有关违法违规行为向财政部门报告；</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2、宣布评标纪律；</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3、公布投标人名单，告知评审专家应当回避的情形；</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4、组织评审委员会推选评标组长；</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5、在评标期间采取必要的通讯管理措施，保证评标活动不受外界干扰；</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6、根据评标委员会的要求介绍政府采购相关法规和招标文件规定及要求；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7、维护评标秩序，监督评标委员会依照招标文件规定的评标程序、方法和标准进行独立评审，及时制止和纠正采购人代表、评审专家的倾向性言论或者违法违规行为；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8、核对评标结果；</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9、处理与评标有关的其他事项。</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（二）评标委员会由采购人代表和评审专家组成，于开标之前抽取。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（三）评标委员会负责具体评标事务，并独立履行下列职责：</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1、通过符合性审查，审查、评价投标文件是否符合招标文件要求的完整性、签署和盖章，以及是否满足商务、技术实质性要求。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评标委员会应当对符合资格的投标人的投标文件进行符合性审查，以确定其是否满足招标文件的实质性要求。</w:t>
      </w:r>
      <w:r>
        <w:rPr>
          <w:rFonts w:hint="eastAsia" w:ascii="宋体" w:hAnsi="宋体"/>
          <w:color w:val="auto"/>
          <w:sz w:val="21"/>
          <w:szCs w:val="21"/>
          <w:highlight w:val="none"/>
        </w:rPr>
        <w:t>审查内容出现任何一项不符合，按无效响应处理。符合性审查内容如下：</w:t>
      </w:r>
    </w:p>
    <w:tbl>
      <w:tblPr>
        <w:tblStyle w:val="24"/>
        <w:tblW w:w="95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5670"/>
        <w:gridCol w:w="3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5670" w:type="dxa"/>
            <w:noWrap w:val="0"/>
            <w:vAlign w:val="center"/>
          </w:tcPr>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审查内容</w:t>
            </w:r>
          </w:p>
        </w:tc>
        <w:tc>
          <w:tcPr>
            <w:tcW w:w="3017" w:type="dxa"/>
            <w:noWrap w:val="0"/>
            <w:vAlign w:val="center"/>
          </w:tcPr>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是否</w:t>
            </w:r>
            <w:r>
              <w:rPr>
                <w:rFonts w:hint="eastAsia" w:ascii="宋体" w:hAnsi="宋体"/>
                <w:color w:val="auto"/>
                <w:sz w:val="21"/>
                <w:szCs w:val="21"/>
                <w:highlight w:val="none"/>
              </w:rPr>
              <w:t>按照招标文件要求和格式编制投标文件，数量符合。</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投标文件的签署、加盖印章是否合格、有效。</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投标有效期</w:t>
            </w:r>
            <w:r>
              <w:rPr>
                <w:rFonts w:hint="eastAsia" w:ascii="宋体" w:hAnsi="宋体"/>
                <w:color w:val="auto"/>
                <w:sz w:val="21"/>
                <w:szCs w:val="21"/>
                <w:highlight w:val="none"/>
                <w:lang w:val="en-US" w:eastAsia="zh-CN"/>
              </w:rPr>
              <w:t>是否</w:t>
            </w:r>
            <w:r>
              <w:rPr>
                <w:rFonts w:hint="eastAsia" w:ascii="宋体" w:hAnsi="宋体"/>
                <w:color w:val="auto"/>
                <w:sz w:val="21"/>
                <w:szCs w:val="21"/>
                <w:highlight w:val="none"/>
              </w:rPr>
              <w:t>符合招标文件要求。</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4</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投标报价是否超过</w:t>
            </w:r>
            <w:r>
              <w:rPr>
                <w:rFonts w:hint="eastAsia" w:ascii="宋体" w:hAnsi="宋体"/>
                <w:color w:val="auto"/>
                <w:sz w:val="21"/>
                <w:szCs w:val="21"/>
                <w:highlight w:val="none"/>
                <w:lang w:eastAsia="zh-CN"/>
              </w:rPr>
              <w:t>最高限价</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5</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投标没有出现招标文件规定的其它无效响应情形。</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bl>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3、要求投标人对投标文件有关事项作出澄清或者说明；</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4、对投标文件进行对比和评价；</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5、确定中标候选人名单，以及根据采购人委托直接确定中标人；</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6、向采购代理机构或者有关部门报告评标中发现的违法行为。</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7、对于投标文件中含义不明确、同类问题表述不一致或者有明显文字和计算错误的内容，评标委员会应当以书面形式要求投标人作出必要的澄清、说明或者补正。</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（四）评标委员会及其成员不得有下列行为：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1、确定参与评标至评标结束前私自接触投标人；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2、接受投标人提出的与投标文件不一致的澄清或者说明，本办法第五十一条规定的情形除外；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3、违反评标纪律发表倾向性意见或者征询采购人的倾向性意见；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4、对需要专业判断的主观评审因素协商评分；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5、在评标过程中擅离职守，影响评标程序正常进行的； </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6、记录、复制或者带走任何评标资料； </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7、其他不遵守评标纪律的行为。 </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8、评标委员会成员有前款第一至五项行为之一的，其评审意见无效，并不得获取评审劳务报酬和报销异地评审差旅费。</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（四）评标委员会应当按照招标文件中规定的评标方法和标准，对符合性审查合格的投标文件进行商务和技术评估，综合比较与评价。</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1、本项目采用综合评分法。</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2、综合评审因素及分值：</w:t>
      </w:r>
    </w:p>
    <w:tbl>
      <w:tblPr>
        <w:tblStyle w:val="24"/>
        <w:tblW w:w="9495"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788"/>
        <w:gridCol w:w="1492"/>
        <w:gridCol w:w="930"/>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blHead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评审内容</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总分</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评审</w:t>
            </w:r>
            <w:r>
              <w:rPr>
                <w:rFonts w:hint="eastAsia" w:ascii="宋体" w:hAnsi="宋体" w:cs="宋体"/>
                <w:b/>
                <w:color w:val="auto"/>
                <w:szCs w:val="21"/>
                <w:highlight w:val="none"/>
                <w:lang w:val="en-US" w:eastAsia="zh-CN"/>
              </w:rPr>
              <w:t>因素</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最高</w:t>
            </w:r>
          </w:p>
          <w:p>
            <w:pPr>
              <w:jc w:val="center"/>
              <w:rPr>
                <w:rFonts w:ascii="宋体" w:hAnsi="宋体" w:cs="宋体"/>
                <w:b/>
                <w:color w:val="auto"/>
                <w:szCs w:val="21"/>
                <w:highlight w:val="none"/>
              </w:rPr>
            </w:pPr>
            <w:r>
              <w:rPr>
                <w:rFonts w:hint="eastAsia" w:ascii="宋体" w:hAnsi="宋体" w:cs="宋体"/>
                <w:b/>
                <w:color w:val="auto"/>
                <w:szCs w:val="21"/>
                <w:highlight w:val="none"/>
              </w:rPr>
              <w:t>得分</w:t>
            </w:r>
          </w:p>
        </w:tc>
        <w:tc>
          <w:tcPr>
            <w:tcW w:w="5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2" w:hRule="atLeast"/>
        </w:trPr>
        <w:tc>
          <w:tcPr>
            <w:tcW w:w="65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分</w:t>
            </w:r>
          </w:p>
        </w:tc>
        <w:tc>
          <w:tcPr>
            <w:tcW w:w="5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00" w:lineRule="exact"/>
              <w:ind w:firstLine="315" w:firstLineChars="15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采用低价优先法计算，即满足招标文件要求且投标价格最低的投标报价为评标基准价，其价格分为满分。 投标报价得分＝（评标基准价/投标报价）*</w:t>
            </w:r>
            <w:r>
              <w:rPr>
                <w:rFonts w:hint="eastAsia" w:ascii="宋体" w:hAnsi="宋体" w:cs="宋体"/>
                <w:color w:val="auto"/>
                <w:sz w:val="21"/>
                <w:szCs w:val="21"/>
                <w:highlight w:val="none"/>
                <w:lang w:val="en-US" w:eastAsia="zh-CN"/>
              </w:rPr>
              <w:t>20</w:t>
            </w:r>
          </w:p>
          <w:p>
            <w:pPr>
              <w:keepNext w:val="0"/>
              <w:keepLines w:val="0"/>
              <w:pageBreakBefore w:val="0"/>
              <w:widowControl w:val="0"/>
              <w:kinsoku/>
              <w:wordWrap/>
              <w:overflowPunct/>
              <w:topLinePunct w:val="0"/>
              <w:bidi w:val="0"/>
              <w:adjustRightInd/>
              <w:snapToGrid w:val="0"/>
              <w:spacing w:line="40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注：当评标委员会认为某个投标人的报价明显低于其他通过符合性审查投标人的报价，有可能影响设备质量和不能诚信履约的，应要求该投标人在评标现场合理的时间内提供书面说明，必要时提交相关证明材料；投标人不能证明其报价合理的，评标委员会将其作为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6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tc>
        <w:tc>
          <w:tcPr>
            <w:tcW w:w="788"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51</w:t>
            </w:r>
            <w:r>
              <w:rPr>
                <w:rFonts w:hint="eastAsia" w:ascii="宋体" w:hAnsi="宋体" w:eastAsia="宋体" w:cs="宋体"/>
                <w:color w:val="auto"/>
                <w:sz w:val="21"/>
                <w:szCs w:val="21"/>
                <w:highlight w:val="none"/>
              </w:rPr>
              <w:t>分</w:t>
            </w:r>
          </w:p>
        </w:tc>
        <w:tc>
          <w:tcPr>
            <w:tcW w:w="149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性能</w:t>
            </w:r>
            <w:r>
              <w:rPr>
                <w:rFonts w:hint="eastAsia" w:ascii="宋体" w:hAnsi="宋体" w:eastAsia="宋体" w:cs="宋体"/>
                <w:color w:val="auto"/>
                <w:sz w:val="21"/>
                <w:szCs w:val="21"/>
                <w:highlight w:val="none"/>
              </w:rPr>
              <w:t>指标（</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w:t>
            </w:r>
          </w:p>
        </w:tc>
        <w:tc>
          <w:tcPr>
            <w:tcW w:w="930"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zh-CN"/>
              </w:rPr>
              <w:t>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对项目技术功能参数响应偏离情况逐一应答</w:t>
            </w:r>
            <w:r>
              <w:rPr>
                <w:rFonts w:hint="eastAsia" w:ascii="宋体" w:hAnsi="宋体" w:eastAsia="宋体" w:cs="宋体"/>
                <w:szCs w:val="21"/>
                <w:lang w:bidi="ar"/>
              </w:rPr>
              <w:t>，负偏离一项扣</w:t>
            </w:r>
            <w:r>
              <w:rPr>
                <w:rFonts w:hint="eastAsia" w:ascii="宋体" w:hAnsi="宋体" w:eastAsia="宋体" w:cs="宋体"/>
                <w:szCs w:val="21"/>
                <w:lang w:val="en-US" w:eastAsia="zh-CN" w:bidi="ar"/>
              </w:rPr>
              <w:t>1</w:t>
            </w:r>
            <w:r>
              <w:rPr>
                <w:rFonts w:hint="eastAsia" w:ascii="宋体" w:hAnsi="宋体" w:eastAsia="宋体" w:cs="宋体"/>
                <w:szCs w:val="21"/>
                <w:lang w:bidi="ar"/>
              </w:rPr>
              <w:t>分，扣完为止。</w:t>
            </w:r>
            <w:r>
              <w:rPr>
                <w:rFonts w:hint="eastAsia" w:ascii="宋体" w:hAnsi="宋体" w:eastAsia="宋体" w:cs="宋体"/>
                <w:i w:val="0"/>
                <w:iCs w:val="0"/>
                <w:color w:val="000000"/>
                <w:kern w:val="0"/>
                <w:sz w:val="21"/>
                <w:szCs w:val="21"/>
                <w:highlight w:val="none"/>
                <w:u w:val="none"/>
                <w:lang w:val="en-US" w:eastAsia="zh-CN" w:bidi="ar"/>
              </w:rPr>
              <w:t>（根据招标文件总体要求及详细功能描述要求提供相关经验证明/系统截图/证书报告等）。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整体建设方案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w:t>
            </w: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根据项目总体目标、项目需求、对项目的现状等进行分析，制定合理及切实可行的的总体设计方案。</w:t>
            </w:r>
          </w:p>
          <w:p>
            <w:pPr>
              <w:keepNext w:val="0"/>
              <w:keepLines w:val="0"/>
              <w:widowControl/>
              <w:numPr>
                <w:ilvl w:val="0"/>
                <w:numId w:val="3"/>
              </w:numPr>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整体方案符合本次建设需要</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具有可落地性、可扩展性，得</w:t>
            </w:r>
            <w:r>
              <w:rPr>
                <w:rFonts w:hint="eastAsia" w:ascii="宋体" w:hAnsi="宋体" w:cs="宋体"/>
                <w:i w:val="0"/>
                <w:iCs w:val="0"/>
                <w:color w:val="000000"/>
                <w:kern w:val="0"/>
                <w:sz w:val="21"/>
                <w:szCs w:val="21"/>
                <w:highlight w:val="none"/>
                <w:u w:val="none"/>
                <w:lang w:val="en-US" w:eastAsia="zh-CN" w:bidi="ar"/>
              </w:rPr>
              <w:t>6-9</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w:t>
            </w:r>
          </w:p>
          <w:p>
            <w:pPr>
              <w:keepNext w:val="0"/>
              <w:keepLines w:val="0"/>
              <w:widowControl/>
              <w:numPr>
                <w:ilvl w:val="0"/>
                <w:numId w:val="3"/>
              </w:numPr>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i w:val="0"/>
                <w:iCs w:val="0"/>
                <w:color w:val="000000"/>
                <w:kern w:val="0"/>
                <w:sz w:val="21"/>
                <w:szCs w:val="21"/>
                <w:highlight w:val="none"/>
                <w:u w:val="none"/>
                <w:lang w:val="en-US" w:eastAsia="zh-CN" w:bidi="ar"/>
              </w:rPr>
              <w:t>整体</w:t>
            </w:r>
            <w:r>
              <w:rPr>
                <w:rFonts w:hint="eastAsia" w:ascii="宋体" w:hAnsi="宋体" w:eastAsia="宋体" w:cs="宋体"/>
                <w:i w:val="0"/>
                <w:iCs w:val="0"/>
                <w:color w:val="000000"/>
                <w:kern w:val="0"/>
                <w:sz w:val="21"/>
                <w:szCs w:val="21"/>
                <w:highlight w:val="none"/>
                <w:u w:val="none"/>
                <w:lang w:val="en-US" w:eastAsia="zh-CN" w:bidi="ar"/>
              </w:rPr>
              <w:t>方案基本合理，</w:t>
            </w:r>
            <w:r>
              <w:rPr>
                <w:rFonts w:hint="eastAsia" w:ascii="宋体" w:hAnsi="宋体" w:cs="宋体"/>
                <w:i w:val="0"/>
                <w:iCs w:val="0"/>
                <w:color w:val="000000"/>
                <w:kern w:val="0"/>
                <w:sz w:val="21"/>
                <w:szCs w:val="21"/>
                <w:highlight w:val="none"/>
                <w:u w:val="none"/>
                <w:lang w:val="en-US" w:eastAsia="zh-CN" w:bidi="ar"/>
              </w:rPr>
              <w:t>与项目采购需求基本一致</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3-6</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（不含6分）</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numPr>
                <w:ilvl w:val="0"/>
                <w:numId w:val="3"/>
              </w:numPr>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整体方案有疏漏、可行性欠佳，得</w:t>
            </w:r>
            <w:r>
              <w:rPr>
                <w:rFonts w:hint="eastAsia" w:ascii="宋体" w:hAnsi="宋体" w:cs="宋体"/>
                <w:i w:val="0"/>
                <w:iCs w:val="0"/>
                <w:color w:val="000000"/>
                <w:kern w:val="0"/>
                <w:sz w:val="21"/>
                <w:szCs w:val="21"/>
                <w:highlight w:val="none"/>
                <w:u w:val="none"/>
                <w:lang w:val="en-US" w:eastAsia="zh-CN" w:bidi="ar"/>
              </w:rPr>
              <w:t>0-3</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（不含3分）</w:t>
            </w:r>
            <w:r>
              <w:rPr>
                <w:rFonts w:hint="eastAsia" w:ascii="宋体" w:hAnsi="宋体" w:eastAsia="宋体" w:cs="宋体"/>
                <w:i w:val="0"/>
                <w:iCs w:val="0"/>
                <w:color w:val="000000"/>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合理化建议及风险防控</w:t>
            </w:r>
          </w:p>
          <w:p>
            <w:pPr>
              <w:autoSpaceDE w:val="0"/>
              <w:autoSpaceDN w:val="0"/>
              <w:adjustRightInd w:val="0"/>
              <w:spacing w:line="320" w:lineRule="exact"/>
              <w:ind w:firstLine="105" w:firstLineChars="50"/>
              <w:jc w:val="center"/>
              <w:rPr>
                <w:rFonts w:hint="eastAsia" w:ascii="宋体" w:hAnsi="宋体" w:cs="宋体"/>
                <w:color w:val="auto"/>
                <w:sz w:val="21"/>
                <w:szCs w:val="21"/>
                <w:highlight w:val="none"/>
                <w:lang w:val="en-US" w:eastAsia="zh-CN"/>
              </w:rPr>
            </w:pPr>
            <w:r>
              <w:rPr>
                <w:rFonts w:hint="eastAsia" w:ascii="宋体" w:hAnsi="宋体" w:eastAsia="宋体" w:cs="宋体"/>
                <w:szCs w:val="21"/>
                <w:lang w:bidi="ar"/>
              </w:rPr>
              <w:t>（</w:t>
            </w:r>
            <w:r>
              <w:rPr>
                <w:rFonts w:hint="eastAsia" w:ascii="宋体" w:hAnsi="宋体" w:cs="宋体"/>
                <w:szCs w:val="21"/>
                <w:lang w:val="en-US" w:eastAsia="zh-CN" w:bidi="ar"/>
              </w:rPr>
              <w:t>3</w:t>
            </w:r>
            <w:r>
              <w:rPr>
                <w:rFonts w:hint="eastAsia" w:ascii="宋体" w:hAnsi="宋体" w:eastAsia="宋体" w:cs="宋体"/>
                <w:szCs w:val="21"/>
                <w:lang w:bidi="ar"/>
              </w:rPr>
              <w:t>分）</w:t>
            </w:r>
          </w:p>
        </w:tc>
        <w:tc>
          <w:tcPr>
            <w:tcW w:w="930" w:type="dxa"/>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3分</w:t>
            </w:r>
          </w:p>
        </w:tc>
        <w:tc>
          <w:tcPr>
            <w:tcW w:w="5633" w:type="dxa"/>
            <w:tcBorders>
              <w:top w:val="single" w:color="auto" w:sz="4" w:space="0"/>
              <w:left w:val="single" w:color="auto" w:sz="4" w:space="0"/>
              <w:right w:val="single" w:color="auto" w:sz="4" w:space="0"/>
            </w:tcBorders>
            <w:vAlign w:val="center"/>
          </w:tcPr>
          <w:p>
            <w:pP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szCs w:val="21"/>
                <w:lang w:val="en-US" w:eastAsia="zh-CN" w:bidi="ar"/>
              </w:rPr>
              <w:t>对本项目的</w:t>
            </w:r>
            <w:r>
              <w:rPr>
                <w:rFonts w:hint="eastAsia" w:ascii="宋体" w:hAnsi="宋体" w:eastAsia="宋体" w:cs="宋体"/>
                <w:szCs w:val="21"/>
                <w:lang w:bidi="ar"/>
              </w:rPr>
              <w:t>风险分析、合理化建议。</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价0-3分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left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实施方案</w:t>
            </w: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针对本项目有完整、具体可行的实施方案，内容应包括：安装、调试、</w:t>
            </w:r>
            <w:r>
              <w:rPr>
                <w:rFonts w:hint="eastAsia" w:ascii="宋体" w:hAnsi="宋体" w:cs="宋体"/>
                <w:i w:val="0"/>
                <w:iCs w:val="0"/>
                <w:color w:val="000000"/>
                <w:kern w:val="0"/>
                <w:sz w:val="21"/>
                <w:szCs w:val="21"/>
                <w:highlight w:val="none"/>
                <w:u w:val="none"/>
                <w:lang w:val="en-US" w:eastAsia="zh-CN" w:bidi="ar"/>
              </w:rPr>
              <w:t>质量保证、</w:t>
            </w:r>
            <w:r>
              <w:rPr>
                <w:rFonts w:hint="eastAsia" w:ascii="宋体" w:hAnsi="宋体" w:eastAsia="宋体" w:cs="宋体"/>
                <w:i w:val="0"/>
                <w:iCs w:val="0"/>
                <w:color w:val="000000"/>
                <w:kern w:val="0"/>
                <w:sz w:val="21"/>
                <w:szCs w:val="21"/>
                <w:highlight w:val="none"/>
                <w:u w:val="none"/>
                <w:lang w:val="en-US" w:eastAsia="zh-CN" w:bidi="ar"/>
              </w:rPr>
              <w:t>进度保证及验收全过程方案。</w:t>
            </w:r>
          </w:p>
          <w:p>
            <w:pPr>
              <w:keepNext w:val="0"/>
              <w:keepLines w:val="0"/>
              <w:widowControl/>
              <w:suppressLineNumbers w:val="0"/>
              <w:jc w:val="left"/>
              <w:textAlignment w:val="center"/>
              <w:rPr>
                <w:rFonts w:hint="eastAsia"/>
                <w:highlight w:val="none"/>
                <w:lang w:val="en-US" w:eastAsia="zh-CN"/>
              </w:rPr>
            </w:pPr>
            <w:r>
              <w:rPr>
                <w:rFonts w:hint="eastAsia" w:ascii="宋体" w:hAnsi="宋体" w:cs="宋体"/>
                <w:i w:val="0"/>
                <w:iCs w:val="0"/>
                <w:color w:val="000000"/>
                <w:kern w:val="0"/>
                <w:sz w:val="21"/>
                <w:szCs w:val="21"/>
                <w:highlight w:val="none"/>
                <w:u w:val="none"/>
                <w:lang w:val="en-US" w:eastAsia="zh-CN" w:bidi="ar"/>
              </w:rPr>
              <w:t>以上每项内容具体全面细致得2分，每项内容不全面或可行性欠佳得1分。最多得10分。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left w:val="single" w:color="auto" w:sz="4" w:space="0"/>
              <w:right w:val="single" w:color="auto" w:sz="4" w:space="0"/>
            </w:tcBorders>
            <w:vAlign w:val="center"/>
          </w:tcPr>
          <w:p>
            <w:pPr>
              <w:jc w:val="center"/>
              <w:rPr>
                <w:rFonts w:hint="eastAsia"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项目组成员能力</w:t>
            </w:r>
          </w:p>
        </w:tc>
        <w:tc>
          <w:tcPr>
            <w:tcW w:w="93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产品制造商需为医院提供原厂服务，拥有高质量、可靠的实施团队，要求如下：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实施团队至少一名成员具有注册信息安全工程师（CISP）资质</w:t>
            </w:r>
            <w:r>
              <w:rPr>
                <w:rFonts w:hint="eastAsia" w:ascii="宋体" w:hAnsi="宋体" w:cs="宋体"/>
                <w:i w:val="0"/>
                <w:iCs w:val="0"/>
                <w:color w:val="000000"/>
                <w:kern w:val="0"/>
                <w:sz w:val="21"/>
                <w:szCs w:val="21"/>
                <w:highlight w:val="none"/>
                <w:u w:val="none"/>
                <w:lang w:val="en-US" w:eastAsia="zh-CN" w:bidi="ar"/>
              </w:rPr>
              <w:t>或</w:t>
            </w:r>
            <w:r>
              <w:rPr>
                <w:rFonts w:hint="eastAsia" w:ascii="宋体" w:hAnsi="宋体" w:eastAsia="宋体" w:cs="宋体"/>
                <w:i w:val="0"/>
                <w:iCs w:val="0"/>
                <w:color w:val="000000"/>
                <w:kern w:val="0"/>
                <w:sz w:val="21"/>
                <w:szCs w:val="21"/>
                <w:highlight w:val="none"/>
                <w:u w:val="none"/>
                <w:lang w:val="en-US" w:eastAsia="zh-CN" w:bidi="ar"/>
              </w:rPr>
              <w:t>高级信息系统项目管理师</w:t>
            </w:r>
            <w:r>
              <w:rPr>
                <w:rFonts w:hint="eastAsia" w:ascii="宋体" w:hAnsi="宋体" w:cs="宋体"/>
                <w:i w:val="0"/>
                <w:iCs w:val="0"/>
                <w:color w:val="000000"/>
                <w:kern w:val="0"/>
                <w:sz w:val="21"/>
                <w:szCs w:val="21"/>
                <w:highlight w:val="none"/>
                <w:u w:val="none"/>
                <w:lang w:val="en-US" w:eastAsia="zh-CN" w:bidi="ar"/>
              </w:rPr>
              <w:t>资质</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其他团队成员具备系统分析、系统架构、网络规划、软件设计、数据库开发等能力，</w:t>
            </w:r>
          </w:p>
          <w:p>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同时提供相关资质证明和人员</w:t>
            </w:r>
            <w:r>
              <w:rPr>
                <w:rFonts w:hint="eastAsia" w:ascii="宋体" w:hAnsi="宋体" w:cs="宋体"/>
                <w:i w:val="0"/>
                <w:iCs w:val="0"/>
                <w:color w:val="000000"/>
                <w:kern w:val="0"/>
                <w:sz w:val="21"/>
                <w:szCs w:val="21"/>
                <w:highlight w:val="none"/>
                <w:u w:val="none"/>
                <w:lang w:val="en-US" w:eastAsia="zh-CN" w:bidi="ar"/>
              </w:rPr>
              <w:t>劳动合同</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价0-4分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atLeast"/>
        </w:trPr>
        <w:tc>
          <w:tcPr>
            <w:tcW w:w="652" w:type="dxa"/>
            <w:vMerge w:val="restart"/>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tc>
        <w:tc>
          <w:tcPr>
            <w:tcW w:w="788" w:type="dxa"/>
            <w:vMerge w:val="restart"/>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zh-CN"/>
              </w:rPr>
              <w:t>分</w:t>
            </w:r>
          </w:p>
        </w:tc>
        <w:tc>
          <w:tcPr>
            <w:tcW w:w="1492"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业绩</w:t>
            </w:r>
          </w:p>
          <w:p>
            <w:pPr>
              <w:jc w:val="center"/>
              <w:rPr>
                <w:rFonts w:hint="eastAsia" w:ascii="宋体" w:hAnsi="宋体" w:eastAsia="宋体" w:cs="宋体"/>
                <w:color w:val="auto"/>
                <w:sz w:val="21"/>
                <w:szCs w:val="21"/>
                <w:highlight w:val="none"/>
                <w:lang w:val="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CN"/>
              </w:rPr>
              <w:t>分</w:t>
            </w:r>
            <w:r>
              <w:rPr>
                <w:rFonts w:hint="eastAsia" w:ascii="宋体" w:hAnsi="宋体" w:cs="宋体"/>
                <w:color w:val="auto"/>
                <w:szCs w:val="21"/>
                <w:highlight w:val="none"/>
              </w:rPr>
              <w:t>）</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szCs w:val="21"/>
                <w:lang w:val="en-US" w:eastAsia="zh-CN" w:bidi="ar"/>
              </w:rPr>
              <w:t>10分</w:t>
            </w:r>
          </w:p>
        </w:tc>
        <w:tc>
          <w:tcPr>
            <w:tcW w:w="56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szCs w:val="21"/>
                <w:lang w:bidi="ar"/>
              </w:rPr>
              <w:t>投标人或生产厂家</w:t>
            </w:r>
            <w:r>
              <w:rPr>
                <w:rFonts w:hint="eastAsia" w:ascii="宋体" w:hAnsi="宋体" w:cs="宋体"/>
                <w:color w:val="auto"/>
                <w:sz w:val="21"/>
                <w:szCs w:val="21"/>
                <w:highlight w:val="none"/>
                <w:lang w:val="en-US" w:eastAsia="zh-CN"/>
              </w:rPr>
              <w:t>自</w:t>
            </w: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年1月1日至今</w:t>
            </w:r>
            <w:r>
              <w:rPr>
                <w:rFonts w:hint="eastAsia" w:ascii="宋体" w:hAnsi="宋体" w:eastAsia="宋体" w:cs="宋体"/>
                <w:color w:val="auto"/>
                <w:sz w:val="21"/>
                <w:szCs w:val="21"/>
                <w:highlight w:val="none"/>
                <w:lang w:val="en-US" w:eastAsia="zh-CN"/>
              </w:rPr>
              <w:t>具有</w:t>
            </w:r>
            <w:r>
              <w:rPr>
                <w:rFonts w:hint="eastAsia" w:ascii="宋体" w:hAnsi="宋体" w:eastAsia="宋体" w:cs="宋体"/>
                <w:i w:val="0"/>
                <w:iCs w:val="0"/>
                <w:color w:val="000000"/>
                <w:kern w:val="0"/>
                <w:sz w:val="21"/>
                <w:szCs w:val="21"/>
                <w:u w:val="none"/>
                <w:lang w:val="en-US" w:eastAsia="zh-CN" w:bidi="ar"/>
              </w:rPr>
              <w:t>所投产品的建设案例，</w:t>
            </w:r>
            <w:r>
              <w:rPr>
                <w:rFonts w:hint="eastAsia" w:ascii="宋体" w:hAnsi="宋体" w:eastAsia="宋体" w:cs="宋体"/>
                <w:color w:val="auto"/>
                <w:sz w:val="21"/>
                <w:szCs w:val="21"/>
                <w:highlight w:val="none"/>
              </w:rPr>
              <w:t>提供业绩列表及对应合同（</w:t>
            </w:r>
            <w:r>
              <w:rPr>
                <w:rFonts w:hint="eastAsia" w:ascii="宋体" w:hAnsi="宋体" w:cs="宋体"/>
                <w:color w:val="auto"/>
                <w:sz w:val="21"/>
                <w:szCs w:val="21"/>
                <w:highlight w:val="none"/>
                <w:lang w:val="en-US" w:eastAsia="zh-CN"/>
              </w:rPr>
              <w:t>提供合同复印件加盖公章，</w:t>
            </w:r>
            <w:r>
              <w:rPr>
                <w:rFonts w:hint="eastAsia" w:ascii="宋体" w:hAnsi="宋体" w:eastAsia="宋体" w:cs="宋体"/>
                <w:color w:val="auto"/>
                <w:sz w:val="21"/>
                <w:szCs w:val="21"/>
                <w:highlight w:val="none"/>
              </w:rPr>
              <w:t>以合同签订日期为准），每提供1个符合要求的业绩得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分，本项最高为</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652"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lang w:val="zh-CN"/>
              </w:rPr>
            </w:pPr>
            <w:r>
              <w:rPr>
                <w:rFonts w:hint="eastAsia" w:ascii="宋体" w:hAnsi="宋体" w:cs="宋体"/>
                <w:color w:val="auto"/>
                <w:szCs w:val="21"/>
                <w:highlight w:val="none"/>
                <w:lang w:val="zh-CN"/>
              </w:rPr>
              <w:t>商务条款响应</w:t>
            </w:r>
          </w:p>
          <w:p>
            <w:pPr>
              <w:pStyle w:val="30"/>
              <w:jc w:val="center"/>
              <w:rPr>
                <w:rFonts w:hint="eastAsia" w:ascii="宋体" w:hAnsi="宋体" w:eastAsia="宋体" w:cs="宋体"/>
                <w:color w:val="auto"/>
                <w:sz w:val="21"/>
                <w:szCs w:val="21"/>
                <w:highlight w:val="none"/>
                <w:lang w:val="zh-CN"/>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lang w:val="zh-CN"/>
              </w:rPr>
              <w:t>分</w:t>
            </w:r>
            <w:r>
              <w:rPr>
                <w:rFonts w:hint="eastAsia" w:ascii="宋体" w:hAnsi="宋体" w:cs="宋体"/>
                <w:color w:val="auto"/>
                <w:szCs w:val="21"/>
                <w:highlight w:val="none"/>
              </w:rPr>
              <w:t>）</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tc>
        <w:tc>
          <w:tcPr>
            <w:tcW w:w="5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20" w:lineRule="atLeas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商务条款（包括但不限于</w:t>
            </w:r>
            <w:r>
              <w:rPr>
                <w:rFonts w:hint="eastAsia" w:ascii="宋体" w:hAnsi="宋体" w:cs="宋体"/>
                <w:color w:val="auto"/>
                <w:sz w:val="21"/>
                <w:szCs w:val="21"/>
                <w:highlight w:val="none"/>
                <w:lang w:val="en-US" w:eastAsia="zh-CN"/>
              </w:rPr>
              <w:t>实施完工期</w:t>
            </w:r>
            <w:r>
              <w:rPr>
                <w:rFonts w:hint="eastAsia" w:ascii="宋体" w:hAnsi="宋体" w:eastAsia="宋体" w:cs="宋体"/>
                <w:color w:val="auto"/>
                <w:sz w:val="21"/>
                <w:szCs w:val="21"/>
                <w:highlight w:val="none"/>
              </w:rPr>
              <w:t>、质量保证期、</w:t>
            </w:r>
            <w:r>
              <w:rPr>
                <w:rFonts w:hint="eastAsia" w:ascii="宋体" w:hAnsi="宋体" w:eastAsia="宋体" w:cs="宋体"/>
                <w:color w:val="auto"/>
                <w:sz w:val="21"/>
                <w:szCs w:val="21"/>
                <w:highlight w:val="none"/>
                <w:lang w:val="en-US" w:eastAsia="zh-CN"/>
              </w:rPr>
              <w:t>付款方式、应急响应</w:t>
            </w:r>
            <w:r>
              <w:rPr>
                <w:rFonts w:hint="eastAsia" w:ascii="宋体" w:hAnsi="宋体" w:eastAsia="宋体" w:cs="宋体"/>
                <w:color w:val="auto"/>
                <w:sz w:val="21"/>
                <w:szCs w:val="21"/>
                <w:highlight w:val="none"/>
              </w:rPr>
              <w:t>等）优于招标文件要求</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价0-2分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93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1）项目培训服务应完整、合理、切合实际，培训体系介绍、培训内容、培训方式、培训效果等内容，根据方案进行综合评价0-</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continue"/>
            <w:tcBorders>
              <w:left w:val="single" w:color="auto" w:sz="4" w:space="0"/>
              <w:right w:val="single" w:color="auto" w:sz="4" w:space="0"/>
            </w:tcBorders>
            <w:vAlign w:val="center"/>
          </w:tcPr>
          <w:p>
            <w:pPr>
              <w:spacing w:line="300" w:lineRule="exact"/>
              <w:jc w:val="center"/>
              <w:rPr>
                <w:rFonts w:hint="eastAsia" w:ascii="宋体" w:hAnsi="宋体" w:cs="宋体"/>
                <w:color w:val="auto"/>
                <w:sz w:val="21"/>
                <w:szCs w:val="21"/>
                <w:highlight w:val="none"/>
                <w:lang w:val="en-US" w:eastAsia="zh-CN"/>
              </w:rPr>
            </w:pPr>
          </w:p>
        </w:tc>
        <w:tc>
          <w:tcPr>
            <w:tcW w:w="93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2）项目售后服务应完整、合理、切合实际，包括但不限于：售后服务组织体系、服务内容、服务保障措施等方面内容，</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价0-4分</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szCs w:val="21"/>
                <w:lang w:bidi="ar"/>
              </w:rPr>
            </w:pP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cs="宋体"/>
                <w:color w:val="auto"/>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20" w:lineRule="atLeast"/>
              <w:textAlignment w:val="auto"/>
              <w:rPr>
                <w:rFonts w:hint="eastAsia" w:ascii="宋体" w:hAnsi="宋体" w:eastAsia="宋体" w:cs="宋体"/>
                <w:szCs w:val="21"/>
                <w:lang w:bidi="ar"/>
              </w:rPr>
            </w:pPr>
            <w:r>
              <w:rPr>
                <w:rFonts w:hint="eastAsia" w:ascii="宋体" w:hAnsi="宋体" w:cs="宋体"/>
                <w:szCs w:val="21"/>
                <w:lang w:val="en-US" w:eastAsia="zh-CN" w:bidi="ar"/>
              </w:rPr>
              <w:t>3）</w:t>
            </w: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val="en-US" w:eastAsia="zh-CN"/>
              </w:rPr>
              <w:t>可以</w:t>
            </w:r>
            <w:r>
              <w:rPr>
                <w:rFonts w:hint="eastAsia" w:ascii="宋体" w:hAnsi="宋体" w:eastAsia="宋体" w:cs="宋体"/>
                <w:szCs w:val="21"/>
                <w:lang w:bidi="ar"/>
              </w:rPr>
              <w:t>提供本地化售后服务，提供相关证明材料，提供得</w:t>
            </w:r>
            <w:r>
              <w:rPr>
                <w:rFonts w:hint="eastAsia" w:ascii="宋体" w:hAnsi="宋体" w:cs="宋体"/>
                <w:szCs w:val="21"/>
                <w:lang w:val="en-US" w:eastAsia="zh-CN" w:bidi="ar"/>
              </w:rPr>
              <w:t>3</w:t>
            </w:r>
            <w:r>
              <w:rPr>
                <w:rFonts w:hint="eastAsia" w:ascii="宋体" w:hAnsi="宋体" w:eastAsia="宋体" w:cs="宋体"/>
                <w:szCs w:val="21"/>
                <w:lang w:bidi="ar"/>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left w:val="single" w:color="auto" w:sz="4" w:space="0"/>
              <w:right w:val="single" w:color="auto" w:sz="4" w:space="0"/>
            </w:tcBorders>
            <w:vAlign w:val="center"/>
          </w:tcPr>
          <w:p>
            <w:pPr>
              <w:rPr>
                <w:rFonts w:hint="eastAsia" w:ascii="宋体" w:hAnsi="宋体" w:eastAsia="宋体" w:cs="宋体"/>
                <w:szCs w:val="21"/>
                <w:lang w:bidi="ar"/>
              </w:rPr>
            </w:pPr>
            <w:r>
              <w:rPr>
                <w:rFonts w:hint="eastAsia" w:ascii="宋体" w:hAnsi="宋体" w:eastAsia="宋体" w:cs="宋体"/>
                <w:szCs w:val="21"/>
                <w:lang w:bidi="ar"/>
              </w:rPr>
              <w:t>质保期外服务方案（</w:t>
            </w:r>
            <w:r>
              <w:rPr>
                <w:rFonts w:hint="eastAsia" w:ascii="宋体" w:hAnsi="宋体" w:cs="宋体"/>
                <w:szCs w:val="21"/>
                <w:lang w:val="en-US" w:eastAsia="zh-CN" w:bidi="ar"/>
              </w:rPr>
              <w:t>2</w:t>
            </w:r>
            <w:r>
              <w:rPr>
                <w:rFonts w:hint="eastAsia" w:ascii="宋体" w:hAnsi="宋体" w:eastAsia="宋体" w:cs="宋体"/>
                <w:szCs w:val="21"/>
                <w:lang w:bidi="ar"/>
              </w:rPr>
              <w:t>分）</w:t>
            </w:r>
          </w:p>
        </w:tc>
        <w:tc>
          <w:tcPr>
            <w:tcW w:w="930" w:type="dxa"/>
            <w:tcBorders>
              <w:top w:val="single" w:color="auto" w:sz="4" w:space="0"/>
              <w:left w:val="single" w:color="auto" w:sz="4" w:space="0"/>
              <w:right w:val="single" w:color="auto" w:sz="4" w:space="0"/>
            </w:tcBorders>
            <w:vAlign w:val="center"/>
          </w:tcPr>
          <w:p>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2分</w:t>
            </w:r>
          </w:p>
        </w:tc>
        <w:tc>
          <w:tcPr>
            <w:tcW w:w="5633" w:type="dxa"/>
            <w:tcBorders>
              <w:top w:val="single" w:color="auto" w:sz="4" w:space="0"/>
              <w:left w:val="single" w:color="auto" w:sz="4" w:space="0"/>
              <w:right w:val="single" w:color="auto" w:sz="4" w:space="0"/>
            </w:tcBorders>
            <w:vAlign w:val="center"/>
          </w:tcPr>
          <w:p>
            <w:pPr>
              <w:rPr>
                <w:rFonts w:hint="eastAsia" w:ascii="宋体" w:hAnsi="宋体" w:eastAsia="宋体" w:cs="宋体"/>
                <w:szCs w:val="21"/>
                <w:lang w:bidi="ar"/>
              </w:rPr>
            </w:pPr>
            <w:r>
              <w:rPr>
                <w:rFonts w:hint="eastAsia" w:ascii="宋体" w:hAnsi="宋体" w:cs="宋体"/>
                <w:szCs w:val="21"/>
                <w:lang w:val="en-US" w:eastAsia="zh-CN" w:bidi="ar"/>
              </w:rPr>
              <w:t>提供</w:t>
            </w:r>
            <w:r>
              <w:rPr>
                <w:rFonts w:hint="eastAsia" w:ascii="宋体" w:hAnsi="宋体" w:eastAsia="宋体" w:cs="宋体"/>
                <w:szCs w:val="21"/>
                <w:lang w:bidi="ar"/>
              </w:rPr>
              <w:t>质保期满后的服务措施，</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价0-2分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left w:val="single" w:color="auto" w:sz="4" w:space="0"/>
              <w:right w:val="single" w:color="auto" w:sz="4" w:space="0"/>
            </w:tcBorders>
            <w:vAlign w:val="center"/>
          </w:tcPr>
          <w:p>
            <w:pPr>
              <w:spacing w:line="30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企业实力</w:t>
            </w:r>
          </w:p>
          <w:p>
            <w:pPr>
              <w:pStyle w:val="23"/>
              <w:ind w:left="0" w:leftChars="0" w:firstLine="0" w:firstLineChars="0"/>
              <w:jc w:val="center"/>
              <w:rPr>
                <w:rFonts w:hint="default"/>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93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5分</w:t>
            </w:r>
          </w:p>
        </w:tc>
        <w:tc>
          <w:tcPr>
            <w:tcW w:w="5633" w:type="dxa"/>
            <w:tcBorders>
              <w:top w:val="single" w:color="auto" w:sz="4" w:space="0"/>
              <w:left w:val="single" w:color="auto" w:sz="4" w:space="0"/>
              <w:right w:val="single" w:color="auto" w:sz="4" w:space="0"/>
            </w:tcBorders>
            <w:vAlign w:val="center"/>
          </w:tcPr>
          <w:p>
            <w:pPr>
              <w:rPr>
                <w:rFonts w:hint="eastAsia" w:ascii="宋体" w:hAnsi="宋体" w:eastAsia="宋体" w:cs="宋体"/>
                <w:szCs w:val="21"/>
                <w:lang w:bidi="ar"/>
              </w:rPr>
            </w:pPr>
            <w:r>
              <w:rPr>
                <w:rFonts w:hint="eastAsia" w:ascii="宋体" w:hAnsi="宋体" w:cs="宋体"/>
                <w:szCs w:val="21"/>
                <w:lang w:val="en-US" w:eastAsia="zh-CN" w:bidi="ar"/>
              </w:rPr>
              <w:t>1、</w:t>
            </w:r>
            <w:r>
              <w:rPr>
                <w:rFonts w:hint="eastAsia" w:ascii="宋体" w:hAnsi="宋体" w:eastAsia="宋体" w:cs="宋体"/>
                <w:szCs w:val="21"/>
                <w:lang w:bidi="ar"/>
              </w:rPr>
              <w:t>投标人或生产厂家需具有与康复相关产品的自主知识产权，提供由国家版权局颁发的相关软件产品的著作权登记证书复印件（要求颁发时间在</w:t>
            </w:r>
            <w:r>
              <w:rPr>
                <w:rFonts w:hint="eastAsia" w:ascii="宋体" w:hAnsi="宋体" w:eastAsia="宋体" w:cs="宋体"/>
                <w:szCs w:val="21"/>
                <w:lang w:val="en-US" w:eastAsia="zh-CN" w:bidi="ar"/>
              </w:rPr>
              <w:t>开标时间</w:t>
            </w:r>
            <w:r>
              <w:rPr>
                <w:rFonts w:hint="eastAsia" w:ascii="宋体" w:hAnsi="宋体" w:eastAsia="宋体" w:cs="宋体"/>
                <w:szCs w:val="21"/>
                <w:lang w:bidi="ar"/>
              </w:rPr>
              <w:t>之前），</w:t>
            </w:r>
            <w:r>
              <w:rPr>
                <w:rFonts w:hint="eastAsia" w:ascii="宋体" w:hAnsi="宋体" w:eastAsia="宋体" w:cs="宋体"/>
                <w:i w:val="0"/>
                <w:iCs w:val="0"/>
                <w:color w:val="000000"/>
                <w:kern w:val="2"/>
                <w:sz w:val="21"/>
                <w:szCs w:val="21"/>
                <w:u w:val="none"/>
                <w:lang w:val="en-US" w:eastAsia="zh-CN" w:bidi="ar-SA"/>
              </w:rPr>
              <w:t>提供</w:t>
            </w:r>
            <w:r>
              <w:rPr>
                <w:rFonts w:hint="eastAsia" w:ascii="宋体" w:hAnsi="宋体" w:cs="宋体"/>
                <w:i w:val="0"/>
                <w:iCs w:val="0"/>
                <w:color w:val="000000"/>
                <w:kern w:val="2"/>
                <w:sz w:val="21"/>
                <w:szCs w:val="21"/>
                <w:u w:val="none"/>
                <w:lang w:val="en-US" w:eastAsia="zh-CN" w:bidi="ar-SA"/>
              </w:rPr>
              <w:t>6-7</w:t>
            </w:r>
            <w:r>
              <w:rPr>
                <w:rFonts w:hint="eastAsia" w:ascii="宋体" w:hAnsi="宋体" w:eastAsia="宋体" w:cs="宋体"/>
                <w:i w:val="0"/>
                <w:iCs w:val="0"/>
                <w:color w:val="000000"/>
                <w:kern w:val="2"/>
                <w:sz w:val="21"/>
                <w:szCs w:val="21"/>
                <w:u w:val="none"/>
                <w:lang w:val="en-US" w:eastAsia="zh-CN" w:bidi="ar-SA"/>
              </w:rPr>
              <w:t>得</w:t>
            </w:r>
            <w:r>
              <w:rPr>
                <w:rFonts w:hint="eastAsia" w:ascii="宋体" w:hAnsi="宋体" w:cs="宋体"/>
                <w:i w:val="0"/>
                <w:iCs w:val="0"/>
                <w:color w:val="000000"/>
                <w:kern w:val="2"/>
                <w:sz w:val="21"/>
                <w:szCs w:val="21"/>
                <w:u w:val="none"/>
                <w:lang w:val="en-US" w:eastAsia="zh-CN" w:bidi="ar-SA"/>
              </w:rPr>
              <w:t>5</w:t>
            </w:r>
            <w:r>
              <w:rPr>
                <w:rFonts w:hint="eastAsia" w:ascii="宋体" w:hAnsi="宋体" w:eastAsia="宋体" w:cs="宋体"/>
                <w:i w:val="0"/>
                <w:iCs w:val="0"/>
                <w:color w:val="000000"/>
                <w:kern w:val="2"/>
                <w:sz w:val="21"/>
                <w:szCs w:val="21"/>
                <w:u w:val="none"/>
                <w:lang w:val="en-US" w:eastAsia="zh-CN" w:bidi="ar-SA"/>
              </w:rPr>
              <w:t>分，提供</w:t>
            </w:r>
            <w:r>
              <w:rPr>
                <w:rFonts w:hint="eastAsia" w:ascii="宋体" w:hAnsi="宋体" w:cs="宋体"/>
                <w:i w:val="0"/>
                <w:iCs w:val="0"/>
                <w:color w:val="000000"/>
                <w:kern w:val="2"/>
                <w:sz w:val="21"/>
                <w:szCs w:val="21"/>
                <w:u w:val="none"/>
                <w:lang w:val="en-US" w:eastAsia="zh-CN" w:bidi="ar-SA"/>
              </w:rPr>
              <w:t>3-5</w:t>
            </w:r>
            <w:r>
              <w:rPr>
                <w:rFonts w:hint="eastAsia" w:ascii="宋体" w:hAnsi="宋体" w:eastAsia="宋体" w:cs="宋体"/>
                <w:i w:val="0"/>
                <w:iCs w:val="0"/>
                <w:color w:val="000000"/>
                <w:kern w:val="2"/>
                <w:sz w:val="21"/>
                <w:szCs w:val="21"/>
                <w:u w:val="none"/>
                <w:lang w:val="en-US" w:eastAsia="zh-CN" w:bidi="ar-SA"/>
              </w:rPr>
              <w:t>得</w:t>
            </w:r>
            <w:r>
              <w:rPr>
                <w:rFonts w:hint="eastAsia" w:ascii="宋体" w:hAnsi="宋体" w:cs="宋体"/>
                <w:i w:val="0"/>
                <w:iCs w:val="0"/>
                <w:color w:val="000000"/>
                <w:kern w:val="2"/>
                <w:sz w:val="21"/>
                <w:szCs w:val="21"/>
                <w:u w:val="none"/>
                <w:lang w:val="en-US" w:eastAsia="zh-CN" w:bidi="ar-SA"/>
              </w:rPr>
              <w:t>3</w:t>
            </w:r>
            <w:r>
              <w:rPr>
                <w:rFonts w:hint="eastAsia" w:ascii="宋体" w:hAnsi="宋体" w:eastAsia="宋体" w:cs="宋体"/>
                <w:i w:val="0"/>
                <w:iCs w:val="0"/>
                <w:color w:val="000000"/>
                <w:kern w:val="2"/>
                <w:sz w:val="21"/>
                <w:szCs w:val="21"/>
                <w:u w:val="none"/>
                <w:lang w:val="en-US" w:eastAsia="zh-CN" w:bidi="ar-SA"/>
              </w:rPr>
              <w:t>分，提供</w:t>
            </w:r>
            <w:r>
              <w:rPr>
                <w:rFonts w:hint="eastAsia" w:ascii="宋体" w:hAnsi="宋体" w:cs="宋体"/>
                <w:i w:val="0"/>
                <w:iCs w:val="0"/>
                <w:color w:val="000000"/>
                <w:kern w:val="2"/>
                <w:sz w:val="21"/>
                <w:szCs w:val="21"/>
                <w:u w:val="none"/>
                <w:lang w:val="en-US" w:eastAsia="zh-CN" w:bidi="ar-SA"/>
              </w:rPr>
              <w:t>1-2</w:t>
            </w:r>
            <w:r>
              <w:rPr>
                <w:rFonts w:hint="eastAsia" w:ascii="宋体" w:hAnsi="宋体" w:eastAsia="宋体" w:cs="宋体"/>
                <w:i w:val="0"/>
                <w:iCs w:val="0"/>
                <w:color w:val="000000"/>
                <w:kern w:val="2"/>
                <w:sz w:val="21"/>
                <w:szCs w:val="21"/>
                <w:u w:val="none"/>
                <w:lang w:val="en-US" w:eastAsia="zh-CN" w:bidi="ar-SA"/>
              </w:rPr>
              <w:t>得</w:t>
            </w:r>
            <w:r>
              <w:rPr>
                <w:rFonts w:hint="eastAsia" w:ascii="宋体" w:hAnsi="宋体" w:cs="宋体"/>
                <w:i w:val="0"/>
                <w:iCs w:val="0"/>
                <w:color w:val="000000"/>
                <w:kern w:val="2"/>
                <w:sz w:val="21"/>
                <w:szCs w:val="21"/>
                <w:u w:val="none"/>
                <w:lang w:val="en-US" w:eastAsia="zh-CN" w:bidi="ar-SA"/>
              </w:rPr>
              <w:t>1</w:t>
            </w:r>
            <w:r>
              <w:rPr>
                <w:rFonts w:hint="eastAsia" w:ascii="宋体" w:hAnsi="宋体" w:eastAsia="宋体" w:cs="宋体"/>
                <w:i w:val="0"/>
                <w:iCs w:val="0"/>
                <w:color w:val="000000"/>
                <w:kern w:val="2"/>
                <w:sz w:val="21"/>
                <w:szCs w:val="21"/>
                <w:u w:val="none"/>
                <w:lang w:val="en-US" w:eastAsia="zh-CN" w:bidi="ar-SA"/>
              </w:rPr>
              <w:t>分，</w:t>
            </w:r>
            <w:r>
              <w:rPr>
                <w:rFonts w:hint="eastAsia" w:ascii="宋体" w:hAnsi="宋体" w:eastAsia="宋体" w:cs="宋体"/>
                <w:szCs w:val="21"/>
                <w:lang w:bidi="ar"/>
              </w:rPr>
              <w:t>不提供或提供虚假证书不得分：</w:t>
            </w:r>
          </w:p>
          <w:p>
            <w:pPr>
              <w:rPr>
                <w:rFonts w:hint="eastAsia" w:ascii="宋体" w:hAnsi="宋体" w:eastAsia="宋体" w:cs="宋体"/>
                <w:szCs w:val="21"/>
                <w:lang w:bidi="ar"/>
              </w:rPr>
            </w:pPr>
            <w:r>
              <w:rPr>
                <w:rFonts w:hint="eastAsia" w:ascii="宋体" w:hAnsi="宋体" w:eastAsia="宋体" w:cs="宋体"/>
                <w:szCs w:val="21"/>
                <w:lang w:val="en-US" w:eastAsia="zh-CN" w:bidi="ar"/>
              </w:rPr>
              <w:t>①</w:t>
            </w:r>
            <w:r>
              <w:rPr>
                <w:rFonts w:hint="eastAsia" w:ascii="宋体" w:hAnsi="宋体" w:eastAsia="宋体" w:cs="宋体"/>
                <w:szCs w:val="21"/>
                <w:lang w:bidi="ar"/>
              </w:rPr>
              <w:t>康复平台软件著作权，需提供同时含有“康复”字样的证书复印件。</w:t>
            </w:r>
          </w:p>
          <w:p>
            <w:pPr>
              <w:rPr>
                <w:rFonts w:hint="eastAsia" w:ascii="宋体" w:hAnsi="宋体" w:eastAsia="宋体" w:cs="宋体"/>
                <w:szCs w:val="21"/>
                <w:lang w:bidi="ar"/>
              </w:rPr>
            </w:pPr>
            <w:r>
              <w:rPr>
                <w:rFonts w:hint="eastAsia" w:ascii="宋体" w:hAnsi="宋体" w:eastAsia="宋体" w:cs="宋体"/>
                <w:szCs w:val="21"/>
                <w:lang w:val="en-US" w:eastAsia="zh-CN" w:bidi="ar"/>
              </w:rPr>
              <w:t>②</w:t>
            </w:r>
            <w:r>
              <w:rPr>
                <w:rFonts w:hint="eastAsia" w:ascii="宋体" w:hAnsi="宋体" w:eastAsia="宋体" w:cs="宋体"/>
                <w:szCs w:val="21"/>
                <w:lang w:bidi="ar"/>
              </w:rPr>
              <w:t>康复数字诊疗管理系统软件著作权，需提供同时含有“康复”、“数字诊疗”字样的证书复印件。</w:t>
            </w:r>
            <w:r>
              <w:rPr>
                <w:rFonts w:hint="eastAsia" w:ascii="宋体" w:hAnsi="宋体" w:eastAsia="宋体" w:cs="宋体"/>
                <w:szCs w:val="21"/>
                <w:lang w:bidi="ar"/>
              </w:rPr>
              <w:tab/>
            </w:r>
          </w:p>
          <w:p>
            <w:pPr>
              <w:rPr>
                <w:rFonts w:hint="eastAsia" w:ascii="宋体" w:hAnsi="宋体" w:eastAsia="宋体" w:cs="宋体"/>
                <w:szCs w:val="21"/>
                <w:lang w:eastAsia="zh-CN" w:bidi="ar"/>
              </w:rPr>
            </w:pPr>
            <w:r>
              <w:rPr>
                <w:rFonts w:hint="eastAsia" w:ascii="宋体" w:hAnsi="宋体" w:eastAsia="宋体" w:cs="宋体"/>
                <w:szCs w:val="21"/>
                <w:lang w:val="en-US" w:eastAsia="zh-CN" w:bidi="ar"/>
              </w:rPr>
              <w:t>③</w:t>
            </w:r>
            <w:r>
              <w:rPr>
                <w:rFonts w:hint="eastAsia" w:ascii="宋体" w:hAnsi="宋体" w:eastAsia="宋体" w:cs="宋体"/>
                <w:szCs w:val="21"/>
                <w:lang w:bidi="ar"/>
              </w:rPr>
              <w:t>康复治疗排程软件著作权，需提供同时含有“康复”、“治疗排程”字样的证书复印件</w:t>
            </w:r>
            <w:r>
              <w:rPr>
                <w:rFonts w:hint="eastAsia" w:ascii="宋体" w:hAnsi="宋体" w:eastAsia="宋体" w:cs="宋体"/>
                <w:szCs w:val="21"/>
                <w:lang w:eastAsia="zh-CN" w:bidi="ar"/>
              </w:rPr>
              <w:t>。</w:t>
            </w:r>
          </w:p>
          <w:p>
            <w:pPr>
              <w:rPr>
                <w:rFonts w:hint="eastAsia" w:ascii="宋体" w:hAnsi="宋体" w:eastAsia="宋体" w:cs="宋体"/>
                <w:szCs w:val="21"/>
                <w:lang w:eastAsia="zh-CN" w:bidi="ar"/>
              </w:rPr>
            </w:pPr>
            <w:r>
              <w:rPr>
                <w:rFonts w:hint="eastAsia" w:ascii="宋体" w:hAnsi="宋体" w:eastAsia="宋体" w:cs="宋体"/>
                <w:szCs w:val="21"/>
                <w:lang w:val="en-US" w:eastAsia="zh-CN" w:bidi="ar"/>
              </w:rPr>
              <w:t>④</w:t>
            </w:r>
            <w:r>
              <w:rPr>
                <w:rFonts w:hint="eastAsia" w:ascii="宋体" w:hAnsi="宋体" w:eastAsia="宋体" w:cs="宋体"/>
                <w:szCs w:val="21"/>
                <w:lang w:bidi="ar"/>
              </w:rPr>
              <w:t>康复患者移动端软件著作权，需提供同时含有“康复”、“患者移动端”字样的证书复印件</w:t>
            </w:r>
            <w:r>
              <w:rPr>
                <w:rFonts w:hint="eastAsia" w:ascii="宋体" w:hAnsi="宋体" w:eastAsia="宋体" w:cs="宋体"/>
                <w:szCs w:val="21"/>
                <w:lang w:eastAsia="zh-CN" w:bidi="ar"/>
              </w:rPr>
              <w:t>。</w:t>
            </w:r>
          </w:p>
          <w:p>
            <w:pPr>
              <w:rPr>
                <w:rFonts w:hint="eastAsia" w:ascii="宋体" w:hAnsi="宋体" w:eastAsia="宋体" w:cs="宋体"/>
                <w:szCs w:val="21"/>
                <w:lang w:eastAsia="zh-CN" w:bidi="ar"/>
              </w:rPr>
            </w:pPr>
            <w:r>
              <w:rPr>
                <w:rFonts w:hint="eastAsia" w:ascii="宋体" w:hAnsi="宋体" w:eastAsia="宋体" w:cs="宋体"/>
                <w:szCs w:val="21"/>
                <w:lang w:val="en-US" w:eastAsia="zh-CN" w:bidi="ar"/>
              </w:rPr>
              <w:t>⑤</w:t>
            </w:r>
            <w:r>
              <w:rPr>
                <w:rFonts w:hint="eastAsia" w:ascii="宋体" w:hAnsi="宋体" w:eastAsia="宋体" w:cs="宋体"/>
                <w:szCs w:val="21"/>
                <w:lang w:bidi="ar"/>
              </w:rPr>
              <w:t>康复医生移动端软件著作权，需提供同时含有“康复”、“医生移动端”字样的证书复印件</w:t>
            </w:r>
            <w:r>
              <w:rPr>
                <w:rFonts w:hint="eastAsia" w:ascii="宋体" w:hAnsi="宋体" w:eastAsia="宋体" w:cs="宋体"/>
                <w:szCs w:val="21"/>
                <w:lang w:eastAsia="zh-CN" w:bidi="ar"/>
              </w:rPr>
              <w:t>。</w:t>
            </w:r>
          </w:p>
          <w:p>
            <w:pPr>
              <w:rPr>
                <w:rFonts w:hint="eastAsia" w:ascii="宋体" w:hAnsi="宋体" w:eastAsia="宋体" w:cs="宋体"/>
                <w:szCs w:val="21"/>
                <w:lang w:eastAsia="zh-CN" w:bidi="ar"/>
              </w:rPr>
            </w:pPr>
            <w:r>
              <w:rPr>
                <w:rFonts w:hint="eastAsia" w:ascii="宋体" w:hAnsi="宋体" w:eastAsia="宋体" w:cs="宋体"/>
                <w:szCs w:val="21"/>
                <w:lang w:val="en-US" w:eastAsia="zh-CN" w:bidi="ar"/>
              </w:rPr>
              <w:t>⑥</w:t>
            </w:r>
            <w:r>
              <w:rPr>
                <w:rFonts w:hint="eastAsia" w:ascii="宋体" w:hAnsi="宋体" w:eastAsia="宋体" w:cs="宋体"/>
                <w:szCs w:val="21"/>
                <w:lang w:bidi="ar"/>
              </w:rPr>
              <w:t>BI可视化数据管理平台，需提供含有“可视化数据”字样的证书复印件</w:t>
            </w:r>
            <w:r>
              <w:rPr>
                <w:rFonts w:hint="eastAsia" w:ascii="宋体" w:hAnsi="宋体" w:eastAsia="宋体" w:cs="宋体"/>
                <w:szCs w:val="21"/>
                <w:lang w:eastAsia="zh-CN" w:bidi="ar"/>
              </w:rPr>
              <w:t>。</w:t>
            </w:r>
          </w:p>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szCs w:val="21"/>
                <w:lang w:val="en-US" w:eastAsia="zh-CN" w:bidi="ar"/>
              </w:rPr>
              <w:t>⑦</w:t>
            </w:r>
            <w:r>
              <w:rPr>
                <w:rFonts w:hint="eastAsia" w:ascii="宋体" w:hAnsi="宋体" w:eastAsia="宋体" w:cs="宋体"/>
                <w:szCs w:val="21"/>
                <w:lang w:bidi="ar"/>
              </w:rPr>
              <w:t>康复质控管理系统著作权，需提供同时含有“康复”、“质控”字样的证书复印件</w:t>
            </w:r>
            <w:r>
              <w:rPr>
                <w:rFonts w:hint="eastAsia" w:ascii="宋体" w:hAnsi="宋体" w:eastAsia="宋体" w:cs="宋体"/>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0" w:hRule="atLeast"/>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8843"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1、通过初审者为有效投标。</w:t>
            </w:r>
          </w:p>
          <w:p>
            <w:pPr>
              <w:autoSpaceDE w:val="0"/>
              <w:autoSpaceDN w:val="0"/>
              <w:adjustRightIn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2、以上评分项有缺项时，按0分计取。</w:t>
            </w:r>
          </w:p>
          <w:p>
            <w:pPr>
              <w:autoSpaceDE w:val="0"/>
              <w:autoSpaceDN w:val="0"/>
              <w:adjustRightIn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3、若出现综合得分并列时，比较价格得分此分项得分高者排序在前；若</w:t>
            </w: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rPr>
              <w:t>得分仍相同，依次比较技术</w:t>
            </w:r>
            <w:r>
              <w:rPr>
                <w:rFonts w:hint="eastAsia" w:ascii="宋体" w:hAnsi="宋体" w:cs="宋体"/>
                <w:color w:val="auto"/>
                <w:sz w:val="21"/>
                <w:szCs w:val="21"/>
                <w:highlight w:val="none"/>
                <w:lang w:val="en-US" w:eastAsia="zh-CN"/>
              </w:rPr>
              <w:t>得分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商务得分</w:t>
            </w:r>
            <w:r>
              <w:rPr>
                <w:rFonts w:hint="eastAsia" w:ascii="宋体" w:hAnsi="宋体" w:eastAsia="宋体" w:cs="宋体"/>
                <w:color w:val="auto"/>
                <w:sz w:val="21"/>
                <w:szCs w:val="21"/>
                <w:highlight w:val="none"/>
              </w:rPr>
              <w:t>，此分项得分高者排序在前；若得分仍相同，则由全体评委成员无记名投票，得票高者排序在前。</w:t>
            </w:r>
          </w:p>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4、评委打分超过得分界限或未按本方法赋分时，该评委的打分按废票处理。</w:t>
            </w:r>
          </w:p>
        </w:tc>
      </w:tr>
    </w:tbl>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（五）投标文件报价出现前后不一致的，除招标文件另有规定外，按照下列规定修正：</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投标文件开标一览表（报价表）内容与投标文件中相应内容不一致的，以开标一览表（报价表）为准；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、大写金额和小写金额不一致的，以大写金额为准；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单价金额小数点或者百分比有明显错位的，以开标一览表的总价为准，并修改单价</w:t>
      </w:r>
      <w:r>
        <w:rPr>
          <w:rFonts w:hint="eastAsia" w:ascii="宋体" w:hAnsi="宋体"/>
          <w:color w:val="auto"/>
          <w:sz w:val="21"/>
          <w:szCs w:val="21"/>
          <w:highlight w:val="none"/>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、总价金额与按单价汇总金额不一致的，以单价金额计算结果为准；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5、修正后的报价经投标人的确认后产生约束力，投标人不确认的，其投标无效；</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（六）投标文件内容不一致的，按下列方式处理：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1、对不同文字文本投标文件的解释发生异议的，以中文文本为准；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2、文字与图表不一致的，以文字为准；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3、正本与副本不一致的，以正本为准；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4、电子文件与纸质文件不一致的，以纸质文件为准；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5、投标文件的文字叙述与制造厂商的技术白皮书、检测报告不符时，以技术白皮书、检测报告为准。</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（七）最低报价不作为中标的唯一条件。评标委员会认为投标人的报价明显低于其它通过符</w:t>
      </w:r>
      <w:r>
        <w:rPr>
          <w:rFonts w:hint="eastAsia" w:ascii="宋体" w:hAnsi="宋体" w:eastAsia="宋体" w:cs="Times New Roman"/>
          <w:color w:val="auto"/>
          <w:sz w:val="21"/>
          <w:szCs w:val="21"/>
          <w:highlight w:val="none"/>
        </w:rPr>
        <w:t>合性审查投标人的报价，有可能影响产品质量或者不能诚信履约的，要求投标人应当在评标现场合理的时间内提供书面说明，必要时按照评标委员会允许的时间提交相关证明材料；投标人不能证明其报价合理性和提供证明材料的，评标委员会应当将其作为无效投标处理。</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（八）评标委员会成员对需要共同认定的事项存在争议的，应当按照少数服从多数的原则作出结论。持不同意见的评标委员会成员应当在评标报告上签署不同意见及理由，否则视为同意评标报告。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（八）政府采购政策评分标准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1小微企业的价格评分标准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根据《关于进一步加大政府采购支持中小企业力度的通知》（财库〔2022〕19号）的办法，对于非专门面向中小企业的项目，对小型和微型企业产品的价格给予10%的扣除，用扣除后的价格参与评审，其评审价=投标报价*（1-10%）。</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联合体共同参加非专门面向中小企业的政府采购活动，联合协议中约定，小型和微型企业的协议合同金额占到联合体协议合同金额的30%以上的，可给予联合体4%的价格扣除，用扣除后的价格参与评审，其评审价=投标报价*（1-4%）。</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参加本项目的小微企业须提供《中小企业声明函》（式样见投标文件格式），未提供的不视为小微企业。本项目提供的货物不包括使用大型企业注册商标的货物，小型、微型企业提供中型企业制造的货物的，视同为中型企业。投标人须作出承诺，保证真实性，如有虚假，将依法承担相应责任。</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1.5在服务采购项目中，服务的承接商应当为中小企业，不对其中涉及的货物的制造商作出要求。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2监狱企业的价格评分标准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2.1在政府采购活动中，监狱企业视同小型、微型企业，享受预留份额、评审中价格扣除等政府采购促进中小企业发展的政府采购政策。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2.2监狱企业参加政府采购活动时，应当提供由省级以上监狱管理局、戒毒管理局（含新疆生产建设兵团）出具的属于监狱企业的证明文件。</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2.3监狱企业按《财政部、司法部关于政府采购支持监狱企业发展有关问题的通知》（财库〔2014〕68号）文件规定标准执行。</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3残疾人福利性单位的价格评分标准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3.1在政府采购活动中，残疾人福利性单位视同小型、微型企业，享受预留份额、评审中价格扣除等政府采购促进中小企业发展的政府采购政策。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 xml:space="preserve">符合条件的残疾人福利性单位在参加政府采购活动时，应当提供本通知规定的《残疾人福利性单位声明函》（式样见投标文件格式），并对声明的真实性负责，未提供的不视为残疾人福利性单位。 </w:t>
      </w:r>
    </w:p>
    <w:p>
      <w:pPr>
        <w:spacing w:line="360" w:lineRule="auto"/>
        <w:ind w:firstLine="422" w:firstLineChars="200"/>
        <w:rPr>
          <w:rFonts w:hint="eastAsia" w:ascii="宋体" w:hAnsi="宋体"/>
          <w:color w:val="auto"/>
          <w:sz w:val="21"/>
          <w:szCs w:val="21"/>
          <w:highlight w:val="none"/>
        </w:rPr>
      </w:pPr>
      <w:r>
        <w:rPr>
          <w:rFonts w:hint="eastAsia" w:ascii="宋体" w:hAnsi="宋体"/>
          <w:b/>
          <w:bCs/>
          <w:color w:val="auto"/>
          <w:sz w:val="21"/>
          <w:szCs w:val="21"/>
          <w:highlight w:val="none"/>
        </w:rPr>
        <w:t>以上</w:t>
      </w:r>
      <w:r>
        <w:rPr>
          <w:rFonts w:hint="eastAsia" w:ascii="宋体" w:hAnsi="宋体"/>
          <w:b/>
          <w:bCs/>
          <w:color w:val="auto"/>
          <w:sz w:val="21"/>
          <w:szCs w:val="21"/>
          <w:highlight w:val="none"/>
          <w:lang w:val="en-US" w:eastAsia="zh-CN"/>
        </w:rPr>
        <w:t>1-3项</w:t>
      </w:r>
      <w:r>
        <w:rPr>
          <w:rFonts w:hint="eastAsia" w:ascii="宋体" w:hAnsi="宋体"/>
          <w:b/>
          <w:bCs/>
          <w:color w:val="auto"/>
          <w:sz w:val="21"/>
          <w:szCs w:val="21"/>
          <w:highlight w:val="none"/>
        </w:rPr>
        <w:t>政策同时具备的仅对其进行一次10%的价格扣除，不重复扣除。</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4节能产品、环境标志</w:t>
      </w:r>
      <w:r>
        <w:rPr>
          <w:rFonts w:hint="eastAsia" w:ascii="宋体" w:hAnsi="宋体"/>
          <w:color w:val="auto"/>
          <w:sz w:val="21"/>
          <w:szCs w:val="21"/>
          <w:highlight w:val="none"/>
          <w:lang w:eastAsia="zh-CN"/>
        </w:rPr>
        <w:t>、无线局域网认证产品政策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4.1投标</w:t>
      </w:r>
      <w:r>
        <w:rPr>
          <w:rFonts w:hint="eastAsia" w:ascii="宋体" w:hAnsi="宋体"/>
          <w:color w:val="auto"/>
          <w:sz w:val="21"/>
          <w:szCs w:val="21"/>
          <w:highlight w:val="none"/>
          <w:lang w:val="zh-CN"/>
        </w:rPr>
        <w:t>产品为节能、环保、环境标志产品清单中的产品，符合</w:t>
      </w:r>
      <w:r>
        <w:rPr>
          <w:rFonts w:hint="eastAsia" w:ascii="宋体" w:hAnsi="宋体"/>
          <w:color w:val="auto"/>
          <w:sz w:val="21"/>
          <w:szCs w:val="21"/>
          <w:highlight w:val="none"/>
        </w:rPr>
        <w:t>招标</w:t>
      </w:r>
      <w:r>
        <w:rPr>
          <w:rFonts w:hint="eastAsia" w:ascii="宋体" w:hAnsi="宋体"/>
          <w:color w:val="auto"/>
          <w:sz w:val="21"/>
          <w:szCs w:val="21"/>
          <w:highlight w:val="none"/>
          <w:lang w:val="zh-CN"/>
        </w:rPr>
        <w:t>文件要求的，可优先采购，</w:t>
      </w:r>
      <w:r>
        <w:rPr>
          <w:rFonts w:hint="eastAsia" w:ascii="宋体" w:hAnsi="宋体"/>
          <w:color w:val="auto"/>
          <w:sz w:val="21"/>
          <w:szCs w:val="21"/>
          <w:highlight w:val="none"/>
          <w:lang w:val="en-US" w:eastAsia="zh-CN"/>
        </w:rPr>
        <w:t>具体详见</w:t>
      </w:r>
      <w:r>
        <w:rPr>
          <w:rFonts w:hint="eastAsia" w:ascii="宋体" w:hAnsi="宋体"/>
          <w:color w:val="auto"/>
          <w:sz w:val="21"/>
          <w:szCs w:val="21"/>
          <w:highlight w:val="none"/>
        </w:rPr>
        <w:t>综合评审因素及分值</w:t>
      </w:r>
      <w:r>
        <w:rPr>
          <w:rFonts w:hint="eastAsia" w:ascii="宋体" w:hAnsi="宋体"/>
          <w:color w:val="auto"/>
          <w:sz w:val="21"/>
          <w:szCs w:val="21"/>
          <w:highlight w:val="none"/>
          <w:lang w:val="zh-CN"/>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4.2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4.3投标人在投标文件中对所投产品为节能、环保、环境标志产品品目清单中的产品，在投标报价时必须对此类产品单独分项报价，并提供认证机构出具的、处于有效期之内的节能产品、环境标志产品认证证书，未提供认证证书的不给予计分。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4.4若节能、环保、环境标志品目清单内的产品仅是构成所投产品的部件、组件或零件的，则该所投产品不享受鼓励优惠政策。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4.5节能、环保、环境标志产品部分计分只对属于品目清单内的非强制类产品进行计分，强制类产品不给予计分。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4.6对于同时列入环保品目清单和节能品目清单的产品，应当优先于只列入其中一个清单的产品。 </w:t>
      </w:r>
    </w:p>
    <w:p>
      <w:pPr>
        <w:spacing w:line="360" w:lineRule="auto"/>
        <w:ind w:firstLine="420" w:firstLineChars="200"/>
        <w:rPr>
          <w:rFonts w:hint="eastAsia" w:ascii="宋体" w:hAnsi="宋体"/>
          <w:color w:val="auto"/>
          <w:sz w:val="21"/>
          <w:szCs w:val="21"/>
          <w:highlight w:val="yellow"/>
        </w:rPr>
      </w:pPr>
      <w:r>
        <w:rPr>
          <w:rFonts w:hint="eastAsia" w:ascii="宋体" w:hAnsi="宋体"/>
          <w:color w:val="auto"/>
          <w:sz w:val="21"/>
          <w:szCs w:val="21"/>
          <w:highlight w:val="none"/>
        </w:rPr>
        <w:t>4.7获得上述认证的产品在</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时应提供有效证明材料。</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（九）</w:t>
      </w:r>
      <w:r>
        <w:rPr>
          <w:rFonts w:hint="eastAsia" w:ascii="宋体" w:hAnsi="宋体" w:eastAsia="宋体" w:cs="Times New Roman"/>
          <w:color w:val="auto"/>
          <w:sz w:val="21"/>
          <w:szCs w:val="21"/>
          <w:highlight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olor w:val="auto"/>
          <w:sz w:val="21"/>
          <w:szCs w:val="21"/>
          <w:highlight w:val="none"/>
        </w:rPr>
        <w:t>评标委员会评价最终得分由高至低排列名序，推荐中标候选投标人。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（十）特殊情况的处理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1单一产品采购项目中，提供相同品牌的产品的不同投标人参加同一合同项下投标的，按以下方法处理：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使用综合评分法的采购项目，提供相同品牌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2非单一产品采购项目中，提供相同品牌的核心产品的不同投标人参加同一合同项下投标的，按以下方法处理：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使用综合评分法的采购项目，提供相同品牌核心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2.2</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产品为两个及以上时，对两家以上</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使用相同制造商产品作为其项目包的一部分，且相同产品的价格总和均超过该项目包各自投标总价60%的，按一家投标人认定。</w:t>
      </w:r>
    </w:p>
    <w:p>
      <w:pPr>
        <w:pStyle w:val="3"/>
        <w:spacing w:before="78" w:after="78"/>
        <w:rPr>
          <w:rFonts w:hint="eastAsia" w:ascii="宋体" w:hAnsi="宋体"/>
          <w:color w:val="auto"/>
          <w:highlight w:val="none"/>
          <w:lang w:val="en-US" w:eastAsia="zh-CN"/>
        </w:rPr>
      </w:pPr>
      <w:bookmarkStart w:id="65" w:name="_Toc52064328"/>
      <w:bookmarkStart w:id="66" w:name="_Toc52064871"/>
      <w:bookmarkStart w:id="67" w:name="_Toc48301730"/>
      <w:bookmarkStart w:id="68" w:name="_Toc23246"/>
      <w:r>
        <w:rPr>
          <w:rFonts w:hint="eastAsia" w:ascii="宋体" w:hAnsi="宋体"/>
          <w:color w:val="auto"/>
          <w:highlight w:val="none"/>
          <w:lang w:val="en-US" w:eastAsia="zh-CN"/>
        </w:rPr>
        <w:t>四</w:t>
      </w:r>
      <w:r>
        <w:rPr>
          <w:rFonts w:hint="eastAsia"/>
          <w:color w:val="auto"/>
          <w:highlight w:val="none"/>
          <w:lang w:val="en-US" w:eastAsia="zh-CN"/>
        </w:rPr>
        <w:t>、</w:t>
      </w:r>
      <w:r>
        <w:rPr>
          <w:rFonts w:hint="eastAsia" w:ascii="宋体" w:hAnsi="宋体"/>
          <w:color w:val="auto"/>
          <w:highlight w:val="none"/>
          <w:lang w:val="en-US" w:eastAsia="zh-CN"/>
        </w:rPr>
        <w:t>投标无效情形</w:t>
      </w:r>
      <w:bookmarkEnd w:id="65"/>
      <w:bookmarkEnd w:id="66"/>
      <w:bookmarkEnd w:id="67"/>
      <w:bookmarkEnd w:id="68"/>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（一）投标文件未按招标文件要求签署、盖章的；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（二）不具备招标文件中规定的资格要求的；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（三）报价超过招标文件中规定的最高限价的；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（四）投标文件含有采购人不能接受的附加条件的；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（五）法律、法规和招标文件规定的其他无效情形。</w:t>
      </w:r>
      <w:bookmarkStart w:id="69" w:name="_Toc52064872"/>
      <w:bookmarkStart w:id="70" w:name="_Toc52064329"/>
    </w:p>
    <w:p>
      <w:pPr>
        <w:pStyle w:val="3"/>
        <w:spacing w:before="78" w:after="78"/>
        <w:rPr>
          <w:rFonts w:hint="eastAsia" w:ascii="宋体" w:hAnsi="宋体"/>
          <w:color w:val="auto"/>
          <w:highlight w:val="none"/>
          <w:lang w:val="en-US" w:eastAsia="zh-CN"/>
        </w:rPr>
      </w:pPr>
      <w:bookmarkStart w:id="71" w:name="_Toc9301"/>
      <w:r>
        <w:rPr>
          <w:rFonts w:hint="eastAsia" w:ascii="宋体" w:hAnsi="宋体"/>
          <w:color w:val="auto"/>
          <w:highlight w:val="none"/>
          <w:lang w:val="en-US" w:eastAsia="zh-CN"/>
        </w:rPr>
        <w:t>五</w:t>
      </w:r>
      <w:r>
        <w:rPr>
          <w:rFonts w:hint="eastAsia"/>
          <w:color w:val="auto"/>
          <w:highlight w:val="none"/>
          <w:lang w:val="en-US" w:eastAsia="zh-CN"/>
        </w:rPr>
        <w:t>、</w:t>
      </w:r>
      <w:r>
        <w:rPr>
          <w:rFonts w:hint="eastAsia" w:ascii="宋体" w:hAnsi="宋体"/>
          <w:color w:val="auto"/>
          <w:highlight w:val="none"/>
          <w:lang w:val="en-US" w:eastAsia="zh-CN"/>
        </w:rPr>
        <w:t>采购方式改变或重新招标</w:t>
      </w:r>
      <w:bookmarkEnd w:id="69"/>
      <w:bookmarkEnd w:id="70"/>
      <w:bookmarkEnd w:id="71"/>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投标截止后投标人不足3家或者通过资格审查或符合性审查的投标人不足3家的，除采购任务取消情形外，按照以下方式处理：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一</w:t>
      </w:r>
      <w:r>
        <w:rPr>
          <w:rFonts w:hint="eastAsia" w:ascii="宋体" w:hAnsi="宋体"/>
          <w:color w:val="auto"/>
          <w:sz w:val="21"/>
          <w:szCs w:val="21"/>
          <w:highlight w:val="none"/>
        </w:rPr>
        <w:t>）招标文件存在不合理条款或者招标程序不符合规定的，采购人、采购代理机构改正后依法重新招标；</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二</w:t>
      </w:r>
      <w:r>
        <w:rPr>
          <w:rFonts w:hint="eastAsia" w:ascii="宋体" w:hAnsi="宋体"/>
          <w:color w:val="auto"/>
          <w:sz w:val="21"/>
          <w:szCs w:val="21"/>
          <w:highlight w:val="none"/>
        </w:rPr>
        <w:t>）招标文件没有不合理条款、招标程序符合规定，需要采用其他采购方式采购的，采购人应当依法报财政部门批准；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三</w:t>
      </w:r>
      <w:r>
        <w:rPr>
          <w:rFonts w:hint="eastAsia" w:ascii="宋体" w:hAnsi="宋体"/>
          <w:color w:val="auto"/>
          <w:sz w:val="21"/>
          <w:szCs w:val="21"/>
          <w:highlight w:val="none"/>
        </w:rPr>
        <w:t>）招标文件内容违反法律、行政法规、强制性标准、政府采购政策，或者违反公开透明、公平竞争、公正和诚实信用原则，影响潜在投标人投标的，采购代理机构应当修改招标文件后重新招标。</w:t>
      </w:r>
      <w:bookmarkStart w:id="72" w:name="_Toc52064873"/>
      <w:bookmarkStart w:id="73" w:name="_Toc52064330"/>
      <w:bookmarkStart w:id="74" w:name="_Toc48301732"/>
    </w:p>
    <w:p>
      <w:pPr>
        <w:spacing w:line="360" w:lineRule="auto"/>
        <w:ind w:firstLine="420" w:firstLineChars="200"/>
        <w:rPr>
          <w:rFonts w:hint="eastAsia" w:ascii="宋体" w:hAnsi="宋体"/>
          <w:color w:val="auto"/>
          <w:sz w:val="21"/>
          <w:szCs w:val="21"/>
          <w:highlight w:val="none"/>
          <w:lang w:val="en-US" w:eastAsia="zh-CN"/>
        </w:rPr>
      </w:pPr>
      <w:bookmarkStart w:id="75" w:name="_Toc11628"/>
      <w:r>
        <w:rPr>
          <w:rFonts w:hint="eastAsia" w:ascii="宋体" w:hAnsi="宋体"/>
          <w:color w:val="auto"/>
          <w:sz w:val="21"/>
          <w:szCs w:val="21"/>
          <w:highlight w:val="none"/>
          <w:lang w:val="en-US" w:eastAsia="zh-CN"/>
        </w:rPr>
        <w:t>六．采购项目终止</w:t>
      </w:r>
      <w:bookmarkEnd w:id="72"/>
      <w:bookmarkEnd w:id="73"/>
      <w:bookmarkEnd w:id="74"/>
      <w:bookmarkEnd w:id="75"/>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本次采购活动中，出现下列情形之一的，将终止招标：</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（一）符合专业条件的投标人不足三家或者对招标文件作实质响应的投标人不足三家，采购人不需要采用其他采购方式采购的；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（二）出现影响采购公正公平的违法、违规行为的；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（三）因重大变故，采购任务取消的。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终止招标后，采购代理机构应当在</w:t>
      </w:r>
      <w:r>
        <w:rPr>
          <w:rFonts w:hint="eastAsia" w:ascii="宋体" w:hAnsi="宋体"/>
          <w:color w:val="auto"/>
          <w:sz w:val="21"/>
          <w:szCs w:val="21"/>
          <w:highlight w:val="none"/>
          <w:lang w:val="en-US" w:eastAsia="zh-CN"/>
        </w:rPr>
        <w:t>陕西省政府采购网</w:t>
      </w:r>
      <w:r>
        <w:rPr>
          <w:rFonts w:hint="eastAsia" w:ascii="宋体" w:hAnsi="宋体"/>
          <w:color w:val="auto"/>
          <w:sz w:val="21"/>
          <w:szCs w:val="21"/>
          <w:highlight w:val="none"/>
        </w:rPr>
        <w:t>公告。</w:t>
      </w:r>
      <w:r>
        <w:rPr>
          <w:rFonts w:hint="eastAsia" w:ascii="宋体" w:hAnsi="宋体"/>
          <w:color w:val="auto"/>
          <w:sz w:val="21"/>
          <w:szCs w:val="21"/>
          <w:highlight w:val="none"/>
        </w:rPr>
        <w:br w:type="page"/>
      </w:r>
    </w:p>
    <w:p>
      <w:pPr>
        <w:numPr>
          <w:ilvl w:val="0"/>
          <w:numId w:val="4"/>
        </w:numPr>
        <w:spacing w:line="360" w:lineRule="auto"/>
        <w:jc w:val="center"/>
        <w:outlineLvl w:val="0"/>
        <w:rPr>
          <w:rFonts w:ascii="宋体" w:hAnsi="宋体"/>
          <w:b/>
          <w:color w:val="auto"/>
          <w:kern w:val="44"/>
          <w:sz w:val="32"/>
          <w:highlight w:val="none"/>
        </w:rPr>
      </w:pPr>
      <w:r>
        <w:rPr>
          <w:rFonts w:hint="eastAsia" w:ascii="宋体" w:hAnsi="宋体"/>
          <w:b/>
          <w:color w:val="auto"/>
          <w:kern w:val="44"/>
          <w:sz w:val="32"/>
          <w:highlight w:val="none"/>
          <w:lang w:val="en-US" w:eastAsia="zh-CN"/>
        </w:rPr>
        <w:t xml:space="preserve">  </w:t>
      </w:r>
      <w:bookmarkStart w:id="76" w:name="_Toc31625"/>
      <w:r>
        <w:rPr>
          <w:rFonts w:hint="eastAsia" w:ascii="宋体" w:hAnsi="宋体"/>
          <w:b/>
          <w:color w:val="auto"/>
          <w:kern w:val="44"/>
          <w:sz w:val="32"/>
          <w:highlight w:val="none"/>
        </w:rPr>
        <w:t>采购内容及要求</w:t>
      </w:r>
      <w:bookmarkEnd w:id="76"/>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8"/>
          <w:szCs w:val="28"/>
        </w:rPr>
      </w:pPr>
      <w:bookmarkStart w:id="77" w:name="_Toc18418"/>
      <w:bookmarkStart w:id="78" w:name="_Toc23718"/>
      <w:bookmarkStart w:id="79" w:name="_Toc24974"/>
    </w:p>
    <w:p>
      <w:pPr>
        <w:keepNext/>
        <w:keepLines/>
        <w:widowControl w:val="0"/>
        <w:numPr>
          <w:ilvl w:val="0"/>
          <w:numId w:val="5"/>
        </w:numPr>
        <w:spacing w:before="156" w:beforeLines="50" w:line="360" w:lineRule="auto"/>
        <w:jc w:val="both"/>
        <w:outlineLvl w:val="0"/>
        <w:rPr>
          <w:rFonts w:hint="eastAsia" w:ascii="Calibri" w:hAnsi="Calibri" w:eastAsia="宋体" w:cs="Times New Roman"/>
          <w:b/>
          <w:bCs/>
          <w:kern w:val="44"/>
          <w:sz w:val="44"/>
          <w:szCs w:val="44"/>
          <w:lang w:val="en-US" w:eastAsia="zh-CN" w:bidi="ar-SA"/>
        </w:rPr>
      </w:pPr>
      <w:bookmarkStart w:id="80" w:name="_Toc140140595"/>
      <w:bookmarkStart w:id="81" w:name="_Toc26395"/>
      <w:bookmarkStart w:id="82" w:name="_Toc27511"/>
      <w:bookmarkStart w:id="83" w:name="_Toc19773"/>
      <w:bookmarkStart w:id="84" w:name="_Toc27456"/>
      <w:bookmarkStart w:id="85" w:name="_Toc304356595"/>
      <w:bookmarkStart w:id="86" w:name="_Toc320443646"/>
      <w:bookmarkStart w:id="87" w:name="_Toc320997082"/>
      <w:bookmarkStart w:id="88" w:name="_Toc300478061"/>
      <w:r>
        <w:rPr>
          <w:rFonts w:hint="eastAsia" w:ascii="Calibri" w:hAnsi="Calibri" w:eastAsia="宋体" w:cs="Times New Roman"/>
          <w:b/>
          <w:bCs/>
          <w:kern w:val="44"/>
          <w:sz w:val="44"/>
          <w:szCs w:val="44"/>
          <w:lang w:val="en-US" w:eastAsia="zh-CN" w:bidi="ar-SA"/>
        </w:rPr>
        <w:t>项目整体方案</w:t>
      </w:r>
      <w:bookmarkEnd w:id="80"/>
      <w:bookmarkEnd w:id="81"/>
      <w:bookmarkEnd w:id="82"/>
      <w:bookmarkEnd w:id="83"/>
      <w:bookmarkEnd w:id="84"/>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89" w:name="_Toc140140596"/>
      <w:bookmarkStart w:id="90" w:name="_Toc12374"/>
      <w:bookmarkStart w:id="91" w:name="_Toc19706"/>
      <w:bookmarkStart w:id="92" w:name="_Toc20509"/>
      <w:r>
        <w:rPr>
          <w:rFonts w:hint="eastAsia" w:ascii="宋体" w:hAnsi="宋体" w:eastAsia="宋体" w:cs="Times New Roman"/>
          <w:b/>
          <w:bCs/>
          <w:kern w:val="2"/>
          <w:sz w:val="32"/>
          <w:szCs w:val="32"/>
          <w:lang w:val="en-US" w:eastAsia="zh-CN" w:bidi="ar-SA"/>
        </w:rPr>
        <w:t>项目总体目标</w:t>
      </w:r>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以医院评级要求为标准。在满足互联互通、电子病历、智慧服务、智慧医院等评估体系对智慧医院建设的评测要求的基础之上，全面提升医院信息化建设的标准化水平。</w:t>
      </w:r>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93" w:name="_Toc81493633"/>
      <w:bookmarkStart w:id="94" w:name="_Toc140140597"/>
      <w:bookmarkStart w:id="95" w:name="_Toc14742"/>
      <w:bookmarkStart w:id="96" w:name="_Toc21592"/>
      <w:bookmarkStart w:id="97" w:name="_Toc81391696"/>
      <w:bookmarkStart w:id="98" w:name="_Toc30843"/>
      <w:bookmarkStart w:id="99" w:name="_Toc17680"/>
      <w:r>
        <w:rPr>
          <w:rFonts w:hint="eastAsia" w:ascii="宋体" w:hAnsi="宋体" w:eastAsia="宋体" w:cs="Times New Roman"/>
          <w:b/>
          <w:bCs/>
          <w:kern w:val="2"/>
          <w:sz w:val="32"/>
          <w:szCs w:val="32"/>
          <w:lang w:val="en-US" w:eastAsia="zh-CN" w:bidi="ar-SA"/>
        </w:rPr>
        <w:t>项目建设思路</w:t>
      </w:r>
      <w:bookmarkEnd w:id="93"/>
      <w:bookmarkEnd w:id="94"/>
      <w:bookmarkEnd w:id="95"/>
      <w:bookmarkEnd w:id="96"/>
      <w:bookmarkEnd w:id="97"/>
      <w:bookmarkEnd w:id="98"/>
    </w:p>
    <w:bookmarkEnd w:id="99"/>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r>
        <w:rPr>
          <w:rFonts w:hint="eastAsia" w:ascii="Calibri" w:hAnsi="Calibri" w:eastAsia="宋体" w:cs="Times New Roman"/>
          <w:b/>
          <w:bCs/>
          <w:kern w:val="2"/>
          <w:sz w:val="32"/>
          <w:szCs w:val="32"/>
          <w:lang w:val="en-US" w:eastAsia="zh-CN" w:bidi="ar-SA"/>
        </w:rPr>
        <w:t>提升医疗质量管控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以国家卫健委《病历书写基本规范》、《电子病历基本规范(试行)》等各种关于病历质量的规范和要求为基准，建设符合深化医疗改革、贴近医院的实际需求的质量管理体系，提高医疗质量管理效率。</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00" w:name="_Toc81391700"/>
      <w:bookmarkStart w:id="101" w:name="_Toc24181"/>
      <w:bookmarkStart w:id="102" w:name="_Toc81493637"/>
      <w:bookmarkStart w:id="103" w:name="_Toc140140601"/>
      <w:r>
        <w:rPr>
          <w:rFonts w:hint="eastAsia" w:ascii="Calibri" w:hAnsi="Calibri" w:eastAsia="宋体" w:cs="Times New Roman"/>
          <w:b/>
          <w:bCs/>
          <w:kern w:val="2"/>
          <w:sz w:val="32"/>
          <w:szCs w:val="32"/>
          <w:lang w:val="en-US" w:eastAsia="zh-CN" w:bidi="ar-SA"/>
        </w:rPr>
        <w:t>医院内各系统之间的互联互通</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本项目中的</w:t>
      </w:r>
      <w:r>
        <w:rPr>
          <w:rFonts w:hint="eastAsia" w:ascii="宋体" w:hAnsi="宋体" w:eastAsia="宋体" w:cs="宋体"/>
          <w:sz w:val="21"/>
          <w:szCs w:val="21"/>
          <w:lang w:val="en-US" w:eastAsia="zh-CN"/>
        </w:rPr>
        <w:t>康复</w:t>
      </w:r>
      <w:r>
        <w:rPr>
          <w:rFonts w:hint="eastAsia" w:ascii="宋体" w:hAnsi="宋体" w:eastAsia="宋体" w:cs="宋体"/>
          <w:sz w:val="21"/>
          <w:szCs w:val="21"/>
          <w:lang w:val="zh-CN"/>
        </w:rPr>
        <w:t>系统，必须与医院其他的系统做好互联互通，不能游离于现有的医院系统之外，成为新的信息孤岛，从而使患者和医生的服务过程中，可以方便地采集到需要的信息，真正地做到节省就医的时间成本，提升就医诊疗的效率，起到智慧医院建设的初衷。</w:t>
      </w:r>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04" w:name="_Toc25028"/>
      <w:bookmarkStart w:id="105" w:name="_Toc26422"/>
      <w:bookmarkStart w:id="106" w:name="_Toc140140602"/>
      <w:bookmarkStart w:id="107" w:name="_Toc9888"/>
      <w:r>
        <w:rPr>
          <w:rFonts w:hint="eastAsia" w:ascii="宋体" w:hAnsi="宋体" w:eastAsia="宋体" w:cs="Times New Roman"/>
          <w:b/>
          <w:bCs/>
          <w:kern w:val="2"/>
          <w:sz w:val="32"/>
          <w:szCs w:val="32"/>
          <w:lang w:val="en-US" w:eastAsia="zh-CN" w:bidi="ar-SA"/>
        </w:rPr>
        <w:t>项目建设原则</w:t>
      </w:r>
      <w:bookmarkEnd w:id="104"/>
      <w:bookmarkEnd w:id="105"/>
      <w:bookmarkEnd w:id="106"/>
      <w:bookmarkEnd w:id="107"/>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面向服务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采用SOA服务架构，根据需求并通过网络对松散耦合的粗粒度应用组件进行分布式部署、组合和使用。简化服务之间的通讯，屏蔽底层的编程接口和通讯模型。采用跨平台、标准的、开放的、技术成熟的、先进的应用系统建设，为智慧门诊自助服务系统的建设奠定优质的系统软件和应用基础。</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开放性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开放性是当代信息系统建设的重要标志之一，坚持开放性有利于采用多种先进技术和产品。使用XML、Web服务、中间件等技术，完成对各业务系统平台的无缝对接，实现动态数据安全、快速交互处理等功能，使系统具有较强的生命力和开放性。</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成熟性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从设计思路、开发原则、系统架构、网络拓扑、实施软件系统、硬件设备、开发工具等各种角度考虑整体解决方案的成熟性。采用SOA架构、Web Service、XML、.NET框架、数据库存储分析等技术保证系统的有效、可靠、可延续。</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先进性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如今，计算机技术已经成熟的融入进人类社会的各个领域，在向各领域提供服务的同时，也不断面临着新的服务需求。因此在进行解决方案的设计时应首先采用当代先进技术和主流技术，既要考虑应用平台和工具的先进，更要考虑系统结构和应用设计的先进性，使之能紧跟时代前进的步伐，更好的实践“信息惠民”工程。</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可靠性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系统服务面向广大的市民，并与市民的钱袋子、健康乃至生命息息相关。在社会层面，它还关系到社会稳定、国计民生。因此，该解决方案的设计必须确保拥有足够的可靠性，从业务服务的准确、到市民信息安全的保密、再到承载大量的业务服务，都应保证整体系统的有效运行。</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可扩展性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医院信息化建设正处于逐步成熟、不断发展的阶段。因此在设计解决方案时，应考虑服务需求的不断更新与扩展，为系统的扩展预留软/硬件接口，使之能在业务需求和外部环境等方面变化时，以更低的成本、更高的效率和更稳定的兼容性来扩展系统的功能和性能。</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安全性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系统的业务功能涉及到个人基本信息、个人健康信息、金融交易等方面，关联到医院和银行等业务系统以及个人信息的安全隐私。必须采用可靠的安全加密技术保障系统应用及服务的整体安全。考虑到自助服务系统对信息的利用，在采用多种形式为患者自助服务的基础上，结合数据库的信息存储分析功能开发各种信息挖掘和服务应用。因此系统的安全性必须要在各个层面得到保证。</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MVC设计原则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采用MVC模型作为系统软件的设计原则，将用户界面、模型和控制相分离，利用MVC耦合性低、重用性高、可维护性高的特点，在系统的软件技术层面，为系统的成熟性、可靠性和可扩展性等提供有效的支持。</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易用性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系统所面向的服务对象是因人群的不同年龄、不同性格和不同知识水平，要求系统具备极高的易用性和友好的互动体验：应用界面的简捷、直观，使患者在使用时对需要做的事情一目了然；系统为患者提供联机的或脱机的帮助手段，自动指导患者参与自助就医。</w:t>
      </w:r>
    </w:p>
    <w:p>
      <w:pPr>
        <w:numPr>
          <w:ilvl w:val="0"/>
          <w:numId w:val="6"/>
        </w:numPr>
        <w:ind w:left="420" w:hanging="420"/>
        <w:rPr>
          <w:rFonts w:hint="eastAsia" w:ascii="Calibri" w:hAnsi="Calibri" w:eastAsia="宋体" w:cs="Times New Roman"/>
          <w:b/>
          <w:bCs/>
          <w:sz w:val="28"/>
          <w:szCs w:val="36"/>
        </w:rPr>
      </w:pPr>
      <w:r>
        <w:rPr>
          <w:rFonts w:hint="eastAsia" w:ascii="Calibri" w:hAnsi="Calibri" w:eastAsia="宋体" w:cs="Times New Roman"/>
          <w:b/>
          <w:bCs/>
          <w:sz w:val="28"/>
          <w:szCs w:val="36"/>
        </w:rPr>
        <w:t>遵循标准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国家卫计委《基于电子病历的医院信息平台技术规范》；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国家卫计委《基于电子病历的医院信息平台建设技术解决方案》；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国家卫计委《电子病历系统功能应用水平分级评价方法及标准（试行）》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国家卫计委《三级综合医院评审标准实施细则（2018年版）》；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国家卫计委《医院信息互联互通标准化成熟度测评》；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国家卫计委 电子病历基本架构与数据标准（试行）；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国家卫计委《医院信息系统基本功能规范》；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国家卫计委《妇幼保健信息系统基本功能规范》；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国家卫计委《电子病历系统功能规范（试行）》；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国家卫计委《国家基本公共卫生服务规范（2011年）》；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国家中医药管理局 中医医院信息化建设基本规范 2018年；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国家中医药管理局 中医医院信息系统基本功能规范 2018年；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国家中医药管理局 中医药信息标准体系表（试行） 2013年；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国家卫健委全国医院信息化建设标准与规范（试行）2018年；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国家卫健委《互联网诊疗管理办法（试行）》2018年；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国家卫健委《互联网医院管理办法（试行）》2018年；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国家卫健委《远程医疗服务管理规范（试行）》2018年；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国家卫健委《医院智慧服务分级评估标准体系(试行)》2021年；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遵循微信标准化API；</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支持WXML、WXSS等微信小程序语言规范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支持TCP/IP协议、HTTP、HTTPS；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对数据库的访问支持ODBC，COM和JDBC；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支持XML、JSON、YAML等数据处理标准；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支持Web Service、restful形成的接口传输方式；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支持AMQP协议；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支持OAuth2.0协议；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支持 AES、SHA、MD5、RSA等加密算法；</w:t>
      </w:r>
    </w:p>
    <w:bookmarkEnd w:id="85"/>
    <w:bookmarkEnd w:id="86"/>
    <w:bookmarkEnd w:id="87"/>
    <w:bookmarkEnd w:id="88"/>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08" w:name="_Toc1321"/>
      <w:bookmarkStart w:id="109" w:name="_Toc3327"/>
      <w:r>
        <w:rPr>
          <w:rFonts w:hint="eastAsia" w:ascii="宋体" w:hAnsi="宋体" w:eastAsia="宋体" w:cs="Times New Roman"/>
          <w:b/>
          <w:bCs/>
          <w:kern w:val="2"/>
          <w:sz w:val="32"/>
          <w:szCs w:val="32"/>
          <w:lang w:val="en-US" w:eastAsia="zh-CN" w:bidi="ar-SA"/>
        </w:rPr>
        <w:t>康复中心信息管理系统</w:t>
      </w:r>
      <w:bookmarkEnd w:id="108"/>
      <w:bookmarkEnd w:id="109"/>
    </w:p>
    <w:tbl>
      <w:tblPr>
        <w:tblStyle w:val="24"/>
        <w:tblW w:w="9321"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134"/>
        <w:gridCol w:w="962"/>
        <w:gridCol w:w="6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1134" w:type="dxa"/>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rPr>
              <w:t>功能列表</w:t>
            </w:r>
          </w:p>
        </w:tc>
        <w:tc>
          <w:tcPr>
            <w:tcW w:w="7225" w:type="dxa"/>
            <w:gridSpan w:val="2"/>
            <w:noWrap w:val="0"/>
            <w:vAlign w:val="center"/>
          </w:tcPr>
          <w:p>
            <w:pPr>
              <w:rPr>
                <w:rFonts w:hint="eastAsia" w:ascii="宋体" w:hAnsi="宋体" w:eastAsia="宋体" w:cs="宋体"/>
                <w:b/>
                <w:bCs/>
                <w:sz w:val="21"/>
                <w:szCs w:val="21"/>
              </w:rPr>
            </w:pPr>
            <w:r>
              <w:rPr>
                <w:rFonts w:hint="eastAsia" w:ascii="宋体" w:hAnsi="宋体" w:eastAsia="宋体" w:cs="宋体"/>
                <w:b/>
                <w:bCs/>
                <w:sz w:val="21"/>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康复管理系统</w:t>
            </w: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流程管理</w:t>
            </w:r>
          </w:p>
        </w:tc>
        <w:tc>
          <w:tcPr>
            <w:tcW w:w="7225" w:type="dxa"/>
            <w:gridSpan w:val="2"/>
            <w:noWrap w:val="0"/>
            <w:vAlign w:val="top"/>
          </w:tcPr>
          <w:p>
            <w:pPr>
              <w:rPr>
                <w:rFonts w:hint="eastAsia" w:ascii="宋体" w:hAnsi="宋体" w:eastAsia="宋体" w:cs="宋体"/>
                <w:sz w:val="21"/>
                <w:szCs w:val="21"/>
              </w:rPr>
            </w:pPr>
            <w:r>
              <w:rPr>
                <w:rFonts w:hint="eastAsia" w:ascii="宋体" w:hAnsi="宋体" w:eastAsia="宋体" w:cs="宋体"/>
                <w:sz w:val="21"/>
                <w:szCs w:val="21"/>
              </w:rPr>
              <w:t>支持建立康复门诊、住院、床旁康复流程管理，包含建档（康复系统提取患者信息）、评估流程、治疗流程、归档结案、随访流程。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医生/治疗师工作站</w:t>
            </w:r>
          </w:p>
        </w:tc>
        <w:tc>
          <w:tcPr>
            <w:tcW w:w="962"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患者管理</w:t>
            </w:r>
          </w:p>
        </w:tc>
        <w:tc>
          <w:tcPr>
            <w:tcW w:w="6263" w:type="dxa"/>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支持门诊患者管理、支持住院患者管理、支持其他科室床旁康复患者管理、支持多院区患者管理。</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对接his系统，提取患者信息。</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支持查看查询患者，查询条件包含姓名、身份证号、患者编号（就诊卡）。支持病区筛选、评估状态筛选、治疗状态筛选、在院出院状态筛选。</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支持查看编辑患者信息：支持展示基本信息、就诊信息、评估信息、治疗信息、归档信息。支持拍照进行患者信息录入。</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支持跳转查看患者his档案及电子病历。</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支持评估结果查看。支持评估时音视频影像资料查看及对比。</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支持未对接his系统，根据患者基本信息、就诊信息对患者下达评估任务。</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支持未对接his系统，根据患者基本信息、就诊信息对患者下达治疗任务。</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支持对患者进行自动归档。支持对患者进行手动归档，支持批量归档。</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支持查看查询已归档患者信息。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vMerge w:val="continue"/>
            <w:noWrap w:val="0"/>
            <w:vAlign w:val="center"/>
          </w:tcPr>
          <w:p>
            <w:pPr>
              <w:ind w:firstLine="420" w:firstLineChars="200"/>
              <w:rPr>
                <w:rFonts w:hint="eastAsia" w:ascii="宋体" w:hAnsi="宋体" w:eastAsia="宋体" w:cs="宋体"/>
                <w:sz w:val="21"/>
                <w:szCs w:val="21"/>
              </w:rPr>
            </w:pPr>
          </w:p>
        </w:tc>
        <w:tc>
          <w:tcPr>
            <w:tcW w:w="962"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评估管理</w:t>
            </w:r>
          </w:p>
        </w:tc>
        <w:tc>
          <w:tcPr>
            <w:tcW w:w="6263" w:type="dxa"/>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支持对接his系统，提取医生下达的评估医嘱。</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支持筛选查询评估医嘱，筛选条件包含当日历史、分派状态、医嘱可用状态、医嘱开立时间、患者姓名、身份证号、患者编号（就诊卡）。</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支持根据患者评估医嘱选择评估模板，对执行人员进行单个或多个评估任务分派。</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支持对已分派的评估任务进行修改、取消操作。</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支持对同一患者的评估医嘱进行批量分派评估任务。</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支持筛选查询评估任务，筛选条件包含姓名、身份证号、患者编号（就诊卡）、今日历史任务、评估状态、患者类型、病区、评估内容、时间、医生。</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支持查看评估任务。查看患者信息、评估项目内容及对应评估医嘱、评估收费明细内容。</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支持评估任务完成医生移动端和患者移动端提醒功能</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支持根据评估任务对患者进行评估、取消、修改评估任务操作。支持评估过程音视频记录</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支持评估过程中暂存评估表。</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支持对患者评估进行收费备注。</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支持评估报告查看、编辑修改、保存、打印、导出。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vMerge w:val="continue"/>
            <w:noWrap w:val="0"/>
            <w:vAlign w:val="center"/>
          </w:tcPr>
          <w:p>
            <w:pPr>
              <w:ind w:firstLine="420" w:firstLineChars="200"/>
              <w:rPr>
                <w:rFonts w:hint="eastAsia" w:ascii="宋体" w:hAnsi="宋体" w:eastAsia="宋体" w:cs="宋体"/>
                <w:sz w:val="21"/>
                <w:szCs w:val="21"/>
              </w:rPr>
            </w:pPr>
          </w:p>
        </w:tc>
        <w:tc>
          <w:tcPr>
            <w:tcW w:w="962"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治疗管理</w:t>
            </w:r>
          </w:p>
        </w:tc>
        <w:tc>
          <w:tcPr>
            <w:tcW w:w="6263" w:type="dxa"/>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支持对接his系统，提取医生下达的治疗医嘱。</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支持筛选查询治疗医嘱，筛选条件包含当日历史、分派状态、医嘱可用状态、医嘱开立时间、患者姓名、身份证号、患者编号（就诊卡）。</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支持根据患者信息、治疗医嘱选择对应治疗项目进行治疗排程，选择治疗日期时间段、治疗设备、治疗医生、治疗地点，进行临时、长期安排分派操作。</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支持对同一患者的治疗医嘱进行批量分派治疗任务。</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支持分派过程中查看患者his档案、治疗信息。</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支持筛选查询治疗任务，筛选条件包含姓名、身份证号、患者编号（就诊卡）、今日历史任务、治疗状态、病区、时间、医生、治疗室。</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支持查看治疗任务。查看患者信息、治疗项目内容及对应治疗医嘱、治疗收费明细、治疗方案内容。</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支持根据治疗任务对患者进行治疗、取消、转派、未完成完成治疗任务操作。</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支持根据批量未完成和批量完成治疗任务操作。</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支持治疗项目执行确认并关联HIS进行收费，获取扣费状态信息。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vMerge w:val="continue"/>
            <w:noWrap w:val="0"/>
            <w:vAlign w:val="center"/>
          </w:tcPr>
          <w:p>
            <w:pPr>
              <w:ind w:firstLine="420" w:firstLineChars="200"/>
              <w:rPr>
                <w:rFonts w:hint="eastAsia" w:ascii="宋体" w:hAnsi="宋体" w:eastAsia="宋体" w:cs="宋体"/>
                <w:sz w:val="21"/>
                <w:szCs w:val="21"/>
              </w:rPr>
            </w:pPr>
          </w:p>
        </w:tc>
        <w:tc>
          <w:tcPr>
            <w:tcW w:w="962"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随访管理</w:t>
            </w:r>
          </w:p>
        </w:tc>
        <w:tc>
          <w:tcPr>
            <w:tcW w:w="6263" w:type="dxa"/>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支持分病种随访表单定制，支持智能化随访移动端推送</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支持随访问卷危急值管理</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支持患者移动端进行随访问卷反馈</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支持随访结果自动归档患者档案</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支持异常随访提醒</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需与我院随访系统对接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可视化大屏</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大屏项目管理：支持创建、修改、删除大屏项目，可编辑项目名称、科室信息，为大屏项目配置医务人员或设备信息，自动生成所选医务人员/设备的可视化排程信息大屏，按医务人员/设备实时展示当天排程信息。</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大屏项目分组：创建、修改、删除大屏项目分组，可编辑分组名称，选择已建大屏项目至分组，自动生成分组的可视化信息大屏，在分组大屏内轮播展示各项目的可视化排程信息，各项目大屏按医务人员/设备实时展示当天排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护士工作站</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支持查看查询患者，查询条件包含姓名、身份证号、患者编号（就诊卡）</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支持病区筛选、评估状态筛选、治疗状态筛选、在院出院状态筛选。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康复初筛</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支持在不同院区或科室，对患者开展入院前进行初次功能健康评估筛查，平台可针对不同科室业务特点加载不同的筛查表单，筛查结果可为医生提供诊疗参考，对有康复需求的患者可同时展开临床康复评估。</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支持查询患者。查询条件包含身份证号、患者编号（就诊卡）、病区、初评状态、在院出院状态</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支持对患者进行初次功能健康评估筛查。现有包含妇科、神内、神外、骨科类别。支持新增修改功能健康评估筛查表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质控管理</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采集康复诊疗数据，按质控要求，对患者初、中、末期康复评估数据；治疗组初、中、末期评估数据；评估业务量数据；质控逾期提醒数据；治疗有效率数据；进行监测分析，可多维度查看图表图形数据。按要求格式向医院提供医疗质量管理控制情况数据导出下载，便于医院进行质控数据的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统计管理</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患者统计：采集患者就诊数据，进行就诊患者数量、出院患者数量指标数据的综合分析计算，按日期条件筛选查询并展示指标计算结果数据。计算期内环比、同比增长数据，按患者类型、执行科室、按小时等维度展示指标数据，以数值形式汇总展示指标计算结果及同比、环比数据，以环形图，柱形图渲染指标数据图形，对图表模型进行排序操作可按顺序变换展示图表结果。以表格形式展示指标各维度数据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vMerge w:val="continue"/>
            <w:noWrap w:val="0"/>
            <w:vAlign w:val="center"/>
          </w:tcPr>
          <w:p>
            <w:pPr>
              <w:ind w:firstLine="420" w:firstLineChars="200"/>
              <w:rPr>
                <w:rFonts w:hint="eastAsia" w:ascii="宋体" w:hAnsi="宋体" w:eastAsia="宋体" w:cs="宋体"/>
                <w:sz w:val="21"/>
                <w:szCs w:val="21"/>
              </w:rPr>
            </w:pP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当前住院量统计：采集患者住院数据，进行当前住院患者数量指标综合分析计算，统计截止当前时间住院患者数量，按执行科室维度展示指标数据，以数值形式汇总展示指标计算结果，以柱形图渲染指标数据图形，对图表模型进行排序操作可按顺序变换展示图表结果。以表格形式展示指标各维度数据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vMerge w:val="continue"/>
            <w:noWrap w:val="0"/>
            <w:vAlign w:val="center"/>
          </w:tcPr>
          <w:p>
            <w:pPr>
              <w:ind w:firstLine="420" w:firstLineChars="200"/>
              <w:rPr>
                <w:rFonts w:hint="eastAsia" w:ascii="宋体" w:hAnsi="宋体" w:eastAsia="宋体" w:cs="宋体"/>
                <w:sz w:val="21"/>
                <w:szCs w:val="21"/>
              </w:rPr>
            </w:pP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康复费用统计： 采集康复医疗业务输入数据，进行康复项目总收入、评估项目收入、治疗项目收入指标数据的综合分析计算，按日期条件筛选查询并展示指标计算结果数据。计算期内环比、同比增长数据，按执行科室、按人员、按收入来源、按小时等维度展示指标数据，以数值形式汇总展示指标计算结果及同比、环比数据，以柱形图渲染指标数据图形，对图表模型进行排序操作可按顺序变换展示图表结果。以表格形式展示指标各维度数据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vMerge w:val="continue"/>
            <w:noWrap w:val="0"/>
            <w:vAlign w:val="center"/>
          </w:tcPr>
          <w:p>
            <w:pPr>
              <w:ind w:firstLine="420" w:firstLineChars="200"/>
              <w:rPr>
                <w:rFonts w:hint="eastAsia" w:ascii="宋体" w:hAnsi="宋体" w:eastAsia="宋体" w:cs="宋体"/>
                <w:sz w:val="21"/>
                <w:szCs w:val="21"/>
              </w:rPr>
            </w:pP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对比统计：采集患者门诊就诊数据，进行门诊人头人次比数据统计，计算期内门诊人头人次比、门诊患者数量、门诊患者数量、门诊人次数分项指标计算，汇总展示各分项指标数值，按柱形图、折线图叠加展示各指标对比数据，以表格形式展示指标各维度数据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vMerge w:val="continue"/>
            <w:noWrap w:val="0"/>
            <w:vAlign w:val="center"/>
          </w:tcPr>
          <w:p>
            <w:pPr>
              <w:ind w:firstLine="420" w:firstLineChars="200"/>
              <w:rPr>
                <w:rFonts w:hint="eastAsia" w:ascii="宋体" w:hAnsi="宋体" w:eastAsia="宋体" w:cs="宋体"/>
                <w:sz w:val="21"/>
                <w:szCs w:val="21"/>
              </w:rPr>
            </w:pP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采集治疗师业务数据，进行治疗师工作量指标综合分析计算，按是日期、住院、门诊条件筛选查询并展示指标计算结果数据。按治疗师维度展示指标数据，以图表模型渲染指标数据图形，对图表模型进行排序操作可按顺序变换展示图表结果。以表格形式展示指标各维度数据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宣教管理</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具备宣教资料库业务应用，提供宣教资料的综合管理，宣教管理功能可为用户提供入院宣教、评估宣教、治疗宣教等多种宣教信息。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病历归档</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展示归档后的患者档案信息，具备数据结构化存储功能，支持与全院电子病历系统对接，提供上传接口，用于其它系统对接，实现各系统文件自动上传、集中归档。患者档案包含患者信息、就诊信息、医嘱信息、评估信息、治疗信息、归档记录信息等内容。通过系统对接，可查看患者康复闭环流程图、PHR、360视图信息。按姓名、电话、身份证、患者编号等关键字查询患者档案，按患者类型、病区等条件筛选查询患者档案，查看患者档案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后台管理</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支持总分院团队管理，支持门诊住院团队管理，支持治疗师专业团队管理；</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支持人员信息维护；为人员开通指定的康复项目、评估项目、病种业务权限，配置角色权限，赋予人员用户角色，及角色对应功能、数据权限。</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支持评估、治疗医嘱维护，支持医嘱与评估表（评估项目）、治疗项目相关联；</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支持个人、团队与评估表（评估项目）、治疗项目、设备相关联；</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支持医生，治疗师，护士菜单权限分配；</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支持设备维护，支持设备对应治疗项目的维护；</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支持评估表（评估项目）维护。对评估表进行新增、编辑修改、启用冻结、预览、保存操作；</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支持治疗项目维护。对治疗项目进行新增、编辑修改、启用冻结、预览、保存操作。</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维护高风险知识库、治疗方案知识库，诊疗地点管理，字典管理，系统菜单参数管理。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移动评估</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支持在移动PAD端接收派发的评估任务，根据评估内容对患者开展评估操作。</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支持查看患者信息、评估医嘱、治疗记录等信息，记录患者评估数据，生成患者评估报告</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带3个PAD。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restart"/>
            <w:noWrap w:val="0"/>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康复中心大数据管理平台（BI统计驾驶舱）</w:t>
            </w: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数据源管理</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对各类海量、多源、异构数据源进行接入管理，提供广泛的数据源接入，支持市场各类数据库的数据接入，可对格式化文档等原始数据源接入及管理，对各类实时感知数据、历史数据信息进行快速收集及后续展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数据集管理</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支持快捷登记：一次登录许多空病例，取材完成后补录信息；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组建管理</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内置丰富的图表组件库，具有图表、地图、表单、图片等多种数据分析展示组件，对可视化图表组件属性参数进行设置、控制，在线编辑组件数据。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可视化界面生成</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通过数据可视化设计工具应用，通过拖拉拽组件到可视化界面中进行自由排版布局，编排可视化大屏界面并绑定数据源。根据设计工具编排设计的内容，动态生成数据可视化界面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可视化数据展示</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康复中心：采集康复医疗业务数据，统计分析服务患者数量、患者诊疗状态、医疗业务工作量、诊疗病种、医师培训、患者满意度、职工结构等指标数据，按不同维度切换数据展示，以图表形式渲染指标数据图形。</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医疗服务：采集康复医疗业务数据，统计分析服务患者数量、患者诊疗状态、康复评定项目、门诊人次、出院人次、床位数据、康复业务支持条件数据、医疗技术队伍建设数据、诊治能力数据、辐射能力数据等指标数据，按不同维度切换数据展示，以图表形式渲染指标数据图形。</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经济运行：采集康复医疗业务数据，统计分析医疗服务收入、耗占比、药占比、医保收入、服务患者数量、机构业务量等指标数据，按不同维度切换数据展示，以图表形式渲染指标数据图形。</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康复质控：采集康复医疗业务数据，统计分析床位占比、医师床配比、护士床配比、治疗师床配比、脑卒中患者早期康复介入率、脊髓损伤患者早期康复介入率、髋、膝关节置换术后患者早期康复介入率、日常生活活动能力（ADL）改善、脊髓损伤患者ADL 改善率、脑卒中患者ADL改善率、 康复评定率、住院患者静脉输液使用率、并发症和不良事件发生率及预防实施率等指标数据，按不同维度切换数据展示，以图表形式渲染指标数据图形。</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科研教学：采集科研教学数据，统计分析学术影响、专科方向、  科研项目数、科研成果、学生教育、继续教育、医师培训、论文专著等指标数据，按不同维度切换数据展示，以图表形式渲染指标数据图形。</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患者分析：采集患者画像数据，统计分析服务患者数、患者诊疗状态、就医行为分析、医疗业务分析、患者群体分析、患者满意度、患者负担等指标数据，按不同维度切换数据展示，以图表形式渲染指标数据图形。</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专题分析：采集康复医疗业务数据，建立慢病大数据分析、抑郁症分析、焦虑症分析等专题分析数据集，按不同维度切换数据展示，以图表形式渲染指标数据图形。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十三项质控上报</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支持根据康复医学专业医疗质量控制指标(2022版)对接his系统、电子病历等提取数据。</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支持选择月份新增康复医学专业医疗质量控制指标(最新版本)表单。</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支持对比原始数据及上期数据修改调整指标项数据。</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支持保存、下载康复医学专业医疗质量控制指标(最新版本)表单。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移动端应用</w:t>
            </w: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患者移动端</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账号管理：支持身份证id认证(接口)</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支持添加亲属健康卡，需要医院管理端审核认证；</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健康卡管理：支持唯一识别二维码；支持身份证号码唯一关联；</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评估报告：支持患者查看评估报告及历史评估报告；</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治疗任务：支持显示患者当天治疗任务信息，支持患者二维码；</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历史治疗：支持显示患者历史治疗任务信息；</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康复宣教：支持分类查看宣教资料；</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随访管理：支持患者查看随访任务及随访问卷完成；支持患者查看历史完成及未完成的随访任务；支持异常随访反馈提醒，智能推送处理方案；</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评价：支持各个业务流程评价节点、超时时间；支持门诊就诊环节、复诊、医院评价；</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家庭康复：支持分病种查看家庭康复资料；</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病房作业：支持分病种查看病房作业资料；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医生/治疗师移动端</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登录授权：支持通过微信扫码或搜索小程序名称打开小程序系统，获取微信用户资料信息授权、手机号授权，查阅授权说明、用户须知和用户协议。</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账号关联：支持与院内系统医生账号关联同步。</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患者管理：支持门诊患者管理，支持住院患者管理，支持其他科室床旁康复患者管理，支持多院区患者管理。</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支持患者基本信息，就诊信息，诊断信息，评估信息，治疗信息，结案信息、随访信息展示。</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支持患者历史就诊信息，历史诊断信息，历史评估信息，历史治疗信息，历史结案信息、随访信息展示。</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支持查看本人评估任务列表（可见患者姓名和评估表单）本人今日已完成评估任务及评估报告，未完成评估任务，历史已完成评估任务及报告，未完成任务展示。</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支持显示本人治疗任务列表（可见患者姓名，治疗项目名称、时间及医嘱）</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本人今日已完成治疗任务，未完成治疗任务，历史已完成治疗任务，未完成任务展示</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支持扫码进行治疗任务完成及备注录入，支持对未完成任务进行操作及原由录入。</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支持治疗任务取消操作、临时转派操作、长期转派操作。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后台管理</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管理工作台，支持后台配置、权限维护及管理、角色分配、字典维护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专科运营服务</w:t>
            </w: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康复医学专科运营服务</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协助开通科室微信公众号，协助公众号管理及运营工作，包含：科室介绍、团队风采、新闻活动、康复联盟、联盟成员、学术交流、患者天地、患者服务等模块。</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支持协助联盟成员单位拓展业务；</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支持提供联盟成员单位管理服务</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支持一年内科室会议宣传服务、在线导播技术服务。</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支持一年内科室线上、线下会议进行在线直播。</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支持一年内使用直播推流功能：支持多终端和用户场景。</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支持一年内使用直播课程回放功能，支持二次分享。</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支持支持 RTMP、HLS、RTSP 流，同时满足跨平台（windows、android、iOS）直播。</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用户可根据预设或自定义模板，可以实时将多路视频音频流根据需要按照 4:3 或 16:9 及自定义画面直播。</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支持进行多个场景导播切换输出画面通过旁路推流到电脑端、手机 APP 以及微信端。</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终端显示讲者及讲者 PPT 画面，术者及手术画面， 会场画面等。根据网络视频支持 4K/1080P/720P 30 帧的高清直播。</w:t>
            </w:r>
          </w:p>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观众端可实时进行直播互动，可进行文字，视频互动。其他观众（网页端等）可以观看到连麦者与主播的互动；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其它</w:t>
            </w: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接口对接</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免费与院内要求系统，包含但不限于集成平台、HIS、EMR、CA接口对接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电子病历等级评审技术服务（5级）</w:t>
            </w:r>
          </w:p>
        </w:tc>
        <w:tc>
          <w:tcPr>
            <w:tcW w:w="7225" w:type="dxa"/>
            <w:gridSpan w:val="2"/>
            <w:noWrap w:val="0"/>
            <w:vAlign w:val="top"/>
          </w:tcPr>
          <w:p>
            <w:pPr>
              <w:keepNext w:val="0"/>
              <w:keepLines w:val="0"/>
              <w:pageBreakBefore w:val="0"/>
              <w:widowControl w:val="0"/>
              <w:kinsoku/>
              <w:wordWrap/>
              <w:overflowPunct/>
              <w:topLinePunct w:val="0"/>
              <w:autoSpaceDE/>
              <w:autoSpaceDN/>
              <w:bidi w:val="0"/>
              <w:adjustRightInd/>
              <w:snapToGrid/>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根据院方工作计划，系统实施周期内配合医院完成电子病历等级评审（5级）相关技术服务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noWrap w:val="0"/>
            <w:vAlign w:val="center"/>
          </w:tcPr>
          <w:p>
            <w:pPr>
              <w:ind w:firstLine="420" w:firstLineChars="200"/>
              <w:rPr>
                <w:rFonts w:hint="eastAsia" w:ascii="宋体" w:hAnsi="宋体" w:eastAsia="宋体" w:cs="宋体"/>
                <w:sz w:val="21"/>
                <w:szCs w:val="21"/>
              </w:rPr>
            </w:pPr>
          </w:p>
        </w:tc>
        <w:tc>
          <w:tcPr>
            <w:tcW w:w="1134"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系统安全</w:t>
            </w:r>
          </w:p>
        </w:tc>
        <w:tc>
          <w:tcPr>
            <w:tcW w:w="7225" w:type="dxa"/>
            <w:gridSpan w:val="2"/>
            <w:noWrap w:val="0"/>
            <w:vAlign w:val="center"/>
          </w:tcPr>
          <w:p>
            <w:pPr>
              <w:rPr>
                <w:rFonts w:hint="eastAsia" w:ascii="宋体" w:hAnsi="宋体" w:eastAsia="宋体" w:cs="宋体"/>
                <w:sz w:val="21"/>
                <w:szCs w:val="21"/>
              </w:rPr>
            </w:pPr>
            <w:r>
              <w:rPr>
                <w:rFonts w:hint="eastAsia" w:ascii="宋体" w:hAnsi="宋体" w:eastAsia="宋体" w:cs="宋体"/>
                <w:sz w:val="21"/>
                <w:szCs w:val="21"/>
              </w:rPr>
              <w:t>配合完成三级等保测评。</w:t>
            </w:r>
          </w:p>
        </w:tc>
      </w:tr>
    </w:tbl>
    <w:p>
      <w:pPr>
        <w:rPr>
          <w:rFonts w:hint="eastAsia" w:ascii="Calibri" w:hAnsi="Calibri" w:eastAsia="宋体" w:cs="Times New Roman"/>
        </w:rPr>
      </w:pPr>
    </w:p>
    <w:p>
      <w:pPr>
        <w:keepNext/>
        <w:keepLines/>
        <w:widowControl w:val="0"/>
        <w:numPr>
          <w:ilvl w:val="0"/>
          <w:numId w:val="5"/>
        </w:numPr>
        <w:spacing w:before="156" w:beforeLines="50" w:line="360" w:lineRule="auto"/>
        <w:jc w:val="both"/>
        <w:outlineLvl w:val="0"/>
        <w:rPr>
          <w:rFonts w:hint="eastAsia" w:ascii="Calibri" w:hAnsi="Calibri" w:eastAsia="宋体" w:cs="Times New Roman"/>
          <w:b/>
          <w:bCs/>
          <w:kern w:val="44"/>
          <w:sz w:val="44"/>
          <w:szCs w:val="44"/>
          <w:lang w:val="en-US" w:eastAsia="zh-CN" w:bidi="ar-SA"/>
        </w:rPr>
      </w:pPr>
      <w:bookmarkStart w:id="110" w:name="_Toc16427"/>
      <w:bookmarkStart w:id="111" w:name="_Toc140140793"/>
      <w:bookmarkStart w:id="112" w:name="_Toc31065"/>
      <w:bookmarkStart w:id="113" w:name="_Toc21857"/>
      <w:bookmarkStart w:id="114" w:name="_Toc3751"/>
      <w:r>
        <w:rPr>
          <w:rFonts w:hint="eastAsia" w:ascii="Calibri" w:hAnsi="Calibri" w:eastAsia="宋体" w:cs="Times New Roman"/>
          <w:b/>
          <w:bCs/>
          <w:kern w:val="44"/>
          <w:sz w:val="44"/>
          <w:szCs w:val="44"/>
          <w:lang w:val="en-US" w:eastAsia="zh-CN" w:bidi="ar-SA"/>
        </w:rPr>
        <w:t>系统安全保障</w:t>
      </w:r>
      <w:bookmarkEnd w:id="110"/>
      <w:bookmarkEnd w:id="111"/>
      <w:bookmarkEnd w:id="112"/>
      <w:bookmarkEnd w:id="113"/>
      <w:bookmarkEnd w:id="114"/>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15" w:name="_Toc20326"/>
      <w:bookmarkStart w:id="116" w:name="_Toc140140794"/>
      <w:bookmarkStart w:id="117" w:name="_Toc26939"/>
      <w:bookmarkStart w:id="118" w:name="_Toc147043436"/>
      <w:bookmarkStart w:id="119" w:name="_Toc416361895"/>
      <w:bookmarkStart w:id="120" w:name="_Toc19189"/>
      <w:bookmarkStart w:id="121" w:name="_Toc147051640"/>
      <w:r>
        <w:rPr>
          <w:rFonts w:hint="eastAsia" w:ascii="宋体" w:hAnsi="宋体" w:eastAsia="宋体" w:cs="Times New Roman"/>
          <w:b/>
          <w:bCs/>
          <w:kern w:val="2"/>
          <w:sz w:val="32"/>
          <w:szCs w:val="32"/>
          <w:lang w:val="en-US" w:eastAsia="zh-CN" w:bidi="ar-SA"/>
        </w:rPr>
        <w:t>系统安全策略</w:t>
      </w:r>
      <w:bookmarkEnd w:id="115"/>
      <w:bookmarkEnd w:id="116"/>
      <w:bookmarkEnd w:id="117"/>
      <w:bookmarkEnd w:id="118"/>
      <w:bookmarkEnd w:id="119"/>
      <w:bookmarkEnd w:id="120"/>
      <w:bookmarkEnd w:id="121"/>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22" w:name="_Toc11236"/>
      <w:bookmarkStart w:id="123" w:name="_Toc140140795"/>
      <w:r>
        <w:rPr>
          <w:rFonts w:hint="eastAsia" w:ascii="Calibri" w:hAnsi="Calibri" w:eastAsia="宋体" w:cs="Times New Roman"/>
          <w:b/>
          <w:bCs/>
          <w:kern w:val="2"/>
          <w:sz w:val="32"/>
          <w:szCs w:val="32"/>
          <w:lang w:val="en-US" w:eastAsia="zh-CN" w:bidi="ar-SA"/>
        </w:rPr>
        <w:t>网络平台安全策略</w:t>
      </w:r>
      <w:bookmarkEnd w:id="122"/>
      <w:bookmarkEnd w:id="12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在网络上面可采取路由器和交换机的内部安全配置和使用外部的防火墙、网络入侵检测系统、攻击监控和分析平台等技术手段来实现对网络系统的防护。同时在逻辑上的安全管理可以有效的避免内部用户对未受权系统的修改、泄密、及利用各种漏洞和后门进行的恶意攻击。</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24" w:name="_Toc32137"/>
      <w:bookmarkStart w:id="125" w:name="_Toc140140796"/>
      <w:r>
        <w:rPr>
          <w:rFonts w:hint="eastAsia" w:ascii="Calibri" w:hAnsi="Calibri" w:eastAsia="宋体" w:cs="Times New Roman"/>
          <w:b/>
          <w:bCs/>
          <w:kern w:val="2"/>
          <w:sz w:val="32"/>
          <w:szCs w:val="32"/>
          <w:lang w:val="en-US" w:eastAsia="zh-CN" w:bidi="ar-SA"/>
        </w:rPr>
        <w:t>系统平台安全策略</w:t>
      </w:r>
      <w:bookmarkEnd w:id="124"/>
      <w:bookmarkEnd w:id="12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对于系统平台的安全设计，主要考虑操作系统安全漏洞、恶意的黑客攻击、病毒攻击等方面的安全问题。通过采用C2安全级操作系统，提供用户身份认证、审计、授权、访问控制等功能，从而保障了整体系统平台的安全。</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26" w:name="_Toc558"/>
      <w:bookmarkStart w:id="127" w:name="_Toc140140797"/>
      <w:r>
        <w:rPr>
          <w:rFonts w:hint="eastAsia" w:ascii="Calibri" w:hAnsi="Calibri" w:eastAsia="宋体" w:cs="Times New Roman"/>
          <w:b/>
          <w:bCs/>
          <w:kern w:val="2"/>
          <w:sz w:val="32"/>
          <w:szCs w:val="32"/>
          <w:lang w:val="en-US" w:eastAsia="zh-CN" w:bidi="ar-SA"/>
        </w:rPr>
        <w:t>应用平台安全策略</w:t>
      </w:r>
      <w:bookmarkEnd w:id="126"/>
      <w:bookmarkEnd w:id="12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对于应用系统安全，我们设计的策略是三个方面：身份认证、权限管理和应用攻击的防范。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应用系统安全是指应用系统本身在使用时的安全性，具体的说它包括两个方面：业务逻辑上的安全和应用系统的反攻击。业务逻辑上的安全是指业务程序和数据的使用权限（只有指定的人才可以接触到指定的程序与数据）和功能互斥（使用者可以排它性的控制特定数据）。应用系统的反攻击是指防止使用者利用系统中的漏洞非法使用应用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在系统中各个子模块和各个环节中，都要对用户的身份进行认证，使用加密算法对用户口令进行加密 ，以保证用户的合法性和口令的安全性，然后在此基础上，根据每个用户在应用系统中担当的不同角色，再对其权限进行管理，使不同级别的用户在应用系统中具有不同的功能权限，通过访问控制机制来控制用户的访问和操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从应用系统的安全来看，它们采用国际通用的安全标准，自身在安全性考虑上已经非常成熟。比如它们支持SSL加密传输，有各自的认证授权机制，分别支持多种安全认证技术等等。</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28" w:name="_Toc140140798"/>
      <w:r>
        <w:rPr>
          <w:rFonts w:hint="eastAsia" w:ascii="Calibri" w:hAnsi="Calibri" w:eastAsia="宋体" w:cs="Times New Roman"/>
          <w:b/>
          <w:bCs/>
          <w:kern w:val="2"/>
          <w:sz w:val="32"/>
          <w:szCs w:val="32"/>
          <w:lang w:val="en-US" w:eastAsia="zh-CN" w:bidi="ar-SA"/>
        </w:rPr>
        <w:t>数据库平台安全策略</w:t>
      </w:r>
      <w:bookmarkEnd w:id="12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数据系统安全设计从数据库系统、数据传输和数据备份与恢复这三个方面来考虑的。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数据库系统安全设计采用两种策略，一种是安全级别和安全控制策略，包括用户标识和鉴别、存取控制（自主存取控制，强制存取控制）、视图机制、审计、数据加密等。另一种策略是建立数据库灾害防范机制，包括采取各层次数据库备份机制。数据备份与恢复是保障数据系统安全的必要手段。同时，建立数据恢复和容错处理机制，当系统数据出现问题的时候，把对数据的破坏减低到最小，并能够对损坏的数据进行恢复。此外在数据传输方面，可采用数据加密机制对网络上传输的数据进行加密。</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29" w:name="_Toc6196"/>
      <w:bookmarkStart w:id="130" w:name="_Toc140140799"/>
      <w:bookmarkStart w:id="131" w:name="_Toc416361896"/>
      <w:bookmarkStart w:id="132" w:name="_Toc147051641"/>
      <w:bookmarkStart w:id="133" w:name="_Toc147043437"/>
      <w:r>
        <w:rPr>
          <w:rFonts w:hint="eastAsia" w:ascii="Calibri" w:hAnsi="Calibri" w:eastAsia="宋体" w:cs="Times New Roman"/>
          <w:b/>
          <w:bCs/>
          <w:kern w:val="2"/>
          <w:sz w:val="32"/>
          <w:szCs w:val="32"/>
          <w:lang w:val="en-US" w:eastAsia="zh-CN" w:bidi="ar-SA"/>
        </w:rPr>
        <w:t>安全体系方案</w:t>
      </w:r>
      <w:bookmarkEnd w:id="129"/>
      <w:bookmarkEnd w:id="130"/>
      <w:bookmarkEnd w:id="131"/>
      <w:bookmarkEnd w:id="132"/>
      <w:bookmarkEnd w:id="13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本系统安全解决方案在安全策略的基础之上划分了移动终端、应用、数据、系统、网络和物理等几个方面对信息进行保护、检测、响应、恢复和改善。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作为整个安全体系的一部分，从移动终端、应用、系统、网络、物理等几个方面综合考虑，以网络安全为重点，提供了一体化的解决方案。一方面以安全策略为核心，另一方面结合保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护、检测与响应对移动终端、应用、系统、网络、物理等几个主要管理对象的信息安全给出了相应的解决方法。</w:t>
      </w:r>
    </w:p>
    <w:tbl>
      <w:tblPr>
        <w:tblStyle w:val="2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59"/>
        <w:gridCol w:w="1417"/>
        <w:gridCol w:w="1560"/>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shd w:val="clear" w:color="auto" w:fill="4472C4"/>
            <w:noWrap w:val="0"/>
            <w:vAlign w:val="top"/>
          </w:tcPr>
          <w:p>
            <w:pPr>
              <w:ind w:firstLine="480" w:firstLineChars="200"/>
              <w:rPr>
                <w:rFonts w:hint="eastAsia" w:ascii="仿宋_GB2312" w:hAnsi="仿宋_GB2312" w:eastAsia="仿宋_GB2312" w:cs="仿宋_GB2312"/>
                <w:sz w:val="24"/>
              </w:rPr>
            </w:pPr>
          </w:p>
        </w:tc>
        <w:tc>
          <w:tcPr>
            <w:tcW w:w="1559"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终端安全</w:t>
            </w:r>
          </w:p>
        </w:tc>
        <w:tc>
          <w:tcPr>
            <w:tcW w:w="1417"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应用安全</w:t>
            </w:r>
          </w:p>
        </w:tc>
        <w:tc>
          <w:tcPr>
            <w:tcW w:w="1560"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系统安全</w:t>
            </w:r>
          </w:p>
        </w:tc>
        <w:tc>
          <w:tcPr>
            <w:tcW w:w="1701"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网络安全</w:t>
            </w:r>
          </w:p>
        </w:tc>
        <w:tc>
          <w:tcPr>
            <w:tcW w:w="1559"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shd w:val="clear" w:color="auto" w:fill="4472C4"/>
            <w:noWrap w:val="0"/>
            <w:vAlign w:val="top"/>
          </w:tcPr>
          <w:p>
            <w:pPr>
              <w:ind w:firstLine="480" w:firstLineChars="200"/>
              <w:rPr>
                <w:rFonts w:hint="eastAsia" w:ascii="仿宋_GB2312" w:hAnsi="仿宋_GB2312" w:eastAsia="仿宋_GB2312" w:cs="仿宋_GB2312"/>
                <w:sz w:val="24"/>
              </w:rPr>
            </w:pPr>
          </w:p>
        </w:tc>
        <w:tc>
          <w:tcPr>
            <w:tcW w:w="1559"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移动终端</w:t>
            </w:r>
          </w:p>
        </w:tc>
        <w:tc>
          <w:tcPr>
            <w:tcW w:w="1417"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应用服务器</w:t>
            </w:r>
          </w:p>
        </w:tc>
        <w:tc>
          <w:tcPr>
            <w:tcW w:w="1560"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应用服务器</w:t>
            </w:r>
          </w:p>
        </w:tc>
        <w:tc>
          <w:tcPr>
            <w:tcW w:w="1701"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应用服务器</w:t>
            </w:r>
          </w:p>
        </w:tc>
        <w:tc>
          <w:tcPr>
            <w:tcW w:w="1559"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应用服务器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保护</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身份认证</w:t>
            </w:r>
          </w:p>
          <w:p>
            <w:pPr>
              <w:rPr>
                <w:rFonts w:hint="eastAsia" w:ascii="仿宋_GB2312" w:hAnsi="仿宋_GB2312" w:eastAsia="仿宋_GB2312" w:cs="仿宋_GB2312"/>
                <w:sz w:val="24"/>
              </w:rPr>
            </w:pPr>
            <w:r>
              <w:rPr>
                <w:rFonts w:hint="eastAsia" w:ascii="仿宋_GB2312" w:hAnsi="仿宋_GB2312" w:eastAsia="仿宋_GB2312" w:cs="仿宋_GB2312"/>
                <w:sz w:val="24"/>
              </w:rPr>
              <w:t>数字签名</w:t>
            </w:r>
          </w:p>
          <w:p>
            <w:pPr>
              <w:rPr>
                <w:rFonts w:hint="eastAsia" w:ascii="仿宋_GB2312" w:hAnsi="仿宋_GB2312" w:eastAsia="仿宋_GB2312" w:cs="仿宋_GB2312"/>
                <w:sz w:val="24"/>
              </w:rPr>
            </w:pPr>
            <w:r>
              <w:rPr>
                <w:rFonts w:hint="eastAsia" w:ascii="仿宋_GB2312" w:hAnsi="仿宋_GB2312" w:eastAsia="仿宋_GB2312" w:cs="仿宋_GB2312"/>
                <w:sz w:val="24"/>
              </w:rPr>
              <w:t>权限控制</w:t>
            </w:r>
          </w:p>
          <w:p>
            <w:pPr>
              <w:rPr>
                <w:rFonts w:hint="eastAsia" w:ascii="仿宋_GB2312" w:hAnsi="仿宋_GB2312" w:eastAsia="仿宋_GB2312" w:cs="仿宋_GB2312"/>
                <w:sz w:val="24"/>
              </w:rPr>
            </w:pPr>
            <w:r>
              <w:rPr>
                <w:rFonts w:hint="eastAsia" w:ascii="仿宋_GB2312" w:hAnsi="仿宋_GB2312" w:eastAsia="仿宋_GB2312" w:cs="仿宋_GB2312"/>
                <w:sz w:val="24"/>
              </w:rPr>
              <w:t>沙箱操作</w:t>
            </w:r>
          </w:p>
          <w:p>
            <w:pPr>
              <w:rPr>
                <w:rFonts w:hint="eastAsia" w:ascii="仿宋_GB2312" w:hAnsi="仿宋_GB2312" w:eastAsia="仿宋_GB2312" w:cs="仿宋_GB2312"/>
                <w:sz w:val="24"/>
              </w:rPr>
            </w:pPr>
            <w:r>
              <w:rPr>
                <w:rFonts w:hint="eastAsia" w:ascii="仿宋_GB2312" w:hAnsi="仿宋_GB2312" w:eastAsia="仿宋_GB2312" w:cs="仿宋_GB2312"/>
                <w:sz w:val="24"/>
              </w:rPr>
              <w:t>手势图案</w:t>
            </w:r>
          </w:p>
        </w:tc>
        <w:tc>
          <w:tcPr>
            <w:tcW w:w="1417"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身份认证</w:t>
            </w:r>
          </w:p>
          <w:p>
            <w:pPr>
              <w:rPr>
                <w:rFonts w:hint="eastAsia" w:ascii="仿宋_GB2312" w:hAnsi="仿宋_GB2312" w:eastAsia="仿宋_GB2312" w:cs="仿宋_GB2312"/>
                <w:sz w:val="24"/>
              </w:rPr>
            </w:pPr>
            <w:r>
              <w:rPr>
                <w:rFonts w:hint="eastAsia" w:ascii="仿宋_GB2312" w:hAnsi="仿宋_GB2312" w:eastAsia="仿宋_GB2312" w:cs="仿宋_GB2312"/>
                <w:sz w:val="24"/>
              </w:rPr>
              <w:t>数字签名</w:t>
            </w:r>
          </w:p>
          <w:p>
            <w:pPr>
              <w:rPr>
                <w:rFonts w:hint="eastAsia" w:ascii="仿宋_GB2312" w:hAnsi="仿宋_GB2312" w:eastAsia="仿宋_GB2312" w:cs="仿宋_GB2312"/>
                <w:sz w:val="24"/>
              </w:rPr>
            </w:pPr>
            <w:r>
              <w:rPr>
                <w:rFonts w:hint="eastAsia" w:ascii="仿宋_GB2312" w:hAnsi="仿宋_GB2312" w:eastAsia="仿宋_GB2312" w:cs="仿宋_GB2312"/>
                <w:sz w:val="24"/>
              </w:rPr>
              <w:t>权限控制</w:t>
            </w:r>
          </w:p>
          <w:p>
            <w:pPr>
              <w:rPr>
                <w:rFonts w:hint="eastAsia" w:ascii="仿宋_GB2312" w:hAnsi="仿宋_GB2312" w:eastAsia="仿宋_GB2312" w:cs="仿宋_GB2312"/>
                <w:sz w:val="24"/>
              </w:rPr>
            </w:pPr>
            <w:r>
              <w:rPr>
                <w:rFonts w:hint="eastAsia" w:ascii="仿宋_GB2312" w:hAnsi="仿宋_GB2312" w:eastAsia="仿宋_GB2312" w:cs="仿宋_GB2312"/>
                <w:sz w:val="24"/>
              </w:rPr>
              <w:t>组件访问权限</w:t>
            </w:r>
          </w:p>
          <w:p>
            <w:pPr>
              <w:rPr>
                <w:rFonts w:hint="eastAsia" w:ascii="仿宋_GB2312" w:hAnsi="仿宋_GB2312" w:eastAsia="仿宋_GB2312" w:cs="仿宋_GB2312"/>
                <w:sz w:val="24"/>
              </w:rPr>
            </w:pPr>
            <w:r>
              <w:rPr>
                <w:rFonts w:hint="eastAsia" w:ascii="仿宋_GB2312" w:hAnsi="仿宋_GB2312" w:eastAsia="仿宋_GB2312" w:cs="仿宋_GB2312"/>
                <w:sz w:val="24"/>
              </w:rPr>
              <w:t>加密</w:t>
            </w:r>
          </w:p>
        </w:tc>
        <w:tc>
          <w:tcPr>
            <w:tcW w:w="1560"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身份认证</w:t>
            </w:r>
          </w:p>
          <w:p>
            <w:pPr>
              <w:rPr>
                <w:rFonts w:hint="eastAsia" w:ascii="仿宋_GB2312" w:hAnsi="仿宋_GB2312" w:eastAsia="仿宋_GB2312" w:cs="仿宋_GB2312"/>
                <w:sz w:val="24"/>
              </w:rPr>
            </w:pPr>
            <w:r>
              <w:rPr>
                <w:rFonts w:hint="eastAsia" w:ascii="仿宋_GB2312" w:hAnsi="仿宋_GB2312" w:eastAsia="仿宋_GB2312" w:cs="仿宋_GB2312"/>
                <w:sz w:val="24"/>
              </w:rPr>
              <w:t>权限控制</w:t>
            </w:r>
          </w:p>
        </w:tc>
        <w:tc>
          <w:tcPr>
            <w:tcW w:w="1701"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防火墙</w:t>
            </w:r>
          </w:p>
          <w:p>
            <w:pPr>
              <w:rPr>
                <w:rFonts w:hint="eastAsia" w:ascii="仿宋_GB2312" w:hAnsi="仿宋_GB2312" w:eastAsia="仿宋_GB2312" w:cs="仿宋_GB2312"/>
                <w:sz w:val="24"/>
              </w:rPr>
            </w:pPr>
            <w:r>
              <w:rPr>
                <w:rFonts w:hint="eastAsia" w:ascii="仿宋_GB2312" w:hAnsi="仿宋_GB2312" w:eastAsia="仿宋_GB2312" w:cs="仿宋_GB2312"/>
                <w:sz w:val="24"/>
              </w:rPr>
              <w:t>代理服务器</w:t>
            </w:r>
          </w:p>
          <w:p>
            <w:pPr>
              <w:rPr>
                <w:rFonts w:hint="eastAsia" w:ascii="仿宋_GB2312" w:hAnsi="仿宋_GB2312" w:eastAsia="仿宋_GB2312" w:cs="仿宋_GB2312"/>
                <w:sz w:val="24"/>
              </w:rPr>
            </w:pPr>
            <w:r>
              <w:rPr>
                <w:rFonts w:hint="eastAsia" w:ascii="仿宋_GB2312" w:hAnsi="仿宋_GB2312" w:eastAsia="仿宋_GB2312" w:cs="仿宋_GB2312"/>
                <w:sz w:val="24"/>
              </w:rPr>
              <w:t>访问控制列表</w:t>
            </w:r>
          </w:p>
          <w:p>
            <w:pPr>
              <w:rPr>
                <w:rFonts w:hint="eastAsia" w:ascii="仿宋_GB2312" w:hAnsi="仿宋_GB2312" w:eastAsia="仿宋_GB2312" w:cs="仿宋_GB2312"/>
                <w:sz w:val="24"/>
              </w:rPr>
            </w:pPr>
            <w:r>
              <w:rPr>
                <w:rFonts w:hint="eastAsia" w:ascii="仿宋_GB2312" w:hAnsi="仿宋_GB2312" w:eastAsia="仿宋_GB2312" w:cs="仿宋_GB2312"/>
                <w:sz w:val="24"/>
              </w:rPr>
              <w:t>扫描器</w:t>
            </w:r>
          </w:p>
          <w:p>
            <w:pPr>
              <w:rPr>
                <w:rFonts w:hint="eastAsia" w:ascii="仿宋_GB2312" w:hAnsi="仿宋_GB2312" w:eastAsia="仿宋_GB2312" w:cs="仿宋_GB2312"/>
                <w:sz w:val="24"/>
              </w:rPr>
            </w:pPr>
            <w:r>
              <w:rPr>
                <w:rFonts w:hint="eastAsia" w:ascii="仿宋_GB2312" w:hAnsi="仿宋_GB2312" w:eastAsia="仿宋_GB2312" w:cs="仿宋_GB2312"/>
                <w:sz w:val="24"/>
              </w:rPr>
              <w:t>防病毒软件</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环境隔离</w:t>
            </w:r>
          </w:p>
          <w:p>
            <w:pPr>
              <w:rPr>
                <w:rFonts w:hint="eastAsia" w:ascii="仿宋_GB2312" w:hAnsi="仿宋_GB2312" w:eastAsia="仿宋_GB2312" w:cs="仿宋_GB2312"/>
                <w:sz w:val="24"/>
              </w:rPr>
            </w:pPr>
            <w:r>
              <w:rPr>
                <w:rFonts w:hint="eastAsia" w:ascii="仿宋_GB2312" w:hAnsi="仿宋_GB2312" w:eastAsia="仿宋_GB2312" w:cs="仿宋_GB2312"/>
                <w:sz w:val="24"/>
              </w:rPr>
              <w:t>门禁系统</w:t>
            </w:r>
          </w:p>
          <w:p>
            <w:pPr>
              <w:rPr>
                <w:rFonts w:hint="eastAsia" w:ascii="仿宋_GB2312" w:hAnsi="仿宋_GB2312" w:eastAsia="仿宋_GB2312" w:cs="仿宋_GB2312"/>
                <w:sz w:val="24"/>
              </w:rPr>
            </w:pPr>
            <w:r>
              <w:rPr>
                <w:rFonts w:hint="eastAsia" w:ascii="仿宋_GB2312" w:hAnsi="仿宋_GB2312" w:eastAsia="仿宋_GB2312" w:cs="仿宋_GB2312"/>
                <w:sz w:val="24"/>
              </w:rPr>
              <w:t>消防系统</w:t>
            </w:r>
          </w:p>
          <w:p>
            <w:pPr>
              <w:rPr>
                <w:rFonts w:hint="eastAsia" w:ascii="仿宋_GB2312" w:hAnsi="仿宋_GB2312" w:eastAsia="仿宋_GB2312" w:cs="仿宋_GB2312"/>
                <w:sz w:val="24"/>
              </w:rPr>
            </w:pPr>
            <w:r>
              <w:rPr>
                <w:rFonts w:hint="eastAsia" w:ascii="仿宋_GB2312" w:hAnsi="仿宋_GB2312" w:eastAsia="仿宋_GB2312" w:cs="仿宋_GB2312"/>
                <w:sz w:val="24"/>
              </w:rPr>
              <w:t>温湿度控制系统</w:t>
            </w:r>
          </w:p>
          <w:p>
            <w:pPr>
              <w:rPr>
                <w:rFonts w:hint="eastAsia" w:ascii="仿宋_GB2312" w:hAnsi="仿宋_GB2312" w:eastAsia="仿宋_GB2312" w:cs="仿宋_GB2312"/>
                <w:sz w:val="24"/>
              </w:rPr>
            </w:pPr>
            <w:r>
              <w:rPr>
                <w:rFonts w:hint="eastAsia" w:ascii="仿宋_GB2312" w:hAnsi="仿宋_GB2312" w:eastAsia="仿宋_GB2312" w:cs="仿宋_GB2312"/>
                <w:sz w:val="24"/>
              </w:rPr>
              <w:t>容灾系统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检测</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操作日志</w:t>
            </w:r>
          </w:p>
          <w:p>
            <w:pPr>
              <w:rPr>
                <w:rFonts w:hint="eastAsia" w:ascii="仿宋_GB2312" w:hAnsi="仿宋_GB2312" w:eastAsia="仿宋_GB2312" w:cs="仿宋_GB2312"/>
                <w:sz w:val="24"/>
              </w:rPr>
            </w:pPr>
            <w:r>
              <w:rPr>
                <w:rFonts w:hint="eastAsia" w:ascii="仿宋_GB2312" w:hAnsi="仿宋_GB2312" w:eastAsia="仿宋_GB2312" w:cs="仿宋_GB2312"/>
                <w:sz w:val="24"/>
              </w:rPr>
              <w:t>签名</w:t>
            </w:r>
          </w:p>
        </w:tc>
        <w:tc>
          <w:tcPr>
            <w:tcW w:w="1417"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散列签名</w:t>
            </w:r>
          </w:p>
          <w:p>
            <w:pPr>
              <w:rPr>
                <w:rFonts w:hint="eastAsia" w:ascii="仿宋_GB2312" w:hAnsi="仿宋_GB2312" w:eastAsia="仿宋_GB2312" w:cs="仿宋_GB2312"/>
                <w:sz w:val="24"/>
              </w:rPr>
            </w:pPr>
            <w:r>
              <w:rPr>
                <w:rFonts w:hint="eastAsia" w:ascii="仿宋_GB2312" w:hAnsi="仿宋_GB2312" w:eastAsia="仿宋_GB2312" w:cs="仿宋_GB2312"/>
                <w:sz w:val="24"/>
              </w:rPr>
              <w:t>应用程序日志</w:t>
            </w:r>
          </w:p>
        </w:tc>
        <w:tc>
          <w:tcPr>
            <w:tcW w:w="1560"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登陆控制</w:t>
            </w:r>
          </w:p>
          <w:p>
            <w:pPr>
              <w:rPr>
                <w:rFonts w:hint="eastAsia" w:ascii="仿宋_GB2312" w:hAnsi="仿宋_GB2312" w:eastAsia="仿宋_GB2312" w:cs="仿宋_GB2312"/>
                <w:sz w:val="24"/>
              </w:rPr>
            </w:pPr>
            <w:r>
              <w:rPr>
                <w:rFonts w:hint="eastAsia" w:ascii="仿宋_GB2312" w:hAnsi="仿宋_GB2312" w:eastAsia="仿宋_GB2312" w:cs="仿宋_GB2312"/>
                <w:sz w:val="24"/>
              </w:rPr>
              <w:t>审计日志</w:t>
            </w:r>
          </w:p>
          <w:p>
            <w:pPr>
              <w:rPr>
                <w:rFonts w:hint="eastAsia" w:ascii="仿宋_GB2312" w:hAnsi="仿宋_GB2312" w:eastAsia="仿宋_GB2312" w:cs="仿宋_GB2312"/>
                <w:sz w:val="24"/>
              </w:rPr>
            </w:pPr>
            <w:r>
              <w:rPr>
                <w:rFonts w:hint="eastAsia" w:ascii="仿宋_GB2312" w:hAnsi="仿宋_GB2312" w:eastAsia="仿宋_GB2312" w:cs="仿宋_GB2312"/>
                <w:sz w:val="24"/>
              </w:rPr>
              <w:t>文件签名</w:t>
            </w:r>
          </w:p>
        </w:tc>
        <w:tc>
          <w:tcPr>
            <w:tcW w:w="1701"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网络入侵检测</w:t>
            </w:r>
          </w:p>
          <w:p>
            <w:pPr>
              <w:rPr>
                <w:rFonts w:hint="eastAsia" w:ascii="仿宋_GB2312" w:hAnsi="仿宋_GB2312" w:eastAsia="仿宋_GB2312" w:cs="仿宋_GB2312"/>
                <w:sz w:val="24"/>
              </w:rPr>
            </w:pPr>
            <w:r>
              <w:rPr>
                <w:rFonts w:hint="eastAsia" w:ascii="仿宋_GB2312" w:hAnsi="仿宋_GB2312" w:eastAsia="仿宋_GB2312" w:cs="仿宋_GB2312"/>
                <w:sz w:val="24"/>
              </w:rPr>
              <w:t>漏洞检测</w:t>
            </w:r>
          </w:p>
          <w:p>
            <w:pPr>
              <w:rPr>
                <w:rFonts w:hint="eastAsia" w:ascii="仿宋_GB2312" w:hAnsi="仿宋_GB2312" w:eastAsia="仿宋_GB2312" w:cs="仿宋_GB2312"/>
                <w:sz w:val="24"/>
              </w:rPr>
            </w:pPr>
            <w:r>
              <w:rPr>
                <w:rFonts w:hint="eastAsia" w:ascii="仿宋_GB2312" w:hAnsi="仿宋_GB2312" w:eastAsia="仿宋_GB2312" w:cs="仿宋_GB2312"/>
                <w:sz w:val="24"/>
              </w:rPr>
              <w:t>病毒检测</w:t>
            </w:r>
          </w:p>
          <w:p>
            <w:pPr>
              <w:rPr>
                <w:rFonts w:hint="eastAsia" w:ascii="仿宋_GB2312" w:hAnsi="仿宋_GB2312" w:eastAsia="仿宋_GB2312" w:cs="仿宋_GB2312"/>
                <w:sz w:val="24"/>
              </w:rPr>
            </w:pPr>
            <w:r>
              <w:rPr>
                <w:rFonts w:hint="eastAsia" w:ascii="仿宋_GB2312" w:hAnsi="仿宋_GB2312" w:eastAsia="仿宋_GB2312" w:cs="仿宋_GB2312"/>
                <w:sz w:val="24"/>
              </w:rPr>
              <w:t>布告</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监控中心</w:t>
            </w:r>
          </w:p>
          <w:p>
            <w:pPr>
              <w:rPr>
                <w:rFonts w:hint="eastAsia" w:ascii="仿宋_GB2312" w:hAnsi="仿宋_GB2312" w:eastAsia="仿宋_GB2312" w:cs="仿宋_GB2312"/>
                <w:sz w:val="24"/>
              </w:rPr>
            </w:pPr>
            <w:r>
              <w:rPr>
                <w:rFonts w:hint="eastAsia" w:ascii="仿宋_GB2312" w:hAnsi="仿宋_GB2312" w:eastAsia="仿宋_GB2312" w:cs="仿宋_GB2312"/>
                <w:sz w:val="24"/>
              </w:rPr>
              <w:t>感应探测装置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响应</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事件通知</w:t>
            </w:r>
          </w:p>
          <w:p>
            <w:pPr>
              <w:rPr>
                <w:rFonts w:hint="eastAsia" w:ascii="仿宋_GB2312" w:hAnsi="仿宋_GB2312" w:eastAsia="仿宋_GB2312" w:cs="仿宋_GB2312"/>
                <w:sz w:val="24"/>
              </w:rPr>
            </w:pPr>
            <w:r>
              <w:rPr>
                <w:rFonts w:hint="eastAsia" w:ascii="仿宋_GB2312" w:hAnsi="仿宋_GB2312" w:eastAsia="仿宋_GB2312" w:cs="仿宋_GB2312"/>
                <w:sz w:val="24"/>
              </w:rPr>
              <w:t>消息上报</w:t>
            </w:r>
          </w:p>
        </w:tc>
        <w:tc>
          <w:tcPr>
            <w:tcW w:w="1417"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事件通知</w:t>
            </w:r>
          </w:p>
        </w:tc>
        <w:tc>
          <w:tcPr>
            <w:tcW w:w="1560"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接入控制审计</w:t>
            </w:r>
          </w:p>
        </w:tc>
        <w:tc>
          <w:tcPr>
            <w:tcW w:w="1701"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事件响应</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审查</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自动调节装置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恢复</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数据恢复</w:t>
            </w:r>
          </w:p>
          <w:p>
            <w:pPr>
              <w:rPr>
                <w:rFonts w:hint="eastAsia" w:ascii="仿宋_GB2312" w:hAnsi="仿宋_GB2312" w:eastAsia="仿宋_GB2312" w:cs="仿宋_GB2312"/>
                <w:sz w:val="24"/>
              </w:rPr>
            </w:pPr>
            <w:r>
              <w:rPr>
                <w:rFonts w:hint="eastAsia" w:ascii="仿宋_GB2312" w:hAnsi="仿宋_GB2312" w:eastAsia="仿宋_GB2312" w:cs="仿宋_GB2312"/>
                <w:sz w:val="24"/>
              </w:rPr>
              <w:t>应用升级</w:t>
            </w:r>
          </w:p>
        </w:tc>
        <w:tc>
          <w:tcPr>
            <w:tcW w:w="1417"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数据备份</w:t>
            </w:r>
          </w:p>
          <w:p>
            <w:pPr>
              <w:rPr>
                <w:rFonts w:hint="eastAsia" w:ascii="仿宋_GB2312" w:hAnsi="仿宋_GB2312" w:eastAsia="仿宋_GB2312" w:cs="仿宋_GB2312"/>
                <w:sz w:val="24"/>
              </w:rPr>
            </w:pPr>
            <w:r>
              <w:rPr>
                <w:rFonts w:hint="eastAsia" w:ascii="仿宋_GB2312" w:hAnsi="仿宋_GB2312" w:eastAsia="仿宋_GB2312" w:cs="仿宋_GB2312"/>
                <w:sz w:val="24"/>
              </w:rPr>
              <w:t>数据恢复</w:t>
            </w:r>
          </w:p>
        </w:tc>
        <w:tc>
          <w:tcPr>
            <w:tcW w:w="1560"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系统升级</w:t>
            </w:r>
          </w:p>
          <w:p>
            <w:pPr>
              <w:rPr>
                <w:rFonts w:hint="eastAsia" w:ascii="仿宋_GB2312" w:hAnsi="仿宋_GB2312" w:eastAsia="仿宋_GB2312" w:cs="仿宋_GB2312"/>
                <w:sz w:val="24"/>
              </w:rPr>
            </w:pPr>
            <w:r>
              <w:rPr>
                <w:rFonts w:hint="eastAsia" w:ascii="仿宋_GB2312" w:hAnsi="仿宋_GB2312" w:eastAsia="仿宋_GB2312" w:cs="仿宋_GB2312"/>
                <w:sz w:val="24"/>
              </w:rPr>
              <w:t>打补丁</w:t>
            </w:r>
          </w:p>
        </w:tc>
        <w:tc>
          <w:tcPr>
            <w:tcW w:w="1701"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反击、控制</w:t>
            </w:r>
          </w:p>
          <w:p>
            <w:pPr>
              <w:rPr>
                <w:rFonts w:hint="eastAsia" w:ascii="仿宋_GB2312" w:hAnsi="仿宋_GB2312" w:eastAsia="仿宋_GB2312" w:cs="仿宋_GB2312"/>
                <w:sz w:val="24"/>
              </w:rPr>
            </w:pPr>
            <w:r>
              <w:rPr>
                <w:rFonts w:hint="eastAsia" w:ascii="仿宋_GB2312" w:hAnsi="仿宋_GB2312" w:eastAsia="仿宋_GB2312" w:cs="仿宋_GB2312"/>
                <w:sz w:val="24"/>
              </w:rPr>
              <w:t>弥补自身漏洞</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硬件系统</w:t>
            </w:r>
          </w:p>
          <w:p>
            <w:pPr>
              <w:rPr>
                <w:rFonts w:hint="eastAsia" w:ascii="仿宋_GB2312" w:hAnsi="仿宋_GB2312" w:eastAsia="仿宋_GB2312" w:cs="仿宋_GB2312"/>
                <w:sz w:val="24"/>
              </w:rPr>
            </w:pPr>
            <w:r>
              <w:rPr>
                <w:rFonts w:hint="eastAsia" w:ascii="仿宋_GB2312" w:hAnsi="仿宋_GB2312" w:eastAsia="仿宋_GB2312" w:cs="仿宋_GB2312"/>
                <w:sz w:val="24"/>
              </w:rPr>
              <w:t>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改善</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权限更新</w:t>
            </w:r>
          </w:p>
        </w:tc>
        <w:tc>
          <w:tcPr>
            <w:tcW w:w="1417"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权限更新</w:t>
            </w:r>
          </w:p>
        </w:tc>
        <w:tc>
          <w:tcPr>
            <w:tcW w:w="1560"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权限更新</w:t>
            </w:r>
          </w:p>
        </w:tc>
        <w:tc>
          <w:tcPr>
            <w:tcW w:w="1701"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防火墙规则更新</w:t>
            </w:r>
          </w:p>
          <w:p>
            <w:pPr>
              <w:rPr>
                <w:rFonts w:hint="eastAsia" w:ascii="仿宋_GB2312" w:hAnsi="仿宋_GB2312" w:eastAsia="仿宋_GB2312" w:cs="仿宋_GB2312"/>
                <w:sz w:val="24"/>
              </w:rPr>
            </w:pPr>
            <w:r>
              <w:rPr>
                <w:rFonts w:hint="eastAsia" w:ascii="仿宋_GB2312" w:hAnsi="仿宋_GB2312" w:eastAsia="仿宋_GB2312" w:cs="仿宋_GB2312"/>
                <w:sz w:val="24"/>
              </w:rPr>
              <w:t>ACL更新</w:t>
            </w:r>
          </w:p>
          <w:p>
            <w:pPr>
              <w:rPr>
                <w:rFonts w:hint="eastAsia" w:ascii="仿宋_GB2312" w:hAnsi="仿宋_GB2312" w:eastAsia="仿宋_GB2312" w:cs="仿宋_GB2312"/>
                <w:sz w:val="24"/>
              </w:rPr>
            </w:pPr>
            <w:r>
              <w:rPr>
                <w:rFonts w:hint="eastAsia" w:ascii="仿宋_GB2312" w:hAnsi="仿宋_GB2312" w:eastAsia="仿宋_GB2312" w:cs="仿宋_GB2312"/>
                <w:sz w:val="24"/>
              </w:rPr>
              <w:t>代理机制</w:t>
            </w:r>
          </w:p>
          <w:p>
            <w:pPr>
              <w:rPr>
                <w:rFonts w:hint="eastAsia" w:ascii="仿宋_GB2312" w:hAnsi="仿宋_GB2312" w:eastAsia="仿宋_GB2312" w:cs="仿宋_GB2312"/>
                <w:sz w:val="24"/>
              </w:rPr>
            </w:pPr>
            <w:r>
              <w:rPr>
                <w:rFonts w:hint="eastAsia" w:ascii="仿宋_GB2312" w:hAnsi="仿宋_GB2312" w:eastAsia="仿宋_GB2312" w:cs="仿宋_GB2312"/>
                <w:sz w:val="24"/>
              </w:rPr>
              <w:t>病毒码更新</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授权更新</w:t>
            </w:r>
          </w:p>
          <w:p>
            <w:pPr>
              <w:rPr>
                <w:rFonts w:hint="eastAsia" w:ascii="仿宋_GB2312" w:hAnsi="仿宋_GB2312" w:eastAsia="仿宋_GB2312" w:cs="仿宋_GB2312"/>
                <w:sz w:val="24"/>
              </w:rPr>
            </w:pPr>
            <w:r>
              <w:rPr>
                <w:rFonts w:hint="eastAsia" w:ascii="仿宋_GB2312" w:hAnsi="仿宋_GB2312" w:eastAsia="仿宋_GB2312" w:cs="仿宋_GB2312"/>
                <w:sz w:val="24"/>
              </w:rPr>
              <w:t>更换设备</w:t>
            </w:r>
          </w:p>
        </w:tc>
      </w:tr>
    </w:tbl>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34" w:name="_Toc4150"/>
      <w:bookmarkStart w:id="135" w:name="_Toc7160"/>
      <w:bookmarkStart w:id="136" w:name="_Toc140140800"/>
      <w:bookmarkStart w:id="137" w:name="_Toc14133"/>
      <w:r>
        <w:rPr>
          <w:rFonts w:hint="eastAsia" w:ascii="宋体" w:hAnsi="宋体" w:eastAsia="宋体" w:cs="Times New Roman"/>
          <w:b/>
          <w:bCs/>
          <w:kern w:val="2"/>
          <w:sz w:val="32"/>
          <w:szCs w:val="32"/>
          <w:lang w:val="en-US" w:eastAsia="zh-CN" w:bidi="ar-SA"/>
        </w:rPr>
        <w:t>物理安全</w:t>
      </w:r>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系统的物理安全是整个系统安全的基础，要把系统的危险减至最低限度，需要选择适当的设施和位置，保护计算机网络设备、设施以及其它媒体免遭地震、水灾、火灾等环境事故以及人为操作失误或错误及各种计算机犯罪行为导致的破坏过程。它主要包括机房环境、设备保护、容灾保护、犯罪活动以及工业事故等几方面的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防火墙和服务器由院方按照医院的信息安全管理办法进行配置和安装，其物理安全需要由医院来提供保障。</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38" w:name="_Toc416361898"/>
      <w:bookmarkStart w:id="139" w:name="_Toc140140801"/>
      <w:bookmarkStart w:id="140" w:name="_Toc17813"/>
      <w:r>
        <w:rPr>
          <w:rFonts w:hint="eastAsia" w:ascii="Calibri" w:hAnsi="Calibri" w:eastAsia="宋体" w:cs="Times New Roman"/>
          <w:b/>
          <w:bCs/>
          <w:kern w:val="2"/>
          <w:sz w:val="32"/>
          <w:szCs w:val="32"/>
          <w:lang w:val="en-US" w:eastAsia="zh-CN" w:bidi="ar-SA"/>
        </w:rPr>
        <w:t>网络安全</w:t>
      </w:r>
      <w:bookmarkEnd w:id="138"/>
      <w:bookmarkEnd w:id="139"/>
      <w:bookmarkEnd w:id="14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网络安全主要考虑内外网隔离、防病毒、防黑客攻击等方面的安全问题，采用以下技术手段来实现。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网闸：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医院的内网是整个医院信息处理的区域，安全级别要求非常高，基本处于完全隔离的网络，不允许任何非法的访问和侵入。移动应用部署在医院的外网区域，需要频繁的与外部交互，安全级别上限制稍低。在两个网络之间配置安全隔离网闸，并配置适度可控的数据交换的软硬件系统，实现医院内网系统与外网系统之间的数据交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防火墙：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防火墙是实现网络安全最基本、最经济、最有效的安全措施之一。防火墙通过制定严格的安全策略实现内外网络或内部网络不同信任域之间的隔离与访问控制。并且防火墙可以实现单向或双向控制，对一些高层协议实现较细粒的访问控制。防火墙的控制策略是双向控制，将会只允许经过授信的IP地址对服务端进行访问，其他IP地址所进行的访问请求将被拦截；同样，服务端对外访问的控制也将会只允许访问目标IP，其他地址将被拦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防病毒系统：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现在计算机病毒种类很多，而且危害也越来越大，轻者影响系统的运行性能，重者破坏整个系统数据，使系统陷于瘫痪，在医院的服务器上加装安全可靠的软硬件杀病毒、防病毒产品。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数据访问的私有协议：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服务端和移动应用(APP、公众号、生活号等)的数据交换将基于二进制的私有协议进行，数据本身不具有任何业务含义，这样即使在传输过程中数据包被截获也无法获取有效信息。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支持网络数据加密传输：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为了防止数据被窃取带来的不安全隐患，对关键数据传输进行数据加密，加密方式主要采用对称和非对称加密。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安全响应和处理：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系统通过网络安全扫描系统和网络实时监控预警系统,对系统安全事件及时做出响应和处理。</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41" w:name="_Toc12535"/>
      <w:bookmarkStart w:id="142" w:name="_Toc416361899"/>
      <w:bookmarkStart w:id="143" w:name="_Toc140140802"/>
      <w:r>
        <w:rPr>
          <w:rFonts w:hint="eastAsia" w:ascii="Calibri" w:hAnsi="Calibri" w:eastAsia="宋体" w:cs="Times New Roman"/>
          <w:b/>
          <w:bCs/>
          <w:kern w:val="2"/>
          <w:sz w:val="32"/>
          <w:szCs w:val="32"/>
          <w:lang w:val="en-US" w:eastAsia="zh-CN" w:bidi="ar-SA"/>
        </w:rPr>
        <w:t>系统安全</w:t>
      </w:r>
      <w:bookmarkEnd w:id="141"/>
      <w:bookmarkEnd w:id="142"/>
      <w:bookmarkEnd w:id="14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系统安全主要包括支持服务器的中间件、系统软件及关系型数据库管理系统等方面的内容，以这些内容自身的安全性为基础，以身份认证、用户授权来控制、系统审计、系统升级或打补丁、权限更新为手段，保证与提高系统安全的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bookmarkStart w:id="144" w:name="_Toc140140803"/>
      <w:bookmarkStart w:id="145" w:name="_Toc416361901"/>
      <w:bookmarkStart w:id="146" w:name="_Toc24896"/>
      <w:r>
        <w:rPr>
          <w:rFonts w:hint="eastAsia" w:ascii="宋体" w:hAnsi="宋体" w:eastAsia="宋体" w:cs="宋体"/>
          <w:sz w:val="21"/>
          <w:szCs w:val="21"/>
          <w:lang w:val="zh-CN"/>
        </w:rPr>
        <w:t>应用安全</w:t>
      </w:r>
      <w:bookmarkEnd w:id="144"/>
      <w:bookmarkEnd w:id="145"/>
      <w:bookmarkEnd w:id="14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应用安全主要考虑部署在服务器上的应用系统的安全，涉及应用系统的稳定、应用的授权及访问控制，数据的安全管理。主要的安全内容包括：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1、保证移动终端、应用服务器的稳定和高可用性，避免单点故障。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2、应用服务器提供完整的身份认证及授权访问控制的方案。应用系统的整体安全保护具体内容可包括：实现用户的统一管理；系统实现用户身份验证和访问控制。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3、系统采用SSL协议进行数据加密处理。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4、对关键业务数据进行数据加密存储，为了防止数据被窃取带来的不安全隐患，对关键数据存储进行数据加密存储。</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105400" cy="2124075"/>
            <wp:effectExtent l="0" t="0" r="0"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2"/>
                    <a:stretch>
                      <a:fillRect/>
                    </a:stretch>
                  </pic:blipFill>
                  <pic:spPr>
                    <a:xfrm>
                      <a:off x="0" y="0"/>
                      <a:ext cx="5105400" cy="2124075"/>
                    </a:xfrm>
                    <a:prstGeom prst="rect">
                      <a:avLst/>
                    </a:prstGeom>
                    <a:noFill/>
                    <a:ln>
                      <a:noFill/>
                    </a:ln>
                  </pic:spPr>
                </pic:pic>
              </a:graphicData>
            </a:graphic>
          </wp:inline>
        </w:drawing>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图： 通讯安全</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47" w:name="_Toc416361900"/>
      <w:bookmarkStart w:id="148" w:name="_Toc140140804"/>
      <w:bookmarkStart w:id="149" w:name="_Toc16197"/>
      <w:bookmarkStart w:id="150" w:name="_Toc31305"/>
      <w:r>
        <w:rPr>
          <w:rFonts w:hint="eastAsia" w:ascii="Calibri" w:hAnsi="Calibri" w:eastAsia="宋体" w:cs="Times New Roman"/>
          <w:b/>
          <w:bCs/>
          <w:kern w:val="2"/>
          <w:sz w:val="32"/>
          <w:szCs w:val="32"/>
          <w:lang w:val="en-US" w:eastAsia="zh-CN" w:bidi="ar-SA"/>
        </w:rPr>
        <w:t>数据安全</w:t>
      </w:r>
      <w:bookmarkEnd w:id="147"/>
      <w:bookmarkEnd w:id="148"/>
      <w:bookmarkEnd w:id="149"/>
      <w:bookmarkEnd w:id="15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数据同步：数据同步的过程中数据不能丢失、重复、不能对已有的数据和数据库造成严重的影响（灾难性的影响）。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数据提取：数据不能丢失、重复、不能对已有的数据和数据库造成影响。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数据传输：保证数据能够正确传输到目的地，不出现丢失、重复（一次发送）。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命令收发：保证命令的一次发送不重复、不丢失。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任何模块在处理数据出错情况下能够进行数据的备份和恢复（手动恢复和自动恢复），系统日志需要详细记录系统错误的内容以便可以手动恢复相关的数据。</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51" w:name="_Toc23040"/>
      <w:bookmarkStart w:id="152" w:name="_Toc28145"/>
      <w:bookmarkStart w:id="153" w:name="_Toc140140805"/>
      <w:bookmarkStart w:id="154" w:name="_Toc416361902"/>
      <w:r>
        <w:rPr>
          <w:rFonts w:hint="eastAsia" w:ascii="Calibri" w:hAnsi="Calibri" w:eastAsia="宋体" w:cs="Times New Roman"/>
          <w:b/>
          <w:bCs/>
          <w:kern w:val="2"/>
          <w:sz w:val="32"/>
          <w:szCs w:val="32"/>
          <w:lang w:val="en-US" w:eastAsia="zh-CN" w:bidi="ar-SA"/>
        </w:rPr>
        <w:t>终端安全</w:t>
      </w:r>
      <w:bookmarkEnd w:id="151"/>
      <w:bookmarkEnd w:id="152"/>
      <w:bookmarkEnd w:id="153"/>
      <w:bookmarkEnd w:id="15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身份认证：用户通过用户名和密码获得身份认证，通过后会获取服务端发过来的Token，服务端的Token会设置生命周期，失效后需要用户再次进行身份认证。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权限控制：通过权限控制，用户在数据层面进行权限隔离，只被允许访问和其相关的数据，这样可以最大限度的保证医疗隐私数据的安全。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手势图案：移动终端中图案密码功能，可以防止手机丢失后的用户医疗相关的个人隐私信息被窃取。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沙箱操作：移动应用运行在基本沙箱进程中，因而防止了其他应用对资源的访问。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操作日志：用户的操作日志会上报应用服务器。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消息上报：在移动终端进行异常操作识别，并上报应用服务器。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应用升级：通过移动应用版本的定期更新升级，不断完善移动应用功能和安全方法。</w:t>
      </w:r>
    </w:p>
    <w:p>
      <w:pPr>
        <w:keepNext/>
        <w:keepLines/>
        <w:widowControl w:val="0"/>
        <w:numPr>
          <w:ilvl w:val="1"/>
          <w:numId w:val="5"/>
        </w:numPr>
        <w:spacing w:before="120" w:after="120" w:line="360" w:lineRule="auto"/>
        <w:jc w:val="both"/>
        <w:outlineLvl w:val="1"/>
        <w:rPr>
          <w:rFonts w:hint="eastAsia" w:ascii="宋体" w:hAnsi="宋体" w:eastAsia="宋体" w:cs="Times New Roman"/>
          <w:b/>
          <w:bCs/>
          <w:kern w:val="2"/>
          <w:sz w:val="32"/>
          <w:szCs w:val="32"/>
          <w:lang w:val="en-US" w:eastAsia="zh-CN" w:bidi="ar-SA"/>
        </w:rPr>
      </w:pPr>
      <w:bookmarkStart w:id="155" w:name="_Toc19569"/>
      <w:bookmarkStart w:id="156" w:name="_Toc23765"/>
      <w:bookmarkStart w:id="157" w:name="_Toc24929"/>
      <w:bookmarkStart w:id="158" w:name="_Toc140140806"/>
      <w:r>
        <w:rPr>
          <w:rFonts w:hint="eastAsia" w:ascii="宋体" w:hAnsi="宋体" w:eastAsia="宋体" w:cs="Times New Roman"/>
          <w:b/>
          <w:bCs/>
          <w:kern w:val="2"/>
          <w:sz w:val="32"/>
          <w:szCs w:val="32"/>
          <w:lang w:val="en-US" w:eastAsia="zh-CN" w:bidi="ar-SA"/>
        </w:rPr>
        <w:t>资金安全保障</w:t>
      </w:r>
      <w:bookmarkEnd w:id="155"/>
      <w:bookmarkEnd w:id="156"/>
      <w:bookmarkEnd w:id="157"/>
      <w:bookmarkEnd w:id="158"/>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59" w:name="_Toc140140807"/>
      <w:bookmarkStart w:id="160" w:name="_Toc15306"/>
      <w:bookmarkStart w:id="161" w:name="_Toc30839"/>
      <w:r>
        <w:rPr>
          <w:rFonts w:hint="eastAsia" w:ascii="Calibri" w:hAnsi="Calibri" w:eastAsia="宋体" w:cs="Times New Roman"/>
          <w:b/>
          <w:bCs/>
          <w:kern w:val="2"/>
          <w:sz w:val="32"/>
          <w:szCs w:val="32"/>
          <w:lang w:val="en-US" w:eastAsia="zh-CN" w:bidi="ar-SA"/>
        </w:rPr>
        <w:t>资金流转策略</w:t>
      </w:r>
      <w:bookmarkEnd w:id="159"/>
      <w:bookmarkEnd w:id="160"/>
      <w:bookmarkEnd w:id="161"/>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4919345" cy="2082165"/>
            <wp:effectExtent l="0" t="0" r="14605" b="1333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3"/>
                    <a:stretch>
                      <a:fillRect/>
                    </a:stretch>
                  </pic:blipFill>
                  <pic:spPr>
                    <a:xfrm>
                      <a:off x="0" y="0"/>
                      <a:ext cx="4919345" cy="20821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用户缴费资金实时的转入医院指定账户，支付平台不做留存管控，最大限度的保障医院资金的即时、安全到账。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医院账号资金每天可由人工或定时自动结算至银行账户，安全性、即时性由金融机构保证。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用户的退款资金由医院账户实时转出，保证退款的原路返回，减少现金流的干预，退款到账的流程由原支付渠道负责。</w:t>
      </w:r>
    </w:p>
    <w:p>
      <w:pPr>
        <w:keepNext/>
        <w:keepLines/>
        <w:widowControl w:val="0"/>
        <w:numPr>
          <w:ilvl w:val="2"/>
          <w:numId w:val="5"/>
        </w:numPr>
        <w:spacing w:before="120" w:after="120" w:line="360" w:lineRule="auto"/>
        <w:jc w:val="both"/>
        <w:outlineLvl w:val="2"/>
        <w:rPr>
          <w:rFonts w:hint="eastAsia" w:ascii="Calibri" w:hAnsi="Calibri" w:eastAsia="宋体" w:cs="Times New Roman"/>
          <w:b/>
          <w:bCs/>
          <w:kern w:val="2"/>
          <w:sz w:val="32"/>
          <w:szCs w:val="32"/>
          <w:lang w:val="en-US" w:eastAsia="zh-CN" w:bidi="ar-SA"/>
        </w:rPr>
      </w:pPr>
      <w:bookmarkStart w:id="162" w:name="_Toc8610"/>
      <w:bookmarkStart w:id="163" w:name="_Toc28304"/>
      <w:bookmarkStart w:id="164" w:name="_Toc140140808"/>
      <w:r>
        <w:rPr>
          <w:rFonts w:hint="eastAsia" w:ascii="Calibri" w:hAnsi="Calibri" w:eastAsia="宋体" w:cs="Times New Roman"/>
          <w:b/>
          <w:bCs/>
          <w:kern w:val="2"/>
          <w:sz w:val="32"/>
          <w:szCs w:val="32"/>
          <w:lang w:val="en-US" w:eastAsia="zh-CN" w:bidi="ar-SA"/>
        </w:rPr>
        <w:t>资金归集策略</w:t>
      </w:r>
      <w:bookmarkEnd w:id="162"/>
      <w:bookmarkEnd w:id="163"/>
      <w:bookmarkEnd w:id="164"/>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74310" cy="2528570"/>
            <wp:effectExtent l="0" t="0" r="254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5274310" cy="25285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平台对接银联、微信、支付宝、商业银行、社保等主流支付渠道，可为患者提供丰富的支付方式，满足患者多样化的支付习惯。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各渠道采用统一的资金归集策略，保障资金的安全、即时、统一归集。</w:t>
      </w:r>
    </w:p>
    <w:p>
      <w:pPr>
        <w:keepNext/>
        <w:keepLines/>
        <w:widowControl w:val="0"/>
        <w:numPr>
          <w:ilvl w:val="0"/>
          <w:numId w:val="5"/>
        </w:numPr>
        <w:spacing w:before="156" w:beforeLines="50" w:line="360" w:lineRule="auto"/>
        <w:jc w:val="both"/>
        <w:outlineLvl w:val="0"/>
        <w:rPr>
          <w:rFonts w:ascii="Calibri" w:hAnsi="Calibri" w:eastAsia="宋体" w:cs="Times New Roman"/>
          <w:b/>
          <w:bCs/>
          <w:kern w:val="44"/>
          <w:sz w:val="44"/>
          <w:szCs w:val="44"/>
          <w:lang w:val="en-US" w:eastAsia="zh-CN" w:bidi="ar-SA"/>
        </w:rPr>
      </w:pPr>
      <w:bookmarkStart w:id="165" w:name="_Toc13644"/>
      <w:bookmarkStart w:id="166" w:name="_Toc31732"/>
      <w:bookmarkStart w:id="167" w:name="_Toc14490"/>
      <w:r>
        <w:rPr>
          <w:rFonts w:hint="eastAsia" w:ascii="Calibri" w:hAnsi="Calibri" w:eastAsia="宋体" w:cs="Times New Roman"/>
          <w:b/>
          <w:bCs/>
          <w:kern w:val="44"/>
          <w:sz w:val="44"/>
          <w:szCs w:val="44"/>
          <w:lang w:val="en-US" w:eastAsia="zh-CN" w:bidi="ar-SA"/>
        </w:rPr>
        <w:t>安全要求</w:t>
      </w:r>
      <w:bookmarkEnd w:id="165"/>
      <w:bookmarkEnd w:id="166"/>
      <w:bookmarkEnd w:id="16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1）系统需配合医院通过三级等保测评。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2）所有来院人员和接触此项目人员需签订保密协议，包括但不限于商务代表、驻场工程师、实施工程师、开发工程师，中标商公司其他人员。</w:t>
      </w:r>
    </w:p>
    <w:p>
      <w:pPr>
        <w:keepNext/>
        <w:keepLines/>
        <w:widowControl w:val="0"/>
        <w:numPr>
          <w:ilvl w:val="0"/>
          <w:numId w:val="5"/>
        </w:numPr>
        <w:spacing w:before="156" w:beforeLines="50" w:line="360" w:lineRule="auto"/>
        <w:jc w:val="both"/>
        <w:outlineLvl w:val="0"/>
        <w:rPr>
          <w:rFonts w:hint="eastAsia" w:ascii="Calibri" w:hAnsi="Calibri" w:eastAsia="宋体" w:cs="Times New Roman"/>
          <w:b/>
          <w:bCs/>
          <w:kern w:val="44"/>
          <w:sz w:val="44"/>
          <w:szCs w:val="44"/>
          <w:lang w:val="en-US" w:eastAsia="zh-CN" w:bidi="ar-SA"/>
        </w:rPr>
      </w:pPr>
      <w:bookmarkStart w:id="168" w:name="_Toc26676"/>
      <w:bookmarkStart w:id="169" w:name="_Toc5324"/>
      <w:bookmarkStart w:id="170" w:name="_Toc26678"/>
      <w:r>
        <w:rPr>
          <w:rFonts w:hint="eastAsia" w:ascii="Calibri" w:hAnsi="Calibri" w:eastAsia="宋体" w:cs="Times New Roman"/>
          <w:b/>
          <w:bCs/>
          <w:kern w:val="44"/>
          <w:sz w:val="44"/>
          <w:szCs w:val="44"/>
          <w:lang w:val="en-US" w:eastAsia="zh-CN" w:bidi="ar-SA"/>
        </w:rPr>
        <w:t>其他服务要求</w:t>
      </w:r>
      <w:bookmarkEnd w:id="168"/>
      <w:bookmarkEnd w:id="169"/>
      <w:bookmarkEnd w:id="17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1)为医院提供信息化发展规划的合理建议；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2)为医院提供信息化方案设计技术支持；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3)为医院提供软件技术咨询服务；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4)为医院提供信息化技术支持培训；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5)为医院提供上述系统故障排查及处理；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6)为医院上述系统所涉及到的所有模块提供日常基础运行、维护，包括日常电话处理、系统使用问题解答与处理、日常后台数据修改，</w:t>
      </w:r>
      <w:r>
        <w:rPr>
          <w:rFonts w:hint="eastAsia" w:ascii="宋体" w:hAnsi="宋体" w:eastAsia="宋体" w:cs="宋体"/>
          <w:sz w:val="21"/>
          <w:szCs w:val="21"/>
        </w:rPr>
        <w:t>根据医院需求提供上门服务</w:t>
      </w:r>
      <w:r>
        <w:rPr>
          <w:rFonts w:hint="eastAsia" w:ascii="宋体" w:hAnsi="宋体" w:eastAsia="宋体" w:cs="宋体"/>
          <w:sz w:val="21"/>
          <w:szCs w:val="21"/>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7)为医院上述系统的提供整体的巡检及评估，</w:t>
      </w:r>
      <w:r>
        <w:rPr>
          <w:rFonts w:hint="eastAsia" w:ascii="宋体" w:hAnsi="宋体" w:eastAsia="宋体" w:cs="宋体"/>
          <w:sz w:val="21"/>
          <w:szCs w:val="21"/>
        </w:rPr>
        <w:t>每季度进行一次</w:t>
      </w:r>
      <w:r>
        <w:rPr>
          <w:rFonts w:hint="eastAsia" w:ascii="宋体" w:hAnsi="宋体" w:eastAsia="宋体" w:cs="宋体"/>
          <w:sz w:val="21"/>
          <w:szCs w:val="21"/>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8)协助医院应对临时性的、紧急性的与信息化相关的业务；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9)为医院提供</w:t>
      </w:r>
      <w:r>
        <w:rPr>
          <w:rFonts w:hint="eastAsia" w:ascii="宋体" w:hAnsi="宋体" w:eastAsia="宋体" w:cs="宋体"/>
          <w:sz w:val="21"/>
          <w:szCs w:val="21"/>
        </w:rPr>
        <w:t>上述系统</w:t>
      </w:r>
      <w:r>
        <w:rPr>
          <w:rFonts w:hint="eastAsia" w:ascii="宋体" w:hAnsi="宋体" w:eastAsia="宋体" w:cs="宋体"/>
          <w:sz w:val="21"/>
          <w:szCs w:val="21"/>
          <w:lang w:val="zh-CN"/>
        </w:rPr>
        <w:t>数据库的定期巡检、故障处理、性能优化、故障追溯等相关业务；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zh-CN"/>
        </w:rPr>
        <w:t>为医院上述系统所涉及的</w:t>
      </w:r>
      <w:r>
        <w:rPr>
          <w:rFonts w:hint="eastAsia" w:ascii="宋体" w:hAnsi="宋体" w:eastAsia="宋体" w:cs="宋体"/>
          <w:sz w:val="21"/>
          <w:szCs w:val="21"/>
        </w:rPr>
        <w:t>所有对外接口免费对接开发。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val="zh-CN"/>
        </w:rPr>
        <w:t>软件故障出现必须以最快时间排查，并在排查后向医院出具相关报告；</w:t>
      </w:r>
      <w:r>
        <w:rPr>
          <w:rFonts w:hint="eastAsia" w:ascii="宋体" w:hAnsi="宋体" w:eastAsia="宋体" w:cs="宋体"/>
          <w:sz w:val="21"/>
          <w:szCs w:val="21"/>
        </w:rPr>
        <w:t>一般问题2小时以内，严重问题4小时以内，特别严重8小时以内。</w:t>
      </w:r>
    </w:p>
    <w:p>
      <w:pPr>
        <w:rPr>
          <w:rFonts w:hint="eastAsia" w:ascii="宋体" w:hAnsi="宋体" w:eastAsia="宋体" w:cs="宋体"/>
          <w:sz w:val="21"/>
          <w:szCs w:val="21"/>
        </w:rPr>
      </w:pPr>
      <w:r>
        <w:rPr>
          <w:rFonts w:hint="eastAsia" w:ascii="宋体" w:hAnsi="宋体" w:eastAsia="宋体" w:cs="宋体"/>
          <w:sz w:val="21"/>
          <w:szCs w:val="21"/>
        </w:rPr>
        <w:br w:type="page"/>
      </w:r>
    </w:p>
    <w:p>
      <w:pPr>
        <w:jc w:val="center"/>
        <w:outlineLvl w:val="0"/>
        <w:rPr>
          <w:rFonts w:hint="eastAsia" w:ascii="宋体" w:hAnsi="宋体"/>
          <w:b/>
          <w:color w:val="auto"/>
          <w:kern w:val="44"/>
          <w:sz w:val="32"/>
          <w:highlight w:val="none"/>
          <w:lang w:val="en-US" w:eastAsia="zh-CN"/>
        </w:rPr>
      </w:pPr>
      <w:bookmarkStart w:id="171" w:name="_Toc32687"/>
      <w:r>
        <w:rPr>
          <w:rFonts w:hint="eastAsia" w:ascii="宋体" w:hAnsi="宋体"/>
          <w:b/>
          <w:color w:val="auto"/>
          <w:kern w:val="44"/>
          <w:sz w:val="32"/>
          <w:highlight w:val="none"/>
          <w:lang w:val="en-US" w:eastAsia="zh-CN"/>
        </w:rPr>
        <w:t>第五章  合同条款</w:t>
      </w:r>
      <w:bookmarkEnd w:id="77"/>
      <w:bookmarkEnd w:id="78"/>
      <w:bookmarkEnd w:id="79"/>
      <w:bookmarkEnd w:id="171"/>
    </w:p>
    <w:p>
      <w:pPr>
        <w:spacing w:line="360" w:lineRule="auto"/>
        <w:jc w:val="center"/>
        <w:rPr>
          <w:rFonts w:hint="eastAsia" w:ascii="宋体" w:hAnsi="宋体" w:eastAsia="宋体" w:cs="宋体"/>
          <w:b/>
          <w:color w:val="auto"/>
          <w:sz w:val="32"/>
          <w:szCs w:val="32"/>
          <w:highlight w:val="none"/>
        </w:rPr>
      </w:pPr>
      <w:bookmarkStart w:id="172" w:name="_Toc9262"/>
      <w:bookmarkStart w:id="173" w:name="_Toc12512"/>
      <w:bookmarkStart w:id="174" w:name="_Toc3077"/>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合同通用条款</w:t>
      </w:r>
    </w:p>
    <w:p>
      <w:pPr>
        <w:jc w:val="center"/>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1.定义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本合同下列术语应解释为: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1）“合同”系指买卖双方签署的、合同格式中载明的买卖双方所达成的协议,包括所有的附件、附录和上述文件所提到的构成合同的所有文件。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2）“合同价”系指根据本合同规定，</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在正确地完全履行合同义务后</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应支付给</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的价格。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根据合同规定，须向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提供的一切材料、设备、机械、仪表、备件、工具和其它材料。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4）“服务”系指根据合同规定，</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承担与供货有关的服务。如运输、保险以及其它的伴随服务；例如安装、调试、提供技术援助、培训和合同中规定的</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应承担的其它义务。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5）“合同条款”系指本合同条款。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”系指在合同专用条款中指明的购买货物和服务的单位。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”系指签署本合同，提供本合同项下货物和服务的单位。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8）“项目现场”系指本合同(包括附件)指明的最终交货及安装、培训、使用地点。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9）“天”指日历天数。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合同内容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乙方负责按照合同确定的项目名称、服务内容、服务标准组织服务，确保各项服务达到要求，保证甲方工作能够正常进行。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3.专利权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应保证</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在使用该货物或其任何一部分时免受第三方提出侵犯其专利权</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商标权或工业设计权的起诉。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cs="宋体"/>
          <w:b/>
          <w:color w:val="auto"/>
          <w:sz w:val="21"/>
          <w:szCs w:val="21"/>
          <w:highlight w:val="none"/>
          <w:lang w:val="en-US" w:eastAsia="zh-CN"/>
        </w:rPr>
        <w:t>服务</w:t>
      </w:r>
      <w:r>
        <w:rPr>
          <w:rFonts w:hint="eastAsia" w:ascii="宋体" w:hAnsi="宋体" w:eastAsia="宋体" w:cs="宋体"/>
          <w:b/>
          <w:color w:val="auto"/>
          <w:sz w:val="21"/>
          <w:szCs w:val="21"/>
          <w:highlight w:val="none"/>
        </w:rPr>
        <w:t>地点和</w:t>
      </w:r>
      <w:r>
        <w:rPr>
          <w:rFonts w:hint="eastAsia" w:ascii="宋体" w:hAnsi="宋体" w:cs="宋体"/>
          <w:b/>
          <w:color w:val="auto"/>
          <w:sz w:val="21"/>
          <w:szCs w:val="21"/>
          <w:highlight w:val="none"/>
          <w:lang w:val="en-US" w:eastAsia="zh-CN"/>
        </w:rPr>
        <w:t>项目完工期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见合同专用条款。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5.包装要求和装运条件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5.1除合同另有规定外，</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提供的全部货物，均应按标准保护措施进行包装。这类包装应适应于远距离运输、防潮、防震、防锈和防野蛮装卸，以确保货物安全无损运抵项目现场。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5.2每一个包装箱内应附一份详细装箱单和质量合格证。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负责安排货物到达</w:t>
      </w:r>
      <w:r>
        <w:rPr>
          <w:rFonts w:hint="eastAsia" w:ascii="宋体" w:hAnsi="宋体" w:cs="宋体"/>
          <w:color w:val="auto"/>
          <w:sz w:val="21"/>
          <w:szCs w:val="21"/>
          <w:highlight w:val="none"/>
          <w:lang w:eastAsia="zh-CN"/>
        </w:rPr>
        <w:t>服务地点</w:t>
      </w:r>
      <w:r>
        <w:rPr>
          <w:rFonts w:hint="eastAsia" w:ascii="宋体" w:hAnsi="宋体" w:eastAsia="宋体" w:cs="宋体"/>
          <w:color w:val="auto"/>
          <w:sz w:val="21"/>
          <w:szCs w:val="21"/>
          <w:highlight w:val="none"/>
        </w:rPr>
        <w:t>的一切运输，并承担运输费用。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装运的货物不应超过合同规定的数量或重量。否则，</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应对因超数量或重量而产生的一切后果负责。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6.保险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6.1保险范围应包括</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装运的全部货物；由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办理货物在运抵目的港/项目现场途中的保险,保险应以人民币按照发票金额的110%办理“一切险”。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7.1本合同以人民币付款。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应按照双方签订的合同规定</w:t>
      </w:r>
      <w:r>
        <w:rPr>
          <w:rFonts w:hint="eastAsia" w:ascii="宋体" w:hAnsi="宋体" w:cs="宋体"/>
          <w:color w:val="auto"/>
          <w:sz w:val="21"/>
          <w:szCs w:val="21"/>
          <w:highlight w:val="none"/>
          <w:lang w:val="en-US" w:eastAsia="zh-CN"/>
        </w:rPr>
        <w:t>交付实施项目</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实施完成</w:t>
      </w:r>
      <w:r>
        <w:rPr>
          <w:rFonts w:hint="eastAsia" w:ascii="宋体" w:hAnsi="宋体" w:eastAsia="宋体" w:cs="宋体"/>
          <w:color w:val="auto"/>
          <w:sz w:val="21"/>
          <w:szCs w:val="21"/>
          <w:highlight w:val="none"/>
        </w:rPr>
        <w:t>由</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验收合格并出具验收书后办理结算。</w:t>
      </w:r>
      <w:r>
        <w:rPr>
          <w:rFonts w:hint="eastAsia" w:ascii="宋体" w:hAnsi="宋体" w:cs="宋体"/>
          <w:color w:val="auto"/>
          <w:sz w:val="21"/>
          <w:szCs w:val="21"/>
          <w:highlight w:val="none"/>
          <w:lang w:val="en-US" w:eastAsia="zh-CN"/>
        </w:rPr>
        <w:t>按甲方财务要求开具</w:t>
      </w:r>
      <w:r>
        <w:rPr>
          <w:rFonts w:hint="eastAsia" w:ascii="宋体" w:hAnsi="宋体" w:eastAsia="宋体" w:cs="宋体"/>
          <w:color w:val="auto"/>
          <w:sz w:val="21"/>
          <w:szCs w:val="21"/>
          <w:highlight w:val="none"/>
        </w:rPr>
        <w:t>发票交</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7.3付款计划见合同附件。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8.伴随服务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应随同每套货物提供相应的每一套设备和仪器的中文的技术文件。例如：产品目录、图纸、操作手册、使用说明、维护手册或服务指南等。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8.2对于合同附件中有要求的货物，</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还应提供下列服务：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1）货物的现场安装、调试和启动监督；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2）提供货物组装和维修所需的工具，提供货物调试所需的试剂、耗材等</w:t>
      </w:r>
    </w:p>
    <w:p>
      <w:pPr>
        <w:keepNext w:val="0"/>
        <w:keepLines w:val="0"/>
        <w:pageBreakBefore w:val="0"/>
        <w:widowControl w:val="0"/>
        <w:kinsoku/>
        <w:wordWrap/>
        <w:overflowPunct/>
        <w:topLinePunct w:val="0"/>
        <w:autoSpaceDE/>
        <w:autoSpaceDN/>
        <w:bidi w:val="0"/>
        <w:adjustRightInd/>
        <w:snapToGrid/>
        <w:spacing w:line="360" w:lineRule="auto"/>
        <w:ind w:left="1"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3）在双方商定的一定期限内对所供货物实施运行监督、维修，但前提条件是该服务并不能免除</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在质量保证期应承担的义务。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4）在厂家或在项目现场就货物的安装、启动、运营、维护对</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人员进行培训。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8.3伴随服务的费用已含在合同价中，不单独进行支付。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9.质量保证及索赔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应保证所供货物是全新的、未使用过的，并完全符合合同规定的质量、规格、技术指标(包括合同附件)等要求。</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应保证其货物在正确安装、正常使用和保养条件下，在其使用寿命内应具有满意的性能。在货物最终验收后的质量保证期内，</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应对由于设计、工艺或材料的缺陷而产生的故障负责。质保期满后如出现此类问题亦应负责。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9.2在质量保证期内，如果货物的质量、规格、技术指标等与合同有任何一项不符，</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应尽快以书面形式向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提出索赔。同时应向政府采购管理部门报告。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在收到</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的通知后，应及时免费维修或更换有缺陷的货物或部件，并相应延长保修期限。具体响应时限见专用合同条款。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9.4如果</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在收到通知后，没有在上述专用合同条款中规定的时限内及时弥补缺陷，</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可采取必要的补救措施，但其风险和费用将由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根据合同规定对</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行使的其它权力不受影响。</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亦可从货款和</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履约保证金中扣回索赔金额。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10.检验和验收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r>
        <w:rPr>
          <w:rFonts w:hint="eastAsia" w:ascii="宋体" w:hAnsi="宋体" w:cs="宋体"/>
          <w:color w:val="auto"/>
          <w:sz w:val="21"/>
          <w:szCs w:val="21"/>
          <w:highlight w:val="none"/>
          <w:lang w:val="en-US" w:eastAsia="zh-CN"/>
        </w:rPr>
        <w:t>项目实施工作完成</w:t>
      </w:r>
      <w:r>
        <w:rPr>
          <w:rFonts w:hint="eastAsia" w:ascii="宋体" w:hAnsi="宋体" w:eastAsia="宋体" w:cs="宋体"/>
          <w:color w:val="auto"/>
          <w:sz w:val="21"/>
          <w:szCs w:val="21"/>
          <w:highlight w:val="none"/>
        </w:rPr>
        <w:t>后，由采购单位根据合同规定的技术、服务、安全标准要求进行验收，并出具验收书。验收书应当包括每一项技术、服务、安全标准的履约情况。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11.</w:t>
      </w:r>
      <w:r>
        <w:rPr>
          <w:rFonts w:hint="eastAsia" w:ascii="宋体" w:hAnsi="宋体" w:eastAsia="宋体" w:cs="宋体"/>
          <w:b/>
          <w:color w:val="auto"/>
          <w:sz w:val="21"/>
          <w:szCs w:val="21"/>
          <w:highlight w:val="none"/>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11.1</w:t>
      </w:r>
      <w:r>
        <w:rPr>
          <w:rFonts w:hint="eastAsia" w:ascii="宋体" w:hAnsi="宋体" w:eastAsia="宋体" w:cs="宋体"/>
          <w:color w:val="auto"/>
          <w:sz w:val="21"/>
          <w:szCs w:val="21"/>
          <w:highlight w:val="none"/>
        </w:rPr>
        <w:t>当</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未按本合同规定的期限为</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完成开发、实施工作，</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应书面要求</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进行整改，若</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不予整改，</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有权要求</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承担违约金，违约金按超过通知要求时间的逾期时间计算，每日为逾期未完成部分对应合同金额的万分之五，违</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rPr>
        <w:t>金不超过合同金额5%。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11.2</w:t>
      </w:r>
      <w:r>
        <w:rPr>
          <w:rFonts w:hint="eastAsia" w:ascii="宋体" w:hAnsi="宋体" w:eastAsia="宋体" w:cs="宋体"/>
          <w:color w:val="auto"/>
          <w:sz w:val="21"/>
          <w:szCs w:val="21"/>
          <w:highlight w:val="none"/>
        </w:rPr>
        <w:t>如果非</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原因造成</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未按期完成工作的，</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取得</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书面确认，则</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不承担由此产生的逾期未完成工作的责任。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12.解决争议的方法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12.1乙方</w:t>
      </w:r>
      <w:r>
        <w:rPr>
          <w:rFonts w:hint="eastAsia" w:ascii="宋体" w:hAnsi="宋体" w:eastAsia="宋体" w:cs="宋体"/>
          <w:color w:val="auto"/>
          <w:sz w:val="21"/>
          <w:szCs w:val="21"/>
          <w:highlight w:val="none"/>
        </w:rPr>
        <w:t>提供的服务如侵犯了第三方合法权益而引发的任何纠纷或诉讼，均由</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负责交涉并承担全部责任。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12.2</w:t>
      </w:r>
      <w:r>
        <w:rPr>
          <w:rFonts w:hint="eastAsia" w:ascii="宋体" w:hAnsi="宋体" w:eastAsia="宋体" w:cs="宋体"/>
          <w:color w:val="auto"/>
          <w:sz w:val="21"/>
          <w:szCs w:val="21"/>
          <w:highlight w:val="none"/>
        </w:rPr>
        <w:t>凡因本合同引起的或与本合同有关的争议，双方应友好协商解决。协商不成时，双方均同意采用以下第</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种</w:t>
      </w:r>
      <w:r>
        <w:rPr>
          <w:rFonts w:hint="eastAsia" w:ascii="宋体" w:hAnsi="宋体" w:eastAsia="宋体" w:cs="宋体"/>
          <w:color w:val="auto"/>
          <w:sz w:val="21"/>
          <w:szCs w:val="21"/>
          <w:highlight w:val="none"/>
        </w:rPr>
        <w:t>争议解</w:t>
      </w:r>
      <w:r>
        <w:rPr>
          <w:rFonts w:hint="eastAsia" w:ascii="宋体" w:hAnsi="宋体" w:cs="宋体"/>
          <w:color w:val="auto"/>
          <w:sz w:val="21"/>
          <w:szCs w:val="21"/>
          <w:highlight w:val="none"/>
          <w:lang w:val="en-US" w:eastAsia="zh-CN"/>
        </w:rPr>
        <w:t>决方式</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1)甲、双</w:t>
      </w:r>
      <w:r>
        <w:rPr>
          <w:rFonts w:hint="eastAsia" w:ascii="宋体" w:hAnsi="宋体" w:cs="宋体"/>
          <w:color w:val="auto"/>
          <w:sz w:val="21"/>
          <w:szCs w:val="21"/>
          <w:highlight w:val="none"/>
          <w:lang w:val="en-US" w:eastAsia="zh-CN"/>
        </w:rPr>
        <w:t>方均</w:t>
      </w:r>
      <w:r>
        <w:rPr>
          <w:rFonts w:hint="eastAsia" w:ascii="宋体" w:hAnsi="宋体" w:eastAsia="宋体" w:cs="宋体"/>
          <w:color w:val="auto"/>
          <w:sz w:val="21"/>
          <w:szCs w:val="21"/>
          <w:highlight w:val="none"/>
        </w:rPr>
        <w:t>同</w:t>
      </w:r>
      <w:r>
        <w:rPr>
          <w:rFonts w:hint="eastAsia" w:ascii="宋体" w:hAnsi="宋体" w:cs="宋体"/>
          <w:color w:val="auto"/>
          <w:sz w:val="21"/>
          <w:szCs w:val="21"/>
          <w:highlight w:val="none"/>
          <w:lang w:val="en-US" w:eastAsia="zh-CN"/>
        </w:rPr>
        <w:t>意向</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渭</w:t>
      </w:r>
      <w:r>
        <w:rPr>
          <w:rFonts w:hint="eastAsia" w:ascii="宋体" w:hAnsi="宋体" w:eastAsia="宋体" w:cs="宋体"/>
          <w:color w:val="auto"/>
          <w:sz w:val="21"/>
          <w:szCs w:val="21"/>
          <w:highlight w:val="none"/>
        </w:rPr>
        <w:t>城区人民法院)</w:t>
      </w:r>
      <w:r>
        <w:rPr>
          <w:rFonts w:hint="eastAsia" w:ascii="宋体" w:hAnsi="宋体" w:cs="宋体"/>
          <w:color w:val="auto"/>
          <w:sz w:val="21"/>
          <w:szCs w:val="21"/>
          <w:highlight w:val="none"/>
          <w:lang w:val="en-US" w:eastAsia="zh-CN"/>
        </w:rPr>
        <w:t>提</w:t>
      </w:r>
      <w:r>
        <w:rPr>
          <w:rFonts w:hint="eastAsia" w:ascii="宋体" w:hAnsi="宋体" w:eastAsia="宋体" w:cs="宋体"/>
          <w:color w:val="auto"/>
          <w:sz w:val="21"/>
          <w:szCs w:val="21"/>
          <w:highlight w:val="none"/>
        </w:rPr>
        <w:t>起</w:t>
      </w:r>
      <w:r>
        <w:rPr>
          <w:rFonts w:hint="eastAsia" w:ascii="宋体" w:hAnsi="宋体" w:cs="宋体"/>
          <w:color w:val="auto"/>
          <w:sz w:val="21"/>
          <w:szCs w:val="21"/>
          <w:highlight w:val="none"/>
          <w:lang w:val="en-US" w:eastAsia="zh-CN"/>
        </w:rPr>
        <w:t>诉讼</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2)甲乙双方均同意</w:t>
      </w:r>
      <w:r>
        <w:rPr>
          <w:rFonts w:hint="eastAsia" w:ascii="宋体" w:hAnsi="宋体" w:cs="宋体"/>
          <w:color w:val="auto"/>
          <w:sz w:val="21"/>
          <w:szCs w:val="21"/>
          <w:highlight w:val="none"/>
          <w:lang w:val="en-US" w:eastAsia="zh-CN"/>
        </w:rPr>
        <w:t>向</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仲裁</w:t>
      </w:r>
      <w:r>
        <w:rPr>
          <w:rFonts w:hint="eastAsia" w:ascii="宋体" w:hAnsi="宋体" w:eastAsia="宋体" w:cs="宋体"/>
          <w:color w:val="auto"/>
          <w:sz w:val="21"/>
          <w:szCs w:val="21"/>
          <w:highlight w:val="none"/>
        </w:rPr>
        <w:t>委员</w:t>
      </w:r>
      <w:r>
        <w:rPr>
          <w:rFonts w:hint="eastAsia" w:ascii="宋体" w:hAnsi="宋体" w:cs="宋体"/>
          <w:color w:val="auto"/>
          <w:sz w:val="21"/>
          <w:szCs w:val="21"/>
          <w:highlight w:val="none"/>
          <w:lang w:val="en-US" w:eastAsia="zh-CN"/>
        </w:rPr>
        <w:t>会）提起仲裁</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13.适用法律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13.1本合同应按照中华人民共和国的现行法律进行解释。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14.合同生效及其它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14.1本合同在买卖双方签字、盖章之后生效。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14.2本合同正本一式二份，副本一式四份，均以中文书写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双方各</w:t>
      </w:r>
      <w:r>
        <w:rPr>
          <w:rFonts w:hint="eastAsia" w:ascii="宋体" w:hAnsi="宋体" w:eastAsia="宋体" w:cs="宋体"/>
          <w:color w:val="auto"/>
          <w:sz w:val="21"/>
          <w:szCs w:val="21"/>
          <w:highlight w:val="none"/>
        </w:rPr>
        <w:t>执正本一份、副本二份。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15.合同修改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15.1本合同在执行过程中，如提出修改，由买、卖双方签署书面修改协议，并成为本合同不可分割的一部分。除此之外，本合同的条件不得有任何变化或修改。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16.合同附件</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16.1本合同所有附件是本合同不可分割的部分,与主合同具有同等法律效力。</w:t>
      </w:r>
    </w:p>
    <w:p>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36"/>
          <w:highlight w:val="none"/>
        </w:rPr>
        <w:br w:type="page"/>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lang w:eastAsia="zh-CN"/>
        </w:rPr>
        <w:t>合同专用条款</w:t>
      </w:r>
    </w:p>
    <w:p>
      <w:pPr>
        <w:rPr>
          <w:rFonts w:hint="eastAsia" w:ascii="仿宋" w:hAnsi="仿宋" w:eastAsia="仿宋" w:cs="仿宋"/>
          <w:color w:val="auto"/>
          <w:highlight w:val="none"/>
        </w:rPr>
      </w:pP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本表是对《合同通用条款》的具体补充和修改，如有矛盾，应以本表为准。</w:t>
      </w:r>
    </w:p>
    <w:tbl>
      <w:tblPr>
        <w:tblStyle w:val="24"/>
        <w:tblW w:w="84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74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7467"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1"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67" w:type="dxa"/>
            <w:noWrap w:val="0"/>
            <w:vAlign w:val="center"/>
          </w:tcPr>
          <w:p>
            <w:pPr>
              <w:spacing w:after="50" w:line="360" w:lineRule="auto"/>
              <w:jc w:val="left"/>
              <w:rPr>
                <w:rFonts w:hint="eastAsia" w:ascii="宋体" w:hAnsi="宋体" w:eastAsia="宋体" w:cs="宋体"/>
                <w:snapToGrid w:val="0"/>
                <w:color w:val="auto"/>
                <w:sz w:val="21"/>
                <w:szCs w:val="21"/>
                <w:highlight w:val="none"/>
                <w:lang w:bidi="he-IL"/>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名称：</w:t>
            </w:r>
            <w:r>
              <w:rPr>
                <w:rFonts w:hint="eastAsia" w:ascii="宋体" w:hAnsi="宋体" w:eastAsia="宋体" w:cs="宋体"/>
                <w:snapToGrid w:val="0"/>
                <w:color w:val="auto"/>
                <w:sz w:val="21"/>
                <w:szCs w:val="21"/>
                <w:highlight w:val="none"/>
                <w:lang w:bidi="he-IL"/>
              </w:rPr>
              <w:t>咸阳市中心医院</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地址：咸阳市人民东路78号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67" w:type="dxa"/>
            <w:noWrap w:val="0"/>
            <w:vAlign w:val="center"/>
          </w:tcPr>
          <w:p>
            <w:pPr>
              <w:spacing w:after="50" w:line="360" w:lineRule="auto"/>
              <w:jc w:val="left"/>
              <w:rPr>
                <w:rFonts w:hint="eastAsia" w:ascii="宋体" w:hAnsi="宋体" w:eastAsia="宋体" w:cs="宋体"/>
                <w:snapToGrid w:val="0"/>
                <w:color w:val="auto"/>
                <w:sz w:val="21"/>
                <w:szCs w:val="21"/>
                <w:highlight w:val="none"/>
                <w:lang w:bidi="he-IL"/>
              </w:rPr>
            </w:pP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r>
              <w:rPr>
                <w:rFonts w:hint="eastAsia" w:ascii="宋体" w:hAnsi="宋体" w:eastAsia="宋体" w:cs="宋体"/>
                <w:snapToGrid w:val="0"/>
                <w:color w:val="auto"/>
                <w:sz w:val="21"/>
                <w:szCs w:val="21"/>
                <w:highlight w:val="none"/>
                <w:lang w:bidi="he-IL"/>
              </w:rPr>
              <w:t>咸阳市中心医院指定地点</w:t>
            </w:r>
          </w:p>
          <w:p>
            <w:pPr>
              <w:pStyle w:val="9"/>
              <w:rPr>
                <w:rFonts w:hint="default" w:eastAsia="宋体"/>
                <w:lang w:val="en-US" w:eastAsia="zh-CN"/>
              </w:rPr>
            </w:pPr>
            <w:r>
              <w:rPr>
                <w:rFonts w:hint="eastAsia"/>
                <w:lang w:val="en-US" w:eastAsia="zh-CN"/>
              </w:rPr>
              <w:t>项目完工期：</w:t>
            </w:r>
            <w:r>
              <w:rPr>
                <w:rFonts w:hint="eastAsia" w:ascii="宋体" w:hAnsi="宋体" w:eastAsia="宋体" w:cs="宋体"/>
                <w:lang w:val="en-US" w:eastAsia="zh-CN"/>
              </w:rPr>
              <w:t>180日历天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w:t>
            </w:r>
          </w:p>
        </w:tc>
        <w:tc>
          <w:tcPr>
            <w:tcW w:w="746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付款方法和条件为：</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合同生效后支付合同款的40%，初验通过医院考核后支付合同款的50%，终验通过医院考核后支付合同款的10%。</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2</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 xml:space="preserve">支付方式：银行转帐。 </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snapToGrid w:val="0"/>
                <w:color w:val="auto"/>
                <w:sz w:val="21"/>
                <w:szCs w:val="21"/>
                <w:highlight w:val="none"/>
                <w:lang w:val="en-US" w:eastAsia="zh-CN"/>
              </w:rPr>
              <w:t>3</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结算方式：</w:t>
            </w:r>
            <w:r>
              <w:rPr>
                <w:rFonts w:hint="eastAsia" w:ascii="宋体" w:hAnsi="宋体" w:cs="宋体"/>
                <w:snapToGrid w:val="0"/>
                <w:color w:val="auto"/>
                <w:sz w:val="21"/>
                <w:szCs w:val="21"/>
                <w:highlight w:val="none"/>
                <w:lang w:eastAsia="zh-CN"/>
              </w:rPr>
              <w:t>乙方</w:t>
            </w:r>
            <w:r>
              <w:rPr>
                <w:rFonts w:hint="eastAsia" w:ascii="宋体" w:hAnsi="宋体" w:eastAsia="宋体" w:cs="宋体"/>
                <w:snapToGrid w:val="0"/>
                <w:color w:val="auto"/>
                <w:sz w:val="21"/>
                <w:szCs w:val="21"/>
                <w:highlight w:val="none"/>
              </w:rPr>
              <w:t>持验收单、全额发票、中标通知书、供货合同以及合同约定的其它相关重要单据，与</w:t>
            </w:r>
            <w:r>
              <w:rPr>
                <w:rFonts w:hint="eastAsia" w:ascii="宋体" w:hAnsi="宋体" w:cs="宋体"/>
                <w:snapToGrid w:val="0"/>
                <w:color w:val="auto"/>
                <w:sz w:val="21"/>
                <w:szCs w:val="21"/>
                <w:highlight w:val="none"/>
                <w:lang w:eastAsia="zh-CN"/>
              </w:rPr>
              <w:t>甲方</w:t>
            </w:r>
            <w:r>
              <w:rPr>
                <w:rFonts w:hint="eastAsia" w:ascii="宋体" w:hAnsi="宋体" w:eastAsia="宋体" w:cs="宋体"/>
                <w:snapToGrid w:val="0"/>
                <w:color w:val="auto"/>
                <w:sz w:val="21"/>
                <w:szCs w:val="21"/>
                <w:highlight w:val="none"/>
              </w:rPr>
              <w:t>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7467"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p>
        </w:tc>
        <w:tc>
          <w:tcPr>
            <w:tcW w:w="7467" w:type="dxa"/>
            <w:noWrap w:val="0"/>
            <w:vAlign w:val="center"/>
          </w:tcPr>
          <w:p>
            <w:pPr>
              <w:spacing w:line="360" w:lineRule="auto"/>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售后要求：</w:t>
            </w:r>
          </w:p>
          <w:p>
            <w:pPr>
              <w:numPr>
                <w:ilvl w:val="0"/>
                <w:numId w:val="7"/>
              </w:numPr>
              <w:spacing w:line="360" w:lineRule="auto"/>
              <w:ind w:left="0" w:leftChars="0"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为医院实施的系统提供整体的巡检及评估，每季度进行一次；</w:t>
            </w:r>
          </w:p>
          <w:p>
            <w:pPr>
              <w:numPr>
                <w:ilvl w:val="0"/>
                <w:numId w:val="7"/>
              </w:numPr>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在西安或咸阳地区有售后服务点，</w:t>
            </w:r>
            <w:r>
              <w:rPr>
                <w:rFonts w:hint="eastAsia" w:ascii="宋体" w:hAnsi="宋体" w:cs="宋体"/>
                <w:color w:val="auto"/>
                <w:sz w:val="21"/>
                <w:szCs w:val="21"/>
                <w:highlight w:val="none"/>
                <w:lang w:val="en-US" w:eastAsia="zh-CN"/>
              </w:rPr>
              <w:t>软件故障出现必须以最快时间排查，并在排查后向医院出具相关报告；一般问题</w:t>
            </w:r>
            <w:r>
              <w:rPr>
                <w:rFonts w:hint="eastAsia" w:ascii="宋体" w:hAnsi="宋体" w:eastAsia="宋体" w:cs="宋体"/>
                <w:color w:val="auto"/>
                <w:sz w:val="21"/>
                <w:szCs w:val="21"/>
                <w:highlight w:val="none"/>
              </w:rPr>
              <w:t>2小时</w:t>
            </w:r>
            <w:r>
              <w:rPr>
                <w:rFonts w:hint="eastAsia" w:ascii="宋体" w:hAnsi="宋体" w:cs="宋体"/>
                <w:color w:val="auto"/>
                <w:sz w:val="21"/>
                <w:szCs w:val="21"/>
                <w:highlight w:val="none"/>
                <w:lang w:val="en-US" w:eastAsia="zh-CN"/>
              </w:rPr>
              <w:t>以内，严重问题4小时以内，特别严重8小时以内</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1021" w:type="dxa"/>
            <w:tcBorders>
              <w:top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val="en-US" w:eastAsia="zh-CN"/>
              </w:rPr>
              <w:t>1</w:t>
            </w:r>
          </w:p>
        </w:tc>
        <w:tc>
          <w:tcPr>
            <w:tcW w:w="7467" w:type="dxa"/>
            <w:tcBorders>
              <w:top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验收方式及验收依据：</w:t>
            </w:r>
          </w:p>
          <w:p>
            <w:pPr>
              <w:spacing w:line="360" w:lineRule="auto"/>
              <w:rPr>
                <w:rFonts w:hint="eastAsia"/>
                <w:lang w:val="en-US" w:eastAsia="zh-CN"/>
              </w:rPr>
            </w:pPr>
            <w:r>
              <w:rPr>
                <w:rFonts w:hint="eastAsia" w:ascii="宋体" w:hAnsi="宋体" w:eastAsia="宋体" w:cs="宋体"/>
                <w:color w:val="auto"/>
                <w:sz w:val="21"/>
                <w:szCs w:val="21"/>
                <w:highlight w:val="none"/>
              </w:rPr>
              <w:t>验收方式及验收依据：</w:t>
            </w:r>
            <w:r>
              <w:rPr>
                <w:rFonts w:hint="eastAsia" w:ascii="宋体" w:hAnsi="宋体" w:cs="宋体"/>
                <w:color w:val="auto"/>
                <w:sz w:val="21"/>
                <w:szCs w:val="21"/>
                <w:highlight w:val="none"/>
                <w:lang w:val="en-US" w:eastAsia="zh-CN"/>
              </w:rPr>
              <w:t>项目实施工作完成</w:t>
            </w:r>
            <w:r>
              <w:rPr>
                <w:rFonts w:hint="eastAsia" w:ascii="宋体" w:hAnsi="宋体" w:eastAsia="宋体" w:cs="宋体"/>
                <w:color w:val="auto"/>
                <w:sz w:val="21"/>
                <w:szCs w:val="21"/>
                <w:highlight w:val="none"/>
              </w:rPr>
              <w:t>后，由采购单位负责组织验收或者邀请有关专家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根据合同要求</w:t>
            </w:r>
            <w:r>
              <w:rPr>
                <w:rFonts w:hint="eastAsia" w:ascii="宋体" w:hAnsi="宋体" w:cs="宋体"/>
                <w:color w:val="auto"/>
                <w:sz w:val="21"/>
                <w:szCs w:val="21"/>
                <w:highlight w:val="none"/>
                <w:lang w:eastAsia="zh-CN"/>
              </w:rPr>
              <w:t>、</w:t>
            </w:r>
            <w:r>
              <w:rPr>
                <w:rFonts w:hint="eastAsia"/>
                <w:lang w:val="en-US" w:eastAsia="zh-CN"/>
              </w:rPr>
              <w:t>招投标文件、澄清、及国家相应的标准、规范等为依据</w:t>
            </w:r>
            <w:r>
              <w:rPr>
                <w:rFonts w:hint="eastAsia" w:ascii="宋体" w:hAnsi="宋体" w:eastAsia="宋体" w:cs="宋体"/>
                <w:color w:val="auto"/>
                <w:sz w:val="21"/>
                <w:szCs w:val="21"/>
                <w:highlight w:val="none"/>
              </w:rPr>
              <w:t>进行验收。验收合格须交接项目实施的全部资料，并填写</w:t>
            </w:r>
            <w:r>
              <w:rPr>
                <w:rFonts w:hint="eastAsia" w:ascii="宋体" w:hAnsi="宋体" w:eastAsia="宋体" w:cs="宋体"/>
                <w:color w:val="auto"/>
                <w:sz w:val="21"/>
                <w:szCs w:val="21"/>
                <w:highlight w:val="none"/>
                <w:lang w:val="en-US" w:eastAsia="zh-CN"/>
              </w:rPr>
              <w:t>政府采购项目</w:t>
            </w:r>
            <w:r>
              <w:rPr>
                <w:rFonts w:hint="eastAsia" w:ascii="宋体" w:hAnsi="宋体" w:eastAsia="宋体" w:cs="宋体"/>
                <w:color w:val="auto"/>
                <w:sz w:val="21"/>
                <w:szCs w:val="21"/>
                <w:highlight w:val="none"/>
              </w:rPr>
              <w:t>验收报告单。</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36"/>
          <w:szCs w:val="36"/>
          <w:highlight w:val="none"/>
        </w:rPr>
      </w:pPr>
    </w:p>
    <w:p>
      <w:pPr>
        <w:pStyle w:val="9"/>
        <w:rPr>
          <w:rFonts w:hint="eastAsia" w:ascii="仿宋" w:hAnsi="仿宋" w:eastAsia="仿宋" w:cs="仿宋"/>
          <w:b/>
          <w:color w:val="auto"/>
          <w:sz w:val="36"/>
          <w:szCs w:val="36"/>
          <w:highlight w:val="none"/>
        </w:rPr>
      </w:pPr>
    </w:p>
    <w:p>
      <w:pPr>
        <w:rPr>
          <w:rFonts w:hint="eastAsia" w:ascii="仿宋" w:hAnsi="仿宋" w:eastAsia="仿宋" w:cs="仿宋"/>
          <w:b/>
          <w:color w:val="auto"/>
          <w:sz w:val="36"/>
          <w:szCs w:val="36"/>
          <w:highlight w:val="none"/>
        </w:rPr>
      </w:pPr>
    </w:p>
    <w:p>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44"/>
          <w:szCs w:val="44"/>
          <w:highlight w:val="none"/>
        </w:rPr>
      </w:pP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lang w:eastAsia="zh-CN"/>
        </w:rPr>
        <w:t>）合同</w:t>
      </w:r>
      <w:r>
        <w:rPr>
          <w:rFonts w:hint="eastAsia" w:ascii="宋体" w:hAnsi="宋体" w:eastAsia="宋体" w:cs="宋体"/>
          <w:b/>
          <w:color w:val="auto"/>
          <w:sz w:val="32"/>
          <w:szCs w:val="32"/>
          <w:highlight w:val="none"/>
          <w:lang w:val="en-US" w:eastAsia="zh-CN"/>
        </w:rPr>
        <w:t>协议书</w:t>
      </w:r>
      <w:r>
        <w:rPr>
          <w:rFonts w:hint="eastAsia" w:ascii="宋体" w:hAnsi="宋体" w:eastAsia="宋体" w:cs="宋体"/>
          <w:b/>
          <w:color w:val="auto"/>
          <w:sz w:val="32"/>
          <w:szCs w:val="32"/>
          <w:highlight w:val="none"/>
          <w:lang w:eastAsia="zh-CN"/>
        </w:rPr>
        <w:t>格式</w:t>
      </w:r>
    </w:p>
    <w:p>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jc w:val="lef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（合同名称）</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甲方</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rPr>
        <w:t>（以下简称“</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乙方</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rPr>
        <w:t>（以下简称“</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”）按下述条款和条件签署。</w:t>
      </w:r>
    </w:p>
    <w:p>
      <w:pPr>
        <w:keepNext w:val="0"/>
        <w:keepLines w:val="0"/>
        <w:pageBreakBefore w:val="0"/>
        <w:widowControl w:val="0"/>
        <w:numPr>
          <w:ilvl w:val="2"/>
          <w:numId w:val="8"/>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本合同中的词语和术语的含义与合同条款中定义的相同。</w:t>
      </w:r>
    </w:p>
    <w:p>
      <w:pPr>
        <w:keepNext w:val="0"/>
        <w:keepLines w:val="0"/>
        <w:pageBreakBefore w:val="0"/>
        <w:widowControl w:val="0"/>
        <w:numPr>
          <w:ilvl w:val="2"/>
          <w:numId w:val="8"/>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下列文件是本合同的组成部分，并与本合同一起阅读和解释：</w:t>
      </w:r>
    </w:p>
    <w:p>
      <w:pPr>
        <w:keepNext w:val="0"/>
        <w:keepLines w:val="0"/>
        <w:pageBreakBefore w:val="0"/>
        <w:widowControl w:val="0"/>
        <w:numPr>
          <w:ilvl w:val="0"/>
          <w:numId w:val="9"/>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合同附件，如：</w:t>
      </w:r>
    </w:p>
    <w:p>
      <w:pPr>
        <w:keepNext w:val="0"/>
        <w:keepLines w:val="0"/>
        <w:pageBreakBefore w:val="0"/>
        <w:widowControl w:val="0"/>
        <w:numPr>
          <w:ilvl w:val="1"/>
          <w:numId w:val="10"/>
        </w:numPr>
        <w:kinsoku/>
        <w:wordWrap/>
        <w:overflowPunct/>
        <w:topLinePunct w:val="0"/>
        <w:autoSpaceDE/>
        <w:autoSpaceDN/>
        <w:bidi w:val="0"/>
        <w:adjustRightInd/>
        <w:snapToGrid/>
        <w:spacing w:after="156" w:afterLines="50" w:line="360" w:lineRule="auto"/>
        <w:jc w:val="left"/>
        <w:textAlignment w:val="auto"/>
        <w:outlineLvl w:val="0"/>
        <w:rPr>
          <w:rFonts w:hint="eastAsia" w:ascii="宋体" w:hAnsi="宋体" w:eastAsia="宋体" w:cs="宋体"/>
          <w:color w:val="auto"/>
          <w:sz w:val="21"/>
          <w:szCs w:val="21"/>
          <w:highlight w:val="none"/>
        </w:rPr>
      </w:pPr>
      <w:bookmarkStart w:id="175" w:name="_Toc6290"/>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内容及价格</w:t>
      </w:r>
      <w:bookmarkEnd w:id="175"/>
    </w:p>
    <w:p>
      <w:pPr>
        <w:keepNext w:val="0"/>
        <w:keepLines w:val="0"/>
        <w:pageBreakBefore w:val="0"/>
        <w:widowControl w:val="0"/>
        <w:numPr>
          <w:ilvl w:val="1"/>
          <w:numId w:val="10"/>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cs="宋体"/>
          <w:color w:val="auto"/>
          <w:sz w:val="21"/>
          <w:szCs w:val="21"/>
          <w:highlight w:val="none"/>
          <w:lang w:val="en-US" w:eastAsia="zh-CN"/>
        </w:rPr>
        <w:t>要求和（或）配置清单</w:t>
      </w:r>
    </w:p>
    <w:p>
      <w:pPr>
        <w:keepNext w:val="0"/>
        <w:keepLines w:val="0"/>
        <w:pageBreakBefore w:val="0"/>
        <w:widowControl w:val="0"/>
        <w:numPr>
          <w:ilvl w:val="1"/>
          <w:numId w:val="10"/>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实施</w:t>
      </w:r>
      <w:r>
        <w:rPr>
          <w:rFonts w:hint="eastAsia" w:ascii="宋体" w:hAnsi="宋体" w:eastAsia="宋体" w:cs="宋体"/>
          <w:color w:val="auto"/>
          <w:sz w:val="21"/>
          <w:szCs w:val="21"/>
          <w:highlight w:val="none"/>
        </w:rPr>
        <w:t>时间的详细说明</w:t>
      </w:r>
    </w:p>
    <w:p>
      <w:pPr>
        <w:keepNext w:val="0"/>
        <w:keepLines w:val="0"/>
        <w:pageBreakBefore w:val="0"/>
        <w:widowControl w:val="0"/>
        <w:numPr>
          <w:ilvl w:val="0"/>
          <w:numId w:val="9"/>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合同专用条款</w:t>
      </w:r>
    </w:p>
    <w:p>
      <w:pPr>
        <w:keepNext w:val="0"/>
        <w:keepLines w:val="0"/>
        <w:pageBreakBefore w:val="0"/>
        <w:widowControl w:val="0"/>
        <w:numPr>
          <w:ilvl w:val="0"/>
          <w:numId w:val="9"/>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合同通用条款</w:t>
      </w:r>
    </w:p>
    <w:p>
      <w:pPr>
        <w:keepNext w:val="0"/>
        <w:keepLines w:val="0"/>
        <w:pageBreakBefore w:val="0"/>
        <w:widowControl w:val="0"/>
        <w:numPr>
          <w:ilvl w:val="0"/>
          <w:numId w:val="9"/>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p>
      <w:pPr>
        <w:keepNext w:val="0"/>
        <w:keepLines w:val="0"/>
        <w:pageBreakBefore w:val="0"/>
        <w:widowControl w:val="0"/>
        <w:numPr>
          <w:ilvl w:val="0"/>
          <w:numId w:val="9"/>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w:t>
      </w:r>
    </w:p>
    <w:p>
      <w:pPr>
        <w:keepNext w:val="0"/>
        <w:keepLines w:val="0"/>
        <w:pageBreakBefore w:val="0"/>
        <w:widowControl w:val="0"/>
        <w:numPr>
          <w:ilvl w:val="0"/>
          <w:numId w:val="9"/>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w:t>
      </w:r>
    </w:p>
    <w:p>
      <w:pPr>
        <w:keepNext w:val="0"/>
        <w:keepLines w:val="0"/>
        <w:pageBreakBefore w:val="0"/>
        <w:widowControl w:val="0"/>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上述文件如有冲突，以排列序号小的优先。</w:t>
      </w:r>
    </w:p>
    <w:p>
      <w:pPr>
        <w:keepNext w:val="0"/>
        <w:keepLines w:val="0"/>
        <w:pageBreakBefore w:val="0"/>
        <w:widowControl w:val="0"/>
        <w:numPr>
          <w:ilvl w:val="2"/>
          <w:numId w:val="8"/>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在此保证全部按照合同的规定向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提供货物和服务，并修补缺陷，</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将按照本合同价款向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进行支付。</w:t>
      </w:r>
    </w:p>
    <w:p>
      <w:pPr>
        <w:keepNext w:val="0"/>
        <w:keepLines w:val="0"/>
        <w:pageBreakBefore w:val="0"/>
        <w:widowControl w:val="0"/>
        <w:numPr>
          <w:ilvl w:val="2"/>
          <w:numId w:val="8"/>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本合同正本一式二份，副本一式四份，均以中文书写，在双方代表签字盖章后生效。</w:t>
      </w:r>
    </w:p>
    <w:tbl>
      <w:tblPr>
        <w:tblStyle w:val="24"/>
        <w:tblW w:w="8522" w:type="dxa"/>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3727" w:hRule="atLeast"/>
        </w:trPr>
        <w:tc>
          <w:tcPr>
            <w:tcW w:w="4261" w:type="dxa"/>
            <w:noWrap w:val="0"/>
            <w:vAlign w:val="top"/>
          </w:tcPr>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pPr>
              <w:spacing w:after="156" w:afterLines="50"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甲方地址</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邮政编码</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代表姓名</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代表签字</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 xml:space="preserve">公章（或合同章） </w:t>
            </w:r>
            <w:r>
              <w:rPr>
                <w:rFonts w:hint="eastAsia" w:ascii="宋体" w:hAnsi="宋体" w:eastAsia="宋体" w:cs="宋体"/>
                <w:color w:val="auto"/>
                <w:sz w:val="21"/>
                <w:szCs w:val="21"/>
                <w:highlight w:val="none"/>
                <w:u w:val="single"/>
              </w:rPr>
              <w:t xml:space="preserve">            </w:t>
            </w:r>
          </w:p>
        </w:tc>
        <w:tc>
          <w:tcPr>
            <w:tcW w:w="4261" w:type="dxa"/>
            <w:noWrap w:val="0"/>
            <w:vAlign w:val="top"/>
          </w:tcPr>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乙方地址</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邮政编码</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代表姓名</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代表签字</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 xml:space="preserve">公章（或合同章） </w:t>
            </w:r>
            <w:r>
              <w:rPr>
                <w:rFonts w:hint="eastAsia" w:ascii="宋体" w:hAnsi="宋体" w:eastAsia="宋体" w:cs="宋体"/>
                <w:color w:val="auto"/>
                <w:sz w:val="21"/>
                <w:szCs w:val="21"/>
                <w:highlight w:val="none"/>
                <w:u w:val="single"/>
              </w:rPr>
              <w:t xml:space="preserve">            </w:t>
            </w:r>
          </w:p>
        </w:tc>
      </w:tr>
    </w:tbl>
    <w:p>
      <w:pPr>
        <w:rPr>
          <w:color w:val="auto"/>
          <w:highlight w:val="none"/>
        </w:rPr>
      </w:pPr>
    </w:p>
    <w:p>
      <w:pPr>
        <w:spacing w:line="720" w:lineRule="auto"/>
        <w:jc w:val="center"/>
        <w:rPr>
          <w:rFonts w:eastAsia="方正小标宋简体"/>
          <w:color w:val="auto"/>
          <w:sz w:val="44"/>
          <w:szCs w:val="44"/>
          <w:highlight w:val="none"/>
          <w:u w:val="single"/>
        </w:rPr>
      </w:pPr>
    </w:p>
    <w:p>
      <w:pPr>
        <w:rPr>
          <w:rFonts w:hint="eastAsia" w:ascii="宋体" w:hAnsi="宋体"/>
          <w:color w:val="auto"/>
          <w:sz w:val="32"/>
          <w:highlight w:val="none"/>
        </w:rPr>
      </w:pPr>
      <w:r>
        <w:rPr>
          <w:rFonts w:hint="eastAsia" w:ascii="宋体" w:hAnsi="宋体"/>
          <w:color w:val="auto"/>
          <w:sz w:val="32"/>
          <w:highlight w:val="none"/>
        </w:rPr>
        <w:br w:type="page"/>
      </w:r>
    </w:p>
    <w:p>
      <w:pPr>
        <w:pStyle w:val="2"/>
        <w:spacing w:line="360" w:lineRule="auto"/>
        <w:ind w:left="0" w:firstLine="0"/>
        <w:jc w:val="center"/>
        <w:rPr>
          <w:rFonts w:ascii="宋体" w:hAnsi="宋体"/>
          <w:color w:val="auto"/>
          <w:sz w:val="32"/>
          <w:highlight w:val="none"/>
        </w:rPr>
      </w:pPr>
      <w:bookmarkStart w:id="176" w:name="_Toc8247"/>
      <w:r>
        <w:rPr>
          <w:rFonts w:hint="eastAsia" w:ascii="宋体" w:hAnsi="宋体"/>
          <w:color w:val="auto"/>
          <w:sz w:val="32"/>
          <w:highlight w:val="none"/>
        </w:rPr>
        <w:t>第六章</w:t>
      </w:r>
      <w:r>
        <w:rPr>
          <w:rFonts w:hint="eastAsia" w:ascii="宋体" w:hAnsi="宋体"/>
          <w:color w:val="auto"/>
          <w:sz w:val="32"/>
          <w:highlight w:val="none"/>
          <w:lang w:val="en-US" w:eastAsia="zh-CN"/>
        </w:rPr>
        <w:t xml:space="preserve"> </w:t>
      </w:r>
      <w:r>
        <w:rPr>
          <w:rFonts w:hint="eastAsia" w:ascii="宋体" w:hAnsi="宋体"/>
          <w:color w:val="auto"/>
          <w:sz w:val="32"/>
          <w:highlight w:val="none"/>
        </w:rPr>
        <w:t xml:space="preserve"> 投标文件格式</w:t>
      </w:r>
      <w:bookmarkEnd w:id="172"/>
      <w:bookmarkEnd w:id="173"/>
      <w:bookmarkEnd w:id="174"/>
      <w:bookmarkEnd w:id="176"/>
    </w:p>
    <w:p>
      <w:pPr>
        <w:rPr>
          <w:rFonts w:ascii="黑体" w:eastAsia="黑体"/>
          <w:color w:val="auto"/>
          <w:sz w:val="32"/>
          <w:szCs w:val="32"/>
          <w:highlight w:val="none"/>
        </w:rPr>
      </w:pPr>
      <w:r>
        <w:rPr>
          <w:rFonts w:hint="eastAsia" w:ascii="黑体" w:eastAsia="黑体"/>
          <w:color w:val="auto"/>
          <w:sz w:val="32"/>
          <w:szCs w:val="32"/>
          <w:highlight w:val="none"/>
        </w:rPr>
        <w:br w:type="page"/>
      </w:r>
    </w:p>
    <w:p>
      <w:pPr>
        <w:bidi w:val="0"/>
        <w:jc w:val="right"/>
        <w:rPr>
          <w:b/>
          <w:bCs/>
          <w:color w:val="auto"/>
          <w:sz w:val="32"/>
          <w:szCs w:val="40"/>
          <w:highlight w:val="none"/>
        </w:rPr>
      </w:pPr>
      <w:r>
        <w:rPr>
          <w:rFonts w:hint="eastAsia"/>
          <w:b/>
          <w:bCs/>
          <w:color w:val="auto"/>
          <w:sz w:val="32"/>
          <w:szCs w:val="40"/>
          <w:highlight w:val="none"/>
        </w:rPr>
        <w:t xml:space="preserve"> </w:t>
      </w:r>
      <w:bookmarkStart w:id="177" w:name="_Toc9676"/>
      <w:bookmarkStart w:id="178" w:name="_Toc18416"/>
      <w:bookmarkStart w:id="179" w:name="_Toc671"/>
      <w:bookmarkStart w:id="180" w:name="_Toc13061"/>
      <w:r>
        <w:rPr>
          <w:rFonts w:hint="eastAsia"/>
          <w:b/>
          <w:bCs/>
          <w:color w:val="auto"/>
          <w:sz w:val="32"/>
          <w:szCs w:val="40"/>
          <w:highlight w:val="none"/>
        </w:rPr>
        <w:t>正本/副本</w:t>
      </w:r>
      <w:bookmarkEnd w:id="177"/>
      <w:bookmarkEnd w:id="178"/>
      <w:bookmarkEnd w:id="179"/>
      <w:bookmarkEnd w:id="180"/>
    </w:p>
    <w:p>
      <w:pPr>
        <w:spacing w:line="500" w:lineRule="exact"/>
        <w:rPr>
          <w:rFonts w:hint="eastAsia" w:ascii="宋体" w:hAnsi="宋体" w:eastAsia="宋体" w:cs="宋体"/>
          <w:b/>
          <w:color w:val="auto"/>
          <w:sz w:val="32"/>
          <w:szCs w:val="32"/>
          <w:highlight w:val="none"/>
          <w:u w:val="single"/>
          <w:lang w:val="en-US" w:eastAsia="zh-CN"/>
        </w:rPr>
      </w:pPr>
      <w:bookmarkStart w:id="181" w:name="_Toc3861"/>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E-234132XA011/02</w:t>
      </w:r>
    </w:p>
    <w:p>
      <w:pPr>
        <w:spacing w:before="156" w:beforeLines="50" w:after="156" w:afterLines="50" w:line="360" w:lineRule="auto"/>
        <w:rPr>
          <w:b/>
          <w:bCs/>
          <w:color w:val="auto"/>
          <w:sz w:val="54"/>
          <w:szCs w:val="54"/>
          <w:highlight w:val="none"/>
        </w:rPr>
      </w:pPr>
    </w:p>
    <w:p>
      <w:pPr>
        <w:pStyle w:val="30"/>
        <w:spacing w:before="156" w:beforeLines="50"/>
        <w:jc w:val="both"/>
        <w:rPr>
          <w:rFonts w:ascii="宋体" w:hAnsi="宋体"/>
          <w:b/>
          <w:color w:val="auto"/>
          <w:sz w:val="48"/>
          <w:szCs w:val="48"/>
          <w:highlight w:val="none"/>
        </w:rPr>
      </w:pPr>
    </w:p>
    <w:p>
      <w:pPr>
        <w:pStyle w:val="30"/>
        <w:keepNext w:val="0"/>
        <w:keepLines w:val="0"/>
        <w:pageBreakBefore w:val="0"/>
        <w:widowControl w:val="0"/>
        <w:kinsoku/>
        <w:wordWrap/>
        <w:overflowPunct/>
        <w:topLinePunct w:val="0"/>
        <w:autoSpaceDE/>
        <w:autoSpaceDN/>
        <w:bidi w:val="0"/>
        <w:adjustRightInd/>
        <w:snapToGrid/>
        <w:spacing w:before="156" w:beforeLines="50" w:line="720" w:lineRule="auto"/>
        <w:jc w:val="center"/>
        <w:textAlignment w:val="auto"/>
        <w:rPr>
          <w:rFonts w:hint="eastAsia" w:ascii="宋体" w:hAnsi="宋体" w:eastAsia="宋体"/>
          <w:b/>
          <w:color w:val="auto"/>
          <w:sz w:val="48"/>
          <w:szCs w:val="48"/>
          <w:highlight w:val="none"/>
          <w:lang w:eastAsia="zh-CN"/>
        </w:rPr>
      </w:pPr>
      <w:r>
        <w:rPr>
          <w:rFonts w:hint="eastAsia" w:ascii="宋体" w:hAnsi="宋体"/>
          <w:b/>
          <w:color w:val="auto"/>
          <w:sz w:val="48"/>
          <w:szCs w:val="48"/>
          <w:highlight w:val="none"/>
          <w:lang w:eastAsia="zh-CN"/>
        </w:rPr>
        <w:t>咸阳市中心医院智慧医院建设提升、智慧医疗管理系统建设及环境扩容服务</w:t>
      </w:r>
    </w:p>
    <w:p>
      <w:pPr>
        <w:spacing w:before="156" w:beforeLines="50" w:after="156" w:afterLines="50"/>
        <w:ind w:right="-334" w:rightChars="-159"/>
        <w:jc w:val="cente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w:t>
      </w:r>
      <w:r>
        <w:rPr>
          <w:rFonts w:hint="eastAsia" w:ascii="宋体" w:hAnsi="宋体" w:cs="Times New Roman"/>
          <w:b/>
          <w:color w:val="auto"/>
          <w:kern w:val="2"/>
          <w:sz w:val="32"/>
          <w:szCs w:val="32"/>
          <w:highlight w:val="none"/>
          <w:lang w:val="en-US" w:eastAsia="zh-CN" w:bidi="ar-SA"/>
        </w:rPr>
        <w:t>02包：康复中心信息管理系统</w:t>
      </w:r>
      <w:r>
        <w:rPr>
          <w:rFonts w:hint="eastAsia" w:ascii="宋体" w:hAnsi="宋体" w:eastAsia="宋体" w:cs="Times New Roman"/>
          <w:b/>
          <w:color w:val="auto"/>
          <w:kern w:val="2"/>
          <w:sz w:val="32"/>
          <w:szCs w:val="32"/>
          <w:highlight w:val="none"/>
          <w:lang w:val="en-US" w:eastAsia="zh-CN" w:bidi="ar-SA"/>
        </w:rPr>
        <w:t>）</w:t>
      </w:r>
    </w:p>
    <w:p>
      <w:pPr>
        <w:bidi w:val="0"/>
        <w:rPr>
          <w:color w:val="auto"/>
          <w:highlight w:val="none"/>
        </w:rPr>
      </w:pPr>
    </w:p>
    <w:p>
      <w:pPr>
        <w:rPr>
          <w:color w:val="auto"/>
          <w:highlight w:val="none"/>
        </w:rPr>
      </w:pPr>
    </w:p>
    <w:p>
      <w:pPr>
        <w:bidi w:val="0"/>
        <w:jc w:val="center"/>
        <w:rPr>
          <w:rFonts w:hint="eastAsia" w:eastAsia="宋体"/>
          <w:b/>
          <w:bCs/>
          <w:color w:val="auto"/>
          <w:sz w:val="72"/>
          <w:szCs w:val="144"/>
          <w:highlight w:val="none"/>
          <w:lang w:eastAsia="zh-CN"/>
        </w:rPr>
      </w:pPr>
      <w:bookmarkStart w:id="182" w:name="_Toc7769"/>
      <w:bookmarkStart w:id="183" w:name="_Toc6340"/>
      <w:bookmarkStart w:id="184" w:name="_Toc16940"/>
      <w:bookmarkStart w:id="185" w:name="_Toc32072"/>
    </w:p>
    <w:p>
      <w:pPr>
        <w:bidi w:val="0"/>
        <w:jc w:val="center"/>
        <w:rPr>
          <w:rFonts w:hint="eastAsia" w:eastAsia="宋体"/>
          <w:b/>
          <w:bCs/>
          <w:color w:val="auto"/>
          <w:sz w:val="72"/>
          <w:szCs w:val="144"/>
          <w:highlight w:val="none"/>
          <w:lang w:eastAsia="zh-CN"/>
        </w:rPr>
      </w:pPr>
      <w:r>
        <w:rPr>
          <w:rFonts w:hint="eastAsia" w:eastAsia="宋体"/>
          <w:b/>
          <w:bCs/>
          <w:color w:val="auto"/>
          <w:sz w:val="72"/>
          <w:szCs w:val="144"/>
          <w:highlight w:val="none"/>
          <w:lang w:eastAsia="zh-CN"/>
        </w:rPr>
        <w:t>投标文件</w:t>
      </w:r>
      <w:bookmarkEnd w:id="182"/>
      <w:bookmarkEnd w:id="183"/>
      <w:bookmarkEnd w:id="184"/>
      <w:bookmarkEnd w:id="185"/>
    </w:p>
    <w:p>
      <w:pPr>
        <w:bidi w:val="0"/>
        <w:rPr>
          <w:rFonts w:hint="eastAsia"/>
          <w:color w:val="auto"/>
          <w:highlight w:val="none"/>
          <w:lang w:eastAsia="zh-CN"/>
        </w:rPr>
      </w:pPr>
    </w:p>
    <w:p>
      <w:pPr>
        <w:bidi w:val="0"/>
        <w:rPr>
          <w:color w:val="auto"/>
          <w:highlight w:val="none"/>
        </w:rPr>
      </w:pPr>
    </w:p>
    <w:p>
      <w:pPr>
        <w:bidi w:val="0"/>
        <w:rPr>
          <w:color w:val="auto"/>
          <w:highlight w:val="none"/>
        </w:rPr>
      </w:pPr>
    </w:p>
    <w:p>
      <w:pPr>
        <w:pStyle w:val="30"/>
        <w:rPr>
          <w:color w:val="auto"/>
          <w:highlight w:val="none"/>
        </w:rPr>
      </w:pPr>
    </w:p>
    <w:p>
      <w:pPr>
        <w:pStyle w:val="18"/>
        <w:rPr>
          <w:color w:val="auto"/>
          <w:highlight w:val="none"/>
        </w:rPr>
      </w:pPr>
    </w:p>
    <w:p>
      <w:pPr>
        <w:pStyle w:val="30"/>
        <w:rPr>
          <w:color w:val="auto"/>
          <w:highlight w:val="none"/>
        </w:rPr>
      </w:pPr>
    </w:p>
    <w:p>
      <w:pPr>
        <w:pStyle w:val="18"/>
        <w:rPr>
          <w:color w:val="auto"/>
          <w:highlight w:val="none"/>
        </w:rPr>
      </w:pPr>
    </w:p>
    <w:p>
      <w:pPr>
        <w:pStyle w:val="30"/>
        <w:rPr>
          <w:color w:val="auto"/>
          <w:highlight w:val="none"/>
        </w:rPr>
      </w:pPr>
    </w:p>
    <w:p>
      <w:pPr>
        <w:keepNext w:val="0"/>
        <w:keepLines w:val="0"/>
        <w:pageBreakBefore w:val="0"/>
        <w:widowControl w:val="0"/>
        <w:kinsoku/>
        <w:wordWrap/>
        <w:overflowPunct/>
        <w:topLinePunct w:val="0"/>
        <w:autoSpaceDE/>
        <w:autoSpaceDN/>
        <w:bidi w:val="0"/>
        <w:adjustRightInd/>
        <w:snapToGrid/>
        <w:spacing w:line="720" w:lineRule="auto"/>
        <w:ind w:firstLine="840" w:firstLineChars="300"/>
        <w:textAlignment w:val="auto"/>
        <w:rPr>
          <w:color w:val="auto"/>
          <w:sz w:val="28"/>
          <w:szCs w:val="36"/>
          <w:highlight w:val="none"/>
        </w:rPr>
      </w:pPr>
      <w:bookmarkStart w:id="186" w:name="_Toc25430"/>
      <w:bookmarkStart w:id="187" w:name="_Toc1651"/>
      <w:bookmarkStart w:id="188" w:name="_Toc4654"/>
      <w:bookmarkStart w:id="189" w:name="_Toc21867"/>
      <w:r>
        <w:rPr>
          <w:rFonts w:hint="eastAsia"/>
          <w:color w:val="auto"/>
          <w:sz w:val="28"/>
          <w:szCs w:val="36"/>
          <w:highlight w:val="none"/>
        </w:rPr>
        <w:t>投标人：</w:t>
      </w:r>
      <w:r>
        <w:rPr>
          <w:rFonts w:hint="eastAsia"/>
          <w:color w:val="auto"/>
          <w:sz w:val="28"/>
          <w:szCs w:val="36"/>
          <w:highlight w:val="none"/>
          <w:u w:val="single"/>
        </w:rPr>
        <w:t xml:space="preserve">       </w:t>
      </w:r>
      <w:r>
        <w:rPr>
          <w:rFonts w:hint="eastAsia"/>
          <w:color w:val="auto"/>
          <w:sz w:val="28"/>
          <w:szCs w:val="36"/>
          <w:highlight w:val="none"/>
          <w:u w:val="single"/>
          <w:lang w:val="en-US" w:eastAsia="zh-CN"/>
        </w:rPr>
        <w:t xml:space="preserve">           </w:t>
      </w:r>
      <w:r>
        <w:rPr>
          <w:rFonts w:hint="eastAsia"/>
          <w:color w:val="auto"/>
          <w:sz w:val="28"/>
          <w:szCs w:val="36"/>
          <w:highlight w:val="none"/>
          <w:u w:val="single"/>
        </w:rPr>
        <w:t xml:space="preserve">           </w:t>
      </w:r>
      <w:r>
        <w:rPr>
          <w:rFonts w:hint="eastAsia"/>
          <w:color w:val="auto"/>
          <w:sz w:val="28"/>
          <w:szCs w:val="36"/>
          <w:highlight w:val="none"/>
        </w:rPr>
        <w:t>（盖单位章）</w:t>
      </w:r>
      <w:bookmarkEnd w:id="186"/>
      <w:bookmarkEnd w:id="187"/>
      <w:bookmarkEnd w:id="188"/>
      <w:bookmarkEnd w:id="189"/>
    </w:p>
    <w:p>
      <w:pPr>
        <w:keepNext w:val="0"/>
        <w:keepLines w:val="0"/>
        <w:pageBreakBefore w:val="0"/>
        <w:widowControl w:val="0"/>
        <w:kinsoku/>
        <w:wordWrap/>
        <w:overflowPunct/>
        <w:topLinePunct w:val="0"/>
        <w:autoSpaceDE/>
        <w:autoSpaceDN/>
        <w:bidi w:val="0"/>
        <w:adjustRightInd/>
        <w:snapToGrid/>
        <w:spacing w:line="720" w:lineRule="auto"/>
        <w:ind w:firstLine="840" w:firstLineChars="300"/>
        <w:textAlignment w:val="auto"/>
        <w:rPr>
          <w:color w:val="auto"/>
          <w:sz w:val="28"/>
          <w:szCs w:val="36"/>
          <w:highlight w:val="none"/>
        </w:rPr>
      </w:pPr>
      <w:bookmarkStart w:id="190" w:name="_Toc30120"/>
      <w:bookmarkStart w:id="191" w:name="_Toc29662"/>
      <w:bookmarkStart w:id="192" w:name="_Toc20382"/>
      <w:bookmarkStart w:id="193" w:name="_Toc11572"/>
      <w:r>
        <w:rPr>
          <w:rFonts w:hint="eastAsia"/>
          <w:color w:val="auto"/>
          <w:sz w:val="28"/>
          <w:szCs w:val="36"/>
          <w:highlight w:val="none"/>
          <w:lang w:eastAsia="zh-CN"/>
        </w:rPr>
        <w:t>法定代表人（负责人）</w:t>
      </w:r>
      <w:r>
        <w:rPr>
          <w:rFonts w:hint="eastAsia"/>
          <w:color w:val="auto"/>
          <w:sz w:val="28"/>
          <w:szCs w:val="36"/>
          <w:highlight w:val="none"/>
        </w:rPr>
        <w:t>或其委托代理人：</w:t>
      </w:r>
      <w:r>
        <w:rPr>
          <w:rFonts w:hint="eastAsia"/>
          <w:color w:val="auto"/>
          <w:sz w:val="28"/>
          <w:szCs w:val="36"/>
          <w:highlight w:val="none"/>
          <w:u w:val="single"/>
        </w:rPr>
        <w:t xml:space="preserve">        </w:t>
      </w:r>
      <w:r>
        <w:rPr>
          <w:rFonts w:hint="eastAsia"/>
          <w:color w:val="auto"/>
          <w:sz w:val="28"/>
          <w:szCs w:val="36"/>
          <w:highlight w:val="none"/>
        </w:rPr>
        <w:t>（签字或盖章）</w:t>
      </w:r>
      <w:bookmarkEnd w:id="190"/>
      <w:bookmarkEnd w:id="191"/>
      <w:bookmarkEnd w:id="192"/>
      <w:bookmarkEnd w:id="193"/>
    </w:p>
    <w:p>
      <w:pPr>
        <w:keepNext w:val="0"/>
        <w:keepLines w:val="0"/>
        <w:pageBreakBefore w:val="0"/>
        <w:widowControl w:val="0"/>
        <w:kinsoku/>
        <w:wordWrap/>
        <w:overflowPunct/>
        <w:topLinePunct w:val="0"/>
        <w:autoSpaceDE/>
        <w:autoSpaceDN/>
        <w:bidi w:val="0"/>
        <w:adjustRightInd/>
        <w:snapToGrid/>
        <w:spacing w:line="720" w:lineRule="auto"/>
        <w:textAlignment w:val="auto"/>
        <w:rPr>
          <w:color w:val="auto"/>
          <w:sz w:val="28"/>
          <w:szCs w:val="36"/>
          <w:highlight w:val="none"/>
        </w:rPr>
      </w:pPr>
      <w:r>
        <w:rPr>
          <w:rFonts w:hint="eastAsia"/>
          <w:color w:val="auto"/>
          <w:sz w:val="28"/>
          <w:szCs w:val="36"/>
          <w:highlight w:val="none"/>
        </w:rPr>
        <w:t xml:space="preserve">        </w:t>
      </w:r>
      <w:bookmarkStart w:id="194" w:name="_Toc21046"/>
      <w:bookmarkStart w:id="195" w:name="_Toc8928"/>
      <w:bookmarkStart w:id="196" w:name="_Toc1653"/>
      <w:bookmarkStart w:id="197" w:name="_Toc28149"/>
      <w:r>
        <w:rPr>
          <w:rFonts w:hint="eastAsia"/>
          <w:color w:val="auto"/>
          <w:sz w:val="28"/>
          <w:szCs w:val="36"/>
          <w:highlight w:val="none"/>
          <w:lang w:val="en-US" w:eastAsia="zh-CN"/>
        </w:rPr>
        <w:t xml:space="preserve">                 </w:t>
      </w:r>
      <w:r>
        <w:rPr>
          <w:rFonts w:hint="eastAsia"/>
          <w:color w:val="auto"/>
          <w:sz w:val="28"/>
          <w:szCs w:val="36"/>
          <w:highlight w:val="none"/>
        </w:rPr>
        <w:t>年      月     日</w:t>
      </w:r>
      <w:bookmarkEnd w:id="194"/>
      <w:bookmarkEnd w:id="195"/>
      <w:bookmarkEnd w:id="196"/>
      <w:bookmarkEnd w:id="197"/>
    </w:p>
    <w:p>
      <w:pPr>
        <w:rPr>
          <w:rFonts w:ascii="宋体" w:hAnsi="宋体" w:cs="黑体"/>
          <w:b/>
          <w:color w:val="auto"/>
          <w:kern w:val="0"/>
          <w:sz w:val="30"/>
          <w:szCs w:val="30"/>
          <w:highlight w:val="none"/>
        </w:rPr>
      </w:pPr>
      <w:r>
        <w:rPr>
          <w:rFonts w:hint="eastAsia" w:ascii="宋体" w:hAnsi="宋体" w:cs="黑体"/>
          <w:b/>
          <w:color w:val="auto"/>
          <w:kern w:val="0"/>
          <w:sz w:val="30"/>
          <w:szCs w:val="30"/>
          <w:highlight w:val="none"/>
        </w:rPr>
        <w:br w:type="page"/>
      </w:r>
    </w:p>
    <w:p>
      <w:pPr>
        <w:spacing w:line="360" w:lineRule="auto"/>
        <w:jc w:val="center"/>
        <w:rPr>
          <w:rFonts w:ascii="宋体" w:hAnsi="宋体" w:cs="宋体"/>
          <w:b/>
          <w:color w:val="auto"/>
          <w:sz w:val="32"/>
          <w:szCs w:val="32"/>
          <w:highlight w:val="none"/>
        </w:rPr>
      </w:pPr>
    </w:p>
    <w:p>
      <w:pPr>
        <w:bidi w:val="0"/>
        <w:jc w:val="center"/>
        <w:rPr>
          <w:b/>
          <w:bCs/>
          <w:color w:val="auto"/>
          <w:sz w:val="36"/>
          <w:szCs w:val="44"/>
          <w:highlight w:val="none"/>
        </w:rPr>
      </w:pPr>
      <w:bookmarkStart w:id="198" w:name="_Toc12773"/>
      <w:bookmarkStart w:id="199" w:name="_Toc14847"/>
      <w:bookmarkStart w:id="200" w:name="_Toc16689"/>
      <w:bookmarkStart w:id="201" w:name="_Toc22039"/>
      <w:r>
        <w:rPr>
          <w:rFonts w:hint="eastAsia"/>
          <w:b/>
          <w:bCs/>
          <w:color w:val="auto"/>
          <w:sz w:val="36"/>
          <w:szCs w:val="44"/>
          <w:highlight w:val="none"/>
        </w:rPr>
        <w:t>目  录</w:t>
      </w:r>
      <w:bookmarkEnd w:id="198"/>
      <w:bookmarkEnd w:id="199"/>
      <w:bookmarkEnd w:id="200"/>
      <w:bookmarkEnd w:id="201"/>
    </w:p>
    <w:p>
      <w:pPr>
        <w:spacing w:line="360" w:lineRule="auto"/>
        <w:ind w:firstLine="480" w:firstLineChars="200"/>
        <w:jc w:val="left"/>
        <w:rPr>
          <w:rFonts w:ascii="宋体" w:hAnsi="宋体" w:cs="宋体"/>
          <w:bCs/>
          <w:color w:val="auto"/>
          <w:sz w:val="24"/>
          <w:highlight w:val="none"/>
        </w:rPr>
      </w:pPr>
    </w:p>
    <w:p>
      <w:pPr>
        <w:bidi w:val="0"/>
        <w:rPr>
          <w:color w:val="auto"/>
          <w:highlight w:val="none"/>
        </w:rPr>
      </w:pPr>
    </w:p>
    <w:p>
      <w:pPr>
        <w:spacing w:before="156" w:beforeLines="50" w:after="156" w:afterLines="50" w:line="360" w:lineRule="auto"/>
        <w:jc w:val="center"/>
        <w:rPr>
          <w:color w:val="auto"/>
          <w:sz w:val="32"/>
          <w:szCs w:val="32"/>
          <w:highlight w:val="none"/>
        </w:rPr>
      </w:pPr>
      <w:r>
        <w:rPr>
          <w:rFonts w:hint="eastAsia"/>
          <w:color w:val="auto"/>
          <w:sz w:val="32"/>
          <w:szCs w:val="32"/>
          <w:highlight w:val="none"/>
        </w:rPr>
        <w:br w:type="page"/>
      </w:r>
    </w:p>
    <w:p>
      <w:pPr>
        <w:pStyle w:val="3"/>
        <w:bidi w:val="0"/>
        <w:rPr>
          <w:color w:val="auto"/>
          <w:sz w:val="32"/>
          <w:szCs w:val="32"/>
          <w:highlight w:val="none"/>
        </w:rPr>
      </w:pPr>
      <w:bookmarkStart w:id="202" w:name="_Toc11321"/>
      <w:bookmarkStart w:id="203" w:name="_Toc15981"/>
      <w:bookmarkStart w:id="204" w:name="_Toc11617"/>
      <w:bookmarkStart w:id="205" w:name="_Toc24858"/>
      <w:r>
        <w:rPr>
          <w:rFonts w:hint="eastAsia"/>
          <w:color w:val="auto"/>
          <w:sz w:val="32"/>
          <w:szCs w:val="32"/>
          <w:highlight w:val="none"/>
        </w:rPr>
        <w:t>一、投标函</w:t>
      </w:r>
      <w:bookmarkEnd w:id="181"/>
      <w:bookmarkEnd w:id="202"/>
      <w:bookmarkEnd w:id="203"/>
      <w:bookmarkEnd w:id="204"/>
      <w:bookmarkEnd w:id="205"/>
    </w:p>
    <w:p>
      <w:pPr>
        <w:spacing w:line="360" w:lineRule="auto"/>
        <w:rPr>
          <w:rFonts w:ascii="宋体" w:hAnsi="宋体"/>
          <w:color w:val="auto"/>
          <w:szCs w:val="21"/>
          <w:highlight w:val="none"/>
        </w:rPr>
      </w:pPr>
      <w:bookmarkStart w:id="206" w:name="_Toc5912"/>
      <w:bookmarkStart w:id="207" w:name="_Toc24001"/>
      <w:bookmarkStart w:id="208" w:name="_Toc21293"/>
      <w:bookmarkStart w:id="209" w:name="_Toc28486"/>
      <w:r>
        <w:rPr>
          <w:rFonts w:hint="eastAsia" w:ascii="宋体" w:hAnsi="宋体"/>
          <w:color w:val="auto"/>
          <w:szCs w:val="21"/>
          <w:highlight w:val="none"/>
        </w:rPr>
        <w:t>致：</w:t>
      </w:r>
      <w:r>
        <w:rPr>
          <w:rFonts w:hint="eastAsia" w:ascii="宋体" w:hAnsi="宋体"/>
          <w:color w:val="auto"/>
          <w:szCs w:val="21"/>
          <w:highlight w:val="none"/>
          <w:u w:val="single"/>
        </w:rPr>
        <w:t>咸阳市中心医院</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我单位收到贵单位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标包名称</w:t>
      </w:r>
      <w:r>
        <w:rPr>
          <w:rFonts w:hint="eastAsia" w:ascii="宋体" w:hAnsi="宋体"/>
          <w:color w:val="auto"/>
          <w:szCs w:val="21"/>
          <w:highlight w:val="none"/>
        </w:rPr>
        <w:t>）</w:t>
      </w:r>
      <w:r>
        <w:rPr>
          <w:rFonts w:hint="eastAsia" w:ascii="宋体" w:hAnsi="宋体" w:cs="宋体"/>
          <w:color w:val="auto"/>
          <w:szCs w:val="21"/>
          <w:highlight w:val="none"/>
        </w:rPr>
        <w:t>的招标文件，经详细研究，我们决定参加本次招标活动并投标。为此，我方郑重声明以下内容，并承担法律责任。</w:t>
      </w:r>
    </w:p>
    <w:p>
      <w:pPr>
        <w:numPr>
          <w:ilvl w:val="0"/>
          <w:numId w:val="11"/>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按照招标文件中规定提供招标货物和技术服务，投标总报价为（大写）</w:t>
      </w:r>
      <w:r>
        <w:rPr>
          <w:rFonts w:hint="eastAsia" w:ascii="宋体" w:hAnsi="宋体" w:cs="宋体"/>
          <w:color w:val="auto"/>
          <w:spacing w:val="40"/>
          <w:szCs w:val="21"/>
          <w:highlight w:val="none"/>
          <w:u w:val="single"/>
        </w:rPr>
        <w:t xml:space="preserve">      </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项目完工期</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p>
      <w:pPr>
        <w:numPr>
          <w:ilvl w:val="0"/>
          <w:numId w:val="11"/>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我方同意所递交的投标文件的有效期为</w:t>
      </w:r>
      <w:r>
        <w:rPr>
          <w:rFonts w:hint="eastAsia" w:ascii="宋体" w:hAnsi="宋体" w:cs="宋体"/>
          <w:color w:val="auto"/>
          <w:spacing w:val="6"/>
          <w:kern w:val="0"/>
          <w:szCs w:val="21"/>
          <w:highlight w:val="none"/>
          <w:u w:val="single"/>
        </w:rPr>
        <w:t>90天（从提交投标文件的截止之日起算）</w:t>
      </w:r>
      <w:r>
        <w:rPr>
          <w:rFonts w:hint="eastAsia" w:ascii="宋体" w:hAnsi="宋体" w:cs="宋体"/>
          <w:color w:val="auto"/>
          <w:szCs w:val="21"/>
          <w:highlight w:val="none"/>
        </w:rPr>
        <w:t>，并承诺在投标有效期内不修改、撤销投标文件。</w:t>
      </w:r>
    </w:p>
    <w:p>
      <w:pPr>
        <w:numPr>
          <w:ilvl w:val="0"/>
          <w:numId w:val="11"/>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本投标人同意遵照招标文件的全部内容，承担招标文件中规定的全部责任和义务，且响应招标文件中的付款方式。</w:t>
      </w:r>
    </w:p>
    <w:p>
      <w:pPr>
        <w:numPr>
          <w:ilvl w:val="0"/>
          <w:numId w:val="11"/>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我方已仔细阅读了招标文件，包括修改文件（如果有的话）以及全部参考资料和附件，完全理解并同意放弃对这方面有不明及误解的权利。</w:t>
      </w:r>
    </w:p>
    <w:p>
      <w:pPr>
        <w:numPr>
          <w:ilvl w:val="0"/>
          <w:numId w:val="11"/>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如我方中标：</w:t>
      </w:r>
    </w:p>
    <w:p>
      <w:pPr>
        <w:pStyle w:val="30"/>
        <w:numPr>
          <w:ilvl w:val="0"/>
          <w:numId w:val="12"/>
        </w:numPr>
        <w:spacing w:line="360" w:lineRule="auto"/>
        <w:ind w:firstLine="420" w:firstLineChars="200"/>
        <w:rPr>
          <w:color w:val="auto"/>
          <w:szCs w:val="21"/>
          <w:highlight w:val="none"/>
        </w:rPr>
      </w:pPr>
      <w:r>
        <w:rPr>
          <w:rFonts w:hint="eastAsia"/>
          <w:color w:val="auto"/>
          <w:szCs w:val="21"/>
          <w:highlight w:val="none"/>
        </w:rPr>
        <w:t>我方收到中标通知书后，在中标通知书规定的期限内与你方签订合同。</w:t>
      </w:r>
    </w:p>
    <w:p>
      <w:pPr>
        <w:pStyle w:val="30"/>
        <w:numPr>
          <w:ilvl w:val="0"/>
          <w:numId w:val="12"/>
        </w:numPr>
        <w:spacing w:line="360" w:lineRule="auto"/>
        <w:ind w:firstLine="420" w:firstLineChars="200"/>
        <w:rPr>
          <w:color w:val="auto"/>
          <w:szCs w:val="21"/>
          <w:highlight w:val="none"/>
        </w:rPr>
      </w:pPr>
      <w:r>
        <w:rPr>
          <w:rFonts w:hint="eastAsia"/>
          <w:color w:val="auto"/>
          <w:szCs w:val="21"/>
          <w:highlight w:val="none"/>
        </w:rPr>
        <w:t>随同本投标函递交的投标函附录属于合同文件的组成部分。</w:t>
      </w:r>
    </w:p>
    <w:p>
      <w:pPr>
        <w:pStyle w:val="30"/>
        <w:numPr>
          <w:ilvl w:val="0"/>
          <w:numId w:val="12"/>
        </w:numPr>
        <w:spacing w:line="360" w:lineRule="auto"/>
        <w:ind w:firstLine="420" w:firstLineChars="200"/>
        <w:rPr>
          <w:color w:val="auto"/>
          <w:szCs w:val="21"/>
          <w:highlight w:val="none"/>
        </w:rPr>
      </w:pPr>
      <w:r>
        <w:rPr>
          <w:rFonts w:hint="eastAsia"/>
          <w:color w:val="auto"/>
          <w:szCs w:val="21"/>
          <w:highlight w:val="none"/>
        </w:rPr>
        <w:t>我方承诺在合同约定的期限内。每拖延一天，按合同约定处罚。</w:t>
      </w:r>
    </w:p>
    <w:p>
      <w:pPr>
        <w:pStyle w:val="30"/>
        <w:numPr>
          <w:ilvl w:val="0"/>
          <w:numId w:val="12"/>
        </w:numPr>
        <w:spacing w:line="360" w:lineRule="auto"/>
        <w:ind w:firstLine="420" w:firstLineChars="200"/>
        <w:rPr>
          <w:color w:val="auto"/>
          <w:szCs w:val="21"/>
          <w:highlight w:val="none"/>
        </w:rPr>
      </w:pPr>
      <w:r>
        <w:rPr>
          <w:rFonts w:hint="eastAsia"/>
          <w:color w:val="auto"/>
          <w:szCs w:val="21"/>
          <w:highlight w:val="none"/>
        </w:rPr>
        <w:t>我方保证</w:t>
      </w:r>
      <w:r>
        <w:rPr>
          <w:rFonts w:hint="eastAsia"/>
          <w:color w:val="auto"/>
          <w:szCs w:val="21"/>
          <w:highlight w:val="none"/>
          <w:lang w:eastAsia="zh-CN"/>
        </w:rPr>
        <w:t>提供的服务达到投标承诺的质量标准</w:t>
      </w:r>
      <w:r>
        <w:rPr>
          <w:rFonts w:hint="eastAsia"/>
          <w:color w:val="auto"/>
          <w:szCs w:val="21"/>
          <w:highlight w:val="none"/>
        </w:rPr>
        <w:t>，否则，按合同约定处罚。</w:t>
      </w:r>
    </w:p>
    <w:p>
      <w:pPr>
        <w:numPr>
          <w:ilvl w:val="0"/>
          <w:numId w:val="11"/>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我方在此声明，所递交的投标文件及有交资料内容完整、真实和准确。</w:t>
      </w:r>
    </w:p>
    <w:p>
      <w:pPr>
        <w:numPr>
          <w:ilvl w:val="0"/>
          <w:numId w:val="11"/>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我方保证上述投标报价不低于</w:t>
      </w:r>
      <w:r>
        <w:rPr>
          <w:rFonts w:hint="eastAsia" w:ascii="宋体" w:hAnsi="宋体" w:cs="宋体"/>
          <w:color w:val="auto"/>
          <w:szCs w:val="21"/>
          <w:highlight w:val="none"/>
          <w:lang w:eastAsia="zh-CN"/>
        </w:rPr>
        <w:t>企业成本价</w:t>
      </w:r>
      <w:r>
        <w:rPr>
          <w:rFonts w:hint="eastAsia" w:ascii="宋体" w:hAnsi="宋体" w:cs="宋体"/>
          <w:color w:val="auto"/>
          <w:szCs w:val="21"/>
          <w:highlight w:val="none"/>
        </w:rPr>
        <w:t>。</w:t>
      </w:r>
    </w:p>
    <w:p>
      <w:pPr>
        <w:numPr>
          <w:ilvl w:val="0"/>
          <w:numId w:val="11"/>
        </w:numPr>
        <w:spacing w:line="360" w:lineRule="auto"/>
        <w:ind w:firstLine="420" w:firstLineChars="200"/>
        <w:jc w:val="left"/>
        <w:rPr>
          <w:color w:val="auto"/>
          <w:szCs w:val="21"/>
          <w:highlight w:val="none"/>
        </w:rPr>
      </w:pPr>
      <w:r>
        <w:rPr>
          <w:rFonts w:hint="eastAsia" w:ascii="宋体" w:hAnsi="宋体" w:cs="宋体"/>
          <w:color w:val="auto"/>
          <w:szCs w:val="21"/>
          <w:highlight w:val="none"/>
        </w:rPr>
        <w:t>我方同意向贵方提供可能要求的与其招标有关的一切数据或资料，完全理解最低投标报价不作为中标的唯一条件，且尊重评标委员会的评标结论和定标结果。</w:t>
      </w:r>
    </w:p>
    <w:p>
      <w:pPr>
        <w:numPr>
          <w:ilvl w:val="0"/>
          <w:numId w:val="11"/>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如因我方原因放弃中标，我方承诺，将承担因下个中标候选人中标给发包人带来的经济损失。  </w:t>
      </w:r>
    </w:p>
    <w:p>
      <w:pPr>
        <w:spacing w:line="460" w:lineRule="exact"/>
        <w:ind w:firstLine="525" w:firstLineChars="250"/>
        <w:rPr>
          <w:rFonts w:ascii="宋体"/>
          <w:color w:val="auto"/>
          <w:szCs w:val="21"/>
          <w:highlight w:val="none"/>
        </w:rPr>
      </w:pPr>
    </w:p>
    <w:p>
      <w:pPr>
        <w:spacing w:line="360" w:lineRule="auto"/>
        <w:ind w:firstLine="525" w:firstLineChars="250"/>
        <w:rPr>
          <w:rFonts w:ascii="宋体"/>
          <w:color w:val="auto"/>
          <w:szCs w:val="21"/>
          <w:highlight w:val="none"/>
          <w:u w:val="singl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525" w:firstLineChars="250"/>
        <w:rPr>
          <w:rFonts w:ascii="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或其委托代理人：</w:t>
      </w:r>
      <w:r>
        <w:rPr>
          <w:rFonts w:ascii="宋体" w:hAnsi="宋体"/>
          <w:color w:val="auto"/>
          <w:szCs w:val="21"/>
          <w:highlight w:val="none"/>
          <w:u w:val="single"/>
        </w:rPr>
        <w:t xml:space="preserve">           </w:t>
      </w:r>
      <w:r>
        <w:rPr>
          <w:rFonts w:hint="eastAsia" w:ascii="宋体" w:hAnsi="宋体"/>
          <w:color w:val="auto"/>
          <w:szCs w:val="21"/>
          <w:highlight w:val="none"/>
        </w:rPr>
        <w:t>（签字或盖章）</w:t>
      </w:r>
      <w:r>
        <w:rPr>
          <w:rFonts w:ascii="宋体" w:hAnsi="宋体"/>
          <w:color w:val="auto"/>
          <w:szCs w:val="21"/>
          <w:highlight w:val="none"/>
        </w:rPr>
        <w:t xml:space="preserve"> </w:t>
      </w:r>
    </w:p>
    <w:p>
      <w:pP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地址：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邮编：</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pStyle w:val="30"/>
        <w:spacing w:line="360" w:lineRule="auto"/>
        <w:jc w:val="center"/>
        <w:rPr>
          <w:rFonts w:hint="eastAsia"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ascii="宋体" w:hAnsi="宋体"/>
          <w:color w:val="auto"/>
          <w:szCs w:val="21"/>
          <w:highlight w:val="none"/>
        </w:rPr>
      </w:pPr>
      <w:r>
        <w:rPr>
          <w:rFonts w:hint="eastAsia" w:ascii="宋体" w:hAnsi="宋体"/>
          <w:color w:val="auto"/>
          <w:szCs w:val="21"/>
          <w:highlight w:val="none"/>
        </w:rPr>
        <w:br w:type="page"/>
      </w:r>
    </w:p>
    <w:p>
      <w:pPr>
        <w:pStyle w:val="3"/>
        <w:bidi w:val="0"/>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rPr>
        <w:t>二、</w:t>
      </w:r>
      <w:r>
        <w:rPr>
          <w:rFonts w:hint="eastAsia" w:ascii="宋体" w:hAnsi="宋体" w:eastAsia="宋体" w:cs="Times New Roman"/>
          <w:color w:val="auto"/>
          <w:sz w:val="32"/>
          <w:szCs w:val="32"/>
          <w:highlight w:val="none"/>
          <w:lang w:val="en-US" w:eastAsia="zh-CN"/>
        </w:rPr>
        <w:t>开标一览表</w:t>
      </w:r>
    </w:p>
    <w:p>
      <w:pPr>
        <w:pStyle w:val="18"/>
        <w:ind w:left="0" w:leftChars="0" w:firstLine="0" w:firstLineChars="0"/>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项目编号：</w:t>
      </w:r>
      <w:r>
        <w:rPr>
          <w:rFonts w:hint="eastAsia" w:ascii="宋体" w:hAnsi="宋体"/>
          <w:color w:val="auto"/>
          <w:sz w:val="21"/>
          <w:szCs w:val="21"/>
          <w:highlight w:val="none"/>
          <w:u w:val="single"/>
          <w:lang w:val="en-US" w:eastAsia="zh-CN"/>
        </w:rPr>
        <w:t xml:space="preserve">                                        </w:t>
      </w:r>
    </w:p>
    <w:p>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宋体"/>
          <w:color w:val="auto"/>
          <w:sz w:val="21"/>
          <w:szCs w:val="21"/>
          <w:highlight w:val="none"/>
          <w:u w:val="single"/>
          <w:lang w:val="en-US"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标包名称</w:t>
      </w:r>
      <w:r>
        <w:rPr>
          <w:rFonts w:hint="eastAsia" w:ascii="宋体" w:hAnsi="宋体"/>
          <w:color w:val="auto"/>
          <w:sz w:val="21"/>
          <w:szCs w:val="21"/>
          <w:highlight w:val="none"/>
        </w:rPr>
        <w:t>：</w:t>
      </w:r>
      <w:r>
        <w:rPr>
          <w:rFonts w:hint="eastAsia" w:ascii="宋体" w:hAnsi="宋体"/>
          <w:color w:val="auto"/>
          <w:sz w:val="21"/>
          <w:szCs w:val="21"/>
          <w:highlight w:val="none"/>
          <w:u w:val="single"/>
          <w:lang w:val="en-US" w:eastAsia="zh-CN"/>
        </w:rPr>
        <w:t xml:space="preserve">                              </w:t>
      </w:r>
    </w:p>
    <w:tbl>
      <w:tblPr>
        <w:tblStyle w:val="24"/>
        <w:tblW w:w="8845" w:type="dxa"/>
        <w:jc w:val="center"/>
        <w:tblLayout w:type="fixed"/>
        <w:tblCellMar>
          <w:top w:w="0" w:type="dxa"/>
          <w:left w:w="0" w:type="dxa"/>
          <w:bottom w:w="0" w:type="dxa"/>
          <w:right w:w="0" w:type="dxa"/>
        </w:tblCellMar>
      </w:tblPr>
      <w:tblGrid>
        <w:gridCol w:w="645"/>
        <w:gridCol w:w="2663"/>
        <w:gridCol w:w="1805"/>
        <w:gridCol w:w="1621"/>
        <w:gridCol w:w="1124"/>
        <w:gridCol w:w="987"/>
      </w:tblGrid>
      <w:tr>
        <w:tblPrEx>
          <w:tblCellMar>
            <w:top w:w="0" w:type="dxa"/>
            <w:left w:w="0" w:type="dxa"/>
            <w:bottom w:w="0" w:type="dxa"/>
            <w:right w:w="0" w:type="dxa"/>
          </w:tblCellMar>
        </w:tblPrEx>
        <w:trPr>
          <w:trHeight w:val="1035" w:hRule="atLeast"/>
          <w:jc w:val="center"/>
        </w:trPr>
        <w:tc>
          <w:tcPr>
            <w:tcW w:w="645"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序号</w:t>
            </w:r>
          </w:p>
        </w:tc>
        <w:tc>
          <w:tcPr>
            <w:tcW w:w="2663"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cs="宋体"/>
                <w:color w:val="auto"/>
                <w:sz w:val="21"/>
                <w:szCs w:val="21"/>
                <w:highlight w:val="none"/>
                <w:lang w:val="en-US" w:eastAsia="zh-CN"/>
              </w:rPr>
              <w:t>报</w:t>
            </w:r>
            <w:r>
              <w:rPr>
                <w:rFonts w:hint="eastAsia" w:ascii="宋体" w:hAnsi="宋体" w:eastAsia="宋体" w:cs="宋体"/>
                <w:color w:val="auto"/>
                <w:sz w:val="21"/>
                <w:szCs w:val="21"/>
                <w:highlight w:val="none"/>
              </w:rPr>
              <w:t>价（单位：元）</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项目完工期</w:t>
            </w:r>
          </w:p>
          <w:p>
            <w:pPr>
              <w:tabs>
                <w:tab w:val="left" w:pos="5580"/>
              </w:tabs>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单位：</w:t>
            </w:r>
            <w:r>
              <w:rPr>
                <w:rFonts w:hint="eastAsia" w:ascii="宋体" w:hAnsi="宋体" w:cs="宋体"/>
                <w:color w:val="auto"/>
                <w:szCs w:val="21"/>
                <w:highlight w:val="none"/>
              </w:rPr>
              <w:t>日历天</w:t>
            </w:r>
            <w:r>
              <w:rPr>
                <w:rFonts w:hint="eastAsia" w:ascii="宋体" w:hAnsi="宋体" w:cs="宋体"/>
                <w:color w:val="auto"/>
                <w:szCs w:val="21"/>
                <w:highlight w:val="none"/>
                <w:lang w:eastAsia="zh-CN"/>
              </w:rPr>
              <w:t>）</w:t>
            </w:r>
          </w:p>
        </w:tc>
        <w:tc>
          <w:tcPr>
            <w:tcW w:w="1621" w:type="dxa"/>
            <w:tcBorders>
              <w:top w:val="single" w:color="auto" w:sz="8" w:space="0"/>
              <w:left w:val="nil"/>
              <w:bottom w:val="single" w:color="auto" w:sz="8" w:space="0"/>
              <w:right w:val="single" w:color="auto" w:sz="8" w:space="0"/>
            </w:tcBorders>
            <w:noWrap w:val="0"/>
            <w:vAlign w:val="center"/>
          </w:tcPr>
          <w:p>
            <w:pPr>
              <w:tabs>
                <w:tab w:val="left" w:pos="5580"/>
              </w:tabs>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质量标准</w:t>
            </w:r>
          </w:p>
        </w:tc>
        <w:tc>
          <w:tcPr>
            <w:tcW w:w="1124" w:type="dxa"/>
            <w:tcBorders>
              <w:top w:val="single" w:color="auto" w:sz="8" w:space="0"/>
              <w:left w:val="nil"/>
              <w:bottom w:val="single" w:color="auto" w:sz="8" w:space="0"/>
              <w:right w:val="single" w:color="auto" w:sz="8" w:space="0"/>
            </w:tcBorders>
            <w:noWrap w:val="0"/>
            <w:vAlign w:val="center"/>
          </w:tcPr>
          <w:p>
            <w:pPr>
              <w:tabs>
                <w:tab w:val="left" w:pos="5580"/>
              </w:tabs>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质保期</w:t>
            </w:r>
          </w:p>
          <w:p>
            <w:pPr>
              <w:tabs>
                <w:tab w:val="left" w:pos="5580"/>
              </w:tabs>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（年）</w:t>
            </w:r>
          </w:p>
        </w:tc>
        <w:tc>
          <w:tcPr>
            <w:tcW w:w="987" w:type="dxa"/>
            <w:tcBorders>
              <w:top w:val="single" w:color="auto" w:sz="8" w:space="0"/>
              <w:left w:val="nil"/>
              <w:bottom w:val="single" w:color="auto" w:sz="8" w:space="0"/>
              <w:right w:val="single" w:color="auto" w:sz="8" w:space="0"/>
            </w:tcBorders>
            <w:noWrap w:val="0"/>
            <w:vAlign w:val="center"/>
          </w:tcPr>
          <w:p>
            <w:pPr>
              <w:tabs>
                <w:tab w:val="left" w:pos="558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CellMar>
            <w:top w:w="0" w:type="dxa"/>
            <w:left w:w="0" w:type="dxa"/>
            <w:bottom w:w="0" w:type="dxa"/>
            <w:right w:w="0" w:type="dxa"/>
          </w:tblCellMar>
        </w:tblPrEx>
        <w:trPr>
          <w:cantSplit/>
          <w:trHeight w:val="1640" w:hRule="atLeast"/>
          <w:jc w:val="center"/>
        </w:trPr>
        <w:tc>
          <w:tcPr>
            <w:tcW w:w="645"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663"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tabs>
                <w:tab w:val="left" w:pos="5580"/>
              </w:tabs>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c>
          <w:tcPr>
            <w:tcW w:w="1621"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c>
          <w:tcPr>
            <w:tcW w:w="1124"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c>
          <w:tcPr>
            <w:tcW w:w="987"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注：投标报价为完成本项目所发生的</w:t>
      </w:r>
      <w:r>
        <w:rPr>
          <w:rFonts w:hint="eastAsia" w:ascii="宋体" w:hAnsi="宋体" w:cs="宋体"/>
          <w:color w:val="auto"/>
          <w:szCs w:val="21"/>
          <w:highlight w:val="none"/>
          <w:lang w:eastAsia="zh-CN"/>
        </w:rPr>
        <w:t>全部费用，</w:t>
      </w:r>
      <w:r>
        <w:rPr>
          <w:rFonts w:hint="eastAsia" w:ascii="宋体" w:hAnsi="宋体" w:cs="宋体"/>
          <w:color w:val="auto"/>
          <w:szCs w:val="21"/>
          <w:highlight w:val="none"/>
        </w:rPr>
        <w:t>包括但不限于</w:t>
      </w:r>
      <w:r>
        <w:rPr>
          <w:rFonts w:hint="eastAsia" w:ascii="宋体" w:hAnsi="宋体" w:cs="宋体"/>
          <w:color w:val="auto"/>
          <w:szCs w:val="21"/>
          <w:highlight w:val="none"/>
          <w:lang w:eastAsia="zh-CN"/>
        </w:rPr>
        <w:t>项目开发、技术资料提供、技术服务配合、税金及质保期内产生的一切费用及人员培训</w:t>
      </w:r>
      <w:r>
        <w:rPr>
          <w:rFonts w:hint="eastAsia" w:ascii="宋体" w:hAnsi="宋体" w:cs="宋体"/>
          <w:color w:val="auto"/>
          <w:szCs w:val="21"/>
          <w:highlight w:val="none"/>
        </w:rPr>
        <w:t>等所有费用，如有遗漏，视为已包含在内。</w:t>
      </w:r>
    </w:p>
    <w:p>
      <w:pPr>
        <w:pStyle w:val="30"/>
        <w:rPr>
          <w:rFonts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pStyle w:val="7"/>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color w:val="auto"/>
          <w:highlight w:val="none"/>
        </w:rPr>
        <w:sectPr>
          <w:footerReference r:id="rId7" w:type="default"/>
          <w:pgSz w:w="11906" w:h="16838"/>
          <w:pgMar w:top="1327" w:right="1576" w:bottom="1247" w:left="1576" w:header="851" w:footer="992" w:gutter="0"/>
          <w:pgNumType w:fmt="decimal" w:start="1"/>
          <w:cols w:space="425" w:num="1"/>
          <w:docGrid w:type="lines" w:linePitch="312" w:charSpace="0"/>
        </w:sectPr>
      </w:pPr>
    </w:p>
    <w:p>
      <w:pPr>
        <w:pStyle w:val="3"/>
        <w:bidi w:val="0"/>
        <w:rPr>
          <w:rFonts w:hint="eastAsia" w:ascii="宋体" w:hAnsi="宋体" w:eastAsia="宋体" w:cs="Times New Roman"/>
          <w:color w:val="auto"/>
          <w:sz w:val="28"/>
          <w:szCs w:val="22"/>
          <w:highlight w:val="none"/>
        </w:rPr>
      </w:pPr>
      <w:r>
        <w:rPr>
          <w:rFonts w:hint="eastAsia" w:ascii="宋体" w:hAnsi="宋体" w:eastAsia="宋体" w:cs="Times New Roman"/>
          <w:color w:val="auto"/>
          <w:sz w:val="28"/>
          <w:szCs w:val="22"/>
          <w:highlight w:val="none"/>
          <w:lang w:val="en-US" w:eastAsia="zh-CN"/>
        </w:rPr>
        <w:t>2.1</w:t>
      </w:r>
      <w:r>
        <w:rPr>
          <w:rFonts w:hint="eastAsia" w:ascii="宋体" w:hAnsi="宋体" w:eastAsia="宋体" w:cs="Times New Roman"/>
          <w:color w:val="auto"/>
          <w:sz w:val="28"/>
          <w:szCs w:val="22"/>
          <w:highlight w:val="none"/>
        </w:rPr>
        <w:t>投标分项报价表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项目编号：</w:t>
      </w:r>
      <w:r>
        <w:rPr>
          <w:rFonts w:hint="eastAsia" w:ascii="宋体" w:hAnsi="宋体"/>
          <w:color w:val="auto"/>
          <w:sz w:val="21"/>
          <w:szCs w:val="21"/>
          <w:highlight w:val="none"/>
          <w:u w:val="single"/>
          <w:lang w:val="en-US" w:eastAsia="zh-CN"/>
        </w:rPr>
        <w:t xml:space="preserve">                                        </w:t>
      </w:r>
    </w:p>
    <w:p>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宋体"/>
          <w:color w:val="auto"/>
          <w:sz w:val="21"/>
          <w:szCs w:val="21"/>
          <w:highlight w:val="none"/>
          <w:u w:val="single"/>
          <w:lang w:val="en-US"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标包名称</w:t>
      </w:r>
      <w:r>
        <w:rPr>
          <w:rFonts w:hint="eastAsia" w:ascii="宋体" w:hAnsi="宋体"/>
          <w:color w:val="auto"/>
          <w:sz w:val="21"/>
          <w:szCs w:val="21"/>
          <w:highlight w:val="none"/>
        </w:rPr>
        <w:t>：</w:t>
      </w:r>
      <w:r>
        <w:rPr>
          <w:rFonts w:hint="eastAsia" w:ascii="宋体" w:hAnsi="宋体"/>
          <w:color w:val="auto"/>
          <w:sz w:val="21"/>
          <w:szCs w:val="21"/>
          <w:highlight w:val="none"/>
          <w:u w:val="single"/>
          <w:lang w:val="en-US" w:eastAsia="zh-CN"/>
        </w:rPr>
        <w:t xml:space="preserve">                              </w:t>
      </w:r>
    </w:p>
    <w:tbl>
      <w:tblPr>
        <w:tblStyle w:val="24"/>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598"/>
        <w:gridCol w:w="1122"/>
        <w:gridCol w:w="1124"/>
        <w:gridCol w:w="1310"/>
        <w:gridCol w:w="1316"/>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21" w:type="dxa"/>
            <w:noWrap w:val="0"/>
            <w:vAlign w:val="center"/>
          </w:tcPr>
          <w:p>
            <w:pPr>
              <w:pStyle w:val="56"/>
              <w:spacing w:line="240" w:lineRule="auto"/>
              <w:ind w:firstLine="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2598"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名称</w:t>
            </w:r>
          </w:p>
        </w:tc>
        <w:tc>
          <w:tcPr>
            <w:tcW w:w="1122"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1124"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10"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单价</w:t>
            </w:r>
            <w:r>
              <w:rPr>
                <w:rFonts w:hint="eastAsia" w:ascii="宋体" w:hAnsi="宋体" w:cs="宋体"/>
                <w:color w:val="auto"/>
                <w:szCs w:val="21"/>
                <w:highlight w:val="none"/>
                <w:lang w:val="en-US" w:eastAsia="zh-CN"/>
              </w:rPr>
              <w:t>（元）</w:t>
            </w:r>
          </w:p>
        </w:tc>
        <w:tc>
          <w:tcPr>
            <w:tcW w:w="1316" w:type="dxa"/>
            <w:noWrap w:val="0"/>
            <w:vAlign w:val="center"/>
          </w:tcPr>
          <w:p>
            <w:pPr>
              <w:adjustRightInd w:val="0"/>
              <w:snapToGrid w:val="0"/>
              <w:jc w:val="center"/>
              <w:rPr>
                <w:rFonts w:ascii="宋体" w:hAnsi="宋体"/>
                <w:color w:val="auto"/>
                <w:sz w:val="21"/>
                <w:szCs w:val="21"/>
                <w:highlight w:val="none"/>
              </w:rPr>
            </w:pPr>
            <w:r>
              <w:rPr>
                <w:rFonts w:hint="eastAsia" w:ascii="宋体" w:hAnsi="宋体" w:cs="宋体"/>
                <w:color w:val="auto"/>
                <w:szCs w:val="21"/>
                <w:highlight w:val="none"/>
                <w:lang w:val="en-US" w:eastAsia="zh-CN"/>
              </w:rPr>
              <w:t>合计（元）</w:t>
            </w:r>
          </w:p>
        </w:tc>
        <w:tc>
          <w:tcPr>
            <w:tcW w:w="710"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9"/>
              <w:rPr>
                <w:rFonts w:ascii="宋体" w:hAnsi="宋体"/>
                <w:color w:val="auto"/>
                <w:sz w:val="21"/>
                <w:szCs w:val="21"/>
                <w:highlight w:val="none"/>
              </w:rPr>
            </w:pPr>
          </w:p>
        </w:tc>
        <w:tc>
          <w:tcPr>
            <w:tcW w:w="1124" w:type="dxa"/>
            <w:noWrap w:val="0"/>
            <w:vAlign w:val="center"/>
          </w:tcPr>
          <w:p>
            <w:pPr>
              <w:keepNext/>
              <w:keepLines/>
              <w:snapToGrid w:val="0"/>
              <w:jc w:val="center"/>
              <w:outlineLvl w:val="9"/>
              <w:rPr>
                <w:rFonts w:ascii="宋体" w:hAnsi="宋体"/>
                <w:color w:val="auto"/>
                <w:sz w:val="21"/>
                <w:szCs w:val="21"/>
                <w:highlight w:val="none"/>
              </w:rPr>
            </w:pPr>
          </w:p>
        </w:tc>
        <w:tc>
          <w:tcPr>
            <w:tcW w:w="1310" w:type="dxa"/>
            <w:noWrap w:val="0"/>
            <w:vAlign w:val="center"/>
          </w:tcPr>
          <w:p>
            <w:pPr>
              <w:keepNext/>
              <w:keepLines/>
              <w:snapToGrid w:val="0"/>
              <w:jc w:val="center"/>
              <w:outlineLvl w:val="9"/>
              <w:rPr>
                <w:rFonts w:ascii="宋体" w:hAnsi="宋体"/>
                <w:color w:val="auto"/>
                <w:sz w:val="21"/>
                <w:szCs w:val="21"/>
                <w:highlight w:val="none"/>
              </w:rPr>
            </w:pPr>
          </w:p>
        </w:tc>
        <w:tc>
          <w:tcPr>
            <w:tcW w:w="1316" w:type="dxa"/>
            <w:noWrap w:val="0"/>
            <w:vAlign w:val="center"/>
          </w:tcPr>
          <w:p>
            <w:pPr>
              <w:keepNext/>
              <w:keepLines/>
              <w:snapToGrid w:val="0"/>
              <w:jc w:val="center"/>
              <w:outlineLvl w:val="9"/>
              <w:rPr>
                <w:rFonts w:ascii="宋体" w:hAnsi="宋体"/>
                <w:color w:val="auto"/>
                <w:sz w:val="21"/>
                <w:szCs w:val="21"/>
                <w:highlight w:val="none"/>
              </w:rPr>
            </w:pPr>
          </w:p>
        </w:tc>
        <w:tc>
          <w:tcPr>
            <w:tcW w:w="710" w:type="dxa"/>
            <w:noWrap w:val="0"/>
            <w:vAlign w:val="center"/>
          </w:tcPr>
          <w:p>
            <w:pPr>
              <w:keepNext/>
              <w:keepLines/>
              <w:snapToGrid w:val="0"/>
              <w:jc w:val="center"/>
              <w:outlineLvl w:val="9"/>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9"/>
              <w:rPr>
                <w:rFonts w:ascii="宋体" w:hAnsi="宋体"/>
                <w:color w:val="auto"/>
                <w:sz w:val="21"/>
                <w:szCs w:val="21"/>
                <w:highlight w:val="none"/>
              </w:rPr>
            </w:pPr>
          </w:p>
        </w:tc>
        <w:tc>
          <w:tcPr>
            <w:tcW w:w="1124" w:type="dxa"/>
            <w:noWrap w:val="0"/>
            <w:vAlign w:val="center"/>
          </w:tcPr>
          <w:p>
            <w:pPr>
              <w:keepNext/>
              <w:keepLines/>
              <w:snapToGrid w:val="0"/>
              <w:jc w:val="center"/>
              <w:outlineLvl w:val="9"/>
              <w:rPr>
                <w:rFonts w:ascii="宋体" w:hAnsi="宋体"/>
                <w:color w:val="auto"/>
                <w:sz w:val="21"/>
                <w:szCs w:val="21"/>
                <w:highlight w:val="none"/>
              </w:rPr>
            </w:pPr>
          </w:p>
        </w:tc>
        <w:tc>
          <w:tcPr>
            <w:tcW w:w="1310" w:type="dxa"/>
            <w:noWrap w:val="0"/>
            <w:vAlign w:val="center"/>
          </w:tcPr>
          <w:p>
            <w:pPr>
              <w:keepNext/>
              <w:keepLines/>
              <w:snapToGrid w:val="0"/>
              <w:jc w:val="center"/>
              <w:outlineLvl w:val="9"/>
              <w:rPr>
                <w:rFonts w:ascii="宋体" w:hAnsi="宋体"/>
                <w:color w:val="auto"/>
                <w:sz w:val="21"/>
                <w:szCs w:val="21"/>
                <w:highlight w:val="none"/>
              </w:rPr>
            </w:pPr>
          </w:p>
        </w:tc>
        <w:tc>
          <w:tcPr>
            <w:tcW w:w="1316" w:type="dxa"/>
            <w:noWrap w:val="0"/>
            <w:vAlign w:val="center"/>
          </w:tcPr>
          <w:p>
            <w:pPr>
              <w:keepNext/>
              <w:keepLines/>
              <w:snapToGrid w:val="0"/>
              <w:jc w:val="center"/>
              <w:outlineLvl w:val="9"/>
              <w:rPr>
                <w:rFonts w:ascii="宋体" w:hAnsi="宋体"/>
                <w:color w:val="auto"/>
                <w:sz w:val="21"/>
                <w:szCs w:val="21"/>
                <w:highlight w:val="none"/>
              </w:rPr>
            </w:pPr>
          </w:p>
        </w:tc>
        <w:tc>
          <w:tcPr>
            <w:tcW w:w="710" w:type="dxa"/>
            <w:noWrap w:val="0"/>
            <w:vAlign w:val="center"/>
          </w:tcPr>
          <w:p>
            <w:pPr>
              <w:keepNext/>
              <w:keepLines/>
              <w:snapToGrid w:val="0"/>
              <w:jc w:val="center"/>
              <w:outlineLvl w:val="9"/>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9"/>
              <w:rPr>
                <w:rFonts w:ascii="宋体" w:hAnsi="宋体"/>
                <w:color w:val="auto"/>
                <w:sz w:val="21"/>
                <w:szCs w:val="21"/>
                <w:highlight w:val="none"/>
              </w:rPr>
            </w:pPr>
          </w:p>
        </w:tc>
        <w:tc>
          <w:tcPr>
            <w:tcW w:w="1124" w:type="dxa"/>
            <w:noWrap w:val="0"/>
            <w:vAlign w:val="center"/>
          </w:tcPr>
          <w:p>
            <w:pPr>
              <w:keepNext/>
              <w:keepLines/>
              <w:snapToGrid w:val="0"/>
              <w:jc w:val="center"/>
              <w:outlineLvl w:val="9"/>
              <w:rPr>
                <w:rFonts w:ascii="宋体" w:hAnsi="宋体"/>
                <w:color w:val="auto"/>
                <w:sz w:val="21"/>
                <w:szCs w:val="21"/>
                <w:highlight w:val="none"/>
              </w:rPr>
            </w:pPr>
          </w:p>
        </w:tc>
        <w:tc>
          <w:tcPr>
            <w:tcW w:w="1310" w:type="dxa"/>
            <w:noWrap w:val="0"/>
            <w:vAlign w:val="center"/>
          </w:tcPr>
          <w:p>
            <w:pPr>
              <w:keepNext/>
              <w:keepLines/>
              <w:snapToGrid w:val="0"/>
              <w:jc w:val="center"/>
              <w:outlineLvl w:val="9"/>
              <w:rPr>
                <w:rFonts w:ascii="宋体" w:hAnsi="宋体"/>
                <w:color w:val="auto"/>
                <w:sz w:val="21"/>
                <w:szCs w:val="21"/>
                <w:highlight w:val="none"/>
              </w:rPr>
            </w:pPr>
          </w:p>
        </w:tc>
        <w:tc>
          <w:tcPr>
            <w:tcW w:w="1316" w:type="dxa"/>
            <w:noWrap w:val="0"/>
            <w:vAlign w:val="center"/>
          </w:tcPr>
          <w:p>
            <w:pPr>
              <w:keepNext/>
              <w:keepLines/>
              <w:snapToGrid w:val="0"/>
              <w:jc w:val="center"/>
              <w:outlineLvl w:val="9"/>
              <w:rPr>
                <w:rFonts w:ascii="宋体" w:hAnsi="宋体"/>
                <w:color w:val="auto"/>
                <w:sz w:val="21"/>
                <w:szCs w:val="21"/>
                <w:highlight w:val="none"/>
              </w:rPr>
            </w:pPr>
          </w:p>
        </w:tc>
        <w:tc>
          <w:tcPr>
            <w:tcW w:w="710" w:type="dxa"/>
            <w:noWrap w:val="0"/>
            <w:vAlign w:val="center"/>
          </w:tcPr>
          <w:p>
            <w:pPr>
              <w:keepNext/>
              <w:keepLines/>
              <w:snapToGrid w:val="0"/>
              <w:jc w:val="center"/>
              <w:outlineLvl w:val="9"/>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9"/>
              <w:rPr>
                <w:rFonts w:ascii="宋体" w:hAnsi="宋体"/>
                <w:color w:val="auto"/>
                <w:sz w:val="21"/>
                <w:szCs w:val="21"/>
                <w:highlight w:val="none"/>
              </w:rPr>
            </w:pPr>
          </w:p>
        </w:tc>
        <w:tc>
          <w:tcPr>
            <w:tcW w:w="1124" w:type="dxa"/>
            <w:noWrap w:val="0"/>
            <w:vAlign w:val="center"/>
          </w:tcPr>
          <w:p>
            <w:pPr>
              <w:keepNext/>
              <w:keepLines/>
              <w:snapToGrid w:val="0"/>
              <w:jc w:val="center"/>
              <w:outlineLvl w:val="9"/>
              <w:rPr>
                <w:rFonts w:ascii="宋体" w:hAnsi="宋体"/>
                <w:color w:val="auto"/>
                <w:sz w:val="21"/>
                <w:szCs w:val="21"/>
                <w:highlight w:val="none"/>
              </w:rPr>
            </w:pPr>
          </w:p>
        </w:tc>
        <w:tc>
          <w:tcPr>
            <w:tcW w:w="1310" w:type="dxa"/>
            <w:noWrap w:val="0"/>
            <w:vAlign w:val="center"/>
          </w:tcPr>
          <w:p>
            <w:pPr>
              <w:keepNext/>
              <w:keepLines/>
              <w:snapToGrid w:val="0"/>
              <w:jc w:val="center"/>
              <w:outlineLvl w:val="9"/>
              <w:rPr>
                <w:rFonts w:ascii="宋体" w:hAnsi="宋体"/>
                <w:color w:val="auto"/>
                <w:sz w:val="21"/>
                <w:szCs w:val="21"/>
                <w:highlight w:val="none"/>
              </w:rPr>
            </w:pPr>
          </w:p>
        </w:tc>
        <w:tc>
          <w:tcPr>
            <w:tcW w:w="1316" w:type="dxa"/>
            <w:noWrap w:val="0"/>
            <w:vAlign w:val="center"/>
          </w:tcPr>
          <w:p>
            <w:pPr>
              <w:keepNext/>
              <w:keepLines/>
              <w:snapToGrid w:val="0"/>
              <w:jc w:val="center"/>
              <w:outlineLvl w:val="9"/>
              <w:rPr>
                <w:rFonts w:ascii="宋体" w:hAnsi="宋体"/>
                <w:color w:val="auto"/>
                <w:sz w:val="21"/>
                <w:szCs w:val="21"/>
                <w:highlight w:val="none"/>
              </w:rPr>
            </w:pPr>
          </w:p>
        </w:tc>
        <w:tc>
          <w:tcPr>
            <w:tcW w:w="710" w:type="dxa"/>
            <w:noWrap w:val="0"/>
            <w:vAlign w:val="center"/>
          </w:tcPr>
          <w:p>
            <w:pPr>
              <w:keepNext/>
              <w:keepLines/>
              <w:snapToGrid w:val="0"/>
              <w:jc w:val="center"/>
              <w:outlineLvl w:val="9"/>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9"/>
              <w:rPr>
                <w:rFonts w:ascii="宋体" w:hAnsi="宋体"/>
                <w:color w:val="auto"/>
                <w:sz w:val="21"/>
                <w:szCs w:val="21"/>
                <w:highlight w:val="none"/>
              </w:rPr>
            </w:pPr>
          </w:p>
        </w:tc>
        <w:tc>
          <w:tcPr>
            <w:tcW w:w="1124" w:type="dxa"/>
            <w:noWrap w:val="0"/>
            <w:vAlign w:val="center"/>
          </w:tcPr>
          <w:p>
            <w:pPr>
              <w:keepNext/>
              <w:keepLines/>
              <w:snapToGrid w:val="0"/>
              <w:jc w:val="center"/>
              <w:outlineLvl w:val="9"/>
              <w:rPr>
                <w:rFonts w:ascii="宋体" w:hAnsi="宋体"/>
                <w:color w:val="auto"/>
                <w:sz w:val="21"/>
                <w:szCs w:val="21"/>
                <w:highlight w:val="none"/>
              </w:rPr>
            </w:pPr>
          </w:p>
        </w:tc>
        <w:tc>
          <w:tcPr>
            <w:tcW w:w="1310" w:type="dxa"/>
            <w:noWrap w:val="0"/>
            <w:vAlign w:val="center"/>
          </w:tcPr>
          <w:p>
            <w:pPr>
              <w:keepNext/>
              <w:keepLines/>
              <w:snapToGrid w:val="0"/>
              <w:jc w:val="center"/>
              <w:outlineLvl w:val="9"/>
              <w:rPr>
                <w:rFonts w:ascii="宋体" w:hAnsi="宋体"/>
                <w:color w:val="auto"/>
                <w:sz w:val="21"/>
                <w:szCs w:val="21"/>
                <w:highlight w:val="none"/>
              </w:rPr>
            </w:pPr>
          </w:p>
        </w:tc>
        <w:tc>
          <w:tcPr>
            <w:tcW w:w="1316" w:type="dxa"/>
            <w:noWrap w:val="0"/>
            <w:vAlign w:val="center"/>
          </w:tcPr>
          <w:p>
            <w:pPr>
              <w:keepNext/>
              <w:keepLines/>
              <w:snapToGrid w:val="0"/>
              <w:jc w:val="center"/>
              <w:outlineLvl w:val="9"/>
              <w:rPr>
                <w:rFonts w:ascii="宋体" w:hAnsi="宋体"/>
                <w:color w:val="auto"/>
                <w:sz w:val="21"/>
                <w:szCs w:val="21"/>
                <w:highlight w:val="none"/>
              </w:rPr>
            </w:pPr>
          </w:p>
        </w:tc>
        <w:tc>
          <w:tcPr>
            <w:tcW w:w="710" w:type="dxa"/>
            <w:noWrap w:val="0"/>
            <w:vAlign w:val="center"/>
          </w:tcPr>
          <w:p>
            <w:pPr>
              <w:keepNext/>
              <w:keepLines/>
              <w:snapToGrid w:val="0"/>
              <w:jc w:val="center"/>
              <w:outlineLvl w:val="9"/>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9"/>
              <w:rPr>
                <w:rFonts w:ascii="宋体" w:hAnsi="宋体"/>
                <w:color w:val="auto"/>
                <w:sz w:val="21"/>
                <w:szCs w:val="21"/>
                <w:highlight w:val="none"/>
              </w:rPr>
            </w:pPr>
          </w:p>
        </w:tc>
        <w:tc>
          <w:tcPr>
            <w:tcW w:w="1124" w:type="dxa"/>
            <w:noWrap w:val="0"/>
            <w:vAlign w:val="center"/>
          </w:tcPr>
          <w:p>
            <w:pPr>
              <w:keepNext/>
              <w:keepLines/>
              <w:snapToGrid w:val="0"/>
              <w:jc w:val="center"/>
              <w:outlineLvl w:val="9"/>
              <w:rPr>
                <w:rFonts w:ascii="宋体" w:hAnsi="宋体"/>
                <w:color w:val="auto"/>
                <w:sz w:val="21"/>
                <w:szCs w:val="21"/>
                <w:highlight w:val="none"/>
              </w:rPr>
            </w:pPr>
          </w:p>
        </w:tc>
        <w:tc>
          <w:tcPr>
            <w:tcW w:w="1310" w:type="dxa"/>
            <w:noWrap w:val="0"/>
            <w:vAlign w:val="center"/>
          </w:tcPr>
          <w:p>
            <w:pPr>
              <w:keepNext/>
              <w:keepLines/>
              <w:snapToGrid w:val="0"/>
              <w:jc w:val="center"/>
              <w:outlineLvl w:val="9"/>
              <w:rPr>
                <w:rFonts w:ascii="宋体" w:hAnsi="宋体"/>
                <w:color w:val="auto"/>
                <w:sz w:val="21"/>
                <w:szCs w:val="21"/>
                <w:highlight w:val="none"/>
              </w:rPr>
            </w:pPr>
          </w:p>
        </w:tc>
        <w:tc>
          <w:tcPr>
            <w:tcW w:w="1316" w:type="dxa"/>
            <w:noWrap w:val="0"/>
            <w:vAlign w:val="center"/>
          </w:tcPr>
          <w:p>
            <w:pPr>
              <w:keepNext/>
              <w:keepLines/>
              <w:snapToGrid w:val="0"/>
              <w:jc w:val="center"/>
              <w:outlineLvl w:val="9"/>
              <w:rPr>
                <w:rFonts w:ascii="宋体" w:hAnsi="宋体"/>
                <w:color w:val="auto"/>
                <w:sz w:val="21"/>
                <w:szCs w:val="21"/>
                <w:highlight w:val="none"/>
              </w:rPr>
            </w:pPr>
          </w:p>
        </w:tc>
        <w:tc>
          <w:tcPr>
            <w:tcW w:w="710" w:type="dxa"/>
            <w:noWrap w:val="0"/>
            <w:vAlign w:val="center"/>
          </w:tcPr>
          <w:p>
            <w:pPr>
              <w:keepNext/>
              <w:keepLines/>
              <w:snapToGrid w:val="0"/>
              <w:jc w:val="center"/>
              <w:outlineLvl w:val="9"/>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总价</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w:t>
            </w:r>
          </w:p>
        </w:tc>
        <w:tc>
          <w:tcPr>
            <w:tcW w:w="1122" w:type="dxa"/>
            <w:noWrap w:val="0"/>
            <w:vAlign w:val="center"/>
          </w:tcPr>
          <w:p>
            <w:pPr>
              <w:keepNext/>
              <w:keepLines/>
              <w:snapToGrid w:val="0"/>
              <w:jc w:val="center"/>
              <w:outlineLvl w:val="0"/>
              <w:rPr>
                <w:rFonts w:hint="eastAsia" w:ascii="宋体" w:hAnsi="宋体" w:eastAsia="宋体"/>
                <w:color w:val="auto"/>
                <w:sz w:val="21"/>
                <w:szCs w:val="21"/>
                <w:highlight w:val="none"/>
                <w:lang w:val="en-US" w:eastAsia="zh-CN"/>
              </w:rPr>
            </w:pPr>
            <w:bookmarkStart w:id="210" w:name="_Toc13707"/>
            <w:bookmarkStart w:id="211" w:name="_Toc12900"/>
            <w:r>
              <w:rPr>
                <w:rFonts w:hint="eastAsia" w:ascii="宋体" w:hAnsi="宋体"/>
                <w:color w:val="auto"/>
                <w:sz w:val="21"/>
                <w:szCs w:val="21"/>
                <w:highlight w:val="none"/>
                <w:lang w:val="en-US" w:eastAsia="zh-CN"/>
              </w:rPr>
              <w:t>-</w:t>
            </w:r>
            <w:bookmarkEnd w:id="210"/>
            <w:bookmarkEnd w:id="211"/>
          </w:p>
        </w:tc>
        <w:tc>
          <w:tcPr>
            <w:tcW w:w="1124" w:type="dxa"/>
            <w:noWrap w:val="0"/>
            <w:vAlign w:val="center"/>
          </w:tcPr>
          <w:p>
            <w:pPr>
              <w:keepNext/>
              <w:keepLines/>
              <w:snapToGrid w:val="0"/>
              <w:jc w:val="center"/>
              <w:outlineLvl w:val="0"/>
              <w:rPr>
                <w:rFonts w:hint="default" w:ascii="宋体" w:hAnsi="宋体" w:eastAsia="宋体"/>
                <w:color w:val="auto"/>
                <w:sz w:val="21"/>
                <w:szCs w:val="21"/>
                <w:highlight w:val="none"/>
                <w:lang w:val="en-US" w:eastAsia="zh-CN"/>
              </w:rPr>
            </w:pPr>
            <w:bookmarkStart w:id="212" w:name="_Toc31547"/>
            <w:bookmarkStart w:id="213" w:name="_Toc18231"/>
            <w:r>
              <w:rPr>
                <w:rFonts w:hint="eastAsia" w:ascii="宋体" w:hAnsi="宋体"/>
                <w:color w:val="auto"/>
                <w:sz w:val="21"/>
                <w:szCs w:val="21"/>
                <w:highlight w:val="none"/>
                <w:lang w:val="en-US" w:eastAsia="zh-CN"/>
              </w:rPr>
              <w:t>-</w:t>
            </w:r>
            <w:bookmarkEnd w:id="212"/>
            <w:bookmarkEnd w:id="213"/>
          </w:p>
        </w:tc>
        <w:tc>
          <w:tcPr>
            <w:tcW w:w="1310" w:type="dxa"/>
            <w:noWrap w:val="0"/>
            <w:vAlign w:val="center"/>
          </w:tcPr>
          <w:p>
            <w:pPr>
              <w:keepNext/>
              <w:keepLines/>
              <w:snapToGrid w:val="0"/>
              <w:jc w:val="center"/>
              <w:outlineLvl w:val="0"/>
              <w:rPr>
                <w:rFonts w:hint="default" w:ascii="宋体" w:hAnsi="宋体" w:eastAsia="宋体"/>
                <w:color w:val="auto"/>
                <w:sz w:val="21"/>
                <w:szCs w:val="21"/>
                <w:highlight w:val="none"/>
                <w:lang w:val="en-US" w:eastAsia="zh-CN"/>
              </w:rPr>
            </w:pPr>
            <w:bookmarkStart w:id="214" w:name="_Toc23019"/>
            <w:bookmarkStart w:id="215" w:name="_Toc12885"/>
            <w:r>
              <w:rPr>
                <w:rFonts w:hint="eastAsia" w:ascii="宋体" w:hAnsi="宋体"/>
                <w:color w:val="auto"/>
                <w:sz w:val="21"/>
                <w:szCs w:val="21"/>
                <w:highlight w:val="none"/>
                <w:lang w:val="en-US" w:eastAsia="zh-CN"/>
              </w:rPr>
              <w:t>-</w:t>
            </w:r>
            <w:bookmarkEnd w:id="214"/>
            <w:bookmarkEnd w:id="215"/>
          </w:p>
        </w:tc>
        <w:tc>
          <w:tcPr>
            <w:tcW w:w="1316" w:type="dxa"/>
            <w:noWrap w:val="0"/>
            <w:vAlign w:val="center"/>
          </w:tcPr>
          <w:p>
            <w:pPr>
              <w:keepNext/>
              <w:keepLines/>
              <w:snapToGrid w:val="0"/>
              <w:jc w:val="center"/>
              <w:outlineLvl w:val="9"/>
              <w:rPr>
                <w:rFonts w:ascii="宋体" w:hAnsi="宋体"/>
                <w:color w:val="auto"/>
                <w:sz w:val="21"/>
                <w:szCs w:val="21"/>
                <w:highlight w:val="none"/>
              </w:rPr>
            </w:pPr>
          </w:p>
        </w:tc>
        <w:tc>
          <w:tcPr>
            <w:tcW w:w="710" w:type="dxa"/>
            <w:noWrap w:val="0"/>
            <w:vAlign w:val="center"/>
          </w:tcPr>
          <w:p>
            <w:pPr>
              <w:keepNext/>
              <w:keepLines/>
              <w:snapToGrid w:val="0"/>
              <w:jc w:val="center"/>
              <w:outlineLvl w:val="9"/>
              <w:rPr>
                <w:rFonts w:ascii="宋体" w:hAnsi="宋体"/>
                <w:color w:val="auto"/>
                <w:sz w:val="21"/>
                <w:szCs w:val="21"/>
                <w:highlight w:val="none"/>
              </w:rPr>
            </w:pPr>
          </w:p>
        </w:tc>
      </w:tr>
    </w:tbl>
    <w:p>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注：</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1.投标人必须按“分项报价明细表”的格式详细报出投标产品总价的各个组成部分的报价</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保留小数点后2位</w:t>
      </w:r>
      <w:r>
        <w:rPr>
          <w:rFonts w:hint="eastAsia" w:ascii="宋体" w:hAnsi="宋体"/>
          <w:color w:val="auto"/>
          <w:sz w:val="21"/>
          <w:szCs w:val="21"/>
          <w:highlight w:val="none"/>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分项报价表”各分项报价合计应当与“</w:t>
      </w:r>
      <w:r>
        <w:rPr>
          <w:rFonts w:hint="eastAsia" w:ascii="宋体" w:hAnsi="宋体"/>
          <w:color w:val="auto"/>
          <w:sz w:val="21"/>
          <w:szCs w:val="21"/>
          <w:highlight w:val="none"/>
          <w:lang w:val="en-US" w:eastAsia="zh-CN"/>
        </w:rPr>
        <w:t>开标</w:t>
      </w:r>
      <w:r>
        <w:rPr>
          <w:rFonts w:hint="eastAsia" w:ascii="宋体" w:hAnsi="宋体"/>
          <w:color w:val="auto"/>
          <w:sz w:val="21"/>
          <w:szCs w:val="21"/>
          <w:highlight w:val="none"/>
        </w:rPr>
        <w:t>一览表”</w:t>
      </w:r>
      <w:r>
        <w:rPr>
          <w:rFonts w:hint="eastAsia" w:ascii="宋体" w:hAnsi="宋体"/>
          <w:color w:val="auto"/>
          <w:sz w:val="21"/>
          <w:szCs w:val="21"/>
          <w:highlight w:val="none"/>
          <w:lang w:val="en-US" w:eastAsia="zh-CN"/>
        </w:rPr>
        <w:t>的总价相一致</w:t>
      </w:r>
      <w:r>
        <w:rPr>
          <w:rFonts w:hint="eastAsia" w:ascii="宋体" w:hAnsi="宋体"/>
          <w:color w:val="auto"/>
          <w:sz w:val="21"/>
          <w:szCs w:val="21"/>
          <w:highlight w:val="none"/>
        </w:rPr>
        <w:t>。</w:t>
      </w:r>
    </w:p>
    <w:p>
      <w:pPr>
        <w:pStyle w:val="9"/>
        <w:rPr>
          <w:rFonts w:hint="default" w:eastAsia="宋体"/>
          <w:color w:val="auto"/>
          <w:highlight w:val="none"/>
          <w:lang w:val="en-US" w:eastAsia="zh-CN"/>
        </w:rPr>
      </w:pPr>
      <w:r>
        <w:rPr>
          <w:rFonts w:hint="eastAsia" w:ascii="宋体" w:hAnsi="宋体"/>
          <w:color w:val="auto"/>
          <w:sz w:val="21"/>
          <w:szCs w:val="21"/>
          <w:highlight w:val="none"/>
          <w:lang w:val="en-US" w:eastAsia="zh-CN"/>
        </w:rPr>
        <w:t xml:space="preserve">    3.此表格不够可自行增减。</w:t>
      </w:r>
    </w:p>
    <w:p>
      <w:pPr>
        <w:widowControl/>
        <w:spacing w:line="256" w:lineRule="auto"/>
        <w:jc w:val="right"/>
        <w:rPr>
          <w:rFonts w:hint="eastAsia" w:ascii="宋体" w:hAnsi="宋体" w:cs="微软雅黑"/>
          <w:color w:val="auto"/>
          <w:sz w:val="21"/>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bookmarkEnd w:id="206"/>
    <w:bookmarkEnd w:id="207"/>
    <w:bookmarkEnd w:id="208"/>
    <w:p>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color w:val="auto"/>
          <w:kern w:val="0"/>
          <w:szCs w:val="21"/>
          <w:highlight w:val="none"/>
        </w:rPr>
      </w:pPr>
      <w:bookmarkStart w:id="216" w:name="_Toc21788"/>
      <w:bookmarkStart w:id="217" w:name="_Toc17344"/>
      <w:bookmarkStart w:id="218" w:name="_Toc23028"/>
      <w:bookmarkStart w:id="219" w:name="_Toc13293"/>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pStyle w:val="7"/>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br w:type="page"/>
      </w:r>
    </w:p>
    <w:p>
      <w:pPr>
        <w:pStyle w:val="3"/>
        <w:bidi w:val="0"/>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三、投标人资格</w:t>
      </w:r>
      <w:bookmarkEnd w:id="216"/>
      <w:bookmarkEnd w:id="217"/>
      <w:bookmarkEnd w:id="218"/>
      <w:bookmarkEnd w:id="219"/>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1、参加政府采购活动的投标人应当具备政府采购法第二十二条第一款规定“具有独立承担民事责任的能力”的条件，并提供下列材料（加盖公章），未按要求提供或者提供的资料不全或未盖公章，视为未实质性响应招标文件要求，按相应无效处理：</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1）法人或者其他组织的营业执照等复印件加盖投标人公章，</w:t>
      </w:r>
      <w:r>
        <w:rPr>
          <w:rFonts w:hint="eastAsia"/>
          <w:color w:val="auto"/>
          <w:sz w:val="21"/>
          <w:szCs w:val="21"/>
          <w:highlight w:val="none"/>
          <w:lang w:eastAsia="zh-CN"/>
        </w:rPr>
        <w:t>自然人提供本人身份证</w:t>
      </w:r>
      <w:r>
        <w:rPr>
          <w:rFonts w:hint="eastAsia"/>
          <w:color w:val="auto"/>
          <w:sz w:val="21"/>
          <w:szCs w:val="21"/>
          <w:highlight w:val="none"/>
        </w:rPr>
        <w:t>；</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提供法定代表人授权委托书</w:t>
      </w:r>
      <w:r>
        <w:rPr>
          <w:rFonts w:hint="eastAsia"/>
          <w:color w:val="auto"/>
          <w:sz w:val="21"/>
          <w:szCs w:val="21"/>
          <w:highlight w:val="none"/>
        </w:rPr>
        <w:t>并附</w:t>
      </w:r>
      <w:r>
        <w:rPr>
          <w:rFonts w:hint="eastAsia"/>
          <w:color w:val="auto"/>
          <w:sz w:val="21"/>
          <w:szCs w:val="21"/>
          <w:highlight w:val="none"/>
          <w:lang w:val="en-US" w:eastAsia="zh-CN"/>
        </w:rPr>
        <w:t>法定代表人</w:t>
      </w:r>
      <w:r>
        <w:rPr>
          <w:rFonts w:hint="eastAsia"/>
          <w:color w:val="auto"/>
          <w:sz w:val="21"/>
          <w:szCs w:val="21"/>
          <w:highlight w:val="none"/>
        </w:rPr>
        <w:t>及授权人代表身份证复印件并依照规定格式签署和盖章，法定代表人参加投标的提供身份证复印件；</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3）</w:t>
      </w:r>
      <w:r>
        <w:rPr>
          <w:rFonts w:hint="eastAsia"/>
          <w:color w:val="auto"/>
          <w:sz w:val="21"/>
          <w:szCs w:val="21"/>
          <w:highlight w:val="none"/>
          <w:lang w:eastAsia="zh-CN"/>
        </w:rPr>
        <w:t>提供2022年度经审计的财务报告，或投标截止时间前6个月内任意时段的资产负债表，或投标截止时间前6个月内任意时间由基本开户银行出具的资信证明，或财政部门认可的政府采购专业担保机构出具的投标担保函。（以上四种形式的资料提供任何一种即可）</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4）</w:t>
      </w:r>
      <w:r>
        <w:rPr>
          <w:rFonts w:hint="eastAsia"/>
          <w:color w:val="auto"/>
          <w:sz w:val="21"/>
          <w:szCs w:val="21"/>
          <w:highlight w:val="none"/>
          <w:lang w:eastAsia="zh-CN"/>
        </w:rPr>
        <w:t>提供自投标截止时间前6个月内已缴纳任意时段完税凭证或税务机关开具的完税证明（任意税种）；依法免税的应提供相关文件证明</w:t>
      </w:r>
      <w:r>
        <w:rPr>
          <w:rFonts w:hint="eastAsia"/>
          <w:color w:val="auto"/>
          <w:sz w:val="21"/>
          <w:szCs w:val="21"/>
          <w:highlight w:val="none"/>
        </w:rPr>
        <w:t>；</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lang w:eastAsia="zh-CN"/>
        </w:rPr>
      </w:pPr>
      <w:r>
        <w:rPr>
          <w:rFonts w:hint="eastAsia"/>
          <w:color w:val="auto"/>
          <w:sz w:val="21"/>
          <w:szCs w:val="21"/>
          <w:highlight w:val="none"/>
        </w:rPr>
        <w:t>5）</w:t>
      </w:r>
      <w:r>
        <w:rPr>
          <w:rFonts w:hint="eastAsia"/>
          <w:color w:val="auto"/>
          <w:sz w:val="21"/>
          <w:szCs w:val="21"/>
          <w:highlight w:val="none"/>
          <w:lang w:eastAsia="zh-CN"/>
        </w:rPr>
        <w:t>提供自投标截止时间前6个月内已缴存的任意时段的社会保障资金缴存单据或社保机构开具的社会保险参保缴费情况证明；依法不需要缴纳社会保障资金的应提供相关文件证明；</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6）具备履行合同所必需的设备和专业技术能力的书面声明，格式自拟；</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7）参加政府采购活动前3年内在经营活动中没有重大违法记录的书面声明，格式自拟。</w:t>
      </w:r>
    </w:p>
    <w:p>
      <w:pPr>
        <w:spacing w:line="480" w:lineRule="auto"/>
        <w:rPr>
          <w:rFonts w:hint="eastAsia" w:ascii="宋体" w:hAnsi="宋体"/>
          <w:b/>
          <w:color w:val="auto"/>
          <w:sz w:val="32"/>
          <w:szCs w:val="32"/>
          <w:highlight w:val="none"/>
        </w:rPr>
      </w:pPr>
    </w:p>
    <w:p>
      <w:pPr>
        <w:spacing w:line="480" w:lineRule="auto"/>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Cs/>
          <w:color w:val="auto"/>
          <w:szCs w:val="21"/>
          <w:highlight w:val="none"/>
        </w:rPr>
        <w:t>格式1：</w:t>
      </w:r>
    </w:p>
    <w:p>
      <w:pPr>
        <w:bidi w:val="0"/>
        <w:jc w:val="center"/>
        <w:rPr>
          <w:b/>
          <w:bCs/>
          <w:color w:val="auto"/>
          <w:sz w:val="36"/>
          <w:szCs w:val="44"/>
          <w:highlight w:val="none"/>
        </w:rPr>
      </w:pPr>
      <w:bookmarkStart w:id="220" w:name="_Toc8996"/>
      <w:bookmarkStart w:id="221" w:name="_Toc12153"/>
      <w:bookmarkStart w:id="222" w:name="_Toc21532"/>
      <w:bookmarkStart w:id="223" w:name="_Toc1013"/>
      <w:r>
        <w:rPr>
          <w:rFonts w:hint="eastAsia"/>
          <w:b/>
          <w:bCs/>
          <w:color w:val="auto"/>
          <w:sz w:val="36"/>
          <w:szCs w:val="44"/>
          <w:highlight w:val="none"/>
        </w:rPr>
        <w:t>法定代表人身份证明及法定代表人授权委托书</w:t>
      </w:r>
      <w:bookmarkEnd w:id="220"/>
      <w:bookmarkEnd w:id="221"/>
      <w:bookmarkEnd w:id="222"/>
      <w:bookmarkEnd w:id="223"/>
    </w:p>
    <w:p>
      <w:pPr>
        <w:bidi w:val="0"/>
        <w:jc w:val="center"/>
        <w:rPr>
          <w:rFonts w:hint="eastAsia"/>
          <w:b/>
          <w:bCs/>
          <w:color w:val="auto"/>
          <w:sz w:val="36"/>
          <w:szCs w:val="44"/>
          <w:highlight w:val="none"/>
          <w:lang w:val="en-US" w:eastAsia="zh-CN"/>
        </w:rPr>
      </w:pPr>
      <w:bookmarkStart w:id="224" w:name="_Toc511920562"/>
      <w:bookmarkStart w:id="225" w:name="_Toc316921998"/>
      <w:bookmarkStart w:id="226" w:name="_Toc32184"/>
      <w:bookmarkStart w:id="227" w:name="_Toc32642"/>
      <w:bookmarkStart w:id="228" w:name="_Toc31411"/>
      <w:bookmarkStart w:id="229" w:name="_Toc17138"/>
      <w:bookmarkStart w:id="230" w:name="_Toc24002"/>
      <w:r>
        <w:rPr>
          <w:rFonts w:hint="eastAsia"/>
          <w:b/>
          <w:bCs/>
          <w:color w:val="auto"/>
          <w:sz w:val="36"/>
          <w:szCs w:val="44"/>
          <w:highlight w:val="none"/>
          <w:lang w:val="en-US" w:eastAsia="zh-CN"/>
        </w:rPr>
        <w:t>（一）法定代表人身份证明</w:t>
      </w:r>
      <w:bookmarkEnd w:id="224"/>
      <w:bookmarkEnd w:id="225"/>
      <w:bookmarkEnd w:id="226"/>
      <w:bookmarkEnd w:id="227"/>
      <w:bookmarkEnd w:id="228"/>
      <w:bookmarkEnd w:id="229"/>
      <w:bookmarkEnd w:id="230"/>
    </w:p>
    <w:p>
      <w:pPr>
        <w:bidi w:val="0"/>
        <w:jc w:val="center"/>
        <w:rPr>
          <w:b/>
          <w:bCs/>
          <w:color w:val="auto"/>
          <w:sz w:val="36"/>
          <w:szCs w:val="44"/>
          <w:highlight w:val="none"/>
        </w:rPr>
      </w:pPr>
    </w:p>
    <w:p>
      <w:pPr>
        <w:spacing w:line="360" w:lineRule="auto"/>
        <w:ind w:firstLine="420" w:firstLineChars="200"/>
        <w:rPr>
          <w:rFonts w:ascii="宋体" w:hAnsi="宋体"/>
          <w:color w:val="auto"/>
          <w:szCs w:val="21"/>
          <w:highlight w:val="none"/>
        </w:rPr>
      </w:pPr>
      <w:bookmarkStart w:id="231" w:name="_Toc316921999"/>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特此证明。</w:t>
      </w:r>
    </w:p>
    <w:p>
      <w:pPr>
        <w:pStyle w:val="30"/>
        <w:rPr>
          <w:color w:val="auto"/>
          <w:szCs w:val="21"/>
          <w:highlight w:val="none"/>
        </w:rPr>
      </w:pPr>
    </w:p>
    <w:tbl>
      <w:tblPr>
        <w:tblStyle w:val="24"/>
        <w:tblW w:w="8664"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2"/>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4332" w:type="dxa"/>
          </w:tcPr>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身份证人像面</w:t>
            </w:r>
          </w:p>
          <w:p>
            <w:pPr>
              <w:spacing w:line="480" w:lineRule="auto"/>
              <w:jc w:val="center"/>
              <w:rPr>
                <w:rFonts w:ascii="宋体" w:hAnsi="宋体" w:cs="宋体"/>
                <w:color w:val="auto"/>
                <w:szCs w:val="21"/>
                <w:highlight w:val="none"/>
              </w:rPr>
            </w:pPr>
          </w:p>
        </w:tc>
        <w:tc>
          <w:tcPr>
            <w:tcW w:w="4332" w:type="dxa"/>
          </w:tcPr>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身份证国徽面</w:t>
            </w: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jc w:val="right"/>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rPr>
          <w:rFonts w:ascii="宋体" w:hAnsi="宋体"/>
          <w:color w:val="auto"/>
          <w:szCs w:val="21"/>
          <w:highlight w:val="none"/>
          <w:u w:val="single"/>
        </w:rPr>
      </w:pPr>
    </w:p>
    <w:p>
      <w:pPr>
        <w:spacing w:line="480" w:lineRule="auto"/>
        <w:jc w:val="right"/>
        <w:rPr>
          <w:rFonts w:ascii="宋体" w:hAnsi="宋体" w:cs="宋体"/>
          <w:color w:val="auto"/>
          <w:szCs w:val="21"/>
          <w:highlight w:val="none"/>
          <w:lang w:bidi="ar"/>
        </w:rPr>
      </w:pPr>
      <w:r>
        <w:rPr>
          <w:rFonts w:hint="eastAsia" w:ascii="宋体" w:hAnsi="宋体"/>
          <w:color w:val="auto"/>
          <w:szCs w:val="21"/>
          <w:highlight w:val="none"/>
        </w:rPr>
        <w:tab/>
      </w:r>
      <w:r>
        <w:rPr>
          <w:rFonts w:hint="eastAsia" w:ascii="宋体" w:hAnsi="宋体"/>
          <w:color w:val="auto"/>
          <w:szCs w:val="21"/>
          <w:highlight w:val="none"/>
        </w:rPr>
        <w:t xml:space="preserve">                          </w:t>
      </w:r>
      <w:bookmarkStart w:id="232" w:name="_Toc511920563"/>
      <w:bookmarkStart w:id="233" w:name="_Toc26969"/>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rFonts w:hint="eastAsia" w:ascii="宋体" w:hAnsi="宋体" w:cs="Times New Roman"/>
          <w:b/>
          <w:color w:val="auto"/>
          <w:sz w:val="30"/>
          <w:szCs w:val="30"/>
          <w:highlight w:val="none"/>
          <w:lang w:val="en-US" w:eastAsia="zh-CN"/>
        </w:rPr>
      </w:pPr>
      <w:bookmarkStart w:id="234" w:name="_Toc18754"/>
      <w:bookmarkStart w:id="235" w:name="_Toc20954"/>
      <w:bookmarkStart w:id="236" w:name="_Toc24246"/>
      <w:bookmarkStart w:id="237" w:name="_Toc9962"/>
      <w:r>
        <w:rPr>
          <w:rFonts w:hint="eastAsia" w:ascii="宋体" w:hAnsi="宋体" w:cs="Times New Roman"/>
          <w:b/>
          <w:color w:val="auto"/>
          <w:sz w:val="30"/>
          <w:szCs w:val="30"/>
          <w:highlight w:val="none"/>
          <w:lang w:val="en-US" w:eastAsia="zh-CN"/>
        </w:rPr>
        <w:br w:type="page"/>
      </w:r>
    </w:p>
    <w:p>
      <w:pPr>
        <w:jc w:val="center"/>
        <w:rPr>
          <w:rFonts w:hint="eastAsia" w:ascii="宋体" w:hAnsi="宋体" w:cs="Times New Roman"/>
          <w:b/>
          <w:color w:val="auto"/>
          <w:sz w:val="30"/>
          <w:szCs w:val="30"/>
          <w:highlight w:val="none"/>
          <w:lang w:val="en-US" w:eastAsia="zh-CN"/>
        </w:rPr>
      </w:pPr>
      <w:r>
        <w:rPr>
          <w:rFonts w:hint="eastAsia" w:ascii="宋体" w:hAnsi="宋体" w:cs="Times New Roman"/>
          <w:b/>
          <w:color w:val="auto"/>
          <w:sz w:val="30"/>
          <w:szCs w:val="30"/>
          <w:highlight w:val="none"/>
          <w:lang w:val="en-US" w:eastAsia="zh-CN"/>
        </w:rPr>
        <w:t>（二）法定代表人授权委托书</w:t>
      </w:r>
      <w:bookmarkEnd w:id="231"/>
      <w:bookmarkEnd w:id="232"/>
      <w:bookmarkEnd w:id="233"/>
      <w:bookmarkEnd w:id="234"/>
      <w:bookmarkEnd w:id="235"/>
      <w:bookmarkEnd w:id="236"/>
      <w:bookmarkEnd w:id="237"/>
    </w:p>
    <w:p>
      <w:pPr>
        <w:rPr>
          <w:color w:val="auto"/>
          <w:highlight w:val="none"/>
        </w:rPr>
      </w:pP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（被授权人姓名）为我方代理人。代理人根据授权，以我方名义签署、澄清、说明、补正、递交、撤回、修改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eastAsia="zh-CN"/>
        </w:rPr>
        <w:t>（项目名称、标包名称）</w:t>
      </w:r>
      <w:r>
        <w:rPr>
          <w:rFonts w:hint="eastAsia" w:ascii="宋体" w:hAnsi="宋体"/>
          <w:color w:val="auto"/>
          <w:szCs w:val="21"/>
          <w:highlight w:val="none"/>
        </w:rPr>
        <w:t>的投标</w:t>
      </w:r>
      <w:r>
        <w:rPr>
          <w:rFonts w:hint="eastAsia" w:ascii="宋体" w:hAnsi="宋体" w:cs="宋体"/>
          <w:color w:val="auto"/>
          <w:szCs w:val="21"/>
          <w:highlight w:val="none"/>
        </w:rPr>
        <w:t>文件，其法律后果由我方承担。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仿宋_GB2312"/>
          <w:color w:val="auto"/>
          <w:kern w:val="0"/>
          <w:szCs w:val="21"/>
          <w:highlight w:val="none"/>
        </w:rPr>
        <w:t>90天（从提交投标文件截止日起计算）</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代理人无转委托权。</w:t>
      </w:r>
    </w:p>
    <w:p>
      <w:pPr>
        <w:bidi w:val="0"/>
        <w:jc w:val="center"/>
        <w:rPr>
          <w:color w:val="auto"/>
          <w:highlight w:val="none"/>
        </w:rPr>
      </w:pPr>
      <w:bookmarkStart w:id="238" w:name="_Toc19878"/>
      <w:bookmarkStart w:id="239" w:name="_Toc7109"/>
      <w:bookmarkStart w:id="240" w:name="_Toc13775"/>
      <w:bookmarkStart w:id="241" w:name="_Toc11421"/>
      <w:r>
        <w:rPr>
          <w:rFonts w:hint="eastAsia"/>
          <w:color w:val="auto"/>
          <w:highlight w:val="none"/>
        </w:rPr>
        <w:t>身份证复印件粘贴处</w:t>
      </w:r>
      <w:bookmarkEnd w:id="238"/>
      <w:bookmarkEnd w:id="239"/>
      <w:bookmarkEnd w:id="240"/>
      <w:bookmarkEnd w:id="241"/>
    </w:p>
    <w:tbl>
      <w:tblPr>
        <w:tblStyle w:val="24"/>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5"/>
        <w:gridCol w:w="4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405"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身份证人像面</w:t>
            </w:r>
          </w:p>
        </w:tc>
        <w:tc>
          <w:tcPr>
            <w:tcW w:w="4430" w:type="dxa"/>
            <w:tcBorders>
              <w:top w:val="single" w:color="auto" w:sz="4" w:space="0"/>
              <w:left w:val="nil"/>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405"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rPr>
              <w:t>授权委托人身份证人像面</w:t>
            </w:r>
          </w:p>
        </w:tc>
        <w:tc>
          <w:tcPr>
            <w:tcW w:w="4430" w:type="dxa"/>
            <w:tcBorders>
              <w:top w:val="single" w:color="auto" w:sz="4" w:space="0"/>
              <w:left w:val="nil"/>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rPr>
              <w:t>授权委托人身份证国徽面</w:t>
            </w:r>
          </w:p>
        </w:tc>
      </w:tr>
    </w:tbl>
    <w:p>
      <w:pPr>
        <w:spacing w:before="312" w:beforeLines="100" w:line="480" w:lineRule="auto"/>
        <w:ind w:firstLine="573"/>
        <w:rPr>
          <w:rFonts w:ascii="宋体" w:hAnsi="宋体" w:cs="宋体"/>
          <w:color w:val="auto"/>
          <w:szCs w:val="21"/>
          <w:highlight w:val="none"/>
        </w:rPr>
      </w:pPr>
      <w:r>
        <w:rPr>
          <w:rFonts w:hint="eastAsia" w:ascii="宋体" w:hAnsi="宋体" w:cs="宋体"/>
          <w:color w:val="auto"/>
          <w:szCs w:val="21"/>
          <w:highlight w:val="none"/>
          <w:lang w:bidi="ar"/>
        </w:rPr>
        <w:t>投标人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（盖单位章）</w:t>
      </w:r>
    </w:p>
    <w:p>
      <w:pPr>
        <w:spacing w:line="480" w:lineRule="auto"/>
        <w:ind w:firstLine="573"/>
        <w:rPr>
          <w:rFonts w:ascii="宋体" w:hAnsi="宋体" w:cs="宋体"/>
          <w:color w:val="auto"/>
          <w:szCs w:val="21"/>
          <w:highlight w:val="none"/>
        </w:rPr>
      </w:pPr>
      <w:r>
        <w:rPr>
          <w:rFonts w:hint="eastAsia" w:ascii="宋体" w:hAnsi="宋体" w:cs="宋体"/>
          <w:color w:val="auto"/>
          <w:szCs w:val="21"/>
          <w:highlight w:val="none"/>
          <w:lang w:bidi="ar"/>
        </w:rPr>
        <w:t>法定代表人</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负责人</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（签字或盖章）</w:t>
      </w:r>
    </w:p>
    <w:p>
      <w:pPr>
        <w:spacing w:line="480" w:lineRule="auto"/>
        <w:ind w:firstLine="573"/>
        <w:rPr>
          <w:rFonts w:ascii="宋体" w:hAnsi="宋体" w:cs="宋体"/>
          <w:color w:val="auto"/>
          <w:szCs w:val="21"/>
          <w:highlight w:val="none"/>
        </w:rPr>
      </w:pPr>
      <w:r>
        <w:rPr>
          <w:rFonts w:hint="eastAsia" w:ascii="宋体" w:hAnsi="宋体" w:cs="宋体"/>
          <w:color w:val="auto"/>
          <w:szCs w:val="21"/>
          <w:highlight w:val="none"/>
          <w:lang w:val="en-US" w:eastAsia="zh-CN" w:bidi="ar"/>
        </w:rPr>
        <w:t>被授权人</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（签字） 职务：</w:t>
      </w:r>
      <w:r>
        <w:rPr>
          <w:rFonts w:hint="eastAsia" w:ascii="宋体" w:hAnsi="宋体" w:cs="宋体"/>
          <w:color w:val="auto"/>
          <w:szCs w:val="21"/>
          <w:highlight w:val="none"/>
          <w:u w:val="single"/>
          <w:lang w:bidi="ar"/>
        </w:rPr>
        <w:t xml:space="preserve">                    </w:t>
      </w:r>
    </w:p>
    <w:p>
      <w:pPr>
        <w:widowControl/>
        <w:spacing w:line="360" w:lineRule="auto"/>
        <w:ind w:firstLine="373" w:firstLineChars="178"/>
        <w:rPr>
          <w:rFonts w:ascii="宋体" w:hAnsi="宋体" w:cs="宋体"/>
          <w:b/>
          <w:color w:val="auto"/>
          <w:szCs w:val="21"/>
          <w:highlight w:val="none"/>
        </w:rPr>
      </w:pPr>
      <w:r>
        <w:rPr>
          <w:rFonts w:hint="eastAsia" w:ascii="宋体" w:hAnsi="宋体" w:cs="宋体"/>
          <w:color w:val="auto"/>
          <w:szCs w:val="21"/>
          <w:highlight w:val="none"/>
          <w:lang w:bidi="ar"/>
        </w:rPr>
        <w:t xml:space="preserve">  授权委托日期：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rFonts w:ascii="宋体" w:hAnsi="宋体"/>
          <w:b/>
          <w:bCs/>
          <w:color w:val="auto"/>
          <w:szCs w:val="21"/>
          <w:highlight w:val="none"/>
        </w:rPr>
      </w:pPr>
      <w:bookmarkStart w:id="242" w:name="_Toc452633065"/>
      <w:bookmarkStart w:id="243" w:name="_Toc29944"/>
    </w:p>
    <w:p>
      <w:pPr>
        <w:rPr>
          <w:rFonts w:ascii="宋体" w:hAnsi="宋体"/>
          <w:color w:val="auto"/>
          <w:sz w:val="24"/>
          <w:highlight w:val="none"/>
        </w:rPr>
      </w:pPr>
      <w:r>
        <w:rPr>
          <w:rFonts w:hint="eastAsia" w:ascii="宋体" w:hAnsi="宋体"/>
          <w:color w:val="auto"/>
          <w:szCs w:val="21"/>
          <w:highlight w:val="none"/>
        </w:rPr>
        <w:t>注：如为</w:t>
      </w:r>
      <w:r>
        <w:rPr>
          <w:rFonts w:hint="eastAsia" w:ascii="宋体" w:hAnsi="宋体"/>
          <w:color w:val="auto"/>
          <w:szCs w:val="21"/>
          <w:highlight w:val="none"/>
          <w:lang w:eastAsia="zh-CN"/>
        </w:rPr>
        <w:t>法定代表人（负责人）</w:t>
      </w:r>
      <w:r>
        <w:rPr>
          <w:rFonts w:hint="eastAsia" w:ascii="宋体" w:hAnsi="宋体"/>
          <w:color w:val="auto"/>
          <w:szCs w:val="21"/>
          <w:highlight w:val="none"/>
        </w:rPr>
        <w:t>亲自参与投标，此</w:t>
      </w:r>
      <w:r>
        <w:rPr>
          <w:rFonts w:hint="eastAsia" w:ascii="宋体" w:hAnsi="宋体"/>
          <w:color w:val="auto"/>
          <w:szCs w:val="21"/>
          <w:highlight w:val="none"/>
          <w:lang w:val="en-US" w:eastAsia="zh-CN"/>
        </w:rPr>
        <w:t>页</w:t>
      </w:r>
      <w:r>
        <w:rPr>
          <w:rFonts w:hint="eastAsia" w:ascii="宋体" w:hAnsi="宋体"/>
          <w:color w:val="auto"/>
          <w:szCs w:val="21"/>
          <w:highlight w:val="none"/>
        </w:rPr>
        <w:t>可不提供。</w:t>
      </w:r>
      <w:r>
        <w:rPr>
          <w:rFonts w:hint="eastAsia" w:ascii="宋体" w:hAnsi="宋体"/>
          <w:b/>
          <w:bCs/>
          <w:color w:val="auto"/>
          <w:szCs w:val="21"/>
          <w:highlight w:val="none"/>
        </w:rPr>
        <w:br w:type="page"/>
      </w:r>
    </w:p>
    <w:p>
      <w:pPr>
        <w:spacing w:line="480" w:lineRule="auto"/>
        <w:rPr>
          <w:rFonts w:ascii="宋体" w:hAnsi="宋体"/>
          <w:bCs/>
          <w:color w:val="auto"/>
          <w:szCs w:val="21"/>
          <w:highlight w:val="none"/>
        </w:rPr>
      </w:pPr>
      <w:bookmarkStart w:id="244" w:name="_Toc12066"/>
      <w:bookmarkStart w:id="245" w:name="_Toc310"/>
      <w:bookmarkStart w:id="246" w:name="_Toc13330"/>
      <w:bookmarkStart w:id="247" w:name="_Toc28680"/>
      <w:r>
        <w:rPr>
          <w:rFonts w:hint="eastAsia" w:ascii="宋体" w:hAnsi="宋体"/>
          <w:bCs/>
          <w:color w:val="auto"/>
          <w:szCs w:val="21"/>
          <w:highlight w:val="none"/>
        </w:rPr>
        <w:t>格式2：</w:t>
      </w:r>
      <w:bookmarkEnd w:id="244"/>
      <w:bookmarkEnd w:id="245"/>
      <w:bookmarkEnd w:id="246"/>
      <w:bookmarkEnd w:id="247"/>
    </w:p>
    <w:p>
      <w:pPr>
        <w:jc w:val="center"/>
        <w:rPr>
          <w:rFonts w:hint="eastAsia" w:ascii="宋体" w:hAnsi="宋体" w:cs="Times New Roman"/>
          <w:b/>
          <w:color w:val="auto"/>
          <w:sz w:val="30"/>
          <w:szCs w:val="30"/>
          <w:highlight w:val="none"/>
          <w:lang w:val="en-US" w:eastAsia="zh-CN"/>
        </w:rPr>
      </w:pPr>
      <w:bookmarkStart w:id="248" w:name="_Toc3658"/>
      <w:bookmarkStart w:id="249" w:name="_Toc28480"/>
      <w:bookmarkStart w:id="250" w:name="_Toc24551"/>
      <w:bookmarkStart w:id="251" w:name="_Toc20523"/>
      <w:r>
        <w:rPr>
          <w:rFonts w:hint="eastAsia" w:ascii="宋体" w:hAnsi="宋体" w:cs="Times New Roman"/>
          <w:b/>
          <w:color w:val="auto"/>
          <w:sz w:val="30"/>
          <w:szCs w:val="30"/>
          <w:highlight w:val="none"/>
          <w:lang w:val="en-US" w:eastAsia="zh-CN"/>
        </w:rPr>
        <w:t>投标人基本情况表</w:t>
      </w:r>
      <w:bookmarkEnd w:id="242"/>
      <w:bookmarkEnd w:id="243"/>
      <w:bookmarkEnd w:id="248"/>
      <w:bookmarkEnd w:id="249"/>
      <w:bookmarkEnd w:id="250"/>
      <w:bookmarkEnd w:id="251"/>
    </w:p>
    <w:tbl>
      <w:tblPr>
        <w:tblStyle w:val="24"/>
        <w:tblW w:w="830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4260"/>
        <w:gridCol w:w="34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企业名称：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总部地址：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当地代表处地址：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4260" w:type="dxa"/>
            <w:vAlign w:val="center"/>
          </w:tcPr>
          <w:p>
            <w:pPr>
              <w:ind w:left="105" w:leftChars="50"/>
              <w:rPr>
                <w:rFonts w:ascii="宋体" w:hAnsi="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w:t>
            </w:r>
          </w:p>
        </w:tc>
        <w:tc>
          <w:tcPr>
            <w:tcW w:w="3413"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企业性质：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4260"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联系人：</w:t>
            </w:r>
          </w:p>
        </w:tc>
        <w:tc>
          <w:tcPr>
            <w:tcW w:w="3413"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4260"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 xml:space="preserve">注册地：       </w:t>
            </w:r>
          </w:p>
        </w:tc>
        <w:tc>
          <w:tcPr>
            <w:tcW w:w="3413"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注册年份：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公司</w:t>
            </w:r>
            <w:r>
              <w:rPr>
                <w:rFonts w:hint="eastAsia" w:ascii="宋体" w:hAnsi="宋体"/>
                <w:color w:val="auto"/>
                <w:szCs w:val="21"/>
                <w:highlight w:val="none"/>
                <w:u w:val="single"/>
              </w:rPr>
              <w:t xml:space="preserve">     （是否通过，何种）   </w:t>
            </w:r>
            <w:r>
              <w:rPr>
                <w:rFonts w:hint="eastAsia" w:ascii="宋体" w:hAnsi="宋体"/>
                <w:color w:val="auto"/>
                <w:szCs w:val="21"/>
                <w:highlight w:val="none"/>
              </w:rPr>
              <w:t>体系认证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23" w:hRule="atLeast"/>
        </w:trPr>
        <w:tc>
          <w:tcPr>
            <w:tcW w:w="628"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7673" w:type="dxa"/>
            <w:gridSpan w:val="2"/>
          </w:tcPr>
          <w:p>
            <w:pPr>
              <w:keepNext w:val="0"/>
              <w:keepLines w:val="0"/>
              <w:pageBreakBefore w:val="0"/>
              <w:widowControl w:val="0"/>
              <w:kinsoku/>
              <w:wordWrap/>
              <w:overflowPunct/>
              <w:topLinePunct w:val="0"/>
              <w:autoSpaceDE/>
              <w:autoSpaceDN/>
              <w:bidi w:val="0"/>
              <w:adjustRightInd/>
              <w:snapToGrid/>
              <w:spacing w:before="156" w:beforeLines="50"/>
              <w:ind w:left="105" w:leftChars="50"/>
              <w:textAlignment w:val="auto"/>
              <w:rPr>
                <w:rFonts w:ascii="宋体" w:hAnsi="宋体"/>
                <w:color w:val="auto"/>
                <w:szCs w:val="21"/>
                <w:highlight w:val="none"/>
              </w:rPr>
            </w:pPr>
            <w:r>
              <w:rPr>
                <w:rFonts w:hint="eastAsia" w:ascii="宋体" w:hAnsi="宋体"/>
                <w:color w:val="auto"/>
                <w:szCs w:val="21"/>
                <w:highlight w:val="none"/>
              </w:rPr>
              <w:t>主营范围：</w:t>
            </w:r>
          </w:p>
          <w:p>
            <w:pPr>
              <w:ind w:left="105" w:leftChars="50"/>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40"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673" w:type="dxa"/>
            <w:gridSpan w:val="2"/>
            <w:vAlign w:val="top"/>
          </w:tcPr>
          <w:p>
            <w:pPr>
              <w:keepNext w:val="0"/>
              <w:keepLines w:val="0"/>
              <w:pageBreakBefore w:val="0"/>
              <w:widowControl w:val="0"/>
              <w:kinsoku/>
              <w:wordWrap/>
              <w:overflowPunct/>
              <w:topLinePunct w:val="0"/>
              <w:autoSpaceDE/>
              <w:autoSpaceDN/>
              <w:bidi w:val="0"/>
              <w:adjustRightInd/>
              <w:snapToGrid/>
              <w:spacing w:before="157" w:beforeLines="50"/>
              <w:ind w:left="105" w:leftChars="50"/>
              <w:jc w:val="both"/>
              <w:textAlignment w:val="auto"/>
              <w:rPr>
                <w:rFonts w:ascii="宋体" w:hAnsi="宋体"/>
                <w:color w:val="auto"/>
                <w:szCs w:val="21"/>
                <w:highlight w:val="none"/>
              </w:rPr>
            </w:pPr>
            <w:r>
              <w:rPr>
                <w:rFonts w:hint="eastAsia" w:ascii="宋体" w:hAnsi="宋体"/>
                <w:color w:val="auto"/>
                <w:szCs w:val="21"/>
                <w:highlight w:val="none"/>
              </w:rPr>
              <w:t>其他需要说明的情况：</w:t>
            </w:r>
          </w:p>
        </w:tc>
      </w:tr>
    </w:tbl>
    <w:p>
      <w:pPr>
        <w:spacing w:line="360" w:lineRule="auto"/>
        <w:jc w:val="left"/>
        <w:rPr>
          <w:rFonts w:ascii="宋体" w:hAnsi="宋体"/>
          <w:color w:val="auto"/>
          <w:szCs w:val="21"/>
          <w:highlight w:val="none"/>
        </w:rPr>
      </w:pPr>
      <w:r>
        <w:rPr>
          <w:rFonts w:hint="eastAsia" w:ascii="宋体" w:hAnsi="宋体"/>
          <w:color w:val="auto"/>
          <w:szCs w:val="21"/>
          <w:highlight w:val="none"/>
        </w:rPr>
        <w:t>附：营业执照（或事业法人证书）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体系认证（如有）等</w:t>
      </w:r>
      <w:r>
        <w:rPr>
          <w:rFonts w:hint="eastAsia" w:ascii="宋体" w:hAnsi="宋体"/>
          <w:color w:val="auto"/>
          <w:szCs w:val="21"/>
          <w:highlight w:val="none"/>
        </w:rPr>
        <w:t>复印件。</w:t>
      </w:r>
    </w:p>
    <w:p>
      <w:pPr>
        <w:pStyle w:val="30"/>
        <w:rPr>
          <w:color w:val="auto"/>
          <w:szCs w:val="21"/>
          <w:highlight w:val="none"/>
        </w:rPr>
      </w:pPr>
    </w:p>
    <w:p>
      <w:pPr>
        <w:spacing w:line="480" w:lineRule="auto"/>
        <w:ind w:firstLine="420" w:firstLineChars="200"/>
        <w:jc w:val="right"/>
        <w:rPr>
          <w:rFonts w:ascii="宋体" w:hAnsi="宋体"/>
          <w:color w:val="auto"/>
          <w:szCs w:val="21"/>
          <w:highlight w:val="none"/>
        </w:rPr>
      </w:pPr>
    </w:p>
    <w:p>
      <w:pPr>
        <w:spacing w:line="480" w:lineRule="auto"/>
        <w:ind w:firstLine="420" w:firstLineChars="200"/>
        <w:jc w:val="right"/>
        <w:rPr>
          <w:rFonts w:ascii="宋体" w:hAnsi="宋体"/>
          <w:color w:val="auto"/>
          <w:szCs w:val="21"/>
          <w:highlight w:val="none"/>
        </w:rPr>
      </w:pPr>
      <w:r>
        <w:rPr>
          <w:rFonts w:hint="eastAsia" w:ascii="宋体" w:hAnsi="宋体"/>
          <w:color w:val="auto"/>
          <w:szCs w:val="21"/>
          <w:highlight w:val="none"/>
        </w:rPr>
        <w:t xml:space="preserve">                        </w:t>
      </w:r>
      <w:bookmarkStart w:id="252" w:name="OLE_LINK20"/>
      <w:bookmarkStart w:id="253" w:name="OLE_LINK19"/>
    </w:p>
    <w:p>
      <w:pPr>
        <w:spacing w:line="480" w:lineRule="auto"/>
        <w:ind w:firstLine="420" w:firstLineChars="200"/>
        <w:jc w:val="right"/>
        <w:rPr>
          <w:rFonts w:ascii="宋体" w:hAnsi="宋体" w:cs="宋体"/>
          <w:color w:val="auto"/>
          <w:kern w:val="0"/>
          <w:szCs w:val="21"/>
          <w:highlight w:val="none"/>
        </w:rPr>
      </w:pPr>
      <w:r>
        <w:rPr>
          <w:rFonts w:hint="eastAsia" w:ascii="宋体" w:hAnsi="宋体"/>
          <w:color w:val="auto"/>
          <w:szCs w:val="21"/>
          <w:highlight w:val="none"/>
        </w:rPr>
        <w:t xml:space="preserve"> </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autoSpaceDE w:val="0"/>
        <w:autoSpaceDN w:val="0"/>
        <w:adjustRightInd w:val="0"/>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spacing w:line="480" w:lineRule="auto"/>
        <w:ind w:firstLine="4620" w:firstLineChars="2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End w:id="252"/>
      <w:bookmarkEnd w:id="253"/>
    </w:p>
    <w:bookmarkEnd w:id="209"/>
    <w:p>
      <w:pPr>
        <w:rPr>
          <w:rFonts w:ascii="宋体" w:hAnsi="宋体"/>
          <w:color w:val="auto"/>
          <w:sz w:val="24"/>
          <w:highlight w:val="none"/>
        </w:rPr>
      </w:pPr>
      <w:bookmarkStart w:id="254" w:name="_Toc10008"/>
      <w:bookmarkStart w:id="255" w:name="_Toc213560719"/>
      <w:bookmarkStart w:id="256" w:name="_Toc11308"/>
      <w:bookmarkStart w:id="257" w:name="_Toc212032973"/>
      <w:r>
        <w:rPr>
          <w:rFonts w:hint="eastAsia" w:ascii="宋体" w:hAnsi="宋体"/>
          <w:color w:val="auto"/>
          <w:sz w:val="24"/>
          <w:highlight w:val="none"/>
        </w:rPr>
        <w:br w:type="page"/>
      </w:r>
    </w:p>
    <w:bookmarkEnd w:id="254"/>
    <w:p>
      <w:pPr>
        <w:pStyle w:val="3"/>
        <w:bidi w:val="0"/>
        <w:ind w:left="0" w:firstLine="0"/>
        <w:rPr>
          <w:rFonts w:hint="default" w:ascii="宋体" w:hAnsi="宋体" w:eastAsia="宋体" w:cs="Times New Roman"/>
          <w:color w:val="auto"/>
          <w:sz w:val="32"/>
          <w:szCs w:val="32"/>
          <w:highlight w:val="none"/>
          <w:lang w:val="en-US" w:eastAsia="zh-CN"/>
        </w:rPr>
      </w:pPr>
      <w:bookmarkStart w:id="258" w:name="_Toc16028"/>
      <w:bookmarkStart w:id="259" w:name="_Toc13560"/>
      <w:bookmarkStart w:id="260" w:name="_Toc29667"/>
      <w:bookmarkStart w:id="261" w:name="_Toc11271"/>
      <w:r>
        <w:rPr>
          <w:rFonts w:hint="eastAsia" w:ascii="宋体" w:hAnsi="宋体" w:eastAsia="宋体" w:cs="Times New Roman"/>
          <w:color w:val="auto"/>
          <w:sz w:val="32"/>
          <w:szCs w:val="32"/>
          <w:highlight w:val="none"/>
          <w:lang w:val="en-US" w:eastAsia="zh-CN"/>
        </w:rPr>
        <w:t>四、</w:t>
      </w:r>
      <w:bookmarkEnd w:id="258"/>
      <w:bookmarkEnd w:id="259"/>
      <w:bookmarkEnd w:id="260"/>
      <w:bookmarkEnd w:id="261"/>
      <w:r>
        <w:rPr>
          <w:rFonts w:hint="eastAsia" w:ascii="宋体" w:hAnsi="宋体" w:eastAsia="宋体" w:cs="Times New Roman"/>
          <w:color w:val="auto"/>
          <w:sz w:val="32"/>
          <w:szCs w:val="32"/>
          <w:highlight w:val="none"/>
          <w:lang w:val="en-US" w:eastAsia="zh-CN"/>
        </w:rPr>
        <w:t>技术方案</w:t>
      </w:r>
    </w:p>
    <w:p>
      <w:pPr>
        <w:bidi w:val="0"/>
        <w:ind w:firstLine="2730" w:firstLineChars="1300"/>
        <w:rPr>
          <w:rFonts w:hint="eastAsia"/>
          <w:color w:val="auto"/>
          <w:highlight w:val="none"/>
        </w:rPr>
      </w:pPr>
      <w:bookmarkStart w:id="262" w:name="_Toc1597"/>
      <w:bookmarkStart w:id="263" w:name="_Toc22775"/>
      <w:bookmarkStart w:id="264" w:name="_Toc12818"/>
      <w:bookmarkStart w:id="265" w:name="_Toc2082"/>
      <w:r>
        <w:rPr>
          <w:rFonts w:hint="eastAsia"/>
          <w:color w:val="auto"/>
          <w:highlight w:val="none"/>
        </w:rPr>
        <w:t>（按评分标准编制内容，格式自拟）</w:t>
      </w:r>
      <w:bookmarkEnd w:id="262"/>
      <w:bookmarkEnd w:id="263"/>
      <w:bookmarkEnd w:id="264"/>
      <w:bookmarkEnd w:id="265"/>
    </w:p>
    <w:p>
      <w:pPr>
        <w:pStyle w:val="23"/>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 xml:space="preserve"> </w:t>
      </w:r>
    </w:p>
    <w:p>
      <w:pPr>
        <w:pStyle w:val="23"/>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1、技术性能指标（</w:t>
      </w:r>
      <w:r>
        <w:rPr>
          <w:rFonts w:hint="eastAsia" w:ascii="宋体" w:hAnsi="宋体" w:eastAsia="宋体" w:cs="宋体"/>
          <w:color w:val="auto"/>
          <w:highlight w:val="none"/>
        </w:rPr>
        <w:t>按评分标准附相关资料</w:t>
      </w:r>
      <w:r>
        <w:rPr>
          <w:rFonts w:hint="eastAsia" w:ascii="宋体" w:hAnsi="宋体" w:eastAsia="宋体" w:cs="宋体"/>
          <w:color w:val="auto"/>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2、</w:t>
      </w:r>
      <w:r>
        <w:rPr>
          <w:rFonts w:hint="eastAsia" w:ascii="宋体" w:hAnsi="宋体" w:cs="宋体"/>
          <w:color w:val="auto"/>
          <w:sz w:val="21"/>
          <w:szCs w:val="21"/>
          <w:highlight w:val="none"/>
          <w:lang w:val="en-US" w:eastAsia="zh-CN"/>
        </w:rPr>
        <w:t>整体建设方案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3、合理化建议及风险防控</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4、实施</w:t>
      </w:r>
      <w:r>
        <w:rPr>
          <w:rFonts w:hint="eastAsia" w:ascii="宋体" w:hAnsi="宋体" w:eastAsia="宋体" w:cs="宋体"/>
          <w:color w:val="auto"/>
          <w:szCs w:val="21"/>
          <w:highlight w:val="none"/>
          <w:lang w:val="en-US" w:eastAsia="zh-CN" w:bidi="ar"/>
        </w:rPr>
        <w:t>方案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5</w:t>
      </w:r>
      <w:r>
        <w:rPr>
          <w:rFonts w:hint="eastAsia" w:ascii="宋体" w:hAnsi="宋体" w:eastAsia="宋体" w:cs="宋体"/>
          <w:color w:val="auto"/>
          <w:szCs w:val="21"/>
          <w:highlight w:val="none"/>
          <w:lang w:val="en-US" w:eastAsia="zh-CN" w:bidi="ar"/>
        </w:rPr>
        <w:t>、项目组成员能力</w:t>
      </w:r>
    </w:p>
    <w:p>
      <w:pPr>
        <w:bidi w:val="0"/>
        <w:rPr>
          <w:rFonts w:hint="default"/>
          <w:color w:val="auto"/>
          <w:highlight w:val="none"/>
          <w:lang w:val="en-US" w:eastAsia="zh-CN"/>
        </w:rPr>
      </w:pPr>
    </w:p>
    <w:p>
      <w:pPr>
        <w:spacing w:before="312" w:beforeLines="100" w:after="156" w:afterLines="50" w:line="480" w:lineRule="auto"/>
        <w:ind w:firstLine="170"/>
        <w:rPr>
          <w:rFonts w:ascii="宋体" w:hAnsi="宋体" w:cs="宋体"/>
          <w:color w:val="auto"/>
          <w:spacing w:val="4"/>
          <w:szCs w:val="21"/>
          <w:highlight w:val="none"/>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color w:val="auto"/>
          <w:highlight w:val="none"/>
        </w:rPr>
      </w:pPr>
    </w:p>
    <w:p>
      <w:pPr>
        <w:spacing w:before="312" w:beforeLines="100"/>
        <w:jc w:val="center"/>
        <w:rPr>
          <w:rFonts w:ascii="宋体" w:hAnsi="宋体"/>
          <w:bCs/>
          <w:color w:val="auto"/>
          <w:sz w:val="24"/>
          <w:highlight w:val="none"/>
        </w:rPr>
      </w:pPr>
      <w:r>
        <w:rPr>
          <w:rFonts w:hint="eastAsia" w:ascii="宋体" w:hAnsi="宋体"/>
          <w:b/>
          <w:color w:val="auto"/>
          <w:sz w:val="32"/>
          <w:szCs w:val="32"/>
          <w:highlight w:val="none"/>
        </w:rPr>
        <w:br w:type="page"/>
      </w:r>
    </w:p>
    <w:p>
      <w:pPr>
        <w:bidi w:val="0"/>
        <w:rPr>
          <w:color w:val="auto"/>
          <w:highlight w:val="none"/>
        </w:rPr>
      </w:pPr>
      <w:bookmarkStart w:id="266" w:name="_Toc10722"/>
      <w:bookmarkStart w:id="267" w:name="_Toc4938"/>
      <w:bookmarkStart w:id="268" w:name="_Toc14447"/>
      <w:bookmarkStart w:id="269" w:name="_Toc11459"/>
      <w:r>
        <w:rPr>
          <w:rFonts w:hint="eastAsia"/>
          <w:color w:val="auto"/>
          <w:highlight w:val="none"/>
        </w:rPr>
        <w:t>附表1：</w:t>
      </w:r>
    </w:p>
    <w:p>
      <w:pPr>
        <w:bidi w:val="0"/>
        <w:jc w:val="center"/>
        <w:rPr>
          <w:rFonts w:hint="eastAsia"/>
          <w:b/>
          <w:bCs/>
          <w:color w:val="auto"/>
          <w:sz w:val="28"/>
          <w:szCs w:val="36"/>
          <w:highlight w:val="none"/>
        </w:rPr>
      </w:pPr>
      <w:r>
        <w:rPr>
          <w:rFonts w:hint="eastAsia"/>
          <w:b/>
          <w:bCs/>
          <w:color w:val="auto"/>
          <w:sz w:val="28"/>
          <w:szCs w:val="36"/>
          <w:highlight w:val="none"/>
        </w:rPr>
        <w:t>技术要求偏离表</w:t>
      </w:r>
    </w:p>
    <w:tbl>
      <w:tblPr>
        <w:tblStyle w:val="24"/>
        <w:tblW w:w="9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407"/>
        <w:gridCol w:w="1648"/>
        <w:gridCol w:w="1540"/>
        <w:gridCol w:w="1111"/>
        <w:gridCol w:w="1192"/>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07"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07"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1648"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招标要求</w:t>
            </w:r>
          </w:p>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技术指标</w:t>
            </w:r>
          </w:p>
        </w:tc>
        <w:tc>
          <w:tcPr>
            <w:tcW w:w="1540"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投标响应</w:t>
            </w:r>
          </w:p>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技术指标</w:t>
            </w:r>
          </w:p>
        </w:tc>
        <w:tc>
          <w:tcPr>
            <w:tcW w:w="1111" w:type="dxa"/>
            <w:vAlign w:val="center"/>
          </w:tcPr>
          <w:p>
            <w:pPr>
              <w:jc w:val="center"/>
              <w:rPr>
                <w:rFonts w:hint="eastAsia" w:ascii="宋体" w:hAnsi="宋体" w:eastAsia="宋体" w:cs="宋体"/>
                <w:b/>
                <w:color w:val="auto"/>
                <w:szCs w:val="21"/>
                <w:highlight w:val="none"/>
              </w:rPr>
            </w:pPr>
            <w:r>
              <w:rPr>
                <w:rFonts w:hint="eastAsia" w:ascii="宋体" w:cs="宋体"/>
                <w:b/>
                <w:color w:val="auto"/>
                <w:szCs w:val="21"/>
                <w:highlight w:val="none"/>
              </w:rPr>
              <w:t>正负偏离</w:t>
            </w:r>
          </w:p>
        </w:tc>
        <w:tc>
          <w:tcPr>
            <w:tcW w:w="1192"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偏离说明</w:t>
            </w:r>
          </w:p>
        </w:tc>
        <w:tc>
          <w:tcPr>
            <w:tcW w:w="924" w:type="dxa"/>
            <w:vAlign w:val="center"/>
          </w:tcPr>
          <w:p>
            <w:pPr>
              <w:jc w:val="center"/>
              <w:rPr>
                <w:rFonts w:hint="eastAsia" w:ascii="宋体" w:hAnsi="宋体" w:eastAsia="宋体" w:cs="宋体"/>
                <w:b/>
                <w:color w:val="auto"/>
                <w:szCs w:val="21"/>
                <w:highlight w:val="none"/>
              </w:rPr>
            </w:pPr>
            <w:r>
              <w:rPr>
                <w:rFonts w:hint="eastAsia" w:ascii="宋体" w:cs="宋体"/>
                <w:b/>
                <w:color w:val="auto"/>
                <w:szCs w:val="21"/>
                <w:highlight w:val="none"/>
                <w:lang w:val="en-US" w:eastAsia="zh-CN"/>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pPr>
              <w:pStyle w:val="14"/>
              <w:spacing w:line="600" w:lineRule="exact"/>
              <w:rPr>
                <w:rFonts w:hAnsi="宋体"/>
                <w:sz w:val="24"/>
                <w:szCs w:val="24"/>
              </w:rPr>
            </w:pPr>
          </w:p>
        </w:tc>
        <w:tc>
          <w:tcPr>
            <w:tcW w:w="2407" w:type="dxa"/>
          </w:tcPr>
          <w:p>
            <w:pPr>
              <w:pStyle w:val="14"/>
              <w:spacing w:line="400" w:lineRule="exact"/>
              <w:rPr>
                <w:rFonts w:hAnsi="宋体"/>
                <w:sz w:val="24"/>
                <w:szCs w:val="24"/>
              </w:rPr>
            </w:pPr>
          </w:p>
        </w:tc>
        <w:tc>
          <w:tcPr>
            <w:tcW w:w="1648" w:type="dxa"/>
            <w:vAlign w:val="center"/>
          </w:tcPr>
          <w:p>
            <w:pPr>
              <w:pStyle w:val="14"/>
              <w:spacing w:line="600" w:lineRule="exact"/>
              <w:rPr>
                <w:rFonts w:hAnsi="宋体"/>
                <w:sz w:val="24"/>
                <w:szCs w:val="24"/>
              </w:rPr>
            </w:pPr>
          </w:p>
        </w:tc>
        <w:tc>
          <w:tcPr>
            <w:tcW w:w="1540" w:type="dxa"/>
            <w:vAlign w:val="center"/>
          </w:tcPr>
          <w:p>
            <w:pPr>
              <w:pStyle w:val="14"/>
              <w:spacing w:line="600" w:lineRule="exact"/>
              <w:rPr>
                <w:rFonts w:hAnsi="宋体"/>
                <w:sz w:val="24"/>
                <w:szCs w:val="24"/>
              </w:rPr>
            </w:pPr>
          </w:p>
        </w:tc>
        <w:tc>
          <w:tcPr>
            <w:tcW w:w="1111" w:type="dxa"/>
            <w:vAlign w:val="center"/>
          </w:tcPr>
          <w:p>
            <w:pPr>
              <w:pStyle w:val="14"/>
              <w:spacing w:line="600" w:lineRule="exact"/>
              <w:rPr>
                <w:rFonts w:hAnsi="宋体"/>
                <w:sz w:val="24"/>
                <w:szCs w:val="24"/>
              </w:rPr>
            </w:pPr>
          </w:p>
        </w:tc>
        <w:tc>
          <w:tcPr>
            <w:tcW w:w="1192" w:type="dxa"/>
            <w:vAlign w:val="center"/>
          </w:tcPr>
          <w:p>
            <w:pPr>
              <w:pStyle w:val="14"/>
              <w:spacing w:line="600" w:lineRule="exact"/>
              <w:rPr>
                <w:rFonts w:hAnsi="宋体"/>
                <w:sz w:val="24"/>
                <w:szCs w:val="24"/>
              </w:rPr>
            </w:pPr>
          </w:p>
        </w:tc>
        <w:tc>
          <w:tcPr>
            <w:tcW w:w="924" w:type="dxa"/>
            <w:vAlign w:val="center"/>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pPr>
              <w:pStyle w:val="14"/>
              <w:spacing w:line="600" w:lineRule="exact"/>
              <w:rPr>
                <w:rFonts w:hAnsi="宋体"/>
                <w:sz w:val="24"/>
                <w:szCs w:val="24"/>
              </w:rPr>
            </w:pPr>
          </w:p>
        </w:tc>
        <w:tc>
          <w:tcPr>
            <w:tcW w:w="2407" w:type="dxa"/>
          </w:tcPr>
          <w:p>
            <w:pPr>
              <w:pStyle w:val="14"/>
              <w:spacing w:line="4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bl>
    <w:p>
      <w:pPr>
        <w:keepNext w:val="0"/>
        <w:keepLines w:val="0"/>
        <w:pageBreakBefore w:val="0"/>
        <w:widowControl w:val="0"/>
        <w:kinsoku/>
        <w:wordWrap/>
        <w:overflowPunct/>
        <w:topLinePunct w:val="0"/>
        <w:autoSpaceDE/>
        <w:autoSpaceDN/>
        <w:bidi w:val="0"/>
        <w:adjustRightInd/>
        <w:snapToGrid/>
        <w:spacing w:before="157" w:beforeLines="50" w:line="400" w:lineRule="exact"/>
        <w:ind w:firstLine="210" w:firstLineChars="100"/>
        <w:jc w:val="left"/>
        <w:textAlignment w:val="auto"/>
        <w:rPr>
          <w:rFonts w:ascii="宋体" w:hAnsi="宋体" w:cs="宋体"/>
          <w:color w:val="auto"/>
          <w:szCs w:val="21"/>
          <w:highlight w:val="none"/>
        </w:rPr>
      </w:pPr>
      <w:r>
        <w:rPr>
          <w:rFonts w:hint="eastAsia" w:ascii="宋体" w:hAnsi="宋体" w:cs="宋体"/>
          <w:color w:val="auto"/>
          <w:szCs w:val="21"/>
          <w:highlight w:val="none"/>
        </w:rPr>
        <w:t>注：1、本表应严格按照“第四章 采购内容及要求”中采购的</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内容填写；“招标文件技术要求”须按招标文件的技术参数填写；“投标响应”为投标人所提供的</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内容；“正负偏离”填写：优于或低于。如偏离请在“偏离说明”中进行相应的说明，并按招标文件要求附相应的证明材料。</w:t>
      </w:r>
    </w:p>
    <w:p>
      <w:pPr>
        <w:spacing w:line="4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2、投标人必须据实填写，不得虚假响应，否则将取消其投标或中标资格，并按有关规定进行处罚。</w:t>
      </w:r>
    </w:p>
    <w:p>
      <w:pPr>
        <w:pStyle w:val="30"/>
        <w:rPr>
          <w:rFonts w:ascii="宋体" w:cs="宋体"/>
          <w:color w:val="auto"/>
          <w:szCs w:val="21"/>
          <w:highlight w:val="none"/>
        </w:rPr>
      </w:pPr>
    </w:p>
    <w:p>
      <w:pPr>
        <w:pStyle w:val="30"/>
        <w:rPr>
          <w:rFonts w:ascii="宋体" w:cs="宋体"/>
          <w:color w:val="auto"/>
          <w:szCs w:val="21"/>
          <w:highlight w:val="none"/>
        </w:rPr>
      </w:pPr>
    </w:p>
    <w:p>
      <w:pPr>
        <w:spacing w:line="480" w:lineRule="auto"/>
        <w:jc w:val="right"/>
        <w:rPr>
          <w:rFonts w:ascii="宋体" w:hAnsi="宋体" w:cs="宋体"/>
          <w:color w:val="auto"/>
          <w:szCs w:val="21"/>
          <w:highlight w:val="none"/>
        </w:rPr>
      </w:pPr>
      <w:r>
        <w:rPr>
          <w:rFonts w:hint="eastAsia" w:ascii="宋体" w:hAnsi="宋体" w:cs="宋体"/>
          <w:color w:val="auto"/>
          <w:szCs w:val="21"/>
          <w:highlight w:val="none"/>
          <w:lang w:bidi="ar"/>
        </w:rPr>
        <w:t>投标人：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（盖单位章）</w:t>
      </w:r>
    </w:p>
    <w:p>
      <w:pPr>
        <w:spacing w:line="480" w:lineRule="auto"/>
        <w:jc w:val="right"/>
        <w:rPr>
          <w:rFonts w:ascii="宋体" w:hAnsi="宋体" w:cs="宋体"/>
          <w:color w:val="auto"/>
          <w:szCs w:val="21"/>
          <w:highlight w:val="none"/>
        </w:rPr>
      </w:pPr>
      <w:r>
        <w:rPr>
          <w:rFonts w:hint="eastAsia" w:ascii="宋体" w:hAnsi="宋体" w:cs="宋体"/>
          <w:color w:val="auto"/>
          <w:szCs w:val="21"/>
          <w:highlight w:val="none"/>
          <w:lang w:eastAsia="zh-CN" w:bidi="ar"/>
        </w:rPr>
        <w:t>法定代表人（负责人）</w:t>
      </w:r>
      <w:r>
        <w:rPr>
          <w:rFonts w:hint="eastAsia" w:ascii="宋体" w:hAnsi="宋体" w:cs="宋体"/>
          <w:color w:val="auto"/>
          <w:szCs w:val="21"/>
          <w:highlight w:val="none"/>
          <w:lang w:bidi="ar"/>
        </w:rPr>
        <w:t>或其委托代理人：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（签字或盖章） </w:t>
      </w:r>
    </w:p>
    <w:p>
      <w:pPr>
        <w:spacing w:line="480" w:lineRule="auto"/>
        <w:ind w:firstLine="4620" w:firstLineChars="2200"/>
        <w:jc w:val="right"/>
        <w:rPr>
          <w:rFonts w:ascii="宋体" w:hAnsi="宋体" w:cs="宋体"/>
          <w:color w:val="auto"/>
          <w:szCs w:val="21"/>
          <w:highlight w:val="none"/>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color w:val="auto"/>
          <w:highlight w:val="none"/>
        </w:rPr>
      </w:pPr>
      <w:r>
        <w:rPr>
          <w:rFonts w:ascii="宋体" w:hAnsi="宋体"/>
          <w:color w:val="auto"/>
          <w:sz w:val="24"/>
          <w:szCs w:val="28"/>
          <w:highlight w:val="none"/>
        </w:rPr>
        <w:br w:type="page"/>
      </w:r>
    </w:p>
    <w:p>
      <w:pPr>
        <w:pStyle w:val="3"/>
        <w:bidi w:val="0"/>
        <w:ind w:left="0" w:firstLine="0"/>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五、商务部分</w:t>
      </w:r>
    </w:p>
    <w:p>
      <w:pPr>
        <w:pStyle w:val="23"/>
        <w:ind w:left="0" w:leftChars="0"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1、业绩</w:t>
      </w:r>
      <w:bookmarkEnd w:id="266"/>
      <w:bookmarkEnd w:id="267"/>
      <w:bookmarkEnd w:id="268"/>
      <w:bookmarkEnd w:id="269"/>
    </w:p>
    <w:p>
      <w:pPr>
        <w:spacing w:line="360" w:lineRule="auto"/>
        <w:rPr>
          <w:rFonts w:ascii="宋体" w:hAnsi="宋体"/>
          <w:b/>
          <w:bCs/>
          <w:color w:val="auto"/>
          <w:szCs w:val="21"/>
          <w:highlight w:val="none"/>
        </w:rPr>
      </w:pPr>
      <w:bookmarkStart w:id="270" w:name="_Toc13987"/>
      <w:bookmarkStart w:id="271" w:name="_Toc29747"/>
      <w:bookmarkStart w:id="272" w:name="_Toc7667"/>
      <w:r>
        <w:rPr>
          <w:rFonts w:hint="eastAsia" w:ascii="宋体" w:hAnsi="宋体"/>
          <w:color w:val="auto"/>
          <w:szCs w:val="21"/>
          <w:highlight w:val="none"/>
        </w:rPr>
        <w:t>注：</w:t>
      </w:r>
      <w:r>
        <w:rPr>
          <w:rFonts w:hint="eastAsia" w:ascii="宋体" w:hAnsi="宋体" w:cs="宋体"/>
          <w:color w:val="auto"/>
          <w:szCs w:val="21"/>
          <w:highlight w:val="none"/>
        </w:rPr>
        <w:t>按评分标准中的要求提供证明材料</w:t>
      </w:r>
      <w:r>
        <w:rPr>
          <w:rFonts w:hint="eastAsia" w:ascii="宋体" w:hAnsi="宋体"/>
          <w:color w:val="auto"/>
          <w:szCs w:val="21"/>
          <w:highlight w:val="none"/>
        </w:rPr>
        <w:t>，否则不作为业绩进行考核。</w:t>
      </w:r>
    </w:p>
    <w:bookmarkEnd w:id="270"/>
    <w:bookmarkEnd w:id="271"/>
    <w:bookmarkEnd w:id="272"/>
    <w:tbl>
      <w:tblPr>
        <w:tblStyle w:val="24"/>
        <w:tblW w:w="873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538"/>
        <w:gridCol w:w="2169"/>
        <w:gridCol w:w="1353"/>
        <w:gridCol w:w="1459"/>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32" w:type="dxa"/>
            <w:vAlign w:val="center"/>
          </w:tcPr>
          <w:p>
            <w:pPr>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年份</w:t>
            </w:r>
          </w:p>
        </w:tc>
        <w:tc>
          <w:tcPr>
            <w:tcW w:w="1538"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用户</w:t>
            </w:r>
            <w:r>
              <w:rPr>
                <w:rFonts w:hint="eastAsia" w:ascii="宋体" w:hAnsi="宋体" w:cs="宋体"/>
                <w:b/>
                <w:bCs/>
                <w:color w:val="auto"/>
                <w:szCs w:val="21"/>
                <w:highlight w:val="none"/>
              </w:rPr>
              <w:t>名称</w:t>
            </w:r>
          </w:p>
        </w:tc>
        <w:tc>
          <w:tcPr>
            <w:tcW w:w="2169" w:type="dxa"/>
            <w:vAlign w:val="center"/>
          </w:tcPr>
          <w:p>
            <w:pPr>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项目名称</w:t>
            </w:r>
          </w:p>
        </w:tc>
        <w:tc>
          <w:tcPr>
            <w:tcW w:w="1353" w:type="dxa"/>
            <w:vAlign w:val="center"/>
          </w:tcPr>
          <w:p>
            <w:pPr>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合同金额</w:t>
            </w:r>
          </w:p>
        </w:tc>
        <w:tc>
          <w:tcPr>
            <w:tcW w:w="1459"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签约时间</w:t>
            </w:r>
          </w:p>
        </w:tc>
        <w:tc>
          <w:tcPr>
            <w:tcW w:w="1182" w:type="dxa"/>
            <w:vAlign w:val="center"/>
          </w:tcPr>
          <w:p>
            <w:pPr>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是否通过验收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bl>
    <w:p>
      <w:pPr>
        <w:jc w:val="center"/>
        <w:rPr>
          <w:rFonts w:ascii="宋体" w:hAnsi="宋体"/>
          <w:b/>
          <w:bCs/>
          <w:color w:val="auto"/>
          <w:kern w:val="0"/>
          <w:szCs w:val="21"/>
          <w:highlight w:val="none"/>
        </w:rPr>
      </w:pPr>
    </w:p>
    <w:p>
      <w:pPr>
        <w:jc w:val="center"/>
        <w:rPr>
          <w:rFonts w:ascii="宋体" w:hAnsi="宋体"/>
          <w:b/>
          <w:bCs/>
          <w:color w:val="auto"/>
          <w:kern w:val="0"/>
          <w:szCs w:val="21"/>
          <w:highlight w:val="none"/>
        </w:rPr>
      </w:pPr>
    </w:p>
    <w:p>
      <w:pPr>
        <w:spacing w:line="480" w:lineRule="auto"/>
        <w:jc w:val="right"/>
        <w:rPr>
          <w:rFonts w:hint="eastAsia" w:ascii="宋体" w:hAnsi="宋体" w:cs="宋体"/>
          <w:color w:val="auto"/>
          <w:kern w:val="0"/>
          <w:szCs w:val="21"/>
          <w:highlight w:val="none"/>
        </w:rPr>
      </w:pPr>
    </w:p>
    <w:p>
      <w:pPr>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autoSpaceDE w:val="0"/>
        <w:autoSpaceDN w:val="0"/>
        <w:adjustRightInd w:val="0"/>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spacing w:line="480" w:lineRule="auto"/>
        <w:ind w:firstLine="4620" w:firstLineChars="2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ind w:firstLine="4620" w:firstLineChars="2200"/>
        <w:jc w:val="right"/>
        <w:rPr>
          <w:rFonts w:ascii="宋体" w:hAnsi="宋体"/>
          <w:color w:val="auto"/>
          <w:szCs w:val="21"/>
          <w:highlight w:val="none"/>
        </w:rPr>
      </w:pPr>
    </w:p>
    <w:p>
      <w:pPr>
        <w:bidi w:val="0"/>
        <w:rPr>
          <w:color w:val="auto"/>
          <w:highlight w:val="none"/>
        </w:rPr>
      </w:pPr>
      <w:r>
        <w:rPr>
          <w:rFonts w:hint="eastAsia"/>
          <w:color w:val="auto"/>
          <w:highlight w:val="none"/>
        </w:rPr>
        <w:br w:type="page"/>
      </w:r>
      <w:bookmarkStart w:id="273" w:name="_Toc24931"/>
      <w:bookmarkStart w:id="274" w:name="_Toc13337"/>
      <w:bookmarkStart w:id="275" w:name="_Toc23132"/>
    </w:p>
    <w:p>
      <w:pPr>
        <w:pStyle w:val="23"/>
        <w:ind w:left="0" w:leftChars="0" w:firstLine="0" w:firstLineChars="0"/>
        <w:rPr>
          <w:rFonts w:hint="default" w:ascii="Times New Roman" w:hAnsi="Times New Roman" w:cs="Times New Roman"/>
          <w:color w:val="auto"/>
          <w:highlight w:val="none"/>
          <w:lang w:val="en-US" w:eastAsia="zh-CN"/>
        </w:rPr>
      </w:pPr>
      <w:bookmarkStart w:id="276" w:name="_Toc9624"/>
      <w:r>
        <w:rPr>
          <w:rFonts w:hint="eastAsia" w:ascii="Times New Roman" w:hAnsi="Times New Roman" w:cs="Times New Roman"/>
          <w:color w:val="auto"/>
          <w:highlight w:val="none"/>
          <w:lang w:val="en-US" w:eastAsia="zh-CN"/>
        </w:rPr>
        <w:t>2、商务条款响应</w:t>
      </w:r>
    </w:p>
    <w:p>
      <w:pPr>
        <w:bidi w:val="0"/>
        <w:jc w:val="center"/>
        <w:rPr>
          <w:b/>
          <w:bCs/>
          <w:color w:val="auto"/>
          <w:sz w:val="28"/>
          <w:szCs w:val="36"/>
          <w:highlight w:val="none"/>
        </w:rPr>
      </w:pPr>
      <w:r>
        <w:rPr>
          <w:rFonts w:hint="eastAsia"/>
          <w:b/>
          <w:bCs/>
          <w:color w:val="auto"/>
          <w:sz w:val="28"/>
          <w:szCs w:val="36"/>
          <w:highlight w:val="none"/>
        </w:rPr>
        <w:t>商务条款偏离表</w:t>
      </w:r>
      <w:bookmarkEnd w:id="273"/>
      <w:bookmarkEnd w:id="274"/>
      <w:bookmarkEnd w:id="275"/>
      <w:bookmarkEnd w:id="276"/>
    </w:p>
    <w:tbl>
      <w:tblPr>
        <w:tblStyle w:val="24"/>
        <w:tblW w:w="9050"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415"/>
        <w:gridCol w:w="1543"/>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31" w:type="dxa"/>
            <w:vAlign w:val="center"/>
          </w:tcPr>
          <w:p>
            <w:pPr>
              <w:jc w:val="center"/>
              <w:rPr>
                <w:rFonts w:ascii="宋体" w:cs="宋体"/>
                <w:b/>
                <w:color w:val="auto"/>
                <w:szCs w:val="21"/>
                <w:highlight w:val="none"/>
              </w:rPr>
            </w:pPr>
            <w:r>
              <w:rPr>
                <w:rFonts w:hint="eastAsia" w:ascii="宋体" w:hAnsi="宋体" w:cs="宋体"/>
                <w:b/>
                <w:color w:val="auto"/>
                <w:szCs w:val="21"/>
                <w:highlight w:val="none"/>
              </w:rPr>
              <w:t>序号</w:t>
            </w:r>
          </w:p>
        </w:tc>
        <w:tc>
          <w:tcPr>
            <w:tcW w:w="4415" w:type="dxa"/>
            <w:vAlign w:val="center"/>
          </w:tcPr>
          <w:p>
            <w:pPr>
              <w:jc w:val="center"/>
              <w:rPr>
                <w:rFonts w:ascii="宋体" w:cs="宋体"/>
                <w:b/>
                <w:color w:val="auto"/>
                <w:szCs w:val="21"/>
                <w:highlight w:val="none"/>
              </w:rPr>
            </w:pPr>
            <w:r>
              <w:rPr>
                <w:rFonts w:hint="eastAsia" w:ascii="宋体" w:hAnsi="宋体" w:cs="宋体"/>
                <w:b/>
                <w:color w:val="auto"/>
                <w:szCs w:val="21"/>
                <w:highlight w:val="none"/>
              </w:rPr>
              <w:t>招标文件要求的商务条款</w:t>
            </w:r>
          </w:p>
        </w:tc>
        <w:tc>
          <w:tcPr>
            <w:tcW w:w="1543" w:type="dxa"/>
            <w:vAlign w:val="center"/>
          </w:tcPr>
          <w:p>
            <w:pPr>
              <w:jc w:val="center"/>
              <w:rPr>
                <w:rFonts w:ascii="宋体" w:cs="宋体"/>
                <w:b/>
                <w:color w:val="auto"/>
                <w:szCs w:val="21"/>
                <w:highlight w:val="none"/>
              </w:rPr>
            </w:pPr>
            <w:r>
              <w:rPr>
                <w:rFonts w:hint="eastAsia" w:ascii="宋体" w:hAnsi="宋体" w:cs="宋体"/>
                <w:b/>
                <w:color w:val="auto"/>
                <w:szCs w:val="21"/>
                <w:highlight w:val="none"/>
                <w:lang w:val="en-US" w:eastAsia="zh-CN"/>
              </w:rPr>
              <w:t>是否</w:t>
            </w:r>
            <w:r>
              <w:rPr>
                <w:rFonts w:hint="eastAsia" w:ascii="宋体" w:hAnsi="宋体" w:cs="宋体"/>
                <w:b/>
                <w:color w:val="auto"/>
                <w:szCs w:val="21"/>
                <w:highlight w:val="none"/>
              </w:rPr>
              <w:t>响应</w:t>
            </w:r>
          </w:p>
        </w:tc>
        <w:tc>
          <w:tcPr>
            <w:tcW w:w="2361" w:type="dxa"/>
            <w:vAlign w:val="center"/>
          </w:tcPr>
          <w:p>
            <w:pPr>
              <w:jc w:val="center"/>
              <w:rPr>
                <w:rFonts w:hint="default" w:ascii="宋体" w:eastAsia="宋体" w:cs="宋体"/>
                <w:b/>
                <w:color w:val="auto"/>
                <w:szCs w:val="21"/>
                <w:highlight w:val="none"/>
                <w:lang w:val="en-US" w:eastAsia="zh-CN"/>
              </w:rPr>
            </w:pPr>
            <w:r>
              <w:rPr>
                <w:rFonts w:hint="eastAsia" w:ascii="宋体" w:cs="宋体"/>
                <w:b/>
                <w:color w:val="auto"/>
                <w:szCs w:val="21"/>
                <w:highlight w:val="no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hint="eastAsia" w:ascii="宋体" w:eastAsia="宋体" w:cs="宋体"/>
                <w:color w:val="auto"/>
                <w:szCs w:val="21"/>
                <w:highlight w:val="none"/>
                <w:lang w:eastAsia="zh-CN"/>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hAns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bl>
    <w:p>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注：1.本表只填写投标文件中与招标文件有偏离（包括正偏离和负偏离）的内容，投标文件中商务响应与招标文件要求完全一致的，不用在此表中列出，但必须提交空白表。</w:t>
      </w:r>
    </w:p>
    <w:p>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2.投标人必须据实填写，不得虚假响应，否则将取消其投标或中标资格，并按有关规定进处罚。</w:t>
      </w:r>
    </w:p>
    <w:p>
      <w:pPr>
        <w:spacing w:before="312" w:beforeLines="100" w:line="480" w:lineRule="auto"/>
        <w:jc w:val="right"/>
        <w:rPr>
          <w:rFonts w:ascii="宋体" w:hAnsi="宋体" w:cs="宋体"/>
          <w:color w:val="auto"/>
          <w:sz w:val="24"/>
          <w:highlight w:val="none"/>
          <w:lang w:bidi="ar"/>
        </w:rPr>
      </w:pPr>
    </w:p>
    <w:p>
      <w:pPr>
        <w:spacing w:before="312" w:beforeLines="100" w:line="480" w:lineRule="auto"/>
        <w:jc w:val="right"/>
        <w:rPr>
          <w:rFonts w:ascii="宋体" w:hAnsi="宋体" w:cs="宋体"/>
          <w:color w:val="auto"/>
          <w:sz w:val="24"/>
          <w:highlight w:val="none"/>
          <w:lang w:bidi="ar"/>
        </w:rPr>
      </w:pPr>
    </w:p>
    <w:p>
      <w:pPr>
        <w:spacing w:line="480" w:lineRule="auto"/>
        <w:jc w:val="right"/>
        <w:rPr>
          <w:rFonts w:ascii="宋体" w:hAnsi="宋体" w:cs="宋体"/>
          <w:color w:val="auto"/>
          <w:szCs w:val="21"/>
          <w:highlight w:val="none"/>
        </w:rPr>
      </w:pPr>
      <w:bookmarkStart w:id="277" w:name="_Toc22502"/>
      <w:bookmarkStart w:id="278" w:name="_Toc18235"/>
      <w:bookmarkStart w:id="279" w:name="_Toc767"/>
      <w:bookmarkStart w:id="280" w:name="_Toc8605"/>
      <w:r>
        <w:rPr>
          <w:rFonts w:hint="eastAsia" w:ascii="宋体" w:hAnsi="宋体" w:cs="宋体"/>
          <w:color w:val="auto"/>
          <w:szCs w:val="21"/>
          <w:highlight w:val="none"/>
          <w:lang w:bidi="ar"/>
        </w:rPr>
        <w:t>投标人：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（盖单位章）</w:t>
      </w:r>
    </w:p>
    <w:p>
      <w:pPr>
        <w:spacing w:line="480" w:lineRule="auto"/>
        <w:jc w:val="right"/>
        <w:rPr>
          <w:rFonts w:ascii="宋体" w:hAnsi="宋体" w:cs="宋体"/>
          <w:color w:val="auto"/>
          <w:szCs w:val="21"/>
          <w:highlight w:val="none"/>
        </w:rPr>
      </w:pPr>
      <w:r>
        <w:rPr>
          <w:rFonts w:hint="eastAsia" w:ascii="宋体" w:hAnsi="宋体" w:cs="宋体"/>
          <w:color w:val="auto"/>
          <w:szCs w:val="21"/>
          <w:highlight w:val="none"/>
          <w:lang w:eastAsia="zh-CN" w:bidi="ar"/>
        </w:rPr>
        <w:t>法定代表人（负责人）</w:t>
      </w:r>
      <w:r>
        <w:rPr>
          <w:rFonts w:hint="eastAsia" w:ascii="宋体" w:hAnsi="宋体" w:cs="宋体"/>
          <w:color w:val="auto"/>
          <w:szCs w:val="21"/>
          <w:highlight w:val="none"/>
          <w:lang w:bidi="ar"/>
        </w:rPr>
        <w:t>或其委托代理人：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（签字或盖章） </w:t>
      </w:r>
    </w:p>
    <w:p>
      <w:pPr>
        <w:spacing w:line="480" w:lineRule="auto"/>
        <w:ind w:firstLine="4620" w:firstLineChars="2200"/>
        <w:jc w:val="right"/>
        <w:rPr>
          <w:rFonts w:ascii="宋体" w:hAnsi="宋体" w:cs="宋体"/>
          <w:color w:val="auto"/>
          <w:szCs w:val="21"/>
          <w:highlight w:val="none"/>
          <w:lang w:bidi="ar"/>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rFonts w:ascii="宋体" w:hAnsi="宋体"/>
          <w:b/>
          <w:bCs/>
          <w:color w:val="auto"/>
          <w:sz w:val="32"/>
          <w:szCs w:val="32"/>
          <w:highlight w:val="none"/>
        </w:rPr>
      </w:pPr>
      <w:r>
        <w:rPr>
          <w:rFonts w:hint="eastAsia" w:ascii="宋体" w:hAnsi="宋体"/>
          <w:b/>
          <w:bCs/>
          <w:color w:val="auto"/>
          <w:sz w:val="32"/>
          <w:szCs w:val="32"/>
          <w:highlight w:val="none"/>
        </w:rPr>
        <w:br w:type="page"/>
      </w:r>
    </w:p>
    <w:bookmarkEnd w:id="255"/>
    <w:bookmarkEnd w:id="256"/>
    <w:bookmarkEnd w:id="257"/>
    <w:bookmarkEnd w:id="277"/>
    <w:bookmarkEnd w:id="278"/>
    <w:bookmarkEnd w:id="279"/>
    <w:bookmarkEnd w:id="280"/>
    <w:p>
      <w:pPr>
        <w:pStyle w:val="23"/>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lang w:val="en-US" w:eastAsia="zh-CN"/>
        </w:rPr>
      </w:pPr>
      <w:bookmarkStart w:id="281" w:name="_Toc25931"/>
      <w:bookmarkStart w:id="282" w:name="_Toc17200"/>
      <w:bookmarkStart w:id="283" w:name="_Toc30223"/>
      <w:bookmarkStart w:id="284" w:name="_Toc17093"/>
      <w:r>
        <w:rPr>
          <w:rFonts w:hint="eastAsia" w:ascii="宋体" w:hAnsi="宋体" w:eastAsia="宋体" w:cs="宋体"/>
          <w:color w:val="auto"/>
          <w:highlight w:val="none"/>
          <w:lang w:val="en-US" w:eastAsia="zh-CN"/>
        </w:rPr>
        <w:t>售后服务（按评分标准编制内容，格式自拟）</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ascii="宋体" w:hAnsi="宋体" w:eastAsia="宋体" w:cs="宋体"/>
          <w:szCs w:val="21"/>
          <w:lang w:bidi="ar"/>
        </w:rPr>
        <w:t>质保期外服务方案</w:t>
      </w:r>
      <w:r>
        <w:rPr>
          <w:rFonts w:hint="eastAsia" w:ascii="宋体" w:hAnsi="宋体" w:eastAsia="宋体" w:cs="宋体"/>
          <w:color w:val="auto"/>
          <w:highlight w:val="none"/>
          <w:lang w:val="en-US" w:eastAsia="zh-CN"/>
        </w:rPr>
        <w:t>（按评分标准编制内容，格式自拟）</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lang w:val="en-US" w:eastAsia="zh-CN"/>
        </w:rPr>
        <w:t>企业实力</w:t>
      </w:r>
      <w:r>
        <w:rPr>
          <w:rFonts w:hint="eastAsia" w:ascii="宋体" w:hAnsi="宋体" w:eastAsia="宋体" w:cs="宋体"/>
          <w:color w:val="auto"/>
          <w:highlight w:val="none"/>
          <w:lang w:val="en-US" w:eastAsia="zh-CN"/>
        </w:rPr>
        <w:t>（按评分标准编制内容，格式自拟）</w:t>
      </w:r>
    </w:p>
    <w:p>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br w:type="page"/>
      </w:r>
    </w:p>
    <w:bookmarkEnd w:id="281"/>
    <w:bookmarkEnd w:id="282"/>
    <w:bookmarkEnd w:id="283"/>
    <w:bookmarkEnd w:id="284"/>
    <w:p>
      <w:pPr>
        <w:pStyle w:val="3"/>
        <w:bidi w:val="0"/>
        <w:ind w:left="0" w:firstLine="0"/>
        <w:rPr>
          <w:rFonts w:hint="eastAsia"/>
          <w:color w:val="auto"/>
          <w:sz w:val="32"/>
          <w:szCs w:val="32"/>
          <w:highlight w:val="none"/>
          <w:lang w:val="zh-CN" w:eastAsia="zh-CN"/>
        </w:rPr>
      </w:pPr>
      <w:r>
        <w:rPr>
          <w:rFonts w:hint="eastAsia"/>
          <w:color w:val="auto"/>
          <w:sz w:val="32"/>
          <w:szCs w:val="32"/>
          <w:highlight w:val="none"/>
          <w:lang w:val="en-US" w:eastAsia="zh-CN"/>
        </w:rPr>
        <w:t>六、</w:t>
      </w:r>
      <w:r>
        <w:rPr>
          <w:rFonts w:hint="eastAsia"/>
          <w:color w:val="auto"/>
          <w:sz w:val="32"/>
          <w:szCs w:val="32"/>
          <w:highlight w:val="none"/>
          <w:lang w:val="zh-CN" w:eastAsia="zh-CN"/>
        </w:rPr>
        <w:t>提供政府采购政策等证明材料</w:t>
      </w:r>
    </w:p>
    <w:p>
      <w:pPr>
        <w:spacing w:line="360" w:lineRule="auto"/>
        <w:ind w:firstLine="480" w:firstLineChars="200"/>
        <w:rPr>
          <w:rFonts w:ascii="仿宋" w:hAnsi="仿宋" w:eastAsia="仿宋" w:cs="仿宋"/>
          <w:sz w:val="24"/>
          <w:szCs w:val="24"/>
        </w:rPr>
      </w:pPr>
      <w:bookmarkStart w:id="285" w:name="_Toc27972"/>
      <w:r>
        <w:rPr>
          <w:rFonts w:hint="eastAsia" w:ascii="仿宋" w:hAnsi="仿宋" w:eastAsia="仿宋" w:cs="仿宋"/>
          <w:sz w:val="24"/>
          <w:szCs w:val="24"/>
        </w:rPr>
        <w:t>（1）中小企业声明函（如适用，请提供，格式见附件1，注：</w:t>
      </w:r>
      <w:r>
        <w:rPr>
          <w:rFonts w:hint="eastAsia" w:ascii="仿宋" w:hAnsi="仿宋" w:eastAsia="仿宋" w:cs="仿宋"/>
          <w:b/>
          <w:bCs/>
          <w:sz w:val="24"/>
          <w:szCs w:val="24"/>
        </w:rPr>
        <w:t>本项目属于</w:t>
      </w: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类，</w:t>
      </w:r>
      <w:r>
        <w:rPr>
          <w:rFonts w:hint="eastAsia" w:ascii="仿宋" w:hAnsi="仿宋" w:eastAsia="仿宋" w:cs="仿宋"/>
          <w:b/>
          <w:bCs/>
          <w:kern w:val="0"/>
          <w:sz w:val="24"/>
          <w:szCs w:val="24"/>
        </w:rPr>
        <w:t>所属行业为软件和信息技术服务业</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（2）残疾人福利性单位声明函（如适用，请提供，格式见附件2）；</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（3）监狱</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戒毒</w:t>
      </w:r>
      <w:r>
        <w:rPr>
          <w:rFonts w:hint="eastAsia" w:ascii="仿宋" w:hAnsi="仿宋" w:eastAsia="仿宋" w:cs="仿宋"/>
          <w:sz w:val="24"/>
          <w:szCs w:val="24"/>
        </w:rPr>
        <w:t>企业声明函（如适用，请提供，格式见附件</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w:t>
      </w: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pageBreakBefore/>
        <w:adjustRightInd w:val="0"/>
        <w:snapToGrid w:val="0"/>
        <w:spacing w:line="360" w:lineRule="auto"/>
        <w:jc w:val="left"/>
        <w:rPr>
          <w:rFonts w:hint="eastAsia" w:ascii="仿宋" w:hAnsi="仿宋" w:eastAsia="仿宋" w:cs="仿宋"/>
          <w:b/>
          <w:bCs/>
          <w:sz w:val="24"/>
          <w:szCs w:val="24"/>
          <w:lang w:eastAsia="zh-CN"/>
        </w:rPr>
      </w:pPr>
      <w:r>
        <w:rPr>
          <w:rFonts w:hint="eastAsia" w:ascii="仿宋" w:hAnsi="仿宋" w:eastAsia="仿宋" w:cs="仿宋"/>
          <w:b/>
          <w:bCs/>
          <w:sz w:val="24"/>
          <w:szCs w:val="24"/>
        </w:rPr>
        <w:t>附件1</w:t>
      </w:r>
      <w:r>
        <w:rPr>
          <w:rFonts w:hint="eastAsia" w:ascii="仿宋" w:hAnsi="仿宋" w:eastAsia="仿宋" w:cs="仿宋"/>
          <w:b/>
          <w:bCs/>
          <w:sz w:val="24"/>
          <w:szCs w:val="24"/>
          <w:lang w:eastAsia="zh-CN"/>
        </w:rPr>
        <w:t>：</w:t>
      </w:r>
    </w:p>
    <w:p>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w:t>
      </w:r>
      <w:r>
        <w:rPr>
          <w:rFonts w:hint="eastAsia" w:ascii="仿宋" w:hAnsi="仿宋" w:eastAsia="仿宋" w:cs="仿宋"/>
          <w:b/>
          <w:bCs/>
          <w:sz w:val="28"/>
          <w:szCs w:val="24"/>
        </w:rPr>
        <w:t>（</w:t>
      </w:r>
      <w:r>
        <w:rPr>
          <w:rFonts w:hint="eastAsia" w:ascii="仿宋" w:hAnsi="仿宋" w:eastAsia="仿宋" w:cs="仿宋"/>
          <w:b/>
          <w:bCs/>
          <w:sz w:val="28"/>
          <w:szCs w:val="24"/>
          <w:lang w:val="en-US" w:eastAsia="zh-CN"/>
        </w:rPr>
        <w:t>服务</w:t>
      </w:r>
      <w:r>
        <w:rPr>
          <w:rFonts w:hint="eastAsia" w:ascii="仿宋" w:hAnsi="仿宋" w:eastAsia="仿宋" w:cs="仿宋"/>
          <w:b/>
          <w:bCs/>
          <w:sz w:val="28"/>
          <w:szCs w:val="24"/>
        </w:rPr>
        <w:t>）</w:t>
      </w:r>
    </w:p>
    <w:p>
      <w:pPr>
        <w:jc w:val="center"/>
        <w:rPr>
          <w:rFonts w:hint="eastAsia" w:ascii="宋体" w:hAnsi="宋体" w:cs="宋体"/>
          <w:b/>
          <w:bCs/>
          <w:sz w:val="28"/>
          <w:szCs w:val="36"/>
        </w:rPr>
      </w:pPr>
      <w:r>
        <w:rPr>
          <w:rFonts w:hint="eastAsia" w:ascii="宋体" w:hAnsi="宋体" w:cs="宋体"/>
          <w:b/>
          <w:bCs/>
          <w:sz w:val="28"/>
          <w:szCs w:val="36"/>
        </w:rPr>
        <w:t>(非中小微企业不填写)</w:t>
      </w:r>
    </w:p>
    <w:p>
      <w:pPr>
        <w:pStyle w:val="9"/>
        <w:spacing w:line="360" w:lineRule="auto"/>
        <w:ind w:right="415" w:firstLine="420" w:firstLineChars="200"/>
        <w:rPr>
          <w:rFonts w:hint="eastAsia" w:ascii="宋体" w:hAnsi="宋体" w:cs="宋体"/>
          <w:color w:val="auto"/>
          <w:sz w:val="21"/>
          <w:szCs w:val="21"/>
          <w:highlight w:val="none"/>
        </w:rPr>
      </w:pPr>
    </w:p>
    <w:p>
      <w:pPr>
        <w:pStyle w:val="9"/>
        <w:spacing w:line="360" w:lineRule="auto"/>
        <w:ind w:right="415"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lang w:eastAsia="zh-CN"/>
        </w:rPr>
        <w:t>（项目名称、标包名称）</w:t>
      </w:r>
      <w:r>
        <w:rPr>
          <w:rFonts w:hint="eastAsia" w:ascii="宋体" w:hAnsi="宋体" w:cs="宋体"/>
          <w:color w:val="auto"/>
          <w:sz w:val="21"/>
          <w:szCs w:val="21"/>
          <w:highlight w:val="none"/>
        </w:rPr>
        <w:t>采购活动，提供的货物全部由符合政策要求的中小企业制造。相关企业 （含联合体中的中小企业、签订分包意向协议的中小企业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的具体情况如下：</w:t>
      </w:r>
    </w:p>
    <w:p>
      <w:pPr>
        <w:pStyle w:val="34"/>
        <w:tabs>
          <w:tab w:val="left" w:pos="1243"/>
        </w:tabs>
        <w:spacing w:line="360" w:lineRule="auto"/>
        <w:ind w:left="420" w:leftChars="200" w:firstLine="480"/>
        <w:rPr>
          <w:rFonts w:hint="eastAsia" w:ascii="宋体" w:hAnsi="宋体" w:cs="宋体"/>
          <w:iCs/>
          <w:color w:val="auto"/>
          <w:sz w:val="21"/>
          <w:szCs w:val="21"/>
          <w:highlight w:val="none"/>
        </w:rPr>
      </w:pPr>
      <w:r>
        <w:rPr>
          <w:rFonts w:hint="eastAsia" w:ascii="宋体" w:hAnsi="宋体" w:cs="宋体"/>
          <w:iCs/>
          <w:color w:val="auto"/>
          <w:sz w:val="21"/>
          <w:szCs w:val="21"/>
          <w:highlight w:val="none"/>
        </w:rPr>
        <w:t>1、</w:t>
      </w:r>
      <w:r>
        <w:rPr>
          <w:rFonts w:hint="eastAsia" w:ascii="宋体" w:hAnsi="宋体" w:cs="宋体"/>
          <w:iCs/>
          <w:color w:val="auto"/>
          <w:sz w:val="21"/>
          <w:szCs w:val="21"/>
          <w:highlight w:val="none"/>
          <w:u w:val="single"/>
        </w:rPr>
        <w:t xml:space="preserve">（标的名称）  </w:t>
      </w:r>
      <w:r>
        <w:rPr>
          <w:rFonts w:hint="eastAsia" w:ascii="宋体" w:hAnsi="宋体" w:cs="宋体"/>
          <w:iCs/>
          <w:color w:val="auto"/>
          <w:sz w:val="21"/>
          <w:szCs w:val="21"/>
          <w:highlight w:val="none"/>
        </w:rPr>
        <w:t>，属于（</w:t>
      </w:r>
      <w:r>
        <w:rPr>
          <w:rFonts w:hint="eastAsia" w:ascii="宋体" w:hAnsi="宋体" w:cs="宋体"/>
          <w:iCs/>
          <w:color w:val="auto"/>
          <w:sz w:val="21"/>
          <w:szCs w:val="21"/>
          <w:highlight w:val="none"/>
          <w:u w:val="single"/>
        </w:rPr>
        <w:t>采购文件中明确的所属行业）</w:t>
      </w:r>
      <w:r>
        <w:rPr>
          <w:rFonts w:hint="eastAsia" w:ascii="宋体" w:hAnsi="宋体" w:cs="宋体"/>
          <w:iCs/>
          <w:color w:val="auto"/>
          <w:sz w:val="21"/>
          <w:szCs w:val="21"/>
          <w:highlight w:val="none"/>
        </w:rPr>
        <w:t>；制造商为</w:t>
      </w:r>
      <w:r>
        <w:rPr>
          <w:rFonts w:hint="eastAsia" w:ascii="宋体" w:hAnsi="宋体" w:cs="宋体"/>
          <w:iCs/>
          <w:color w:val="auto"/>
          <w:sz w:val="21"/>
          <w:szCs w:val="21"/>
          <w:highlight w:val="none"/>
          <w:u w:val="single"/>
        </w:rPr>
        <w:t>（企业名称）</w:t>
      </w:r>
      <w:r>
        <w:rPr>
          <w:rFonts w:hint="eastAsia" w:ascii="宋体" w:hAnsi="宋体" w:cs="宋体"/>
          <w:iCs/>
          <w:color w:val="auto"/>
          <w:sz w:val="21"/>
          <w:szCs w:val="21"/>
          <w:highlight w:val="none"/>
        </w:rPr>
        <w:t>，从业人员</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rPr>
        <w:tab/>
      </w:r>
      <w:r>
        <w:rPr>
          <w:rFonts w:hint="eastAsia" w:ascii="宋体" w:hAnsi="宋体" w:cs="宋体"/>
          <w:iCs/>
          <w:color w:val="auto"/>
          <w:sz w:val="21"/>
          <w:szCs w:val="21"/>
          <w:highlight w:val="none"/>
        </w:rPr>
        <w:t>人，营业收入为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rPr>
        <w:tab/>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万元，资产总额为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rPr>
        <w:tab/>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万元，属于</w:t>
      </w:r>
      <w:r>
        <w:rPr>
          <w:rFonts w:hint="eastAsia" w:ascii="宋体" w:hAnsi="宋体" w:cs="宋体"/>
          <w:iCs/>
          <w:color w:val="auto"/>
          <w:sz w:val="21"/>
          <w:szCs w:val="21"/>
          <w:highlight w:val="none"/>
          <w:u w:val="single"/>
        </w:rPr>
        <w:t>（中型企业、小型企业、微型企业）</w:t>
      </w:r>
      <w:r>
        <w:rPr>
          <w:rFonts w:hint="eastAsia" w:ascii="宋体" w:hAnsi="宋体" w:cs="宋体"/>
          <w:iCs/>
          <w:color w:val="auto"/>
          <w:sz w:val="21"/>
          <w:szCs w:val="21"/>
          <w:highlight w:val="none"/>
        </w:rPr>
        <w:t>；</w:t>
      </w:r>
    </w:p>
    <w:p>
      <w:pPr>
        <w:pStyle w:val="34"/>
        <w:tabs>
          <w:tab w:val="left" w:pos="1243"/>
          <w:tab w:val="left" w:pos="1806"/>
          <w:tab w:val="left" w:pos="5005"/>
          <w:tab w:val="left" w:pos="7213"/>
        </w:tabs>
        <w:spacing w:line="360" w:lineRule="auto"/>
        <w:ind w:left="420" w:leftChars="200" w:right="258" w:firstLine="480"/>
        <w:jc w:val="left"/>
        <w:rPr>
          <w:rFonts w:hint="eastAsia" w:ascii="宋体" w:hAnsi="宋体" w:cs="宋体"/>
          <w:iCs/>
          <w:color w:val="auto"/>
          <w:sz w:val="21"/>
          <w:szCs w:val="21"/>
          <w:highlight w:val="none"/>
        </w:rPr>
      </w:pPr>
      <w:r>
        <w:rPr>
          <w:rFonts w:hint="eastAsia" w:ascii="宋体" w:hAnsi="宋体" w:cs="宋体"/>
          <w:iCs/>
          <w:color w:val="auto"/>
          <w:sz w:val="21"/>
          <w:szCs w:val="21"/>
          <w:highlight w:val="none"/>
        </w:rPr>
        <w:t>2、</w:t>
      </w:r>
      <w:r>
        <w:rPr>
          <w:rFonts w:hint="eastAsia" w:ascii="宋体" w:hAnsi="宋体" w:cs="宋体"/>
          <w:iCs/>
          <w:color w:val="auto"/>
          <w:sz w:val="21"/>
          <w:szCs w:val="21"/>
          <w:highlight w:val="none"/>
          <w:u w:val="single"/>
        </w:rPr>
        <w:t xml:space="preserve">（标的名称）  </w:t>
      </w:r>
      <w:r>
        <w:rPr>
          <w:rFonts w:hint="eastAsia" w:ascii="宋体" w:hAnsi="宋体" w:cs="宋体"/>
          <w:iCs/>
          <w:color w:val="auto"/>
          <w:sz w:val="21"/>
          <w:szCs w:val="21"/>
          <w:highlight w:val="none"/>
        </w:rPr>
        <w:t>，属于（</w:t>
      </w:r>
      <w:r>
        <w:rPr>
          <w:rFonts w:hint="eastAsia" w:ascii="宋体" w:hAnsi="宋体" w:cs="宋体"/>
          <w:iCs/>
          <w:color w:val="auto"/>
          <w:sz w:val="21"/>
          <w:szCs w:val="21"/>
          <w:highlight w:val="none"/>
          <w:u w:val="single"/>
        </w:rPr>
        <w:t>采购文件中明确的所属行业）</w:t>
      </w:r>
      <w:r>
        <w:rPr>
          <w:rFonts w:hint="eastAsia" w:ascii="宋体" w:hAnsi="宋体" w:cs="宋体"/>
          <w:iCs/>
          <w:color w:val="auto"/>
          <w:sz w:val="21"/>
          <w:szCs w:val="21"/>
          <w:highlight w:val="none"/>
        </w:rPr>
        <w:t>；制造商为</w:t>
      </w:r>
      <w:r>
        <w:rPr>
          <w:rFonts w:hint="eastAsia" w:ascii="宋体" w:hAnsi="宋体" w:cs="宋体"/>
          <w:iCs/>
          <w:color w:val="auto"/>
          <w:sz w:val="21"/>
          <w:szCs w:val="21"/>
          <w:highlight w:val="none"/>
          <w:u w:val="single"/>
        </w:rPr>
        <w:t>（企业名称）</w:t>
      </w:r>
      <w:r>
        <w:rPr>
          <w:rFonts w:hint="eastAsia" w:ascii="宋体" w:hAnsi="宋体" w:cs="宋体"/>
          <w:iCs/>
          <w:color w:val="auto"/>
          <w:sz w:val="21"/>
          <w:szCs w:val="21"/>
          <w:highlight w:val="none"/>
        </w:rPr>
        <w:t>，从业人员</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人，营业收入为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万元，资产总额为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lang w:val="en-US" w:eastAsia="zh-CN"/>
        </w:rPr>
        <w:t xml:space="preserve">     </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万元，属于</w:t>
      </w:r>
      <w:r>
        <w:rPr>
          <w:rFonts w:hint="eastAsia" w:ascii="宋体" w:hAnsi="宋体" w:cs="宋体"/>
          <w:iCs/>
          <w:color w:val="auto"/>
          <w:sz w:val="21"/>
          <w:szCs w:val="21"/>
          <w:highlight w:val="none"/>
          <w:u w:val="single"/>
        </w:rPr>
        <w:t>（中型企业、小型企业、微型企业）</w:t>
      </w:r>
      <w:r>
        <w:rPr>
          <w:rFonts w:hint="eastAsia" w:ascii="宋体" w:hAnsi="宋体" w:cs="宋体"/>
          <w:iCs/>
          <w:color w:val="auto"/>
          <w:sz w:val="21"/>
          <w:szCs w:val="21"/>
          <w:highlight w:val="none"/>
        </w:rPr>
        <w:t>；</w:t>
      </w:r>
    </w:p>
    <w:p>
      <w:pPr>
        <w:pStyle w:val="9"/>
        <w:spacing w:before="11" w:line="360" w:lineRule="auto"/>
        <w:ind w:left="86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pPr>
        <w:pStyle w:val="9"/>
        <w:spacing w:before="108" w:line="360" w:lineRule="auto"/>
        <w:ind w:right="417"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pPr>
        <w:pStyle w:val="9"/>
        <w:spacing w:line="360" w:lineRule="auto"/>
        <w:ind w:right="375"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pPr>
        <w:pStyle w:val="9"/>
        <w:spacing w:before="29" w:line="360" w:lineRule="auto"/>
        <w:ind w:left="4060" w:right="2166" w:firstLine="420" w:firstLineChars="200"/>
        <w:rPr>
          <w:rFonts w:hint="eastAsia" w:ascii="宋体" w:hAnsi="宋体" w:cs="宋体"/>
          <w:color w:val="auto"/>
          <w:sz w:val="21"/>
          <w:szCs w:val="21"/>
          <w:highlight w:val="none"/>
        </w:rPr>
      </w:pPr>
    </w:p>
    <w:p>
      <w:pPr>
        <w:pStyle w:val="9"/>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企业名称（盖章）：</w:t>
      </w:r>
      <w:r>
        <w:rPr>
          <w:rFonts w:hint="eastAsia" w:ascii="宋体" w:hAnsi="宋体" w:cs="宋体"/>
          <w:color w:val="auto"/>
          <w:sz w:val="21"/>
          <w:szCs w:val="21"/>
          <w:highlight w:val="none"/>
          <w:u w:val="single"/>
          <w:lang w:val="en-US" w:eastAsia="zh-CN"/>
        </w:rPr>
        <w:t xml:space="preserve">                 </w:t>
      </w:r>
    </w:p>
    <w:p>
      <w:pPr>
        <w:pStyle w:val="9"/>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textAlignment w:val="auto"/>
        <w:rPr>
          <w:rFonts w:hint="default" w:ascii="宋体" w:hAnsi="宋体" w:cs="宋体"/>
          <w:color w:val="auto"/>
          <w:sz w:val="21"/>
          <w:szCs w:val="21"/>
          <w:highlight w:val="none"/>
          <w:lang w:val="en-US"/>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lang w:val="en-US" w:eastAsia="zh-CN"/>
        </w:rPr>
        <w:t xml:space="preserve">                             </w:t>
      </w: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ind w:firstLine="420" w:firstLineChars="200"/>
        <w:jc w:val="left"/>
        <w:rPr>
          <w:rFonts w:hint="eastAsia" w:ascii="宋体" w:hAnsi="宋体" w:eastAsia="仿宋"/>
          <w:color w:val="auto"/>
          <w:sz w:val="24"/>
          <w:szCs w:val="24"/>
          <w:highlight w:val="none"/>
          <w:lang w:eastAsia="zh-CN"/>
        </w:rPr>
      </w:pPr>
      <w:r>
        <w:rPr>
          <w:rFonts w:hint="eastAsia" w:ascii="宋体" w:hAnsi="宋体"/>
          <w:color w:val="auto"/>
          <w:sz w:val="21"/>
          <w:szCs w:val="21"/>
          <w:highlight w:val="none"/>
        </w:rPr>
        <w:t>注：从业人员、营业收入、资产总额填报上一年度数据，无上一年度数据的新成立企业可不填报。</w:t>
      </w:r>
      <w:r>
        <w:rPr>
          <w:rFonts w:ascii="宋体" w:hAnsi="宋体"/>
          <w:color w:val="auto"/>
          <w:sz w:val="24"/>
          <w:szCs w:val="24"/>
          <w:highlight w:val="none"/>
        </w:rPr>
        <w:br w:type="column"/>
      </w: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2：</w:t>
      </w:r>
    </w:p>
    <w:p>
      <w:pPr>
        <w:spacing w:line="360" w:lineRule="auto"/>
        <w:ind w:firstLine="480" w:firstLineChars="200"/>
        <w:jc w:val="left"/>
        <w:rPr>
          <w:rFonts w:ascii="宋体" w:hAnsi="宋体"/>
          <w:color w:val="auto"/>
          <w:sz w:val="24"/>
          <w:szCs w:val="24"/>
          <w:highlight w:val="none"/>
        </w:rPr>
      </w:pPr>
    </w:p>
    <w:p>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残疾人福利性单位声明函</w:t>
      </w:r>
    </w:p>
    <w:p>
      <w:pPr>
        <w:jc w:val="center"/>
        <w:rPr>
          <w:rFonts w:hint="eastAsia" w:ascii="宋体" w:hAnsi="宋体"/>
          <w:color w:val="auto"/>
          <w:sz w:val="21"/>
          <w:szCs w:val="21"/>
          <w:highlight w:val="none"/>
        </w:rPr>
      </w:pPr>
      <w:r>
        <w:rPr>
          <w:rFonts w:hint="eastAsia" w:ascii="宋体" w:hAnsi="宋体" w:cs="宋体"/>
          <w:b/>
          <w:bCs/>
          <w:sz w:val="28"/>
          <w:szCs w:val="36"/>
          <w:lang w:val="zh-CN"/>
        </w:rPr>
        <w:t>（非</w:t>
      </w:r>
      <w:r>
        <w:rPr>
          <w:rFonts w:hint="eastAsia" w:ascii="宋体" w:hAnsi="宋体" w:cs="宋体"/>
          <w:b/>
          <w:bCs/>
          <w:sz w:val="28"/>
          <w:szCs w:val="36"/>
        </w:rPr>
        <w:t>残疾人福利企业</w:t>
      </w:r>
      <w:r>
        <w:rPr>
          <w:rFonts w:hint="eastAsia" w:ascii="宋体" w:hAnsi="宋体" w:cs="宋体"/>
          <w:b/>
          <w:bCs/>
          <w:sz w:val="28"/>
          <w:szCs w:val="36"/>
          <w:lang w:val="zh-CN"/>
        </w:rPr>
        <w:t>不</w:t>
      </w:r>
      <w:r>
        <w:rPr>
          <w:rFonts w:hint="eastAsia" w:ascii="宋体" w:hAnsi="宋体" w:cs="宋体"/>
          <w:b/>
          <w:bCs/>
          <w:sz w:val="28"/>
          <w:szCs w:val="36"/>
        </w:rPr>
        <w:t>填写</w:t>
      </w:r>
      <w:r>
        <w:rPr>
          <w:rFonts w:hint="eastAsia" w:ascii="宋体" w:hAnsi="宋体" w:cs="宋体"/>
          <w:b/>
          <w:bCs/>
          <w:sz w:val="28"/>
          <w:szCs w:val="36"/>
          <w:lang w:val="zh-CN"/>
        </w:rPr>
        <w:t>）</w:t>
      </w:r>
    </w:p>
    <w:p>
      <w:pPr>
        <w:spacing w:line="360" w:lineRule="auto"/>
        <w:ind w:firstLine="420" w:firstLineChars="200"/>
        <w:rPr>
          <w:rFonts w:hint="eastAsia" w:ascii="宋体" w:hAnsi="宋体"/>
          <w:color w:val="auto"/>
          <w:sz w:val="21"/>
          <w:szCs w:val="21"/>
          <w:highlight w:val="none"/>
        </w:rPr>
      </w:pP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单位的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本单位对上述声明的真实性负责。如有虚假，将依法承担相应责任。</w:t>
      </w: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p>
    <w:p>
      <w:pPr>
        <w:pStyle w:val="9"/>
        <w:spacing w:before="29" w:line="360" w:lineRule="auto"/>
        <w:ind w:left="4060" w:right="2166" w:firstLine="420" w:firstLineChars="200"/>
        <w:rPr>
          <w:rFonts w:hint="eastAsia" w:ascii="宋体" w:hAnsi="宋体" w:cs="宋体"/>
          <w:color w:val="auto"/>
          <w:sz w:val="21"/>
          <w:szCs w:val="21"/>
          <w:highlight w:val="none"/>
        </w:rPr>
      </w:pPr>
    </w:p>
    <w:p>
      <w:pPr>
        <w:pStyle w:val="9"/>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企业名称（盖章）：</w:t>
      </w:r>
      <w:r>
        <w:rPr>
          <w:rFonts w:hint="eastAsia" w:ascii="宋体" w:hAnsi="宋体" w:cs="宋体"/>
          <w:color w:val="auto"/>
          <w:sz w:val="21"/>
          <w:szCs w:val="21"/>
          <w:highlight w:val="none"/>
          <w:u w:val="single"/>
          <w:lang w:val="en-US" w:eastAsia="zh-CN"/>
        </w:rPr>
        <w:t xml:space="preserve">                 </w:t>
      </w:r>
    </w:p>
    <w:p>
      <w:pPr>
        <w:pStyle w:val="9"/>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textAlignment w:val="auto"/>
        <w:rPr>
          <w:rFonts w:hint="default" w:ascii="宋体" w:hAnsi="宋体" w:cs="宋体"/>
          <w:color w:val="auto"/>
          <w:sz w:val="21"/>
          <w:szCs w:val="21"/>
          <w:highlight w:val="none"/>
          <w:lang w:val="en-US"/>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lang w:val="en-US" w:eastAsia="zh-CN"/>
        </w:rPr>
        <w:t xml:space="preserve">                             </w:t>
      </w:r>
    </w:p>
    <w:p>
      <w:pPr>
        <w:spacing w:line="360" w:lineRule="auto"/>
        <w:rPr>
          <w:rFonts w:hint="eastAsia" w:ascii="宋体" w:hAnsi="宋体"/>
          <w:color w:val="auto"/>
          <w:sz w:val="21"/>
          <w:szCs w:val="21"/>
          <w:highlight w:val="none"/>
        </w:rPr>
      </w:pPr>
    </w:p>
    <w:p>
      <w:pPr>
        <w:spacing w:line="360" w:lineRule="auto"/>
        <w:rPr>
          <w:rFonts w:hint="eastAsia" w:ascii="宋体" w:hAnsi="宋体"/>
          <w:color w:val="auto"/>
          <w:sz w:val="21"/>
          <w:szCs w:val="21"/>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pageBreakBefore/>
        <w:spacing w:line="360" w:lineRule="auto"/>
        <w:rPr>
          <w:rFonts w:ascii="仿宋" w:hAnsi="仿宋" w:eastAsia="仿宋" w:cs="仿宋"/>
          <w:b/>
          <w:sz w:val="24"/>
          <w:szCs w:val="24"/>
        </w:rPr>
      </w:pPr>
      <w:r>
        <w:rPr>
          <w:rFonts w:hint="eastAsia" w:ascii="仿宋" w:hAnsi="仿宋" w:eastAsia="仿宋" w:cs="仿宋"/>
          <w:b/>
          <w:sz w:val="24"/>
          <w:szCs w:val="24"/>
        </w:rPr>
        <w:t>附件3：</w:t>
      </w:r>
    </w:p>
    <w:p>
      <w:pPr>
        <w:spacing w:line="360" w:lineRule="auto"/>
        <w:jc w:val="cente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eastAsia="zh-CN"/>
        </w:rPr>
        <w:t>监狱、戒毒企业声明函</w:t>
      </w:r>
    </w:p>
    <w:p>
      <w:pPr>
        <w:jc w:val="center"/>
        <w:rPr>
          <w:rFonts w:hint="eastAsia" w:ascii="宋体" w:hAnsi="宋体" w:cs="宋体"/>
          <w:b/>
          <w:bCs/>
          <w:sz w:val="28"/>
          <w:szCs w:val="36"/>
        </w:rPr>
      </w:pPr>
      <w:r>
        <w:rPr>
          <w:rFonts w:hint="eastAsia" w:ascii="宋体" w:hAnsi="宋体" w:cs="宋体"/>
          <w:b/>
          <w:bCs/>
          <w:sz w:val="28"/>
          <w:szCs w:val="36"/>
          <w:lang w:val="zh-CN"/>
        </w:rPr>
        <w:t>（非监狱、戒毒企业不</w:t>
      </w:r>
      <w:r>
        <w:rPr>
          <w:rFonts w:hint="eastAsia" w:ascii="宋体" w:hAnsi="宋体" w:cs="宋体"/>
          <w:b/>
          <w:bCs/>
          <w:sz w:val="28"/>
          <w:szCs w:val="36"/>
        </w:rPr>
        <w:t>填写</w:t>
      </w:r>
      <w:r>
        <w:rPr>
          <w:rFonts w:hint="eastAsia" w:ascii="宋体" w:hAnsi="宋体" w:cs="宋体"/>
          <w:b/>
          <w:bCs/>
          <w:sz w:val="28"/>
          <w:szCs w:val="36"/>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宋体"/>
          <w:spacing w:val="6"/>
          <w:sz w:val="21"/>
          <w:szCs w:val="21"/>
        </w:rPr>
      </w:pPr>
    </w:p>
    <w:p>
      <w:pPr>
        <w:spacing w:line="360" w:lineRule="auto"/>
        <w:ind w:firstLine="480" w:firstLineChars="200"/>
        <w:rPr>
          <w:rFonts w:hint="eastAsia" w:ascii="宋体" w:hAnsi="宋体" w:cs="宋体"/>
          <w:sz w:val="24"/>
        </w:rPr>
      </w:pPr>
      <w:r>
        <w:rPr>
          <w:rFonts w:hint="eastAsia" w:ascii="宋体" w:hAnsi="宋体" w:cs="宋体"/>
          <w:sz w:val="24"/>
        </w:rPr>
        <w:t>本单位郑重声明，根据《</w:t>
      </w:r>
      <w:r>
        <w:rPr>
          <w:rFonts w:hint="eastAsia" w:ascii="宋体" w:hAnsi="宋体" w:cs="宋体"/>
          <w:spacing w:val="-4"/>
          <w:kern w:val="0"/>
          <w:sz w:val="24"/>
        </w:rPr>
        <w:t>财政部 司法部 关于政府采购支持监狱企业发展有关问题的通知</w:t>
      </w:r>
      <w:r>
        <w:rPr>
          <w:rFonts w:hint="eastAsia" w:ascii="宋体" w:hAnsi="宋体" w:cs="宋体"/>
          <w:sz w:val="24"/>
        </w:rPr>
        <w:t>》（财库〔2014〕 68号）的规定，本单位为符合条件的监狱、戒毒企业，且本单位参加的</w:t>
      </w:r>
      <w:r>
        <w:rPr>
          <w:rFonts w:hint="eastAsia" w:ascii="宋体" w:hAnsi="宋体" w:cs="宋体"/>
          <w:sz w:val="24"/>
          <w:u w:val="single"/>
          <w:lang w:val="en-US" w:eastAsia="zh-CN"/>
        </w:rPr>
        <w:t xml:space="preserve">               </w:t>
      </w:r>
      <w:r>
        <w:rPr>
          <w:rFonts w:hint="eastAsia" w:ascii="宋体" w:hAnsi="宋体" w:cs="宋体"/>
          <w:sz w:val="24"/>
        </w:rPr>
        <w:t>项目采购活动提供本单位制造的货物（由本单位承担工程/提供服务），或者提供其他监狱、戒毒企业制造的货物（不包括使用非监狱、戒毒企业注册商标的货物）。</w:t>
      </w:r>
    </w:p>
    <w:p>
      <w:pPr>
        <w:spacing w:line="36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tabs>
          <w:tab w:val="left" w:pos="4860"/>
          <w:tab w:val="left" w:pos="8040"/>
          <w:tab w:val="left" w:pos="8160"/>
        </w:tabs>
        <w:spacing w:line="360" w:lineRule="auto"/>
        <w:ind w:right="862" w:firstLine="480" w:firstLineChars="200"/>
        <w:jc w:val="center"/>
        <w:rPr>
          <w:rFonts w:hint="eastAsia" w:ascii="宋体" w:hAnsi="宋体" w:cs="宋体"/>
          <w:sz w:val="24"/>
          <w:u w:val="single"/>
        </w:rPr>
      </w:pPr>
      <w:r>
        <w:rPr>
          <w:rFonts w:hint="eastAsia" w:ascii="宋体" w:hAnsi="宋体" w:cs="宋体"/>
          <w:sz w:val="24"/>
        </w:rPr>
        <w:t xml:space="preserve">            企业名称</w:t>
      </w:r>
      <w:r>
        <w:rPr>
          <w:rFonts w:hint="eastAsia" w:ascii="宋体" w:hAnsi="宋体" w:cs="宋体"/>
          <w:sz w:val="24"/>
          <w:lang w:val="zh-CN"/>
        </w:rPr>
        <w:t>（</w:t>
      </w:r>
      <w:r>
        <w:rPr>
          <w:rFonts w:hint="eastAsia" w:ascii="宋体" w:hAnsi="宋体" w:cs="宋体"/>
          <w:sz w:val="24"/>
        </w:rPr>
        <w:t>盖</w:t>
      </w:r>
      <w:r>
        <w:rPr>
          <w:rFonts w:hint="eastAsia" w:ascii="宋体" w:hAnsi="宋体" w:cs="宋体"/>
          <w:sz w:val="24"/>
          <w:lang w:val="zh-CN"/>
        </w:rPr>
        <w:t>章）：</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r>
        <w:rPr>
          <w:rFonts w:hint="eastAsia" w:ascii="宋体" w:hAnsi="宋体" w:cs="宋体"/>
          <w:sz w:val="24"/>
          <w:u w:val="single"/>
        </w:rPr>
        <w:t xml:space="preserve">     </w:t>
      </w:r>
    </w:p>
    <w:p>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134" w:firstLine="480" w:firstLineChars="200"/>
        <w:jc w:val="center"/>
        <w:textAlignment w:val="auto"/>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06" w:firstLineChars="200"/>
        <w:rPr>
          <w:rFonts w:hint="eastAsia" w:ascii="宋体" w:hAnsi="宋体" w:cs="宋体"/>
          <w:b/>
          <w:spacing w:val="6"/>
          <w:sz w:val="24"/>
          <w:shd w:val="pct10" w:color="auto" w:fill="FFFFFF"/>
        </w:rPr>
      </w:pPr>
    </w:p>
    <w:p>
      <w:pPr>
        <w:spacing w:line="360" w:lineRule="auto"/>
        <w:ind w:firstLine="506" w:firstLineChars="200"/>
        <w:rPr>
          <w:rFonts w:hint="eastAsia" w:ascii="宋体" w:hAnsi="宋体" w:cs="宋体"/>
          <w:b/>
          <w:spacing w:val="6"/>
          <w:sz w:val="24"/>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6"/>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监狱企业参加政府采购活动时，应当提供由省级以上监狱管理局、戒毒管理局（含新疆生产建设兵团）出具的属于监狱企业的证明文件。</w:t>
      </w:r>
    </w:p>
    <w:p>
      <w:pPr>
        <w:spacing w:line="360" w:lineRule="auto"/>
        <w:rPr>
          <w:rFonts w:hint="eastAsia" w:ascii="宋体" w:hAnsi="宋体"/>
          <w:color w:val="auto"/>
          <w:sz w:val="21"/>
          <w:szCs w:val="21"/>
          <w:highlight w:val="none"/>
        </w:rPr>
      </w:pPr>
    </w:p>
    <w:p>
      <w:pPr>
        <w:rPr>
          <w:rFonts w:hint="eastAsia"/>
          <w:color w:val="auto"/>
          <w:sz w:val="28"/>
          <w:szCs w:val="22"/>
          <w:highlight w:val="none"/>
          <w:lang w:val="en-US" w:eastAsia="zh-CN"/>
        </w:rPr>
      </w:pPr>
      <w:r>
        <w:rPr>
          <w:rFonts w:hint="eastAsia"/>
          <w:color w:val="auto"/>
          <w:sz w:val="28"/>
          <w:szCs w:val="22"/>
          <w:highlight w:val="none"/>
          <w:lang w:val="en-US" w:eastAsia="zh-CN"/>
        </w:rPr>
        <w:br w:type="page"/>
      </w:r>
    </w:p>
    <w:bookmarkEnd w:id="285"/>
    <w:p>
      <w:pPr>
        <w:pStyle w:val="3"/>
        <w:bidi w:val="0"/>
        <w:ind w:left="0" w:firstLine="0"/>
        <w:rPr>
          <w:rFonts w:hint="eastAsia" w:ascii="宋体" w:hAnsi="宋体" w:eastAsia="宋体"/>
          <w:color w:val="auto"/>
          <w:sz w:val="28"/>
          <w:szCs w:val="22"/>
          <w:highlight w:val="none"/>
          <w:lang w:val="en-US" w:eastAsia="zh-CN"/>
        </w:rPr>
      </w:pPr>
      <w:r>
        <w:rPr>
          <w:rFonts w:hint="eastAsia"/>
          <w:color w:val="auto"/>
          <w:sz w:val="28"/>
          <w:szCs w:val="22"/>
          <w:highlight w:val="none"/>
          <w:lang w:val="en-US" w:eastAsia="zh-CN"/>
        </w:rPr>
        <w:t>七</w:t>
      </w:r>
      <w:r>
        <w:rPr>
          <w:rFonts w:hint="eastAsia" w:ascii="宋体" w:hAnsi="宋体" w:eastAsia="宋体"/>
          <w:color w:val="auto"/>
          <w:sz w:val="28"/>
          <w:szCs w:val="22"/>
          <w:highlight w:val="none"/>
          <w:lang w:val="en-US" w:eastAsia="zh-CN"/>
        </w:rPr>
        <w:t>、投标人认为需要提供的其他资料</w:t>
      </w:r>
    </w:p>
    <w:p>
      <w:pPr>
        <w:pStyle w:val="14"/>
        <w:jc w:val="both"/>
        <w:rPr>
          <w:rFonts w:hint="default"/>
          <w:color w:val="auto"/>
          <w:highlight w:val="none"/>
          <w:lang w:val="en-US" w:eastAsia="zh-CN"/>
        </w:rPr>
      </w:pPr>
      <w:r>
        <w:rPr>
          <w:rFonts w:hint="eastAsia"/>
          <w:color w:val="auto"/>
          <w:highlight w:val="none"/>
          <w:lang w:val="en-US" w:eastAsia="zh-CN"/>
        </w:rPr>
        <w:t>1、承诺书</w:t>
      </w:r>
    </w:p>
    <w:p>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hAnsi="宋体" w:cs="宋体"/>
          <w:b/>
          <w:sz w:val="32"/>
        </w:rPr>
      </w:pPr>
    </w:p>
    <w:p>
      <w:pPr>
        <w:pStyle w:val="14"/>
        <w:jc w:val="center"/>
        <w:rPr>
          <w:rFonts w:hint="eastAsia" w:hAnsi="宋体" w:cs="宋体"/>
          <w:b/>
          <w:sz w:val="32"/>
        </w:rPr>
      </w:pPr>
      <w:r>
        <w:rPr>
          <w:rFonts w:hint="eastAsia" w:hAnsi="宋体" w:cs="宋体"/>
          <w:b/>
          <w:sz w:val="32"/>
        </w:rPr>
        <w:t>陕西省政府采购供应商拒绝政府采购领域商业贿赂承诺书</w:t>
      </w:r>
    </w:p>
    <w:p>
      <w:pPr>
        <w:rPr>
          <w:rFonts w:hint="eastAsia" w:ascii="宋体" w:hAnsi="宋体" w:cs="宋体"/>
        </w:rPr>
      </w:pPr>
    </w:p>
    <w:p>
      <w:pPr>
        <w:spacing w:line="360" w:lineRule="auto"/>
        <w:ind w:firstLine="360" w:firstLineChars="150"/>
        <w:rPr>
          <w:rFonts w:hint="eastAsia" w:ascii="宋体" w:hAnsi="宋体" w:cs="宋体"/>
          <w:sz w:val="24"/>
          <w:szCs w:val="28"/>
        </w:rPr>
      </w:pPr>
      <w:r>
        <w:rPr>
          <w:rFonts w:hint="eastAsia" w:ascii="宋体" w:hAnsi="宋体" w:cs="宋体"/>
          <w:sz w:val="24"/>
          <w:szCs w:val="28"/>
        </w:rPr>
        <w:t xml:space="preserve"> 为响应党中央、国务院关于治理政府采购领域商业贿赂行为的号召，我公司在此庄严承诺：</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1、在参与政府采购活动中遵纪守法、诚信经营、公平竞标。</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2、不向政府采购人、采购代理机构和政府采购评审专家进行任何形式的商业贿赂以谋取交易机会。</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3、不向政府采购代理机构和采购人提供虚假资格文件或采用虚假应标方式参与政府采购市场竞争并谋取成交。</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4、不采取“围标、陪标”等商业欺诈手段获得政府采购订单。</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5、不采取不正当手段诋毁、排挤其他供应商。</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6、不在提供商品和服务时“偷梁换柱、以次充好”损害采购人的合法权益。</w:t>
      </w:r>
    </w:p>
    <w:p>
      <w:pPr>
        <w:spacing w:line="360" w:lineRule="auto"/>
        <w:ind w:left="239" w:leftChars="114" w:firstLine="240" w:firstLineChars="100"/>
        <w:rPr>
          <w:rFonts w:hint="eastAsia" w:ascii="宋体" w:hAnsi="宋体" w:cs="宋体"/>
          <w:sz w:val="24"/>
          <w:szCs w:val="28"/>
        </w:rPr>
      </w:pPr>
      <w:r>
        <w:rPr>
          <w:rFonts w:hint="eastAsia" w:ascii="宋体" w:hAnsi="宋体" w:cs="宋体"/>
          <w:sz w:val="24"/>
          <w:szCs w:val="28"/>
        </w:rPr>
        <w:t>7、不与采购人、采购代理机构政府采购评审专家或其他供应商恶意串通，进行质疑和投诉，维护政府采购市场秩序。</w:t>
      </w:r>
    </w:p>
    <w:p>
      <w:pPr>
        <w:spacing w:line="360" w:lineRule="auto"/>
        <w:ind w:left="239" w:leftChars="114" w:firstLine="240" w:firstLineChars="100"/>
        <w:rPr>
          <w:rFonts w:hint="eastAsia" w:ascii="宋体" w:hAnsi="宋体" w:cs="宋体"/>
          <w:sz w:val="24"/>
          <w:szCs w:val="28"/>
        </w:rPr>
      </w:pPr>
      <w:r>
        <w:rPr>
          <w:rFonts w:hint="eastAsia" w:ascii="宋体" w:hAnsi="宋体" w:cs="宋体"/>
          <w:sz w:val="24"/>
          <w:szCs w:val="28"/>
        </w:rPr>
        <w:t>8、尊重和接受政府采购监督管理部门的监督和政府采购代理机构磋商采购要求，承担因违约行为给采购人造成的损失。</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9、不发生其它有悖于政府采购公开、公平、公正和诚信原则的行为。</w:t>
      </w:r>
    </w:p>
    <w:p>
      <w:pPr>
        <w:spacing w:line="360" w:lineRule="auto"/>
        <w:ind w:firstLine="360" w:firstLineChars="150"/>
        <w:rPr>
          <w:rFonts w:hint="eastAsia" w:ascii="宋体" w:hAnsi="宋体" w:cs="宋体"/>
          <w:sz w:val="24"/>
          <w:szCs w:val="28"/>
        </w:rPr>
      </w:pPr>
    </w:p>
    <w:p>
      <w:pPr>
        <w:spacing w:line="360" w:lineRule="auto"/>
        <w:ind w:firstLine="480" w:firstLineChars="200"/>
        <w:rPr>
          <w:rFonts w:hint="eastAsia" w:ascii="宋体" w:hAnsi="宋体" w:cs="宋体"/>
          <w:sz w:val="24"/>
          <w:szCs w:val="28"/>
          <w:u w:val="single"/>
        </w:rPr>
      </w:pPr>
      <w:r>
        <w:rPr>
          <w:rFonts w:hint="eastAsia" w:ascii="宋体" w:hAnsi="宋体" w:cs="宋体"/>
          <w:sz w:val="24"/>
          <w:szCs w:val="28"/>
        </w:rPr>
        <w:t>承诺单位：（盖章）</w:t>
      </w:r>
      <w:r>
        <w:rPr>
          <w:rFonts w:hint="eastAsia" w:ascii="宋体" w:hAnsi="宋体" w:cs="宋体"/>
          <w:sz w:val="24"/>
          <w:szCs w:val="28"/>
          <w:u w:val="single"/>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全权代表：（签字）</w:t>
      </w:r>
      <w:r>
        <w:rPr>
          <w:rFonts w:hint="eastAsia" w:ascii="宋体" w:hAnsi="宋体" w:cs="宋体"/>
          <w:sz w:val="24"/>
          <w:szCs w:val="28"/>
          <w:u w:val="single"/>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地址：</w:t>
      </w:r>
      <w:r>
        <w:rPr>
          <w:rFonts w:hint="eastAsia" w:ascii="宋体" w:hAnsi="宋体" w:cs="宋体"/>
          <w:sz w:val="24"/>
          <w:szCs w:val="28"/>
          <w:u w:val="single"/>
        </w:rPr>
        <w:t xml:space="preserve">               </w:t>
      </w:r>
      <w:r>
        <w:rPr>
          <w:rFonts w:hint="eastAsia" w:ascii="宋体" w:hAnsi="宋体" w:cs="宋体"/>
          <w:sz w:val="24"/>
          <w:szCs w:val="28"/>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邮编：</w:t>
      </w:r>
      <w:r>
        <w:rPr>
          <w:rFonts w:hint="eastAsia" w:ascii="宋体" w:hAnsi="宋体" w:cs="宋体"/>
          <w:sz w:val="24"/>
          <w:szCs w:val="28"/>
          <w:u w:val="single"/>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电话：</w:t>
      </w:r>
      <w:r>
        <w:rPr>
          <w:rFonts w:hint="eastAsia" w:ascii="宋体" w:hAnsi="宋体" w:cs="宋体"/>
          <w:sz w:val="24"/>
          <w:szCs w:val="28"/>
          <w:u w:val="single"/>
        </w:rPr>
        <w:t xml:space="preserve">               </w:t>
      </w:r>
    </w:p>
    <w:p>
      <w:pPr>
        <w:spacing w:line="360" w:lineRule="auto"/>
        <w:ind w:right="480" w:firstLine="480" w:firstLineChars="200"/>
        <w:rPr>
          <w:rFonts w:hint="eastAsia" w:ascii="宋体" w:hAnsi="宋体" w:cs="宋体"/>
          <w:sz w:val="24"/>
          <w:szCs w:val="28"/>
        </w:rPr>
      </w:pPr>
      <w:r>
        <w:rPr>
          <w:rFonts w:hint="eastAsia" w:ascii="宋体" w:hAnsi="宋体" w:cs="宋体"/>
          <w:sz w:val="24"/>
          <w:szCs w:val="28"/>
        </w:rPr>
        <w:t>年  月  日</w:t>
      </w:r>
    </w:p>
    <w:p>
      <w:pPr>
        <w:rPr>
          <w:rFonts w:hint="eastAsia" w:eastAsia="宋体"/>
          <w:color w:val="auto"/>
          <w:highlight w:val="none"/>
          <w:lang w:val="en-US" w:eastAsia="zh-CN"/>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lang w:val="en-US" w:eastAsia="zh-CN"/>
        </w:rPr>
      </w:pPr>
      <w:r>
        <w:rPr>
          <w:rFonts w:hint="eastAsia"/>
          <w:color w:val="auto"/>
          <w:highlight w:val="none"/>
          <w:lang w:val="en-US" w:eastAsia="zh-CN"/>
        </w:rPr>
        <w:br w:type="page"/>
      </w:r>
    </w:p>
    <w:p>
      <w:pPr>
        <w:rPr>
          <w:rFonts w:hint="eastAsia" w:eastAsia="宋体"/>
          <w:color w:val="auto"/>
          <w:highlight w:val="none"/>
          <w:lang w:val="en-US" w:eastAsia="zh-CN"/>
        </w:rPr>
      </w:pPr>
      <w:r>
        <w:rPr>
          <w:rFonts w:hint="eastAsia"/>
          <w:color w:val="auto"/>
          <w:highlight w:val="none"/>
          <w:lang w:val="en-US" w:eastAsia="zh-CN"/>
        </w:rPr>
        <w:t>2、其他资料</w:t>
      </w:r>
    </w:p>
    <w:p>
      <w:pPr>
        <w:rPr>
          <w:rFonts w:hint="eastAsia"/>
          <w:color w:val="auto"/>
          <w:highlight w:val="none"/>
        </w:rPr>
      </w:pPr>
    </w:p>
    <w:p>
      <w:pPr>
        <w:pStyle w:val="3"/>
        <w:bidi w:val="0"/>
        <w:ind w:left="0" w:firstLine="0"/>
        <w:outlineLvl w:val="9"/>
        <w:rPr>
          <w:rFonts w:hint="eastAsia" w:ascii="宋体" w:hAnsi="宋体" w:eastAsia="宋体"/>
          <w:color w:val="auto"/>
          <w:sz w:val="28"/>
          <w:szCs w:val="22"/>
          <w:highlight w:val="none"/>
          <w:lang w:val="en-US" w:eastAsia="zh-CN"/>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r>
        <w:rPr>
          <w:rFonts w:hint="eastAsia"/>
          <w:color w:val="auto"/>
          <w:highlight w:val="none"/>
        </w:rPr>
        <w:t xml:space="preserve"> </w:t>
      </w:r>
    </w:p>
    <w:p>
      <w:pPr>
        <w:pStyle w:val="2"/>
        <w:spacing w:after="156"/>
        <w:jc w:val="center"/>
        <w:rPr>
          <w:rFonts w:hint="eastAsia"/>
          <w:color w:val="auto"/>
          <w:sz w:val="28"/>
          <w:highlight w:val="none"/>
        </w:rPr>
      </w:pPr>
      <w:bookmarkStart w:id="286" w:name="_Toc25722"/>
      <w:bookmarkStart w:id="287" w:name="_Toc21652"/>
      <w:r>
        <w:rPr>
          <w:rFonts w:hint="eastAsia"/>
          <w:color w:val="auto"/>
          <w:sz w:val="28"/>
          <w:highlight w:val="none"/>
          <w:lang w:val="en-US" w:eastAsia="zh-CN"/>
        </w:rPr>
        <w:t xml:space="preserve">第七章  </w:t>
      </w:r>
      <w:r>
        <w:rPr>
          <w:rFonts w:hint="eastAsia"/>
          <w:color w:val="auto"/>
          <w:sz w:val="28"/>
          <w:highlight w:val="none"/>
        </w:rPr>
        <w:t>质疑和投诉</w:t>
      </w:r>
      <w:bookmarkEnd w:id="286"/>
      <w:bookmarkEnd w:id="28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一）严格按照《中华人共和国政府采购法》及其实施条例、《政府采购质疑和投诉办法（财政部第94号令）》、《政府采购货物和服务招标投标管理办法》（财政部87号）、财政部和陕西省财政厅相关管理规定以及相关法规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（二）投标人提出质疑应当提交质疑函和必要的证明材料。质疑函应当包括下列内容：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1、投标人的姓名或者名称、地址、邮编、联系人及联系电话；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4、事实依据；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6、提出质疑的日期。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7、投标人为自然人的，应当由本人签字；投标人为法人或者其他组织的，应当由法定代表人、主要负责人，或者其授权代表签字或者盖章，并加盖公章。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8、采购代理机构应当在收到质疑函后7个工作日内作出答复，并以书面形式通知质疑投标人和其他有关投标人。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（三）质疑书范本</w:t>
      </w:r>
    </w:p>
    <w:p>
      <w:pPr>
        <w:spacing w:line="36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质疑函范本</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一、质疑投标人基本信息</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质疑投标人：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地址：          邮编：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联系人：        联系电话：</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授权代表：</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联系电话：</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地址：       邮编：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二、质疑项目基本情况</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质疑项目的名称：</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质疑项目的编号：    包号：</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采购人名称：</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采购文件获取日期：</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三、质疑事项具体内容</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质疑事项1：</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事实依据：</w:t>
      </w:r>
    </w:p>
    <w:p>
      <w:pPr>
        <w:spacing w:line="360" w:lineRule="auto"/>
        <w:ind w:firstLine="420" w:firstLineChars="200"/>
        <w:rPr>
          <w:rFonts w:ascii="宋体" w:hAnsi="宋体"/>
          <w:color w:val="auto"/>
          <w:sz w:val="21"/>
          <w:szCs w:val="21"/>
          <w:highlight w:val="none"/>
        </w:rPr>
      </w:pP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法律依据：</w:t>
      </w:r>
    </w:p>
    <w:p>
      <w:pPr>
        <w:spacing w:line="360" w:lineRule="auto"/>
        <w:ind w:firstLine="420" w:firstLineChars="200"/>
        <w:rPr>
          <w:rFonts w:ascii="宋体" w:hAnsi="宋体"/>
          <w:color w:val="auto"/>
          <w:sz w:val="21"/>
          <w:szCs w:val="21"/>
          <w:highlight w:val="none"/>
        </w:rPr>
      </w:pP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质疑事项2</w:t>
      </w:r>
      <w:r>
        <w:rPr>
          <w:rFonts w:hint="eastAsia" w:ascii="宋体" w:hAnsi="宋体"/>
          <w:color w:val="auto"/>
          <w:sz w:val="21"/>
          <w:szCs w:val="21"/>
          <w:highlight w:val="none"/>
          <w:lang w:eastAsia="zh-CN"/>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四、与质疑事项相关的质疑请求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请求：</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签字(签章)：                   公章：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（四）质疑函制作说明：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1、投标人提出质疑时，应提交质疑函和必要的证明材料。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3、质疑投标人若对项目的某一分包进行质疑，质疑函中应列明具体分包号。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5、质疑函的质疑请求应与质疑事项相关。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6、质疑投标人为自然人的，质疑函应由本人签字；质疑投标人为法人或者其他组织的，质疑函应由法定代表人、主要负责人，或者其授权代表签字或者盖章，并加盖公章。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7、质疑函的接收：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质疑受理联系电话：029-</w:t>
      </w:r>
      <w:r>
        <w:rPr>
          <w:rFonts w:hint="eastAsia" w:ascii="宋体" w:hAnsi="宋体"/>
          <w:color w:val="auto"/>
          <w:sz w:val="21"/>
          <w:szCs w:val="21"/>
          <w:highlight w:val="none"/>
          <w:lang w:val="en-US" w:eastAsia="zh-CN"/>
        </w:rPr>
        <w:t>89187077</w:t>
      </w:r>
      <w:r>
        <w:rPr>
          <w:rFonts w:hint="eastAsia" w:ascii="宋体" w:hAnsi="宋体"/>
          <w:color w:val="auto"/>
          <w:sz w:val="21"/>
          <w:szCs w:val="21"/>
          <w:highlight w:val="none"/>
        </w:rPr>
        <w:t>，联系人：</w:t>
      </w:r>
      <w:r>
        <w:rPr>
          <w:rFonts w:hint="eastAsia" w:ascii="宋体" w:hAnsi="宋体"/>
          <w:color w:val="auto"/>
          <w:sz w:val="21"/>
          <w:szCs w:val="21"/>
          <w:highlight w:val="none"/>
          <w:lang w:val="en-US" w:eastAsia="zh-CN"/>
        </w:rPr>
        <w:t>赵工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（五）有下列情形之一的，属于无效质疑，采购代理机构和采购人可不予受理：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1、对采购文件提出质疑的质疑人不是依法获取采购文件的投标人；对采购过程、中标或成交结果提出质疑的质疑人不是参与本次政府采购项目的投标人；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2、超过法定期限或未以书面形式提出的；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3、质疑函未按本章6.6条规定签字及盖章的；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4、针对同一采购程序环节又提出其他质疑事项的，或质疑答复后就同一事项再次提出质疑的；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5、不符合法律、法规、规章和政府采购监管机构规定的其他条件的。</w:t>
      </w:r>
    </w:p>
    <w:p>
      <w:pPr>
        <w:widowControl/>
        <w:jc w:val="left"/>
        <w:rPr>
          <w:color w:val="auto"/>
          <w:kern w:val="0"/>
          <w:sz w:val="21"/>
          <w:szCs w:val="21"/>
          <w:highlight w:val="none"/>
        </w:rPr>
      </w:pPr>
    </w:p>
    <w:p>
      <w:pPr>
        <w:rPr>
          <w:rFonts w:ascii="宋体" w:hAnsi="宋体"/>
          <w:b/>
          <w:color w:val="auto"/>
          <w:sz w:val="30"/>
          <w:szCs w:val="30"/>
          <w:highlight w:val="none"/>
        </w:rPr>
      </w:pPr>
    </w:p>
    <w:sectPr>
      <w:headerReference r:id="rId8" w:type="default"/>
      <w:footerReference r:id="rId9" w:type="default"/>
      <w:pgSz w:w="11906" w:h="16838"/>
      <w:pgMar w:top="1327" w:right="1576" w:bottom="1327"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Sim Sun">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Cs w:val="18"/>
        <w:u w:val="single"/>
      </w:rPr>
    </w:pPr>
    <w:r>
      <w:rPr>
        <w:rFonts w:hint="eastAsia" w:ascii="宋体" w:hAnsi="宋体"/>
        <w:szCs w:val="18"/>
        <w:u w:val="single"/>
        <w:lang w:val="en-US" w:eastAsia="zh-CN"/>
      </w:rPr>
      <w:t>02包：康复中心信息管理系统</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Cs w:val="18"/>
        <w:u w:val="single"/>
      </w:rPr>
    </w:pPr>
    <w:r>
      <w:rPr>
        <w:rFonts w:hint="eastAsia" w:ascii="宋体" w:hAnsi="宋体"/>
        <w:szCs w:val="18"/>
        <w:u w:val="single"/>
        <w:lang w:val="en-US" w:eastAsia="zh-CN"/>
      </w:rPr>
      <w:t>02包：康复中心信息管理系统</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3E1ACC"/>
    <w:multiLevelType w:val="singleLevel"/>
    <w:tmpl w:val="D23E1ACC"/>
    <w:lvl w:ilvl="0" w:tentative="0">
      <w:start w:val="1"/>
      <w:numFmt w:val="bullet"/>
      <w:lvlText w:val=""/>
      <w:lvlJc w:val="left"/>
      <w:pPr>
        <w:ind w:left="420" w:hanging="420"/>
      </w:pPr>
      <w:rPr>
        <w:rFonts w:hint="default" w:ascii="Wingdings" w:hAnsi="Wingdings"/>
      </w:rPr>
    </w:lvl>
  </w:abstractNum>
  <w:abstractNum w:abstractNumId="1">
    <w:nsid w:val="F8A4FD41"/>
    <w:multiLevelType w:val="singleLevel"/>
    <w:tmpl w:val="F8A4FD41"/>
    <w:lvl w:ilvl="0" w:tentative="0">
      <w:start w:val="1"/>
      <w:numFmt w:val="decimal"/>
      <w:suff w:val="nothing"/>
      <w:lvlText w:val="%1、"/>
      <w:lvlJc w:val="left"/>
    </w:lvl>
  </w:abstractNum>
  <w:abstractNum w:abstractNumId="2">
    <w:nsid w:val="0362540A"/>
    <w:multiLevelType w:val="singleLevel"/>
    <w:tmpl w:val="0362540A"/>
    <w:lvl w:ilvl="0" w:tentative="0">
      <w:start w:val="4"/>
      <w:numFmt w:val="chineseCounting"/>
      <w:suff w:val="space"/>
      <w:lvlText w:val="第%1章"/>
      <w:lvlJc w:val="left"/>
      <w:rPr>
        <w:rFonts w:hint="eastAsia"/>
      </w:rPr>
    </w:lvl>
  </w:abstractNum>
  <w:abstractNum w:abstractNumId="3">
    <w:nsid w:val="03AC43BB"/>
    <w:multiLevelType w:val="singleLevel"/>
    <w:tmpl w:val="03AC43BB"/>
    <w:lvl w:ilvl="0" w:tentative="0">
      <w:start w:val="1"/>
      <w:numFmt w:val="decimal"/>
      <w:suff w:val="nothing"/>
      <w:lvlText w:val="%1、"/>
      <w:lvlJc w:val="left"/>
    </w:lvl>
  </w:abstractNum>
  <w:abstractNum w:abstractNumId="4">
    <w:nsid w:val="044F7E27"/>
    <w:multiLevelType w:val="multilevel"/>
    <w:tmpl w:val="044F7E27"/>
    <w:lvl w:ilvl="0" w:tentative="0">
      <w:start w:val="1"/>
      <w:numFmt w:val="decimal"/>
      <w:lvlText w:val="%1."/>
      <w:lvlJc w:val="left"/>
      <w:pPr>
        <w:tabs>
          <w:tab w:val="left" w:pos="600"/>
        </w:tabs>
        <w:ind w:left="600" w:hanging="600"/>
      </w:pPr>
      <w:rPr>
        <w:rFonts w:hint="default"/>
      </w:rPr>
    </w:lvl>
    <w:lvl w:ilvl="1" w:tentative="0">
      <w:start w:val="1"/>
      <w:numFmt w:val="decimal"/>
      <w:lvlText w:val="%1.%2）"/>
      <w:lvlJc w:val="left"/>
      <w:pPr>
        <w:tabs>
          <w:tab w:val="left" w:pos="1440"/>
        </w:tabs>
        <w:ind w:left="1440" w:hanging="720"/>
      </w:pPr>
      <w:rPr>
        <w:rFonts w:hint="default"/>
      </w:rPr>
    </w:lvl>
    <w:lvl w:ilvl="2" w:tentative="0">
      <w:start w:val="1"/>
      <w:numFmt w:val="decimal"/>
      <w:lvlText w:val="%1.%2）%3."/>
      <w:lvlJc w:val="left"/>
      <w:pPr>
        <w:tabs>
          <w:tab w:val="left" w:pos="2520"/>
        </w:tabs>
        <w:ind w:left="2520" w:hanging="1080"/>
      </w:pPr>
      <w:rPr>
        <w:rFonts w:hint="default"/>
      </w:rPr>
    </w:lvl>
    <w:lvl w:ilvl="3" w:tentative="0">
      <w:start w:val="1"/>
      <w:numFmt w:val="decimal"/>
      <w:lvlText w:val="%1.%2）%3.%4."/>
      <w:lvlJc w:val="left"/>
      <w:pPr>
        <w:tabs>
          <w:tab w:val="left" w:pos="3240"/>
        </w:tabs>
        <w:ind w:left="3240" w:hanging="1080"/>
      </w:pPr>
      <w:rPr>
        <w:rFonts w:hint="default"/>
      </w:rPr>
    </w:lvl>
    <w:lvl w:ilvl="4" w:tentative="0">
      <w:start w:val="1"/>
      <w:numFmt w:val="decimal"/>
      <w:lvlText w:val="%1.%2）%3.%4.%5."/>
      <w:lvlJc w:val="left"/>
      <w:pPr>
        <w:tabs>
          <w:tab w:val="left" w:pos="4320"/>
        </w:tabs>
        <w:ind w:left="4320" w:hanging="1440"/>
      </w:pPr>
      <w:rPr>
        <w:rFonts w:hint="default"/>
      </w:rPr>
    </w:lvl>
    <w:lvl w:ilvl="5" w:tentative="0">
      <w:start w:val="1"/>
      <w:numFmt w:val="decimal"/>
      <w:lvlText w:val="%1.%2）%3.%4.%5.%6."/>
      <w:lvlJc w:val="left"/>
      <w:pPr>
        <w:tabs>
          <w:tab w:val="left" w:pos="5400"/>
        </w:tabs>
        <w:ind w:left="5400" w:hanging="1800"/>
      </w:pPr>
      <w:rPr>
        <w:rFonts w:hint="default"/>
      </w:rPr>
    </w:lvl>
    <w:lvl w:ilvl="6" w:tentative="0">
      <w:start w:val="1"/>
      <w:numFmt w:val="decimal"/>
      <w:lvlText w:val="%1.%2）%3.%4.%5.%6.%7."/>
      <w:lvlJc w:val="left"/>
      <w:pPr>
        <w:tabs>
          <w:tab w:val="left" w:pos="6120"/>
        </w:tabs>
        <w:ind w:left="6120" w:hanging="1800"/>
      </w:pPr>
      <w:rPr>
        <w:rFonts w:hint="default"/>
      </w:rPr>
    </w:lvl>
    <w:lvl w:ilvl="7" w:tentative="0">
      <w:start w:val="1"/>
      <w:numFmt w:val="decimal"/>
      <w:lvlText w:val="%1.%2）%3.%4.%5.%6.%7.%8."/>
      <w:lvlJc w:val="left"/>
      <w:pPr>
        <w:tabs>
          <w:tab w:val="left" w:pos="7200"/>
        </w:tabs>
        <w:ind w:left="7200" w:hanging="2160"/>
      </w:pPr>
      <w:rPr>
        <w:rFonts w:hint="default"/>
      </w:rPr>
    </w:lvl>
    <w:lvl w:ilvl="8" w:tentative="0">
      <w:start w:val="1"/>
      <w:numFmt w:val="decimal"/>
      <w:lvlText w:val="%1.%2）%3.%4.%5.%6.%7.%8.%9."/>
      <w:lvlJc w:val="left"/>
      <w:pPr>
        <w:tabs>
          <w:tab w:val="left" w:pos="8280"/>
        </w:tabs>
        <w:ind w:left="8280" w:hanging="2520"/>
      </w:pPr>
      <w:rPr>
        <w:rFonts w:hint="default"/>
      </w:rPr>
    </w:lvl>
  </w:abstractNum>
  <w:abstractNum w:abstractNumId="5">
    <w:nsid w:val="23757D77"/>
    <w:multiLevelType w:val="multilevel"/>
    <w:tmpl w:val="23757D77"/>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0"/>
        </w:tabs>
        <w:ind w:left="1260"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A6E58CA"/>
    <w:multiLevelType w:val="multilevel"/>
    <w:tmpl w:val="3A6E58CA"/>
    <w:lvl w:ilvl="0" w:tentative="0">
      <w:start w:val="1"/>
      <w:numFmt w:val="decimal"/>
      <w:pStyle w:val="58"/>
      <w:lvlText w:val="%1"/>
      <w:lvlJc w:val="left"/>
      <w:pPr>
        <w:ind w:left="425" w:hanging="425"/>
      </w:pPr>
      <w:rPr>
        <w:rFonts w:hint="eastAsia" w:ascii="宋体" w:hAnsi="宋体" w:eastAsia="宋体"/>
      </w:rPr>
    </w:lvl>
    <w:lvl w:ilvl="1" w:tentative="0">
      <w:start w:val="1"/>
      <w:numFmt w:val="decimal"/>
      <w:pStyle w:val="59"/>
      <w:lvlText w:val="%1.%2"/>
      <w:lvlJc w:val="left"/>
      <w:pPr>
        <w:ind w:left="992" w:hanging="567"/>
      </w:pPr>
      <w:rPr>
        <w:rFonts w:hint="eastAsia"/>
      </w:rPr>
    </w:lvl>
    <w:lvl w:ilvl="2" w:tentative="0">
      <w:start w:val="1"/>
      <w:numFmt w:val="decimal"/>
      <w:pStyle w:val="60"/>
      <w:lvlText w:val="%1.%2.%3"/>
      <w:lvlJc w:val="left"/>
      <w:pPr>
        <w:ind w:left="1418" w:hanging="567"/>
      </w:pPr>
      <w:rPr>
        <w:rFonts w:hint="default" w:ascii="宋体" w:hAnsi="宋体" w:eastAsia="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3E2E255E"/>
    <w:multiLevelType w:val="multilevel"/>
    <w:tmpl w:val="3E2E255E"/>
    <w:lvl w:ilvl="0" w:tentative="0">
      <w:start w:val="1"/>
      <w:numFmt w:val="decimal"/>
      <w:lvlText w:val="%1)"/>
      <w:lvlJc w:val="left"/>
      <w:pPr>
        <w:tabs>
          <w:tab w:val="left" w:pos="5099"/>
        </w:tabs>
        <w:ind w:left="5099" w:hanging="420"/>
      </w:pPr>
      <w:rPr>
        <w:rFonts w:hint="eastAsia"/>
      </w:rPr>
    </w:lvl>
    <w:lvl w:ilvl="1" w:tentative="0">
      <w:start w:val="1"/>
      <w:numFmt w:val="decimal"/>
      <w:lvlText w:val="%2．"/>
      <w:lvlJc w:val="left"/>
      <w:pPr>
        <w:tabs>
          <w:tab w:val="left" w:pos="270"/>
        </w:tabs>
        <w:ind w:left="270" w:hanging="720"/>
      </w:pPr>
      <w:rPr>
        <w:rFonts w:hint="default"/>
      </w:rPr>
    </w:lvl>
    <w:lvl w:ilvl="2" w:tentative="0">
      <w:start w:val="1"/>
      <w:numFmt w:val="lowerRoman"/>
      <w:lvlText w:val="%3."/>
      <w:lvlJc w:val="right"/>
      <w:pPr>
        <w:tabs>
          <w:tab w:val="left" w:pos="390"/>
        </w:tabs>
        <w:ind w:left="390" w:hanging="420"/>
      </w:pPr>
    </w:lvl>
    <w:lvl w:ilvl="3" w:tentative="0">
      <w:start w:val="8"/>
      <w:numFmt w:val="japaneseCounting"/>
      <w:lvlText w:val="第%4章"/>
      <w:lvlJc w:val="left"/>
      <w:pPr>
        <w:tabs>
          <w:tab w:val="left" w:pos="1470"/>
        </w:tabs>
        <w:ind w:left="1470" w:hanging="1080"/>
      </w:pPr>
      <w:rPr>
        <w:rFonts w:hint="eastAsia"/>
      </w:rPr>
    </w:lvl>
    <w:lvl w:ilvl="4" w:tentative="0">
      <w:start w:val="1"/>
      <w:numFmt w:val="japaneseCounting"/>
      <w:lvlText w:val="%5、"/>
      <w:lvlJc w:val="left"/>
      <w:pPr>
        <w:tabs>
          <w:tab w:val="left" w:pos="1290"/>
        </w:tabs>
        <w:ind w:left="1290" w:hanging="480"/>
      </w:pPr>
      <w:rPr>
        <w:rFonts w:hint="default"/>
        <w:u w:val="none"/>
      </w:rPr>
    </w:lvl>
    <w:lvl w:ilvl="5" w:tentative="0">
      <w:start w:val="3"/>
      <w:numFmt w:val="bullet"/>
      <w:lvlText w:val=""/>
      <w:lvlJc w:val="left"/>
      <w:pPr>
        <w:tabs>
          <w:tab w:val="left" w:pos="1590"/>
        </w:tabs>
        <w:ind w:left="1590" w:hanging="360"/>
      </w:pPr>
      <w:rPr>
        <w:rFonts w:hint="default" w:ascii="Wingdings" w:hAnsi="Wingdings" w:eastAsia="宋体" w:cs="Times New Roman"/>
      </w:rPr>
    </w:lvl>
    <w:lvl w:ilvl="6" w:tentative="0">
      <w:start w:val="1"/>
      <w:numFmt w:val="decimal"/>
      <w:lvlText w:val="%7."/>
      <w:lvlJc w:val="left"/>
      <w:pPr>
        <w:tabs>
          <w:tab w:val="left" w:pos="2010"/>
        </w:tabs>
        <w:ind w:left="2010" w:hanging="360"/>
      </w:pPr>
      <w:rPr>
        <w:rFonts w:hint="default"/>
      </w:rPr>
    </w:lvl>
    <w:lvl w:ilvl="7" w:tentative="0">
      <w:start w:val="4"/>
      <w:numFmt w:val="decimal"/>
      <w:lvlText w:val="%8、"/>
      <w:lvlJc w:val="left"/>
      <w:pPr>
        <w:tabs>
          <w:tab w:val="left" w:pos="2430"/>
        </w:tabs>
        <w:ind w:left="2430" w:hanging="360"/>
      </w:pPr>
      <w:rPr>
        <w:rFonts w:hint="default" w:ascii="宋体" w:hAnsi="宋体"/>
        <w:b w:val="0"/>
      </w:rPr>
    </w:lvl>
    <w:lvl w:ilvl="8" w:tentative="0">
      <w:start w:val="4"/>
      <w:numFmt w:val="japaneseCounting"/>
      <w:lvlText w:val="（%9）"/>
      <w:lvlJc w:val="left"/>
      <w:pPr>
        <w:ind w:left="3570" w:hanging="1080"/>
      </w:pPr>
      <w:rPr>
        <w:rFonts w:hint="default"/>
      </w:rPr>
    </w:lvl>
  </w:abstractNum>
  <w:abstractNum w:abstractNumId="8">
    <w:nsid w:val="46137EDD"/>
    <w:multiLevelType w:val="multilevel"/>
    <w:tmpl w:val="46137EDD"/>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b/>
        <w:bCs w:val="0"/>
        <w:i w:val="0"/>
        <w:iCs w:val="0"/>
        <w:caps w:val="0"/>
        <w:smallCaps w:val="0"/>
        <w:strike w:val="0"/>
        <w:dstrike w:val="0"/>
        <w:vanish w:val="0"/>
        <w:spacing w:val="0"/>
        <w:position w:val="0"/>
        <w:u w:val="none"/>
        <w:vertAlign w:val="baseline"/>
      </w:rPr>
    </w:lvl>
    <w:lvl w:ilvl="2" w:tentative="0">
      <w:start w:val="1"/>
      <w:numFmt w:val="decimal"/>
      <w:lvlText w:val="%1.%2.%3"/>
      <w:lvlJc w:val="left"/>
      <w:pPr>
        <w:tabs>
          <w:tab w:val="left" w:pos="1003"/>
        </w:tabs>
        <w:ind w:left="1003" w:hanging="720"/>
      </w:pPr>
      <w:rPr>
        <w:rFonts w:hint="eastAsia"/>
        <w:b w:val="0"/>
      </w:rPr>
    </w:lvl>
    <w:lvl w:ilvl="3" w:tentative="0">
      <w:start w:val="1"/>
      <w:numFmt w:val="decimal"/>
      <w:lvlText w:val="%1.%2.%3.%4"/>
      <w:lvlJc w:val="left"/>
      <w:pPr>
        <w:tabs>
          <w:tab w:val="left" w:pos="864"/>
        </w:tabs>
        <w:ind w:left="964" w:hanging="680"/>
      </w:pPr>
      <w:rPr>
        <w:rFonts w:hint="eastAsia" w:ascii="宋体" w:hAnsi="宋体" w:eastAsia="宋体"/>
        <w:b w:val="0"/>
        <w:bCs w:val="0"/>
        <w:i w:val="0"/>
        <w:iCs w:val="0"/>
        <w:caps w:val="0"/>
        <w:smallCaps w:val="0"/>
        <w:strike w:val="0"/>
        <w:dstrike w:val="0"/>
        <w:vanish w:val="0"/>
        <w:spacing w:val="0"/>
        <w:position w:val="0"/>
        <w:u w:val="none"/>
        <w:vertAlign w:val="baseline"/>
      </w:rPr>
    </w:lvl>
    <w:lvl w:ilvl="4" w:tentative="0">
      <w:start w:val="1"/>
      <w:numFmt w:val="decimal"/>
      <w:lvlText w:val="%1.%2.%3.%4.%5"/>
      <w:lvlJc w:val="left"/>
      <w:pPr>
        <w:tabs>
          <w:tab w:val="left" w:pos="1576"/>
        </w:tabs>
        <w:ind w:left="1576" w:hanging="1008"/>
      </w:pPr>
      <w:rPr>
        <w:rFonts w:hint="eastAsia"/>
        <w:b w:val="0"/>
        <w:bCs w:val="0"/>
        <w:i w:val="0"/>
        <w:iCs w:val="0"/>
        <w:caps w:val="0"/>
        <w:smallCaps w:val="0"/>
        <w:strike w:val="0"/>
        <w:dstrike w:val="0"/>
        <w:vanish w:val="0"/>
        <w:spacing w:val="0"/>
        <w:position w:val="0"/>
        <w:u w:val="none"/>
        <w:vertAlign w:val="baseli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47ACD4BA"/>
    <w:multiLevelType w:val="singleLevel"/>
    <w:tmpl w:val="47ACD4BA"/>
    <w:lvl w:ilvl="0" w:tentative="0">
      <w:start w:val="1"/>
      <w:numFmt w:val="decimal"/>
      <w:suff w:val="nothing"/>
      <w:lvlText w:val="（%1）"/>
      <w:lvlJc w:val="left"/>
      <w:pPr>
        <w:ind w:left="-270"/>
      </w:pPr>
    </w:lvl>
  </w:abstractNum>
  <w:abstractNum w:abstractNumId="10">
    <w:nsid w:val="47E3A992"/>
    <w:multiLevelType w:val="singleLevel"/>
    <w:tmpl w:val="47E3A992"/>
    <w:lvl w:ilvl="0" w:tentative="0">
      <w:start w:val="1"/>
      <w:numFmt w:val="decimal"/>
      <w:suff w:val="nothing"/>
      <w:lvlText w:val="%1、"/>
      <w:lvlJc w:val="left"/>
    </w:lvl>
  </w:abstractNum>
  <w:abstractNum w:abstractNumId="11">
    <w:nsid w:val="7ABB52A2"/>
    <w:multiLevelType w:val="singleLevel"/>
    <w:tmpl w:val="7ABB52A2"/>
    <w:lvl w:ilvl="0" w:tentative="0">
      <w:start w:val="1"/>
      <w:numFmt w:val="decimal"/>
      <w:suff w:val="nothing"/>
      <w:lvlText w:val="%1、"/>
      <w:lvlJc w:val="left"/>
    </w:lvl>
  </w:abstractNum>
  <w:num w:numId="1">
    <w:abstractNumId w:val="6"/>
  </w:num>
  <w:num w:numId="2">
    <w:abstractNumId w:val="11"/>
  </w:num>
  <w:num w:numId="3">
    <w:abstractNumId w:val="3"/>
  </w:num>
  <w:num w:numId="4">
    <w:abstractNumId w:val="2"/>
  </w:num>
  <w:num w:numId="5">
    <w:abstractNumId w:val="8"/>
  </w:num>
  <w:num w:numId="6">
    <w:abstractNumId w:val="0"/>
  </w:num>
  <w:num w:numId="7">
    <w:abstractNumId w:val="10"/>
  </w:num>
  <w:num w:numId="8">
    <w:abstractNumId w:val="5"/>
  </w:num>
  <w:num w:numId="9">
    <w:abstractNumId w:val="7"/>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1OTEzMGViMTM0ODA3YjI1ZmVmMjc5MmNhODhhZTMifQ=="/>
  </w:docVars>
  <w:rsids>
    <w:rsidRoot w:val="790E1E9F"/>
    <w:rsid w:val="000273CC"/>
    <w:rsid w:val="00040B58"/>
    <w:rsid w:val="00063829"/>
    <w:rsid w:val="00092509"/>
    <w:rsid w:val="00140512"/>
    <w:rsid w:val="00180B14"/>
    <w:rsid w:val="0022181C"/>
    <w:rsid w:val="00272AD2"/>
    <w:rsid w:val="002912FB"/>
    <w:rsid w:val="002B247F"/>
    <w:rsid w:val="00333A2A"/>
    <w:rsid w:val="003752C8"/>
    <w:rsid w:val="0042111A"/>
    <w:rsid w:val="00442868"/>
    <w:rsid w:val="004F11C2"/>
    <w:rsid w:val="005079E3"/>
    <w:rsid w:val="00532FAB"/>
    <w:rsid w:val="007007DA"/>
    <w:rsid w:val="00704773"/>
    <w:rsid w:val="007A51B4"/>
    <w:rsid w:val="00847DE1"/>
    <w:rsid w:val="009A13B3"/>
    <w:rsid w:val="009D55A7"/>
    <w:rsid w:val="00A46D0A"/>
    <w:rsid w:val="00B50FDE"/>
    <w:rsid w:val="00D64AE1"/>
    <w:rsid w:val="00DE5743"/>
    <w:rsid w:val="00DE618D"/>
    <w:rsid w:val="00E54D24"/>
    <w:rsid w:val="00E66362"/>
    <w:rsid w:val="00E7034C"/>
    <w:rsid w:val="00EA6CFD"/>
    <w:rsid w:val="00F26011"/>
    <w:rsid w:val="00F44F67"/>
    <w:rsid w:val="00FF56BA"/>
    <w:rsid w:val="012810B4"/>
    <w:rsid w:val="013B0DE8"/>
    <w:rsid w:val="013B4944"/>
    <w:rsid w:val="01691756"/>
    <w:rsid w:val="01706581"/>
    <w:rsid w:val="01740E6F"/>
    <w:rsid w:val="01810F86"/>
    <w:rsid w:val="0183453D"/>
    <w:rsid w:val="01934BC3"/>
    <w:rsid w:val="019E4ED3"/>
    <w:rsid w:val="01AA6240"/>
    <w:rsid w:val="01FE04CB"/>
    <w:rsid w:val="020236B3"/>
    <w:rsid w:val="02114AB6"/>
    <w:rsid w:val="02144A36"/>
    <w:rsid w:val="02182ED7"/>
    <w:rsid w:val="02223D56"/>
    <w:rsid w:val="023575E5"/>
    <w:rsid w:val="023E6EF5"/>
    <w:rsid w:val="02571C51"/>
    <w:rsid w:val="0264627D"/>
    <w:rsid w:val="027A3AE6"/>
    <w:rsid w:val="027B51E5"/>
    <w:rsid w:val="028B3470"/>
    <w:rsid w:val="02900CBF"/>
    <w:rsid w:val="0295522A"/>
    <w:rsid w:val="029A33E1"/>
    <w:rsid w:val="02A055C6"/>
    <w:rsid w:val="02B074AC"/>
    <w:rsid w:val="02C24513"/>
    <w:rsid w:val="02D0730E"/>
    <w:rsid w:val="02D2030E"/>
    <w:rsid w:val="02DA1FA7"/>
    <w:rsid w:val="02E5311B"/>
    <w:rsid w:val="03261624"/>
    <w:rsid w:val="032D31BF"/>
    <w:rsid w:val="032F672A"/>
    <w:rsid w:val="033577FF"/>
    <w:rsid w:val="03394EB3"/>
    <w:rsid w:val="034234DB"/>
    <w:rsid w:val="03451AAA"/>
    <w:rsid w:val="035717DD"/>
    <w:rsid w:val="03585F5D"/>
    <w:rsid w:val="035E2B6B"/>
    <w:rsid w:val="036130ED"/>
    <w:rsid w:val="03855A35"/>
    <w:rsid w:val="038812D5"/>
    <w:rsid w:val="03906A9D"/>
    <w:rsid w:val="03B534AE"/>
    <w:rsid w:val="03BE44B1"/>
    <w:rsid w:val="03E71369"/>
    <w:rsid w:val="03EA2651"/>
    <w:rsid w:val="03ED2C78"/>
    <w:rsid w:val="041D47D5"/>
    <w:rsid w:val="0428517E"/>
    <w:rsid w:val="042C4A18"/>
    <w:rsid w:val="043C2B7C"/>
    <w:rsid w:val="0442248D"/>
    <w:rsid w:val="044269C4"/>
    <w:rsid w:val="0476259E"/>
    <w:rsid w:val="0478642B"/>
    <w:rsid w:val="04844854"/>
    <w:rsid w:val="04856EA9"/>
    <w:rsid w:val="049F51EA"/>
    <w:rsid w:val="04A11AE9"/>
    <w:rsid w:val="04A260F9"/>
    <w:rsid w:val="04C2553D"/>
    <w:rsid w:val="04D37CE2"/>
    <w:rsid w:val="04E05EDB"/>
    <w:rsid w:val="04F27A0F"/>
    <w:rsid w:val="05013936"/>
    <w:rsid w:val="0505757F"/>
    <w:rsid w:val="051554AC"/>
    <w:rsid w:val="05237BC9"/>
    <w:rsid w:val="05276F07"/>
    <w:rsid w:val="05280002"/>
    <w:rsid w:val="052E656D"/>
    <w:rsid w:val="0539563E"/>
    <w:rsid w:val="053E6F16"/>
    <w:rsid w:val="05551283"/>
    <w:rsid w:val="055F6573"/>
    <w:rsid w:val="056703FD"/>
    <w:rsid w:val="0582047C"/>
    <w:rsid w:val="059B00A7"/>
    <w:rsid w:val="05AF463F"/>
    <w:rsid w:val="05B64EE1"/>
    <w:rsid w:val="05D347EA"/>
    <w:rsid w:val="05DD246D"/>
    <w:rsid w:val="05F77580"/>
    <w:rsid w:val="05FF020A"/>
    <w:rsid w:val="05FF5A7E"/>
    <w:rsid w:val="060379FA"/>
    <w:rsid w:val="06416AF5"/>
    <w:rsid w:val="064A4110"/>
    <w:rsid w:val="06587D46"/>
    <w:rsid w:val="065D7487"/>
    <w:rsid w:val="06782196"/>
    <w:rsid w:val="067F3525"/>
    <w:rsid w:val="0687062B"/>
    <w:rsid w:val="069D39AB"/>
    <w:rsid w:val="06B4143D"/>
    <w:rsid w:val="06C453DB"/>
    <w:rsid w:val="06D32584"/>
    <w:rsid w:val="06DF3199"/>
    <w:rsid w:val="06F347DF"/>
    <w:rsid w:val="071501C9"/>
    <w:rsid w:val="071C5217"/>
    <w:rsid w:val="071D5E3B"/>
    <w:rsid w:val="07396532"/>
    <w:rsid w:val="073B0BC6"/>
    <w:rsid w:val="07412928"/>
    <w:rsid w:val="07487DBA"/>
    <w:rsid w:val="074F7D1F"/>
    <w:rsid w:val="0781151E"/>
    <w:rsid w:val="078B414B"/>
    <w:rsid w:val="079052BE"/>
    <w:rsid w:val="079E3E7E"/>
    <w:rsid w:val="079E5C2C"/>
    <w:rsid w:val="07B80FF1"/>
    <w:rsid w:val="07BA6793"/>
    <w:rsid w:val="07D96C64"/>
    <w:rsid w:val="07E17384"/>
    <w:rsid w:val="08156C5F"/>
    <w:rsid w:val="081F5D77"/>
    <w:rsid w:val="083420ED"/>
    <w:rsid w:val="083C2BF1"/>
    <w:rsid w:val="084A7B62"/>
    <w:rsid w:val="085E13BB"/>
    <w:rsid w:val="08760957"/>
    <w:rsid w:val="087766B5"/>
    <w:rsid w:val="08950D28"/>
    <w:rsid w:val="089B201D"/>
    <w:rsid w:val="08C72A13"/>
    <w:rsid w:val="08C903EA"/>
    <w:rsid w:val="08E92ED7"/>
    <w:rsid w:val="09203EB9"/>
    <w:rsid w:val="0945511E"/>
    <w:rsid w:val="0946032A"/>
    <w:rsid w:val="09491BC8"/>
    <w:rsid w:val="096864F2"/>
    <w:rsid w:val="098552F6"/>
    <w:rsid w:val="099E3B3F"/>
    <w:rsid w:val="09A83C09"/>
    <w:rsid w:val="09E37D9F"/>
    <w:rsid w:val="09E813E1"/>
    <w:rsid w:val="0A0629B5"/>
    <w:rsid w:val="0A0C1573"/>
    <w:rsid w:val="0A0F450C"/>
    <w:rsid w:val="0A157CFC"/>
    <w:rsid w:val="0A161F3D"/>
    <w:rsid w:val="0A2048A8"/>
    <w:rsid w:val="0A3A1614"/>
    <w:rsid w:val="0A43167D"/>
    <w:rsid w:val="0A5C7B97"/>
    <w:rsid w:val="0A6505D0"/>
    <w:rsid w:val="0A6E780F"/>
    <w:rsid w:val="0A943665"/>
    <w:rsid w:val="0A9926DB"/>
    <w:rsid w:val="0A9A10E9"/>
    <w:rsid w:val="0AA02C31"/>
    <w:rsid w:val="0AB11A38"/>
    <w:rsid w:val="0AC01333"/>
    <w:rsid w:val="0ADB7197"/>
    <w:rsid w:val="0ADF4703"/>
    <w:rsid w:val="0AE41BA8"/>
    <w:rsid w:val="0AF142C5"/>
    <w:rsid w:val="0B0F299D"/>
    <w:rsid w:val="0B3A5E52"/>
    <w:rsid w:val="0B642CE9"/>
    <w:rsid w:val="0B660F2D"/>
    <w:rsid w:val="0B7B7615"/>
    <w:rsid w:val="0B7C6285"/>
    <w:rsid w:val="0B8B3E9D"/>
    <w:rsid w:val="0B9B6FB8"/>
    <w:rsid w:val="0B9F01C5"/>
    <w:rsid w:val="0BBB38A2"/>
    <w:rsid w:val="0BEE30CD"/>
    <w:rsid w:val="0BEE3256"/>
    <w:rsid w:val="0BF70001"/>
    <w:rsid w:val="0BFB66F0"/>
    <w:rsid w:val="0C012733"/>
    <w:rsid w:val="0C0B13B7"/>
    <w:rsid w:val="0C116D7F"/>
    <w:rsid w:val="0C1F4E62"/>
    <w:rsid w:val="0C235653"/>
    <w:rsid w:val="0C353733"/>
    <w:rsid w:val="0C3725CC"/>
    <w:rsid w:val="0C427566"/>
    <w:rsid w:val="0C4D461D"/>
    <w:rsid w:val="0C5425F5"/>
    <w:rsid w:val="0C577FD0"/>
    <w:rsid w:val="0C790A16"/>
    <w:rsid w:val="0C821421"/>
    <w:rsid w:val="0C833102"/>
    <w:rsid w:val="0C9A31E7"/>
    <w:rsid w:val="0CA01D29"/>
    <w:rsid w:val="0CAA0BCF"/>
    <w:rsid w:val="0CAC577B"/>
    <w:rsid w:val="0CAF23E1"/>
    <w:rsid w:val="0CEA5470"/>
    <w:rsid w:val="0D156991"/>
    <w:rsid w:val="0D1A0E57"/>
    <w:rsid w:val="0D531267"/>
    <w:rsid w:val="0D55117F"/>
    <w:rsid w:val="0D5708A4"/>
    <w:rsid w:val="0D7F205C"/>
    <w:rsid w:val="0D8B0A01"/>
    <w:rsid w:val="0D9E19B3"/>
    <w:rsid w:val="0DB00467"/>
    <w:rsid w:val="0DB0769E"/>
    <w:rsid w:val="0DB724D3"/>
    <w:rsid w:val="0DBE57A2"/>
    <w:rsid w:val="0DDC3D14"/>
    <w:rsid w:val="0DF224B0"/>
    <w:rsid w:val="0E0367E9"/>
    <w:rsid w:val="0E1409F6"/>
    <w:rsid w:val="0E682384"/>
    <w:rsid w:val="0E790F14"/>
    <w:rsid w:val="0E820056"/>
    <w:rsid w:val="0E87741A"/>
    <w:rsid w:val="0E9658AF"/>
    <w:rsid w:val="0EB654B0"/>
    <w:rsid w:val="0EB80E42"/>
    <w:rsid w:val="0EBF22EE"/>
    <w:rsid w:val="0ED21B46"/>
    <w:rsid w:val="0EE77D0B"/>
    <w:rsid w:val="0F0D45F7"/>
    <w:rsid w:val="0F110AE2"/>
    <w:rsid w:val="0F121B26"/>
    <w:rsid w:val="0F501F5F"/>
    <w:rsid w:val="0F76307C"/>
    <w:rsid w:val="0F963D6C"/>
    <w:rsid w:val="0F977B31"/>
    <w:rsid w:val="0F9A317D"/>
    <w:rsid w:val="0F9D2C6D"/>
    <w:rsid w:val="0FA062BA"/>
    <w:rsid w:val="0FA425D2"/>
    <w:rsid w:val="0FA525B6"/>
    <w:rsid w:val="0FA638D0"/>
    <w:rsid w:val="0FAB4409"/>
    <w:rsid w:val="0FB53958"/>
    <w:rsid w:val="0FBA3368"/>
    <w:rsid w:val="0FC46364"/>
    <w:rsid w:val="0FCB77DB"/>
    <w:rsid w:val="0FEB39D9"/>
    <w:rsid w:val="1010343F"/>
    <w:rsid w:val="10125409"/>
    <w:rsid w:val="10507EB4"/>
    <w:rsid w:val="1081433D"/>
    <w:rsid w:val="108160EB"/>
    <w:rsid w:val="1095577B"/>
    <w:rsid w:val="109F286E"/>
    <w:rsid w:val="10F62635"/>
    <w:rsid w:val="10F90377"/>
    <w:rsid w:val="111331E7"/>
    <w:rsid w:val="111753C0"/>
    <w:rsid w:val="1125116C"/>
    <w:rsid w:val="1131366D"/>
    <w:rsid w:val="114535BD"/>
    <w:rsid w:val="114C66F9"/>
    <w:rsid w:val="11665A0D"/>
    <w:rsid w:val="117A6707"/>
    <w:rsid w:val="11BB73DB"/>
    <w:rsid w:val="11C13F58"/>
    <w:rsid w:val="11C664AC"/>
    <w:rsid w:val="11D538B0"/>
    <w:rsid w:val="11DA3D05"/>
    <w:rsid w:val="11FA7885"/>
    <w:rsid w:val="1202500A"/>
    <w:rsid w:val="12062D4C"/>
    <w:rsid w:val="121F2D08"/>
    <w:rsid w:val="121F5BBC"/>
    <w:rsid w:val="122A0630"/>
    <w:rsid w:val="12314A83"/>
    <w:rsid w:val="12434DD7"/>
    <w:rsid w:val="124A35D5"/>
    <w:rsid w:val="12574C83"/>
    <w:rsid w:val="129211F3"/>
    <w:rsid w:val="129506F7"/>
    <w:rsid w:val="129F060D"/>
    <w:rsid w:val="12A241A3"/>
    <w:rsid w:val="12B502CE"/>
    <w:rsid w:val="12B5154F"/>
    <w:rsid w:val="12BB76A9"/>
    <w:rsid w:val="12D31411"/>
    <w:rsid w:val="130A0A84"/>
    <w:rsid w:val="131D3266"/>
    <w:rsid w:val="13207980"/>
    <w:rsid w:val="1336140F"/>
    <w:rsid w:val="13434291"/>
    <w:rsid w:val="13855EF2"/>
    <w:rsid w:val="13A0295A"/>
    <w:rsid w:val="13DD7ADC"/>
    <w:rsid w:val="13F54834"/>
    <w:rsid w:val="13FD6689"/>
    <w:rsid w:val="140E5EE8"/>
    <w:rsid w:val="1412542D"/>
    <w:rsid w:val="141A2ADF"/>
    <w:rsid w:val="14294AD0"/>
    <w:rsid w:val="142964F1"/>
    <w:rsid w:val="14330A14"/>
    <w:rsid w:val="144468C2"/>
    <w:rsid w:val="14535FF1"/>
    <w:rsid w:val="14691370"/>
    <w:rsid w:val="14733869"/>
    <w:rsid w:val="149840F4"/>
    <w:rsid w:val="14A14DE8"/>
    <w:rsid w:val="14A34882"/>
    <w:rsid w:val="14B24AC5"/>
    <w:rsid w:val="14CE4C6C"/>
    <w:rsid w:val="14EA24B1"/>
    <w:rsid w:val="14ED7E6C"/>
    <w:rsid w:val="14F111B3"/>
    <w:rsid w:val="15203B5E"/>
    <w:rsid w:val="152139F9"/>
    <w:rsid w:val="1527555B"/>
    <w:rsid w:val="15602773"/>
    <w:rsid w:val="157D4738"/>
    <w:rsid w:val="15805C01"/>
    <w:rsid w:val="158346B4"/>
    <w:rsid w:val="15A83D5C"/>
    <w:rsid w:val="15AA7E92"/>
    <w:rsid w:val="15B65746"/>
    <w:rsid w:val="15BB2A37"/>
    <w:rsid w:val="15E218CE"/>
    <w:rsid w:val="15E769F0"/>
    <w:rsid w:val="15E92D38"/>
    <w:rsid w:val="15F1786F"/>
    <w:rsid w:val="15F232AA"/>
    <w:rsid w:val="15F5383B"/>
    <w:rsid w:val="15FF01DE"/>
    <w:rsid w:val="160C3B6A"/>
    <w:rsid w:val="160F4043"/>
    <w:rsid w:val="1626576B"/>
    <w:rsid w:val="162F5CA0"/>
    <w:rsid w:val="163A0CC8"/>
    <w:rsid w:val="16466544"/>
    <w:rsid w:val="164A384D"/>
    <w:rsid w:val="16504596"/>
    <w:rsid w:val="1651271D"/>
    <w:rsid w:val="16513DF5"/>
    <w:rsid w:val="16526560"/>
    <w:rsid w:val="16824D24"/>
    <w:rsid w:val="16893F4C"/>
    <w:rsid w:val="16A82CF0"/>
    <w:rsid w:val="16B1079F"/>
    <w:rsid w:val="16D276A1"/>
    <w:rsid w:val="16D72F09"/>
    <w:rsid w:val="16DF3B6C"/>
    <w:rsid w:val="1706559C"/>
    <w:rsid w:val="171C6B6E"/>
    <w:rsid w:val="1726655E"/>
    <w:rsid w:val="17410382"/>
    <w:rsid w:val="1761165C"/>
    <w:rsid w:val="17726473"/>
    <w:rsid w:val="177928F2"/>
    <w:rsid w:val="17825F07"/>
    <w:rsid w:val="179130B8"/>
    <w:rsid w:val="179C0A16"/>
    <w:rsid w:val="179D18F1"/>
    <w:rsid w:val="17AC3E1E"/>
    <w:rsid w:val="17BA0FAE"/>
    <w:rsid w:val="17C30206"/>
    <w:rsid w:val="17D51F93"/>
    <w:rsid w:val="17D86F39"/>
    <w:rsid w:val="17D905BB"/>
    <w:rsid w:val="17DF721D"/>
    <w:rsid w:val="17E51656"/>
    <w:rsid w:val="17EB710A"/>
    <w:rsid w:val="17EC6540"/>
    <w:rsid w:val="18062DF3"/>
    <w:rsid w:val="180E0186"/>
    <w:rsid w:val="181810E3"/>
    <w:rsid w:val="184400AB"/>
    <w:rsid w:val="18446958"/>
    <w:rsid w:val="18470AF1"/>
    <w:rsid w:val="185C5B9E"/>
    <w:rsid w:val="187D53EA"/>
    <w:rsid w:val="18866995"/>
    <w:rsid w:val="188726CB"/>
    <w:rsid w:val="188B3FAB"/>
    <w:rsid w:val="18B6097C"/>
    <w:rsid w:val="18BB0285"/>
    <w:rsid w:val="18D314AE"/>
    <w:rsid w:val="18ED080F"/>
    <w:rsid w:val="191007D2"/>
    <w:rsid w:val="191616EB"/>
    <w:rsid w:val="19173A91"/>
    <w:rsid w:val="192D5062"/>
    <w:rsid w:val="19441FDC"/>
    <w:rsid w:val="19540841"/>
    <w:rsid w:val="198E7863"/>
    <w:rsid w:val="199724DC"/>
    <w:rsid w:val="19AC242B"/>
    <w:rsid w:val="19B117EF"/>
    <w:rsid w:val="19C53CB5"/>
    <w:rsid w:val="19D25C56"/>
    <w:rsid w:val="19D270A1"/>
    <w:rsid w:val="19D503C2"/>
    <w:rsid w:val="19DC38F9"/>
    <w:rsid w:val="19ED2550"/>
    <w:rsid w:val="19F17631"/>
    <w:rsid w:val="19F65454"/>
    <w:rsid w:val="19FD67E3"/>
    <w:rsid w:val="1A0A62AD"/>
    <w:rsid w:val="1A277D03"/>
    <w:rsid w:val="1A2C70C8"/>
    <w:rsid w:val="1A333611"/>
    <w:rsid w:val="1A3B5428"/>
    <w:rsid w:val="1A432FA7"/>
    <w:rsid w:val="1A5775BE"/>
    <w:rsid w:val="1A9F6972"/>
    <w:rsid w:val="1AA43102"/>
    <w:rsid w:val="1AA55149"/>
    <w:rsid w:val="1AAA22B0"/>
    <w:rsid w:val="1AFC7CCE"/>
    <w:rsid w:val="1AFD0B40"/>
    <w:rsid w:val="1B2129A5"/>
    <w:rsid w:val="1B6F7443"/>
    <w:rsid w:val="1B7E124F"/>
    <w:rsid w:val="1B85318D"/>
    <w:rsid w:val="1B855497"/>
    <w:rsid w:val="1B8639E8"/>
    <w:rsid w:val="1B891E70"/>
    <w:rsid w:val="1BA5434E"/>
    <w:rsid w:val="1BCA303C"/>
    <w:rsid w:val="1BCF0653"/>
    <w:rsid w:val="1BFA3188"/>
    <w:rsid w:val="1BFE4A94"/>
    <w:rsid w:val="1C084989"/>
    <w:rsid w:val="1C167858"/>
    <w:rsid w:val="1C183B46"/>
    <w:rsid w:val="1C1E0C92"/>
    <w:rsid w:val="1C27610B"/>
    <w:rsid w:val="1C3D380E"/>
    <w:rsid w:val="1C4F709D"/>
    <w:rsid w:val="1CA0088A"/>
    <w:rsid w:val="1CA62335"/>
    <w:rsid w:val="1CA70C88"/>
    <w:rsid w:val="1CAB69CA"/>
    <w:rsid w:val="1CB235CD"/>
    <w:rsid w:val="1CBE2A37"/>
    <w:rsid w:val="1CBF06C7"/>
    <w:rsid w:val="1CCA79C4"/>
    <w:rsid w:val="1CCB0E1A"/>
    <w:rsid w:val="1CE1063D"/>
    <w:rsid w:val="1CE343B6"/>
    <w:rsid w:val="1CF00880"/>
    <w:rsid w:val="1CF3211F"/>
    <w:rsid w:val="1CFB38E0"/>
    <w:rsid w:val="1CFE0D30"/>
    <w:rsid w:val="1D0B0DCA"/>
    <w:rsid w:val="1D0D1432"/>
    <w:rsid w:val="1D126A49"/>
    <w:rsid w:val="1D1327C1"/>
    <w:rsid w:val="1D2247B2"/>
    <w:rsid w:val="1D392227"/>
    <w:rsid w:val="1D4666F2"/>
    <w:rsid w:val="1D5C5F16"/>
    <w:rsid w:val="1D7417D3"/>
    <w:rsid w:val="1D87456E"/>
    <w:rsid w:val="1DA1112F"/>
    <w:rsid w:val="1DAF24EA"/>
    <w:rsid w:val="1DB63878"/>
    <w:rsid w:val="1DB95116"/>
    <w:rsid w:val="1DC6065A"/>
    <w:rsid w:val="1DCA7323"/>
    <w:rsid w:val="1DDF7C04"/>
    <w:rsid w:val="1DE52A44"/>
    <w:rsid w:val="1DE55F0B"/>
    <w:rsid w:val="1DF265C8"/>
    <w:rsid w:val="1DF47EFC"/>
    <w:rsid w:val="1DFF6E5F"/>
    <w:rsid w:val="1E1F7EEC"/>
    <w:rsid w:val="1E38038A"/>
    <w:rsid w:val="1E3E6409"/>
    <w:rsid w:val="1E480248"/>
    <w:rsid w:val="1E4F7FC1"/>
    <w:rsid w:val="1E536208"/>
    <w:rsid w:val="1E562965"/>
    <w:rsid w:val="1E7A3247"/>
    <w:rsid w:val="1E842DE2"/>
    <w:rsid w:val="1E8B078C"/>
    <w:rsid w:val="1E937AFC"/>
    <w:rsid w:val="1EA5569B"/>
    <w:rsid w:val="1EBD4792"/>
    <w:rsid w:val="1EC41FC5"/>
    <w:rsid w:val="1ECF2647"/>
    <w:rsid w:val="1EDC571E"/>
    <w:rsid w:val="1EE12B77"/>
    <w:rsid w:val="1EFE632E"/>
    <w:rsid w:val="1F061F30"/>
    <w:rsid w:val="1F095C2A"/>
    <w:rsid w:val="1F1015F8"/>
    <w:rsid w:val="1F274302"/>
    <w:rsid w:val="1F3C3740"/>
    <w:rsid w:val="1F5A46D7"/>
    <w:rsid w:val="1F6410B2"/>
    <w:rsid w:val="1F666BD8"/>
    <w:rsid w:val="1F9951FF"/>
    <w:rsid w:val="1F9F5C8E"/>
    <w:rsid w:val="1FA461AA"/>
    <w:rsid w:val="1FBA5176"/>
    <w:rsid w:val="1FC23CA6"/>
    <w:rsid w:val="1FDE2BEB"/>
    <w:rsid w:val="1FE679D1"/>
    <w:rsid w:val="1FED5158"/>
    <w:rsid w:val="1FF40688"/>
    <w:rsid w:val="20085EE1"/>
    <w:rsid w:val="20163E43"/>
    <w:rsid w:val="202662F2"/>
    <w:rsid w:val="202A40A9"/>
    <w:rsid w:val="20303E66"/>
    <w:rsid w:val="204835C8"/>
    <w:rsid w:val="205904EB"/>
    <w:rsid w:val="205F6F15"/>
    <w:rsid w:val="206765A7"/>
    <w:rsid w:val="206C10D4"/>
    <w:rsid w:val="20743577"/>
    <w:rsid w:val="20885230"/>
    <w:rsid w:val="20987265"/>
    <w:rsid w:val="209A3CD2"/>
    <w:rsid w:val="20AA6925"/>
    <w:rsid w:val="20B56069"/>
    <w:rsid w:val="20B802FC"/>
    <w:rsid w:val="20C32174"/>
    <w:rsid w:val="20C52024"/>
    <w:rsid w:val="20F75857"/>
    <w:rsid w:val="21117017"/>
    <w:rsid w:val="21303941"/>
    <w:rsid w:val="2157480F"/>
    <w:rsid w:val="215A6C10"/>
    <w:rsid w:val="215C6A28"/>
    <w:rsid w:val="217353BD"/>
    <w:rsid w:val="217736AC"/>
    <w:rsid w:val="21787096"/>
    <w:rsid w:val="217A696B"/>
    <w:rsid w:val="218B79F8"/>
    <w:rsid w:val="21BF0821"/>
    <w:rsid w:val="21C72B09"/>
    <w:rsid w:val="21D625E8"/>
    <w:rsid w:val="21DC13D3"/>
    <w:rsid w:val="21EE743D"/>
    <w:rsid w:val="21EF60F0"/>
    <w:rsid w:val="220855EF"/>
    <w:rsid w:val="220E0FD7"/>
    <w:rsid w:val="221C3EC6"/>
    <w:rsid w:val="221D2199"/>
    <w:rsid w:val="221E379A"/>
    <w:rsid w:val="223E5BEA"/>
    <w:rsid w:val="224513FB"/>
    <w:rsid w:val="224A4176"/>
    <w:rsid w:val="2265761B"/>
    <w:rsid w:val="2298179E"/>
    <w:rsid w:val="229A7C7F"/>
    <w:rsid w:val="22BE64C7"/>
    <w:rsid w:val="22DB78DD"/>
    <w:rsid w:val="22EF5453"/>
    <w:rsid w:val="23152DEF"/>
    <w:rsid w:val="231D427D"/>
    <w:rsid w:val="232133B2"/>
    <w:rsid w:val="232802C0"/>
    <w:rsid w:val="23314077"/>
    <w:rsid w:val="23437A88"/>
    <w:rsid w:val="234E6301"/>
    <w:rsid w:val="2351194D"/>
    <w:rsid w:val="23696C97"/>
    <w:rsid w:val="238B43B7"/>
    <w:rsid w:val="23AB6501"/>
    <w:rsid w:val="23AE6D9F"/>
    <w:rsid w:val="23C860B3"/>
    <w:rsid w:val="23DE7685"/>
    <w:rsid w:val="23ED6185"/>
    <w:rsid w:val="241B110D"/>
    <w:rsid w:val="241D4741"/>
    <w:rsid w:val="24373239"/>
    <w:rsid w:val="244E34B1"/>
    <w:rsid w:val="24651B54"/>
    <w:rsid w:val="24693AC6"/>
    <w:rsid w:val="24760A6A"/>
    <w:rsid w:val="247D6D03"/>
    <w:rsid w:val="248E3007"/>
    <w:rsid w:val="249064A5"/>
    <w:rsid w:val="24B976DF"/>
    <w:rsid w:val="24E32A79"/>
    <w:rsid w:val="24EA3D79"/>
    <w:rsid w:val="24F84776"/>
    <w:rsid w:val="252E799A"/>
    <w:rsid w:val="253F05F7"/>
    <w:rsid w:val="25494FD2"/>
    <w:rsid w:val="25551BC9"/>
    <w:rsid w:val="25585A84"/>
    <w:rsid w:val="255D6CCF"/>
    <w:rsid w:val="25711C6D"/>
    <w:rsid w:val="2572277A"/>
    <w:rsid w:val="257F6C45"/>
    <w:rsid w:val="25832FCF"/>
    <w:rsid w:val="25867FD4"/>
    <w:rsid w:val="2587082F"/>
    <w:rsid w:val="25A93643"/>
    <w:rsid w:val="25B407F1"/>
    <w:rsid w:val="25C04385"/>
    <w:rsid w:val="25C1100C"/>
    <w:rsid w:val="25CB1E8B"/>
    <w:rsid w:val="25D71021"/>
    <w:rsid w:val="25DF1FAF"/>
    <w:rsid w:val="25E44CFA"/>
    <w:rsid w:val="25FD7B6A"/>
    <w:rsid w:val="261B3F35"/>
    <w:rsid w:val="26284BE7"/>
    <w:rsid w:val="266D4CF0"/>
    <w:rsid w:val="26801AA8"/>
    <w:rsid w:val="268C786C"/>
    <w:rsid w:val="269B7FE4"/>
    <w:rsid w:val="26B23E49"/>
    <w:rsid w:val="26BF01D9"/>
    <w:rsid w:val="26C37006"/>
    <w:rsid w:val="26C40A21"/>
    <w:rsid w:val="26CA2142"/>
    <w:rsid w:val="26CD1869"/>
    <w:rsid w:val="26CF7759"/>
    <w:rsid w:val="26E34FB2"/>
    <w:rsid w:val="26E70133"/>
    <w:rsid w:val="26F46D9E"/>
    <w:rsid w:val="27064377"/>
    <w:rsid w:val="27247AA4"/>
    <w:rsid w:val="272A498F"/>
    <w:rsid w:val="274375D4"/>
    <w:rsid w:val="27481795"/>
    <w:rsid w:val="27584542"/>
    <w:rsid w:val="275C2176"/>
    <w:rsid w:val="275F6D2E"/>
    <w:rsid w:val="276524A7"/>
    <w:rsid w:val="276948A4"/>
    <w:rsid w:val="27983C91"/>
    <w:rsid w:val="279B3EA8"/>
    <w:rsid w:val="27AB594A"/>
    <w:rsid w:val="27D119DB"/>
    <w:rsid w:val="27E62FAC"/>
    <w:rsid w:val="27E71F60"/>
    <w:rsid w:val="281C077C"/>
    <w:rsid w:val="284049FF"/>
    <w:rsid w:val="28422863"/>
    <w:rsid w:val="28427CBE"/>
    <w:rsid w:val="285B2DB4"/>
    <w:rsid w:val="285C7D55"/>
    <w:rsid w:val="28641ED9"/>
    <w:rsid w:val="28654AE0"/>
    <w:rsid w:val="286D547B"/>
    <w:rsid w:val="287051D9"/>
    <w:rsid w:val="287700A8"/>
    <w:rsid w:val="288075B0"/>
    <w:rsid w:val="288874B8"/>
    <w:rsid w:val="28923414"/>
    <w:rsid w:val="28BF3AB9"/>
    <w:rsid w:val="28CD1A76"/>
    <w:rsid w:val="28D70F5B"/>
    <w:rsid w:val="28E674A7"/>
    <w:rsid w:val="28E950A9"/>
    <w:rsid w:val="28F33BD2"/>
    <w:rsid w:val="28F37A9E"/>
    <w:rsid w:val="28F87F8F"/>
    <w:rsid w:val="28F9286B"/>
    <w:rsid w:val="29097C22"/>
    <w:rsid w:val="29160FCE"/>
    <w:rsid w:val="294D63E7"/>
    <w:rsid w:val="2953641F"/>
    <w:rsid w:val="295B3526"/>
    <w:rsid w:val="296A19BB"/>
    <w:rsid w:val="296D5007"/>
    <w:rsid w:val="29710E42"/>
    <w:rsid w:val="298D02AE"/>
    <w:rsid w:val="299912AB"/>
    <w:rsid w:val="29B35110"/>
    <w:rsid w:val="29B54AD8"/>
    <w:rsid w:val="29CC1912"/>
    <w:rsid w:val="29D07A70"/>
    <w:rsid w:val="29E13956"/>
    <w:rsid w:val="29E65B3B"/>
    <w:rsid w:val="29EE6148"/>
    <w:rsid w:val="2A0911D4"/>
    <w:rsid w:val="2A1325E4"/>
    <w:rsid w:val="2A1536D4"/>
    <w:rsid w:val="2A2E29E8"/>
    <w:rsid w:val="2A3600E6"/>
    <w:rsid w:val="2A447037"/>
    <w:rsid w:val="2A504EBC"/>
    <w:rsid w:val="2A5204DC"/>
    <w:rsid w:val="2A6F0BE2"/>
    <w:rsid w:val="2A7F4FF2"/>
    <w:rsid w:val="2AA3130F"/>
    <w:rsid w:val="2AB14EA5"/>
    <w:rsid w:val="2AB56C65"/>
    <w:rsid w:val="2AC77010"/>
    <w:rsid w:val="2ACD5DC2"/>
    <w:rsid w:val="2ADA1C68"/>
    <w:rsid w:val="2AED28A3"/>
    <w:rsid w:val="2AED4651"/>
    <w:rsid w:val="2AF6306C"/>
    <w:rsid w:val="2AFD1F49"/>
    <w:rsid w:val="2B004385"/>
    <w:rsid w:val="2B21615F"/>
    <w:rsid w:val="2B242C3C"/>
    <w:rsid w:val="2B3F5197"/>
    <w:rsid w:val="2B7A20C8"/>
    <w:rsid w:val="2B7B7EAF"/>
    <w:rsid w:val="2B8F74B6"/>
    <w:rsid w:val="2B9B5042"/>
    <w:rsid w:val="2BAA42F0"/>
    <w:rsid w:val="2BD92684"/>
    <w:rsid w:val="2BE303D8"/>
    <w:rsid w:val="2BE772F2"/>
    <w:rsid w:val="2C3F712F"/>
    <w:rsid w:val="2C460341"/>
    <w:rsid w:val="2C4B4A59"/>
    <w:rsid w:val="2C4C0810"/>
    <w:rsid w:val="2C4D6037"/>
    <w:rsid w:val="2C746CD2"/>
    <w:rsid w:val="2C752B50"/>
    <w:rsid w:val="2C8025B9"/>
    <w:rsid w:val="2C8D0668"/>
    <w:rsid w:val="2C9B486B"/>
    <w:rsid w:val="2CB35427"/>
    <w:rsid w:val="2CBE6AAF"/>
    <w:rsid w:val="2CBF1C01"/>
    <w:rsid w:val="2CCD1E63"/>
    <w:rsid w:val="2D1063D5"/>
    <w:rsid w:val="2D3C3768"/>
    <w:rsid w:val="2D4C4D2E"/>
    <w:rsid w:val="2D5C786C"/>
    <w:rsid w:val="2D635F72"/>
    <w:rsid w:val="2D654973"/>
    <w:rsid w:val="2D764930"/>
    <w:rsid w:val="2D782EE2"/>
    <w:rsid w:val="2D7C3A6A"/>
    <w:rsid w:val="2D864137"/>
    <w:rsid w:val="2D872B3B"/>
    <w:rsid w:val="2D9D4A1E"/>
    <w:rsid w:val="2DF7019E"/>
    <w:rsid w:val="2E0917A2"/>
    <w:rsid w:val="2E114AFB"/>
    <w:rsid w:val="2E1462E6"/>
    <w:rsid w:val="2E1A3538"/>
    <w:rsid w:val="2E2808AD"/>
    <w:rsid w:val="2E29629D"/>
    <w:rsid w:val="2E3305CD"/>
    <w:rsid w:val="2E4518B4"/>
    <w:rsid w:val="2E505623"/>
    <w:rsid w:val="2E5A3DAC"/>
    <w:rsid w:val="2E717347"/>
    <w:rsid w:val="2E894691"/>
    <w:rsid w:val="2EBE0773"/>
    <w:rsid w:val="2EC1207D"/>
    <w:rsid w:val="2EDD22FC"/>
    <w:rsid w:val="2EED492D"/>
    <w:rsid w:val="2EF81B7B"/>
    <w:rsid w:val="2F0D7070"/>
    <w:rsid w:val="2F207D73"/>
    <w:rsid w:val="2F21721A"/>
    <w:rsid w:val="2F326AD7"/>
    <w:rsid w:val="2F364819"/>
    <w:rsid w:val="2F4341ED"/>
    <w:rsid w:val="2F522CD5"/>
    <w:rsid w:val="2F54082F"/>
    <w:rsid w:val="2F6963F3"/>
    <w:rsid w:val="2F6D5D61"/>
    <w:rsid w:val="2F6E5EE1"/>
    <w:rsid w:val="2F950E14"/>
    <w:rsid w:val="2F9B28CE"/>
    <w:rsid w:val="2FA63021"/>
    <w:rsid w:val="2FA75A19"/>
    <w:rsid w:val="2FB219C5"/>
    <w:rsid w:val="2FE42A5E"/>
    <w:rsid w:val="2FE93BCB"/>
    <w:rsid w:val="3008185A"/>
    <w:rsid w:val="30093CDB"/>
    <w:rsid w:val="303E3C11"/>
    <w:rsid w:val="30607673"/>
    <w:rsid w:val="30633FB6"/>
    <w:rsid w:val="306925E3"/>
    <w:rsid w:val="306E7FE2"/>
    <w:rsid w:val="307B1978"/>
    <w:rsid w:val="308005E8"/>
    <w:rsid w:val="30BF3057"/>
    <w:rsid w:val="30D74727"/>
    <w:rsid w:val="30E80B48"/>
    <w:rsid w:val="30F46739"/>
    <w:rsid w:val="30F8425E"/>
    <w:rsid w:val="3106436D"/>
    <w:rsid w:val="3106646D"/>
    <w:rsid w:val="311409A3"/>
    <w:rsid w:val="311F6719"/>
    <w:rsid w:val="31232B7B"/>
    <w:rsid w:val="312B5ED3"/>
    <w:rsid w:val="312F769E"/>
    <w:rsid w:val="313B4368"/>
    <w:rsid w:val="31661C67"/>
    <w:rsid w:val="316824BC"/>
    <w:rsid w:val="31696DE6"/>
    <w:rsid w:val="317540B6"/>
    <w:rsid w:val="31773D8F"/>
    <w:rsid w:val="3186135C"/>
    <w:rsid w:val="31C06A7C"/>
    <w:rsid w:val="31C324F9"/>
    <w:rsid w:val="31E00A6C"/>
    <w:rsid w:val="31EC5663"/>
    <w:rsid w:val="31F47DEC"/>
    <w:rsid w:val="31F67EDC"/>
    <w:rsid w:val="320D646B"/>
    <w:rsid w:val="320F4EAD"/>
    <w:rsid w:val="321921D0"/>
    <w:rsid w:val="32496611"/>
    <w:rsid w:val="324C4353"/>
    <w:rsid w:val="327644AD"/>
    <w:rsid w:val="3286099B"/>
    <w:rsid w:val="32A0644D"/>
    <w:rsid w:val="32BE5531"/>
    <w:rsid w:val="32C959A4"/>
    <w:rsid w:val="32CC7242"/>
    <w:rsid w:val="32DA195F"/>
    <w:rsid w:val="32E60304"/>
    <w:rsid w:val="33096E5B"/>
    <w:rsid w:val="331A1F2F"/>
    <w:rsid w:val="332930F1"/>
    <w:rsid w:val="33410490"/>
    <w:rsid w:val="334F2EE3"/>
    <w:rsid w:val="336B153C"/>
    <w:rsid w:val="337E678E"/>
    <w:rsid w:val="33A919B7"/>
    <w:rsid w:val="33CF0D98"/>
    <w:rsid w:val="33EA2A93"/>
    <w:rsid w:val="33F94067"/>
    <w:rsid w:val="3421695E"/>
    <w:rsid w:val="342854F1"/>
    <w:rsid w:val="343432F1"/>
    <w:rsid w:val="343A7B15"/>
    <w:rsid w:val="344C4197"/>
    <w:rsid w:val="346076B1"/>
    <w:rsid w:val="34713BFD"/>
    <w:rsid w:val="34781430"/>
    <w:rsid w:val="349978F3"/>
    <w:rsid w:val="34A5320D"/>
    <w:rsid w:val="34E42621"/>
    <w:rsid w:val="34FE03F1"/>
    <w:rsid w:val="3516790C"/>
    <w:rsid w:val="351C1540"/>
    <w:rsid w:val="352275ED"/>
    <w:rsid w:val="35281F14"/>
    <w:rsid w:val="352D00FD"/>
    <w:rsid w:val="352E7D40"/>
    <w:rsid w:val="35335357"/>
    <w:rsid w:val="35884863"/>
    <w:rsid w:val="358E07DF"/>
    <w:rsid w:val="359C2EFC"/>
    <w:rsid w:val="359E0925"/>
    <w:rsid w:val="359F4AD1"/>
    <w:rsid w:val="35A973C7"/>
    <w:rsid w:val="35E30F15"/>
    <w:rsid w:val="35ED2F28"/>
    <w:rsid w:val="35F03248"/>
    <w:rsid w:val="360C0002"/>
    <w:rsid w:val="361231BE"/>
    <w:rsid w:val="36163A6E"/>
    <w:rsid w:val="36175839"/>
    <w:rsid w:val="361A779D"/>
    <w:rsid w:val="36631C6B"/>
    <w:rsid w:val="367125DA"/>
    <w:rsid w:val="367B0D63"/>
    <w:rsid w:val="367C6504"/>
    <w:rsid w:val="368D6CE8"/>
    <w:rsid w:val="36A53A43"/>
    <w:rsid w:val="36CC4181"/>
    <w:rsid w:val="36DD1A1E"/>
    <w:rsid w:val="36DD5106"/>
    <w:rsid w:val="36E737C1"/>
    <w:rsid w:val="36EF7DCC"/>
    <w:rsid w:val="37217A3A"/>
    <w:rsid w:val="37476E97"/>
    <w:rsid w:val="37733D9D"/>
    <w:rsid w:val="377C1237"/>
    <w:rsid w:val="377C7D3E"/>
    <w:rsid w:val="37854A3D"/>
    <w:rsid w:val="378D51F2"/>
    <w:rsid w:val="37D174C2"/>
    <w:rsid w:val="37DD6D4B"/>
    <w:rsid w:val="37FC4126"/>
    <w:rsid w:val="385775AE"/>
    <w:rsid w:val="38614E39"/>
    <w:rsid w:val="386F66A6"/>
    <w:rsid w:val="388044C8"/>
    <w:rsid w:val="38A65E3F"/>
    <w:rsid w:val="38B63734"/>
    <w:rsid w:val="38C073F1"/>
    <w:rsid w:val="38C537E4"/>
    <w:rsid w:val="38CA5FD2"/>
    <w:rsid w:val="38D9069A"/>
    <w:rsid w:val="38F864CD"/>
    <w:rsid w:val="38FA6AC4"/>
    <w:rsid w:val="390A4620"/>
    <w:rsid w:val="390B0AC4"/>
    <w:rsid w:val="390F1C37"/>
    <w:rsid w:val="397A79F8"/>
    <w:rsid w:val="398048E2"/>
    <w:rsid w:val="398B4221"/>
    <w:rsid w:val="398E6FFF"/>
    <w:rsid w:val="398F6ADC"/>
    <w:rsid w:val="39900FC9"/>
    <w:rsid w:val="39AD4FF4"/>
    <w:rsid w:val="39C23BC1"/>
    <w:rsid w:val="39EC451F"/>
    <w:rsid w:val="3A1A4D37"/>
    <w:rsid w:val="3A267238"/>
    <w:rsid w:val="3A410516"/>
    <w:rsid w:val="3A5257CB"/>
    <w:rsid w:val="3A60406F"/>
    <w:rsid w:val="3A614E02"/>
    <w:rsid w:val="3A683CF4"/>
    <w:rsid w:val="3A962949"/>
    <w:rsid w:val="3A964CA2"/>
    <w:rsid w:val="3A9746CD"/>
    <w:rsid w:val="3AA91F1E"/>
    <w:rsid w:val="3AB22765"/>
    <w:rsid w:val="3AB42BE8"/>
    <w:rsid w:val="3AC23405"/>
    <w:rsid w:val="3ADD6A3A"/>
    <w:rsid w:val="3ADD708C"/>
    <w:rsid w:val="3AE27603"/>
    <w:rsid w:val="3AEF7F72"/>
    <w:rsid w:val="3AF96667"/>
    <w:rsid w:val="3AFE1F54"/>
    <w:rsid w:val="3B1B0D67"/>
    <w:rsid w:val="3B2671BD"/>
    <w:rsid w:val="3B3B31B7"/>
    <w:rsid w:val="3B626996"/>
    <w:rsid w:val="3B662E8D"/>
    <w:rsid w:val="3B836161"/>
    <w:rsid w:val="3B8561E0"/>
    <w:rsid w:val="3B8D5021"/>
    <w:rsid w:val="3B903503"/>
    <w:rsid w:val="3B9350CC"/>
    <w:rsid w:val="3B977713"/>
    <w:rsid w:val="3BA34BB8"/>
    <w:rsid w:val="3BA73D0D"/>
    <w:rsid w:val="3BBB1CFC"/>
    <w:rsid w:val="3BD258C9"/>
    <w:rsid w:val="3BF35840"/>
    <w:rsid w:val="3BF55FA0"/>
    <w:rsid w:val="3C204CE4"/>
    <w:rsid w:val="3C360C30"/>
    <w:rsid w:val="3C504606"/>
    <w:rsid w:val="3C67757D"/>
    <w:rsid w:val="3C7303B6"/>
    <w:rsid w:val="3C973E85"/>
    <w:rsid w:val="3CCD42E3"/>
    <w:rsid w:val="3CE42D09"/>
    <w:rsid w:val="3CF74EBC"/>
    <w:rsid w:val="3CFE26EE"/>
    <w:rsid w:val="3D1B7BB4"/>
    <w:rsid w:val="3D2A2466"/>
    <w:rsid w:val="3D344362"/>
    <w:rsid w:val="3D3954D4"/>
    <w:rsid w:val="3D580050"/>
    <w:rsid w:val="3D622C7D"/>
    <w:rsid w:val="3D681163"/>
    <w:rsid w:val="3D7B3D3F"/>
    <w:rsid w:val="3D954E00"/>
    <w:rsid w:val="3DA96C47"/>
    <w:rsid w:val="3DC12D0A"/>
    <w:rsid w:val="3DCE273D"/>
    <w:rsid w:val="3DD1395F"/>
    <w:rsid w:val="3DD206B3"/>
    <w:rsid w:val="3DDA0D9B"/>
    <w:rsid w:val="3DE23DBE"/>
    <w:rsid w:val="3DFE0BF8"/>
    <w:rsid w:val="3E037B09"/>
    <w:rsid w:val="3E2F30E8"/>
    <w:rsid w:val="3E300685"/>
    <w:rsid w:val="3E3363B2"/>
    <w:rsid w:val="3E377C66"/>
    <w:rsid w:val="3E392B8C"/>
    <w:rsid w:val="3E4B1963"/>
    <w:rsid w:val="3E4D7489"/>
    <w:rsid w:val="3E693B97"/>
    <w:rsid w:val="3E725142"/>
    <w:rsid w:val="3E872164"/>
    <w:rsid w:val="3E8D5054"/>
    <w:rsid w:val="3E9B631A"/>
    <w:rsid w:val="3EA51073"/>
    <w:rsid w:val="3EAF36D6"/>
    <w:rsid w:val="3ED100BA"/>
    <w:rsid w:val="3EEA7E40"/>
    <w:rsid w:val="3EF03352"/>
    <w:rsid w:val="3EFF6076"/>
    <w:rsid w:val="3F0F2D51"/>
    <w:rsid w:val="3FBE7F13"/>
    <w:rsid w:val="400242A3"/>
    <w:rsid w:val="400C6ED0"/>
    <w:rsid w:val="401F4E55"/>
    <w:rsid w:val="402B55A8"/>
    <w:rsid w:val="40306ADA"/>
    <w:rsid w:val="40731583"/>
    <w:rsid w:val="408A2349"/>
    <w:rsid w:val="4095494B"/>
    <w:rsid w:val="40955A55"/>
    <w:rsid w:val="40B161DA"/>
    <w:rsid w:val="40C17FB8"/>
    <w:rsid w:val="40C652D1"/>
    <w:rsid w:val="40E65973"/>
    <w:rsid w:val="41072DEF"/>
    <w:rsid w:val="41221636"/>
    <w:rsid w:val="412E745D"/>
    <w:rsid w:val="413E03EA"/>
    <w:rsid w:val="413E52D5"/>
    <w:rsid w:val="415723CD"/>
    <w:rsid w:val="41615EF2"/>
    <w:rsid w:val="41650F8E"/>
    <w:rsid w:val="41967135"/>
    <w:rsid w:val="419E7FFC"/>
    <w:rsid w:val="41A424B8"/>
    <w:rsid w:val="41C55588"/>
    <w:rsid w:val="41D1217F"/>
    <w:rsid w:val="41DB6F8F"/>
    <w:rsid w:val="41FF5B9E"/>
    <w:rsid w:val="42097B6B"/>
    <w:rsid w:val="421459BA"/>
    <w:rsid w:val="421D3C7F"/>
    <w:rsid w:val="421F15E9"/>
    <w:rsid w:val="423261F5"/>
    <w:rsid w:val="423E5B89"/>
    <w:rsid w:val="424557E2"/>
    <w:rsid w:val="425B7C9B"/>
    <w:rsid w:val="4269060A"/>
    <w:rsid w:val="426B25D4"/>
    <w:rsid w:val="426E5C20"/>
    <w:rsid w:val="427D7230"/>
    <w:rsid w:val="4282060E"/>
    <w:rsid w:val="429F227D"/>
    <w:rsid w:val="42C13FA2"/>
    <w:rsid w:val="42D75573"/>
    <w:rsid w:val="42DE0D58"/>
    <w:rsid w:val="42E44134"/>
    <w:rsid w:val="431F26F5"/>
    <w:rsid w:val="432C22FD"/>
    <w:rsid w:val="433F7092"/>
    <w:rsid w:val="435117C9"/>
    <w:rsid w:val="43860D47"/>
    <w:rsid w:val="438973FF"/>
    <w:rsid w:val="439E2535"/>
    <w:rsid w:val="43A01432"/>
    <w:rsid w:val="43BF10A6"/>
    <w:rsid w:val="43C0001A"/>
    <w:rsid w:val="43C7383A"/>
    <w:rsid w:val="4413082D"/>
    <w:rsid w:val="4415656C"/>
    <w:rsid w:val="44225E77"/>
    <w:rsid w:val="44427364"/>
    <w:rsid w:val="444E3F5B"/>
    <w:rsid w:val="445664F6"/>
    <w:rsid w:val="44631CF6"/>
    <w:rsid w:val="44A71814"/>
    <w:rsid w:val="44BE2E8F"/>
    <w:rsid w:val="44C45FCB"/>
    <w:rsid w:val="44CE29A6"/>
    <w:rsid w:val="44E2127A"/>
    <w:rsid w:val="44ED72D0"/>
    <w:rsid w:val="45156827"/>
    <w:rsid w:val="454964D0"/>
    <w:rsid w:val="454E4597"/>
    <w:rsid w:val="455A248C"/>
    <w:rsid w:val="455D3805"/>
    <w:rsid w:val="45603F46"/>
    <w:rsid w:val="4565330A"/>
    <w:rsid w:val="45A3635E"/>
    <w:rsid w:val="45B56E0F"/>
    <w:rsid w:val="45E16709"/>
    <w:rsid w:val="45E701C3"/>
    <w:rsid w:val="45EA22DA"/>
    <w:rsid w:val="45FC54EE"/>
    <w:rsid w:val="460F4CD4"/>
    <w:rsid w:val="46256F3D"/>
    <w:rsid w:val="4642571E"/>
    <w:rsid w:val="46575537"/>
    <w:rsid w:val="46607F75"/>
    <w:rsid w:val="46633E5E"/>
    <w:rsid w:val="4665733A"/>
    <w:rsid w:val="467F664E"/>
    <w:rsid w:val="4682722F"/>
    <w:rsid w:val="469A321D"/>
    <w:rsid w:val="469D0B34"/>
    <w:rsid w:val="46A77189"/>
    <w:rsid w:val="46B876F6"/>
    <w:rsid w:val="46DA7593"/>
    <w:rsid w:val="46F231F5"/>
    <w:rsid w:val="46F5759C"/>
    <w:rsid w:val="4712006D"/>
    <w:rsid w:val="47121221"/>
    <w:rsid w:val="47226FD9"/>
    <w:rsid w:val="478F3863"/>
    <w:rsid w:val="47961EA1"/>
    <w:rsid w:val="479F062A"/>
    <w:rsid w:val="47BD53BF"/>
    <w:rsid w:val="47C6205A"/>
    <w:rsid w:val="47E82E9F"/>
    <w:rsid w:val="480A4FB6"/>
    <w:rsid w:val="4815139A"/>
    <w:rsid w:val="48367BDF"/>
    <w:rsid w:val="483C07B4"/>
    <w:rsid w:val="48421D06"/>
    <w:rsid w:val="48513325"/>
    <w:rsid w:val="48653621"/>
    <w:rsid w:val="48693111"/>
    <w:rsid w:val="489906A4"/>
    <w:rsid w:val="48A92A8E"/>
    <w:rsid w:val="48B325DE"/>
    <w:rsid w:val="48CC1253"/>
    <w:rsid w:val="48D93187"/>
    <w:rsid w:val="48E3663A"/>
    <w:rsid w:val="48F86A8E"/>
    <w:rsid w:val="49061A89"/>
    <w:rsid w:val="491A265E"/>
    <w:rsid w:val="491C1505"/>
    <w:rsid w:val="4923112F"/>
    <w:rsid w:val="49296771"/>
    <w:rsid w:val="492F1BC7"/>
    <w:rsid w:val="49484DFB"/>
    <w:rsid w:val="495851E9"/>
    <w:rsid w:val="496B110B"/>
    <w:rsid w:val="49884C3C"/>
    <w:rsid w:val="498A3B1A"/>
    <w:rsid w:val="499750CB"/>
    <w:rsid w:val="49A66458"/>
    <w:rsid w:val="49B43FA2"/>
    <w:rsid w:val="49B4602B"/>
    <w:rsid w:val="49B52386"/>
    <w:rsid w:val="49C87F6A"/>
    <w:rsid w:val="49CF70FC"/>
    <w:rsid w:val="49D059CC"/>
    <w:rsid w:val="49E0425C"/>
    <w:rsid w:val="49F25388"/>
    <w:rsid w:val="4A0749B4"/>
    <w:rsid w:val="4A0C3D14"/>
    <w:rsid w:val="4A0C644A"/>
    <w:rsid w:val="4A25750C"/>
    <w:rsid w:val="4A4D25BF"/>
    <w:rsid w:val="4A4E5201"/>
    <w:rsid w:val="4A586007"/>
    <w:rsid w:val="4A5B2F2E"/>
    <w:rsid w:val="4A5B7951"/>
    <w:rsid w:val="4A7F03FF"/>
    <w:rsid w:val="4A8752E4"/>
    <w:rsid w:val="4A930919"/>
    <w:rsid w:val="4ACE54AE"/>
    <w:rsid w:val="4AD7471E"/>
    <w:rsid w:val="4AE65179"/>
    <w:rsid w:val="4AE85AB6"/>
    <w:rsid w:val="4B101F6A"/>
    <w:rsid w:val="4B211082"/>
    <w:rsid w:val="4B541BD0"/>
    <w:rsid w:val="4B600A70"/>
    <w:rsid w:val="4B7047B7"/>
    <w:rsid w:val="4B782F12"/>
    <w:rsid w:val="4BA4013E"/>
    <w:rsid w:val="4BB3441A"/>
    <w:rsid w:val="4BCB40E3"/>
    <w:rsid w:val="4BFC1B2B"/>
    <w:rsid w:val="4C0F208F"/>
    <w:rsid w:val="4C567E51"/>
    <w:rsid w:val="4C602FB1"/>
    <w:rsid w:val="4C7F1237"/>
    <w:rsid w:val="4C803B96"/>
    <w:rsid w:val="4C87625C"/>
    <w:rsid w:val="4C934C01"/>
    <w:rsid w:val="4CA77A95"/>
    <w:rsid w:val="4CA87496"/>
    <w:rsid w:val="4CCC0113"/>
    <w:rsid w:val="4CF62C1F"/>
    <w:rsid w:val="4D063F70"/>
    <w:rsid w:val="4D080AFB"/>
    <w:rsid w:val="4D0C49B3"/>
    <w:rsid w:val="4D107456"/>
    <w:rsid w:val="4D146BD4"/>
    <w:rsid w:val="4D19055F"/>
    <w:rsid w:val="4D1E3A2B"/>
    <w:rsid w:val="4D215E60"/>
    <w:rsid w:val="4D2C70ED"/>
    <w:rsid w:val="4D357A66"/>
    <w:rsid w:val="4D4D597D"/>
    <w:rsid w:val="4D517CDF"/>
    <w:rsid w:val="4D6C771B"/>
    <w:rsid w:val="4D7D0FCF"/>
    <w:rsid w:val="4D8B0CF2"/>
    <w:rsid w:val="4D8D4D89"/>
    <w:rsid w:val="4D986247"/>
    <w:rsid w:val="4DA370C6"/>
    <w:rsid w:val="4DA650F3"/>
    <w:rsid w:val="4DAD0048"/>
    <w:rsid w:val="4DB90697"/>
    <w:rsid w:val="4DBA440F"/>
    <w:rsid w:val="4DD21759"/>
    <w:rsid w:val="4DDD3A42"/>
    <w:rsid w:val="4DEF786C"/>
    <w:rsid w:val="4E197388"/>
    <w:rsid w:val="4E21448E"/>
    <w:rsid w:val="4E313F8D"/>
    <w:rsid w:val="4E3349C9"/>
    <w:rsid w:val="4E392BBD"/>
    <w:rsid w:val="4E5557A3"/>
    <w:rsid w:val="4E5C595C"/>
    <w:rsid w:val="4E704ACE"/>
    <w:rsid w:val="4E8D5680"/>
    <w:rsid w:val="4EA01857"/>
    <w:rsid w:val="4EA37538"/>
    <w:rsid w:val="4EAD187E"/>
    <w:rsid w:val="4EAF489E"/>
    <w:rsid w:val="4EC031C0"/>
    <w:rsid w:val="4EDE7C89"/>
    <w:rsid w:val="4EEC3CA4"/>
    <w:rsid w:val="4F073EC1"/>
    <w:rsid w:val="4F18763F"/>
    <w:rsid w:val="4F283CB4"/>
    <w:rsid w:val="4F463D78"/>
    <w:rsid w:val="4F5421EB"/>
    <w:rsid w:val="4F60078E"/>
    <w:rsid w:val="4F61543D"/>
    <w:rsid w:val="4F6B3C13"/>
    <w:rsid w:val="4F7C7BCE"/>
    <w:rsid w:val="4F8B77FD"/>
    <w:rsid w:val="4FAD7DD6"/>
    <w:rsid w:val="4FBA66E7"/>
    <w:rsid w:val="4FBB2E06"/>
    <w:rsid w:val="4FC6709B"/>
    <w:rsid w:val="4FC878AF"/>
    <w:rsid w:val="4FE34BAE"/>
    <w:rsid w:val="50036960"/>
    <w:rsid w:val="50083210"/>
    <w:rsid w:val="50187DFE"/>
    <w:rsid w:val="50242014"/>
    <w:rsid w:val="503A35E5"/>
    <w:rsid w:val="503B080B"/>
    <w:rsid w:val="503E6C32"/>
    <w:rsid w:val="50574928"/>
    <w:rsid w:val="506105AA"/>
    <w:rsid w:val="50722D7F"/>
    <w:rsid w:val="50792EE1"/>
    <w:rsid w:val="509B4084"/>
    <w:rsid w:val="50A867A1"/>
    <w:rsid w:val="50B02961"/>
    <w:rsid w:val="50B05655"/>
    <w:rsid w:val="50C7131D"/>
    <w:rsid w:val="50DC644B"/>
    <w:rsid w:val="50ED48BA"/>
    <w:rsid w:val="50F50135"/>
    <w:rsid w:val="50FB4B23"/>
    <w:rsid w:val="51387B25"/>
    <w:rsid w:val="51392FC0"/>
    <w:rsid w:val="515D27EA"/>
    <w:rsid w:val="516839A1"/>
    <w:rsid w:val="516B614C"/>
    <w:rsid w:val="518E02DD"/>
    <w:rsid w:val="51905BB3"/>
    <w:rsid w:val="5199689F"/>
    <w:rsid w:val="51B60E30"/>
    <w:rsid w:val="51B868DE"/>
    <w:rsid w:val="51BA2C30"/>
    <w:rsid w:val="51C92E73"/>
    <w:rsid w:val="51D11028"/>
    <w:rsid w:val="51D1141A"/>
    <w:rsid w:val="51E05D03"/>
    <w:rsid w:val="51E864A3"/>
    <w:rsid w:val="51ED0175"/>
    <w:rsid w:val="51F36EE5"/>
    <w:rsid w:val="51F83758"/>
    <w:rsid w:val="520B6D6E"/>
    <w:rsid w:val="520C2D5F"/>
    <w:rsid w:val="520D51E4"/>
    <w:rsid w:val="523C53F3"/>
    <w:rsid w:val="526E737C"/>
    <w:rsid w:val="527659A4"/>
    <w:rsid w:val="52776BC5"/>
    <w:rsid w:val="52B04C41"/>
    <w:rsid w:val="52B17D4C"/>
    <w:rsid w:val="52B551A5"/>
    <w:rsid w:val="52BA4CC2"/>
    <w:rsid w:val="52BC29D7"/>
    <w:rsid w:val="52D41E8E"/>
    <w:rsid w:val="52E15F9A"/>
    <w:rsid w:val="5307720B"/>
    <w:rsid w:val="53146370"/>
    <w:rsid w:val="532A5295"/>
    <w:rsid w:val="53312AE9"/>
    <w:rsid w:val="537B1F4B"/>
    <w:rsid w:val="53BC636D"/>
    <w:rsid w:val="53D02297"/>
    <w:rsid w:val="53E03237"/>
    <w:rsid w:val="53FF492A"/>
    <w:rsid w:val="5407691B"/>
    <w:rsid w:val="54180F40"/>
    <w:rsid w:val="54352A41"/>
    <w:rsid w:val="5444152C"/>
    <w:rsid w:val="54B10C1B"/>
    <w:rsid w:val="54C3004D"/>
    <w:rsid w:val="54CD2496"/>
    <w:rsid w:val="54CF2063"/>
    <w:rsid w:val="54D3417A"/>
    <w:rsid w:val="55065893"/>
    <w:rsid w:val="550C37A2"/>
    <w:rsid w:val="55425416"/>
    <w:rsid w:val="55562C6F"/>
    <w:rsid w:val="55626C0A"/>
    <w:rsid w:val="55686E01"/>
    <w:rsid w:val="556A671B"/>
    <w:rsid w:val="5583158B"/>
    <w:rsid w:val="558B0F78"/>
    <w:rsid w:val="558D1CD5"/>
    <w:rsid w:val="558F7F2F"/>
    <w:rsid w:val="5596306C"/>
    <w:rsid w:val="559A0529"/>
    <w:rsid w:val="559E368B"/>
    <w:rsid w:val="55B90631"/>
    <w:rsid w:val="55BB2AD2"/>
    <w:rsid w:val="55BB6815"/>
    <w:rsid w:val="55D3606E"/>
    <w:rsid w:val="55DA73FC"/>
    <w:rsid w:val="55E97640"/>
    <w:rsid w:val="55F37C5C"/>
    <w:rsid w:val="55FB134A"/>
    <w:rsid w:val="560C626C"/>
    <w:rsid w:val="5616253F"/>
    <w:rsid w:val="56377DDA"/>
    <w:rsid w:val="56501C97"/>
    <w:rsid w:val="566A450E"/>
    <w:rsid w:val="567D2FDC"/>
    <w:rsid w:val="567D65F5"/>
    <w:rsid w:val="568850AA"/>
    <w:rsid w:val="56AB4D39"/>
    <w:rsid w:val="56BD287A"/>
    <w:rsid w:val="56BE3AB8"/>
    <w:rsid w:val="56C1236A"/>
    <w:rsid w:val="56D8324A"/>
    <w:rsid w:val="56D8626A"/>
    <w:rsid w:val="56E02C2D"/>
    <w:rsid w:val="56F52014"/>
    <w:rsid w:val="56FE68E2"/>
    <w:rsid w:val="57144B90"/>
    <w:rsid w:val="57236B81"/>
    <w:rsid w:val="575925A3"/>
    <w:rsid w:val="575B631B"/>
    <w:rsid w:val="577216B2"/>
    <w:rsid w:val="57A41AB1"/>
    <w:rsid w:val="57CA4F33"/>
    <w:rsid w:val="57E91B79"/>
    <w:rsid w:val="581110D0"/>
    <w:rsid w:val="581C28A9"/>
    <w:rsid w:val="582836A2"/>
    <w:rsid w:val="58366D88"/>
    <w:rsid w:val="58496326"/>
    <w:rsid w:val="584D5CFC"/>
    <w:rsid w:val="58651AA8"/>
    <w:rsid w:val="589715D5"/>
    <w:rsid w:val="58BA3729"/>
    <w:rsid w:val="58BA7AA8"/>
    <w:rsid w:val="58E467E4"/>
    <w:rsid w:val="58EB36CF"/>
    <w:rsid w:val="59017396"/>
    <w:rsid w:val="590A46ED"/>
    <w:rsid w:val="59123351"/>
    <w:rsid w:val="592A1893"/>
    <w:rsid w:val="593339DC"/>
    <w:rsid w:val="595D0668"/>
    <w:rsid w:val="5981135B"/>
    <w:rsid w:val="59B2243E"/>
    <w:rsid w:val="59B71866"/>
    <w:rsid w:val="59E56370"/>
    <w:rsid w:val="59F36CDF"/>
    <w:rsid w:val="59F9006D"/>
    <w:rsid w:val="5A03565F"/>
    <w:rsid w:val="5A0F7891"/>
    <w:rsid w:val="5A184997"/>
    <w:rsid w:val="5A1B185F"/>
    <w:rsid w:val="5A207377"/>
    <w:rsid w:val="5A4C63EF"/>
    <w:rsid w:val="5A5B1684"/>
    <w:rsid w:val="5A5E386D"/>
    <w:rsid w:val="5A627595"/>
    <w:rsid w:val="5A655CE7"/>
    <w:rsid w:val="5A753B98"/>
    <w:rsid w:val="5A7C7CC1"/>
    <w:rsid w:val="5A91549E"/>
    <w:rsid w:val="5A9C7376"/>
    <w:rsid w:val="5A9F6E67"/>
    <w:rsid w:val="5AB27ECF"/>
    <w:rsid w:val="5ABA77FD"/>
    <w:rsid w:val="5AD71C43"/>
    <w:rsid w:val="5AF0321E"/>
    <w:rsid w:val="5B0015B8"/>
    <w:rsid w:val="5B136F0D"/>
    <w:rsid w:val="5B195F76"/>
    <w:rsid w:val="5B1A0996"/>
    <w:rsid w:val="5B1F3B03"/>
    <w:rsid w:val="5B426771"/>
    <w:rsid w:val="5B525C87"/>
    <w:rsid w:val="5B557525"/>
    <w:rsid w:val="5B9067AF"/>
    <w:rsid w:val="5BA1504E"/>
    <w:rsid w:val="5BC175DC"/>
    <w:rsid w:val="5BDC30D6"/>
    <w:rsid w:val="5BDD0396"/>
    <w:rsid w:val="5BF03C12"/>
    <w:rsid w:val="5BFF1FE5"/>
    <w:rsid w:val="5C0C37C1"/>
    <w:rsid w:val="5C1F3489"/>
    <w:rsid w:val="5C2238AB"/>
    <w:rsid w:val="5C273ACF"/>
    <w:rsid w:val="5C4C28DC"/>
    <w:rsid w:val="5C4E644E"/>
    <w:rsid w:val="5C567533"/>
    <w:rsid w:val="5C680693"/>
    <w:rsid w:val="5C82259C"/>
    <w:rsid w:val="5C861E69"/>
    <w:rsid w:val="5C8A1451"/>
    <w:rsid w:val="5C956991"/>
    <w:rsid w:val="5CAD1D45"/>
    <w:rsid w:val="5CC606DB"/>
    <w:rsid w:val="5CDF79EE"/>
    <w:rsid w:val="5CF52363"/>
    <w:rsid w:val="5CFA0384"/>
    <w:rsid w:val="5D1A0A26"/>
    <w:rsid w:val="5D1A4582"/>
    <w:rsid w:val="5D2C131F"/>
    <w:rsid w:val="5D487342"/>
    <w:rsid w:val="5D6D7222"/>
    <w:rsid w:val="5D703388"/>
    <w:rsid w:val="5D79399F"/>
    <w:rsid w:val="5DA14CA4"/>
    <w:rsid w:val="5DBA58BF"/>
    <w:rsid w:val="5DC65CED"/>
    <w:rsid w:val="5DD27D8A"/>
    <w:rsid w:val="5DFB4772"/>
    <w:rsid w:val="5E015742"/>
    <w:rsid w:val="5E1611EE"/>
    <w:rsid w:val="5E400893"/>
    <w:rsid w:val="5E483371"/>
    <w:rsid w:val="5E6F6B50"/>
    <w:rsid w:val="5E99597B"/>
    <w:rsid w:val="5EDD1D0C"/>
    <w:rsid w:val="5EE30DFC"/>
    <w:rsid w:val="5EFA28BD"/>
    <w:rsid w:val="5EFB4DE6"/>
    <w:rsid w:val="5F2A5ECB"/>
    <w:rsid w:val="5F610B8F"/>
    <w:rsid w:val="5F667F53"/>
    <w:rsid w:val="5F880F8B"/>
    <w:rsid w:val="5F8D7E89"/>
    <w:rsid w:val="5FA14E07"/>
    <w:rsid w:val="5FBB029F"/>
    <w:rsid w:val="5FF71EC3"/>
    <w:rsid w:val="60065E0F"/>
    <w:rsid w:val="601E082E"/>
    <w:rsid w:val="603242D9"/>
    <w:rsid w:val="60583379"/>
    <w:rsid w:val="6071095D"/>
    <w:rsid w:val="60730B79"/>
    <w:rsid w:val="608F34D9"/>
    <w:rsid w:val="60AB42FB"/>
    <w:rsid w:val="60CF38D6"/>
    <w:rsid w:val="60EC26DA"/>
    <w:rsid w:val="610E43FE"/>
    <w:rsid w:val="6117523F"/>
    <w:rsid w:val="613D2F35"/>
    <w:rsid w:val="6142679E"/>
    <w:rsid w:val="61467507"/>
    <w:rsid w:val="6155202D"/>
    <w:rsid w:val="61646714"/>
    <w:rsid w:val="616616D2"/>
    <w:rsid w:val="617C1051"/>
    <w:rsid w:val="61903065"/>
    <w:rsid w:val="61A3613F"/>
    <w:rsid w:val="61BA2D18"/>
    <w:rsid w:val="61D07BA7"/>
    <w:rsid w:val="61DB29E0"/>
    <w:rsid w:val="61E72A97"/>
    <w:rsid w:val="61ED04B8"/>
    <w:rsid w:val="61F45CEA"/>
    <w:rsid w:val="61FC4A2A"/>
    <w:rsid w:val="620B6B90"/>
    <w:rsid w:val="62124148"/>
    <w:rsid w:val="62377926"/>
    <w:rsid w:val="624D15EF"/>
    <w:rsid w:val="624F4CCE"/>
    <w:rsid w:val="62662018"/>
    <w:rsid w:val="626D15F8"/>
    <w:rsid w:val="627F77D0"/>
    <w:rsid w:val="62841E4B"/>
    <w:rsid w:val="62DF24F0"/>
    <w:rsid w:val="62DF41FE"/>
    <w:rsid w:val="62E15F94"/>
    <w:rsid w:val="62FC19D5"/>
    <w:rsid w:val="63051B4E"/>
    <w:rsid w:val="63162782"/>
    <w:rsid w:val="63215262"/>
    <w:rsid w:val="633D721D"/>
    <w:rsid w:val="63424833"/>
    <w:rsid w:val="634D7A5B"/>
    <w:rsid w:val="6356208C"/>
    <w:rsid w:val="63717246"/>
    <w:rsid w:val="637A3FCD"/>
    <w:rsid w:val="639C03E7"/>
    <w:rsid w:val="63AE1EC8"/>
    <w:rsid w:val="63BC6393"/>
    <w:rsid w:val="63D86537"/>
    <w:rsid w:val="63DB1BC8"/>
    <w:rsid w:val="63EC7817"/>
    <w:rsid w:val="640F6E0B"/>
    <w:rsid w:val="64370110"/>
    <w:rsid w:val="64412D3D"/>
    <w:rsid w:val="64460353"/>
    <w:rsid w:val="645312BC"/>
    <w:rsid w:val="645C0C75"/>
    <w:rsid w:val="645C1924"/>
    <w:rsid w:val="646507D9"/>
    <w:rsid w:val="64763058"/>
    <w:rsid w:val="648669A1"/>
    <w:rsid w:val="648E676F"/>
    <w:rsid w:val="649C61C5"/>
    <w:rsid w:val="64A07A63"/>
    <w:rsid w:val="64A532CB"/>
    <w:rsid w:val="64A84B6A"/>
    <w:rsid w:val="64CF6609"/>
    <w:rsid w:val="64D140C0"/>
    <w:rsid w:val="64D91D97"/>
    <w:rsid w:val="64DE2339"/>
    <w:rsid w:val="64E81CE8"/>
    <w:rsid w:val="650C0F95"/>
    <w:rsid w:val="652F4076"/>
    <w:rsid w:val="65385EEE"/>
    <w:rsid w:val="655068C5"/>
    <w:rsid w:val="655748CB"/>
    <w:rsid w:val="65575CDF"/>
    <w:rsid w:val="6558033E"/>
    <w:rsid w:val="655E40F7"/>
    <w:rsid w:val="65814FCA"/>
    <w:rsid w:val="6586374B"/>
    <w:rsid w:val="658C34C1"/>
    <w:rsid w:val="65901886"/>
    <w:rsid w:val="65A05C19"/>
    <w:rsid w:val="65B20E73"/>
    <w:rsid w:val="65B31A18"/>
    <w:rsid w:val="65D3019C"/>
    <w:rsid w:val="65D8322D"/>
    <w:rsid w:val="65E73191"/>
    <w:rsid w:val="65E73470"/>
    <w:rsid w:val="6609788A"/>
    <w:rsid w:val="660E6C4E"/>
    <w:rsid w:val="661623E1"/>
    <w:rsid w:val="66393372"/>
    <w:rsid w:val="663C6C3E"/>
    <w:rsid w:val="663E7534"/>
    <w:rsid w:val="664E207A"/>
    <w:rsid w:val="664F4B66"/>
    <w:rsid w:val="66846F11"/>
    <w:rsid w:val="66847AD9"/>
    <w:rsid w:val="668F1B3D"/>
    <w:rsid w:val="66A7157D"/>
    <w:rsid w:val="66A82BFF"/>
    <w:rsid w:val="66BC66AA"/>
    <w:rsid w:val="66E65712"/>
    <w:rsid w:val="66EE2624"/>
    <w:rsid w:val="66FB71D3"/>
    <w:rsid w:val="67053C42"/>
    <w:rsid w:val="670544F5"/>
    <w:rsid w:val="671958AB"/>
    <w:rsid w:val="671D539B"/>
    <w:rsid w:val="67334BBF"/>
    <w:rsid w:val="673B3E6E"/>
    <w:rsid w:val="67450299"/>
    <w:rsid w:val="6747046A"/>
    <w:rsid w:val="67566EED"/>
    <w:rsid w:val="67587117"/>
    <w:rsid w:val="676841BB"/>
    <w:rsid w:val="677533F8"/>
    <w:rsid w:val="67902011"/>
    <w:rsid w:val="67917B37"/>
    <w:rsid w:val="67C5011A"/>
    <w:rsid w:val="67D143D7"/>
    <w:rsid w:val="67DA14DE"/>
    <w:rsid w:val="67EB25A8"/>
    <w:rsid w:val="67FC76A6"/>
    <w:rsid w:val="68044B94"/>
    <w:rsid w:val="680B1697"/>
    <w:rsid w:val="68246BFD"/>
    <w:rsid w:val="68464B6F"/>
    <w:rsid w:val="685C3E7E"/>
    <w:rsid w:val="68806F6A"/>
    <w:rsid w:val="688558EE"/>
    <w:rsid w:val="688E138F"/>
    <w:rsid w:val="689C7120"/>
    <w:rsid w:val="69006B8C"/>
    <w:rsid w:val="690246C7"/>
    <w:rsid w:val="69270880"/>
    <w:rsid w:val="693B19F0"/>
    <w:rsid w:val="694B3431"/>
    <w:rsid w:val="6958704A"/>
    <w:rsid w:val="69603C65"/>
    <w:rsid w:val="69802285"/>
    <w:rsid w:val="698F23B5"/>
    <w:rsid w:val="699B2EEF"/>
    <w:rsid w:val="69D00DEB"/>
    <w:rsid w:val="69DB1CD7"/>
    <w:rsid w:val="69DB4F4A"/>
    <w:rsid w:val="69EC374B"/>
    <w:rsid w:val="6A021CEC"/>
    <w:rsid w:val="6A0E546F"/>
    <w:rsid w:val="6A260A0B"/>
    <w:rsid w:val="6A334ED5"/>
    <w:rsid w:val="6A407E8A"/>
    <w:rsid w:val="6A4C5F97"/>
    <w:rsid w:val="6A577165"/>
    <w:rsid w:val="6A5E3620"/>
    <w:rsid w:val="6A6E6107"/>
    <w:rsid w:val="6A7A6FA8"/>
    <w:rsid w:val="6AA57F3F"/>
    <w:rsid w:val="6ACF10A2"/>
    <w:rsid w:val="6AD95A7D"/>
    <w:rsid w:val="6AE6019A"/>
    <w:rsid w:val="6AED636A"/>
    <w:rsid w:val="6B1A048F"/>
    <w:rsid w:val="6B2018FE"/>
    <w:rsid w:val="6B2A6550"/>
    <w:rsid w:val="6B2B3DFF"/>
    <w:rsid w:val="6B383F7F"/>
    <w:rsid w:val="6B5275DD"/>
    <w:rsid w:val="6B7B08D6"/>
    <w:rsid w:val="6B8503B6"/>
    <w:rsid w:val="6B882FFF"/>
    <w:rsid w:val="6B99750E"/>
    <w:rsid w:val="6BAF4A30"/>
    <w:rsid w:val="6BC70E8D"/>
    <w:rsid w:val="6BCC758B"/>
    <w:rsid w:val="6BEC0EB1"/>
    <w:rsid w:val="6BEC79F6"/>
    <w:rsid w:val="6BF863D7"/>
    <w:rsid w:val="6C1624C4"/>
    <w:rsid w:val="6C213CA6"/>
    <w:rsid w:val="6C2B2308"/>
    <w:rsid w:val="6C403A34"/>
    <w:rsid w:val="6C494E84"/>
    <w:rsid w:val="6C4E2069"/>
    <w:rsid w:val="6C553829"/>
    <w:rsid w:val="6CA52BA4"/>
    <w:rsid w:val="6CC35974"/>
    <w:rsid w:val="6CDC3602"/>
    <w:rsid w:val="6CE355A2"/>
    <w:rsid w:val="6CEB315D"/>
    <w:rsid w:val="6CF6770E"/>
    <w:rsid w:val="6D132C27"/>
    <w:rsid w:val="6D2E263B"/>
    <w:rsid w:val="6D3501CD"/>
    <w:rsid w:val="6D380010"/>
    <w:rsid w:val="6D48513C"/>
    <w:rsid w:val="6D4D62AE"/>
    <w:rsid w:val="6D584E32"/>
    <w:rsid w:val="6D5B671F"/>
    <w:rsid w:val="6D6535F8"/>
    <w:rsid w:val="6D6C5409"/>
    <w:rsid w:val="6D710E78"/>
    <w:rsid w:val="6D907C75"/>
    <w:rsid w:val="6D944B2A"/>
    <w:rsid w:val="6DAC0641"/>
    <w:rsid w:val="6DC06053"/>
    <w:rsid w:val="6DD642C4"/>
    <w:rsid w:val="6DE22E9A"/>
    <w:rsid w:val="6DE80D4D"/>
    <w:rsid w:val="6E0E3C8F"/>
    <w:rsid w:val="6E190970"/>
    <w:rsid w:val="6E20147C"/>
    <w:rsid w:val="6E27013D"/>
    <w:rsid w:val="6E2C779A"/>
    <w:rsid w:val="6E315BD0"/>
    <w:rsid w:val="6E3C58DC"/>
    <w:rsid w:val="6E625D89"/>
    <w:rsid w:val="6E6E2980"/>
    <w:rsid w:val="6E791FA1"/>
    <w:rsid w:val="6E7A26CB"/>
    <w:rsid w:val="6E8201DA"/>
    <w:rsid w:val="6E860B2E"/>
    <w:rsid w:val="6E873778"/>
    <w:rsid w:val="6E8C1058"/>
    <w:rsid w:val="6EBD02D4"/>
    <w:rsid w:val="6EEA2A6C"/>
    <w:rsid w:val="6EEE4E11"/>
    <w:rsid w:val="6F07018C"/>
    <w:rsid w:val="6F0F5F11"/>
    <w:rsid w:val="6F15081B"/>
    <w:rsid w:val="6F1D06B8"/>
    <w:rsid w:val="6F442C70"/>
    <w:rsid w:val="6F493D81"/>
    <w:rsid w:val="6F4F7D4D"/>
    <w:rsid w:val="6FAB7DA4"/>
    <w:rsid w:val="6FB95E7D"/>
    <w:rsid w:val="6FBA32F3"/>
    <w:rsid w:val="6FBB39A3"/>
    <w:rsid w:val="6FC102C1"/>
    <w:rsid w:val="6FE27182"/>
    <w:rsid w:val="6FEA24DA"/>
    <w:rsid w:val="6FEE1FCA"/>
    <w:rsid w:val="6FEF4E8E"/>
    <w:rsid w:val="7007308C"/>
    <w:rsid w:val="700C3455"/>
    <w:rsid w:val="70281320"/>
    <w:rsid w:val="702920DD"/>
    <w:rsid w:val="70317130"/>
    <w:rsid w:val="703379DD"/>
    <w:rsid w:val="7048597B"/>
    <w:rsid w:val="704D60B2"/>
    <w:rsid w:val="705838E8"/>
    <w:rsid w:val="7064228D"/>
    <w:rsid w:val="70700C31"/>
    <w:rsid w:val="707738E7"/>
    <w:rsid w:val="70A95EF1"/>
    <w:rsid w:val="70AF5B75"/>
    <w:rsid w:val="70B22FEB"/>
    <w:rsid w:val="70B76FC3"/>
    <w:rsid w:val="70CF7324"/>
    <w:rsid w:val="70F640AA"/>
    <w:rsid w:val="70F969E6"/>
    <w:rsid w:val="710725BA"/>
    <w:rsid w:val="71440939"/>
    <w:rsid w:val="7164006A"/>
    <w:rsid w:val="71692C8E"/>
    <w:rsid w:val="7169742F"/>
    <w:rsid w:val="71705FC9"/>
    <w:rsid w:val="719E532A"/>
    <w:rsid w:val="71A67C85"/>
    <w:rsid w:val="71B95152"/>
    <w:rsid w:val="71BB3875"/>
    <w:rsid w:val="71E13469"/>
    <w:rsid w:val="71F238C8"/>
    <w:rsid w:val="720D24B0"/>
    <w:rsid w:val="721455EC"/>
    <w:rsid w:val="7227188E"/>
    <w:rsid w:val="72345748"/>
    <w:rsid w:val="723B526F"/>
    <w:rsid w:val="724B5FFE"/>
    <w:rsid w:val="724C2FD8"/>
    <w:rsid w:val="72591B25"/>
    <w:rsid w:val="725974A3"/>
    <w:rsid w:val="72606A84"/>
    <w:rsid w:val="72A252EE"/>
    <w:rsid w:val="72A46CC5"/>
    <w:rsid w:val="72AB5F51"/>
    <w:rsid w:val="72D55353"/>
    <w:rsid w:val="72DA4A88"/>
    <w:rsid w:val="72E9688E"/>
    <w:rsid w:val="72F42E4A"/>
    <w:rsid w:val="730E2034"/>
    <w:rsid w:val="731A2D6E"/>
    <w:rsid w:val="731C3503"/>
    <w:rsid w:val="73246ED1"/>
    <w:rsid w:val="73263829"/>
    <w:rsid w:val="73305DFD"/>
    <w:rsid w:val="73373C88"/>
    <w:rsid w:val="73381040"/>
    <w:rsid w:val="73504D4A"/>
    <w:rsid w:val="73575892"/>
    <w:rsid w:val="737427E7"/>
    <w:rsid w:val="737A5923"/>
    <w:rsid w:val="737C0BDA"/>
    <w:rsid w:val="73972979"/>
    <w:rsid w:val="73AA6208"/>
    <w:rsid w:val="73B76B77"/>
    <w:rsid w:val="73D2063E"/>
    <w:rsid w:val="73E24586"/>
    <w:rsid w:val="73FB49D5"/>
    <w:rsid w:val="7402235F"/>
    <w:rsid w:val="7416389E"/>
    <w:rsid w:val="7420168D"/>
    <w:rsid w:val="74212243"/>
    <w:rsid w:val="74273EE1"/>
    <w:rsid w:val="742C5964"/>
    <w:rsid w:val="74485A21"/>
    <w:rsid w:val="74583ECB"/>
    <w:rsid w:val="74606331"/>
    <w:rsid w:val="746252DB"/>
    <w:rsid w:val="746C5CEA"/>
    <w:rsid w:val="74704A06"/>
    <w:rsid w:val="747D391D"/>
    <w:rsid w:val="74EE2828"/>
    <w:rsid w:val="74FB4049"/>
    <w:rsid w:val="74FE7C75"/>
    <w:rsid w:val="75037B33"/>
    <w:rsid w:val="750F5847"/>
    <w:rsid w:val="75240850"/>
    <w:rsid w:val="75333608"/>
    <w:rsid w:val="753D4E5A"/>
    <w:rsid w:val="754E7067"/>
    <w:rsid w:val="75616D9B"/>
    <w:rsid w:val="7564041E"/>
    <w:rsid w:val="7589250B"/>
    <w:rsid w:val="759224B5"/>
    <w:rsid w:val="759943AA"/>
    <w:rsid w:val="759C6025"/>
    <w:rsid w:val="75A1188D"/>
    <w:rsid w:val="75CB1A9A"/>
    <w:rsid w:val="75D21DB7"/>
    <w:rsid w:val="75E659CC"/>
    <w:rsid w:val="75F419BD"/>
    <w:rsid w:val="75FC5F5A"/>
    <w:rsid w:val="76443835"/>
    <w:rsid w:val="765942D0"/>
    <w:rsid w:val="766D176F"/>
    <w:rsid w:val="76960CC6"/>
    <w:rsid w:val="76CA4E14"/>
    <w:rsid w:val="76E03AE4"/>
    <w:rsid w:val="76E4409A"/>
    <w:rsid w:val="76F105F2"/>
    <w:rsid w:val="76F6691F"/>
    <w:rsid w:val="77011DC1"/>
    <w:rsid w:val="7709764F"/>
    <w:rsid w:val="770E0FDA"/>
    <w:rsid w:val="772A140E"/>
    <w:rsid w:val="774626EC"/>
    <w:rsid w:val="77530965"/>
    <w:rsid w:val="77555743"/>
    <w:rsid w:val="777234E1"/>
    <w:rsid w:val="777A05E8"/>
    <w:rsid w:val="778D031B"/>
    <w:rsid w:val="77A339AF"/>
    <w:rsid w:val="77AC0E03"/>
    <w:rsid w:val="77C7119B"/>
    <w:rsid w:val="77C80AC5"/>
    <w:rsid w:val="77CB0E43"/>
    <w:rsid w:val="77CD0148"/>
    <w:rsid w:val="77CF5A20"/>
    <w:rsid w:val="77E3618D"/>
    <w:rsid w:val="77EA6925"/>
    <w:rsid w:val="780C7DF2"/>
    <w:rsid w:val="781874CA"/>
    <w:rsid w:val="781C169F"/>
    <w:rsid w:val="781F26CC"/>
    <w:rsid w:val="78362761"/>
    <w:rsid w:val="78420C74"/>
    <w:rsid w:val="78436C2C"/>
    <w:rsid w:val="784D3AFD"/>
    <w:rsid w:val="78570929"/>
    <w:rsid w:val="78574485"/>
    <w:rsid w:val="785B2975"/>
    <w:rsid w:val="7862132D"/>
    <w:rsid w:val="786356A0"/>
    <w:rsid w:val="78641CCF"/>
    <w:rsid w:val="789B2E52"/>
    <w:rsid w:val="78A17E54"/>
    <w:rsid w:val="78BE2756"/>
    <w:rsid w:val="78C53AE4"/>
    <w:rsid w:val="78CB62BA"/>
    <w:rsid w:val="78D17C5F"/>
    <w:rsid w:val="79017226"/>
    <w:rsid w:val="790E1E9F"/>
    <w:rsid w:val="7919798C"/>
    <w:rsid w:val="795B6727"/>
    <w:rsid w:val="796450AB"/>
    <w:rsid w:val="79764DDF"/>
    <w:rsid w:val="798E4D3A"/>
    <w:rsid w:val="798E7F31"/>
    <w:rsid w:val="79961B88"/>
    <w:rsid w:val="79A436FA"/>
    <w:rsid w:val="79A8143C"/>
    <w:rsid w:val="79BC724A"/>
    <w:rsid w:val="79D30393"/>
    <w:rsid w:val="79F00F06"/>
    <w:rsid w:val="79FC3536"/>
    <w:rsid w:val="7A0B15F1"/>
    <w:rsid w:val="7A1545F8"/>
    <w:rsid w:val="7A252A8D"/>
    <w:rsid w:val="7A4D5B40"/>
    <w:rsid w:val="7A5213A8"/>
    <w:rsid w:val="7A582B82"/>
    <w:rsid w:val="7A792DD8"/>
    <w:rsid w:val="7A8556F5"/>
    <w:rsid w:val="7AA96417"/>
    <w:rsid w:val="7AB160CE"/>
    <w:rsid w:val="7AB24893"/>
    <w:rsid w:val="7ACA7190"/>
    <w:rsid w:val="7ACF5896"/>
    <w:rsid w:val="7AD26045"/>
    <w:rsid w:val="7ADE49EA"/>
    <w:rsid w:val="7B0E1773"/>
    <w:rsid w:val="7B1775B2"/>
    <w:rsid w:val="7B3A6448"/>
    <w:rsid w:val="7B524F03"/>
    <w:rsid w:val="7B580C40"/>
    <w:rsid w:val="7B5F3D7C"/>
    <w:rsid w:val="7B740B29"/>
    <w:rsid w:val="7B7B716D"/>
    <w:rsid w:val="7B933A26"/>
    <w:rsid w:val="7B9559F0"/>
    <w:rsid w:val="7B9D2AF7"/>
    <w:rsid w:val="7BA774D1"/>
    <w:rsid w:val="7BBD0AA3"/>
    <w:rsid w:val="7BC6204D"/>
    <w:rsid w:val="7BC63DFB"/>
    <w:rsid w:val="7BCD518A"/>
    <w:rsid w:val="7BFA3AA5"/>
    <w:rsid w:val="7C1845E1"/>
    <w:rsid w:val="7C1A4147"/>
    <w:rsid w:val="7C224DAA"/>
    <w:rsid w:val="7C253132"/>
    <w:rsid w:val="7C2D544B"/>
    <w:rsid w:val="7C381F99"/>
    <w:rsid w:val="7C4C6CA4"/>
    <w:rsid w:val="7C716B68"/>
    <w:rsid w:val="7C920181"/>
    <w:rsid w:val="7C991510"/>
    <w:rsid w:val="7CB00608"/>
    <w:rsid w:val="7CC320E9"/>
    <w:rsid w:val="7CD20995"/>
    <w:rsid w:val="7CFB1883"/>
    <w:rsid w:val="7CFB5D27"/>
    <w:rsid w:val="7D044D32"/>
    <w:rsid w:val="7D2358FF"/>
    <w:rsid w:val="7D24527D"/>
    <w:rsid w:val="7D3923AB"/>
    <w:rsid w:val="7D561E46"/>
    <w:rsid w:val="7D580FFF"/>
    <w:rsid w:val="7D5B4A17"/>
    <w:rsid w:val="7D6513F2"/>
    <w:rsid w:val="7D7C3D15"/>
    <w:rsid w:val="7D800CFB"/>
    <w:rsid w:val="7D937D0D"/>
    <w:rsid w:val="7DAB032B"/>
    <w:rsid w:val="7DD6409E"/>
    <w:rsid w:val="7DD644B9"/>
    <w:rsid w:val="7DEF35EA"/>
    <w:rsid w:val="7E0155BF"/>
    <w:rsid w:val="7E035F1C"/>
    <w:rsid w:val="7E0F1FED"/>
    <w:rsid w:val="7E1C6BE4"/>
    <w:rsid w:val="7E355268"/>
    <w:rsid w:val="7E4B683A"/>
    <w:rsid w:val="7E5804EC"/>
    <w:rsid w:val="7E5A0441"/>
    <w:rsid w:val="7E694F12"/>
    <w:rsid w:val="7E916F06"/>
    <w:rsid w:val="7E936302"/>
    <w:rsid w:val="7E9F23BF"/>
    <w:rsid w:val="7EA06B86"/>
    <w:rsid w:val="7EB02B41"/>
    <w:rsid w:val="7EC16F8B"/>
    <w:rsid w:val="7EC32874"/>
    <w:rsid w:val="7ED72141"/>
    <w:rsid w:val="7EE822DB"/>
    <w:rsid w:val="7EEA08E1"/>
    <w:rsid w:val="7F0E2B74"/>
    <w:rsid w:val="7F2D5A80"/>
    <w:rsid w:val="7F3E632E"/>
    <w:rsid w:val="7F4339B5"/>
    <w:rsid w:val="7F5160D2"/>
    <w:rsid w:val="7F54171E"/>
    <w:rsid w:val="7F6B19DD"/>
    <w:rsid w:val="7F741DC0"/>
    <w:rsid w:val="7F9B734D"/>
    <w:rsid w:val="7F9E2999"/>
    <w:rsid w:val="7FA36202"/>
    <w:rsid w:val="7FC411AE"/>
    <w:rsid w:val="7FC92566"/>
    <w:rsid w:val="7FE2439A"/>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25"/>
      </w:tabs>
      <w:spacing w:before="340" w:after="330" w:line="576" w:lineRule="auto"/>
      <w:ind w:left="425" w:hanging="425"/>
      <w:outlineLvl w:val="0"/>
    </w:pPr>
    <w:rPr>
      <w:b/>
      <w:kern w:val="44"/>
      <w:sz w:val="44"/>
      <w:szCs w:val="20"/>
    </w:rPr>
  </w:style>
  <w:style w:type="paragraph" w:styleId="3">
    <w:name w:val="heading 2"/>
    <w:basedOn w:val="1"/>
    <w:next w:val="1"/>
    <w:qFormat/>
    <w:uiPriority w:val="0"/>
    <w:pPr>
      <w:keepNext/>
      <w:keepLines/>
      <w:tabs>
        <w:tab w:val="left" w:pos="567"/>
      </w:tabs>
      <w:spacing w:before="120" w:after="120" w:line="360" w:lineRule="auto"/>
      <w:ind w:left="0" w:firstLine="0"/>
      <w:jc w:val="center"/>
      <w:outlineLvl w:val="1"/>
    </w:pPr>
    <w:rPr>
      <w:rFonts w:ascii="宋体" w:hAnsi="宋体" w:eastAsia="宋体"/>
      <w:b/>
      <w:bCs/>
      <w:sz w:val="21"/>
      <w:szCs w:val="18"/>
    </w:rPr>
  </w:style>
  <w:style w:type="paragraph" w:styleId="4">
    <w:name w:val="heading 3"/>
    <w:basedOn w:val="1"/>
    <w:next w:val="1"/>
    <w:qFormat/>
    <w:uiPriority w:val="9"/>
    <w:pPr>
      <w:keepNext/>
      <w:keepLines/>
      <w:tabs>
        <w:tab w:val="left" w:pos="709"/>
      </w:tabs>
      <w:spacing w:line="360" w:lineRule="auto"/>
      <w:ind w:left="0" w:firstLine="709"/>
      <w:outlineLvl w:val="2"/>
    </w:pPr>
    <w:rPr>
      <w:rFonts w:ascii="Times New Roman" w:hAnsi="Times New Roman" w:eastAsia="宋体"/>
      <w:b/>
      <w:bCs/>
      <w:sz w:val="21"/>
      <w:szCs w:val="32"/>
    </w:rPr>
  </w:style>
  <w:style w:type="paragraph" w:styleId="5">
    <w:name w:val="heading 4"/>
    <w:basedOn w:val="1"/>
    <w:next w:val="1"/>
    <w:qFormat/>
    <w:uiPriority w:val="0"/>
    <w:pPr>
      <w:keepNext/>
      <w:keepLines/>
      <w:tabs>
        <w:tab w:val="left" w:pos="851"/>
      </w:tabs>
      <w:spacing w:before="280" w:after="290" w:line="374" w:lineRule="auto"/>
      <w:ind w:left="851" w:hanging="851"/>
      <w:outlineLvl w:val="3"/>
    </w:pPr>
    <w:rPr>
      <w:rFonts w:ascii="Arial" w:hAnsi="Arial" w:eastAsia="黑体"/>
      <w:b/>
      <w:sz w:val="28"/>
      <w:szCs w:val="20"/>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宋体" w:hAnsi="Courier New"/>
      <w:szCs w:val="20"/>
    </w:rPr>
  </w:style>
  <w:style w:type="paragraph" w:styleId="8">
    <w:name w:val="annotation text"/>
    <w:basedOn w:val="1"/>
    <w:qFormat/>
    <w:uiPriority w:val="0"/>
    <w:pPr>
      <w:jc w:val="left"/>
    </w:pPr>
  </w:style>
  <w:style w:type="paragraph" w:styleId="9">
    <w:name w:val="Body Text"/>
    <w:basedOn w:val="1"/>
    <w:next w:val="1"/>
    <w:qFormat/>
    <w:uiPriority w:val="0"/>
    <w:pPr>
      <w:widowControl/>
      <w:spacing w:after="120"/>
      <w:jc w:val="left"/>
    </w:pPr>
  </w:style>
  <w:style w:type="paragraph" w:styleId="10">
    <w:name w:val="Body Text Indent"/>
    <w:basedOn w:val="1"/>
    <w:qFormat/>
    <w:uiPriority w:val="99"/>
    <w:pPr>
      <w:ind w:firstLine="420" w:firstLineChars="200"/>
    </w:pPr>
  </w:style>
  <w:style w:type="paragraph" w:styleId="11">
    <w:name w:val="Block Text"/>
    <w:basedOn w:val="1"/>
    <w:qFormat/>
    <w:uiPriority w:val="99"/>
    <w:pPr>
      <w:ind w:left="1440" w:leftChars="700" w:right="1440" w:rightChars="700"/>
    </w:pPr>
  </w:style>
  <w:style w:type="paragraph" w:styleId="12">
    <w:name w:val="toc 5"/>
    <w:basedOn w:val="1"/>
    <w:next w:val="1"/>
    <w:qFormat/>
    <w:uiPriority w:val="0"/>
    <w:pPr>
      <w:ind w:left="1680" w:leftChars="800"/>
    </w:pPr>
  </w:style>
  <w:style w:type="paragraph" w:styleId="13">
    <w:name w:val="toc 3"/>
    <w:basedOn w:val="1"/>
    <w:next w:val="1"/>
    <w:qFormat/>
    <w:uiPriority w:val="39"/>
    <w:pPr>
      <w:ind w:left="420"/>
      <w:jc w:val="left"/>
    </w:pPr>
    <w:rPr>
      <w:rFonts w:ascii="Calibri" w:hAnsi="Calibri"/>
      <w:i/>
      <w:iCs/>
      <w:sz w:val="20"/>
      <w:szCs w:val="20"/>
    </w:rPr>
  </w:style>
  <w:style w:type="paragraph" w:styleId="14">
    <w:name w:val="Plain Text"/>
    <w:basedOn w:val="1"/>
    <w:qFormat/>
    <w:uiPriority w:val="99"/>
    <w:rPr>
      <w:rFonts w:ascii="宋体" w:hAnsi="Courier New" w:cs="Courier New"/>
      <w:szCs w:val="21"/>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rPr>
      <w:sz w:val="24"/>
    </w:rPr>
  </w:style>
  <w:style w:type="paragraph" w:styleId="18">
    <w:name w:val="toc 4"/>
    <w:basedOn w:val="1"/>
    <w:next w:val="1"/>
    <w:qFormat/>
    <w:uiPriority w:val="0"/>
    <w:pPr>
      <w:ind w:left="630"/>
      <w:jc w:val="left"/>
    </w:pPr>
    <w:rPr>
      <w:sz w:val="18"/>
      <w:szCs w:val="18"/>
    </w:rPr>
  </w:style>
  <w:style w:type="paragraph" w:styleId="19">
    <w:name w:val="toc 2"/>
    <w:basedOn w:val="1"/>
    <w:next w:val="1"/>
    <w:qFormat/>
    <w:uiPriority w:val="39"/>
    <w:pPr>
      <w:ind w:left="210"/>
      <w:jc w:val="left"/>
    </w:pPr>
    <w:rPr>
      <w:rFonts w:ascii="Calibri" w:hAnsi="Calibri"/>
      <w:smallCaps/>
      <w:sz w:val="20"/>
      <w:szCs w:val="20"/>
    </w:rPr>
  </w:style>
  <w:style w:type="paragraph" w:styleId="20">
    <w:name w:val="Body Text 2"/>
    <w:basedOn w:val="1"/>
    <w:qFormat/>
    <w:uiPriority w:val="0"/>
    <w:pPr>
      <w:adjustRightInd w:val="0"/>
      <w:spacing w:line="360" w:lineRule="atLeast"/>
    </w:pPr>
    <w:rPr>
      <w:rFonts w:ascii="Arial" w:hAnsi="Arial"/>
      <w:kern w:val="0"/>
      <w:sz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Body Text First Indent"/>
    <w:basedOn w:val="9"/>
    <w:qFormat/>
    <w:uiPriority w:val="0"/>
    <w:pPr>
      <w:widowControl w:val="0"/>
      <w:ind w:firstLine="420" w:firstLineChars="100"/>
      <w:jc w:val="both"/>
    </w:pPr>
  </w:style>
  <w:style w:type="paragraph" w:styleId="23">
    <w:name w:val="Body Text First Indent 2"/>
    <w:basedOn w:val="10"/>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Hyperlink"/>
    <w:basedOn w:val="26"/>
    <w:qFormat/>
    <w:uiPriority w:val="99"/>
    <w:rPr>
      <w:rFonts w:eastAsia="仿宋_GB2312"/>
      <w:bCs/>
    </w:rPr>
  </w:style>
  <w:style w:type="paragraph" w:customStyle="1" w:styleId="30">
    <w:name w:val="样式 10 磅"/>
    <w:next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customStyle="1" w:styleId="32">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34">
    <w:name w:val="List Paragraph"/>
    <w:basedOn w:val="1"/>
    <w:qFormat/>
    <w:uiPriority w:val="34"/>
    <w:pPr>
      <w:ind w:firstLine="420" w:firstLineChars="200"/>
    </w:pPr>
  </w:style>
  <w:style w:type="paragraph" w:customStyle="1" w:styleId="3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Cs w:val="20"/>
    </w:rPr>
  </w:style>
  <w:style w:type="paragraph" w:customStyle="1" w:styleId="36">
    <w:name w:val="WPSOffice手动目录 1"/>
    <w:qFormat/>
    <w:uiPriority w:val="0"/>
    <w:rPr>
      <w:rFonts w:ascii="Times New Roman" w:hAnsi="Times New Roman" w:eastAsia="宋体" w:cs="Times New Roman"/>
      <w:lang w:val="en-US" w:eastAsia="zh-CN" w:bidi="ar-SA"/>
    </w:rPr>
  </w:style>
  <w:style w:type="character" w:customStyle="1" w:styleId="37">
    <w:name w:val="font21"/>
    <w:basedOn w:val="26"/>
    <w:qFormat/>
    <w:uiPriority w:val="0"/>
    <w:rPr>
      <w:rFonts w:hint="eastAsia" w:ascii="宋体" w:hAnsi="宋体" w:eastAsia="宋体" w:cs="宋体"/>
      <w:color w:val="000000"/>
      <w:sz w:val="22"/>
      <w:szCs w:val="22"/>
      <w:u w:val="none"/>
    </w:rPr>
  </w:style>
  <w:style w:type="character" w:customStyle="1" w:styleId="38">
    <w:name w:val="font01"/>
    <w:basedOn w:val="26"/>
    <w:qFormat/>
    <w:uiPriority w:val="0"/>
    <w:rPr>
      <w:rFonts w:hint="eastAsia" w:ascii="宋体" w:hAnsi="宋体" w:eastAsia="宋体" w:cs="宋体"/>
      <w:color w:val="000000"/>
      <w:sz w:val="20"/>
      <w:szCs w:val="20"/>
      <w:u w:val="none"/>
    </w:rPr>
  </w:style>
  <w:style w:type="character" w:customStyle="1" w:styleId="39">
    <w:name w:val="font81"/>
    <w:basedOn w:val="26"/>
    <w:qFormat/>
    <w:uiPriority w:val="0"/>
    <w:rPr>
      <w:rFonts w:hint="default" w:ascii="Times New Roman" w:hAnsi="Times New Roman" w:cs="Times New Roman"/>
      <w:color w:val="000000"/>
      <w:sz w:val="20"/>
      <w:szCs w:val="20"/>
      <w:u w:val="none"/>
    </w:rPr>
  </w:style>
  <w:style w:type="character" w:customStyle="1" w:styleId="40">
    <w:name w:val="font112"/>
    <w:basedOn w:val="26"/>
    <w:qFormat/>
    <w:uiPriority w:val="0"/>
    <w:rPr>
      <w:rFonts w:hint="eastAsia" w:ascii="宋体" w:hAnsi="宋体" w:eastAsia="宋体" w:cs="宋体"/>
      <w:b/>
      <w:bCs/>
      <w:color w:val="000000"/>
      <w:sz w:val="20"/>
      <w:szCs w:val="20"/>
      <w:u w:val="none"/>
    </w:rPr>
  </w:style>
  <w:style w:type="character" w:customStyle="1" w:styleId="41">
    <w:name w:val="font121"/>
    <w:basedOn w:val="26"/>
    <w:qFormat/>
    <w:uiPriority w:val="0"/>
    <w:rPr>
      <w:rFonts w:ascii="宋体" w:hAnsi="宋体" w:eastAsia="宋体" w:cs="宋体"/>
      <w:color w:val="000000"/>
      <w:sz w:val="20"/>
      <w:szCs w:val="20"/>
      <w:u w:val="none"/>
    </w:rPr>
  </w:style>
  <w:style w:type="character" w:customStyle="1" w:styleId="42">
    <w:name w:val="textcontents"/>
    <w:qFormat/>
    <w:uiPriority w:val="0"/>
    <w:rPr>
      <w:rFonts w:cs="Times New Roman"/>
    </w:rPr>
  </w:style>
  <w:style w:type="character" w:customStyle="1" w:styleId="43">
    <w:name w:val="font101"/>
    <w:basedOn w:val="26"/>
    <w:qFormat/>
    <w:uiPriority w:val="0"/>
    <w:rPr>
      <w:rFonts w:hint="eastAsia" w:ascii="宋体" w:hAnsi="宋体" w:eastAsia="宋体" w:cs="宋体"/>
      <w:b/>
      <w:bCs/>
      <w:color w:val="000000"/>
      <w:sz w:val="32"/>
      <w:szCs w:val="32"/>
      <w:u w:val="none"/>
    </w:rPr>
  </w:style>
  <w:style w:type="character" w:customStyle="1" w:styleId="44">
    <w:name w:val="font71"/>
    <w:basedOn w:val="26"/>
    <w:qFormat/>
    <w:uiPriority w:val="0"/>
    <w:rPr>
      <w:rFonts w:hint="eastAsia" w:ascii="宋体" w:hAnsi="宋体" w:eastAsia="宋体" w:cs="宋体"/>
      <w:color w:val="000000"/>
      <w:sz w:val="20"/>
      <w:szCs w:val="20"/>
      <w:u w:val="none"/>
    </w:rPr>
  </w:style>
  <w:style w:type="character" w:customStyle="1" w:styleId="45">
    <w:name w:val="font31"/>
    <w:basedOn w:val="26"/>
    <w:qFormat/>
    <w:uiPriority w:val="0"/>
    <w:rPr>
      <w:rFonts w:hint="default" w:ascii="Times New Roman" w:hAnsi="Times New Roman" w:cs="Times New Roman"/>
      <w:color w:val="000000"/>
      <w:sz w:val="20"/>
      <w:szCs w:val="20"/>
      <w:u w:val="none"/>
    </w:rPr>
  </w:style>
  <w:style w:type="character" w:customStyle="1" w:styleId="46">
    <w:name w:val="font11"/>
    <w:basedOn w:val="26"/>
    <w:qFormat/>
    <w:uiPriority w:val="0"/>
    <w:rPr>
      <w:rFonts w:hint="eastAsia" w:ascii="宋体" w:hAnsi="宋体" w:eastAsia="宋体" w:cs="宋体"/>
      <w:b/>
      <w:bCs/>
      <w:color w:val="000000"/>
      <w:sz w:val="22"/>
      <w:szCs w:val="22"/>
      <w:u w:val="none"/>
    </w:rPr>
  </w:style>
  <w:style w:type="character" w:customStyle="1" w:styleId="47">
    <w:name w:val="font91"/>
    <w:basedOn w:val="26"/>
    <w:qFormat/>
    <w:uiPriority w:val="0"/>
    <w:rPr>
      <w:rFonts w:hint="eastAsia" w:ascii="宋体" w:hAnsi="宋体" w:eastAsia="宋体" w:cs="宋体"/>
      <w:color w:val="000000"/>
      <w:sz w:val="20"/>
      <w:szCs w:val="20"/>
      <w:u w:val="none"/>
    </w:rPr>
  </w:style>
  <w:style w:type="character" w:customStyle="1" w:styleId="48">
    <w:name w:val="font61"/>
    <w:basedOn w:val="26"/>
    <w:qFormat/>
    <w:uiPriority w:val="0"/>
    <w:rPr>
      <w:rFonts w:hint="eastAsia" w:ascii="宋体" w:hAnsi="宋体" w:eastAsia="宋体" w:cs="宋体"/>
      <w:color w:val="000000"/>
      <w:sz w:val="20"/>
      <w:szCs w:val="20"/>
      <w:u w:val="none"/>
    </w:rPr>
  </w:style>
  <w:style w:type="character" w:customStyle="1" w:styleId="49">
    <w:name w:val="font51"/>
    <w:basedOn w:val="26"/>
    <w:qFormat/>
    <w:uiPriority w:val="0"/>
    <w:rPr>
      <w:rFonts w:hint="default" w:ascii="Times New Roman" w:hAnsi="Times New Roman" w:cs="Times New Roman"/>
      <w:color w:val="000000"/>
      <w:sz w:val="20"/>
      <w:szCs w:val="20"/>
      <w:u w:val="none"/>
    </w:rPr>
  </w:style>
  <w:style w:type="paragraph" w:customStyle="1" w:styleId="50">
    <w:name w:val="正文缩进2字符"/>
    <w:basedOn w:val="51"/>
    <w:qFormat/>
    <w:uiPriority w:val="0"/>
    <w:pPr>
      <w:ind w:firstLine="480" w:firstLineChars="200"/>
    </w:pPr>
    <w:rPr>
      <w:rFonts w:cs="宋体"/>
    </w:rPr>
  </w:style>
  <w:style w:type="paragraph" w:customStyle="1" w:styleId="51">
    <w:name w:val="样式 正文文本缩进 + 左  0 字符"/>
    <w:basedOn w:val="10"/>
    <w:qFormat/>
    <w:uiPriority w:val="0"/>
    <w:pPr>
      <w:spacing w:after="0" w:line="360" w:lineRule="auto"/>
      <w:ind w:left="0" w:leftChars="0" w:firstLine="250" w:firstLineChars="250"/>
    </w:pPr>
    <w:rPr>
      <w:rFonts w:cs="宋体"/>
      <w:sz w:val="24"/>
      <w:szCs w:val="20"/>
    </w:rPr>
  </w:style>
  <w:style w:type="paragraph" w:customStyle="1" w:styleId="52">
    <w:name w:val="正文 A_0"/>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53">
    <w:name w:val="正文_28"/>
    <w:qFormat/>
    <w:uiPriority w:val="0"/>
    <w:rPr>
      <w:rFonts w:ascii="Times New Roman" w:hAnsi="Times New Roman" w:eastAsia="宋体" w:cs="Times New Roman"/>
      <w:sz w:val="24"/>
      <w:szCs w:val="24"/>
      <w:lang w:val="en-US" w:eastAsia="en-US" w:bidi="ar-SA"/>
    </w:rPr>
  </w:style>
  <w:style w:type="paragraph" w:customStyle="1" w:styleId="54">
    <w:name w:val="列出段落1"/>
    <w:basedOn w:val="1"/>
    <w:qFormat/>
    <w:uiPriority w:val="34"/>
    <w:pPr>
      <w:widowControl/>
      <w:spacing w:after="249" w:line="259" w:lineRule="auto"/>
      <w:ind w:left="579" w:firstLine="420" w:firstLineChars="200"/>
      <w:jc w:val="left"/>
    </w:pPr>
    <w:rPr>
      <w:rFonts w:ascii="微软雅黑" w:hAnsi="微软雅黑" w:eastAsia="微软雅黑" w:cs="微软雅黑"/>
      <w:color w:val="000000"/>
      <w:sz w:val="23"/>
      <w:szCs w:val="22"/>
    </w:rPr>
  </w:style>
  <w:style w:type="paragraph" w:customStyle="1" w:styleId="55">
    <w:name w:val="列表段落1"/>
    <w:basedOn w:val="1"/>
    <w:qFormat/>
    <w:uiPriority w:val="34"/>
    <w:pPr>
      <w:ind w:firstLine="420" w:firstLineChars="200"/>
    </w:pPr>
  </w:style>
  <w:style w:type="paragraph" w:customStyle="1" w:styleId="56">
    <w:name w:val="标书正文:  0.74 厘米"/>
    <w:basedOn w:val="1"/>
    <w:qFormat/>
    <w:uiPriority w:val="0"/>
    <w:pPr>
      <w:widowControl/>
      <w:snapToGrid w:val="0"/>
      <w:spacing w:line="360" w:lineRule="auto"/>
      <w:ind w:firstLine="420"/>
      <w:jc w:val="left"/>
    </w:pPr>
    <w:rPr>
      <w:sz w:val="24"/>
      <w:szCs w:val="20"/>
    </w:rPr>
  </w:style>
  <w:style w:type="paragraph" w:styleId="57">
    <w:name w:val="No Spacing"/>
    <w:qFormat/>
    <w:uiPriority w:val="1"/>
    <w:pPr>
      <w:widowControl w:val="0"/>
      <w:adjustRightInd w:val="0"/>
      <w:ind w:firstLine="200" w:firstLineChars="200"/>
      <w:jc w:val="both"/>
      <w:textAlignment w:val="baseline"/>
    </w:pPr>
    <w:rPr>
      <w:rFonts w:ascii="Times New Roman" w:hAnsi="Times New Roman" w:eastAsia="宋体" w:cs="Times New Roman"/>
      <w:sz w:val="24"/>
      <w:lang w:val="en-US" w:eastAsia="zh-CN" w:bidi="ar-SA"/>
    </w:rPr>
  </w:style>
  <w:style w:type="paragraph" w:customStyle="1" w:styleId="58">
    <w:name w:val="一级标题"/>
    <w:basedOn w:val="2"/>
    <w:next w:val="1"/>
    <w:qFormat/>
    <w:uiPriority w:val="0"/>
    <w:pPr>
      <w:widowControl/>
      <w:numPr>
        <w:ilvl w:val="0"/>
        <w:numId w:val="1"/>
      </w:numPr>
      <w:adjustRightInd w:val="0"/>
      <w:snapToGrid w:val="0"/>
      <w:spacing w:before="120" w:after="120" w:line="360" w:lineRule="auto"/>
      <w:ind w:left="0" w:firstLine="0" w:firstLineChars="0"/>
      <w:jc w:val="left"/>
    </w:pPr>
    <w:rPr>
      <w:rFonts w:ascii="宋体" w:hAnsi="宋体" w:cs="Times New Roman"/>
    </w:rPr>
  </w:style>
  <w:style w:type="paragraph" w:customStyle="1" w:styleId="59">
    <w:name w:val="二级标题"/>
    <w:basedOn w:val="3"/>
    <w:next w:val="1"/>
    <w:qFormat/>
    <w:uiPriority w:val="0"/>
    <w:pPr>
      <w:widowControl/>
      <w:numPr>
        <w:ilvl w:val="1"/>
        <w:numId w:val="1"/>
      </w:numPr>
      <w:adjustRightInd w:val="0"/>
      <w:snapToGrid w:val="0"/>
      <w:spacing w:before="120" w:after="120" w:line="360" w:lineRule="auto"/>
      <w:ind w:firstLine="0" w:firstLineChars="0"/>
      <w:jc w:val="left"/>
    </w:pPr>
    <w:rPr>
      <w:rFonts w:ascii="宋体" w:hAnsi="宋体" w:eastAsia="宋体"/>
      <w:kern w:val="0"/>
      <w:sz w:val="36"/>
    </w:rPr>
  </w:style>
  <w:style w:type="paragraph" w:customStyle="1" w:styleId="60">
    <w:name w:val="三级标题"/>
    <w:basedOn w:val="4"/>
    <w:next w:val="1"/>
    <w:qFormat/>
    <w:uiPriority w:val="0"/>
    <w:pPr>
      <w:widowControl/>
      <w:numPr>
        <w:ilvl w:val="2"/>
        <w:numId w:val="1"/>
      </w:numPr>
      <w:adjustRightInd w:val="0"/>
      <w:snapToGrid w:val="0"/>
      <w:spacing w:before="120" w:after="120" w:line="360" w:lineRule="auto"/>
      <w:ind w:left="0" w:firstLine="0" w:firstLineChars="0"/>
      <w:jc w:val="left"/>
    </w:pPr>
    <w:rPr>
      <w:rFonts w:ascii="宋体" w:hAnsi="宋体" w:cs="Times New Roman"/>
      <w:kern w:val="0"/>
    </w:rPr>
  </w:style>
  <w:style w:type="paragraph" w:customStyle="1" w:styleId="61">
    <w:name w:val="样式1"/>
    <w:basedOn w:val="1"/>
    <w:next w:val="1"/>
    <w:qFormat/>
    <w:uiPriority w:val="0"/>
    <w:pPr>
      <w:keepNext/>
      <w:keepLines/>
      <w:tabs>
        <w:tab w:val="left" w:pos="567"/>
      </w:tabs>
      <w:spacing w:before="120" w:after="120" w:line="360" w:lineRule="auto"/>
      <w:ind w:firstLine="200" w:firstLineChars="100"/>
      <w:jc w:val="left"/>
      <w:outlineLvl w:val="1"/>
    </w:pPr>
    <w:rPr>
      <w:rFonts w:hint="eastAsia" w:ascii="宋体" w:hAnsi="宋体"/>
      <w:b/>
      <w:bCs/>
      <w:sz w:val="2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41306</Words>
  <Characters>43072</Characters>
  <Lines>282</Lines>
  <Paragraphs>79</Paragraphs>
  <TotalTime>2</TotalTime>
  <ScaleCrop>false</ScaleCrop>
  <LinksUpToDate>false</LinksUpToDate>
  <CharactersWithSpaces>45508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2021-11-15T04:50:00Z</dcterms:created>
  <dc:creator>You fire¥no  fire</dc:creator>
  <cp:lastModifiedBy>You fire¥no  fire</cp:lastModifiedBy>
  <cp:lastPrinted>2023-12-12T07:52:22Z</cp:lastPrinted>
  <dcterms:modified xsi:type="dcterms:W3CDTF">2023-12-12T07:52:25Z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0C9314E48B624595936AE571539610D8_13</vt:lpwstr>
  </property>
</Properties>
</file>