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ind w:firstLine="643" w:firstLineChars="200"/>
        <w:rPr>
          <w:rFonts w:hint="eastAsia" w:ascii="宋体" w:hAnsi="宋体" w:eastAsia="宋体" w:cs="宋体"/>
          <w:b/>
          <w:color w:val="auto"/>
          <w:sz w:val="32"/>
          <w:szCs w:val="32"/>
          <w:highlight w:val="none"/>
          <w:u w:val="single"/>
          <w:lang w:val="en-US" w:eastAsia="zh-CN"/>
        </w:rPr>
      </w:pPr>
      <w:r>
        <w:rPr>
          <w:rFonts w:hint="eastAsia" w:ascii="宋体" w:hAnsi="宋体" w:cs="宋体"/>
          <w:b/>
          <w:color w:val="auto"/>
          <w:sz w:val="32"/>
          <w:szCs w:val="32"/>
          <w:highlight w:val="none"/>
        </w:rPr>
        <w:t>项目编号：</w:t>
      </w:r>
      <w:r>
        <w:rPr>
          <w:rFonts w:hint="eastAsia" w:ascii="宋体" w:hAnsi="宋体" w:cs="宋体"/>
          <w:b/>
          <w:color w:val="auto"/>
          <w:sz w:val="32"/>
          <w:szCs w:val="32"/>
          <w:highlight w:val="none"/>
          <w:lang w:eastAsia="zh-CN"/>
        </w:rPr>
        <w:t>E-234132XA011/04</w:t>
      </w:r>
    </w:p>
    <w:p>
      <w:pPr>
        <w:spacing w:before="156" w:beforeLines="50" w:after="156" w:afterLines="50" w:line="360" w:lineRule="auto"/>
        <w:rPr>
          <w:b/>
          <w:bCs/>
          <w:color w:val="auto"/>
          <w:sz w:val="54"/>
          <w:szCs w:val="54"/>
          <w:highlight w:val="none"/>
        </w:rPr>
      </w:pPr>
    </w:p>
    <w:p>
      <w:pPr>
        <w:pStyle w:val="28"/>
        <w:spacing w:before="156" w:beforeLines="50"/>
        <w:jc w:val="both"/>
        <w:rPr>
          <w:rFonts w:ascii="宋体" w:hAnsi="宋体"/>
          <w:b/>
          <w:color w:val="auto"/>
          <w:sz w:val="48"/>
          <w:szCs w:val="48"/>
          <w:highlight w:val="none"/>
        </w:rPr>
      </w:pPr>
    </w:p>
    <w:p>
      <w:pPr>
        <w:pStyle w:val="28"/>
        <w:keepNext w:val="0"/>
        <w:keepLines w:val="0"/>
        <w:pageBreakBefore w:val="0"/>
        <w:widowControl w:val="0"/>
        <w:kinsoku/>
        <w:wordWrap/>
        <w:overflowPunct/>
        <w:topLinePunct w:val="0"/>
        <w:autoSpaceDE/>
        <w:autoSpaceDN/>
        <w:bidi w:val="0"/>
        <w:adjustRightInd/>
        <w:snapToGrid/>
        <w:spacing w:before="156" w:beforeLines="50" w:line="600" w:lineRule="auto"/>
        <w:jc w:val="center"/>
        <w:textAlignment w:val="auto"/>
        <w:rPr>
          <w:rFonts w:hint="eastAsia" w:ascii="宋体" w:hAnsi="宋体" w:eastAsia="宋体"/>
          <w:b/>
          <w:color w:val="auto"/>
          <w:sz w:val="48"/>
          <w:szCs w:val="48"/>
          <w:highlight w:val="none"/>
          <w:lang w:eastAsia="zh-CN"/>
        </w:rPr>
      </w:pPr>
      <w:r>
        <w:rPr>
          <w:rFonts w:hint="eastAsia" w:ascii="宋体" w:hAnsi="宋体"/>
          <w:b/>
          <w:color w:val="auto"/>
          <w:sz w:val="48"/>
          <w:szCs w:val="48"/>
          <w:highlight w:val="none"/>
          <w:lang w:eastAsia="zh-CN"/>
        </w:rPr>
        <w:t>咸阳市中心医院智慧医院建设提升、智慧医疗管理系统建设及环境扩容服务</w:t>
      </w:r>
    </w:p>
    <w:p>
      <w:pPr>
        <w:spacing w:before="156" w:beforeLines="50" w:after="156" w:afterLines="50"/>
        <w:ind w:right="-334" w:rightChars="-159"/>
        <w:jc w:val="center"/>
        <w:rPr>
          <w:rFonts w:hint="eastAsia" w:ascii="宋体" w:hAnsi="宋体" w:eastAsia="宋体" w:cs="Times New Roman"/>
          <w:b/>
          <w:color w:val="auto"/>
          <w:kern w:val="2"/>
          <w:sz w:val="32"/>
          <w:szCs w:val="32"/>
          <w:highlight w:val="none"/>
          <w:lang w:val="en-US" w:eastAsia="zh-CN" w:bidi="ar-SA"/>
        </w:rPr>
      </w:pPr>
      <w:r>
        <w:rPr>
          <w:rFonts w:hint="eastAsia" w:ascii="宋体" w:hAnsi="宋体" w:eastAsia="宋体" w:cs="Times New Roman"/>
          <w:b/>
          <w:color w:val="auto"/>
          <w:kern w:val="2"/>
          <w:sz w:val="32"/>
          <w:szCs w:val="32"/>
          <w:highlight w:val="none"/>
          <w:lang w:val="en-US" w:eastAsia="zh-CN" w:bidi="ar-SA"/>
        </w:rPr>
        <w:t>（</w:t>
      </w:r>
      <w:r>
        <w:rPr>
          <w:rFonts w:hint="eastAsia" w:ascii="宋体" w:hAnsi="宋体" w:cs="Times New Roman"/>
          <w:b/>
          <w:color w:val="auto"/>
          <w:kern w:val="2"/>
          <w:sz w:val="32"/>
          <w:szCs w:val="32"/>
          <w:highlight w:val="none"/>
          <w:lang w:val="en-US" w:eastAsia="zh-CN" w:bidi="ar-SA"/>
        </w:rPr>
        <w:t>04包：智慧医疗管理系统建设及环境扩容服务项目</w:t>
      </w:r>
      <w:r>
        <w:rPr>
          <w:rFonts w:hint="eastAsia" w:ascii="宋体" w:hAnsi="宋体" w:eastAsia="宋体" w:cs="Times New Roman"/>
          <w:b/>
          <w:color w:val="auto"/>
          <w:kern w:val="2"/>
          <w:sz w:val="32"/>
          <w:szCs w:val="32"/>
          <w:highlight w:val="none"/>
          <w:lang w:val="en-US" w:eastAsia="zh-CN" w:bidi="ar-SA"/>
        </w:rPr>
        <w:t>）</w:t>
      </w:r>
    </w:p>
    <w:p>
      <w:pPr>
        <w:pStyle w:val="28"/>
        <w:rPr>
          <w:color w:val="auto"/>
          <w:highlight w:val="none"/>
        </w:rPr>
      </w:pPr>
    </w:p>
    <w:p>
      <w:pPr>
        <w:spacing w:before="156" w:beforeLines="50" w:after="156" w:afterLines="50"/>
        <w:ind w:left="-178" w:leftChars="-85" w:right="-334" w:rightChars="-159"/>
        <w:jc w:val="center"/>
        <w:rPr>
          <w:rFonts w:hint="eastAsia" w:ascii="黑体" w:eastAsia="黑体"/>
          <w:b/>
          <w:color w:val="auto"/>
          <w:spacing w:val="40"/>
          <w:sz w:val="96"/>
          <w:szCs w:val="96"/>
          <w:highlight w:val="none"/>
        </w:rPr>
      </w:pPr>
    </w:p>
    <w:p>
      <w:pPr>
        <w:spacing w:before="156" w:beforeLines="50" w:after="156" w:afterLines="50"/>
        <w:ind w:left="-178" w:leftChars="-85" w:right="-334" w:rightChars="-159"/>
        <w:jc w:val="center"/>
        <w:rPr>
          <w:rFonts w:ascii="黑体" w:eastAsia="黑体"/>
          <w:b/>
          <w:color w:val="auto"/>
          <w:spacing w:val="40"/>
          <w:sz w:val="96"/>
          <w:szCs w:val="96"/>
          <w:highlight w:val="none"/>
        </w:rPr>
      </w:pPr>
      <w:r>
        <w:rPr>
          <w:rFonts w:hint="eastAsia" w:ascii="黑体" w:eastAsia="黑体"/>
          <w:b/>
          <w:color w:val="auto"/>
          <w:spacing w:val="40"/>
          <w:sz w:val="96"/>
          <w:szCs w:val="96"/>
          <w:highlight w:val="none"/>
        </w:rPr>
        <w:t>招标文件</w:t>
      </w:r>
    </w:p>
    <w:p>
      <w:pPr>
        <w:pStyle w:val="28"/>
        <w:rPr>
          <w:rFonts w:hAnsi="宋体"/>
          <w:b/>
          <w:color w:val="auto"/>
          <w:spacing w:val="4"/>
          <w:sz w:val="32"/>
          <w:szCs w:val="32"/>
          <w:highlight w:val="none"/>
        </w:rPr>
      </w:pPr>
    </w:p>
    <w:p>
      <w:pPr>
        <w:pStyle w:val="18"/>
        <w:rPr>
          <w:rFonts w:hAnsi="宋体"/>
          <w:b/>
          <w:color w:val="auto"/>
          <w:spacing w:val="4"/>
          <w:sz w:val="32"/>
          <w:szCs w:val="32"/>
          <w:highlight w:val="none"/>
        </w:rPr>
      </w:pPr>
    </w:p>
    <w:p>
      <w:pPr>
        <w:rPr>
          <w:color w:val="auto"/>
          <w:highlight w:val="none"/>
        </w:rPr>
      </w:pPr>
    </w:p>
    <w:p>
      <w:pPr>
        <w:keepNext w:val="0"/>
        <w:keepLines w:val="0"/>
        <w:pageBreakBefore w:val="0"/>
        <w:widowControl w:val="0"/>
        <w:kinsoku/>
        <w:wordWrap/>
        <w:overflowPunct/>
        <w:topLinePunct w:val="0"/>
        <w:autoSpaceDE/>
        <w:autoSpaceDN/>
        <w:bidi w:val="0"/>
        <w:adjustRightInd/>
        <w:snapToGrid/>
        <w:spacing w:before="156" w:beforeLines="50" w:after="156" w:afterLines="50" w:line="360" w:lineRule="auto"/>
        <w:jc w:val="left"/>
        <w:textAlignment w:val="auto"/>
        <w:rPr>
          <w:rFonts w:hint="eastAsia" w:hAnsi="宋体"/>
          <w:b/>
          <w:color w:val="auto"/>
          <w:spacing w:val="4"/>
          <w:sz w:val="30"/>
          <w:szCs w:val="30"/>
          <w:highlight w:val="none"/>
          <w:lang w:eastAsia="zh-CN"/>
        </w:rPr>
      </w:pPr>
    </w:p>
    <w:p>
      <w:pPr>
        <w:keepNext w:val="0"/>
        <w:keepLines w:val="0"/>
        <w:pageBreakBefore w:val="0"/>
        <w:widowControl w:val="0"/>
        <w:kinsoku/>
        <w:wordWrap/>
        <w:overflowPunct/>
        <w:topLinePunct w:val="0"/>
        <w:autoSpaceDE/>
        <w:autoSpaceDN/>
        <w:bidi w:val="0"/>
        <w:adjustRightInd/>
        <w:snapToGrid/>
        <w:spacing w:before="156" w:beforeLines="50" w:after="156" w:afterLines="50" w:line="360" w:lineRule="auto"/>
        <w:ind w:left="0" w:leftChars="0" w:firstLine="1082" w:firstLineChars="350"/>
        <w:jc w:val="left"/>
        <w:textAlignment w:val="auto"/>
        <w:rPr>
          <w:rFonts w:hint="eastAsia" w:hAnsi="宋体"/>
          <w:b/>
          <w:color w:val="auto"/>
          <w:spacing w:val="4"/>
          <w:sz w:val="30"/>
          <w:szCs w:val="30"/>
          <w:highlight w:val="none"/>
        </w:rPr>
      </w:pPr>
      <w:r>
        <w:rPr>
          <w:rFonts w:hint="eastAsia" w:hAnsi="宋体"/>
          <w:b/>
          <w:color w:val="auto"/>
          <w:spacing w:val="4"/>
          <w:sz w:val="30"/>
          <w:szCs w:val="30"/>
          <w:highlight w:val="none"/>
          <w:lang w:eastAsia="zh-CN"/>
        </w:rPr>
        <w:t>采购人</w:t>
      </w:r>
      <w:r>
        <w:rPr>
          <w:rFonts w:hint="eastAsia" w:hAnsi="宋体"/>
          <w:b/>
          <w:color w:val="auto"/>
          <w:spacing w:val="4"/>
          <w:sz w:val="30"/>
          <w:szCs w:val="30"/>
          <w:highlight w:val="none"/>
        </w:rPr>
        <w:t>：咸阳市中心医院</w:t>
      </w:r>
    </w:p>
    <w:p>
      <w:pPr>
        <w:keepNext w:val="0"/>
        <w:keepLines w:val="0"/>
        <w:pageBreakBefore w:val="0"/>
        <w:widowControl w:val="0"/>
        <w:kinsoku/>
        <w:wordWrap/>
        <w:overflowPunct/>
        <w:topLinePunct w:val="0"/>
        <w:autoSpaceDE/>
        <w:autoSpaceDN/>
        <w:bidi w:val="0"/>
        <w:adjustRightInd/>
        <w:snapToGrid/>
        <w:spacing w:before="156" w:beforeLines="50" w:after="156" w:afterLines="50" w:line="360" w:lineRule="auto"/>
        <w:ind w:left="0" w:leftChars="0" w:firstLine="1062" w:firstLineChars="317"/>
        <w:jc w:val="left"/>
        <w:textAlignment w:val="auto"/>
        <w:rPr>
          <w:rFonts w:ascii="宋体" w:hAnsi="宋体" w:cs="宋体"/>
          <w:b/>
          <w:color w:val="auto"/>
          <w:sz w:val="30"/>
          <w:szCs w:val="30"/>
          <w:highlight w:val="none"/>
        </w:rPr>
      </w:pPr>
      <w:r>
        <w:rPr>
          <w:rFonts w:hint="eastAsia" w:ascii="宋体" w:hAnsi="宋体" w:cs="宋体"/>
          <w:b/>
          <w:color w:val="auto"/>
          <w:spacing w:val="17"/>
          <w:sz w:val="30"/>
          <w:szCs w:val="30"/>
          <w:highlight w:val="none"/>
          <w:lang w:eastAsia="zh-CN"/>
        </w:rPr>
        <w:t>采购代理机构</w:t>
      </w:r>
      <w:r>
        <w:rPr>
          <w:rFonts w:hint="eastAsia" w:ascii="宋体" w:hAnsi="宋体" w:cs="宋体"/>
          <w:b/>
          <w:color w:val="auto"/>
          <w:spacing w:val="17"/>
          <w:sz w:val="30"/>
          <w:szCs w:val="30"/>
          <w:highlight w:val="none"/>
        </w:rPr>
        <w:t>：</w:t>
      </w:r>
      <w:r>
        <w:rPr>
          <w:rFonts w:hint="eastAsia" w:ascii="宋体" w:hAnsi="宋体" w:cs="宋体"/>
          <w:b/>
          <w:color w:val="auto"/>
          <w:sz w:val="30"/>
          <w:szCs w:val="30"/>
          <w:highlight w:val="none"/>
        </w:rPr>
        <w:t>中航技（北京）工程管理有限公司</w:t>
      </w:r>
    </w:p>
    <w:p>
      <w:pPr>
        <w:spacing w:line="480" w:lineRule="auto"/>
        <w:jc w:val="center"/>
        <w:rPr>
          <w:rFonts w:ascii="宋体" w:hAnsi="宋体" w:cs="宋体"/>
          <w:b/>
          <w:color w:val="auto"/>
          <w:sz w:val="30"/>
          <w:szCs w:val="30"/>
          <w:highlight w:val="none"/>
        </w:rPr>
        <w:sectPr>
          <w:headerReference r:id="rId3" w:type="default"/>
          <w:pgSz w:w="11906" w:h="16838"/>
          <w:pgMar w:top="1440" w:right="1800" w:bottom="1440" w:left="1800" w:header="851" w:footer="992" w:gutter="0"/>
          <w:cols w:space="425" w:num="1"/>
          <w:titlePg/>
          <w:docGrid w:type="lines" w:linePitch="312" w:charSpace="0"/>
        </w:sectPr>
      </w:pPr>
      <w:r>
        <w:rPr>
          <w:rFonts w:hint="eastAsia" w:ascii="宋体" w:hAnsi="宋体" w:cs="宋体"/>
          <w:b/>
          <w:color w:val="auto"/>
          <w:sz w:val="30"/>
          <w:szCs w:val="30"/>
          <w:highlight w:val="none"/>
        </w:rPr>
        <w:t>二○二</w:t>
      </w:r>
      <w:r>
        <w:rPr>
          <w:rFonts w:hint="eastAsia" w:ascii="宋体" w:hAnsi="宋体" w:cs="宋体"/>
          <w:b/>
          <w:color w:val="auto"/>
          <w:sz w:val="30"/>
          <w:szCs w:val="30"/>
          <w:highlight w:val="none"/>
          <w:lang w:val="en-US" w:eastAsia="zh-CN"/>
        </w:rPr>
        <w:t>三</w:t>
      </w:r>
      <w:r>
        <w:rPr>
          <w:rFonts w:hint="eastAsia" w:ascii="宋体" w:hAnsi="宋体" w:cs="宋体"/>
          <w:b/>
          <w:color w:val="auto"/>
          <w:sz w:val="30"/>
          <w:szCs w:val="30"/>
          <w:highlight w:val="none"/>
        </w:rPr>
        <w:t>年</w:t>
      </w:r>
      <w:r>
        <w:rPr>
          <w:rFonts w:hint="eastAsia" w:ascii="宋体" w:hAnsi="宋体" w:cs="宋体"/>
          <w:b/>
          <w:color w:val="auto"/>
          <w:sz w:val="30"/>
          <w:szCs w:val="30"/>
          <w:highlight w:val="none"/>
          <w:lang w:val="en-US" w:eastAsia="zh-CN"/>
        </w:rPr>
        <w:t>十一</w:t>
      </w:r>
      <w:r>
        <w:rPr>
          <w:rFonts w:hint="eastAsia" w:ascii="宋体" w:hAnsi="宋体" w:cs="宋体"/>
          <w:b/>
          <w:color w:val="auto"/>
          <w:sz w:val="30"/>
          <w:szCs w:val="30"/>
          <w:highlight w:val="none"/>
        </w:rPr>
        <w:t>月</w:t>
      </w:r>
    </w:p>
    <w:p>
      <w:pPr>
        <w:spacing w:line="480" w:lineRule="auto"/>
        <w:jc w:val="center"/>
        <w:rPr>
          <w:rFonts w:ascii="宋体" w:hAnsi="宋体"/>
          <w:b/>
          <w:bCs/>
          <w:color w:val="auto"/>
          <w:sz w:val="32"/>
          <w:szCs w:val="32"/>
          <w:highlight w:val="none"/>
        </w:rPr>
      </w:pPr>
    </w:p>
    <w:sdt>
      <w:sdtPr>
        <w:rPr>
          <w:rFonts w:ascii="宋体" w:hAnsi="宋体"/>
          <w:color w:val="auto"/>
          <w:highlight w:val="none"/>
        </w:rPr>
        <w:id w:val="147466966"/>
        <w15:color w:val="DBDBDB"/>
        <w:docPartObj>
          <w:docPartGallery w:val="Table of Contents"/>
          <w:docPartUnique/>
        </w:docPartObj>
      </w:sdtPr>
      <w:sdtEndPr>
        <w:rPr>
          <w:rFonts w:hint="eastAsia" w:ascii="宋体" w:hAnsi="宋体"/>
          <w:color w:val="auto"/>
          <w:szCs w:val="32"/>
          <w:highlight w:val="none"/>
        </w:rPr>
      </w:sdtEndPr>
      <w:sdtContent>
        <w:p>
          <w:pPr>
            <w:jc w:val="center"/>
            <w:rPr>
              <w:rFonts w:ascii="宋体" w:hAnsi="宋体"/>
              <w:color w:val="auto"/>
              <w:sz w:val="32"/>
              <w:szCs w:val="32"/>
              <w:highlight w:val="none"/>
            </w:rPr>
          </w:pPr>
          <w:r>
            <w:rPr>
              <w:rFonts w:ascii="宋体" w:hAnsi="宋体"/>
              <w:b/>
              <w:bCs/>
              <w:color w:val="auto"/>
              <w:sz w:val="32"/>
              <w:szCs w:val="32"/>
              <w:highlight w:val="none"/>
            </w:rPr>
            <w:t>目</w:t>
          </w:r>
          <w:r>
            <w:rPr>
              <w:rFonts w:hint="eastAsia" w:ascii="宋体" w:hAnsi="宋体"/>
              <w:b/>
              <w:bCs/>
              <w:color w:val="auto"/>
              <w:sz w:val="32"/>
              <w:szCs w:val="32"/>
              <w:highlight w:val="none"/>
            </w:rPr>
            <w:t xml:space="preserve"> </w:t>
          </w:r>
          <w:r>
            <w:rPr>
              <w:rFonts w:ascii="宋体" w:hAnsi="宋体"/>
              <w:b/>
              <w:bCs/>
              <w:color w:val="auto"/>
              <w:sz w:val="32"/>
              <w:szCs w:val="32"/>
              <w:highlight w:val="none"/>
            </w:rPr>
            <w:t>录</w:t>
          </w:r>
        </w:p>
        <w:p>
          <w:pPr>
            <w:pStyle w:val="17"/>
            <w:keepNext w:val="0"/>
            <w:keepLines w:val="0"/>
            <w:pageBreakBefore w:val="0"/>
            <w:widowControl w:val="0"/>
            <w:tabs>
              <w:tab w:val="right" w:leader="dot" w:pos="8754"/>
            </w:tabs>
            <w:kinsoku/>
            <w:wordWrap/>
            <w:overflowPunct/>
            <w:topLinePunct w:val="0"/>
            <w:autoSpaceDE/>
            <w:autoSpaceDN/>
            <w:bidi w:val="0"/>
            <w:adjustRightInd/>
            <w:snapToGrid/>
            <w:spacing w:before="157" w:beforeLines="50" w:line="360" w:lineRule="auto"/>
            <w:textAlignment w:val="auto"/>
            <w:rPr>
              <w:rFonts w:hint="eastAsia" w:ascii="宋体" w:hAnsi="宋体" w:eastAsia="宋体" w:cs="宋体"/>
            </w:rPr>
          </w:pPr>
          <w:r>
            <w:rPr>
              <w:rFonts w:hint="eastAsia" w:ascii="宋体" w:hAnsi="宋体"/>
              <w:color w:val="auto"/>
              <w:sz w:val="32"/>
              <w:szCs w:val="32"/>
              <w:highlight w:val="none"/>
            </w:rPr>
            <w:fldChar w:fldCharType="begin"/>
          </w:r>
          <w:r>
            <w:rPr>
              <w:rFonts w:hint="eastAsia" w:ascii="宋体" w:hAnsi="宋体"/>
              <w:color w:val="auto"/>
              <w:sz w:val="32"/>
              <w:szCs w:val="32"/>
              <w:highlight w:val="none"/>
            </w:rPr>
            <w:instrText xml:space="preserve">TOC \o "1-1" \h \u </w:instrText>
          </w:r>
          <w:r>
            <w:rPr>
              <w:rFonts w:hint="eastAsia" w:ascii="宋体" w:hAnsi="宋体"/>
              <w:color w:val="auto"/>
              <w:sz w:val="32"/>
              <w:szCs w:val="32"/>
              <w:highlight w:val="none"/>
            </w:rPr>
            <w:fldChar w:fldCharType="separate"/>
          </w:r>
          <w:r>
            <w:rPr>
              <w:rFonts w:hint="eastAsia" w:ascii="宋体" w:hAnsi="宋体" w:eastAsia="宋体" w:cs="宋体"/>
              <w:color w:val="auto"/>
              <w:szCs w:val="32"/>
              <w:highlight w:val="none"/>
            </w:rPr>
            <w:fldChar w:fldCharType="begin"/>
          </w:r>
          <w:r>
            <w:rPr>
              <w:rFonts w:hint="eastAsia" w:ascii="宋体" w:hAnsi="宋体" w:eastAsia="宋体" w:cs="宋体"/>
              <w:szCs w:val="32"/>
              <w:highlight w:val="none"/>
            </w:rPr>
            <w:instrText xml:space="preserve"> HYPERLINK \l _Toc19698 </w:instrText>
          </w:r>
          <w:r>
            <w:rPr>
              <w:rFonts w:hint="eastAsia" w:ascii="宋体" w:hAnsi="宋体" w:eastAsia="宋体" w:cs="宋体"/>
              <w:szCs w:val="32"/>
              <w:highlight w:val="none"/>
            </w:rPr>
            <w:fldChar w:fldCharType="separate"/>
          </w:r>
          <w:r>
            <w:rPr>
              <w:rFonts w:hint="eastAsia" w:ascii="宋体" w:hAnsi="宋体" w:eastAsia="宋体" w:cs="宋体"/>
              <w:bCs/>
              <w:szCs w:val="32"/>
              <w:highlight w:val="none"/>
            </w:rPr>
            <w:t>第一章 招标公告</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_Toc19698 \h </w:instrText>
          </w:r>
          <w:r>
            <w:rPr>
              <w:rFonts w:hint="eastAsia" w:ascii="宋体" w:hAnsi="宋体" w:eastAsia="宋体" w:cs="宋体"/>
            </w:rPr>
            <w:fldChar w:fldCharType="separate"/>
          </w:r>
          <w:r>
            <w:rPr>
              <w:rFonts w:hint="eastAsia" w:ascii="宋体" w:hAnsi="宋体" w:eastAsia="宋体" w:cs="宋体"/>
            </w:rPr>
            <w:t>2</w:t>
          </w:r>
          <w:r>
            <w:rPr>
              <w:rFonts w:hint="eastAsia" w:ascii="宋体" w:hAnsi="宋体" w:eastAsia="宋体" w:cs="宋体"/>
            </w:rPr>
            <w:fldChar w:fldCharType="end"/>
          </w:r>
          <w:r>
            <w:rPr>
              <w:rFonts w:hint="eastAsia" w:ascii="宋体" w:hAnsi="宋体" w:eastAsia="宋体" w:cs="宋体"/>
              <w:color w:val="auto"/>
              <w:szCs w:val="32"/>
              <w:highlight w:val="none"/>
            </w:rPr>
            <w:fldChar w:fldCharType="end"/>
          </w:r>
        </w:p>
        <w:p>
          <w:pPr>
            <w:pStyle w:val="17"/>
            <w:keepNext w:val="0"/>
            <w:keepLines w:val="0"/>
            <w:pageBreakBefore w:val="0"/>
            <w:widowControl w:val="0"/>
            <w:tabs>
              <w:tab w:val="right" w:leader="dot" w:pos="8754"/>
            </w:tabs>
            <w:kinsoku/>
            <w:wordWrap/>
            <w:overflowPunct/>
            <w:topLinePunct w:val="0"/>
            <w:autoSpaceDE/>
            <w:autoSpaceDN/>
            <w:bidi w:val="0"/>
            <w:adjustRightInd/>
            <w:snapToGrid/>
            <w:spacing w:line="360" w:lineRule="auto"/>
            <w:textAlignment w:val="auto"/>
            <w:rPr>
              <w:rFonts w:hint="eastAsia" w:ascii="宋体" w:hAnsi="宋体" w:eastAsia="宋体" w:cs="宋体"/>
            </w:rPr>
          </w:pPr>
          <w:r>
            <w:rPr>
              <w:rFonts w:hint="eastAsia" w:ascii="宋体" w:hAnsi="宋体" w:eastAsia="宋体" w:cs="宋体"/>
              <w:color w:val="auto"/>
              <w:szCs w:val="32"/>
              <w:highlight w:val="none"/>
            </w:rPr>
            <w:fldChar w:fldCharType="begin"/>
          </w:r>
          <w:r>
            <w:rPr>
              <w:rFonts w:hint="eastAsia" w:ascii="宋体" w:hAnsi="宋体" w:eastAsia="宋体" w:cs="宋体"/>
              <w:szCs w:val="32"/>
              <w:highlight w:val="none"/>
            </w:rPr>
            <w:instrText xml:space="preserve"> HYPERLINK \l _Toc25941 </w:instrText>
          </w:r>
          <w:r>
            <w:rPr>
              <w:rFonts w:hint="eastAsia" w:ascii="宋体" w:hAnsi="宋体" w:eastAsia="宋体" w:cs="宋体"/>
              <w:szCs w:val="32"/>
              <w:highlight w:val="none"/>
            </w:rPr>
            <w:fldChar w:fldCharType="separate"/>
          </w:r>
          <w:r>
            <w:rPr>
              <w:rFonts w:hint="eastAsia" w:ascii="宋体" w:hAnsi="宋体" w:eastAsia="宋体" w:cs="宋体"/>
              <w:szCs w:val="32"/>
              <w:highlight w:val="none"/>
            </w:rPr>
            <w:t>第二章 投标人须知</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_Toc25941 \h </w:instrText>
          </w:r>
          <w:r>
            <w:rPr>
              <w:rFonts w:hint="eastAsia" w:ascii="宋体" w:hAnsi="宋体" w:eastAsia="宋体" w:cs="宋体"/>
            </w:rPr>
            <w:fldChar w:fldCharType="separate"/>
          </w:r>
          <w:r>
            <w:rPr>
              <w:rFonts w:hint="eastAsia" w:ascii="宋体" w:hAnsi="宋体" w:eastAsia="宋体" w:cs="宋体"/>
            </w:rPr>
            <w:t>7</w:t>
          </w:r>
          <w:r>
            <w:rPr>
              <w:rFonts w:hint="eastAsia" w:ascii="宋体" w:hAnsi="宋体" w:eastAsia="宋体" w:cs="宋体"/>
            </w:rPr>
            <w:fldChar w:fldCharType="end"/>
          </w:r>
          <w:r>
            <w:rPr>
              <w:rFonts w:hint="eastAsia" w:ascii="宋体" w:hAnsi="宋体" w:eastAsia="宋体" w:cs="宋体"/>
              <w:color w:val="auto"/>
              <w:szCs w:val="32"/>
              <w:highlight w:val="none"/>
            </w:rPr>
            <w:fldChar w:fldCharType="end"/>
          </w:r>
        </w:p>
        <w:p>
          <w:pPr>
            <w:pStyle w:val="17"/>
            <w:keepNext w:val="0"/>
            <w:keepLines w:val="0"/>
            <w:pageBreakBefore w:val="0"/>
            <w:widowControl w:val="0"/>
            <w:tabs>
              <w:tab w:val="right" w:leader="dot" w:pos="8754"/>
            </w:tabs>
            <w:kinsoku/>
            <w:wordWrap/>
            <w:overflowPunct/>
            <w:topLinePunct w:val="0"/>
            <w:autoSpaceDE/>
            <w:autoSpaceDN/>
            <w:bidi w:val="0"/>
            <w:adjustRightInd/>
            <w:snapToGrid/>
            <w:spacing w:line="360" w:lineRule="auto"/>
            <w:textAlignment w:val="auto"/>
            <w:rPr>
              <w:rFonts w:hint="eastAsia" w:ascii="宋体" w:hAnsi="宋体" w:eastAsia="宋体" w:cs="宋体"/>
            </w:rPr>
          </w:pPr>
          <w:r>
            <w:rPr>
              <w:rFonts w:hint="eastAsia" w:ascii="宋体" w:hAnsi="宋体" w:eastAsia="宋体" w:cs="宋体"/>
              <w:color w:val="auto"/>
              <w:szCs w:val="32"/>
              <w:highlight w:val="none"/>
            </w:rPr>
            <w:fldChar w:fldCharType="begin"/>
          </w:r>
          <w:r>
            <w:rPr>
              <w:rFonts w:hint="eastAsia" w:ascii="宋体" w:hAnsi="宋体" w:eastAsia="宋体" w:cs="宋体"/>
              <w:szCs w:val="32"/>
              <w:highlight w:val="none"/>
            </w:rPr>
            <w:instrText xml:space="preserve"> HYPERLINK \l _Toc19517 </w:instrText>
          </w:r>
          <w:r>
            <w:rPr>
              <w:rFonts w:hint="eastAsia" w:ascii="宋体" w:hAnsi="宋体" w:eastAsia="宋体" w:cs="宋体"/>
              <w:szCs w:val="32"/>
              <w:highlight w:val="none"/>
            </w:rPr>
            <w:fldChar w:fldCharType="separate"/>
          </w:r>
          <w:r>
            <w:rPr>
              <w:rFonts w:hint="eastAsia" w:ascii="宋体" w:hAnsi="宋体" w:eastAsia="宋体" w:cs="宋体"/>
              <w:kern w:val="44"/>
              <w:highlight w:val="none"/>
            </w:rPr>
            <w:t>第三章 评标标准及方法</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_Toc19517 \h </w:instrText>
          </w:r>
          <w:r>
            <w:rPr>
              <w:rFonts w:hint="eastAsia" w:ascii="宋体" w:hAnsi="宋体" w:eastAsia="宋体" w:cs="宋体"/>
            </w:rPr>
            <w:fldChar w:fldCharType="separate"/>
          </w:r>
          <w:r>
            <w:rPr>
              <w:rFonts w:hint="eastAsia" w:ascii="宋体" w:hAnsi="宋体" w:eastAsia="宋体" w:cs="宋体"/>
            </w:rPr>
            <w:t>23</w:t>
          </w:r>
          <w:r>
            <w:rPr>
              <w:rFonts w:hint="eastAsia" w:ascii="宋体" w:hAnsi="宋体" w:eastAsia="宋体" w:cs="宋体"/>
            </w:rPr>
            <w:fldChar w:fldCharType="end"/>
          </w:r>
          <w:r>
            <w:rPr>
              <w:rFonts w:hint="eastAsia" w:ascii="宋体" w:hAnsi="宋体" w:eastAsia="宋体" w:cs="宋体"/>
              <w:color w:val="auto"/>
              <w:szCs w:val="32"/>
              <w:highlight w:val="none"/>
            </w:rPr>
            <w:fldChar w:fldCharType="end"/>
          </w:r>
        </w:p>
        <w:p>
          <w:pPr>
            <w:pStyle w:val="17"/>
            <w:keepNext w:val="0"/>
            <w:keepLines w:val="0"/>
            <w:pageBreakBefore w:val="0"/>
            <w:widowControl w:val="0"/>
            <w:tabs>
              <w:tab w:val="right" w:leader="dot" w:pos="8754"/>
            </w:tabs>
            <w:kinsoku/>
            <w:wordWrap/>
            <w:overflowPunct/>
            <w:topLinePunct w:val="0"/>
            <w:autoSpaceDE/>
            <w:autoSpaceDN/>
            <w:bidi w:val="0"/>
            <w:adjustRightInd/>
            <w:snapToGrid/>
            <w:spacing w:line="360" w:lineRule="auto"/>
            <w:textAlignment w:val="auto"/>
            <w:rPr>
              <w:rFonts w:hint="eastAsia" w:ascii="宋体" w:hAnsi="宋体" w:eastAsia="宋体" w:cs="宋体"/>
            </w:rPr>
          </w:pPr>
          <w:r>
            <w:rPr>
              <w:rFonts w:hint="eastAsia" w:ascii="宋体" w:hAnsi="宋体" w:eastAsia="宋体" w:cs="宋体"/>
              <w:color w:val="auto"/>
              <w:szCs w:val="32"/>
              <w:highlight w:val="none"/>
            </w:rPr>
            <w:fldChar w:fldCharType="begin"/>
          </w:r>
          <w:r>
            <w:rPr>
              <w:rFonts w:hint="eastAsia" w:ascii="宋体" w:hAnsi="宋体" w:eastAsia="宋体" w:cs="宋体"/>
              <w:szCs w:val="32"/>
              <w:highlight w:val="none"/>
            </w:rPr>
            <w:instrText xml:space="preserve"> HYPERLINK \l _Toc10942 </w:instrText>
          </w:r>
          <w:r>
            <w:rPr>
              <w:rFonts w:hint="eastAsia" w:ascii="宋体" w:hAnsi="宋体" w:eastAsia="宋体" w:cs="宋体"/>
              <w:szCs w:val="32"/>
              <w:highlight w:val="none"/>
            </w:rPr>
            <w:fldChar w:fldCharType="separate"/>
          </w:r>
          <w:r>
            <w:rPr>
              <w:rFonts w:hint="eastAsia" w:ascii="宋体" w:hAnsi="宋体" w:eastAsia="宋体" w:cs="宋体"/>
              <w:kern w:val="44"/>
            </w:rPr>
            <w:t xml:space="preserve">第四章 </w:t>
          </w:r>
          <w:r>
            <w:rPr>
              <w:rFonts w:hint="eastAsia" w:ascii="宋体" w:hAnsi="宋体" w:eastAsia="宋体" w:cs="宋体"/>
              <w:kern w:val="44"/>
              <w:highlight w:val="none"/>
            </w:rPr>
            <w:t>采购内容及要求</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_Toc10942 \h </w:instrText>
          </w:r>
          <w:r>
            <w:rPr>
              <w:rFonts w:hint="eastAsia" w:ascii="宋体" w:hAnsi="宋体" w:eastAsia="宋体" w:cs="宋体"/>
            </w:rPr>
            <w:fldChar w:fldCharType="separate"/>
          </w:r>
          <w:r>
            <w:rPr>
              <w:rFonts w:hint="eastAsia" w:ascii="宋体" w:hAnsi="宋体" w:eastAsia="宋体" w:cs="宋体"/>
            </w:rPr>
            <w:t>32</w:t>
          </w:r>
          <w:r>
            <w:rPr>
              <w:rFonts w:hint="eastAsia" w:ascii="宋体" w:hAnsi="宋体" w:eastAsia="宋体" w:cs="宋体"/>
            </w:rPr>
            <w:fldChar w:fldCharType="end"/>
          </w:r>
          <w:r>
            <w:rPr>
              <w:rFonts w:hint="eastAsia" w:ascii="宋体" w:hAnsi="宋体" w:eastAsia="宋体" w:cs="宋体"/>
              <w:color w:val="auto"/>
              <w:szCs w:val="32"/>
              <w:highlight w:val="none"/>
            </w:rPr>
            <w:fldChar w:fldCharType="end"/>
          </w:r>
        </w:p>
        <w:p>
          <w:pPr>
            <w:pStyle w:val="17"/>
            <w:keepNext w:val="0"/>
            <w:keepLines w:val="0"/>
            <w:pageBreakBefore w:val="0"/>
            <w:widowControl w:val="0"/>
            <w:tabs>
              <w:tab w:val="right" w:leader="dot" w:pos="8754"/>
            </w:tabs>
            <w:kinsoku/>
            <w:wordWrap/>
            <w:overflowPunct/>
            <w:topLinePunct w:val="0"/>
            <w:autoSpaceDE/>
            <w:autoSpaceDN/>
            <w:bidi w:val="0"/>
            <w:adjustRightInd/>
            <w:snapToGrid/>
            <w:spacing w:line="360" w:lineRule="auto"/>
            <w:textAlignment w:val="auto"/>
            <w:rPr>
              <w:rFonts w:hint="eastAsia" w:ascii="宋体" w:hAnsi="宋体" w:eastAsia="宋体" w:cs="宋体"/>
            </w:rPr>
          </w:pPr>
          <w:r>
            <w:rPr>
              <w:rFonts w:hint="eastAsia" w:ascii="宋体" w:hAnsi="宋体" w:eastAsia="宋体" w:cs="宋体"/>
              <w:color w:val="auto"/>
              <w:szCs w:val="32"/>
              <w:highlight w:val="none"/>
            </w:rPr>
            <w:fldChar w:fldCharType="begin"/>
          </w:r>
          <w:r>
            <w:rPr>
              <w:rFonts w:hint="eastAsia" w:ascii="宋体" w:hAnsi="宋体" w:eastAsia="宋体" w:cs="宋体"/>
              <w:szCs w:val="32"/>
              <w:highlight w:val="none"/>
            </w:rPr>
            <w:instrText xml:space="preserve"> HYPERLINK \l _Toc11070 </w:instrText>
          </w:r>
          <w:r>
            <w:rPr>
              <w:rFonts w:hint="eastAsia" w:ascii="宋体" w:hAnsi="宋体" w:eastAsia="宋体" w:cs="宋体"/>
              <w:szCs w:val="32"/>
              <w:highlight w:val="none"/>
            </w:rPr>
            <w:fldChar w:fldCharType="separate"/>
          </w:r>
          <w:r>
            <w:rPr>
              <w:rFonts w:hint="eastAsia" w:ascii="宋体" w:hAnsi="宋体" w:eastAsia="宋体" w:cs="宋体"/>
              <w:kern w:val="44"/>
              <w:highlight w:val="none"/>
              <w:lang w:val="en-US" w:eastAsia="zh-CN"/>
            </w:rPr>
            <w:t>第五章 合同条款</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_Toc11070 \h </w:instrText>
          </w:r>
          <w:r>
            <w:rPr>
              <w:rFonts w:hint="eastAsia" w:ascii="宋体" w:hAnsi="宋体" w:eastAsia="宋体" w:cs="宋体"/>
            </w:rPr>
            <w:fldChar w:fldCharType="separate"/>
          </w:r>
          <w:r>
            <w:rPr>
              <w:rFonts w:hint="eastAsia" w:ascii="宋体" w:hAnsi="宋体" w:eastAsia="宋体" w:cs="宋体"/>
            </w:rPr>
            <w:t>60</w:t>
          </w:r>
          <w:r>
            <w:rPr>
              <w:rFonts w:hint="eastAsia" w:ascii="宋体" w:hAnsi="宋体" w:eastAsia="宋体" w:cs="宋体"/>
            </w:rPr>
            <w:fldChar w:fldCharType="end"/>
          </w:r>
          <w:r>
            <w:rPr>
              <w:rFonts w:hint="eastAsia" w:ascii="宋体" w:hAnsi="宋体" w:eastAsia="宋体" w:cs="宋体"/>
              <w:color w:val="auto"/>
              <w:szCs w:val="32"/>
              <w:highlight w:val="none"/>
            </w:rPr>
            <w:fldChar w:fldCharType="end"/>
          </w:r>
        </w:p>
        <w:p>
          <w:pPr>
            <w:pStyle w:val="17"/>
            <w:keepNext w:val="0"/>
            <w:keepLines w:val="0"/>
            <w:pageBreakBefore w:val="0"/>
            <w:widowControl w:val="0"/>
            <w:tabs>
              <w:tab w:val="right" w:leader="dot" w:pos="8754"/>
            </w:tabs>
            <w:kinsoku/>
            <w:wordWrap/>
            <w:overflowPunct/>
            <w:topLinePunct w:val="0"/>
            <w:autoSpaceDE/>
            <w:autoSpaceDN/>
            <w:bidi w:val="0"/>
            <w:adjustRightInd/>
            <w:snapToGrid/>
            <w:spacing w:line="360" w:lineRule="auto"/>
            <w:textAlignment w:val="auto"/>
            <w:rPr>
              <w:rFonts w:hint="eastAsia" w:ascii="宋体" w:hAnsi="宋体" w:eastAsia="宋体" w:cs="宋体"/>
            </w:rPr>
          </w:pPr>
          <w:r>
            <w:rPr>
              <w:rFonts w:hint="eastAsia" w:ascii="宋体" w:hAnsi="宋体" w:eastAsia="宋体" w:cs="宋体"/>
              <w:color w:val="auto"/>
              <w:szCs w:val="32"/>
              <w:highlight w:val="none"/>
            </w:rPr>
            <w:fldChar w:fldCharType="begin"/>
          </w:r>
          <w:r>
            <w:rPr>
              <w:rFonts w:hint="eastAsia" w:ascii="宋体" w:hAnsi="宋体" w:eastAsia="宋体" w:cs="宋体"/>
              <w:szCs w:val="32"/>
              <w:highlight w:val="none"/>
            </w:rPr>
            <w:instrText xml:space="preserve"> HYPERLINK \l _Toc5284 </w:instrText>
          </w:r>
          <w:r>
            <w:rPr>
              <w:rFonts w:hint="eastAsia" w:ascii="宋体" w:hAnsi="宋体" w:eastAsia="宋体" w:cs="宋体"/>
              <w:szCs w:val="32"/>
              <w:highlight w:val="none"/>
            </w:rPr>
            <w:fldChar w:fldCharType="separate"/>
          </w:r>
          <w:r>
            <w:rPr>
              <w:rFonts w:hint="eastAsia" w:ascii="宋体" w:hAnsi="宋体" w:eastAsia="宋体" w:cs="宋体"/>
              <w:highlight w:val="none"/>
            </w:rPr>
            <w:t>第六章</w:t>
          </w:r>
          <w:r>
            <w:rPr>
              <w:rFonts w:hint="eastAsia" w:ascii="宋体" w:hAnsi="宋体" w:eastAsia="宋体" w:cs="宋体"/>
              <w:highlight w:val="none"/>
              <w:lang w:val="en-US" w:eastAsia="zh-CN"/>
            </w:rPr>
            <w:t xml:space="preserve"> </w:t>
          </w:r>
          <w:r>
            <w:rPr>
              <w:rFonts w:hint="eastAsia" w:ascii="宋体" w:hAnsi="宋体" w:eastAsia="宋体" w:cs="宋体"/>
              <w:highlight w:val="none"/>
            </w:rPr>
            <w:t>投标文件格式</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_Toc5284 \h </w:instrText>
          </w:r>
          <w:r>
            <w:rPr>
              <w:rFonts w:hint="eastAsia" w:ascii="宋体" w:hAnsi="宋体" w:eastAsia="宋体" w:cs="宋体"/>
            </w:rPr>
            <w:fldChar w:fldCharType="separate"/>
          </w:r>
          <w:r>
            <w:rPr>
              <w:rFonts w:hint="eastAsia" w:ascii="宋体" w:hAnsi="宋体" w:eastAsia="宋体" w:cs="宋体"/>
            </w:rPr>
            <w:t>67</w:t>
          </w:r>
          <w:r>
            <w:rPr>
              <w:rFonts w:hint="eastAsia" w:ascii="宋体" w:hAnsi="宋体" w:eastAsia="宋体" w:cs="宋体"/>
            </w:rPr>
            <w:fldChar w:fldCharType="end"/>
          </w:r>
          <w:r>
            <w:rPr>
              <w:rFonts w:hint="eastAsia" w:ascii="宋体" w:hAnsi="宋体" w:eastAsia="宋体" w:cs="宋体"/>
              <w:color w:val="auto"/>
              <w:szCs w:val="32"/>
              <w:highlight w:val="none"/>
            </w:rPr>
            <w:fldChar w:fldCharType="end"/>
          </w:r>
        </w:p>
        <w:p>
          <w:pPr>
            <w:pStyle w:val="17"/>
            <w:keepNext w:val="0"/>
            <w:keepLines w:val="0"/>
            <w:pageBreakBefore w:val="0"/>
            <w:widowControl w:val="0"/>
            <w:tabs>
              <w:tab w:val="right" w:leader="dot" w:pos="8754"/>
            </w:tabs>
            <w:kinsoku/>
            <w:wordWrap/>
            <w:overflowPunct/>
            <w:topLinePunct w:val="0"/>
            <w:autoSpaceDE/>
            <w:autoSpaceDN/>
            <w:bidi w:val="0"/>
            <w:adjustRightInd/>
            <w:snapToGrid/>
            <w:spacing w:line="360" w:lineRule="auto"/>
            <w:textAlignment w:val="auto"/>
          </w:pPr>
          <w:r>
            <w:rPr>
              <w:rFonts w:hint="eastAsia" w:ascii="宋体" w:hAnsi="宋体" w:eastAsia="宋体" w:cs="宋体"/>
              <w:color w:val="auto"/>
              <w:szCs w:val="32"/>
              <w:highlight w:val="none"/>
            </w:rPr>
            <w:fldChar w:fldCharType="begin"/>
          </w:r>
          <w:r>
            <w:rPr>
              <w:rFonts w:hint="eastAsia" w:ascii="宋体" w:hAnsi="宋体" w:eastAsia="宋体" w:cs="宋体"/>
              <w:szCs w:val="32"/>
              <w:highlight w:val="none"/>
            </w:rPr>
            <w:instrText xml:space="preserve"> HYPERLINK \l _Toc4505 </w:instrText>
          </w:r>
          <w:r>
            <w:rPr>
              <w:rFonts w:hint="eastAsia" w:ascii="宋体" w:hAnsi="宋体" w:eastAsia="宋体" w:cs="宋体"/>
              <w:szCs w:val="32"/>
              <w:highlight w:val="none"/>
            </w:rPr>
            <w:fldChar w:fldCharType="separate"/>
          </w:r>
          <w:r>
            <w:rPr>
              <w:rFonts w:hint="eastAsia" w:ascii="宋体" w:hAnsi="宋体" w:eastAsia="宋体" w:cs="宋体"/>
              <w:highlight w:val="none"/>
              <w:lang w:val="en-US" w:eastAsia="zh-CN"/>
            </w:rPr>
            <w:t xml:space="preserve">第七章 </w:t>
          </w:r>
          <w:r>
            <w:rPr>
              <w:rFonts w:hint="eastAsia" w:ascii="宋体" w:hAnsi="宋体" w:eastAsia="宋体" w:cs="宋体"/>
              <w:highlight w:val="none"/>
            </w:rPr>
            <w:t>质疑和投诉</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_Toc4505 \h </w:instrText>
          </w:r>
          <w:r>
            <w:rPr>
              <w:rFonts w:hint="eastAsia" w:ascii="宋体" w:hAnsi="宋体" w:eastAsia="宋体" w:cs="宋体"/>
            </w:rPr>
            <w:fldChar w:fldCharType="separate"/>
          </w:r>
          <w:r>
            <w:rPr>
              <w:rFonts w:hint="eastAsia" w:ascii="宋体" w:hAnsi="宋体" w:eastAsia="宋体" w:cs="宋体"/>
            </w:rPr>
            <w:t>90</w:t>
          </w:r>
          <w:r>
            <w:rPr>
              <w:rFonts w:hint="eastAsia" w:ascii="宋体" w:hAnsi="宋体" w:eastAsia="宋体" w:cs="宋体"/>
            </w:rPr>
            <w:fldChar w:fldCharType="end"/>
          </w:r>
          <w:r>
            <w:rPr>
              <w:rFonts w:hint="eastAsia" w:ascii="宋体" w:hAnsi="宋体" w:eastAsia="宋体" w:cs="宋体"/>
              <w:color w:val="auto"/>
              <w:szCs w:val="32"/>
              <w:highlight w:val="none"/>
            </w:rPr>
            <w:fldChar w:fldCharType="end"/>
          </w:r>
        </w:p>
        <w:p>
          <w:pPr>
            <w:pStyle w:val="22"/>
            <w:rPr>
              <w:rFonts w:ascii="宋体" w:hAnsi="宋体"/>
              <w:color w:val="auto"/>
              <w:sz w:val="32"/>
              <w:szCs w:val="32"/>
              <w:highlight w:val="none"/>
            </w:rPr>
          </w:pPr>
          <w:r>
            <w:rPr>
              <w:rFonts w:hint="eastAsia" w:ascii="宋体" w:hAnsi="宋体"/>
              <w:color w:val="auto"/>
              <w:szCs w:val="32"/>
              <w:highlight w:val="none"/>
            </w:rPr>
            <w:fldChar w:fldCharType="end"/>
          </w:r>
        </w:p>
      </w:sdtContent>
    </w:sdt>
    <w:p>
      <w:pPr>
        <w:pStyle w:val="22"/>
        <w:ind w:firstLine="640"/>
        <w:rPr>
          <w:rFonts w:ascii="宋体" w:hAnsi="宋体"/>
          <w:color w:val="auto"/>
          <w:sz w:val="32"/>
          <w:szCs w:val="32"/>
          <w:highlight w:val="none"/>
        </w:rPr>
      </w:pPr>
    </w:p>
    <w:p>
      <w:pPr>
        <w:pStyle w:val="22"/>
        <w:ind w:firstLine="640"/>
        <w:rPr>
          <w:rFonts w:ascii="宋体" w:hAnsi="宋体"/>
          <w:color w:val="auto"/>
          <w:sz w:val="32"/>
          <w:szCs w:val="32"/>
          <w:highlight w:val="none"/>
        </w:rPr>
      </w:pPr>
    </w:p>
    <w:p>
      <w:pPr>
        <w:pStyle w:val="22"/>
        <w:ind w:firstLine="640"/>
        <w:rPr>
          <w:rFonts w:ascii="宋体" w:hAnsi="宋体"/>
          <w:color w:val="auto"/>
          <w:sz w:val="32"/>
          <w:szCs w:val="32"/>
          <w:highlight w:val="none"/>
        </w:rPr>
      </w:pPr>
    </w:p>
    <w:p>
      <w:pPr>
        <w:pStyle w:val="22"/>
        <w:ind w:firstLine="640"/>
        <w:rPr>
          <w:rFonts w:ascii="宋体" w:hAnsi="宋体"/>
          <w:color w:val="auto"/>
          <w:sz w:val="32"/>
          <w:szCs w:val="32"/>
          <w:highlight w:val="none"/>
        </w:rPr>
      </w:pPr>
    </w:p>
    <w:p>
      <w:pPr>
        <w:pStyle w:val="22"/>
        <w:ind w:firstLine="640"/>
        <w:rPr>
          <w:rFonts w:ascii="宋体" w:hAnsi="宋体"/>
          <w:color w:val="auto"/>
          <w:sz w:val="32"/>
          <w:szCs w:val="32"/>
          <w:highlight w:val="none"/>
        </w:rPr>
      </w:pPr>
    </w:p>
    <w:p>
      <w:pPr>
        <w:pStyle w:val="22"/>
        <w:ind w:firstLine="640"/>
        <w:rPr>
          <w:rFonts w:ascii="宋体" w:hAnsi="宋体"/>
          <w:color w:val="auto"/>
          <w:sz w:val="32"/>
          <w:szCs w:val="32"/>
          <w:highlight w:val="none"/>
        </w:rPr>
      </w:pPr>
    </w:p>
    <w:p>
      <w:pPr>
        <w:pStyle w:val="22"/>
        <w:ind w:firstLine="640"/>
        <w:rPr>
          <w:rFonts w:ascii="宋体" w:hAnsi="宋体"/>
          <w:color w:val="auto"/>
          <w:sz w:val="32"/>
          <w:szCs w:val="32"/>
          <w:highlight w:val="none"/>
        </w:rPr>
      </w:pPr>
    </w:p>
    <w:p>
      <w:pPr>
        <w:pStyle w:val="22"/>
        <w:ind w:firstLine="640"/>
        <w:rPr>
          <w:rFonts w:ascii="宋体" w:hAnsi="宋体"/>
          <w:color w:val="auto"/>
          <w:sz w:val="32"/>
          <w:szCs w:val="32"/>
          <w:highlight w:val="none"/>
        </w:rPr>
      </w:pPr>
    </w:p>
    <w:p>
      <w:pPr>
        <w:pStyle w:val="22"/>
        <w:ind w:firstLine="640"/>
        <w:rPr>
          <w:rFonts w:ascii="宋体" w:hAnsi="宋体"/>
          <w:color w:val="auto"/>
          <w:sz w:val="32"/>
          <w:szCs w:val="32"/>
          <w:highlight w:val="none"/>
        </w:rPr>
      </w:pPr>
    </w:p>
    <w:p>
      <w:pPr>
        <w:pStyle w:val="22"/>
        <w:ind w:firstLine="640"/>
        <w:rPr>
          <w:rFonts w:ascii="宋体" w:hAnsi="宋体"/>
          <w:color w:val="auto"/>
          <w:sz w:val="32"/>
          <w:szCs w:val="32"/>
          <w:highlight w:val="none"/>
        </w:rPr>
      </w:pPr>
    </w:p>
    <w:p>
      <w:pPr>
        <w:pStyle w:val="22"/>
        <w:ind w:firstLine="640"/>
        <w:rPr>
          <w:rFonts w:ascii="宋体" w:hAnsi="宋体"/>
          <w:color w:val="auto"/>
          <w:sz w:val="32"/>
          <w:szCs w:val="32"/>
          <w:highlight w:val="none"/>
        </w:rPr>
      </w:pPr>
    </w:p>
    <w:p>
      <w:pPr>
        <w:pStyle w:val="22"/>
        <w:ind w:firstLine="640"/>
        <w:rPr>
          <w:rFonts w:ascii="宋体" w:hAnsi="宋体"/>
          <w:color w:val="auto"/>
          <w:sz w:val="32"/>
          <w:szCs w:val="32"/>
          <w:highlight w:val="none"/>
        </w:rPr>
      </w:pPr>
    </w:p>
    <w:p>
      <w:pPr>
        <w:rPr>
          <w:rFonts w:ascii="宋体" w:hAnsi="宋体"/>
          <w:b/>
          <w:bCs/>
          <w:color w:val="auto"/>
          <w:sz w:val="32"/>
          <w:szCs w:val="32"/>
          <w:highlight w:val="none"/>
        </w:rPr>
      </w:pPr>
      <w:bookmarkStart w:id="0" w:name="_Toc674"/>
      <w:bookmarkStart w:id="1" w:name="_Toc9496"/>
      <w:r>
        <w:rPr>
          <w:rFonts w:hint="eastAsia" w:ascii="宋体" w:hAnsi="宋体"/>
          <w:b/>
          <w:bCs/>
          <w:color w:val="auto"/>
          <w:sz w:val="32"/>
          <w:szCs w:val="32"/>
          <w:highlight w:val="none"/>
        </w:rPr>
        <w:br w:type="page"/>
      </w:r>
    </w:p>
    <w:p>
      <w:pPr>
        <w:spacing w:line="360" w:lineRule="auto"/>
        <w:ind w:firstLine="643" w:firstLineChars="200"/>
        <w:jc w:val="center"/>
        <w:outlineLvl w:val="0"/>
        <w:rPr>
          <w:rFonts w:ascii="宋体" w:hAnsi="宋体"/>
          <w:b/>
          <w:bCs/>
          <w:color w:val="auto"/>
          <w:sz w:val="32"/>
          <w:szCs w:val="32"/>
          <w:highlight w:val="none"/>
        </w:rPr>
      </w:pPr>
      <w:bookmarkStart w:id="2" w:name="_Toc19698"/>
      <w:r>
        <w:rPr>
          <w:rFonts w:hint="eastAsia" w:ascii="宋体" w:hAnsi="宋体"/>
          <w:b/>
          <w:bCs/>
          <w:color w:val="auto"/>
          <w:sz w:val="32"/>
          <w:szCs w:val="32"/>
          <w:highlight w:val="none"/>
        </w:rPr>
        <w:t>第一章 招标公告</w:t>
      </w:r>
      <w:bookmarkEnd w:id="0"/>
      <w:bookmarkEnd w:id="1"/>
      <w:bookmarkEnd w:id="2"/>
    </w:p>
    <w:p>
      <w:pPr>
        <w:pStyle w:val="20"/>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313" w:beforeLines="100" w:beforeAutospacing="0" w:after="157" w:afterLines="50" w:afterAutospacing="0" w:line="360" w:lineRule="auto"/>
        <w:ind w:right="0"/>
        <w:jc w:val="center"/>
        <w:textAlignment w:val="auto"/>
        <w:rPr>
          <w:rFonts w:hint="default" w:ascii="宋体" w:hAnsi="宋体" w:eastAsia="宋体" w:cs="宋体"/>
          <w:b/>
          <w:bCs/>
          <w:i w:val="0"/>
          <w:iCs w:val="0"/>
          <w:caps w:val="0"/>
          <w:color w:val="auto"/>
          <w:spacing w:val="0"/>
          <w:sz w:val="28"/>
          <w:szCs w:val="28"/>
          <w:highlight w:val="none"/>
          <w:shd w:val="clear" w:color="auto" w:fill="auto"/>
          <w:lang w:val="en-US" w:eastAsia="zh-CN"/>
        </w:rPr>
      </w:pPr>
      <w:r>
        <w:rPr>
          <w:rFonts w:hint="eastAsia" w:cs="宋体"/>
          <w:b/>
          <w:bCs/>
          <w:i w:val="0"/>
          <w:iCs w:val="0"/>
          <w:caps w:val="0"/>
          <w:color w:val="auto"/>
          <w:spacing w:val="0"/>
          <w:sz w:val="28"/>
          <w:szCs w:val="28"/>
          <w:highlight w:val="none"/>
          <w:shd w:val="clear" w:color="auto" w:fill="auto"/>
          <w:lang w:eastAsia="zh-CN"/>
        </w:rPr>
        <w:t>咸阳市中心医院智慧医院建设提升、智慧医疗管理系统建设及环境扩容服务</w:t>
      </w:r>
      <w:r>
        <w:rPr>
          <w:rFonts w:hint="eastAsia" w:cs="宋体"/>
          <w:b/>
          <w:bCs/>
          <w:i w:val="0"/>
          <w:iCs w:val="0"/>
          <w:caps w:val="0"/>
          <w:color w:val="auto"/>
          <w:spacing w:val="0"/>
          <w:sz w:val="28"/>
          <w:szCs w:val="28"/>
          <w:highlight w:val="none"/>
          <w:shd w:val="clear" w:color="auto" w:fill="auto"/>
          <w:lang w:val="en-US" w:eastAsia="zh-CN"/>
        </w:rPr>
        <w:t>招标公告</w:t>
      </w:r>
    </w:p>
    <w:p>
      <w:pPr>
        <w:pStyle w:val="7"/>
        <w:keepNext w:val="0"/>
        <w:keepLines w:val="0"/>
        <w:pageBreakBefore w:val="0"/>
        <w:widowControl/>
        <w:suppressLineNumbers w:val="0"/>
        <w:pBdr>
          <w:top w:val="single" w:color="auto" w:sz="4" w:space="0"/>
          <w:left w:val="single" w:color="auto" w:sz="4" w:space="0"/>
          <w:bottom w:val="single" w:color="auto" w:sz="4" w:space="0"/>
          <w:right w:val="single" w:color="auto" w:sz="4"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left"/>
        <w:textAlignment w:val="baseline"/>
        <w:rPr>
          <w:rFonts w:hint="eastAsia" w:ascii="宋体" w:hAnsi="宋体" w:eastAsia="宋体" w:cs="宋体"/>
          <w:b/>
          <w:bCs/>
          <w:i w:val="0"/>
          <w:iCs w:val="0"/>
          <w:caps w:val="0"/>
          <w:color w:val="auto"/>
          <w:spacing w:val="0"/>
          <w:kern w:val="0"/>
          <w:sz w:val="21"/>
          <w:szCs w:val="21"/>
          <w:highlight w:val="none"/>
          <w:shd w:val="clear" w:color="auto" w:fill="auto"/>
          <w:lang w:val="en-US" w:eastAsia="zh-CN" w:bidi="ar-SA"/>
        </w:rPr>
      </w:pPr>
      <w:r>
        <w:rPr>
          <w:rFonts w:hint="eastAsia" w:ascii="宋体" w:hAnsi="宋体" w:eastAsia="宋体" w:cs="宋体"/>
          <w:b/>
          <w:bCs/>
          <w:i w:val="0"/>
          <w:iCs w:val="0"/>
          <w:caps w:val="0"/>
          <w:color w:val="auto"/>
          <w:spacing w:val="0"/>
          <w:kern w:val="0"/>
          <w:sz w:val="21"/>
          <w:szCs w:val="21"/>
          <w:highlight w:val="none"/>
          <w:shd w:val="clear" w:color="auto" w:fill="auto"/>
          <w:lang w:val="en-US" w:eastAsia="zh-CN" w:bidi="ar-SA"/>
        </w:rPr>
        <w:t>项目概况</w:t>
      </w:r>
    </w:p>
    <w:p>
      <w:pPr>
        <w:pStyle w:val="20"/>
        <w:keepNext w:val="0"/>
        <w:keepLines w:val="0"/>
        <w:pageBreakBefore w:val="0"/>
        <w:widowControl/>
        <w:suppressLineNumbers w:val="0"/>
        <w:pBdr>
          <w:top w:val="single" w:color="auto" w:sz="4" w:space="0"/>
          <w:left w:val="single" w:color="auto" w:sz="4" w:space="0"/>
          <w:bottom w:val="single" w:color="auto" w:sz="4" w:space="0"/>
          <w:right w:val="single" w:color="auto" w:sz="4"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jc w:val="both"/>
        <w:textAlignment w:val="baseline"/>
        <w:rPr>
          <w:rFonts w:hint="eastAsia" w:ascii="宋体" w:hAnsi="宋体" w:eastAsia="宋体" w:cs="宋体"/>
          <w:b w:val="0"/>
          <w:bCs w:val="0"/>
          <w:i w:val="0"/>
          <w:iCs w:val="0"/>
          <w:caps w:val="0"/>
          <w:color w:val="auto"/>
          <w:spacing w:val="0"/>
          <w:kern w:val="0"/>
          <w:sz w:val="21"/>
          <w:szCs w:val="21"/>
          <w:highlight w:val="none"/>
          <w:shd w:val="clear" w:color="auto" w:fill="auto"/>
          <w:lang w:val="en-US" w:eastAsia="zh-CN" w:bidi="ar-SA"/>
        </w:rPr>
      </w:pPr>
      <w:r>
        <w:rPr>
          <w:rFonts w:hint="eastAsia" w:ascii="宋体" w:hAnsi="宋体" w:eastAsia="宋体" w:cs="宋体"/>
          <w:b w:val="0"/>
          <w:bCs w:val="0"/>
          <w:i w:val="0"/>
          <w:iCs w:val="0"/>
          <w:caps w:val="0"/>
          <w:color w:val="auto"/>
          <w:spacing w:val="0"/>
          <w:kern w:val="0"/>
          <w:sz w:val="21"/>
          <w:szCs w:val="21"/>
          <w:highlight w:val="none"/>
          <w:shd w:val="clear" w:color="auto" w:fill="auto"/>
          <w:lang w:val="en-US" w:eastAsia="zh-CN" w:bidi="ar-SA"/>
        </w:rPr>
        <w:t>智慧医院建设提升、智慧医疗管理系统建设及环境扩容服务招标项目的潜在投标人应在西安市高新区沣惠南路34号摩尔中心A座24层获取招标文件，并于2023年12月13日 09时30分（北京时间）前递交投标文件。</w:t>
      </w:r>
    </w:p>
    <w:p>
      <w:pPr>
        <w:pStyle w:val="20"/>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firstLine="420" w:firstLineChars="200"/>
        <w:textAlignment w:val="auto"/>
        <w:rPr>
          <w:rFonts w:hint="eastAsia" w:ascii="宋体" w:hAnsi="宋体" w:eastAsia="宋体" w:cs="宋体"/>
          <w:i w:val="0"/>
          <w:iCs w:val="0"/>
          <w:caps w:val="0"/>
          <w:color w:val="auto"/>
          <w:spacing w:val="0"/>
          <w:sz w:val="21"/>
          <w:szCs w:val="21"/>
          <w:highlight w:val="none"/>
          <w:shd w:val="clear" w:color="auto" w:fill="auto"/>
          <w:lang w:val="en-US" w:eastAsia="zh-CN"/>
        </w:rPr>
      </w:pPr>
    </w:p>
    <w:p>
      <w:pPr>
        <w:pStyle w:val="20"/>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157" w:beforeLines="50" w:beforeAutospacing="0" w:after="157" w:afterLines="50" w:afterAutospacing="0" w:line="360" w:lineRule="auto"/>
        <w:ind w:right="0"/>
        <w:textAlignment w:val="auto"/>
        <w:rPr>
          <w:rFonts w:hint="eastAsia" w:ascii="宋体" w:hAnsi="宋体" w:eastAsia="宋体" w:cs="宋体"/>
          <w:b/>
          <w:bCs/>
          <w:i w:val="0"/>
          <w:iCs w:val="0"/>
          <w:caps w:val="0"/>
          <w:color w:val="auto"/>
          <w:spacing w:val="0"/>
          <w:sz w:val="21"/>
          <w:szCs w:val="21"/>
          <w:highlight w:val="none"/>
          <w:shd w:val="clear" w:color="auto" w:fill="auto"/>
        </w:rPr>
      </w:pPr>
      <w:r>
        <w:rPr>
          <w:rFonts w:hint="eastAsia" w:ascii="宋体" w:hAnsi="宋体" w:eastAsia="宋体" w:cs="宋体"/>
          <w:b/>
          <w:bCs/>
          <w:i w:val="0"/>
          <w:iCs w:val="0"/>
          <w:caps w:val="0"/>
          <w:color w:val="auto"/>
          <w:spacing w:val="0"/>
          <w:sz w:val="21"/>
          <w:szCs w:val="21"/>
          <w:highlight w:val="none"/>
          <w:shd w:val="clear" w:color="auto" w:fill="auto"/>
        </w:rPr>
        <w:t>一、项目基本情况</w:t>
      </w:r>
    </w:p>
    <w:p>
      <w:pPr>
        <w:pStyle w:val="20"/>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firstLine="420" w:firstLineChars="200"/>
        <w:textAlignment w:val="auto"/>
        <w:rPr>
          <w:rFonts w:hint="eastAsia" w:ascii="宋体" w:hAnsi="宋体" w:eastAsia="宋体" w:cs="宋体"/>
          <w:i w:val="0"/>
          <w:iCs w:val="0"/>
          <w:caps w:val="0"/>
          <w:color w:val="auto"/>
          <w:spacing w:val="0"/>
          <w:sz w:val="21"/>
          <w:szCs w:val="21"/>
          <w:highlight w:val="none"/>
          <w:shd w:val="clear" w:color="auto" w:fill="auto"/>
        </w:rPr>
      </w:pPr>
      <w:r>
        <w:rPr>
          <w:rFonts w:hint="eastAsia" w:ascii="宋体" w:hAnsi="宋体" w:eastAsia="宋体" w:cs="宋体"/>
          <w:i w:val="0"/>
          <w:iCs w:val="0"/>
          <w:caps w:val="0"/>
          <w:color w:val="auto"/>
          <w:spacing w:val="0"/>
          <w:sz w:val="21"/>
          <w:szCs w:val="21"/>
          <w:highlight w:val="none"/>
          <w:shd w:val="clear" w:color="auto" w:fill="auto"/>
        </w:rPr>
        <w:t>项目编号：E-234132XA011</w:t>
      </w:r>
    </w:p>
    <w:p>
      <w:pPr>
        <w:pStyle w:val="20"/>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firstLine="420" w:firstLineChars="200"/>
        <w:textAlignment w:val="auto"/>
        <w:rPr>
          <w:rFonts w:hint="eastAsia" w:ascii="宋体" w:hAnsi="宋体" w:eastAsia="宋体" w:cs="宋体"/>
          <w:i w:val="0"/>
          <w:iCs w:val="0"/>
          <w:caps w:val="0"/>
          <w:color w:val="auto"/>
          <w:spacing w:val="0"/>
          <w:sz w:val="21"/>
          <w:szCs w:val="21"/>
          <w:highlight w:val="none"/>
          <w:shd w:val="clear" w:color="auto" w:fill="auto"/>
        </w:rPr>
      </w:pPr>
      <w:r>
        <w:rPr>
          <w:rFonts w:hint="eastAsia" w:ascii="宋体" w:hAnsi="宋体" w:eastAsia="宋体" w:cs="宋体"/>
          <w:i w:val="0"/>
          <w:iCs w:val="0"/>
          <w:caps w:val="0"/>
          <w:color w:val="auto"/>
          <w:spacing w:val="0"/>
          <w:sz w:val="21"/>
          <w:szCs w:val="21"/>
          <w:highlight w:val="none"/>
          <w:shd w:val="clear" w:color="auto" w:fill="auto"/>
        </w:rPr>
        <w:t>项目名称：智慧医院建设提升、智慧医疗管理系统建设及环境扩容服务</w:t>
      </w:r>
    </w:p>
    <w:p>
      <w:pPr>
        <w:pStyle w:val="20"/>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firstLine="420" w:firstLineChars="200"/>
        <w:textAlignment w:val="auto"/>
        <w:rPr>
          <w:rFonts w:hint="eastAsia" w:ascii="宋体" w:hAnsi="宋体" w:eastAsia="宋体" w:cs="宋体"/>
          <w:i w:val="0"/>
          <w:iCs w:val="0"/>
          <w:caps w:val="0"/>
          <w:color w:val="auto"/>
          <w:spacing w:val="0"/>
          <w:sz w:val="21"/>
          <w:szCs w:val="21"/>
          <w:highlight w:val="none"/>
          <w:shd w:val="clear" w:color="auto" w:fill="auto"/>
        </w:rPr>
      </w:pPr>
      <w:r>
        <w:rPr>
          <w:rFonts w:hint="eastAsia" w:ascii="宋体" w:hAnsi="宋体" w:eastAsia="宋体" w:cs="宋体"/>
          <w:i w:val="0"/>
          <w:iCs w:val="0"/>
          <w:caps w:val="0"/>
          <w:color w:val="auto"/>
          <w:spacing w:val="0"/>
          <w:sz w:val="21"/>
          <w:szCs w:val="21"/>
          <w:highlight w:val="none"/>
          <w:shd w:val="clear" w:color="auto" w:fill="auto"/>
        </w:rPr>
        <w:t>采购方式：公开招标</w:t>
      </w:r>
    </w:p>
    <w:p>
      <w:pPr>
        <w:pStyle w:val="20"/>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firstLine="420" w:firstLineChars="200"/>
        <w:textAlignment w:val="auto"/>
        <w:rPr>
          <w:rFonts w:hint="eastAsia" w:ascii="宋体" w:hAnsi="宋体" w:eastAsia="宋体" w:cs="宋体"/>
          <w:i w:val="0"/>
          <w:iCs w:val="0"/>
          <w:caps w:val="0"/>
          <w:color w:val="auto"/>
          <w:spacing w:val="0"/>
          <w:sz w:val="21"/>
          <w:szCs w:val="21"/>
          <w:highlight w:val="none"/>
          <w:shd w:val="clear" w:color="auto" w:fill="auto"/>
        </w:rPr>
      </w:pPr>
      <w:r>
        <w:rPr>
          <w:rFonts w:hint="eastAsia" w:ascii="宋体" w:hAnsi="宋体" w:eastAsia="宋体" w:cs="宋体"/>
          <w:i w:val="0"/>
          <w:iCs w:val="0"/>
          <w:caps w:val="0"/>
          <w:color w:val="auto"/>
          <w:spacing w:val="0"/>
          <w:sz w:val="21"/>
          <w:szCs w:val="21"/>
          <w:highlight w:val="none"/>
          <w:shd w:val="clear" w:color="auto" w:fill="auto"/>
        </w:rPr>
        <w:t>预算金额：21,730,000.00元</w:t>
      </w:r>
    </w:p>
    <w:p>
      <w:pPr>
        <w:pStyle w:val="20"/>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firstLine="420" w:firstLineChars="200"/>
        <w:textAlignment w:val="auto"/>
        <w:rPr>
          <w:rFonts w:hint="eastAsia" w:ascii="宋体" w:hAnsi="宋体" w:eastAsia="宋体" w:cs="宋体"/>
          <w:i w:val="0"/>
          <w:iCs w:val="0"/>
          <w:caps w:val="0"/>
          <w:color w:val="auto"/>
          <w:spacing w:val="0"/>
          <w:sz w:val="21"/>
          <w:szCs w:val="21"/>
          <w:highlight w:val="none"/>
          <w:shd w:val="clear" w:color="auto" w:fill="auto"/>
        </w:rPr>
      </w:pPr>
      <w:r>
        <w:rPr>
          <w:rFonts w:hint="eastAsia" w:ascii="宋体" w:hAnsi="宋体" w:eastAsia="宋体" w:cs="宋体"/>
          <w:i w:val="0"/>
          <w:iCs w:val="0"/>
          <w:caps w:val="0"/>
          <w:color w:val="auto"/>
          <w:spacing w:val="0"/>
          <w:sz w:val="21"/>
          <w:szCs w:val="21"/>
          <w:highlight w:val="none"/>
          <w:shd w:val="clear" w:color="auto" w:fill="auto"/>
        </w:rPr>
        <w:t>采购需求：</w:t>
      </w:r>
    </w:p>
    <w:p>
      <w:pPr>
        <w:pStyle w:val="20"/>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firstLine="840" w:firstLineChars="400"/>
        <w:textAlignment w:val="auto"/>
        <w:rPr>
          <w:rFonts w:hint="eastAsia" w:ascii="宋体" w:hAnsi="宋体" w:eastAsia="宋体" w:cs="宋体"/>
          <w:i w:val="0"/>
          <w:iCs w:val="0"/>
          <w:caps w:val="0"/>
          <w:color w:val="auto"/>
          <w:spacing w:val="0"/>
          <w:sz w:val="21"/>
          <w:szCs w:val="21"/>
          <w:highlight w:val="none"/>
          <w:shd w:val="clear" w:color="auto" w:fill="auto"/>
        </w:rPr>
      </w:pPr>
      <w:r>
        <w:rPr>
          <w:rFonts w:hint="eastAsia" w:ascii="宋体" w:hAnsi="宋体" w:eastAsia="宋体" w:cs="宋体"/>
          <w:i w:val="0"/>
          <w:iCs w:val="0"/>
          <w:caps w:val="0"/>
          <w:color w:val="auto"/>
          <w:spacing w:val="0"/>
          <w:sz w:val="21"/>
          <w:szCs w:val="21"/>
          <w:highlight w:val="none"/>
          <w:shd w:val="clear" w:color="auto" w:fill="auto"/>
        </w:rPr>
        <w:t>合同包1(互联网医院功能深化等项目):</w:t>
      </w:r>
    </w:p>
    <w:p>
      <w:pPr>
        <w:pStyle w:val="20"/>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firstLine="1050" w:firstLineChars="500"/>
        <w:textAlignment w:val="auto"/>
        <w:rPr>
          <w:rFonts w:hint="eastAsia" w:ascii="宋体" w:hAnsi="宋体" w:eastAsia="宋体" w:cs="宋体"/>
          <w:i w:val="0"/>
          <w:iCs w:val="0"/>
          <w:caps w:val="0"/>
          <w:color w:val="auto"/>
          <w:spacing w:val="0"/>
          <w:sz w:val="21"/>
          <w:szCs w:val="21"/>
          <w:highlight w:val="none"/>
          <w:shd w:val="clear" w:color="auto" w:fill="auto"/>
        </w:rPr>
      </w:pPr>
      <w:r>
        <w:rPr>
          <w:rFonts w:hint="eastAsia" w:ascii="宋体" w:hAnsi="宋体" w:eastAsia="宋体" w:cs="宋体"/>
          <w:i w:val="0"/>
          <w:iCs w:val="0"/>
          <w:caps w:val="0"/>
          <w:color w:val="auto"/>
          <w:spacing w:val="0"/>
          <w:sz w:val="21"/>
          <w:szCs w:val="21"/>
          <w:highlight w:val="none"/>
          <w:shd w:val="clear" w:color="auto" w:fill="auto"/>
        </w:rPr>
        <w:t>合同包预算金额：9,200,000.00元</w:t>
      </w:r>
    </w:p>
    <w:p>
      <w:pPr>
        <w:pStyle w:val="20"/>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firstLine="1050" w:firstLineChars="500"/>
        <w:textAlignment w:val="auto"/>
        <w:rPr>
          <w:rFonts w:hint="eastAsia" w:ascii="宋体" w:hAnsi="宋体" w:eastAsia="宋体" w:cs="宋体"/>
          <w:i w:val="0"/>
          <w:iCs w:val="0"/>
          <w:caps w:val="0"/>
          <w:color w:val="auto"/>
          <w:spacing w:val="0"/>
          <w:sz w:val="21"/>
          <w:szCs w:val="21"/>
          <w:highlight w:val="none"/>
          <w:shd w:val="clear" w:color="auto" w:fill="auto"/>
        </w:rPr>
      </w:pPr>
      <w:r>
        <w:rPr>
          <w:rFonts w:hint="eastAsia" w:ascii="宋体" w:hAnsi="宋体" w:eastAsia="宋体" w:cs="宋体"/>
          <w:i w:val="0"/>
          <w:iCs w:val="0"/>
          <w:caps w:val="0"/>
          <w:color w:val="auto"/>
          <w:spacing w:val="0"/>
          <w:sz w:val="21"/>
          <w:szCs w:val="21"/>
          <w:highlight w:val="none"/>
          <w:shd w:val="clear" w:color="auto" w:fill="auto"/>
        </w:rPr>
        <w:t>合同包最高限价：8,500,000.00元</w:t>
      </w:r>
    </w:p>
    <w:tbl>
      <w:tblPr>
        <w:tblStyle w:val="24"/>
        <w:tblW w:w="0" w:type="auto"/>
        <w:tblInd w:w="47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7"/>
        <w:gridCol w:w="1125"/>
        <w:gridCol w:w="1155"/>
        <w:gridCol w:w="977"/>
        <w:gridCol w:w="1584"/>
        <w:gridCol w:w="1479"/>
        <w:gridCol w:w="14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7" w:hRule="atLeast"/>
        </w:trPr>
        <w:tc>
          <w:tcPr>
            <w:tcW w:w="787" w:type="dxa"/>
            <w:vAlign w:val="center"/>
          </w:tcPr>
          <w:p>
            <w:pPr>
              <w:pStyle w:val="20"/>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right="0"/>
              <w:jc w:val="center"/>
              <w:textAlignment w:val="auto"/>
              <w:rPr>
                <w:rFonts w:hint="default" w:ascii="宋体" w:hAnsi="宋体" w:eastAsia="宋体" w:cs="宋体"/>
                <w:b/>
                <w:bCs/>
                <w:i w:val="0"/>
                <w:iCs w:val="0"/>
                <w:caps w:val="0"/>
                <w:color w:val="auto"/>
                <w:spacing w:val="0"/>
                <w:sz w:val="21"/>
                <w:szCs w:val="21"/>
                <w:highlight w:val="none"/>
                <w:shd w:val="clear" w:color="auto" w:fill="auto"/>
                <w:vertAlign w:val="baseline"/>
                <w:lang w:val="en-US" w:eastAsia="zh-CN"/>
              </w:rPr>
            </w:pPr>
            <w:r>
              <w:rPr>
                <w:rFonts w:hint="eastAsia" w:cs="宋体"/>
                <w:b/>
                <w:bCs/>
                <w:i w:val="0"/>
                <w:iCs w:val="0"/>
                <w:caps w:val="0"/>
                <w:color w:val="auto"/>
                <w:spacing w:val="0"/>
                <w:sz w:val="21"/>
                <w:szCs w:val="21"/>
                <w:highlight w:val="none"/>
                <w:shd w:val="clear" w:color="auto" w:fill="auto"/>
                <w:vertAlign w:val="baseline"/>
                <w:lang w:val="en-US" w:eastAsia="zh-CN"/>
              </w:rPr>
              <w:t>品目号</w:t>
            </w:r>
          </w:p>
        </w:tc>
        <w:tc>
          <w:tcPr>
            <w:tcW w:w="1125" w:type="dxa"/>
            <w:vAlign w:val="center"/>
          </w:tcPr>
          <w:p>
            <w:pPr>
              <w:pStyle w:val="20"/>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right="0"/>
              <w:jc w:val="center"/>
              <w:textAlignment w:val="auto"/>
              <w:rPr>
                <w:rFonts w:hint="default" w:ascii="宋体" w:hAnsi="宋体" w:eastAsia="宋体" w:cs="宋体"/>
                <w:b/>
                <w:bCs/>
                <w:i w:val="0"/>
                <w:iCs w:val="0"/>
                <w:caps w:val="0"/>
                <w:color w:val="auto"/>
                <w:spacing w:val="0"/>
                <w:sz w:val="21"/>
                <w:szCs w:val="21"/>
                <w:highlight w:val="none"/>
                <w:shd w:val="clear" w:color="auto" w:fill="auto"/>
                <w:vertAlign w:val="baseline"/>
                <w:lang w:val="en-US" w:eastAsia="zh-CN"/>
              </w:rPr>
            </w:pPr>
            <w:r>
              <w:rPr>
                <w:rFonts w:hint="eastAsia" w:cs="宋体"/>
                <w:b/>
                <w:bCs/>
                <w:i w:val="0"/>
                <w:iCs w:val="0"/>
                <w:caps w:val="0"/>
                <w:color w:val="auto"/>
                <w:spacing w:val="0"/>
                <w:sz w:val="21"/>
                <w:szCs w:val="21"/>
                <w:highlight w:val="none"/>
                <w:shd w:val="clear" w:color="auto" w:fill="auto"/>
                <w:vertAlign w:val="baseline"/>
                <w:lang w:val="en-US" w:eastAsia="zh-CN"/>
              </w:rPr>
              <w:t>品目名称</w:t>
            </w:r>
          </w:p>
        </w:tc>
        <w:tc>
          <w:tcPr>
            <w:tcW w:w="1155" w:type="dxa"/>
            <w:vAlign w:val="center"/>
          </w:tcPr>
          <w:p>
            <w:pPr>
              <w:pStyle w:val="20"/>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right="0"/>
              <w:jc w:val="center"/>
              <w:textAlignment w:val="auto"/>
              <w:rPr>
                <w:rFonts w:hint="eastAsia" w:ascii="宋体" w:hAnsi="宋体" w:eastAsia="宋体" w:cs="宋体"/>
                <w:b/>
                <w:bCs/>
                <w:i w:val="0"/>
                <w:iCs w:val="0"/>
                <w:caps w:val="0"/>
                <w:color w:val="auto"/>
                <w:spacing w:val="0"/>
                <w:sz w:val="21"/>
                <w:szCs w:val="21"/>
                <w:highlight w:val="none"/>
                <w:shd w:val="clear" w:color="auto" w:fill="auto"/>
                <w:vertAlign w:val="baseline"/>
              </w:rPr>
            </w:pPr>
            <w:r>
              <w:rPr>
                <w:rFonts w:hint="eastAsia" w:ascii="宋体" w:hAnsi="宋体" w:eastAsia="宋体" w:cs="宋体"/>
                <w:b/>
                <w:bCs/>
                <w:i w:val="0"/>
                <w:iCs w:val="0"/>
                <w:caps w:val="0"/>
                <w:color w:val="auto"/>
                <w:spacing w:val="0"/>
                <w:sz w:val="21"/>
                <w:szCs w:val="21"/>
                <w:highlight w:val="none"/>
                <w:shd w:val="clear" w:color="auto" w:fill="auto"/>
                <w:vertAlign w:val="baseline"/>
              </w:rPr>
              <w:t>采购标的</w:t>
            </w:r>
          </w:p>
        </w:tc>
        <w:tc>
          <w:tcPr>
            <w:tcW w:w="977" w:type="dxa"/>
            <w:vAlign w:val="center"/>
          </w:tcPr>
          <w:p>
            <w:pPr>
              <w:pStyle w:val="20"/>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right="0"/>
              <w:jc w:val="center"/>
              <w:textAlignment w:val="auto"/>
              <w:rPr>
                <w:rFonts w:hint="eastAsia" w:ascii="宋体" w:hAnsi="宋体" w:eastAsia="宋体" w:cs="宋体"/>
                <w:b/>
                <w:bCs/>
                <w:i w:val="0"/>
                <w:iCs w:val="0"/>
                <w:caps w:val="0"/>
                <w:color w:val="auto"/>
                <w:spacing w:val="0"/>
                <w:sz w:val="21"/>
                <w:szCs w:val="21"/>
                <w:highlight w:val="none"/>
                <w:shd w:val="clear" w:color="auto" w:fill="auto"/>
                <w:vertAlign w:val="baseline"/>
              </w:rPr>
            </w:pPr>
            <w:r>
              <w:rPr>
                <w:rFonts w:hint="eastAsia" w:ascii="宋体" w:hAnsi="宋体" w:eastAsia="宋体" w:cs="宋体"/>
                <w:b/>
                <w:bCs/>
                <w:i w:val="0"/>
                <w:iCs w:val="0"/>
                <w:caps w:val="0"/>
                <w:color w:val="auto"/>
                <w:spacing w:val="0"/>
                <w:sz w:val="21"/>
                <w:szCs w:val="21"/>
                <w:highlight w:val="none"/>
                <w:shd w:val="clear" w:color="auto" w:fill="auto"/>
                <w:vertAlign w:val="baseline"/>
              </w:rPr>
              <w:t>数量（单位）</w:t>
            </w:r>
          </w:p>
        </w:tc>
        <w:tc>
          <w:tcPr>
            <w:tcW w:w="0" w:type="auto"/>
            <w:vAlign w:val="center"/>
          </w:tcPr>
          <w:p>
            <w:pPr>
              <w:pStyle w:val="20"/>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right="0"/>
              <w:jc w:val="center"/>
              <w:textAlignment w:val="auto"/>
              <w:rPr>
                <w:rFonts w:hint="eastAsia" w:ascii="宋体" w:hAnsi="宋体" w:eastAsia="宋体" w:cs="宋体"/>
                <w:b/>
                <w:bCs/>
                <w:i w:val="0"/>
                <w:iCs w:val="0"/>
                <w:caps w:val="0"/>
                <w:color w:val="auto"/>
                <w:spacing w:val="0"/>
                <w:sz w:val="21"/>
                <w:szCs w:val="21"/>
                <w:highlight w:val="none"/>
                <w:shd w:val="clear" w:color="auto" w:fill="auto"/>
                <w:vertAlign w:val="baseline"/>
              </w:rPr>
            </w:pPr>
            <w:r>
              <w:rPr>
                <w:rFonts w:hint="eastAsia" w:ascii="宋体" w:hAnsi="宋体" w:eastAsia="宋体" w:cs="宋体"/>
                <w:b/>
                <w:bCs/>
                <w:i w:val="0"/>
                <w:iCs w:val="0"/>
                <w:caps w:val="0"/>
                <w:color w:val="auto"/>
                <w:spacing w:val="0"/>
                <w:sz w:val="21"/>
                <w:szCs w:val="21"/>
                <w:highlight w:val="none"/>
                <w:shd w:val="clear" w:color="auto" w:fill="auto"/>
                <w:vertAlign w:val="baseline"/>
              </w:rPr>
              <w:t>技术规格、参数及要求</w:t>
            </w:r>
          </w:p>
        </w:tc>
        <w:tc>
          <w:tcPr>
            <w:tcW w:w="0" w:type="auto"/>
            <w:vAlign w:val="center"/>
          </w:tcPr>
          <w:p>
            <w:pPr>
              <w:pStyle w:val="20"/>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right="0"/>
              <w:jc w:val="center"/>
              <w:textAlignment w:val="auto"/>
              <w:rPr>
                <w:rFonts w:hint="eastAsia" w:ascii="宋体" w:hAnsi="宋体" w:eastAsia="宋体" w:cs="宋体"/>
                <w:b/>
                <w:bCs/>
                <w:i w:val="0"/>
                <w:iCs w:val="0"/>
                <w:caps w:val="0"/>
                <w:color w:val="auto"/>
                <w:spacing w:val="0"/>
                <w:sz w:val="21"/>
                <w:szCs w:val="21"/>
                <w:highlight w:val="none"/>
                <w:shd w:val="clear" w:color="auto" w:fill="auto"/>
                <w:vertAlign w:val="baseline"/>
              </w:rPr>
            </w:pPr>
            <w:r>
              <w:rPr>
                <w:rFonts w:hint="eastAsia" w:ascii="宋体" w:hAnsi="宋体" w:eastAsia="宋体" w:cs="宋体"/>
                <w:b/>
                <w:bCs/>
                <w:i w:val="0"/>
                <w:iCs w:val="0"/>
                <w:caps w:val="0"/>
                <w:color w:val="auto"/>
                <w:spacing w:val="0"/>
                <w:sz w:val="21"/>
                <w:szCs w:val="21"/>
                <w:highlight w:val="none"/>
                <w:shd w:val="clear" w:color="auto" w:fill="auto"/>
                <w:vertAlign w:val="baseline"/>
              </w:rPr>
              <w:t>品目预算(元)</w:t>
            </w:r>
          </w:p>
        </w:tc>
        <w:tc>
          <w:tcPr>
            <w:tcW w:w="0" w:type="auto"/>
            <w:vAlign w:val="center"/>
          </w:tcPr>
          <w:p>
            <w:pPr>
              <w:pStyle w:val="20"/>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right="0"/>
              <w:jc w:val="center"/>
              <w:textAlignment w:val="auto"/>
              <w:rPr>
                <w:rFonts w:hint="eastAsia" w:ascii="宋体" w:hAnsi="宋体" w:eastAsia="宋体" w:cs="宋体"/>
                <w:b/>
                <w:bCs/>
                <w:i w:val="0"/>
                <w:iCs w:val="0"/>
                <w:caps w:val="0"/>
                <w:color w:val="auto"/>
                <w:spacing w:val="0"/>
                <w:sz w:val="21"/>
                <w:szCs w:val="21"/>
                <w:highlight w:val="none"/>
                <w:shd w:val="clear" w:color="auto" w:fill="auto"/>
                <w:vertAlign w:val="baseline"/>
              </w:rPr>
            </w:pPr>
            <w:r>
              <w:rPr>
                <w:rFonts w:hint="eastAsia" w:ascii="宋体" w:hAnsi="宋体" w:eastAsia="宋体" w:cs="宋体"/>
                <w:b/>
                <w:bCs/>
                <w:i w:val="0"/>
                <w:iCs w:val="0"/>
                <w:caps w:val="0"/>
                <w:color w:val="auto"/>
                <w:spacing w:val="0"/>
                <w:sz w:val="21"/>
                <w:szCs w:val="21"/>
                <w:highlight w:val="none"/>
                <w:shd w:val="clear" w:color="auto" w:fill="auto"/>
                <w:vertAlign w:val="baseline"/>
              </w:rPr>
              <w:t>最高限价(元)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2" w:hRule="atLeast"/>
        </w:trPr>
        <w:tc>
          <w:tcPr>
            <w:tcW w:w="787" w:type="dxa"/>
            <w:vAlign w:val="center"/>
          </w:tcPr>
          <w:p>
            <w:pPr>
              <w:pStyle w:val="20"/>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right="0"/>
              <w:jc w:val="center"/>
              <w:textAlignment w:val="auto"/>
              <w:rPr>
                <w:rFonts w:hint="eastAsia" w:ascii="宋体" w:hAnsi="宋体" w:eastAsia="宋体" w:cs="宋体"/>
                <w:b w:val="0"/>
                <w:bCs w:val="0"/>
                <w:i w:val="0"/>
                <w:iCs w:val="0"/>
                <w:caps w:val="0"/>
                <w:color w:val="auto"/>
                <w:spacing w:val="0"/>
                <w:sz w:val="21"/>
                <w:szCs w:val="21"/>
                <w:highlight w:val="none"/>
                <w:shd w:val="clear" w:color="auto" w:fill="auto"/>
                <w:vertAlign w:val="baseline"/>
              </w:rPr>
            </w:pPr>
            <w:r>
              <w:rPr>
                <w:rFonts w:hint="eastAsia" w:ascii="宋体" w:hAnsi="宋体" w:eastAsia="宋体" w:cs="宋体"/>
                <w:b w:val="0"/>
                <w:bCs w:val="0"/>
                <w:i w:val="0"/>
                <w:iCs w:val="0"/>
                <w:caps w:val="0"/>
                <w:color w:val="auto"/>
                <w:spacing w:val="0"/>
                <w:sz w:val="21"/>
                <w:szCs w:val="21"/>
                <w:highlight w:val="none"/>
                <w:shd w:val="clear" w:color="auto" w:fill="auto"/>
                <w:vertAlign w:val="baseline"/>
              </w:rPr>
              <w:t>1-1</w:t>
            </w:r>
          </w:p>
        </w:tc>
        <w:tc>
          <w:tcPr>
            <w:tcW w:w="1125" w:type="dxa"/>
            <w:vAlign w:val="center"/>
          </w:tcPr>
          <w:p>
            <w:pPr>
              <w:pStyle w:val="20"/>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right="0"/>
              <w:jc w:val="center"/>
              <w:textAlignment w:val="auto"/>
              <w:rPr>
                <w:rFonts w:hint="eastAsia" w:ascii="宋体" w:hAnsi="宋体" w:eastAsia="宋体" w:cs="宋体"/>
                <w:b w:val="0"/>
                <w:bCs w:val="0"/>
                <w:i w:val="0"/>
                <w:iCs w:val="0"/>
                <w:caps w:val="0"/>
                <w:color w:val="auto"/>
                <w:spacing w:val="0"/>
                <w:sz w:val="21"/>
                <w:szCs w:val="21"/>
                <w:highlight w:val="none"/>
                <w:shd w:val="clear" w:color="auto" w:fill="auto"/>
                <w:vertAlign w:val="baseline"/>
              </w:rPr>
            </w:pPr>
            <w:r>
              <w:rPr>
                <w:rFonts w:hint="eastAsia" w:ascii="宋体" w:hAnsi="宋体" w:eastAsia="宋体" w:cs="宋体"/>
                <w:b w:val="0"/>
                <w:bCs w:val="0"/>
                <w:i w:val="0"/>
                <w:iCs w:val="0"/>
                <w:caps w:val="0"/>
                <w:color w:val="auto"/>
                <w:spacing w:val="0"/>
                <w:sz w:val="21"/>
                <w:szCs w:val="21"/>
                <w:highlight w:val="none"/>
                <w:shd w:val="clear" w:color="auto" w:fill="auto"/>
                <w:vertAlign w:val="baseline"/>
              </w:rPr>
              <w:t>行业应用软件开发服务</w:t>
            </w:r>
          </w:p>
        </w:tc>
        <w:tc>
          <w:tcPr>
            <w:tcW w:w="1155" w:type="dxa"/>
            <w:vAlign w:val="center"/>
          </w:tcPr>
          <w:p>
            <w:pPr>
              <w:pStyle w:val="20"/>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right="0"/>
              <w:jc w:val="center"/>
              <w:textAlignment w:val="auto"/>
              <w:rPr>
                <w:rFonts w:hint="eastAsia" w:ascii="宋体" w:hAnsi="宋体" w:eastAsia="宋体" w:cs="宋体"/>
                <w:b w:val="0"/>
                <w:bCs w:val="0"/>
                <w:i w:val="0"/>
                <w:iCs w:val="0"/>
                <w:caps w:val="0"/>
                <w:color w:val="auto"/>
                <w:spacing w:val="0"/>
                <w:sz w:val="21"/>
                <w:szCs w:val="21"/>
                <w:highlight w:val="none"/>
                <w:shd w:val="clear" w:color="auto" w:fill="auto"/>
                <w:vertAlign w:val="baseline"/>
              </w:rPr>
            </w:pPr>
            <w:r>
              <w:rPr>
                <w:rFonts w:hint="eastAsia" w:ascii="宋体" w:hAnsi="宋体" w:eastAsia="宋体" w:cs="宋体"/>
                <w:b w:val="0"/>
                <w:bCs w:val="0"/>
                <w:i w:val="0"/>
                <w:iCs w:val="0"/>
                <w:caps w:val="0"/>
                <w:color w:val="auto"/>
                <w:spacing w:val="0"/>
                <w:sz w:val="21"/>
                <w:szCs w:val="21"/>
                <w:highlight w:val="none"/>
                <w:shd w:val="clear" w:color="auto" w:fill="auto"/>
                <w:vertAlign w:val="baseline"/>
              </w:rPr>
              <w:t>9200000</w:t>
            </w:r>
          </w:p>
        </w:tc>
        <w:tc>
          <w:tcPr>
            <w:tcW w:w="977" w:type="dxa"/>
            <w:vAlign w:val="center"/>
          </w:tcPr>
          <w:p>
            <w:pPr>
              <w:pStyle w:val="20"/>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right="0"/>
              <w:jc w:val="center"/>
              <w:textAlignment w:val="auto"/>
              <w:rPr>
                <w:rFonts w:hint="eastAsia" w:ascii="宋体" w:hAnsi="宋体" w:eastAsia="宋体" w:cs="宋体"/>
                <w:b w:val="0"/>
                <w:bCs w:val="0"/>
                <w:i w:val="0"/>
                <w:iCs w:val="0"/>
                <w:caps w:val="0"/>
                <w:color w:val="auto"/>
                <w:spacing w:val="0"/>
                <w:sz w:val="21"/>
                <w:szCs w:val="21"/>
                <w:highlight w:val="none"/>
                <w:shd w:val="clear" w:color="auto" w:fill="auto"/>
                <w:vertAlign w:val="baseline"/>
              </w:rPr>
            </w:pPr>
            <w:r>
              <w:rPr>
                <w:rFonts w:hint="eastAsia" w:ascii="宋体" w:hAnsi="宋体" w:eastAsia="宋体" w:cs="宋体"/>
                <w:b w:val="0"/>
                <w:bCs w:val="0"/>
                <w:i w:val="0"/>
                <w:iCs w:val="0"/>
                <w:caps w:val="0"/>
                <w:color w:val="auto"/>
                <w:spacing w:val="0"/>
                <w:sz w:val="21"/>
                <w:szCs w:val="21"/>
                <w:highlight w:val="none"/>
                <w:shd w:val="clear" w:color="auto" w:fill="auto"/>
                <w:vertAlign w:val="baseline"/>
              </w:rPr>
              <w:t>1(项)</w:t>
            </w:r>
          </w:p>
        </w:tc>
        <w:tc>
          <w:tcPr>
            <w:tcW w:w="0" w:type="auto"/>
            <w:vAlign w:val="center"/>
          </w:tcPr>
          <w:p>
            <w:pPr>
              <w:pStyle w:val="20"/>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right="0"/>
              <w:jc w:val="center"/>
              <w:textAlignment w:val="auto"/>
              <w:rPr>
                <w:rFonts w:hint="eastAsia" w:ascii="宋体" w:hAnsi="宋体" w:eastAsia="宋体" w:cs="宋体"/>
                <w:b w:val="0"/>
                <w:bCs w:val="0"/>
                <w:i w:val="0"/>
                <w:iCs w:val="0"/>
                <w:caps w:val="0"/>
                <w:color w:val="auto"/>
                <w:spacing w:val="0"/>
                <w:sz w:val="21"/>
                <w:szCs w:val="21"/>
                <w:highlight w:val="none"/>
                <w:shd w:val="clear" w:color="auto" w:fill="auto"/>
                <w:vertAlign w:val="baseline"/>
              </w:rPr>
            </w:pPr>
            <w:r>
              <w:rPr>
                <w:rFonts w:hint="eastAsia" w:ascii="宋体" w:hAnsi="宋体" w:eastAsia="宋体" w:cs="宋体"/>
                <w:b w:val="0"/>
                <w:bCs w:val="0"/>
                <w:i w:val="0"/>
                <w:iCs w:val="0"/>
                <w:caps w:val="0"/>
                <w:color w:val="auto"/>
                <w:spacing w:val="0"/>
                <w:sz w:val="21"/>
                <w:szCs w:val="21"/>
                <w:highlight w:val="none"/>
                <w:shd w:val="clear" w:color="auto" w:fill="auto"/>
                <w:vertAlign w:val="baseline"/>
              </w:rPr>
              <w:t>详见采购文件</w:t>
            </w:r>
          </w:p>
        </w:tc>
        <w:tc>
          <w:tcPr>
            <w:tcW w:w="0" w:type="auto"/>
            <w:vAlign w:val="center"/>
          </w:tcPr>
          <w:p>
            <w:pPr>
              <w:pStyle w:val="20"/>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right="0"/>
              <w:jc w:val="center"/>
              <w:textAlignment w:val="auto"/>
              <w:rPr>
                <w:rFonts w:hint="eastAsia" w:ascii="宋体" w:hAnsi="宋体" w:eastAsia="宋体" w:cs="宋体"/>
                <w:b w:val="0"/>
                <w:bCs w:val="0"/>
                <w:i w:val="0"/>
                <w:iCs w:val="0"/>
                <w:caps w:val="0"/>
                <w:color w:val="auto"/>
                <w:spacing w:val="0"/>
                <w:sz w:val="21"/>
                <w:szCs w:val="21"/>
                <w:highlight w:val="none"/>
                <w:shd w:val="clear" w:color="auto" w:fill="auto"/>
                <w:vertAlign w:val="baseline"/>
              </w:rPr>
            </w:pPr>
            <w:r>
              <w:rPr>
                <w:rFonts w:hint="eastAsia" w:ascii="宋体" w:hAnsi="宋体" w:eastAsia="宋体" w:cs="宋体"/>
                <w:b w:val="0"/>
                <w:bCs w:val="0"/>
                <w:i w:val="0"/>
                <w:iCs w:val="0"/>
                <w:caps w:val="0"/>
                <w:color w:val="auto"/>
                <w:spacing w:val="0"/>
                <w:sz w:val="21"/>
                <w:szCs w:val="21"/>
                <w:highlight w:val="none"/>
                <w:shd w:val="clear" w:color="auto" w:fill="auto"/>
                <w:vertAlign w:val="baseline"/>
              </w:rPr>
              <w:t>9,200,000.00</w:t>
            </w:r>
          </w:p>
        </w:tc>
        <w:tc>
          <w:tcPr>
            <w:tcW w:w="0" w:type="auto"/>
            <w:vAlign w:val="center"/>
          </w:tcPr>
          <w:p>
            <w:pPr>
              <w:pStyle w:val="20"/>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right="0"/>
              <w:jc w:val="center"/>
              <w:textAlignment w:val="auto"/>
              <w:rPr>
                <w:rFonts w:hint="eastAsia" w:ascii="宋体" w:hAnsi="宋体" w:eastAsia="宋体" w:cs="宋体"/>
                <w:b w:val="0"/>
                <w:bCs w:val="0"/>
                <w:i w:val="0"/>
                <w:iCs w:val="0"/>
                <w:caps w:val="0"/>
                <w:color w:val="auto"/>
                <w:spacing w:val="0"/>
                <w:sz w:val="21"/>
                <w:szCs w:val="21"/>
                <w:highlight w:val="none"/>
                <w:shd w:val="clear" w:color="auto" w:fill="auto"/>
                <w:vertAlign w:val="baseline"/>
              </w:rPr>
            </w:pPr>
            <w:r>
              <w:rPr>
                <w:rFonts w:hint="eastAsia" w:ascii="宋体" w:hAnsi="宋体" w:eastAsia="宋体" w:cs="宋体"/>
                <w:b w:val="0"/>
                <w:bCs w:val="0"/>
                <w:i w:val="0"/>
                <w:iCs w:val="0"/>
                <w:caps w:val="0"/>
                <w:color w:val="auto"/>
                <w:spacing w:val="0"/>
                <w:sz w:val="21"/>
                <w:szCs w:val="21"/>
                <w:highlight w:val="none"/>
                <w:shd w:val="clear" w:color="auto" w:fill="auto"/>
                <w:vertAlign w:val="baseline"/>
              </w:rPr>
              <w:t>8,500,000.00</w:t>
            </w:r>
          </w:p>
        </w:tc>
      </w:tr>
    </w:tbl>
    <w:p>
      <w:pPr>
        <w:pStyle w:val="20"/>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157" w:beforeLines="50" w:beforeAutospacing="0" w:after="0" w:afterAutospacing="0" w:line="360" w:lineRule="auto"/>
        <w:ind w:left="0" w:leftChars="0" w:right="0" w:firstLine="1050" w:firstLineChars="500"/>
        <w:textAlignment w:val="auto"/>
        <w:rPr>
          <w:rFonts w:hint="eastAsia" w:ascii="宋体" w:hAnsi="宋体" w:eastAsia="宋体" w:cs="宋体"/>
          <w:i w:val="0"/>
          <w:iCs w:val="0"/>
          <w:caps w:val="0"/>
          <w:color w:val="auto"/>
          <w:spacing w:val="0"/>
          <w:sz w:val="21"/>
          <w:szCs w:val="21"/>
          <w:highlight w:val="none"/>
          <w:shd w:val="clear" w:color="auto" w:fill="auto"/>
        </w:rPr>
      </w:pPr>
      <w:r>
        <w:rPr>
          <w:rFonts w:hint="eastAsia" w:ascii="宋体" w:hAnsi="宋体" w:eastAsia="宋体" w:cs="宋体"/>
          <w:i w:val="0"/>
          <w:iCs w:val="0"/>
          <w:caps w:val="0"/>
          <w:color w:val="auto"/>
          <w:spacing w:val="0"/>
          <w:sz w:val="21"/>
          <w:szCs w:val="21"/>
          <w:highlight w:val="none"/>
          <w:shd w:val="clear" w:color="auto" w:fill="auto"/>
        </w:rPr>
        <w:t>本合同包不接受联合体投标</w:t>
      </w:r>
    </w:p>
    <w:p>
      <w:pPr>
        <w:pStyle w:val="20"/>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firstLine="1050" w:firstLineChars="500"/>
        <w:textAlignment w:val="auto"/>
        <w:rPr>
          <w:rFonts w:hint="eastAsia" w:ascii="宋体" w:hAnsi="宋体" w:eastAsia="宋体" w:cs="宋体"/>
          <w:i w:val="0"/>
          <w:iCs w:val="0"/>
          <w:caps w:val="0"/>
          <w:color w:val="auto"/>
          <w:spacing w:val="0"/>
          <w:sz w:val="21"/>
          <w:szCs w:val="21"/>
          <w:highlight w:val="none"/>
          <w:shd w:val="clear" w:color="auto" w:fill="auto"/>
        </w:rPr>
      </w:pPr>
      <w:r>
        <w:rPr>
          <w:rFonts w:hint="eastAsia" w:ascii="宋体" w:hAnsi="宋体" w:eastAsia="宋体" w:cs="宋体"/>
          <w:i w:val="0"/>
          <w:iCs w:val="0"/>
          <w:caps w:val="0"/>
          <w:color w:val="auto"/>
          <w:spacing w:val="0"/>
          <w:sz w:val="21"/>
          <w:szCs w:val="21"/>
          <w:highlight w:val="none"/>
          <w:shd w:val="clear" w:color="auto" w:fill="auto"/>
        </w:rPr>
        <w:t>合同履行期限：6个月</w:t>
      </w:r>
    </w:p>
    <w:p>
      <w:pPr>
        <w:pStyle w:val="20"/>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firstLine="840" w:firstLineChars="400"/>
        <w:textAlignment w:val="auto"/>
        <w:rPr>
          <w:rFonts w:hint="eastAsia" w:ascii="宋体" w:hAnsi="宋体" w:eastAsia="宋体" w:cs="宋体"/>
          <w:i w:val="0"/>
          <w:iCs w:val="0"/>
          <w:caps w:val="0"/>
          <w:color w:val="auto"/>
          <w:spacing w:val="0"/>
          <w:sz w:val="21"/>
          <w:szCs w:val="21"/>
          <w:highlight w:val="none"/>
          <w:shd w:val="clear" w:color="auto" w:fill="auto"/>
        </w:rPr>
      </w:pPr>
      <w:r>
        <w:rPr>
          <w:rFonts w:hint="eastAsia" w:ascii="宋体" w:hAnsi="宋体" w:eastAsia="宋体" w:cs="宋体"/>
          <w:i w:val="0"/>
          <w:iCs w:val="0"/>
          <w:caps w:val="0"/>
          <w:color w:val="auto"/>
          <w:spacing w:val="0"/>
          <w:sz w:val="21"/>
          <w:szCs w:val="21"/>
          <w:highlight w:val="none"/>
          <w:shd w:val="clear" w:color="auto" w:fill="auto"/>
        </w:rPr>
        <w:t>合同包2(康复中心信息管理系统):</w:t>
      </w:r>
    </w:p>
    <w:p>
      <w:pPr>
        <w:pStyle w:val="20"/>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firstLine="1050" w:firstLineChars="500"/>
        <w:textAlignment w:val="auto"/>
        <w:rPr>
          <w:rFonts w:hint="eastAsia" w:ascii="宋体" w:hAnsi="宋体" w:eastAsia="宋体" w:cs="宋体"/>
          <w:i w:val="0"/>
          <w:iCs w:val="0"/>
          <w:caps w:val="0"/>
          <w:color w:val="auto"/>
          <w:spacing w:val="0"/>
          <w:sz w:val="21"/>
          <w:szCs w:val="21"/>
          <w:highlight w:val="none"/>
          <w:shd w:val="clear" w:color="auto" w:fill="auto"/>
        </w:rPr>
      </w:pPr>
      <w:r>
        <w:rPr>
          <w:rFonts w:hint="eastAsia" w:ascii="宋体" w:hAnsi="宋体" w:eastAsia="宋体" w:cs="宋体"/>
          <w:i w:val="0"/>
          <w:iCs w:val="0"/>
          <w:caps w:val="0"/>
          <w:color w:val="auto"/>
          <w:spacing w:val="0"/>
          <w:sz w:val="21"/>
          <w:szCs w:val="21"/>
          <w:highlight w:val="none"/>
          <w:shd w:val="clear" w:color="auto" w:fill="auto"/>
        </w:rPr>
        <w:t>合同包预算金额：1,100,000.00元</w:t>
      </w:r>
    </w:p>
    <w:p>
      <w:pPr>
        <w:pStyle w:val="20"/>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firstLine="1050" w:firstLineChars="500"/>
        <w:textAlignment w:val="auto"/>
        <w:rPr>
          <w:rFonts w:hint="eastAsia" w:ascii="宋体" w:hAnsi="宋体" w:eastAsia="宋体" w:cs="宋体"/>
          <w:i w:val="0"/>
          <w:iCs w:val="0"/>
          <w:caps w:val="0"/>
          <w:color w:val="auto"/>
          <w:spacing w:val="0"/>
          <w:sz w:val="21"/>
          <w:szCs w:val="21"/>
          <w:highlight w:val="none"/>
          <w:shd w:val="clear" w:color="auto" w:fill="auto"/>
        </w:rPr>
      </w:pPr>
      <w:r>
        <w:rPr>
          <w:rFonts w:hint="eastAsia" w:ascii="宋体" w:hAnsi="宋体" w:eastAsia="宋体" w:cs="宋体"/>
          <w:i w:val="0"/>
          <w:iCs w:val="0"/>
          <w:caps w:val="0"/>
          <w:color w:val="auto"/>
          <w:spacing w:val="0"/>
          <w:sz w:val="21"/>
          <w:szCs w:val="21"/>
          <w:highlight w:val="none"/>
          <w:shd w:val="clear" w:color="auto" w:fill="auto"/>
        </w:rPr>
        <w:t>合同包最高限价：1,100,000.00元</w:t>
      </w:r>
    </w:p>
    <w:tbl>
      <w:tblPr>
        <w:tblStyle w:val="24"/>
        <w:tblW w:w="0" w:type="auto"/>
        <w:tblInd w:w="47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7"/>
        <w:gridCol w:w="1125"/>
        <w:gridCol w:w="1155"/>
        <w:gridCol w:w="977"/>
        <w:gridCol w:w="1584"/>
        <w:gridCol w:w="1479"/>
        <w:gridCol w:w="14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7" w:hRule="atLeast"/>
        </w:trPr>
        <w:tc>
          <w:tcPr>
            <w:tcW w:w="787" w:type="dxa"/>
            <w:vAlign w:val="center"/>
          </w:tcPr>
          <w:p>
            <w:pPr>
              <w:pStyle w:val="20"/>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right="0"/>
              <w:jc w:val="center"/>
              <w:textAlignment w:val="auto"/>
              <w:rPr>
                <w:rFonts w:hint="default" w:ascii="宋体" w:hAnsi="宋体" w:eastAsia="宋体" w:cs="宋体"/>
                <w:b/>
                <w:bCs/>
                <w:i w:val="0"/>
                <w:iCs w:val="0"/>
                <w:caps w:val="0"/>
                <w:color w:val="auto"/>
                <w:spacing w:val="0"/>
                <w:sz w:val="21"/>
                <w:szCs w:val="21"/>
                <w:highlight w:val="none"/>
                <w:shd w:val="clear" w:color="auto" w:fill="auto"/>
                <w:vertAlign w:val="baseline"/>
                <w:lang w:val="en-US" w:eastAsia="zh-CN"/>
              </w:rPr>
            </w:pPr>
            <w:r>
              <w:rPr>
                <w:rFonts w:hint="eastAsia" w:cs="宋体"/>
                <w:b/>
                <w:bCs/>
                <w:i w:val="0"/>
                <w:iCs w:val="0"/>
                <w:caps w:val="0"/>
                <w:color w:val="auto"/>
                <w:spacing w:val="0"/>
                <w:sz w:val="21"/>
                <w:szCs w:val="21"/>
                <w:highlight w:val="none"/>
                <w:shd w:val="clear" w:color="auto" w:fill="auto"/>
                <w:vertAlign w:val="baseline"/>
                <w:lang w:val="en-US" w:eastAsia="zh-CN"/>
              </w:rPr>
              <w:t>品目号</w:t>
            </w:r>
          </w:p>
        </w:tc>
        <w:tc>
          <w:tcPr>
            <w:tcW w:w="1125" w:type="dxa"/>
            <w:vAlign w:val="center"/>
          </w:tcPr>
          <w:p>
            <w:pPr>
              <w:pStyle w:val="20"/>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right="0"/>
              <w:jc w:val="center"/>
              <w:textAlignment w:val="auto"/>
              <w:rPr>
                <w:rFonts w:hint="default" w:ascii="宋体" w:hAnsi="宋体" w:eastAsia="宋体" w:cs="宋体"/>
                <w:b/>
                <w:bCs/>
                <w:i w:val="0"/>
                <w:iCs w:val="0"/>
                <w:caps w:val="0"/>
                <w:color w:val="auto"/>
                <w:spacing w:val="0"/>
                <w:sz w:val="21"/>
                <w:szCs w:val="21"/>
                <w:highlight w:val="none"/>
                <w:shd w:val="clear" w:color="auto" w:fill="auto"/>
                <w:vertAlign w:val="baseline"/>
                <w:lang w:val="en-US" w:eastAsia="zh-CN"/>
              </w:rPr>
            </w:pPr>
            <w:r>
              <w:rPr>
                <w:rFonts w:hint="eastAsia" w:cs="宋体"/>
                <w:b/>
                <w:bCs/>
                <w:i w:val="0"/>
                <w:iCs w:val="0"/>
                <w:caps w:val="0"/>
                <w:color w:val="auto"/>
                <w:spacing w:val="0"/>
                <w:sz w:val="21"/>
                <w:szCs w:val="21"/>
                <w:highlight w:val="none"/>
                <w:shd w:val="clear" w:color="auto" w:fill="auto"/>
                <w:vertAlign w:val="baseline"/>
                <w:lang w:val="en-US" w:eastAsia="zh-CN"/>
              </w:rPr>
              <w:t>品目名称</w:t>
            </w:r>
          </w:p>
        </w:tc>
        <w:tc>
          <w:tcPr>
            <w:tcW w:w="1155" w:type="dxa"/>
            <w:vAlign w:val="center"/>
          </w:tcPr>
          <w:p>
            <w:pPr>
              <w:pStyle w:val="20"/>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right="0"/>
              <w:jc w:val="center"/>
              <w:textAlignment w:val="auto"/>
              <w:rPr>
                <w:rFonts w:hint="eastAsia" w:ascii="宋体" w:hAnsi="宋体" w:eastAsia="宋体" w:cs="宋体"/>
                <w:b/>
                <w:bCs/>
                <w:i w:val="0"/>
                <w:iCs w:val="0"/>
                <w:caps w:val="0"/>
                <w:color w:val="auto"/>
                <w:spacing w:val="0"/>
                <w:sz w:val="21"/>
                <w:szCs w:val="21"/>
                <w:highlight w:val="none"/>
                <w:shd w:val="clear" w:color="auto" w:fill="auto"/>
                <w:vertAlign w:val="baseline"/>
              </w:rPr>
            </w:pPr>
            <w:r>
              <w:rPr>
                <w:rFonts w:hint="eastAsia" w:ascii="宋体" w:hAnsi="宋体" w:eastAsia="宋体" w:cs="宋体"/>
                <w:b/>
                <w:bCs/>
                <w:i w:val="0"/>
                <w:iCs w:val="0"/>
                <w:caps w:val="0"/>
                <w:color w:val="auto"/>
                <w:spacing w:val="0"/>
                <w:sz w:val="21"/>
                <w:szCs w:val="21"/>
                <w:highlight w:val="none"/>
                <w:shd w:val="clear" w:color="auto" w:fill="auto"/>
                <w:vertAlign w:val="baseline"/>
              </w:rPr>
              <w:t>采购标的</w:t>
            </w:r>
          </w:p>
        </w:tc>
        <w:tc>
          <w:tcPr>
            <w:tcW w:w="977" w:type="dxa"/>
            <w:vAlign w:val="center"/>
          </w:tcPr>
          <w:p>
            <w:pPr>
              <w:pStyle w:val="20"/>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right="0"/>
              <w:jc w:val="center"/>
              <w:textAlignment w:val="auto"/>
              <w:rPr>
                <w:rFonts w:hint="eastAsia" w:ascii="宋体" w:hAnsi="宋体" w:eastAsia="宋体" w:cs="宋体"/>
                <w:b/>
                <w:bCs/>
                <w:i w:val="0"/>
                <w:iCs w:val="0"/>
                <w:caps w:val="0"/>
                <w:color w:val="auto"/>
                <w:spacing w:val="0"/>
                <w:sz w:val="21"/>
                <w:szCs w:val="21"/>
                <w:highlight w:val="none"/>
                <w:shd w:val="clear" w:color="auto" w:fill="auto"/>
                <w:vertAlign w:val="baseline"/>
              </w:rPr>
            </w:pPr>
            <w:r>
              <w:rPr>
                <w:rFonts w:hint="eastAsia" w:ascii="宋体" w:hAnsi="宋体" w:eastAsia="宋体" w:cs="宋体"/>
                <w:b/>
                <w:bCs/>
                <w:i w:val="0"/>
                <w:iCs w:val="0"/>
                <w:caps w:val="0"/>
                <w:color w:val="auto"/>
                <w:spacing w:val="0"/>
                <w:sz w:val="21"/>
                <w:szCs w:val="21"/>
                <w:highlight w:val="none"/>
                <w:shd w:val="clear" w:color="auto" w:fill="auto"/>
                <w:vertAlign w:val="baseline"/>
              </w:rPr>
              <w:t>数量（单位）</w:t>
            </w:r>
          </w:p>
        </w:tc>
        <w:tc>
          <w:tcPr>
            <w:tcW w:w="0" w:type="auto"/>
            <w:vAlign w:val="center"/>
          </w:tcPr>
          <w:p>
            <w:pPr>
              <w:pStyle w:val="20"/>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right="0"/>
              <w:jc w:val="center"/>
              <w:textAlignment w:val="auto"/>
              <w:rPr>
                <w:rFonts w:hint="eastAsia" w:ascii="宋体" w:hAnsi="宋体" w:eastAsia="宋体" w:cs="宋体"/>
                <w:b/>
                <w:bCs/>
                <w:i w:val="0"/>
                <w:iCs w:val="0"/>
                <w:caps w:val="0"/>
                <w:color w:val="auto"/>
                <w:spacing w:val="0"/>
                <w:sz w:val="21"/>
                <w:szCs w:val="21"/>
                <w:highlight w:val="none"/>
                <w:shd w:val="clear" w:color="auto" w:fill="auto"/>
                <w:vertAlign w:val="baseline"/>
              </w:rPr>
            </w:pPr>
            <w:r>
              <w:rPr>
                <w:rFonts w:hint="eastAsia" w:ascii="宋体" w:hAnsi="宋体" w:eastAsia="宋体" w:cs="宋体"/>
                <w:b/>
                <w:bCs/>
                <w:i w:val="0"/>
                <w:iCs w:val="0"/>
                <w:caps w:val="0"/>
                <w:color w:val="auto"/>
                <w:spacing w:val="0"/>
                <w:sz w:val="21"/>
                <w:szCs w:val="21"/>
                <w:highlight w:val="none"/>
                <w:shd w:val="clear" w:color="auto" w:fill="auto"/>
                <w:vertAlign w:val="baseline"/>
              </w:rPr>
              <w:t>技术规格、参数及要求</w:t>
            </w:r>
          </w:p>
        </w:tc>
        <w:tc>
          <w:tcPr>
            <w:tcW w:w="0" w:type="auto"/>
            <w:vAlign w:val="center"/>
          </w:tcPr>
          <w:p>
            <w:pPr>
              <w:pStyle w:val="20"/>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right="0"/>
              <w:jc w:val="center"/>
              <w:textAlignment w:val="auto"/>
              <w:rPr>
                <w:rFonts w:hint="eastAsia" w:ascii="宋体" w:hAnsi="宋体" w:eastAsia="宋体" w:cs="宋体"/>
                <w:b/>
                <w:bCs/>
                <w:i w:val="0"/>
                <w:iCs w:val="0"/>
                <w:caps w:val="0"/>
                <w:color w:val="auto"/>
                <w:spacing w:val="0"/>
                <w:sz w:val="21"/>
                <w:szCs w:val="21"/>
                <w:highlight w:val="none"/>
                <w:shd w:val="clear" w:color="auto" w:fill="auto"/>
                <w:vertAlign w:val="baseline"/>
              </w:rPr>
            </w:pPr>
            <w:r>
              <w:rPr>
                <w:rFonts w:hint="eastAsia" w:ascii="宋体" w:hAnsi="宋体" w:eastAsia="宋体" w:cs="宋体"/>
                <w:b/>
                <w:bCs/>
                <w:i w:val="0"/>
                <w:iCs w:val="0"/>
                <w:caps w:val="0"/>
                <w:color w:val="auto"/>
                <w:spacing w:val="0"/>
                <w:sz w:val="21"/>
                <w:szCs w:val="21"/>
                <w:highlight w:val="none"/>
                <w:shd w:val="clear" w:color="auto" w:fill="auto"/>
                <w:vertAlign w:val="baseline"/>
              </w:rPr>
              <w:t>品目预算(元)</w:t>
            </w:r>
          </w:p>
        </w:tc>
        <w:tc>
          <w:tcPr>
            <w:tcW w:w="0" w:type="auto"/>
            <w:vAlign w:val="center"/>
          </w:tcPr>
          <w:p>
            <w:pPr>
              <w:pStyle w:val="20"/>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right="0"/>
              <w:jc w:val="center"/>
              <w:textAlignment w:val="auto"/>
              <w:rPr>
                <w:rFonts w:hint="eastAsia" w:ascii="宋体" w:hAnsi="宋体" w:eastAsia="宋体" w:cs="宋体"/>
                <w:b/>
                <w:bCs/>
                <w:i w:val="0"/>
                <w:iCs w:val="0"/>
                <w:caps w:val="0"/>
                <w:color w:val="auto"/>
                <w:spacing w:val="0"/>
                <w:sz w:val="21"/>
                <w:szCs w:val="21"/>
                <w:highlight w:val="none"/>
                <w:shd w:val="clear" w:color="auto" w:fill="auto"/>
                <w:vertAlign w:val="baseline"/>
              </w:rPr>
            </w:pPr>
            <w:r>
              <w:rPr>
                <w:rFonts w:hint="eastAsia" w:ascii="宋体" w:hAnsi="宋体" w:eastAsia="宋体" w:cs="宋体"/>
                <w:b/>
                <w:bCs/>
                <w:i w:val="0"/>
                <w:iCs w:val="0"/>
                <w:caps w:val="0"/>
                <w:color w:val="auto"/>
                <w:spacing w:val="0"/>
                <w:sz w:val="21"/>
                <w:szCs w:val="21"/>
                <w:highlight w:val="none"/>
                <w:shd w:val="clear" w:color="auto" w:fill="auto"/>
                <w:vertAlign w:val="baseline"/>
              </w:rPr>
              <w:t>最高限价(元)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2" w:hRule="atLeast"/>
        </w:trPr>
        <w:tc>
          <w:tcPr>
            <w:tcW w:w="787" w:type="dxa"/>
            <w:vAlign w:val="center"/>
          </w:tcPr>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right="0"/>
              <w:jc w:val="center"/>
              <w:textAlignment w:val="auto"/>
              <w:rPr>
                <w:rFonts w:hint="eastAsia" w:ascii="宋体" w:hAnsi="宋体" w:eastAsia="宋体" w:cs="宋体"/>
                <w:b w:val="0"/>
                <w:bCs w:val="0"/>
                <w:i w:val="0"/>
                <w:iCs w:val="0"/>
                <w:caps w:val="0"/>
                <w:color w:val="auto"/>
                <w:spacing w:val="0"/>
                <w:sz w:val="21"/>
                <w:szCs w:val="21"/>
                <w:highlight w:val="none"/>
                <w:shd w:val="clear" w:color="auto" w:fill="auto"/>
                <w:vertAlign w:val="baseline"/>
              </w:rPr>
            </w:pPr>
            <w:r>
              <w:rPr>
                <w:rFonts w:hint="eastAsia" w:ascii="宋体" w:hAnsi="宋体" w:eastAsia="宋体" w:cs="宋体"/>
                <w:color w:val="auto"/>
                <w:highlight w:val="none"/>
              </w:rPr>
              <w:t>2-1</w:t>
            </w:r>
          </w:p>
        </w:tc>
        <w:tc>
          <w:tcPr>
            <w:tcW w:w="1125" w:type="dxa"/>
            <w:vAlign w:val="center"/>
          </w:tcPr>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right="0"/>
              <w:jc w:val="center"/>
              <w:textAlignment w:val="auto"/>
              <w:rPr>
                <w:rFonts w:hint="eastAsia" w:ascii="宋体" w:hAnsi="宋体" w:eastAsia="宋体" w:cs="宋体"/>
                <w:b w:val="0"/>
                <w:bCs w:val="0"/>
                <w:i w:val="0"/>
                <w:iCs w:val="0"/>
                <w:caps w:val="0"/>
                <w:color w:val="auto"/>
                <w:spacing w:val="0"/>
                <w:sz w:val="21"/>
                <w:szCs w:val="21"/>
                <w:highlight w:val="none"/>
                <w:shd w:val="clear" w:color="auto" w:fill="auto"/>
                <w:vertAlign w:val="baseline"/>
              </w:rPr>
            </w:pPr>
            <w:r>
              <w:rPr>
                <w:rFonts w:hint="eastAsia" w:ascii="宋体" w:hAnsi="宋体" w:eastAsia="宋体" w:cs="宋体"/>
                <w:color w:val="auto"/>
                <w:highlight w:val="none"/>
              </w:rPr>
              <w:t>行业应用软件开发服务</w:t>
            </w:r>
          </w:p>
        </w:tc>
        <w:tc>
          <w:tcPr>
            <w:tcW w:w="1155" w:type="dxa"/>
            <w:vAlign w:val="center"/>
          </w:tcPr>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right="0"/>
              <w:jc w:val="center"/>
              <w:textAlignment w:val="auto"/>
              <w:rPr>
                <w:rFonts w:hint="eastAsia" w:ascii="宋体" w:hAnsi="宋体" w:eastAsia="宋体" w:cs="宋体"/>
                <w:b w:val="0"/>
                <w:bCs w:val="0"/>
                <w:i w:val="0"/>
                <w:iCs w:val="0"/>
                <w:caps w:val="0"/>
                <w:color w:val="auto"/>
                <w:spacing w:val="0"/>
                <w:sz w:val="21"/>
                <w:szCs w:val="21"/>
                <w:highlight w:val="none"/>
                <w:shd w:val="clear" w:color="auto" w:fill="auto"/>
                <w:vertAlign w:val="baseline"/>
              </w:rPr>
            </w:pPr>
            <w:r>
              <w:rPr>
                <w:rFonts w:hint="eastAsia" w:ascii="宋体" w:hAnsi="宋体" w:eastAsia="宋体" w:cs="宋体"/>
                <w:color w:val="auto"/>
                <w:highlight w:val="none"/>
              </w:rPr>
              <w:t>1100000</w:t>
            </w:r>
          </w:p>
        </w:tc>
        <w:tc>
          <w:tcPr>
            <w:tcW w:w="977" w:type="dxa"/>
            <w:vAlign w:val="center"/>
          </w:tcPr>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right="0"/>
              <w:jc w:val="center"/>
              <w:textAlignment w:val="auto"/>
              <w:rPr>
                <w:rFonts w:hint="eastAsia" w:ascii="宋体" w:hAnsi="宋体" w:eastAsia="宋体" w:cs="宋体"/>
                <w:b w:val="0"/>
                <w:bCs w:val="0"/>
                <w:i w:val="0"/>
                <w:iCs w:val="0"/>
                <w:caps w:val="0"/>
                <w:color w:val="auto"/>
                <w:spacing w:val="0"/>
                <w:sz w:val="21"/>
                <w:szCs w:val="21"/>
                <w:highlight w:val="none"/>
                <w:shd w:val="clear" w:color="auto" w:fill="auto"/>
                <w:vertAlign w:val="baseline"/>
              </w:rPr>
            </w:pPr>
            <w:r>
              <w:rPr>
                <w:rFonts w:hint="eastAsia" w:ascii="宋体" w:hAnsi="宋体" w:eastAsia="宋体" w:cs="宋体"/>
                <w:color w:val="auto"/>
                <w:highlight w:val="none"/>
              </w:rPr>
              <w:t>1(项)</w:t>
            </w:r>
          </w:p>
        </w:tc>
        <w:tc>
          <w:tcPr>
            <w:tcW w:w="0" w:type="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right="0"/>
              <w:jc w:val="center"/>
              <w:textAlignment w:val="auto"/>
              <w:rPr>
                <w:rFonts w:hint="eastAsia" w:ascii="宋体" w:hAnsi="宋体" w:eastAsia="宋体" w:cs="宋体"/>
                <w:b w:val="0"/>
                <w:bCs w:val="0"/>
                <w:i w:val="0"/>
                <w:iCs w:val="0"/>
                <w:caps w:val="0"/>
                <w:color w:val="auto"/>
                <w:spacing w:val="0"/>
                <w:sz w:val="21"/>
                <w:szCs w:val="21"/>
                <w:highlight w:val="none"/>
                <w:shd w:val="clear" w:color="auto" w:fill="auto"/>
                <w:vertAlign w:val="baseline"/>
              </w:rPr>
            </w:pPr>
            <w:r>
              <w:rPr>
                <w:rFonts w:hint="eastAsia" w:ascii="宋体" w:hAnsi="宋体" w:eastAsia="宋体" w:cs="宋体"/>
                <w:color w:val="auto"/>
                <w:highlight w:val="none"/>
              </w:rPr>
              <w:t>详见采购文件</w:t>
            </w:r>
          </w:p>
        </w:tc>
        <w:tc>
          <w:tcPr>
            <w:tcW w:w="0" w:type="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right="0"/>
              <w:jc w:val="center"/>
              <w:textAlignment w:val="auto"/>
              <w:rPr>
                <w:rFonts w:hint="eastAsia" w:ascii="宋体" w:hAnsi="宋体" w:eastAsia="宋体" w:cs="宋体"/>
                <w:b w:val="0"/>
                <w:bCs w:val="0"/>
                <w:i w:val="0"/>
                <w:iCs w:val="0"/>
                <w:caps w:val="0"/>
                <w:color w:val="auto"/>
                <w:spacing w:val="0"/>
                <w:sz w:val="21"/>
                <w:szCs w:val="21"/>
                <w:highlight w:val="none"/>
                <w:shd w:val="clear" w:color="auto" w:fill="auto"/>
                <w:vertAlign w:val="baseline"/>
              </w:rPr>
            </w:pPr>
            <w:r>
              <w:rPr>
                <w:rFonts w:hint="eastAsia" w:ascii="宋体" w:hAnsi="宋体" w:eastAsia="宋体" w:cs="宋体"/>
                <w:color w:val="auto"/>
                <w:highlight w:val="none"/>
              </w:rPr>
              <w:t>1,100,000.00</w:t>
            </w:r>
          </w:p>
        </w:tc>
        <w:tc>
          <w:tcPr>
            <w:tcW w:w="0" w:type="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right="0"/>
              <w:jc w:val="center"/>
              <w:textAlignment w:val="auto"/>
              <w:rPr>
                <w:rFonts w:hint="eastAsia" w:ascii="宋体" w:hAnsi="宋体" w:eastAsia="宋体" w:cs="宋体"/>
                <w:b w:val="0"/>
                <w:bCs w:val="0"/>
                <w:i w:val="0"/>
                <w:iCs w:val="0"/>
                <w:caps w:val="0"/>
                <w:color w:val="auto"/>
                <w:spacing w:val="0"/>
                <w:sz w:val="21"/>
                <w:szCs w:val="21"/>
                <w:highlight w:val="none"/>
                <w:shd w:val="clear" w:color="auto" w:fill="auto"/>
                <w:vertAlign w:val="baseline"/>
              </w:rPr>
            </w:pPr>
            <w:r>
              <w:rPr>
                <w:rFonts w:hint="eastAsia" w:ascii="宋体" w:hAnsi="宋体" w:eastAsia="宋体" w:cs="宋体"/>
                <w:color w:val="auto"/>
                <w:highlight w:val="none"/>
              </w:rPr>
              <w:t>1,100,000.00</w:t>
            </w:r>
          </w:p>
        </w:tc>
      </w:tr>
    </w:tbl>
    <w:p>
      <w:pPr>
        <w:pStyle w:val="20"/>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157" w:beforeLines="50" w:beforeAutospacing="0" w:after="0" w:afterAutospacing="0" w:line="360" w:lineRule="auto"/>
        <w:ind w:left="0" w:leftChars="0" w:right="0" w:firstLine="1050" w:firstLineChars="500"/>
        <w:textAlignment w:val="auto"/>
        <w:rPr>
          <w:rFonts w:hint="eastAsia" w:ascii="宋体" w:hAnsi="宋体" w:eastAsia="宋体" w:cs="宋体"/>
          <w:i w:val="0"/>
          <w:iCs w:val="0"/>
          <w:caps w:val="0"/>
          <w:color w:val="auto"/>
          <w:spacing w:val="0"/>
          <w:sz w:val="21"/>
          <w:szCs w:val="21"/>
          <w:highlight w:val="none"/>
          <w:shd w:val="clear" w:color="auto" w:fill="auto"/>
        </w:rPr>
      </w:pPr>
      <w:r>
        <w:rPr>
          <w:rFonts w:hint="eastAsia" w:ascii="宋体" w:hAnsi="宋体" w:eastAsia="宋体" w:cs="宋体"/>
          <w:i w:val="0"/>
          <w:iCs w:val="0"/>
          <w:caps w:val="0"/>
          <w:color w:val="auto"/>
          <w:spacing w:val="0"/>
          <w:sz w:val="21"/>
          <w:szCs w:val="21"/>
          <w:highlight w:val="none"/>
          <w:shd w:val="clear" w:color="auto" w:fill="auto"/>
        </w:rPr>
        <w:t>本合同包不接受联合体投标</w:t>
      </w:r>
    </w:p>
    <w:p>
      <w:pPr>
        <w:pStyle w:val="20"/>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firstLine="1050" w:firstLineChars="500"/>
        <w:textAlignment w:val="auto"/>
        <w:rPr>
          <w:rFonts w:hint="eastAsia" w:ascii="宋体" w:hAnsi="宋体" w:eastAsia="宋体" w:cs="宋体"/>
          <w:i w:val="0"/>
          <w:iCs w:val="0"/>
          <w:caps w:val="0"/>
          <w:color w:val="auto"/>
          <w:spacing w:val="0"/>
          <w:sz w:val="21"/>
          <w:szCs w:val="21"/>
          <w:highlight w:val="none"/>
          <w:shd w:val="clear" w:color="auto" w:fill="auto"/>
        </w:rPr>
      </w:pPr>
      <w:r>
        <w:rPr>
          <w:rFonts w:hint="eastAsia" w:ascii="宋体" w:hAnsi="宋体" w:eastAsia="宋体" w:cs="宋体"/>
          <w:i w:val="0"/>
          <w:iCs w:val="0"/>
          <w:caps w:val="0"/>
          <w:color w:val="auto"/>
          <w:spacing w:val="0"/>
          <w:sz w:val="21"/>
          <w:szCs w:val="21"/>
          <w:highlight w:val="none"/>
          <w:shd w:val="clear" w:color="auto" w:fill="auto"/>
        </w:rPr>
        <w:t>合同履行期限：6个月</w:t>
      </w:r>
    </w:p>
    <w:p>
      <w:pPr>
        <w:pStyle w:val="20"/>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firstLine="840" w:firstLineChars="400"/>
        <w:textAlignment w:val="auto"/>
        <w:rPr>
          <w:rFonts w:hint="eastAsia" w:ascii="宋体" w:hAnsi="宋体" w:eastAsia="宋体" w:cs="宋体"/>
          <w:i w:val="0"/>
          <w:iCs w:val="0"/>
          <w:caps w:val="0"/>
          <w:color w:val="auto"/>
          <w:spacing w:val="0"/>
          <w:sz w:val="21"/>
          <w:szCs w:val="21"/>
          <w:highlight w:val="none"/>
          <w:shd w:val="clear" w:color="auto" w:fill="auto"/>
        </w:rPr>
      </w:pPr>
      <w:r>
        <w:rPr>
          <w:rFonts w:hint="eastAsia" w:ascii="宋体" w:hAnsi="宋体" w:eastAsia="宋体" w:cs="宋体"/>
          <w:i w:val="0"/>
          <w:iCs w:val="0"/>
          <w:caps w:val="0"/>
          <w:color w:val="auto"/>
          <w:spacing w:val="0"/>
          <w:sz w:val="21"/>
          <w:szCs w:val="21"/>
          <w:highlight w:val="none"/>
          <w:shd w:val="clear" w:color="auto" w:fill="auto"/>
        </w:rPr>
        <w:t>合同包3(区域医疗中心建设):</w:t>
      </w:r>
    </w:p>
    <w:p>
      <w:pPr>
        <w:pStyle w:val="20"/>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firstLine="1050" w:firstLineChars="500"/>
        <w:textAlignment w:val="auto"/>
        <w:rPr>
          <w:rFonts w:hint="eastAsia" w:ascii="宋体" w:hAnsi="宋体" w:eastAsia="宋体" w:cs="宋体"/>
          <w:i w:val="0"/>
          <w:iCs w:val="0"/>
          <w:caps w:val="0"/>
          <w:color w:val="auto"/>
          <w:spacing w:val="0"/>
          <w:sz w:val="21"/>
          <w:szCs w:val="21"/>
          <w:highlight w:val="none"/>
          <w:shd w:val="clear" w:color="auto" w:fill="auto"/>
        </w:rPr>
      </w:pPr>
      <w:r>
        <w:rPr>
          <w:rFonts w:hint="eastAsia" w:ascii="宋体" w:hAnsi="宋体" w:eastAsia="宋体" w:cs="宋体"/>
          <w:i w:val="0"/>
          <w:iCs w:val="0"/>
          <w:caps w:val="0"/>
          <w:color w:val="auto"/>
          <w:spacing w:val="0"/>
          <w:sz w:val="21"/>
          <w:szCs w:val="21"/>
          <w:highlight w:val="none"/>
          <w:shd w:val="clear" w:color="auto" w:fill="auto"/>
        </w:rPr>
        <w:t>合同包预算金额：2,500,000.00元</w:t>
      </w:r>
    </w:p>
    <w:p>
      <w:pPr>
        <w:pStyle w:val="20"/>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firstLine="1050" w:firstLineChars="500"/>
        <w:textAlignment w:val="auto"/>
        <w:rPr>
          <w:rFonts w:hint="eastAsia" w:ascii="宋体" w:hAnsi="宋体" w:eastAsia="宋体" w:cs="宋体"/>
          <w:i w:val="0"/>
          <w:iCs w:val="0"/>
          <w:caps w:val="0"/>
          <w:color w:val="auto"/>
          <w:spacing w:val="0"/>
          <w:sz w:val="21"/>
          <w:szCs w:val="21"/>
          <w:highlight w:val="none"/>
          <w:shd w:val="clear" w:color="auto" w:fill="auto"/>
        </w:rPr>
      </w:pPr>
      <w:r>
        <w:rPr>
          <w:rFonts w:hint="eastAsia" w:ascii="宋体" w:hAnsi="宋体" w:eastAsia="宋体" w:cs="宋体"/>
          <w:i w:val="0"/>
          <w:iCs w:val="0"/>
          <w:caps w:val="0"/>
          <w:color w:val="auto"/>
          <w:spacing w:val="0"/>
          <w:sz w:val="21"/>
          <w:szCs w:val="21"/>
          <w:highlight w:val="none"/>
          <w:shd w:val="clear" w:color="auto" w:fill="auto"/>
        </w:rPr>
        <w:t>合同包最高限价：2,000,000.00元</w:t>
      </w:r>
    </w:p>
    <w:tbl>
      <w:tblPr>
        <w:tblStyle w:val="24"/>
        <w:tblW w:w="0" w:type="auto"/>
        <w:tblInd w:w="47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7"/>
        <w:gridCol w:w="1125"/>
        <w:gridCol w:w="1155"/>
        <w:gridCol w:w="977"/>
        <w:gridCol w:w="1584"/>
        <w:gridCol w:w="1479"/>
        <w:gridCol w:w="14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7" w:hRule="atLeast"/>
        </w:trPr>
        <w:tc>
          <w:tcPr>
            <w:tcW w:w="787" w:type="dxa"/>
            <w:vAlign w:val="center"/>
          </w:tcPr>
          <w:p>
            <w:pPr>
              <w:pStyle w:val="20"/>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right="0"/>
              <w:jc w:val="center"/>
              <w:textAlignment w:val="auto"/>
              <w:rPr>
                <w:rFonts w:hint="default" w:ascii="宋体" w:hAnsi="宋体" w:eastAsia="宋体" w:cs="宋体"/>
                <w:b/>
                <w:bCs/>
                <w:i w:val="0"/>
                <w:iCs w:val="0"/>
                <w:caps w:val="0"/>
                <w:color w:val="auto"/>
                <w:spacing w:val="0"/>
                <w:sz w:val="21"/>
                <w:szCs w:val="21"/>
                <w:highlight w:val="none"/>
                <w:shd w:val="clear" w:color="auto" w:fill="auto"/>
                <w:vertAlign w:val="baseline"/>
                <w:lang w:val="en-US" w:eastAsia="zh-CN"/>
              </w:rPr>
            </w:pPr>
            <w:bookmarkStart w:id="3" w:name="_Toc1447"/>
            <w:bookmarkStart w:id="4" w:name="_Toc5339"/>
            <w:bookmarkStart w:id="5" w:name="_Toc18266"/>
            <w:r>
              <w:rPr>
                <w:rFonts w:hint="eastAsia" w:cs="宋体"/>
                <w:b/>
                <w:bCs/>
                <w:i w:val="0"/>
                <w:iCs w:val="0"/>
                <w:caps w:val="0"/>
                <w:color w:val="auto"/>
                <w:spacing w:val="0"/>
                <w:sz w:val="21"/>
                <w:szCs w:val="21"/>
                <w:highlight w:val="none"/>
                <w:shd w:val="clear" w:color="auto" w:fill="auto"/>
                <w:vertAlign w:val="baseline"/>
                <w:lang w:val="en-US" w:eastAsia="zh-CN"/>
              </w:rPr>
              <w:t>品目号</w:t>
            </w:r>
          </w:p>
        </w:tc>
        <w:tc>
          <w:tcPr>
            <w:tcW w:w="1125" w:type="dxa"/>
            <w:vAlign w:val="center"/>
          </w:tcPr>
          <w:p>
            <w:pPr>
              <w:pStyle w:val="20"/>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right="0"/>
              <w:jc w:val="center"/>
              <w:textAlignment w:val="auto"/>
              <w:rPr>
                <w:rFonts w:hint="default" w:ascii="宋体" w:hAnsi="宋体" w:eastAsia="宋体" w:cs="宋体"/>
                <w:b/>
                <w:bCs/>
                <w:i w:val="0"/>
                <w:iCs w:val="0"/>
                <w:caps w:val="0"/>
                <w:color w:val="auto"/>
                <w:spacing w:val="0"/>
                <w:sz w:val="21"/>
                <w:szCs w:val="21"/>
                <w:highlight w:val="none"/>
                <w:shd w:val="clear" w:color="auto" w:fill="auto"/>
                <w:vertAlign w:val="baseline"/>
                <w:lang w:val="en-US" w:eastAsia="zh-CN"/>
              </w:rPr>
            </w:pPr>
            <w:r>
              <w:rPr>
                <w:rFonts w:hint="eastAsia" w:cs="宋体"/>
                <w:b/>
                <w:bCs/>
                <w:i w:val="0"/>
                <w:iCs w:val="0"/>
                <w:caps w:val="0"/>
                <w:color w:val="auto"/>
                <w:spacing w:val="0"/>
                <w:sz w:val="21"/>
                <w:szCs w:val="21"/>
                <w:highlight w:val="none"/>
                <w:shd w:val="clear" w:color="auto" w:fill="auto"/>
                <w:vertAlign w:val="baseline"/>
                <w:lang w:val="en-US" w:eastAsia="zh-CN"/>
              </w:rPr>
              <w:t>品目名称</w:t>
            </w:r>
          </w:p>
        </w:tc>
        <w:tc>
          <w:tcPr>
            <w:tcW w:w="1155" w:type="dxa"/>
            <w:vAlign w:val="center"/>
          </w:tcPr>
          <w:p>
            <w:pPr>
              <w:pStyle w:val="20"/>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right="0"/>
              <w:jc w:val="center"/>
              <w:textAlignment w:val="auto"/>
              <w:rPr>
                <w:rFonts w:hint="eastAsia" w:ascii="宋体" w:hAnsi="宋体" w:eastAsia="宋体" w:cs="宋体"/>
                <w:b/>
                <w:bCs/>
                <w:i w:val="0"/>
                <w:iCs w:val="0"/>
                <w:caps w:val="0"/>
                <w:color w:val="auto"/>
                <w:spacing w:val="0"/>
                <w:sz w:val="21"/>
                <w:szCs w:val="21"/>
                <w:highlight w:val="none"/>
                <w:shd w:val="clear" w:color="auto" w:fill="auto"/>
                <w:vertAlign w:val="baseline"/>
              </w:rPr>
            </w:pPr>
            <w:r>
              <w:rPr>
                <w:rFonts w:hint="eastAsia" w:ascii="宋体" w:hAnsi="宋体" w:eastAsia="宋体" w:cs="宋体"/>
                <w:b/>
                <w:bCs/>
                <w:i w:val="0"/>
                <w:iCs w:val="0"/>
                <w:caps w:val="0"/>
                <w:color w:val="auto"/>
                <w:spacing w:val="0"/>
                <w:sz w:val="21"/>
                <w:szCs w:val="21"/>
                <w:highlight w:val="none"/>
                <w:shd w:val="clear" w:color="auto" w:fill="auto"/>
                <w:vertAlign w:val="baseline"/>
              </w:rPr>
              <w:t>采购标的</w:t>
            </w:r>
          </w:p>
        </w:tc>
        <w:tc>
          <w:tcPr>
            <w:tcW w:w="977" w:type="dxa"/>
            <w:vAlign w:val="center"/>
          </w:tcPr>
          <w:p>
            <w:pPr>
              <w:pStyle w:val="20"/>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right="0"/>
              <w:jc w:val="center"/>
              <w:textAlignment w:val="auto"/>
              <w:rPr>
                <w:rFonts w:hint="eastAsia" w:ascii="宋体" w:hAnsi="宋体" w:eastAsia="宋体" w:cs="宋体"/>
                <w:b/>
                <w:bCs/>
                <w:i w:val="0"/>
                <w:iCs w:val="0"/>
                <w:caps w:val="0"/>
                <w:color w:val="auto"/>
                <w:spacing w:val="0"/>
                <w:sz w:val="21"/>
                <w:szCs w:val="21"/>
                <w:highlight w:val="none"/>
                <w:shd w:val="clear" w:color="auto" w:fill="auto"/>
                <w:vertAlign w:val="baseline"/>
              </w:rPr>
            </w:pPr>
            <w:r>
              <w:rPr>
                <w:rFonts w:hint="eastAsia" w:ascii="宋体" w:hAnsi="宋体" w:eastAsia="宋体" w:cs="宋体"/>
                <w:b/>
                <w:bCs/>
                <w:i w:val="0"/>
                <w:iCs w:val="0"/>
                <w:caps w:val="0"/>
                <w:color w:val="auto"/>
                <w:spacing w:val="0"/>
                <w:sz w:val="21"/>
                <w:szCs w:val="21"/>
                <w:highlight w:val="none"/>
                <w:shd w:val="clear" w:color="auto" w:fill="auto"/>
                <w:vertAlign w:val="baseline"/>
              </w:rPr>
              <w:t>数量（单位）</w:t>
            </w:r>
          </w:p>
        </w:tc>
        <w:tc>
          <w:tcPr>
            <w:tcW w:w="0" w:type="auto"/>
            <w:vAlign w:val="center"/>
          </w:tcPr>
          <w:p>
            <w:pPr>
              <w:pStyle w:val="20"/>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right="0"/>
              <w:jc w:val="center"/>
              <w:textAlignment w:val="auto"/>
              <w:rPr>
                <w:rFonts w:hint="eastAsia" w:ascii="宋体" w:hAnsi="宋体" w:eastAsia="宋体" w:cs="宋体"/>
                <w:b/>
                <w:bCs/>
                <w:i w:val="0"/>
                <w:iCs w:val="0"/>
                <w:caps w:val="0"/>
                <w:color w:val="auto"/>
                <w:spacing w:val="0"/>
                <w:sz w:val="21"/>
                <w:szCs w:val="21"/>
                <w:highlight w:val="none"/>
                <w:shd w:val="clear" w:color="auto" w:fill="auto"/>
                <w:vertAlign w:val="baseline"/>
              </w:rPr>
            </w:pPr>
            <w:r>
              <w:rPr>
                <w:rFonts w:hint="eastAsia" w:ascii="宋体" w:hAnsi="宋体" w:eastAsia="宋体" w:cs="宋体"/>
                <w:b/>
                <w:bCs/>
                <w:i w:val="0"/>
                <w:iCs w:val="0"/>
                <w:caps w:val="0"/>
                <w:color w:val="auto"/>
                <w:spacing w:val="0"/>
                <w:sz w:val="21"/>
                <w:szCs w:val="21"/>
                <w:highlight w:val="none"/>
                <w:shd w:val="clear" w:color="auto" w:fill="auto"/>
                <w:vertAlign w:val="baseline"/>
              </w:rPr>
              <w:t>技术规格、参数及要求</w:t>
            </w:r>
          </w:p>
        </w:tc>
        <w:tc>
          <w:tcPr>
            <w:tcW w:w="0" w:type="auto"/>
            <w:vAlign w:val="center"/>
          </w:tcPr>
          <w:p>
            <w:pPr>
              <w:pStyle w:val="20"/>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right="0"/>
              <w:jc w:val="center"/>
              <w:textAlignment w:val="auto"/>
              <w:rPr>
                <w:rFonts w:hint="eastAsia" w:ascii="宋体" w:hAnsi="宋体" w:eastAsia="宋体" w:cs="宋体"/>
                <w:b/>
                <w:bCs/>
                <w:i w:val="0"/>
                <w:iCs w:val="0"/>
                <w:caps w:val="0"/>
                <w:color w:val="auto"/>
                <w:spacing w:val="0"/>
                <w:sz w:val="21"/>
                <w:szCs w:val="21"/>
                <w:highlight w:val="none"/>
                <w:shd w:val="clear" w:color="auto" w:fill="auto"/>
                <w:vertAlign w:val="baseline"/>
              </w:rPr>
            </w:pPr>
            <w:r>
              <w:rPr>
                <w:rFonts w:hint="eastAsia" w:ascii="宋体" w:hAnsi="宋体" w:eastAsia="宋体" w:cs="宋体"/>
                <w:b/>
                <w:bCs/>
                <w:i w:val="0"/>
                <w:iCs w:val="0"/>
                <w:caps w:val="0"/>
                <w:color w:val="auto"/>
                <w:spacing w:val="0"/>
                <w:sz w:val="21"/>
                <w:szCs w:val="21"/>
                <w:highlight w:val="none"/>
                <w:shd w:val="clear" w:color="auto" w:fill="auto"/>
                <w:vertAlign w:val="baseline"/>
              </w:rPr>
              <w:t>品目预算(元)</w:t>
            </w:r>
          </w:p>
        </w:tc>
        <w:tc>
          <w:tcPr>
            <w:tcW w:w="0" w:type="auto"/>
            <w:vAlign w:val="center"/>
          </w:tcPr>
          <w:p>
            <w:pPr>
              <w:pStyle w:val="20"/>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right="0"/>
              <w:jc w:val="center"/>
              <w:textAlignment w:val="auto"/>
              <w:rPr>
                <w:rFonts w:hint="eastAsia" w:ascii="宋体" w:hAnsi="宋体" w:eastAsia="宋体" w:cs="宋体"/>
                <w:b/>
                <w:bCs/>
                <w:i w:val="0"/>
                <w:iCs w:val="0"/>
                <w:caps w:val="0"/>
                <w:color w:val="auto"/>
                <w:spacing w:val="0"/>
                <w:sz w:val="21"/>
                <w:szCs w:val="21"/>
                <w:highlight w:val="none"/>
                <w:shd w:val="clear" w:color="auto" w:fill="auto"/>
                <w:vertAlign w:val="baseline"/>
              </w:rPr>
            </w:pPr>
            <w:r>
              <w:rPr>
                <w:rFonts w:hint="eastAsia" w:ascii="宋体" w:hAnsi="宋体" w:eastAsia="宋体" w:cs="宋体"/>
                <w:b/>
                <w:bCs/>
                <w:i w:val="0"/>
                <w:iCs w:val="0"/>
                <w:caps w:val="0"/>
                <w:color w:val="auto"/>
                <w:spacing w:val="0"/>
                <w:sz w:val="21"/>
                <w:szCs w:val="21"/>
                <w:highlight w:val="none"/>
                <w:shd w:val="clear" w:color="auto" w:fill="auto"/>
                <w:vertAlign w:val="baseline"/>
              </w:rPr>
              <w:t>最高限价(元)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2" w:hRule="atLeast"/>
        </w:trPr>
        <w:tc>
          <w:tcPr>
            <w:tcW w:w="787" w:type="dxa"/>
            <w:vAlign w:val="center"/>
          </w:tcPr>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right="0"/>
              <w:jc w:val="center"/>
              <w:textAlignment w:val="auto"/>
              <w:rPr>
                <w:rFonts w:hint="eastAsia" w:ascii="宋体" w:hAnsi="宋体" w:eastAsia="宋体" w:cs="宋体"/>
                <w:b w:val="0"/>
                <w:bCs w:val="0"/>
                <w:i w:val="0"/>
                <w:iCs w:val="0"/>
                <w:caps w:val="0"/>
                <w:color w:val="auto"/>
                <w:spacing w:val="0"/>
                <w:sz w:val="21"/>
                <w:szCs w:val="21"/>
                <w:highlight w:val="none"/>
                <w:shd w:val="clear" w:color="auto" w:fill="auto"/>
                <w:vertAlign w:val="baseline"/>
              </w:rPr>
            </w:pPr>
            <w:r>
              <w:rPr>
                <w:rFonts w:hint="eastAsia" w:ascii="宋体" w:hAnsi="宋体" w:eastAsia="宋体" w:cs="宋体"/>
              </w:rPr>
              <w:t>3-1</w:t>
            </w:r>
          </w:p>
        </w:tc>
        <w:tc>
          <w:tcPr>
            <w:tcW w:w="1125" w:type="dxa"/>
            <w:vAlign w:val="center"/>
          </w:tcPr>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right="0"/>
              <w:jc w:val="center"/>
              <w:textAlignment w:val="auto"/>
              <w:rPr>
                <w:rFonts w:hint="eastAsia" w:ascii="宋体" w:hAnsi="宋体" w:eastAsia="宋体" w:cs="宋体"/>
                <w:b w:val="0"/>
                <w:bCs w:val="0"/>
                <w:i w:val="0"/>
                <w:iCs w:val="0"/>
                <w:caps w:val="0"/>
                <w:color w:val="auto"/>
                <w:spacing w:val="0"/>
                <w:sz w:val="21"/>
                <w:szCs w:val="21"/>
                <w:highlight w:val="none"/>
                <w:shd w:val="clear" w:color="auto" w:fill="auto"/>
                <w:vertAlign w:val="baseline"/>
              </w:rPr>
            </w:pPr>
            <w:r>
              <w:rPr>
                <w:rFonts w:hint="eastAsia" w:ascii="宋体" w:hAnsi="宋体" w:eastAsia="宋体" w:cs="宋体"/>
              </w:rPr>
              <w:t>行业应用软件开发服务</w:t>
            </w:r>
          </w:p>
        </w:tc>
        <w:tc>
          <w:tcPr>
            <w:tcW w:w="1155" w:type="dxa"/>
            <w:vAlign w:val="center"/>
          </w:tcPr>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right="0"/>
              <w:jc w:val="center"/>
              <w:textAlignment w:val="auto"/>
              <w:rPr>
                <w:rFonts w:hint="eastAsia" w:ascii="宋体" w:hAnsi="宋体" w:eastAsia="宋体" w:cs="宋体"/>
                <w:b w:val="0"/>
                <w:bCs w:val="0"/>
                <w:i w:val="0"/>
                <w:iCs w:val="0"/>
                <w:caps w:val="0"/>
                <w:color w:val="auto"/>
                <w:spacing w:val="0"/>
                <w:sz w:val="21"/>
                <w:szCs w:val="21"/>
                <w:highlight w:val="none"/>
                <w:shd w:val="clear" w:color="auto" w:fill="auto"/>
                <w:vertAlign w:val="baseline"/>
              </w:rPr>
            </w:pPr>
            <w:r>
              <w:rPr>
                <w:rFonts w:hint="eastAsia" w:ascii="宋体" w:hAnsi="宋体" w:eastAsia="宋体" w:cs="宋体"/>
              </w:rPr>
              <w:t>2500000</w:t>
            </w:r>
          </w:p>
        </w:tc>
        <w:tc>
          <w:tcPr>
            <w:tcW w:w="977" w:type="dxa"/>
            <w:vAlign w:val="center"/>
          </w:tcPr>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right="0"/>
              <w:jc w:val="center"/>
              <w:textAlignment w:val="auto"/>
              <w:rPr>
                <w:rFonts w:hint="eastAsia" w:ascii="宋体" w:hAnsi="宋体" w:eastAsia="宋体" w:cs="宋体"/>
                <w:b w:val="0"/>
                <w:bCs w:val="0"/>
                <w:i w:val="0"/>
                <w:iCs w:val="0"/>
                <w:caps w:val="0"/>
                <w:color w:val="auto"/>
                <w:spacing w:val="0"/>
                <w:sz w:val="21"/>
                <w:szCs w:val="21"/>
                <w:highlight w:val="none"/>
                <w:shd w:val="clear" w:color="auto" w:fill="auto"/>
                <w:vertAlign w:val="baseline"/>
              </w:rPr>
            </w:pPr>
            <w:r>
              <w:rPr>
                <w:rFonts w:hint="eastAsia" w:ascii="宋体" w:hAnsi="宋体" w:eastAsia="宋体" w:cs="宋体"/>
              </w:rPr>
              <w:t>1(项)</w:t>
            </w:r>
          </w:p>
        </w:tc>
        <w:tc>
          <w:tcPr>
            <w:tcW w:w="0" w:type="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right="0"/>
              <w:jc w:val="center"/>
              <w:textAlignment w:val="auto"/>
              <w:rPr>
                <w:rFonts w:hint="eastAsia" w:ascii="宋体" w:hAnsi="宋体" w:eastAsia="宋体" w:cs="宋体"/>
                <w:b w:val="0"/>
                <w:bCs w:val="0"/>
                <w:i w:val="0"/>
                <w:iCs w:val="0"/>
                <w:caps w:val="0"/>
                <w:color w:val="auto"/>
                <w:spacing w:val="0"/>
                <w:sz w:val="21"/>
                <w:szCs w:val="21"/>
                <w:highlight w:val="none"/>
                <w:shd w:val="clear" w:color="auto" w:fill="auto"/>
                <w:vertAlign w:val="baseline"/>
              </w:rPr>
            </w:pPr>
            <w:r>
              <w:rPr>
                <w:rFonts w:hint="eastAsia" w:ascii="宋体" w:hAnsi="宋体" w:eastAsia="宋体" w:cs="宋体"/>
              </w:rPr>
              <w:t>详见采购文件</w:t>
            </w:r>
          </w:p>
        </w:tc>
        <w:tc>
          <w:tcPr>
            <w:tcW w:w="0" w:type="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right="0"/>
              <w:jc w:val="center"/>
              <w:textAlignment w:val="auto"/>
              <w:rPr>
                <w:rFonts w:hint="eastAsia" w:ascii="宋体" w:hAnsi="宋体" w:eastAsia="宋体" w:cs="宋体"/>
                <w:b w:val="0"/>
                <w:bCs w:val="0"/>
                <w:i w:val="0"/>
                <w:iCs w:val="0"/>
                <w:caps w:val="0"/>
                <w:color w:val="auto"/>
                <w:spacing w:val="0"/>
                <w:sz w:val="21"/>
                <w:szCs w:val="21"/>
                <w:highlight w:val="none"/>
                <w:shd w:val="clear" w:color="auto" w:fill="auto"/>
                <w:vertAlign w:val="baseline"/>
              </w:rPr>
            </w:pPr>
            <w:r>
              <w:rPr>
                <w:rFonts w:hint="eastAsia" w:ascii="宋体" w:hAnsi="宋体" w:eastAsia="宋体" w:cs="宋体"/>
              </w:rPr>
              <w:t>2,500,000.00</w:t>
            </w:r>
          </w:p>
        </w:tc>
        <w:tc>
          <w:tcPr>
            <w:tcW w:w="0" w:type="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right="0"/>
              <w:jc w:val="center"/>
              <w:textAlignment w:val="auto"/>
              <w:rPr>
                <w:rFonts w:hint="eastAsia" w:ascii="宋体" w:hAnsi="宋体" w:eastAsia="宋体" w:cs="宋体"/>
                <w:b w:val="0"/>
                <w:bCs w:val="0"/>
                <w:i w:val="0"/>
                <w:iCs w:val="0"/>
                <w:caps w:val="0"/>
                <w:color w:val="auto"/>
                <w:spacing w:val="0"/>
                <w:sz w:val="21"/>
                <w:szCs w:val="21"/>
                <w:highlight w:val="none"/>
                <w:shd w:val="clear" w:color="auto" w:fill="auto"/>
                <w:vertAlign w:val="baseline"/>
              </w:rPr>
            </w:pPr>
            <w:r>
              <w:rPr>
                <w:rFonts w:hint="eastAsia" w:ascii="宋体" w:hAnsi="宋体" w:eastAsia="宋体" w:cs="宋体"/>
              </w:rPr>
              <w:t>2,000,000.00</w:t>
            </w:r>
          </w:p>
        </w:tc>
      </w:tr>
    </w:tbl>
    <w:p>
      <w:pPr>
        <w:pStyle w:val="20"/>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157" w:beforeLines="50" w:beforeAutospacing="0" w:after="0" w:afterAutospacing="0" w:line="360" w:lineRule="auto"/>
        <w:ind w:left="0" w:leftChars="0" w:right="0" w:firstLine="1050" w:firstLineChars="500"/>
        <w:textAlignment w:val="auto"/>
        <w:rPr>
          <w:rFonts w:hint="eastAsia" w:ascii="宋体" w:hAnsi="宋体" w:eastAsia="宋体" w:cs="宋体"/>
          <w:i w:val="0"/>
          <w:iCs w:val="0"/>
          <w:caps w:val="0"/>
          <w:color w:val="auto"/>
          <w:spacing w:val="0"/>
          <w:sz w:val="21"/>
          <w:szCs w:val="21"/>
          <w:highlight w:val="none"/>
          <w:shd w:val="clear" w:color="auto" w:fill="auto"/>
        </w:rPr>
      </w:pPr>
      <w:r>
        <w:rPr>
          <w:rFonts w:hint="eastAsia" w:ascii="宋体" w:hAnsi="宋体" w:eastAsia="宋体" w:cs="宋体"/>
          <w:i w:val="0"/>
          <w:iCs w:val="0"/>
          <w:caps w:val="0"/>
          <w:color w:val="auto"/>
          <w:spacing w:val="0"/>
          <w:sz w:val="21"/>
          <w:szCs w:val="21"/>
          <w:highlight w:val="none"/>
          <w:shd w:val="clear" w:color="auto" w:fill="auto"/>
        </w:rPr>
        <w:t>本合同包不接受联合体投标</w:t>
      </w:r>
    </w:p>
    <w:p>
      <w:pPr>
        <w:pStyle w:val="20"/>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firstLine="1050" w:firstLineChars="500"/>
        <w:textAlignment w:val="auto"/>
        <w:rPr>
          <w:rFonts w:hint="eastAsia" w:ascii="宋体" w:hAnsi="宋体" w:eastAsia="宋体" w:cs="宋体"/>
          <w:i w:val="0"/>
          <w:iCs w:val="0"/>
          <w:caps w:val="0"/>
          <w:color w:val="auto"/>
          <w:spacing w:val="0"/>
          <w:sz w:val="21"/>
          <w:szCs w:val="21"/>
          <w:highlight w:val="none"/>
          <w:shd w:val="clear" w:color="auto" w:fill="auto"/>
        </w:rPr>
      </w:pPr>
      <w:r>
        <w:rPr>
          <w:rFonts w:hint="eastAsia" w:ascii="宋体" w:hAnsi="宋体" w:eastAsia="宋体" w:cs="宋体"/>
          <w:i w:val="0"/>
          <w:iCs w:val="0"/>
          <w:caps w:val="0"/>
          <w:color w:val="auto"/>
          <w:spacing w:val="0"/>
          <w:sz w:val="21"/>
          <w:szCs w:val="21"/>
          <w:highlight w:val="none"/>
          <w:shd w:val="clear" w:color="auto" w:fill="auto"/>
        </w:rPr>
        <w:t>合同履行期限：6个月</w:t>
      </w:r>
    </w:p>
    <w:p>
      <w:pPr>
        <w:pStyle w:val="20"/>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firstLine="840" w:firstLineChars="400"/>
        <w:textAlignment w:val="auto"/>
        <w:rPr>
          <w:rFonts w:hint="eastAsia" w:ascii="宋体" w:hAnsi="宋体" w:eastAsia="宋体" w:cs="宋体"/>
          <w:i w:val="0"/>
          <w:iCs w:val="0"/>
          <w:caps w:val="0"/>
          <w:color w:val="auto"/>
          <w:spacing w:val="0"/>
          <w:sz w:val="21"/>
          <w:szCs w:val="21"/>
          <w:highlight w:val="none"/>
          <w:shd w:val="clear" w:color="auto" w:fill="auto"/>
        </w:rPr>
      </w:pPr>
      <w:r>
        <w:rPr>
          <w:rFonts w:hint="eastAsia" w:ascii="宋体" w:hAnsi="宋体" w:eastAsia="宋体" w:cs="宋体"/>
          <w:i w:val="0"/>
          <w:iCs w:val="0"/>
          <w:caps w:val="0"/>
          <w:color w:val="auto"/>
          <w:spacing w:val="0"/>
          <w:sz w:val="21"/>
          <w:szCs w:val="21"/>
          <w:highlight w:val="none"/>
          <w:shd w:val="clear" w:color="auto" w:fill="auto"/>
        </w:rPr>
        <w:t>合同包4(智慧医疗管理系统建设及环境扩容服务项目):</w:t>
      </w:r>
    </w:p>
    <w:p>
      <w:pPr>
        <w:pStyle w:val="20"/>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firstLine="1050" w:firstLineChars="500"/>
        <w:textAlignment w:val="auto"/>
        <w:rPr>
          <w:rFonts w:hint="eastAsia" w:ascii="宋体" w:hAnsi="宋体" w:eastAsia="宋体" w:cs="宋体"/>
          <w:i w:val="0"/>
          <w:iCs w:val="0"/>
          <w:caps w:val="0"/>
          <w:color w:val="auto"/>
          <w:spacing w:val="0"/>
          <w:sz w:val="21"/>
          <w:szCs w:val="21"/>
          <w:highlight w:val="none"/>
          <w:shd w:val="clear" w:color="auto" w:fill="auto"/>
        </w:rPr>
      </w:pPr>
      <w:r>
        <w:rPr>
          <w:rFonts w:hint="eastAsia" w:ascii="宋体" w:hAnsi="宋体" w:eastAsia="宋体" w:cs="宋体"/>
          <w:i w:val="0"/>
          <w:iCs w:val="0"/>
          <w:caps w:val="0"/>
          <w:color w:val="auto"/>
          <w:spacing w:val="0"/>
          <w:sz w:val="21"/>
          <w:szCs w:val="21"/>
          <w:highlight w:val="none"/>
          <w:shd w:val="clear" w:color="auto" w:fill="auto"/>
        </w:rPr>
        <w:t>合同包预算金额：8,930,000.00元</w:t>
      </w:r>
    </w:p>
    <w:p>
      <w:pPr>
        <w:pStyle w:val="20"/>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firstLine="1050" w:firstLineChars="500"/>
        <w:textAlignment w:val="auto"/>
        <w:rPr>
          <w:rFonts w:hint="eastAsia" w:ascii="宋体" w:hAnsi="宋体" w:eastAsia="宋体" w:cs="宋体"/>
          <w:i w:val="0"/>
          <w:iCs w:val="0"/>
          <w:caps w:val="0"/>
          <w:color w:val="auto"/>
          <w:spacing w:val="0"/>
          <w:sz w:val="21"/>
          <w:szCs w:val="21"/>
          <w:highlight w:val="none"/>
          <w:shd w:val="clear" w:color="auto" w:fill="auto"/>
        </w:rPr>
      </w:pPr>
      <w:r>
        <w:rPr>
          <w:rFonts w:hint="eastAsia" w:ascii="宋体" w:hAnsi="宋体" w:eastAsia="宋体" w:cs="宋体"/>
          <w:i w:val="0"/>
          <w:iCs w:val="0"/>
          <w:caps w:val="0"/>
          <w:color w:val="auto"/>
          <w:spacing w:val="0"/>
          <w:sz w:val="21"/>
          <w:szCs w:val="21"/>
          <w:highlight w:val="none"/>
          <w:shd w:val="clear" w:color="auto" w:fill="auto"/>
        </w:rPr>
        <w:t>合同包最高限价：8,930,000.00元</w:t>
      </w:r>
    </w:p>
    <w:tbl>
      <w:tblPr>
        <w:tblStyle w:val="24"/>
        <w:tblW w:w="0" w:type="auto"/>
        <w:tblInd w:w="47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7"/>
        <w:gridCol w:w="1125"/>
        <w:gridCol w:w="1155"/>
        <w:gridCol w:w="977"/>
        <w:gridCol w:w="1584"/>
        <w:gridCol w:w="1479"/>
        <w:gridCol w:w="14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7" w:hRule="atLeast"/>
        </w:trPr>
        <w:tc>
          <w:tcPr>
            <w:tcW w:w="787" w:type="dxa"/>
            <w:vAlign w:val="center"/>
          </w:tcPr>
          <w:p>
            <w:pPr>
              <w:pStyle w:val="20"/>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right="0"/>
              <w:jc w:val="center"/>
              <w:textAlignment w:val="auto"/>
              <w:rPr>
                <w:rFonts w:hint="default" w:ascii="宋体" w:hAnsi="宋体" w:eastAsia="宋体" w:cs="宋体"/>
                <w:b/>
                <w:bCs/>
                <w:i w:val="0"/>
                <w:iCs w:val="0"/>
                <w:caps w:val="0"/>
                <w:color w:val="auto"/>
                <w:spacing w:val="0"/>
                <w:sz w:val="21"/>
                <w:szCs w:val="21"/>
                <w:highlight w:val="none"/>
                <w:shd w:val="clear" w:color="auto" w:fill="auto"/>
                <w:vertAlign w:val="baseline"/>
                <w:lang w:val="en-US" w:eastAsia="zh-CN"/>
              </w:rPr>
            </w:pPr>
            <w:r>
              <w:rPr>
                <w:rFonts w:hint="eastAsia" w:cs="宋体"/>
                <w:b/>
                <w:bCs/>
                <w:i w:val="0"/>
                <w:iCs w:val="0"/>
                <w:caps w:val="0"/>
                <w:color w:val="auto"/>
                <w:spacing w:val="0"/>
                <w:sz w:val="21"/>
                <w:szCs w:val="21"/>
                <w:highlight w:val="none"/>
                <w:shd w:val="clear" w:color="auto" w:fill="auto"/>
                <w:vertAlign w:val="baseline"/>
                <w:lang w:val="en-US" w:eastAsia="zh-CN"/>
              </w:rPr>
              <w:t>品目号</w:t>
            </w:r>
          </w:p>
        </w:tc>
        <w:tc>
          <w:tcPr>
            <w:tcW w:w="1125" w:type="dxa"/>
            <w:vAlign w:val="center"/>
          </w:tcPr>
          <w:p>
            <w:pPr>
              <w:pStyle w:val="20"/>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right="0"/>
              <w:jc w:val="center"/>
              <w:textAlignment w:val="auto"/>
              <w:rPr>
                <w:rFonts w:hint="default" w:ascii="宋体" w:hAnsi="宋体" w:eastAsia="宋体" w:cs="宋体"/>
                <w:b/>
                <w:bCs/>
                <w:i w:val="0"/>
                <w:iCs w:val="0"/>
                <w:caps w:val="0"/>
                <w:color w:val="auto"/>
                <w:spacing w:val="0"/>
                <w:sz w:val="21"/>
                <w:szCs w:val="21"/>
                <w:highlight w:val="none"/>
                <w:shd w:val="clear" w:color="auto" w:fill="auto"/>
                <w:vertAlign w:val="baseline"/>
                <w:lang w:val="en-US" w:eastAsia="zh-CN"/>
              </w:rPr>
            </w:pPr>
            <w:r>
              <w:rPr>
                <w:rFonts w:hint="eastAsia" w:cs="宋体"/>
                <w:b/>
                <w:bCs/>
                <w:i w:val="0"/>
                <w:iCs w:val="0"/>
                <w:caps w:val="0"/>
                <w:color w:val="auto"/>
                <w:spacing w:val="0"/>
                <w:sz w:val="21"/>
                <w:szCs w:val="21"/>
                <w:highlight w:val="none"/>
                <w:shd w:val="clear" w:color="auto" w:fill="auto"/>
                <w:vertAlign w:val="baseline"/>
                <w:lang w:val="en-US" w:eastAsia="zh-CN"/>
              </w:rPr>
              <w:t>品目名称</w:t>
            </w:r>
          </w:p>
        </w:tc>
        <w:tc>
          <w:tcPr>
            <w:tcW w:w="1155" w:type="dxa"/>
            <w:vAlign w:val="center"/>
          </w:tcPr>
          <w:p>
            <w:pPr>
              <w:pStyle w:val="20"/>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right="0"/>
              <w:jc w:val="center"/>
              <w:textAlignment w:val="auto"/>
              <w:rPr>
                <w:rFonts w:hint="eastAsia" w:ascii="宋体" w:hAnsi="宋体" w:eastAsia="宋体" w:cs="宋体"/>
                <w:b/>
                <w:bCs/>
                <w:i w:val="0"/>
                <w:iCs w:val="0"/>
                <w:caps w:val="0"/>
                <w:color w:val="auto"/>
                <w:spacing w:val="0"/>
                <w:sz w:val="21"/>
                <w:szCs w:val="21"/>
                <w:highlight w:val="none"/>
                <w:shd w:val="clear" w:color="auto" w:fill="auto"/>
                <w:vertAlign w:val="baseline"/>
              </w:rPr>
            </w:pPr>
            <w:r>
              <w:rPr>
                <w:rFonts w:hint="eastAsia" w:ascii="宋体" w:hAnsi="宋体" w:eastAsia="宋体" w:cs="宋体"/>
                <w:b/>
                <w:bCs/>
                <w:i w:val="0"/>
                <w:iCs w:val="0"/>
                <w:caps w:val="0"/>
                <w:color w:val="auto"/>
                <w:spacing w:val="0"/>
                <w:sz w:val="21"/>
                <w:szCs w:val="21"/>
                <w:highlight w:val="none"/>
                <w:shd w:val="clear" w:color="auto" w:fill="auto"/>
                <w:vertAlign w:val="baseline"/>
              </w:rPr>
              <w:t>采购标的</w:t>
            </w:r>
          </w:p>
        </w:tc>
        <w:tc>
          <w:tcPr>
            <w:tcW w:w="977" w:type="dxa"/>
            <w:vAlign w:val="center"/>
          </w:tcPr>
          <w:p>
            <w:pPr>
              <w:pStyle w:val="20"/>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right="0"/>
              <w:jc w:val="center"/>
              <w:textAlignment w:val="auto"/>
              <w:rPr>
                <w:rFonts w:hint="eastAsia" w:ascii="宋体" w:hAnsi="宋体" w:eastAsia="宋体" w:cs="宋体"/>
                <w:b/>
                <w:bCs/>
                <w:i w:val="0"/>
                <w:iCs w:val="0"/>
                <w:caps w:val="0"/>
                <w:color w:val="auto"/>
                <w:spacing w:val="0"/>
                <w:sz w:val="21"/>
                <w:szCs w:val="21"/>
                <w:highlight w:val="none"/>
                <w:shd w:val="clear" w:color="auto" w:fill="auto"/>
                <w:vertAlign w:val="baseline"/>
              </w:rPr>
            </w:pPr>
            <w:r>
              <w:rPr>
                <w:rFonts w:hint="eastAsia" w:ascii="宋体" w:hAnsi="宋体" w:eastAsia="宋体" w:cs="宋体"/>
                <w:b/>
                <w:bCs/>
                <w:i w:val="0"/>
                <w:iCs w:val="0"/>
                <w:caps w:val="0"/>
                <w:color w:val="auto"/>
                <w:spacing w:val="0"/>
                <w:sz w:val="21"/>
                <w:szCs w:val="21"/>
                <w:highlight w:val="none"/>
                <w:shd w:val="clear" w:color="auto" w:fill="auto"/>
                <w:vertAlign w:val="baseline"/>
              </w:rPr>
              <w:t>数量（单位）</w:t>
            </w:r>
          </w:p>
        </w:tc>
        <w:tc>
          <w:tcPr>
            <w:tcW w:w="0" w:type="auto"/>
            <w:vAlign w:val="center"/>
          </w:tcPr>
          <w:p>
            <w:pPr>
              <w:pStyle w:val="20"/>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right="0"/>
              <w:jc w:val="center"/>
              <w:textAlignment w:val="auto"/>
              <w:rPr>
                <w:rFonts w:hint="eastAsia" w:ascii="宋体" w:hAnsi="宋体" w:eastAsia="宋体" w:cs="宋体"/>
                <w:b/>
                <w:bCs/>
                <w:i w:val="0"/>
                <w:iCs w:val="0"/>
                <w:caps w:val="0"/>
                <w:color w:val="auto"/>
                <w:spacing w:val="0"/>
                <w:sz w:val="21"/>
                <w:szCs w:val="21"/>
                <w:highlight w:val="none"/>
                <w:shd w:val="clear" w:color="auto" w:fill="auto"/>
                <w:vertAlign w:val="baseline"/>
              </w:rPr>
            </w:pPr>
            <w:r>
              <w:rPr>
                <w:rFonts w:hint="eastAsia" w:ascii="宋体" w:hAnsi="宋体" w:eastAsia="宋体" w:cs="宋体"/>
                <w:b/>
                <w:bCs/>
                <w:i w:val="0"/>
                <w:iCs w:val="0"/>
                <w:caps w:val="0"/>
                <w:color w:val="auto"/>
                <w:spacing w:val="0"/>
                <w:sz w:val="21"/>
                <w:szCs w:val="21"/>
                <w:highlight w:val="none"/>
                <w:shd w:val="clear" w:color="auto" w:fill="auto"/>
                <w:vertAlign w:val="baseline"/>
              </w:rPr>
              <w:t>技术规格、参数及要求</w:t>
            </w:r>
          </w:p>
        </w:tc>
        <w:tc>
          <w:tcPr>
            <w:tcW w:w="0" w:type="auto"/>
            <w:vAlign w:val="center"/>
          </w:tcPr>
          <w:p>
            <w:pPr>
              <w:pStyle w:val="20"/>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right="0"/>
              <w:jc w:val="center"/>
              <w:textAlignment w:val="auto"/>
              <w:rPr>
                <w:rFonts w:hint="eastAsia" w:ascii="宋体" w:hAnsi="宋体" w:eastAsia="宋体" w:cs="宋体"/>
                <w:b/>
                <w:bCs/>
                <w:i w:val="0"/>
                <w:iCs w:val="0"/>
                <w:caps w:val="0"/>
                <w:color w:val="auto"/>
                <w:spacing w:val="0"/>
                <w:sz w:val="21"/>
                <w:szCs w:val="21"/>
                <w:highlight w:val="none"/>
                <w:shd w:val="clear" w:color="auto" w:fill="auto"/>
                <w:vertAlign w:val="baseline"/>
              </w:rPr>
            </w:pPr>
            <w:r>
              <w:rPr>
                <w:rFonts w:hint="eastAsia" w:ascii="宋体" w:hAnsi="宋体" w:eastAsia="宋体" w:cs="宋体"/>
                <w:b/>
                <w:bCs/>
                <w:i w:val="0"/>
                <w:iCs w:val="0"/>
                <w:caps w:val="0"/>
                <w:color w:val="auto"/>
                <w:spacing w:val="0"/>
                <w:sz w:val="21"/>
                <w:szCs w:val="21"/>
                <w:highlight w:val="none"/>
                <w:shd w:val="clear" w:color="auto" w:fill="auto"/>
                <w:vertAlign w:val="baseline"/>
              </w:rPr>
              <w:t>品目预算(元)</w:t>
            </w:r>
          </w:p>
        </w:tc>
        <w:tc>
          <w:tcPr>
            <w:tcW w:w="0" w:type="auto"/>
            <w:vAlign w:val="center"/>
          </w:tcPr>
          <w:p>
            <w:pPr>
              <w:pStyle w:val="20"/>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right="0"/>
              <w:jc w:val="center"/>
              <w:textAlignment w:val="auto"/>
              <w:rPr>
                <w:rFonts w:hint="eastAsia" w:ascii="宋体" w:hAnsi="宋体" w:eastAsia="宋体" w:cs="宋体"/>
                <w:b/>
                <w:bCs/>
                <w:i w:val="0"/>
                <w:iCs w:val="0"/>
                <w:caps w:val="0"/>
                <w:color w:val="auto"/>
                <w:spacing w:val="0"/>
                <w:sz w:val="21"/>
                <w:szCs w:val="21"/>
                <w:highlight w:val="none"/>
                <w:shd w:val="clear" w:color="auto" w:fill="auto"/>
                <w:vertAlign w:val="baseline"/>
              </w:rPr>
            </w:pPr>
            <w:r>
              <w:rPr>
                <w:rFonts w:hint="eastAsia" w:ascii="宋体" w:hAnsi="宋体" w:eastAsia="宋体" w:cs="宋体"/>
                <w:b/>
                <w:bCs/>
                <w:i w:val="0"/>
                <w:iCs w:val="0"/>
                <w:caps w:val="0"/>
                <w:color w:val="auto"/>
                <w:spacing w:val="0"/>
                <w:sz w:val="21"/>
                <w:szCs w:val="21"/>
                <w:highlight w:val="none"/>
                <w:shd w:val="clear" w:color="auto" w:fill="auto"/>
                <w:vertAlign w:val="baseline"/>
              </w:rPr>
              <w:t>最高限价(元)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2" w:hRule="atLeast"/>
        </w:trPr>
        <w:tc>
          <w:tcPr>
            <w:tcW w:w="787" w:type="dxa"/>
            <w:vAlign w:val="center"/>
          </w:tcPr>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right="0"/>
              <w:jc w:val="center"/>
              <w:textAlignment w:val="auto"/>
              <w:rPr>
                <w:rFonts w:hint="eastAsia" w:ascii="宋体" w:hAnsi="宋体" w:eastAsia="宋体" w:cs="宋体"/>
                <w:b w:val="0"/>
                <w:bCs w:val="0"/>
                <w:i w:val="0"/>
                <w:iCs w:val="0"/>
                <w:caps w:val="0"/>
                <w:color w:val="auto"/>
                <w:spacing w:val="0"/>
                <w:sz w:val="21"/>
                <w:szCs w:val="21"/>
                <w:highlight w:val="none"/>
                <w:shd w:val="clear" w:color="auto" w:fill="auto"/>
                <w:vertAlign w:val="baseline"/>
              </w:rPr>
            </w:pPr>
            <w:r>
              <w:rPr>
                <w:rFonts w:hint="eastAsia" w:ascii="宋体" w:hAnsi="宋体" w:eastAsia="宋体" w:cs="宋体"/>
              </w:rPr>
              <w:t>4-1</w:t>
            </w:r>
          </w:p>
        </w:tc>
        <w:tc>
          <w:tcPr>
            <w:tcW w:w="1125" w:type="dxa"/>
            <w:vAlign w:val="center"/>
          </w:tcPr>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right="0"/>
              <w:jc w:val="center"/>
              <w:textAlignment w:val="auto"/>
              <w:rPr>
                <w:rFonts w:hint="eastAsia" w:ascii="宋体" w:hAnsi="宋体" w:eastAsia="宋体" w:cs="宋体"/>
                <w:b w:val="0"/>
                <w:bCs w:val="0"/>
                <w:i w:val="0"/>
                <w:iCs w:val="0"/>
                <w:caps w:val="0"/>
                <w:color w:val="auto"/>
                <w:spacing w:val="0"/>
                <w:sz w:val="21"/>
                <w:szCs w:val="21"/>
                <w:highlight w:val="none"/>
                <w:shd w:val="clear" w:color="auto" w:fill="auto"/>
                <w:vertAlign w:val="baseline"/>
              </w:rPr>
            </w:pPr>
            <w:r>
              <w:rPr>
                <w:rFonts w:hint="eastAsia" w:ascii="宋体" w:hAnsi="宋体" w:eastAsia="宋体" w:cs="宋体"/>
              </w:rPr>
              <w:t>行业应用软件开发服务</w:t>
            </w:r>
          </w:p>
        </w:tc>
        <w:tc>
          <w:tcPr>
            <w:tcW w:w="1155" w:type="dxa"/>
            <w:vAlign w:val="center"/>
          </w:tcPr>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right="0"/>
              <w:jc w:val="center"/>
              <w:textAlignment w:val="auto"/>
              <w:rPr>
                <w:rFonts w:hint="eastAsia" w:ascii="宋体" w:hAnsi="宋体" w:eastAsia="宋体" w:cs="宋体"/>
                <w:b w:val="0"/>
                <w:bCs w:val="0"/>
                <w:i w:val="0"/>
                <w:iCs w:val="0"/>
                <w:caps w:val="0"/>
                <w:color w:val="auto"/>
                <w:spacing w:val="0"/>
                <w:sz w:val="21"/>
                <w:szCs w:val="21"/>
                <w:highlight w:val="none"/>
                <w:shd w:val="clear" w:color="auto" w:fill="auto"/>
                <w:vertAlign w:val="baseline"/>
              </w:rPr>
            </w:pPr>
            <w:r>
              <w:rPr>
                <w:rFonts w:hint="eastAsia" w:ascii="宋体" w:hAnsi="宋体" w:eastAsia="宋体" w:cs="宋体"/>
              </w:rPr>
              <w:t>8930000</w:t>
            </w:r>
          </w:p>
        </w:tc>
        <w:tc>
          <w:tcPr>
            <w:tcW w:w="977" w:type="dxa"/>
            <w:vAlign w:val="center"/>
          </w:tcPr>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right="0"/>
              <w:jc w:val="center"/>
              <w:textAlignment w:val="auto"/>
              <w:rPr>
                <w:rFonts w:hint="eastAsia" w:ascii="宋体" w:hAnsi="宋体" w:eastAsia="宋体" w:cs="宋体"/>
                <w:b w:val="0"/>
                <w:bCs w:val="0"/>
                <w:i w:val="0"/>
                <w:iCs w:val="0"/>
                <w:caps w:val="0"/>
                <w:color w:val="auto"/>
                <w:spacing w:val="0"/>
                <w:sz w:val="21"/>
                <w:szCs w:val="21"/>
                <w:highlight w:val="none"/>
                <w:shd w:val="clear" w:color="auto" w:fill="auto"/>
                <w:vertAlign w:val="baseline"/>
              </w:rPr>
            </w:pPr>
            <w:r>
              <w:rPr>
                <w:rFonts w:hint="eastAsia" w:ascii="宋体" w:hAnsi="宋体" w:eastAsia="宋体" w:cs="宋体"/>
              </w:rPr>
              <w:t>1(项)</w:t>
            </w:r>
          </w:p>
        </w:tc>
        <w:tc>
          <w:tcPr>
            <w:tcW w:w="0" w:type="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right="0"/>
              <w:jc w:val="center"/>
              <w:textAlignment w:val="auto"/>
              <w:rPr>
                <w:rFonts w:hint="eastAsia" w:ascii="宋体" w:hAnsi="宋体" w:eastAsia="宋体" w:cs="宋体"/>
                <w:b w:val="0"/>
                <w:bCs w:val="0"/>
                <w:i w:val="0"/>
                <w:iCs w:val="0"/>
                <w:caps w:val="0"/>
                <w:color w:val="auto"/>
                <w:spacing w:val="0"/>
                <w:sz w:val="21"/>
                <w:szCs w:val="21"/>
                <w:highlight w:val="none"/>
                <w:shd w:val="clear" w:color="auto" w:fill="auto"/>
                <w:vertAlign w:val="baseline"/>
              </w:rPr>
            </w:pPr>
            <w:r>
              <w:rPr>
                <w:rFonts w:hint="eastAsia" w:ascii="宋体" w:hAnsi="宋体" w:eastAsia="宋体" w:cs="宋体"/>
              </w:rPr>
              <w:t>详见采购文件</w:t>
            </w:r>
          </w:p>
        </w:tc>
        <w:tc>
          <w:tcPr>
            <w:tcW w:w="0" w:type="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right="0"/>
              <w:jc w:val="center"/>
              <w:textAlignment w:val="auto"/>
              <w:rPr>
                <w:rFonts w:hint="eastAsia" w:ascii="宋体" w:hAnsi="宋体" w:eastAsia="宋体" w:cs="宋体"/>
                <w:b w:val="0"/>
                <w:bCs w:val="0"/>
                <w:i w:val="0"/>
                <w:iCs w:val="0"/>
                <w:caps w:val="0"/>
                <w:color w:val="auto"/>
                <w:spacing w:val="0"/>
                <w:sz w:val="21"/>
                <w:szCs w:val="21"/>
                <w:highlight w:val="none"/>
                <w:shd w:val="clear" w:color="auto" w:fill="auto"/>
                <w:vertAlign w:val="baseline"/>
              </w:rPr>
            </w:pPr>
            <w:r>
              <w:rPr>
                <w:rFonts w:hint="eastAsia" w:ascii="宋体" w:hAnsi="宋体" w:eastAsia="宋体" w:cs="宋体"/>
              </w:rPr>
              <w:t>8,930,000.00</w:t>
            </w:r>
          </w:p>
        </w:tc>
        <w:tc>
          <w:tcPr>
            <w:tcW w:w="0" w:type="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right="0"/>
              <w:jc w:val="center"/>
              <w:textAlignment w:val="auto"/>
              <w:rPr>
                <w:rFonts w:hint="eastAsia" w:ascii="宋体" w:hAnsi="宋体" w:eastAsia="宋体" w:cs="宋体"/>
                <w:b w:val="0"/>
                <w:bCs w:val="0"/>
                <w:i w:val="0"/>
                <w:iCs w:val="0"/>
                <w:caps w:val="0"/>
                <w:color w:val="auto"/>
                <w:spacing w:val="0"/>
                <w:sz w:val="21"/>
                <w:szCs w:val="21"/>
                <w:highlight w:val="none"/>
                <w:shd w:val="clear" w:color="auto" w:fill="auto"/>
                <w:vertAlign w:val="baseline"/>
              </w:rPr>
            </w:pPr>
            <w:r>
              <w:rPr>
                <w:rFonts w:hint="eastAsia" w:ascii="宋体" w:hAnsi="宋体" w:eastAsia="宋体" w:cs="宋体"/>
              </w:rPr>
              <w:t>8,930,000.00</w:t>
            </w:r>
          </w:p>
        </w:tc>
      </w:tr>
    </w:tbl>
    <w:p>
      <w:pPr>
        <w:pStyle w:val="20"/>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157" w:beforeLines="50" w:beforeAutospacing="0" w:after="0" w:afterAutospacing="0" w:line="360" w:lineRule="auto"/>
        <w:ind w:left="0" w:leftChars="0" w:right="0" w:firstLine="1050" w:firstLineChars="500"/>
        <w:textAlignment w:val="auto"/>
        <w:rPr>
          <w:rFonts w:hint="eastAsia" w:ascii="宋体" w:hAnsi="宋体" w:eastAsia="宋体" w:cs="宋体"/>
          <w:i w:val="0"/>
          <w:iCs w:val="0"/>
          <w:caps w:val="0"/>
          <w:color w:val="auto"/>
          <w:spacing w:val="0"/>
          <w:sz w:val="21"/>
          <w:szCs w:val="21"/>
          <w:highlight w:val="none"/>
          <w:shd w:val="clear" w:color="auto" w:fill="auto"/>
        </w:rPr>
      </w:pPr>
      <w:r>
        <w:rPr>
          <w:rFonts w:hint="eastAsia" w:ascii="宋体" w:hAnsi="宋体" w:eastAsia="宋体" w:cs="宋体"/>
          <w:i w:val="0"/>
          <w:iCs w:val="0"/>
          <w:caps w:val="0"/>
          <w:color w:val="auto"/>
          <w:spacing w:val="0"/>
          <w:sz w:val="21"/>
          <w:szCs w:val="21"/>
          <w:highlight w:val="none"/>
          <w:shd w:val="clear" w:color="auto" w:fill="auto"/>
        </w:rPr>
        <w:t>本合同包不接受联合体投标</w:t>
      </w:r>
    </w:p>
    <w:p>
      <w:pPr>
        <w:pStyle w:val="20"/>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firstLine="1050" w:firstLineChars="500"/>
        <w:textAlignment w:val="auto"/>
        <w:rPr>
          <w:rFonts w:hint="eastAsia" w:ascii="宋体" w:hAnsi="宋体" w:eastAsia="宋体" w:cs="宋体"/>
          <w:i w:val="0"/>
          <w:iCs w:val="0"/>
          <w:caps w:val="0"/>
          <w:color w:val="auto"/>
          <w:spacing w:val="0"/>
          <w:sz w:val="21"/>
          <w:szCs w:val="21"/>
          <w:highlight w:val="none"/>
          <w:shd w:val="clear" w:color="auto" w:fill="auto"/>
        </w:rPr>
      </w:pPr>
      <w:r>
        <w:rPr>
          <w:rFonts w:hint="eastAsia" w:ascii="宋体" w:hAnsi="宋体" w:eastAsia="宋体" w:cs="宋体"/>
          <w:i w:val="0"/>
          <w:iCs w:val="0"/>
          <w:caps w:val="0"/>
          <w:color w:val="auto"/>
          <w:spacing w:val="0"/>
          <w:sz w:val="21"/>
          <w:szCs w:val="21"/>
          <w:highlight w:val="none"/>
          <w:shd w:val="clear" w:color="auto" w:fill="auto"/>
        </w:rPr>
        <w:t>合同履行期限：6个月</w:t>
      </w:r>
    </w:p>
    <w:p>
      <w:pPr>
        <w:pStyle w:val="20"/>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157" w:beforeLines="50" w:beforeAutospacing="0" w:after="157" w:afterLines="50" w:afterAutospacing="0" w:line="360" w:lineRule="auto"/>
        <w:ind w:right="0"/>
        <w:textAlignment w:val="auto"/>
        <w:rPr>
          <w:rFonts w:hint="eastAsia" w:ascii="宋体" w:hAnsi="宋体" w:eastAsia="宋体" w:cs="宋体"/>
          <w:b/>
          <w:bCs/>
          <w:i w:val="0"/>
          <w:iCs w:val="0"/>
          <w:caps w:val="0"/>
          <w:color w:val="auto"/>
          <w:spacing w:val="0"/>
          <w:sz w:val="21"/>
          <w:szCs w:val="21"/>
          <w:highlight w:val="none"/>
          <w:shd w:val="clear" w:color="auto" w:fill="auto"/>
        </w:rPr>
      </w:pPr>
      <w:r>
        <w:rPr>
          <w:rFonts w:hint="eastAsia" w:ascii="宋体" w:hAnsi="宋体" w:eastAsia="宋体" w:cs="宋体"/>
          <w:b/>
          <w:bCs/>
          <w:i w:val="0"/>
          <w:iCs w:val="0"/>
          <w:caps w:val="0"/>
          <w:color w:val="auto"/>
          <w:spacing w:val="0"/>
          <w:sz w:val="21"/>
          <w:szCs w:val="21"/>
          <w:highlight w:val="none"/>
          <w:shd w:val="clear" w:color="auto" w:fill="auto"/>
        </w:rPr>
        <w:t>二、申请人的资格要求：</w:t>
      </w:r>
    </w:p>
    <w:p>
      <w:pPr>
        <w:pStyle w:val="20"/>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firstLine="420" w:firstLineChars="200"/>
        <w:textAlignment w:val="auto"/>
        <w:rPr>
          <w:rFonts w:hint="eastAsia" w:ascii="宋体" w:hAnsi="宋体" w:eastAsia="宋体" w:cs="宋体"/>
          <w:i w:val="0"/>
          <w:iCs w:val="0"/>
          <w:caps w:val="0"/>
          <w:color w:val="auto"/>
          <w:spacing w:val="0"/>
          <w:sz w:val="21"/>
          <w:szCs w:val="21"/>
          <w:highlight w:val="none"/>
          <w:shd w:val="clear" w:color="auto" w:fill="auto"/>
        </w:rPr>
      </w:pPr>
      <w:r>
        <w:rPr>
          <w:rFonts w:hint="eastAsia" w:ascii="宋体" w:hAnsi="宋体" w:eastAsia="宋体" w:cs="宋体"/>
          <w:i w:val="0"/>
          <w:iCs w:val="0"/>
          <w:caps w:val="0"/>
          <w:color w:val="auto"/>
          <w:spacing w:val="0"/>
          <w:sz w:val="21"/>
          <w:szCs w:val="21"/>
          <w:highlight w:val="none"/>
          <w:shd w:val="clear" w:color="auto" w:fill="auto"/>
        </w:rPr>
        <w:t>1.满足《中华人民共和国政府采购法》第二十二条规定;</w:t>
      </w:r>
    </w:p>
    <w:p>
      <w:pPr>
        <w:pStyle w:val="20"/>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firstLine="420" w:firstLineChars="200"/>
        <w:textAlignment w:val="auto"/>
        <w:rPr>
          <w:rFonts w:hint="eastAsia" w:ascii="宋体" w:hAnsi="宋体" w:eastAsia="宋体" w:cs="宋体"/>
          <w:i w:val="0"/>
          <w:iCs w:val="0"/>
          <w:caps w:val="0"/>
          <w:color w:val="auto"/>
          <w:spacing w:val="0"/>
          <w:sz w:val="21"/>
          <w:szCs w:val="21"/>
          <w:highlight w:val="none"/>
          <w:shd w:val="clear" w:color="auto" w:fill="auto"/>
        </w:rPr>
      </w:pPr>
      <w:r>
        <w:rPr>
          <w:rFonts w:hint="eastAsia" w:ascii="宋体" w:hAnsi="宋体" w:eastAsia="宋体" w:cs="宋体"/>
          <w:i w:val="0"/>
          <w:iCs w:val="0"/>
          <w:caps w:val="0"/>
          <w:color w:val="auto"/>
          <w:spacing w:val="0"/>
          <w:sz w:val="21"/>
          <w:szCs w:val="21"/>
          <w:highlight w:val="none"/>
          <w:shd w:val="clear" w:color="auto" w:fill="auto"/>
        </w:rPr>
        <w:t>2.落实政府采购政策需满足的资格要求：</w:t>
      </w:r>
    </w:p>
    <w:p>
      <w:pPr>
        <w:pStyle w:val="20"/>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630" w:leftChars="300" w:right="0" w:firstLine="0" w:firstLineChars="0"/>
        <w:textAlignment w:val="auto"/>
        <w:rPr>
          <w:rFonts w:hint="eastAsia" w:ascii="宋体" w:hAnsi="宋体" w:eastAsia="宋体" w:cs="宋体"/>
          <w:i w:val="0"/>
          <w:iCs w:val="0"/>
          <w:caps w:val="0"/>
          <w:color w:val="auto"/>
          <w:spacing w:val="0"/>
          <w:sz w:val="21"/>
          <w:szCs w:val="21"/>
          <w:highlight w:val="none"/>
          <w:shd w:val="clear" w:color="auto" w:fill="auto"/>
        </w:rPr>
      </w:pPr>
      <w:r>
        <w:rPr>
          <w:rFonts w:hint="eastAsia" w:ascii="宋体" w:hAnsi="宋体" w:eastAsia="宋体" w:cs="宋体"/>
          <w:i w:val="0"/>
          <w:iCs w:val="0"/>
          <w:caps w:val="0"/>
          <w:color w:val="auto"/>
          <w:spacing w:val="0"/>
          <w:sz w:val="21"/>
          <w:szCs w:val="21"/>
          <w:highlight w:val="none"/>
          <w:shd w:val="clear" w:color="auto" w:fill="auto"/>
        </w:rPr>
        <w:t>合同包1(互联网医院功能深化等项目)落实政府采购政策需满足的资格要求如下:</w:t>
      </w:r>
    </w:p>
    <w:p>
      <w:pPr>
        <w:pStyle w:val="20"/>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840" w:leftChars="400" w:right="0" w:firstLine="0" w:firstLineChars="0"/>
        <w:textAlignment w:val="auto"/>
        <w:rPr>
          <w:rFonts w:hint="eastAsia" w:ascii="宋体" w:hAnsi="宋体" w:eastAsia="宋体" w:cs="宋体"/>
          <w:i w:val="0"/>
          <w:iCs w:val="0"/>
          <w:caps w:val="0"/>
          <w:color w:val="auto"/>
          <w:spacing w:val="0"/>
          <w:sz w:val="21"/>
          <w:szCs w:val="21"/>
          <w:highlight w:val="none"/>
          <w:shd w:val="clear" w:color="auto" w:fill="auto"/>
        </w:rPr>
      </w:pPr>
      <w:r>
        <w:rPr>
          <w:rFonts w:hint="eastAsia" w:ascii="宋体" w:hAnsi="宋体" w:eastAsia="宋体" w:cs="宋体"/>
          <w:i w:val="0"/>
          <w:iCs w:val="0"/>
          <w:caps w:val="0"/>
          <w:color w:val="auto"/>
          <w:spacing w:val="0"/>
          <w:sz w:val="21"/>
          <w:szCs w:val="21"/>
          <w:highlight w:val="none"/>
          <w:shd w:val="clear" w:color="auto" w:fill="auto"/>
        </w:rPr>
        <w:t>2.1、《政府采购促进中小企业发展管理办法》（财库〔2020〕46号）、《关于政府采购支持监狱企业发展有关问题的通知》（财库〔2014〕68号</w:t>
      </w:r>
    </w:p>
    <w:p>
      <w:pPr>
        <w:pStyle w:val="20"/>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840" w:leftChars="400" w:right="0" w:firstLine="0" w:firstLineChars="0"/>
        <w:textAlignment w:val="auto"/>
        <w:rPr>
          <w:rFonts w:hint="eastAsia" w:ascii="宋体" w:hAnsi="宋体" w:eastAsia="宋体" w:cs="宋体"/>
          <w:i w:val="0"/>
          <w:iCs w:val="0"/>
          <w:caps w:val="0"/>
          <w:color w:val="auto"/>
          <w:spacing w:val="0"/>
          <w:sz w:val="21"/>
          <w:szCs w:val="21"/>
          <w:highlight w:val="none"/>
          <w:shd w:val="clear" w:color="auto" w:fill="auto"/>
        </w:rPr>
      </w:pPr>
      <w:r>
        <w:rPr>
          <w:rFonts w:hint="eastAsia" w:ascii="宋体" w:hAnsi="宋体" w:eastAsia="宋体" w:cs="宋体"/>
          <w:i w:val="0"/>
          <w:iCs w:val="0"/>
          <w:caps w:val="0"/>
          <w:color w:val="auto"/>
          <w:spacing w:val="0"/>
          <w:sz w:val="21"/>
          <w:szCs w:val="21"/>
          <w:highlight w:val="none"/>
          <w:shd w:val="clear" w:color="auto" w:fill="auto"/>
        </w:rPr>
        <w:t>2.2、财政部、国家发展改革委《关于印发〈节能产品政府采购实施意见〉的通知》（财库〔2004〕185号）、财政部、国家环保总局联合印发《关于环境标志产品政府采购实施的意见》（财库〔2006〕90号）、国务院办公厅《关于建立政府强制采购节能产品制度的通知》（国办发〔2007〕51号）。</w:t>
      </w:r>
    </w:p>
    <w:p>
      <w:pPr>
        <w:pStyle w:val="20"/>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840" w:leftChars="400" w:right="0" w:firstLine="0" w:firstLineChars="0"/>
        <w:textAlignment w:val="auto"/>
        <w:rPr>
          <w:rFonts w:hint="eastAsia" w:ascii="宋体" w:hAnsi="宋体" w:eastAsia="宋体" w:cs="宋体"/>
          <w:i w:val="0"/>
          <w:iCs w:val="0"/>
          <w:caps w:val="0"/>
          <w:color w:val="auto"/>
          <w:spacing w:val="0"/>
          <w:sz w:val="21"/>
          <w:szCs w:val="21"/>
          <w:highlight w:val="none"/>
          <w:shd w:val="clear" w:color="auto" w:fill="auto"/>
        </w:rPr>
      </w:pPr>
      <w:r>
        <w:rPr>
          <w:rFonts w:hint="eastAsia" w:ascii="宋体" w:hAnsi="宋体" w:eastAsia="宋体" w:cs="宋体"/>
          <w:i w:val="0"/>
          <w:iCs w:val="0"/>
          <w:caps w:val="0"/>
          <w:color w:val="auto"/>
          <w:spacing w:val="0"/>
          <w:sz w:val="21"/>
          <w:szCs w:val="21"/>
          <w:highlight w:val="none"/>
          <w:shd w:val="clear" w:color="auto" w:fill="auto"/>
        </w:rPr>
        <w:t>2.3、陕西省财政厅关于印发《陕西省中小企业政府采购信用融资办法》（陕财办采〔2018〕23号）。</w:t>
      </w:r>
    </w:p>
    <w:p>
      <w:pPr>
        <w:pStyle w:val="20"/>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840" w:leftChars="400" w:right="0" w:firstLine="0" w:firstLineChars="0"/>
        <w:textAlignment w:val="auto"/>
        <w:rPr>
          <w:rFonts w:hint="eastAsia" w:ascii="宋体" w:hAnsi="宋体" w:eastAsia="宋体" w:cs="宋体"/>
          <w:i w:val="0"/>
          <w:iCs w:val="0"/>
          <w:caps w:val="0"/>
          <w:color w:val="auto"/>
          <w:spacing w:val="0"/>
          <w:sz w:val="21"/>
          <w:szCs w:val="21"/>
          <w:highlight w:val="none"/>
          <w:shd w:val="clear" w:color="auto" w:fill="auto"/>
        </w:rPr>
      </w:pPr>
      <w:r>
        <w:rPr>
          <w:rFonts w:hint="eastAsia" w:ascii="宋体" w:hAnsi="宋体" w:eastAsia="宋体" w:cs="宋体"/>
          <w:i w:val="0"/>
          <w:iCs w:val="0"/>
          <w:caps w:val="0"/>
          <w:color w:val="auto"/>
          <w:spacing w:val="0"/>
          <w:sz w:val="21"/>
          <w:szCs w:val="21"/>
          <w:highlight w:val="none"/>
          <w:shd w:val="clear" w:color="auto" w:fill="auto"/>
        </w:rPr>
        <w:t>2.4、详见招标文件第二章相关事项。</w:t>
      </w:r>
    </w:p>
    <w:p>
      <w:pPr>
        <w:pStyle w:val="20"/>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630" w:leftChars="300" w:right="0" w:firstLine="0" w:firstLineChars="0"/>
        <w:textAlignment w:val="auto"/>
        <w:rPr>
          <w:rFonts w:hint="eastAsia" w:ascii="宋体" w:hAnsi="宋体" w:eastAsia="宋体" w:cs="宋体"/>
          <w:i w:val="0"/>
          <w:iCs w:val="0"/>
          <w:caps w:val="0"/>
          <w:color w:val="auto"/>
          <w:spacing w:val="0"/>
          <w:sz w:val="21"/>
          <w:szCs w:val="21"/>
          <w:highlight w:val="none"/>
          <w:shd w:val="clear" w:color="auto" w:fill="auto"/>
        </w:rPr>
      </w:pPr>
      <w:r>
        <w:rPr>
          <w:rFonts w:hint="eastAsia" w:ascii="宋体" w:hAnsi="宋体" w:eastAsia="宋体" w:cs="宋体"/>
          <w:i w:val="0"/>
          <w:iCs w:val="0"/>
          <w:caps w:val="0"/>
          <w:color w:val="auto"/>
          <w:spacing w:val="0"/>
          <w:sz w:val="21"/>
          <w:szCs w:val="21"/>
          <w:highlight w:val="none"/>
          <w:shd w:val="clear" w:color="auto" w:fill="auto"/>
        </w:rPr>
        <w:t>合同包2(康复中心信息管理系统)落实政府采购政策需满足的资格要求如下:</w:t>
      </w:r>
    </w:p>
    <w:p>
      <w:pPr>
        <w:pStyle w:val="20"/>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840" w:leftChars="400" w:right="0" w:firstLine="0" w:firstLineChars="0"/>
        <w:textAlignment w:val="auto"/>
        <w:rPr>
          <w:rFonts w:hint="eastAsia" w:ascii="宋体" w:hAnsi="宋体" w:eastAsia="宋体" w:cs="宋体"/>
          <w:i w:val="0"/>
          <w:iCs w:val="0"/>
          <w:caps w:val="0"/>
          <w:color w:val="auto"/>
          <w:spacing w:val="0"/>
          <w:sz w:val="21"/>
          <w:szCs w:val="21"/>
          <w:highlight w:val="none"/>
          <w:shd w:val="clear" w:color="auto" w:fill="auto"/>
        </w:rPr>
      </w:pPr>
      <w:r>
        <w:rPr>
          <w:rFonts w:hint="eastAsia" w:ascii="宋体" w:hAnsi="宋体" w:eastAsia="宋体" w:cs="宋体"/>
          <w:i w:val="0"/>
          <w:iCs w:val="0"/>
          <w:caps w:val="0"/>
          <w:color w:val="auto"/>
          <w:spacing w:val="0"/>
          <w:sz w:val="21"/>
          <w:szCs w:val="21"/>
          <w:highlight w:val="none"/>
          <w:shd w:val="clear" w:color="auto" w:fill="auto"/>
        </w:rPr>
        <w:t>2.1、《政府采购促进中小企业发展管理办法》（财库〔2020〕46号）、《关于政府采购支持监狱企业发展有关问题的通知》（财库〔2014〕68号</w:t>
      </w:r>
    </w:p>
    <w:p>
      <w:pPr>
        <w:pStyle w:val="20"/>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840" w:leftChars="400" w:right="0" w:firstLine="0" w:firstLineChars="0"/>
        <w:textAlignment w:val="auto"/>
        <w:rPr>
          <w:rFonts w:hint="eastAsia" w:ascii="宋体" w:hAnsi="宋体" w:eastAsia="宋体" w:cs="宋体"/>
          <w:i w:val="0"/>
          <w:iCs w:val="0"/>
          <w:caps w:val="0"/>
          <w:color w:val="auto"/>
          <w:spacing w:val="0"/>
          <w:sz w:val="21"/>
          <w:szCs w:val="21"/>
          <w:highlight w:val="none"/>
          <w:shd w:val="clear" w:color="auto" w:fill="auto"/>
        </w:rPr>
      </w:pPr>
      <w:r>
        <w:rPr>
          <w:rFonts w:hint="eastAsia" w:ascii="宋体" w:hAnsi="宋体" w:eastAsia="宋体" w:cs="宋体"/>
          <w:i w:val="0"/>
          <w:iCs w:val="0"/>
          <w:caps w:val="0"/>
          <w:color w:val="auto"/>
          <w:spacing w:val="0"/>
          <w:sz w:val="21"/>
          <w:szCs w:val="21"/>
          <w:highlight w:val="none"/>
          <w:shd w:val="clear" w:color="auto" w:fill="auto"/>
        </w:rPr>
        <w:t>2.2、财政部、国家发展改革委《关于印发〈节能产品政府采购实施意见〉的通知》（财库〔2004〕185号）、财政部、国家环保总局联合印发《关于环境标志产品政府采购实施的意见》（财库〔2006〕90号）、国务院办公厅《关于建立政府强制采购节能产品制度的通知》（国办发〔2007〕51号）。</w:t>
      </w:r>
    </w:p>
    <w:p>
      <w:pPr>
        <w:pStyle w:val="20"/>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840" w:leftChars="400" w:right="0" w:firstLine="0" w:firstLineChars="0"/>
        <w:textAlignment w:val="auto"/>
        <w:rPr>
          <w:rFonts w:hint="eastAsia" w:ascii="宋体" w:hAnsi="宋体" w:eastAsia="宋体" w:cs="宋体"/>
          <w:i w:val="0"/>
          <w:iCs w:val="0"/>
          <w:caps w:val="0"/>
          <w:color w:val="auto"/>
          <w:spacing w:val="0"/>
          <w:sz w:val="21"/>
          <w:szCs w:val="21"/>
          <w:highlight w:val="none"/>
          <w:shd w:val="clear" w:color="auto" w:fill="auto"/>
        </w:rPr>
      </w:pPr>
      <w:r>
        <w:rPr>
          <w:rFonts w:hint="eastAsia" w:ascii="宋体" w:hAnsi="宋体" w:eastAsia="宋体" w:cs="宋体"/>
          <w:i w:val="0"/>
          <w:iCs w:val="0"/>
          <w:caps w:val="0"/>
          <w:color w:val="auto"/>
          <w:spacing w:val="0"/>
          <w:sz w:val="21"/>
          <w:szCs w:val="21"/>
          <w:highlight w:val="none"/>
          <w:shd w:val="clear" w:color="auto" w:fill="auto"/>
        </w:rPr>
        <w:t>2.3、陕西省财政厅关于印发《陕西省中小企业政府采购信用融资办法》（陕财办采〔2018〕23号）。</w:t>
      </w:r>
    </w:p>
    <w:p>
      <w:pPr>
        <w:pStyle w:val="20"/>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840" w:leftChars="400" w:right="0" w:firstLine="0" w:firstLineChars="0"/>
        <w:textAlignment w:val="auto"/>
        <w:rPr>
          <w:rFonts w:hint="eastAsia" w:ascii="宋体" w:hAnsi="宋体" w:eastAsia="宋体" w:cs="宋体"/>
          <w:i w:val="0"/>
          <w:iCs w:val="0"/>
          <w:caps w:val="0"/>
          <w:color w:val="auto"/>
          <w:spacing w:val="0"/>
          <w:sz w:val="21"/>
          <w:szCs w:val="21"/>
          <w:highlight w:val="none"/>
          <w:shd w:val="clear" w:color="auto" w:fill="auto"/>
        </w:rPr>
      </w:pPr>
      <w:r>
        <w:rPr>
          <w:rFonts w:hint="eastAsia" w:ascii="宋体" w:hAnsi="宋体" w:eastAsia="宋体" w:cs="宋体"/>
          <w:i w:val="0"/>
          <w:iCs w:val="0"/>
          <w:caps w:val="0"/>
          <w:color w:val="auto"/>
          <w:spacing w:val="0"/>
          <w:sz w:val="21"/>
          <w:szCs w:val="21"/>
          <w:highlight w:val="none"/>
          <w:shd w:val="clear" w:color="auto" w:fill="auto"/>
        </w:rPr>
        <w:t>2.4、详见招标文件第二章相关事项。</w:t>
      </w:r>
    </w:p>
    <w:p>
      <w:pPr>
        <w:pStyle w:val="20"/>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630" w:leftChars="300" w:right="0" w:firstLine="0" w:firstLineChars="0"/>
        <w:textAlignment w:val="auto"/>
        <w:rPr>
          <w:rFonts w:hint="eastAsia" w:ascii="宋体" w:hAnsi="宋体" w:eastAsia="宋体" w:cs="宋体"/>
          <w:i w:val="0"/>
          <w:iCs w:val="0"/>
          <w:caps w:val="0"/>
          <w:color w:val="auto"/>
          <w:spacing w:val="0"/>
          <w:sz w:val="21"/>
          <w:szCs w:val="21"/>
          <w:highlight w:val="none"/>
          <w:shd w:val="clear" w:color="auto" w:fill="auto"/>
        </w:rPr>
      </w:pPr>
      <w:r>
        <w:rPr>
          <w:rFonts w:hint="eastAsia" w:ascii="宋体" w:hAnsi="宋体" w:eastAsia="宋体" w:cs="宋体"/>
          <w:i w:val="0"/>
          <w:iCs w:val="0"/>
          <w:caps w:val="0"/>
          <w:color w:val="auto"/>
          <w:spacing w:val="0"/>
          <w:sz w:val="21"/>
          <w:szCs w:val="21"/>
          <w:highlight w:val="none"/>
          <w:shd w:val="clear" w:color="auto" w:fill="auto"/>
        </w:rPr>
        <w:t>合同包3(区域医疗中心建设)落实政府采购政策需满足的资格要求如下:</w:t>
      </w:r>
    </w:p>
    <w:p>
      <w:pPr>
        <w:pStyle w:val="20"/>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840" w:leftChars="400" w:right="0" w:firstLine="0" w:firstLineChars="0"/>
        <w:textAlignment w:val="auto"/>
        <w:rPr>
          <w:rFonts w:hint="eastAsia" w:ascii="宋体" w:hAnsi="宋体" w:eastAsia="宋体" w:cs="宋体"/>
          <w:i w:val="0"/>
          <w:iCs w:val="0"/>
          <w:caps w:val="0"/>
          <w:color w:val="auto"/>
          <w:spacing w:val="0"/>
          <w:sz w:val="21"/>
          <w:szCs w:val="21"/>
          <w:highlight w:val="none"/>
          <w:shd w:val="clear" w:color="auto" w:fill="auto"/>
        </w:rPr>
      </w:pPr>
      <w:r>
        <w:rPr>
          <w:rFonts w:hint="eastAsia" w:ascii="宋体" w:hAnsi="宋体" w:eastAsia="宋体" w:cs="宋体"/>
          <w:i w:val="0"/>
          <w:iCs w:val="0"/>
          <w:caps w:val="0"/>
          <w:color w:val="auto"/>
          <w:spacing w:val="0"/>
          <w:sz w:val="21"/>
          <w:szCs w:val="21"/>
          <w:highlight w:val="none"/>
          <w:shd w:val="clear" w:color="auto" w:fill="auto"/>
        </w:rPr>
        <w:t>2.1、《政府采购促进中小企业发展管理办法》（财库〔2020〕46号）、《关于政府采购支持监狱企业发展有关问题的通知》（财库〔2014〕68号</w:t>
      </w:r>
    </w:p>
    <w:p>
      <w:pPr>
        <w:pStyle w:val="20"/>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840" w:leftChars="400" w:right="0" w:firstLine="0" w:firstLineChars="0"/>
        <w:textAlignment w:val="auto"/>
        <w:rPr>
          <w:rFonts w:hint="eastAsia" w:ascii="宋体" w:hAnsi="宋体" w:eastAsia="宋体" w:cs="宋体"/>
          <w:i w:val="0"/>
          <w:iCs w:val="0"/>
          <w:caps w:val="0"/>
          <w:color w:val="auto"/>
          <w:spacing w:val="0"/>
          <w:sz w:val="21"/>
          <w:szCs w:val="21"/>
          <w:highlight w:val="none"/>
          <w:shd w:val="clear" w:color="auto" w:fill="auto"/>
        </w:rPr>
      </w:pPr>
      <w:r>
        <w:rPr>
          <w:rFonts w:hint="eastAsia" w:ascii="宋体" w:hAnsi="宋体" w:eastAsia="宋体" w:cs="宋体"/>
          <w:i w:val="0"/>
          <w:iCs w:val="0"/>
          <w:caps w:val="0"/>
          <w:color w:val="auto"/>
          <w:spacing w:val="0"/>
          <w:sz w:val="21"/>
          <w:szCs w:val="21"/>
          <w:highlight w:val="none"/>
          <w:shd w:val="clear" w:color="auto" w:fill="auto"/>
        </w:rPr>
        <w:t>2.2、财政部、国家发展改革委《关于印发〈节能产品政府采购实施意见〉的通知》（财库〔2004〕185号）、财政部、国家环保总局联合印发《关于环境标志产品政府采购实施的意见》（财库〔2006〕90号）、国务院办公厅《关于建立政府强制采购节能产品制度的通知》（国办发〔2007〕51号）。</w:t>
      </w:r>
    </w:p>
    <w:p>
      <w:pPr>
        <w:pStyle w:val="20"/>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840" w:leftChars="400" w:right="0" w:firstLine="0" w:firstLineChars="0"/>
        <w:textAlignment w:val="auto"/>
        <w:rPr>
          <w:rFonts w:hint="eastAsia" w:ascii="宋体" w:hAnsi="宋体" w:eastAsia="宋体" w:cs="宋体"/>
          <w:i w:val="0"/>
          <w:iCs w:val="0"/>
          <w:caps w:val="0"/>
          <w:color w:val="auto"/>
          <w:spacing w:val="0"/>
          <w:sz w:val="21"/>
          <w:szCs w:val="21"/>
          <w:highlight w:val="none"/>
          <w:shd w:val="clear" w:color="auto" w:fill="auto"/>
        </w:rPr>
      </w:pPr>
      <w:r>
        <w:rPr>
          <w:rFonts w:hint="eastAsia" w:ascii="宋体" w:hAnsi="宋体" w:eastAsia="宋体" w:cs="宋体"/>
          <w:i w:val="0"/>
          <w:iCs w:val="0"/>
          <w:caps w:val="0"/>
          <w:color w:val="auto"/>
          <w:spacing w:val="0"/>
          <w:sz w:val="21"/>
          <w:szCs w:val="21"/>
          <w:highlight w:val="none"/>
          <w:shd w:val="clear" w:color="auto" w:fill="auto"/>
        </w:rPr>
        <w:t>2.3、陕西省财政厅关于印发《陕西省中小企业政府采购信用融资办法》（陕财办采〔2018〕23号）。</w:t>
      </w:r>
    </w:p>
    <w:p>
      <w:pPr>
        <w:pStyle w:val="20"/>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840" w:leftChars="400" w:right="0" w:firstLine="0" w:firstLineChars="0"/>
        <w:textAlignment w:val="auto"/>
        <w:rPr>
          <w:rFonts w:hint="eastAsia" w:ascii="宋体" w:hAnsi="宋体" w:eastAsia="宋体" w:cs="宋体"/>
          <w:i w:val="0"/>
          <w:iCs w:val="0"/>
          <w:caps w:val="0"/>
          <w:color w:val="auto"/>
          <w:spacing w:val="0"/>
          <w:sz w:val="21"/>
          <w:szCs w:val="21"/>
          <w:highlight w:val="none"/>
          <w:shd w:val="clear" w:color="auto" w:fill="auto"/>
        </w:rPr>
      </w:pPr>
      <w:r>
        <w:rPr>
          <w:rFonts w:hint="eastAsia" w:ascii="宋体" w:hAnsi="宋体" w:eastAsia="宋体" w:cs="宋体"/>
          <w:i w:val="0"/>
          <w:iCs w:val="0"/>
          <w:caps w:val="0"/>
          <w:color w:val="auto"/>
          <w:spacing w:val="0"/>
          <w:sz w:val="21"/>
          <w:szCs w:val="21"/>
          <w:highlight w:val="none"/>
          <w:shd w:val="clear" w:color="auto" w:fill="auto"/>
        </w:rPr>
        <w:t>2.4、详见招标文件第二章相关事项。</w:t>
      </w:r>
    </w:p>
    <w:p>
      <w:pPr>
        <w:pStyle w:val="20"/>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630" w:leftChars="300" w:right="0" w:firstLine="0" w:firstLineChars="0"/>
        <w:textAlignment w:val="auto"/>
        <w:rPr>
          <w:rFonts w:hint="eastAsia" w:ascii="宋体" w:hAnsi="宋体" w:eastAsia="宋体" w:cs="宋体"/>
          <w:i w:val="0"/>
          <w:iCs w:val="0"/>
          <w:caps w:val="0"/>
          <w:color w:val="auto"/>
          <w:spacing w:val="0"/>
          <w:sz w:val="21"/>
          <w:szCs w:val="21"/>
          <w:highlight w:val="none"/>
          <w:shd w:val="clear" w:color="auto" w:fill="auto"/>
        </w:rPr>
      </w:pPr>
      <w:r>
        <w:rPr>
          <w:rFonts w:hint="eastAsia" w:ascii="宋体" w:hAnsi="宋体" w:eastAsia="宋体" w:cs="宋体"/>
          <w:i w:val="0"/>
          <w:iCs w:val="0"/>
          <w:caps w:val="0"/>
          <w:color w:val="auto"/>
          <w:spacing w:val="0"/>
          <w:sz w:val="21"/>
          <w:szCs w:val="21"/>
          <w:highlight w:val="none"/>
          <w:shd w:val="clear" w:color="auto" w:fill="auto"/>
        </w:rPr>
        <w:t>合同包4(智慧医疗管理系统建设及环境扩容服务项目)落实政府采购政策需满足的资格要求如下:</w:t>
      </w:r>
    </w:p>
    <w:p>
      <w:pPr>
        <w:pStyle w:val="20"/>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840" w:leftChars="400" w:right="0" w:firstLine="0" w:firstLineChars="0"/>
        <w:textAlignment w:val="auto"/>
        <w:rPr>
          <w:rFonts w:hint="eastAsia" w:ascii="宋体" w:hAnsi="宋体" w:eastAsia="宋体" w:cs="宋体"/>
          <w:i w:val="0"/>
          <w:iCs w:val="0"/>
          <w:caps w:val="0"/>
          <w:color w:val="auto"/>
          <w:spacing w:val="0"/>
          <w:sz w:val="21"/>
          <w:szCs w:val="21"/>
          <w:highlight w:val="none"/>
          <w:shd w:val="clear" w:color="auto" w:fill="auto"/>
        </w:rPr>
      </w:pPr>
      <w:r>
        <w:rPr>
          <w:rFonts w:hint="eastAsia" w:ascii="宋体" w:hAnsi="宋体" w:eastAsia="宋体" w:cs="宋体"/>
          <w:i w:val="0"/>
          <w:iCs w:val="0"/>
          <w:caps w:val="0"/>
          <w:color w:val="auto"/>
          <w:spacing w:val="0"/>
          <w:sz w:val="21"/>
          <w:szCs w:val="21"/>
          <w:highlight w:val="none"/>
          <w:shd w:val="clear" w:color="auto" w:fill="auto"/>
        </w:rPr>
        <w:t>2.1、《政府采购促进中小企业发展管理办法》（财库〔2020〕46号）、《关于政府采购支持监狱企业发展有关问题的通知》（财库〔2014〕68号</w:t>
      </w:r>
    </w:p>
    <w:p>
      <w:pPr>
        <w:pStyle w:val="20"/>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840" w:leftChars="400" w:right="0" w:firstLine="0" w:firstLineChars="0"/>
        <w:textAlignment w:val="auto"/>
        <w:rPr>
          <w:rFonts w:hint="eastAsia" w:ascii="宋体" w:hAnsi="宋体" w:eastAsia="宋体" w:cs="宋体"/>
          <w:i w:val="0"/>
          <w:iCs w:val="0"/>
          <w:caps w:val="0"/>
          <w:color w:val="auto"/>
          <w:spacing w:val="0"/>
          <w:sz w:val="21"/>
          <w:szCs w:val="21"/>
          <w:highlight w:val="none"/>
          <w:shd w:val="clear" w:color="auto" w:fill="auto"/>
        </w:rPr>
      </w:pPr>
      <w:r>
        <w:rPr>
          <w:rFonts w:hint="eastAsia" w:ascii="宋体" w:hAnsi="宋体" w:eastAsia="宋体" w:cs="宋体"/>
          <w:i w:val="0"/>
          <w:iCs w:val="0"/>
          <w:caps w:val="0"/>
          <w:color w:val="auto"/>
          <w:spacing w:val="0"/>
          <w:sz w:val="21"/>
          <w:szCs w:val="21"/>
          <w:highlight w:val="none"/>
          <w:shd w:val="clear" w:color="auto" w:fill="auto"/>
        </w:rPr>
        <w:t>2.2、财政部、国家发展改革委《关于印发〈节能产品政府采购实施意见〉的通知》（财库〔2004〕185号）、财政部、国家环保总局联合印发《关于环境标志产品政府采购实施的意见》（财库〔2006〕90号）、国务院办公厅《关于建立政府强制采购节能产品制度的通知》（国办发〔2007〕51号）。</w:t>
      </w:r>
    </w:p>
    <w:p>
      <w:pPr>
        <w:pStyle w:val="20"/>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840" w:leftChars="400" w:right="0" w:firstLine="0" w:firstLineChars="0"/>
        <w:textAlignment w:val="auto"/>
        <w:rPr>
          <w:rFonts w:hint="eastAsia" w:ascii="宋体" w:hAnsi="宋体" w:eastAsia="宋体" w:cs="宋体"/>
          <w:i w:val="0"/>
          <w:iCs w:val="0"/>
          <w:caps w:val="0"/>
          <w:color w:val="auto"/>
          <w:spacing w:val="0"/>
          <w:sz w:val="21"/>
          <w:szCs w:val="21"/>
          <w:highlight w:val="none"/>
          <w:shd w:val="clear" w:color="auto" w:fill="auto"/>
        </w:rPr>
      </w:pPr>
      <w:r>
        <w:rPr>
          <w:rFonts w:hint="eastAsia" w:ascii="宋体" w:hAnsi="宋体" w:eastAsia="宋体" w:cs="宋体"/>
          <w:i w:val="0"/>
          <w:iCs w:val="0"/>
          <w:caps w:val="0"/>
          <w:color w:val="auto"/>
          <w:spacing w:val="0"/>
          <w:sz w:val="21"/>
          <w:szCs w:val="21"/>
          <w:highlight w:val="none"/>
          <w:shd w:val="clear" w:color="auto" w:fill="auto"/>
        </w:rPr>
        <w:t>2.3、陕西省财政厅关于印发《陕西省中小企业政府采购信用融资办法》（陕财办采〔2018〕23号）。</w:t>
      </w:r>
    </w:p>
    <w:p>
      <w:pPr>
        <w:pStyle w:val="20"/>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840" w:leftChars="400" w:right="0" w:firstLine="0" w:firstLineChars="0"/>
        <w:textAlignment w:val="auto"/>
        <w:rPr>
          <w:rFonts w:hint="eastAsia" w:ascii="宋体" w:hAnsi="宋体" w:eastAsia="宋体" w:cs="宋体"/>
          <w:i w:val="0"/>
          <w:iCs w:val="0"/>
          <w:caps w:val="0"/>
          <w:color w:val="auto"/>
          <w:spacing w:val="0"/>
          <w:sz w:val="21"/>
          <w:szCs w:val="21"/>
          <w:highlight w:val="none"/>
          <w:shd w:val="clear" w:color="auto" w:fill="auto"/>
        </w:rPr>
      </w:pPr>
      <w:r>
        <w:rPr>
          <w:rFonts w:hint="eastAsia" w:ascii="宋体" w:hAnsi="宋体" w:eastAsia="宋体" w:cs="宋体"/>
          <w:i w:val="0"/>
          <w:iCs w:val="0"/>
          <w:caps w:val="0"/>
          <w:color w:val="auto"/>
          <w:spacing w:val="0"/>
          <w:sz w:val="21"/>
          <w:szCs w:val="21"/>
          <w:highlight w:val="none"/>
          <w:shd w:val="clear" w:color="auto" w:fill="auto"/>
        </w:rPr>
        <w:t>2.4、详见招标文件第二章相关事项。</w:t>
      </w:r>
    </w:p>
    <w:p>
      <w:pPr>
        <w:pStyle w:val="20"/>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firstLine="420" w:firstLineChars="200"/>
        <w:textAlignment w:val="auto"/>
        <w:rPr>
          <w:rFonts w:hint="eastAsia" w:ascii="宋体" w:hAnsi="宋体" w:eastAsia="宋体" w:cs="宋体"/>
          <w:i w:val="0"/>
          <w:iCs w:val="0"/>
          <w:caps w:val="0"/>
          <w:color w:val="auto"/>
          <w:spacing w:val="0"/>
          <w:sz w:val="21"/>
          <w:szCs w:val="21"/>
          <w:highlight w:val="none"/>
          <w:shd w:val="clear" w:color="auto" w:fill="auto"/>
        </w:rPr>
      </w:pPr>
      <w:r>
        <w:rPr>
          <w:rFonts w:hint="eastAsia" w:ascii="宋体" w:hAnsi="宋体" w:eastAsia="宋体" w:cs="宋体"/>
          <w:i w:val="0"/>
          <w:iCs w:val="0"/>
          <w:caps w:val="0"/>
          <w:color w:val="auto"/>
          <w:spacing w:val="0"/>
          <w:sz w:val="21"/>
          <w:szCs w:val="21"/>
          <w:highlight w:val="none"/>
          <w:shd w:val="clear" w:color="auto" w:fill="auto"/>
        </w:rPr>
        <w:t>3.本项目的特定资格要求：</w:t>
      </w:r>
    </w:p>
    <w:p>
      <w:pPr>
        <w:pStyle w:val="20"/>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630" w:leftChars="300" w:right="0" w:firstLine="0" w:firstLineChars="0"/>
        <w:textAlignment w:val="auto"/>
        <w:rPr>
          <w:rFonts w:hint="eastAsia" w:ascii="宋体" w:hAnsi="宋体" w:eastAsia="宋体" w:cs="宋体"/>
          <w:i w:val="0"/>
          <w:iCs w:val="0"/>
          <w:caps w:val="0"/>
          <w:color w:val="auto"/>
          <w:spacing w:val="0"/>
          <w:sz w:val="21"/>
          <w:szCs w:val="21"/>
          <w:highlight w:val="none"/>
          <w:shd w:val="clear" w:color="auto" w:fill="auto"/>
        </w:rPr>
      </w:pPr>
      <w:r>
        <w:rPr>
          <w:rFonts w:hint="eastAsia" w:ascii="宋体" w:hAnsi="宋体" w:eastAsia="宋体" w:cs="宋体"/>
          <w:i w:val="0"/>
          <w:iCs w:val="0"/>
          <w:caps w:val="0"/>
          <w:color w:val="auto"/>
          <w:spacing w:val="0"/>
          <w:sz w:val="21"/>
          <w:szCs w:val="21"/>
          <w:highlight w:val="none"/>
          <w:shd w:val="clear" w:color="auto" w:fill="auto"/>
        </w:rPr>
        <w:t>合同包1(互联网医院功能深化等项目)特定资格要求如下:</w:t>
      </w:r>
    </w:p>
    <w:p>
      <w:pPr>
        <w:pStyle w:val="20"/>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840" w:leftChars="400" w:right="0" w:firstLine="0" w:firstLineChars="0"/>
        <w:textAlignment w:val="auto"/>
        <w:rPr>
          <w:rFonts w:hint="eastAsia" w:ascii="宋体" w:hAnsi="宋体" w:eastAsia="宋体" w:cs="宋体"/>
          <w:i w:val="0"/>
          <w:iCs w:val="0"/>
          <w:caps w:val="0"/>
          <w:color w:val="auto"/>
          <w:spacing w:val="0"/>
          <w:sz w:val="21"/>
          <w:szCs w:val="21"/>
          <w:highlight w:val="none"/>
          <w:shd w:val="clear" w:color="auto" w:fill="auto"/>
        </w:rPr>
      </w:pPr>
      <w:r>
        <w:rPr>
          <w:rFonts w:hint="eastAsia" w:ascii="宋体" w:hAnsi="宋体" w:eastAsia="宋体" w:cs="宋体"/>
          <w:i w:val="0"/>
          <w:iCs w:val="0"/>
          <w:caps w:val="0"/>
          <w:color w:val="auto"/>
          <w:spacing w:val="0"/>
          <w:sz w:val="21"/>
          <w:szCs w:val="21"/>
          <w:highlight w:val="none"/>
          <w:shd w:val="clear" w:color="auto" w:fill="auto"/>
        </w:rPr>
        <w:t>无</w:t>
      </w:r>
    </w:p>
    <w:p>
      <w:pPr>
        <w:pStyle w:val="20"/>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630" w:leftChars="300" w:right="0" w:firstLine="0" w:firstLineChars="0"/>
        <w:textAlignment w:val="auto"/>
        <w:rPr>
          <w:rFonts w:hint="eastAsia" w:ascii="宋体" w:hAnsi="宋体" w:eastAsia="宋体" w:cs="宋体"/>
          <w:i w:val="0"/>
          <w:iCs w:val="0"/>
          <w:caps w:val="0"/>
          <w:color w:val="auto"/>
          <w:spacing w:val="0"/>
          <w:sz w:val="21"/>
          <w:szCs w:val="21"/>
          <w:highlight w:val="none"/>
          <w:shd w:val="clear" w:color="auto" w:fill="auto"/>
        </w:rPr>
      </w:pPr>
      <w:r>
        <w:rPr>
          <w:rFonts w:hint="eastAsia" w:ascii="宋体" w:hAnsi="宋体" w:eastAsia="宋体" w:cs="宋体"/>
          <w:i w:val="0"/>
          <w:iCs w:val="0"/>
          <w:caps w:val="0"/>
          <w:color w:val="auto"/>
          <w:spacing w:val="0"/>
          <w:sz w:val="21"/>
          <w:szCs w:val="21"/>
          <w:highlight w:val="none"/>
          <w:shd w:val="clear" w:color="auto" w:fill="auto"/>
        </w:rPr>
        <w:t>合同包2(康复中心信息管理系统)特定资格要求如下:</w:t>
      </w:r>
    </w:p>
    <w:p>
      <w:pPr>
        <w:pStyle w:val="20"/>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840" w:leftChars="400" w:right="0" w:firstLine="0" w:firstLineChars="0"/>
        <w:textAlignment w:val="auto"/>
        <w:rPr>
          <w:rFonts w:hint="eastAsia" w:ascii="宋体" w:hAnsi="宋体" w:eastAsia="宋体" w:cs="宋体"/>
          <w:i w:val="0"/>
          <w:iCs w:val="0"/>
          <w:caps w:val="0"/>
          <w:color w:val="auto"/>
          <w:spacing w:val="0"/>
          <w:sz w:val="21"/>
          <w:szCs w:val="21"/>
          <w:highlight w:val="none"/>
          <w:shd w:val="clear" w:color="auto" w:fill="auto"/>
        </w:rPr>
      </w:pPr>
      <w:r>
        <w:rPr>
          <w:rFonts w:hint="eastAsia" w:ascii="宋体" w:hAnsi="宋体" w:eastAsia="宋体" w:cs="宋体"/>
          <w:i w:val="0"/>
          <w:iCs w:val="0"/>
          <w:caps w:val="0"/>
          <w:color w:val="auto"/>
          <w:spacing w:val="0"/>
          <w:sz w:val="21"/>
          <w:szCs w:val="21"/>
          <w:highlight w:val="none"/>
          <w:shd w:val="clear" w:color="auto" w:fill="auto"/>
        </w:rPr>
        <w:t>无</w:t>
      </w:r>
    </w:p>
    <w:p>
      <w:pPr>
        <w:pStyle w:val="20"/>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630" w:leftChars="300" w:right="0" w:firstLine="0" w:firstLineChars="0"/>
        <w:textAlignment w:val="auto"/>
        <w:rPr>
          <w:rFonts w:hint="eastAsia" w:ascii="宋体" w:hAnsi="宋体" w:eastAsia="宋体" w:cs="宋体"/>
          <w:i w:val="0"/>
          <w:iCs w:val="0"/>
          <w:caps w:val="0"/>
          <w:color w:val="auto"/>
          <w:spacing w:val="0"/>
          <w:sz w:val="21"/>
          <w:szCs w:val="21"/>
          <w:highlight w:val="none"/>
          <w:shd w:val="clear" w:color="auto" w:fill="auto"/>
        </w:rPr>
      </w:pPr>
      <w:r>
        <w:rPr>
          <w:rFonts w:hint="eastAsia" w:ascii="宋体" w:hAnsi="宋体" w:eastAsia="宋体" w:cs="宋体"/>
          <w:i w:val="0"/>
          <w:iCs w:val="0"/>
          <w:caps w:val="0"/>
          <w:color w:val="auto"/>
          <w:spacing w:val="0"/>
          <w:sz w:val="21"/>
          <w:szCs w:val="21"/>
          <w:highlight w:val="none"/>
          <w:shd w:val="clear" w:color="auto" w:fill="auto"/>
        </w:rPr>
        <w:t>合同包3(区域医疗中心建设)特定资格要求如下:</w:t>
      </w:r>
    </w:p>
    <w:p>
      <w:pPr>
        <w:pStyle w:val="20"/>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840" w:leftChars="400" w:right="0" w:firstLine="0" w:firstLineChars="0"/>
        <w:textAlignment w:val="auto"/>
        <w:rPr>
          <w:rFonts w:hint="eastAsia" w:ascii="宋体" w:hAnsi="宋体" w:eastAsia="宋体" w:cs="宋体"/>
          <w:i w:val="0"/>
          <w:iCs w:val="0"/>
          <w:caps w:val="0"/>
          <w:color w:val="auto"/>
          <w:spacing w:val="0"/>
          <w:sz w:val="21"/>
          <w:szCs w:val="21"/>
          <w:highlight w:val="none"/>
          <w:shd w:val="clear" w:color="auto" w:fill="auto"/>
        </w:rPr>
      </w:pPr>
      <w:r>
        <w:rPr>
          <w:rFonts w:hint="eastAsia" w:ascii="宋体" w:hAnsi="宋体" w:eastAsia="宋体" w:cs="宋体"/>
          <w:i w:val="0"/>
          <w:iCs w:val="0"/>
          <w:caps w:val="0"/>
          <w:color w:val="auto"/>
          <w:spacing w:val="0"/>
          <w:sz w:val="21"/>
          <w:szCs w:val="21"/>
          <w:highlight w:val="none"/>
          <w:shd w:val="clear" w:color="auto" w:fill="auto"/>
        </w:rPr>
        <w:t>无</w:t>
      </w:r>
    </w:p>
    <w:p>
      <w:pPr>
        <w:pStyle w:val="20"/>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630" w:leftChars="300" w:right="0" w:firstLine="0" w:firstLineChars="0"/>
        <w:textAlignment w:val="auto"/>
        <w:rPr>
          <w:rFonts w:hint="eastAsia" w:ascii="宋体" w:hAnsi="宋体" w:eastAsia="宋体" w:cs="宋体"/>
          <w:i w:val="0"/>
          <w:iCs w:val="0"/>
          <w:caps w:val="0"/>
          <w:color w:val="auto"/>
          <w:spacing w:val="0"/>
          <w:sz w:val="21"/>
          <w:szCs w:val="21"/>
          <w:highlight w:val="none"/>
          <w:shd w:val="clear" w:color="auto" w:fill="auto"/>
        </w:rPr>
      </w:pPr>
      <w:r>
        <w:rPr>
          <w:rFonts w:hint="eastAsia" w:ascii="宋体" w:hAnsi="宋体" w:eastAsia="宋体" w:cs="宋体"/>
          <w:i w:val="0"/>
          <w:iCs w:val="0"/>
          <w:caps w:val="0"/>
          <w:color w:val="auto"/>
          <w:spacing w:val="0"/>
          <w:sz w:val="21"/>
          <w:szCs w:val="21"/>
          <w:highlight w:val="none"/>
          <w:shd w:val="clear" w:color="auto" w:fill="auto"/>
        </w:rPr>
        <w:t>合同包4(智慧医疗管理系统建设及环境扩容服务项目)特定资格要求如下:</w:t>
      </w:r>
    </w:p>
    <w:p>
      <w:pPr>
        <w:pStyle w:val="20"/>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840" w:leftChars="400" w:right="0" w:firstLine="0" w:firstLineChars="0"/>
        <w:textAlignment w:val="auto"/>
        <w:rPr>
          <w:rFonts w:hint="eastAsia" w:ascii="宋体" w:hAnsi="宋体" w:eastAsia="宋体" w:cs="宋体"/>
          <w:i w:val="0"/>
          <w:iCs w:val="0"/>
          <w:caps w:val="0"/>
          <w:color w:val="auto"/>
          <w:spacing w:val="0"/>
          <w:sz w:val="21"/>
          <w:szCs w:val="21"/>
          <w:highlight w:val="none"/>
          <w:shd w:val="clear" w:color="auto" w:fill="auto"/>
        </w:rPr>
      </w:pPr>
      <w:r>
        <w:rPr>
          <w:rFonts w:hint="eastAsia" w:ascii="宋体" w:hAnsi="宋体" w:eastAsia="宋体" w:cs="宋体"/>
          <w:i w:val="0"/>
          <w:iCs w:val="0"/>
          <w:caps w:val="0"/>
          <w:color w:val="auto"/>
          <w:spacing w:val="0"/>
          <w:sz w:val="21"/>
          <w:szCs w:val="21"/>
          <w:highlight w:val="none"/>
          <w:shd w:val="clear" w:color="auto" w:fill="auto"/>
        </w:rPr>
        <w:t>无</w:t>
      </w:r>
    </w:p>
    <w:p>
      <w:pPr>
        <w:pStyle w:val="20"/>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157" w:beforeLines="50" w:beforeAutospacing="0" w:after="157" w:afterLines="50" w:afterAutospacing="0" w:line="360" w:lineRule="auto"/>
        <w:ind w:right="0"/>
        <w:textAlignment w:val="auto"/>
        <w:rPr>
          <w:rFonts w:hint="eastAsia" w:ascii="宋体" w:hAnsi="宋体" w:eastAsia="宋体" w:cs="宋体"/>
          <w:b/>
          <w:bCs/>
          <w:i w:val="0"/>
          <w:iCs w:val="0"/>
          <w:caps w:val="0"/>
          <w:color w:val="auto"/>
          <w:spacing w:val="0"/>
          <w:sz w:val="21"/>
          <w:szCs w:val="21"/>
          <w:highlight w:val="none"/>
          <w:shd w:val="clear" w:color="auto" w:fill="auto"/>
        </w:rPr>
      </w:pPr>
      <w:r>
        <w:rPr>
          <w:rFonts w:hint="eastAsia" w:ascii="宋体" w:hAnsi="宋体" w:eastAsia="宋体" w:cs="宋体"/>
          <w:b/>
          <w:bCs/>
          <w:i w:val="0"/>
          <w:iCs w:val="0"/>
          <w:caps w:val="0"/>
          <w:color w:val="auto"/>
          <w:spacing w:val="0"/>
          <w:sz w:val="21"/>
          <w:szCs w:val="21"/>
          <w:highlight w:val="none"/>
          <w:shd w:val="clear" w:color="auto" w:fill="auto"/>
        </w:rPr>
        <w:t>三、获取招标文件</w:t>
      </w:r>
    </w:p>
    <w:p>
      <w:pPr>
        <w:pStyle w:val="20"/>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firstLine="420" w:firstLineChars="200"/>
        <w:textAlignment w:val="auto"/>
        <w:rPr>
          <w:rFonts w:hint="eastAsia" w:ascii="宋体" w:hAnsi="宋体" w:eastAsia="宋体" w:cs="宋体"/>
          <w:i w:val="0"/>
          <w:iCs w:val="0"/>
          <w:caps w:val="0"/>
          <w:color w:val="auto"/>
          <w:spacing w:val="0"/>
          <w:sz w:val="21"/>
          <w:szCs w:val="21"/>
          <w:highlight w:val="none"/>
          <w:shd w:val="clear" w:color="auto" w:fill="auto"/>
        </w:rPr>
      </w:pPr>
      <w:r>
        <w:rPr>
          <w:rFonts w:hint="eastAsia" w:ascii="宋体" w:hAnsi="宋体" w:eastAsia="宋体" w:cs="宋体"/>
          <w:i w:val="0"/>
          <w:iCs w:val="0"/>
          <w:caps w:val="0"/>
          <w:color w:val="auto"/>
          <w:spacing w:val="0"/>
          <w:sz w:val="21"/>
          <w:szCs w:val="21"/>
          <w:highlight w:val="none"/>
          <w:shd w:val="clear" w:color="auto" w:fill="auto"/>
        </w:rPr>
        <w:t>时间： 2023年11月23日 至 2023年11月29日 ，每天上午 09:00:00 至 12:00:00 ，下午 12:00:00 至 17:00:00 （北京时间）</w:t>
      </w:r>
    </w:p>
    <w:p>
      <w:pPr>
        <w:pStyle w:val="20"/>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firstLine="420" w:firstLineChars="200"/>
        <w:textAlignment w:val="auto"/>
        <w:rPr>
          <w:rFonts w:hint="eastAsia" w:ascii="宋体" w:hAnsi="宋体" w:eastAsia="宋体" w:cs="宋体"/>
          <w:i w:val="0"/>
          <w:iCs w:val="0"/>
          <w:caps w:val="0"/>
          <w:color w:val="auto"/>
          <w:spacing w:val="0"/>
          <w:sz w:val="21"/>
          <w:szCs w:val="21"/>
          <w:highlight w:val="none"/>
          <w:shd w:val="clear" w:color="auto" w:fill="auto"/>
        </w:rPr>
      </w:pPr>
      <w:r>
        <w:rPr>
          <w:rFonts w:hint="eastAsia" w:ascii="宋体" w:hAnsi="宋体" w:eastAsia="宋体" w:cs="宋体"/>
          <w:i w:val="0"/>
          <w:iCs w:val="0"/>
          <w:caps w:val="0"/>
          <w:color w:val="auto"/>
          <w:spacing w:val="0"/>
          <w:sz w:val="21"/>
          <w:szCs w:val="21"/>
          <w:highlight w:val="none"/>
          <w:shd w:val="clear" w:color="auto" w:fill="auto"/>
        </w:rPr>
        <w:t>途径：西安市高新区沣惠南路34号摩尔中心A座24层</w:t>
      </w:r>
    </w:p>
    <w:p>
      <w:pPr>
        <w:pStyle w:val="20"/>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firstLine="420" w:firstLineChars="200"/>
        <w:textAlignment w:val="auto"/>
        <w:rPr>
          <w:rFonts w:hint="eastAsia" w:ascii="宋体" w:hAnsi="宋体" w:eastAsia="宋体" w:cs="宋体"/>
          <w:i w:val="0"/>
          <w:iCs w:val="0"/>
          <w:caps w:val="0"/>
          <w:color w:val="auto"/>
          <w:spacing w:val="0"/>
          <w:sz w:val="21"/>
          <w:szCs w:val="21"/>
          <w:highlight w:val="none"/>
          <w:shd w:val="clear" w:color="auto" w:fill="auto"/>
        </w:rPr>
      </w:pPr>
      <w:r>
        <w:rPr>
          <w:rFonts w:hint="eastAsia" w:ascii="宋体" w:hAnsi="宋体" w:eastAsia="宋体" w:cs="宋体"/>
          <w:i w:val="0"/>
          <w:iCs w:val="0"/>
          <w:caps w:val="0"/>
          <w:color w:val="auto"/>
          <w:spacing w:val="0"/>
          <w:sz w:val="21"/>
          <w:szCs w:val="21"/>
          <w:highlight w:val="none"/>
          <w:shd w:val="clear" w:color="auto" w:fill="auto"/>
        </w:rPr>
        <w:t>方式：现场获取</w:t>
      </w:r>
    </w:p>
    <w:p>
      <w:pPr>
        <w:pStyle w:val="20"/>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firstLine="420" w:firstLineChars="200"/>
        <w:textAlignment w:val="auto"/>
        <w:rPr>
          <w:rFonts w:hint="eastAsia" w:ascii="宋体" w:hAnsi="宋体" w:eastAsia="宋体" w:cs="宋体"/>
          <w:i w:val="0"/>
          <w:iCs w:val="0"/>
          <w:caps w:val="0"/>
          <w:color w:val="auto"/>
          <w:spacing w:val="0"/>
          <w:sz w:val="21"/>
          <w:szCs w:val="21"/>
          <w:highlight w:val="none"/>
          <w:shd w:val="clear" w:color="auto" w:fill="auto"/>
        </w:rPr>
      </w:pPr>
      <w:r>
        <w:rPr>
          <w:rFonts w:hint="eastAsia" w:ascii="宋体" w:hAnsi="宋体" w:eastAsia="宋体" w:cs="宋体"/>
          <w:i w:val="0"/>
          <w:iCs w:val="0"/>
          <w:caps w:val="0"/>
          <w:color w:val="auto"/>
          <w:spacing w:val="0"/>
          <w:sz w:val="21"/>
          <w:szCs w:val="21"/>
          <w:highlight w:val="none"/>
          <w:shd w:val="clear" w:color="auto" w:fill="auto"/>
        </w:rPr>
        <w:t>售价： 0元</w:t>
      </w:r>
    </w:p>
    <w:p>
      <w:pPr>
        <w:pStyle w:val="20"/>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157" w:beforeLines="50" w:beforeAutospacing="0" w:after="157" w:afterLines="50" w:afterAutospacing="0" w:line="360" w:lineRule="auto"/>
        <w:ind w:right="0"/>
        <w:textAlignment w:val="auto"/>
        <w:rPr>
          <w:rFonts w:hint="eastAsia" w:ascii="宋体" w:hAnsi="宋体" w:eastAsia="宋体" w:cs="宋体"/>
          <w:b/>
          <w:bCs/>
          <w:i w:val="0"/>
          <w:iCs w:val="0"/>
          <w:caps w:val="0"/>
          <w:color w:val="auto"/>
          <w:spacing w:val="0"/>
          <w:sz w:val="21"/>
          <w:szCs w:val="21"/>
          <w:highlight w:val="none"/>
          <w:shd w:val="clear" w:color="auto" w:fill="auto"/>
        </w:rPr>
      </w:pPr>
      <w:r>
        <w:rPr>
          <w:rFonts w:hint="eastAsia" w:ascii="宋体" w:hAnsi="宋体" w:eastAsia="宋体" w:cs="宋体"/>
          <w:b/>
          <w:bCs/>
          <w:i w:val="0"/>
          <w:iCs w:val="0"/>
          <w:caps w:val="0"/>
          <w:color w:val="auto"/>
          <w:spacing w:val="0"/>
          <w:sz w:val="21"/>
          <w:szCs w:val="21"/>
          <w:highlight w:val="none"/>
          <w:shd w:val="clear" w:color="auto" w:fill="auto"/>
        </w:rPr>
        <w:t>四、提交投标文件截止时间、开标时间和地点</w:t>
      </w:r>
    </w:p>
    <w:p>
      <w:pPr>
        <w:pStyle w:val="20"/>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firstLine="420" w:firstLineChars="200"/>
        <w:textAlignment w:val="auto"/>
        <w:rPr>
          <w:rFonts w:hint="eastAsia" w:ascii="宋体" w:hAnsi="宋体" w:eastAsia="宋体" w:cs="宋体"/>
          <w:i w:val="0"/>
          <w:iCs w:val="0"/>
          <w:caps w:val="0"/>
          <w:color w:val="auto"/>
          <w:spacing w:val="0"/>
          <w:sz w:val="21"/>
          <w:szCs w:val="21"/>
          <w:highlight w:val="none"/>
          <w:shd w:val="clear" w:color="auto" w:fill="auto"/>
        </w:rPr>
      </w:pPr>
      <w:r>
        <w:rPr>
          <w:rFonts w:hint="eastAsia" w:ascii="宋体" w:hAnsi="宋体" w:eastAsia="宋体" w:cs="宋体"/>
          <w:i w:val="0"/>
          <w:iCs w:val="0"/>
          <w:caps w:val="0"/>
          <w:color w:val="auto"/>
          <w:spacing w:val="0"/>
          <w:sz w:val="21"/>
          <w:szCs w:val="21"/>
          <w:highlight w:val="none"/>
          <w:shd w:val="clear" w:color="auto" w:fill="auto"/>
        </w:rPr>
        <w:t>时间： 2023年12月13日 09时30分00秒 （北京时间）</w:t>
      </w:r>
    </w:p>
    <w:p>
      <w:pPr>
        <w:pStyle w:val="20"/>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firstLine="420" w:firstLineChars="200"/>
        <w:textAlignment w:val="auto"/>
        <w:rPr>
          <w:rFonts w:hint="eastAsia" w:ascii="宋体" w:hAnsi="宋体" w:eastAsia="宋体" w:cs="宋体"/>
          <w:i w:val="0"/>
          <w:iCs w:val="0"/>
          <w:caps w:val="0"/>
          <w:color w:val="auto"/>
          <w:spacing w:val="0"/>
          <w:sz w:val="21"/>
          <w:szCs w:val="21"/>
          <w:highlight w:val="none"/>
          <w:shd w:val="clear" w:color="auto" w:fill="auto"/>
        </w:rPr>
      </w:pPr>
      <w:r>
        <w:rPr>
          <w:rFonts w:hint="eastAsia" w:ascii="宋体" w:hAnsi="宋体" w:eastAsia="宋体" w:cs="宋体"/>
          <w:i w:val="0"/>
          <w:iCs w:val="0"/>
          <w:caps w:val="0"/>
          <w:color w:val="auto"/>
          <w:spacing w:val="0"/>
          <w:sz w:val="21"/>
          <w:szCs w:val="21"/>
          <w:highlight w:val="none"/>
          <w:shd w:val="clear" w:color="auto" w:fill="auto"/>
        </w:rPr>
        <w:t>提交投标文件地点：西安市高新区沣惠南路34号摩尔中心A座24层</w:t>
      </w:r>
    </w:p>
    <w:p>
      <w:pPr>
        <w:pStyle w:val="20"/>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firstLine="420" w:firstLineChars="200"/>
        <w:textAlignment w:val="auto"/>
        <w:rPr>
          <w:rFonts w:hint="eastAsia" w:ascii="宋体" w:hAnsi="宋体" w:eastAsia="宋体" w:cs="宋体"/>
          <w:i w:val="0"/>
          <w:iCs w:val="0"/>
          <w:caps w:val="0"/>
          <w:color w:val="auto"/>
          <w:spacing w:val="0"/>
          <w:sz w:val="21"/>
          <w:szCs w:val="21"/>
          <w:highlight w:val="none"/>
          <w:shd w:val="clear" w:color="auto" w:fill="auto"/>
        </w:rPr>
      </w:pPr>
      <w:r>
        <w:rPr>
          <w:rFonts w:hint="eastAsia" w:ascii="宋体" w:hAnsi="宋体" w:eastAsia="宋体" w:cs="宋体"/>
          <w:i w:val="0"/>
          <w:iCs w:val="0"/>
          <w:caps w:val="0"/>
          <w:color w:val="auto"/>
          <w:spacing w:val="0"/>
          <w:sz w:val="21"/>
          <w:szCs w:val="21"/>
          <w:highlight w:val="none"/>
          <w:shd w:val="clear" w:color="auto" w:fill="auto"/>
        </w:rPr>
        <w:t>开标地点：西安市高新区沣惠南路34号摩尔中心A座24层</w:t>
      </w:r>
    </w:p>
    <w:p>
      <w:pPr>
        <w:pStyle w:val="20"/>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157" w:beforeLines="50" w:beforeAutospacing="0" w:after="157" w:afterLines="50" w:afterAutospacing="0" w:line="360" w:lineRule="auto"/>
        <w:ind w:right="0"/>
        <w:textAlignment w:val="auto"/>
        <w:rPr>
          <w:rFonts w:hint="eastAsia" w:ascii="宋体" w:hAnsi="宋体" w:eastAsia="宋体" w:cs="宋体"/>
          <w:b/>
          <w:bCs/>
          <w:i w:val="0"/>
          <w:iCs w:val="0"/>
          <w:caps w:val="0"/>
          <w:color w:val="auto"/>
          <w:spacing w:val="0"/>
          <w:sz w:val="21"/>
          <w:szCs w:val="21"/>
          <w:highlight w:val="none"/>
          <w:shd w:val="clear" w:color="auto" w:fill="auto"/>
        </w:rPr>
      </w:pPr>
      <w:r>
        <w:rPr>
          <w:rFonts w:hint="eastAsia" w:ascii="宋体" w:hAnsi="宋体" w:eastAsia="宋体" w:cs="宋体"/>
          <w:b/>
          <w:bCs/>
          <w:i w:val="0"/>
          <w:iCs w:val="0"/>
          <w:caps w:val="0"/>
          <w:color w:val="auto"/>
          <w:spacing w:val="0"/>
          <w:sz w:val="21"/>
          <w:szCs w:val="21"/>
          <w:highlight w:val="none"/>
          <w:shd w:val="clear" w:color="auto" w:fill="auto"/>
        </w:rPr>
        <w:t>五、公告期限</w:t>
      </w:r>
    </w:p>
    <w:p>
      <w:pPr>
        <w:pStyle w:val="20"/>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firstLine="420" w:firstLineChars="200"/>
        <w:textAlignment w:val="auto"/>
        <w:rPr>
          <w:rFonts w:hint="eastAsia" w:ascii="宋体" w:hAnsi="宋体" w:eastAsia="宋体" w:cs="宋体"/>
          <w:i w:val="0"/>
          <w:iCs w:val="0"/>
          <w:caps w:val="0"/>
          <w:color w:val="auto"/>
          <w:spacing w:val="0"/>
          <w:sz w:val="21"/>
          <w:szCs w:val="21"/>
          <w:highlight w:val="none"/>
          <w:shd w:val="clear" w:color="auto" w:fill="auto"/>
        </w:rPr>
      </w:pPr>
      <w:r>
        <w:rPr>
          <w:rFonts w:hint="eastAsia" w:ascii="宋体" w:hAnsi="宋体" w:eastAsia="宋体" w:cs="宋体"/>
          <w:i w:val="0"/>
          <w:iCs w:val="0"/>
          <w:caps w:val="0"/>
          <w:color w:val="auto"/>
          <w:spacing w:val="0"/>
          <w:sz w:val="21"/>
          <w:szCs w:val="21"/>
          <w:highlight w:val="none"/>
          <w:shd w:val="clear" w:color="auto" w:fill="auto"/>
        </w:rPr>
        <w:t>自本公告发布之日起5个工作日。</w:t>
      </w:r>
    </w:p>
    <w:p>
      <w:pPr>
        <w:pStyle w:val="20"/>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157" w:beforeLines="50" w:beforeAutospacing="0" w:after="157" w:afterLines="50" w:afterAutospacing="0" w:line="360" w:lineRule="auto"/>
        <w:ind w:right="0"/>
        <w:textAlignment w:val="auto"/>
        <w:rPr>
          <w:rFonts w:hint="eastAsia" w:ascii="宋体" w:hAnsi="宋体" w:eastAsia="宋体" w:cs="宋体"/>
          <w:b/>
          <w:bCs/>
          <w:i w:val="0"/>
          <w:iCs w:val="0"/>
          <w:caps w:val="0"/>
          <w:color w:val="auto"/>
          <w:spacing w:val="0"/>
          <w:sz w:val="21"/>
          <w:szCs w:val="21"/>
          <w:highlight w:val="none"/>
          <w:shd w:val="clear" w:color="auto" w:fill="auto"/>
        </w:rPr>
      </w:pPr>
      <w:r>
        <w:rPr>
          <w:rFonts w:hint="eastAsia" w:ascii="宋体" w:hAnsi="宋体" w:eastAsia="宋体" w:cs="宋体"/>
          <w:b/>
          <w:bCs/>
          <w:i w:val="0"/>
          <w:iCs w:val="0"/>
          <w:caps w:val="0"/>
          <w:color w:val="auto"/>
          <w:spacing w:val="0"/>
          <w:sz w:val="21"/>
          <w:szCs w:val="21"/>
          <w:highlight w:val="none"/>
          <w:shd w:val="clear" w:color="auto" w:fill="auto"/>
        </w:rPr>
        <w:t>六、其他补充事宜</w:t>
      </w:r>
    </w:p>
    <w:p>
      <w:pPr>
        <w:pStyle w:val="20"/>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right="0" w:firstLine="420" w:firstLineChars="200"/>
        <w:textAlignment w:val="auto"/>
        <w:rPr>
          <w:rFonts w:hint="eastAsia" w:ascii="宋体" w:hAnsi="宋体" w:eastAsia="宋体" w:cs="宋体"/>
          <w:b w:val="0"/>
          <w:bCs w:val="0"/>
          <w:i w:val="0"/>
          <w:iCs w:val="0"/>
          <w:caps w:val="0"/>
          <w:color w:val="auto"/>
          <w:spacing w:val="0"/>
          <w:sz w:val="21"/>
          <w:szCs w:val="21"/>
          <w:highlight w:val="none"/>
          <w:shd w:val="clear" w:color="auto" w:fill="auto"/>
        </w:rPr>
      </w:pPr>
      <w:r>
        <w:rPr>
          <w:rFonts w:hint="eastAsia" w:ascii="宋体" w:hAnsi="宋体" w:eastAsia="宋体" w:cs="宋体"/>
          <w:b w:val="0"/>
          <w:bCs w:val="0"/>
          <w:i w:val="0"/>
          <w:iCs w:val="0"/>
          <w:caps w:val="0"/>
          <w:color w:val="auto"/>
          <w:spacing w:val="0"/>
          <w:sz w:val="21"/>
          <w:szCs w:val="21"/>
          <w:highlight w:val="none"/>
          <w:shd w:val="clear" w:color="auto" w:fill="auto"/>
        </w:rPr>
        <w:t>1、凡有意愿报名者需提供真实有效的信息，符合政府采购法第二十二条规定，持单位介绍信、被委托人身份证原件及复印件至本代理机构领取招标文件。</w:t>
      </w:r>
    </w:p>
    <w:p>
      <w:pPr>
        <w:pStyle w:val="20"/>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right="0" w:firstLine="420" w:firstLineChars="200"/>
        <w:textAlignment w:val="auto"/>
        <w:rPr>
          <w:rFonts w:hint="eastAsia" w:ascii="宋体" w:hAnsi="宋体" w:eastAsia="宋体" w:cs="宋体"/>
          <w:b w:val="0"/>
          <w:bCs w:val="0"/>
          <w:i w:val="0"/>
          <w:iCs w:val="0"/>
          <w:caps w:val="0"/>
          <w:color w:val="auto"/>
          <w:spacing w:val="0"/>
          <w:sz w:val="21"/>
          <w:szCs w:val="21"/>
          <w:highlight w:val="none"/>
          <w:shd w:val="clear" w:color="auto" w:fill="auto"/>
        </w:rPr>
      </w:pPr>
      <w:r>
        <w:rPr>
          <w:rFonts w:hint="eastAsia" w:ascii="宋体" w:hAnsi="宋体" w:eastAsia="宋体" w:cs="宋体"/>
          <w:b w:val="0"/>
          <w:bCs w:val="0"/>
          <w:i w:val="0"/>
          <w:iCs w:val="0"/>
          <w:caps w:val="0"/>
          <w:color w:val="auto"/>
          <w:spacing w:val="0"/>
          <w:sz w:val="21"/>
          <w:szCs w:val="21"/>
          <w:highlight w:val="none"/>
          <w:shd w:val="clear" w:color="auto" w:fill="auto"/>
        </w:rPr>
        <w:t>2、投标人登记免费领取招标文件的，如不参与项目投标，应在递交投标文件截止时间前一天以书面形式告知采购代理机构。否则，采购代理机构可以向财政部门反应情况并提供相应佐证。投标人一年内累计出现三次该情形，将被监管部门记录为失信行为。</w:t>
      </w:r>
    </w:p>
    <w:p>
      <w:pPr>
        <w:pStyle w:val="20"/>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157" w:beforeLines="50" w:beforeAutospacing="0" w:after="157" w:afterLines="50" w:afterAutospacing="0" w:line="360" w:lineRule="auto"/>
        <w:ind w:right="0"/>
        <w:textAlignment w:val="auto"/>
        <w:rPr>
          <w:rFonts w:hint="eastAsia" w:ascii="宋体" w:hAnsi="宋体" w:eastAsia="宋体" w:cs="宋体"/>
          <w:b/>
          <w:bCs/>
          <w:i w:val="0"/>
          <w:iCs w:val="0"/>
          <w:caps w:val="0"/>
          <w:color w:val="auto"/>
          <w:spacing w:val="0"/>
          <w:sz w:val="21"/>
          <w:szCs w:val="21"/>
          <w:highlight w:val="none"/>
          <w:shd w:val="clear" w:color="auto" w:fill="auto"/>
        </w:rPr>
      </w:pPr>
      <w:r>
        <w:rPr>
          <w:rFonts w:hint="eastAsia" w:ascii="宋体" w:hAnsi="宋体" w:eastAsia="宋体" w:cs="宋体"/>
          <w:b/>
          <w:bCs/>
          <w:i w:val="0"/>
          <w:iCs w:val="0"/>
          <w:caps w:val="0"/>
          <w:color w:val="auto"/>
          <w:spacing w:val="0"/>
          <w:sz w:val="21"/>
          <w:szCs w:val="21"/>
          <w:highlight w:val="none"/>
          <w:shd w:val="clear" w:color="auto" w:fill="auto"/>
        </w:rPr>
        <w:t>七、对本次招标提出询问，请按以下方式联系。</w:t>
      </w:r>
    </w:p>
    <w:p>
      <w:pPr>
        <w:pStyle w:val="20"/>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right="0" w:firstLine="420" w:firstLineChars="200"/>
        <w:textAlignment w:val="auto"/>
        <w:rPr>
          <w:rFonts w:hint="eastAsia" w:ascii="宋体" w:hAnsi="宋体" w:eastAsia="宋体" w:cs="宋体"/>
          <w:b w:val="0"/>
          <w:bCs w:val="0"/>
          <w:i w:val="0"/>
          <w:iCs w:val="0"/>
          <w:caps w:val="0"/>
          <w:color w:val="auto"/>
          <w:spacing w:val="0"/>
          <w:sz w:val="21"/>
          <w:szCs w:val="21"/>
          <w:highlight w:val="none"/>
          <w:shd w:val="clear" w:color="auto" w:fill="auto"/>
        </w:rPr>
      </w:pPr>
      <w:r>
        <w:rPr>
          <w:rFonts w:hint="eastAsia" w:ascii="宋体" w:hAnsi="宋体" w:eastAsia="宋体" w:cs="宋体"/>
          <w:b w:val="0"/>
          <w:bCs w:val="0"/>
          <w:i w:val="0"/>
          <w:iCs w:val="0"/>
          <w:caps w:val="0"/>
          <w:color w:val="auto"/>
          <w:spacing w:val="0"/>
          <w:sz w:val="21"/>
          <w:szCs w:val="21"/>
          <w:highlight w:val="none"/>
          <w:shd w:val="clear" w:color="auto" w:fill="auto"/>
        </w:rPr>
        <w:t>1.采购人信息</w:t>
      </w:r>
    </w:p>
    <w:p>
      <w:pPr>
        <w:pStyle w:val="20"/>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right="0" w:firstLine="630" w:firstLineChars="300"/>
        <w:textAlignment w:val="auto"/>
        <w:rPr>
          <w:rFonts w:hint="eastAsia" w:ascii="宋体" w:hAnsi="宋体" w:eastAsia="宋体" w:cs="宋体"/>
          <w:b w:val="0"/>
          <w:bCs w:val="0"/>
          <w:i w:val="0"/>
          <w:iCs w:val="0"/>
          <w:caps w:val="0"/>
          <w:color w:val="auto"/>
          <w:spacing w:val="0"/>
          <w:sz w:val="21"/>
          <w:szCs w:val="21"/>
          <w:highlight w:val="none"/>
          <w:shd w:val="clear" w:color="auto" w:fill="auto"/>
        </w:rPr>
      </w:pPr>
      <w:r>
        <w:rPr>
          <w:rFonts w:hint="eastAsia" w:ascii="宋体" w:hAnsi="宋体" w:eastAsia="宋体" w:cs="宋体"/>
          <w:b w:val="0"/>
          <w:bCs w:val="0"/>
          <w:i w:val="0"/>
          <w:iCs w:val="0"/>
          <w:caps w:val="0"/>
          <w:color w:val="auto"/>
          <w:spacing w:val="0"/>
          <w:sz w:val="21"/>
          <w:szCs w:val="21"/>
          <w:highlight w:val="none"/>
          <w:shd w:val="clear" w:color="auto" w:fill="auto"/>
        </w:rPr>
        <w:t>名称：咸阳市中心医院</w:t>
      </w:r>
    </w:p>
    <w:p>
      <w:pPr>
        <w:pStyle w:val="20"/>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right="0" w:firstLine="630" w:firstLineChars="300"/>
        <w:textAlignment w:val="auto"/>
        <w:rPr>
          <w:rFonts w:hint="eastAsia" w:ascii="宋体" w:hAnsi="宋体" w:eastAsia="宋体" w:cs="宋体"/>
          <w:b w:val="0"/>
          <w:bCs w:val="0"/>
          <w:i w:val="0"/>
          <w:iCs w:val="0"/>
          <w:caps w:val="0"/>
          <w:color w:val="auto"/>
          <w:spacing w:val="0"/>
          <w:sz w:val="21"/>
          <w:szCs w:val="21"/>
          <w:highlight w:val="none"/>
          <w:shd w:val="clear" w:color="auto" w:fill="auto"/>
        </w:rPr>
      </w:pPr>
      <w:r>
        <w:rPr>
          <w:rFonts w:hint="eastAsia" w:ascii="宋体" w:hAnsi="宋体" w:eastAsia="宋体" w:cs="宋体"/>
          <w:b w:val="0"/>
          <w:bCs w:val="0"/>
          <w:i w:val="0"/>
          <w:iCs w:val="0"/>
          <w:caps w:val="0"/>
          <w:color w:val="auto"/>
          <w:spacing w:val="0"/>
          <w:sz w:val="21"/>
          <w:szCs w:val="21"/>
          <w:highlight w:val="none"/>
          <w:shd w:val="clear" w:color="auto" w:fill="auto"/>
        </w:rPr>
        <w:t>地址：咸阳市人民东路78号</w:t>
      </w:r>
    </w:p>
    <w:p>
      <w:pPr>
        <w:pStyle w:val="20"/>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right="0" w:firstLine="630" w:firstLineChars="300"/>
        <w:textAlignment w:val="auto"/>
        <w:rPr>
          <w:rFonts w:hint="eastAsia" w:ascii="宋体" w:hAnsi="宋体" w:eastAsia="宋体" w:cs="宋体"/>
          <w:b w:val="0"/>
          <w:bCs w:val="0"/>
          <w:i w:val="0"/>
          <w:iCs w:val="0"/>
          <w:caps w:val="0"/>
          <w:color w:val="auto"/>
          <w:spacing w:val="0"/>
          <w:sz w:val="21"/>
          <w:szCs w:val="21"/>
          <w:highlight w:val="none"/>
          <w:shd w:val="clear" w:color="auto" w:fill="auto"/>
        </w:rPr>
      </w:pPr>
      <w:r>
        <w:rPr>
          <w:rFonts w:hint="eastAsia" w:ascii="宋体" w:hAnsi="宋体" w:eastAsia="宋体" w:cs="宋体"/>
          <w:b w:val="0"/>
          <w:bCs w:val="0"/>
          <w:i w:val="0"/>
          <w:iCs w:val="0"/>
          <w:caps w:val="0"/>
          <w:color w:val="auto"/>
          <w:spacing w:val="0"/>
          <w:sz w:val="21"/>
          <w:szCs w:val="21"/>
          <w:highlight w:val="none"/>
          <w:shd w:val="clear" w:color="auto" w:fill="auto"/>
        </w:rPr>
        <w:t>联系方式：029-33284535</w:t>
      </w:r>
    </w:p>
    <w:p>
      <w:pPr>
        <w:pStyle w:val="20"/>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right="0" w:firstLine="420" w:firstLineChars="200"/>
        <w:textAlignment w:val="auto"/>
        <w:rPr>
          <w:rFonts w:hint="eastAsia" w:ascii="宋体" w:hAnsi="宋体" w:eastAsia="宋体" w:cs="宋体"/>
          <w:b w:val="0"/>
          <w:bCs w:val="0"/>
          <w:i w:val="0"/>
          <w:iCs w:val="0"/>
          <w:caps w:val="0"/>
          <w:color w:val="auto"/>
          <w:spacing w:val="0"/>
          <w:sz w:val="21"/>
          <w:szCs w:val="21"/>
          <w:highlight w:val="none"/>
          <w:shd w:val="clear" w:color="auto" w:fill="auto"/>
        </w:rPr>
      </w:pPr>
      <w:r>
        <w:rPr>
          <w:rFonts w:hint="eastAsia" w:ascii="宋体" w:hAnsi="宋体" w:eastAsia="宋体" w:cs="宋体"/>
          <w:b w:val="0"/>
          <w:bCs w:val="0"/>
          <w:i w:val="0"/>
          <w:iCs w:val="0"/>
          <w:caps w:val="0"/>
          <w:color w:val="auto"/>
          <w:spacing w:val="0"/>
          <w:sz w:val="21"/>
          <w:szCs w:val="21"/>
          <w:highlight w:val="none"/>
          <w:shd w:val="clear" w:color="auto" w:fill="auto"/>
        </w:rPr>
        <w:t>2.采购代理机构信息</w:t>
      </w:r>
    </w:p>
    <w:p>
      <w:pPr>
        <w:pStyle w:val="20"/>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right="0" w:firstLine="630" w:firstLineChars="300"/>
        <w:textAlignment w:val="auto"/>
        <w:rPr>
          <w:rFonts w:hint="eastAsia" w:ascii="宋体" w:hAnsi="宋体" w:eastAsia="宋体" w:cs="宋体"/>
          <w:b w:val="0"/>
          <w:bCs w:val="0"/>
          <w:i w:val="0"/>
          <w:iCs w:val="0"/>
          <w:caps w:val="0"/>
          <w:color w:val="auto"/>
          <w:spacing w:val="0"/>
          <w:sz w:val="21"/>
          <w:szCs w:val="21"/>
          <w:highlight w:val="none"/>
          <w:shd w:val="clear" w:color="auto" w:fill="auto"/>
        </w:rPr>
      </w:pPr>
      <w:r>
        <w:rPr>
          <w:rFonts w:hint="eastAsia" w:ascii="宋体" w:hAnsi="宋体" w:eastAsia="宋体" w:cs="宋体"/>
          <w:b w:val="0"/>
          <w:bCs w:val="0"/>
          <w:i w:val="0"/>
          <w:iCs w:val="0"/>
          <w:caps w:val="0"/>
          <w:color w:val="auto"/>
          <w:spacing w:val="0"/>
          <w:sz w:val="21"/>
          <w:szCs w:val="21"/>
          <w:highlight w:val="none"/>
          <w:shd w:val="clear" w:color="auto" w:fill="auto"/>
        </w:rPr>
        <w:t>名称：中航技（北京）工程管理有限公司</w:t>
      </w:r>
    </w:p>
    <w:p>
      <w:pPr>
        <w:pStyle w:val="20"/>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right="0" w:firstLine="630" w:firstLineChars="300"/>
        <w:textAlignment w:val="auto"/>
        <w:rPr>
          <w:rFonts w:hint="eastAsia" w:ascii="宋体" w:hAnsi="宋体" w:eastAsia="宋体" w:cs="宋体"/>
          <w:b w:val="0"/>
          <w:bCs w:val="0"/>
          <w:i w:val="0"/>
          <w:iCs w:val="0"/>
          <w:caps w:val="0"/>
          <w:color w:val="auto"/>
          <w:spacing w:val="0"/>
          <w:sz w:val="21"/>
          <w:szCs w:val="21"/>
          <w:highlight w:val="none"/>
          <w:shd w:val="clear" w:color="auto" w:fill="auto"/>
        </w:rPr>
      </w:pPr>
      <w:r>
        <w:rPr>
          <w:rFonts w:hint="eastAsia" w:ascii="宋体" w:hAnsi="宋体" w:eastAsia="宋体" w:cs="宋体"/>
          <w:b w:val="0"/>
          <w:bCs w:val="0"/>
          <w:i w:val="0"/>
          <w:iCs w:val="0"/>
          <w:caps w:val="0"/>
          <w:color w:val="auto"/>
          <w:spacing w:val="0"/>
          <w:sz w:val="21"/>
          <w:szCs w:val="21"/>
          <w:highlight w:val="none"/>
          <w:shd w:val="clear" w:color="auto" w:fill="auto"/>
        </w:rPr>
        <w:t>地址：西安市高新区沣惠南路34号摩尔中心A座24楼</w:t>
      </w:r>
    </w:p>
    <w:p>
      <w:pPr>
        <w:pStyle w:val="20"/>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right="0" w:firstLine="630" w:firstLineChars="300"/>
        <w:textAlignment w:val="auto"/>
        <w:rPr>
          <w:rFonts w:hint="eastAsia" w:ascii="宋体" w:hAnsi="宋体" w:eastAsia="宋体" w:cs="宋体"/>
          <w:b w:val="0"/>
          <w:bCs w:val="0"/>
          <w:i w:val="0"/>
          <w:iCs w:val="0"/>
          <w:caps w:val="0"/>
          <w:color w:val="auto"/>
          <w:spacing w:val="0"/>
          <w:sz w:val="21"/>
          <w:szCs w:val="21"/>
          <w:highlight w:val="none"/>
          <w:shd w:val="clear" w:color="auto" w:fill="auto"/>
        </w:rPr>
      </w:pPr>
      <w:r>
        <w:rPr>
          <w:rFonts w:hint="eastAsia" w:ascii="宋体" w:hAnsi="宋体" w:eastAsia="宋体" w:cs="宋体"/>
          <w:b w:val="0"/>
          <w:bCs w:val="0"/>
          <w:i w:val="0"/>
          <w:iCs w:val="0"/>
          <w:caps w:val="0"/>
          <w:color w:val="auto"/>
          <w:spacing w:val="0"/>
          <w:sz w:val="21"/>
          <w:szCs w:val="21"/>
          <w:highlight w:val="none"/>
          <w:shd w:val="clear" w:color="auto" w:fill="auto"/>
        </w:rPr>
        <w:t>联系方式：029-89187077</w:t>
      </w:r>
    </w:p>
    <w:p>
      <w:pPr>
        <w:pStyle w:val="20"/>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right="0" w:firstLine="420" w:firstLineChars="200"/>
        <w:textAlignment w:val="auto"/>
        <w:rPr>
          <w:rFonts w:hint="eastAsia" w:ascii="宋体" w:hAnsi="宋体" w:eastAsia="宋体" w:cs="宋体"/>
          <w:b w:val="0"/>
          <w:bCs w:val="0"/>
          <w:i w:val="0"/>
          <w:iCs w:val="0"/>
          <w:caps w:val="0"/>
          <w:color w:val="auto"/>
          <w:spacing w:val="0"/>
          <w:sz w:val="21"/>
          <w:szCs w:val="21"/>
          <w:highlight w:val="none"/>
          <w:shd w:val="clear" w:color="auto" w:fill="auto"/>
        </w:rPr>
      </w:pPr>
      <w:r>
        <w:rPr>
          <w:rFonts w:hint="eastAsia" w:ascii="宋体" w:hAnsi="宋体" w:eastAsia="宋体" w:cs="宋体"/>
          <w:b w:val="0"/>
          <w:bCs w:val="0"/>
          <w:i w:val="0"/>
          <w:iCs w:val="0"/>
          <w:caps w:val="0"/>
          <w:color w:val="auto"/>
          <w:spacing w:val="0"/>
          <w:sz w:val="21"/>
          <w:szCs w:val="21"/>
          <w:highlight w:val="none"/>
          <w:shd w:val="clear" w:color="auto" w:fill="auto"/>
        </w:rPr>
        <w:t>3.项目联系方式</w:t>
      </w:r>
    </w:p>
    <w:p>
      <w:pPr>
        <w:pStyle w:val="20"/>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right="0" w:firstLine="630" w:firstLineChars="300"/>
        <w:textAlignment w:val="auto"/>
        <w:rPr>
          <w:rFonts w:hint="eastAsia" w:ascii="宋体" w:hAnsi="宋体" w:eastAsia="宋体" w:cs="宋体"/>
          <w:b w:val="0"/>
          <w:bCs w:val="0"/>
          <w:i w:val="0"/>
          <w:iCs w:val="0"/>
          <w:caps w:val="0"/>
          <w:color w:val="auto"/>
          <w:spacing w:val="0"/>
          <w:sz w:val="21"/>
          <w:szCs w:val="21"/>
          <w:highlight w:val="none"/>
          <w:shd w:val="clear" w:color="auto" w:fill="auto"/>
        </w:rPr>
      </w:pPr>
      <w:r>
        <w:rPr>
          <w:rFonts w:hint="eastAsia" w:ascii="宋体" w:hAnsi="宋体" w:eastAsia="宋体" w:cs="宋体"/>
          <w:b w:val="0"/>
          <w:bCs w:val="0"/>
          <w:i w:val="0"/>
          <w:iCs w:val="0"/>
          <w:caps w:val="0"/>
          <w:color w:val="auto"/>
          <w:spacing w:val="0"/>
          <w:sz w:val="21"/>
          <w:szCs w:val="21"/>
          <w:highlight w:val="none"/>
          <w:shd w:val="clear" w:color="auto" w:fill="auto"/>
        </w:rPr>
        <w:t>项目联系人：赵伟、李冲</w:t>
      </w:r>
    </w:p>
    <w:p>
      <w:pPr>
        <w:pStyle w:val="20"/>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right="0" w:firstLine="630" w:firstLineChars="300"/>
        <w:textAlignment w:val="auto"/>
        <w:rPr>
          <w:rFonts w:hint="eastAsia" w:ascii="宋体" w:hAnsi="宋体"/>
          <w:color w:val="auto"/>
          <w:sz w:val="32"/>
          <w:szCs w:val="32"/>
          <w:highlight w:val="none"/>
        </w:rPr>
      </w:pPr>
      <w:r>
        <w:rPr>
          <w:rFonts w:hint="eastAsia" w:ascii="宋体" w:hAnsi="宋体" w:eastAsia="宋体" w:cs="宋体"/>
          <w:b w:val="0"/>
          <w:bCs w:val="0"/>
          <w:i w:val="0"/>
          <w:iCs w:val="0"/>
          <w:caps w:val="0"/>
          <w:color w:val="auto"/>
          <w:spacing w:val="0"/>
          <w:sz w:val="21"/>
          <w:szCs w:val="21"/>
          <w:highlight w:val="none"/>
          <w:shd w:val="clear" w:color="auto" w:fill="auto"/>
        </w:rPr>
        <w:t>电话：029-89187077</w:t>
      </w:r>
      <w:r>
        <w:rPr>
          <w:rFonts w:hint="eastAsia" w:ascii="宋体" w:hAnsi="宋体"/>
          <w:color w:val="auto"/>
          <w:sz w:val="32"/>
          <w:szCs w:val="32"/>
          <w:highlight w:val="none"/>
        </w:rPr>
        <w:br w:type="page"/>
      </w:r>
    </w:p>
    <w:p>
      <w:pPr>
        <w:pStyle w:val="3"/>
        <w:spacing w:after="240" w:line="240" w:lineRule="auto"/>
        <w:ind w:left="0" w:firstLine="0"/>
        <w:jc w:val="center"/>
        <w:rPr>
          <w:rFonts w:ascii="宋体" w:hAnsi="宋体"/>
          <w:color w:val="auto"/>
          <w:sz w:val="32"/>
          <w:szCs w:val="32"/>
          <w:highlight w:val="none"/>
        </w:rPr>
      </w:pPr>
      <w:bookmarkStart w:id="6" w:name="_Toc25941"/>
      <w:r>
        <w:rPr>
          <w:rFonts w:hint="eastAsia" w:ascii="宋体" w:hAnsi="宋体"/>
          <w:color w:val="auto"/>
          <w:sz w:val="32"/>
          <w:szCs w:val="32"/>
          <w:highlight w:val="none"/>
        </w:rPr>
        <w:t>第二章  投标人须知</w:t>
      </w:r>
      <w:bookmarkEnd w:id="3"/>
      <w:bookmarkEnd w:id="4"/>
      <w:bookmarkEnd w:id="5"/>
      <w:bookmarkEnd w:id="6"/>
    </w:p>
    <w:p>
      <w:pPr>
        <w:pStyle w:val="4"/>
        <w:bidi w:val="0"/>
        <w:jc w:val="center"/>
        <w:rPr>
          <w:color w:val="auto"/>
          <w:highlight w:val="none"/>
        </w:rPr>
      </w:pPr>
      <w:r>
        <w:rPr>
          <w:rFonts w:hint="eastAsia"/>
          <w:color w:val="auto"/>
          <w:highlight w:val="none"/>
        </w:rPr>
        <w:t>投标人</w:t>
      </w:r>
      <w:r>
        <w:rPr>
          <w:color w:val="auto"/>
          <w:highlight w:val="none"/>
        </w:rPr>
        <w:t>须知前附表</w:t>
      </w:r>
    </w:p>
    <w:tbl>
      <w:tblPr>
        <w:tblStyle w:val="23"/>
        <w:tblW w:w="974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87"/>
        <w:gridCol w:w="1831"/>
        <w:gridCol w:w="722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7" w:hRule="atLeast"/>
          <w:tblHeader/>
          <w:jc w:val="center"/>
        </w:trPr>
        <w:tc>
          <w:tcPr>
            <w:tcW w:w="687" w:type="dxa"/>
            <w:vAlign w:val="center"/>
          </w:tcPr>
          <w:p>
            <w:pPr>
              <w:jc w:val="center"/>
              <w:rPr>
                <w:rFonts w:ascii="宋体" w:hAnsi="宋体" w:cs="宋体"/>
                <w:b/>
                <w:color w:val="auto"/>
                <w:szCs w:val="21"/>
                <w:highlight w:val="none"/>
              </w:rPr>
            </w:pPr>
            <w:r>
              <w:rPr>
                <w:rFonts w:hint="eastAsia" w:ascii="宋体" w:hAnsi="宋体" w:cs="宋体"/>
                <w:b/>
                <w:color w:val="auto"/>
                <w:szCs w:val="21"/>
                <w:highlight w:val="none"/>
              </w:rPr>
              <w:t>序号</w:t>
            </w:r>
          </w:p>
        </w:tc>
        <w:tc>
          <w:tcPr>
            <w:tcW w:w="1831" w:type="dxa"/>
            <w:vAlign w:val="center"/>
          </w:tcPr>
          <w:p>
            <w:pPr>
              <w:jc w:val="center"/>
              <w:rPr>
                <w:rFonts w:ascii="宋体" w:hAnsi="宋体" w:cs="宋体"/>
                <w:b/>
                <w:color w:val="auto"/>
                <w:szCs w:val="21"/>
                <w:highlight w:val="none"/>
              </w:rPr>
            </w:pPr>
            <w:r>
              <w:rPr>
                <w:rFonts w:hint="eastAsia" w:ascii="宋体" w:hAnsi="宋体" w:cs="宋体"/>
                <w:b/>
                <w:color w:val="auto"/>
                <w:szCs w:val="21"/>
                <w:highlight w:val="none"/>
              </w:rPr>
              <w:t>条款名称</w:t>
            </w:r>
          </w:p>
        </w:tc>
        <w:tc>
          <w:tcPr>
            <w:tcW w:w="7226" w:type="dxa"/>
            <w:vAlign w:val="center"/>
          </w:tcPr>
          <w:p>
            <w:pPr>
              <w:jc w:val="center"/>
              <w:rPr>
                <w:rFonts w:ascii="宋体" w:hAnsi="宋体" w:cs="宋体"/>
                <w:b/>
                <w:color w:val="auto"/>
                <w:szCs w:val="21"/>
                <w:highlight w:val="none"/>
              </w:rPr>
            </w:pPr>
            <w:r>
              <w:rPr>
                <w:rFonts w:hint="eastAsia" w:ascii="宋体" w:hAnsi="宋体" w:cs="宋体"/>
                <w:b/>
                <w:color w:val="auto"/>
                <w:szCs w:val="21"/>
                <w:highlight w:val="none"/>
              </w:rPr>
              <w:t xml:space="preserve"> 内    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687" w:type="dxa"/>
            <w:vAlign w:val="center"/>
          </w:tcPr>
          <w:p>
            <w:pPr>
              <w:jc w:val="center"/>
              <w:rPr>
                <w:rFonts w:ascii="宋体" w:hAnsi="宋体" w:cs="宋体"/>
                <w:color w:val="auto"/>
                <w:szCs w:val="21"/>
                <w:highlight w:val="none"/>
              </w:rPr>
            </w:pPr>
            <w:r>
              <w:rPr>
                <w:rFonts w:hint="eastAsia" w:ascii="宋体" w:hAnsi="宋体" w:cs="宋体"/>
                <w:color w:val="auto"/>
                <w:szCs w:val="21"/>
                <w:highlight w:val="none"/>
              </w:rPr>
              <w:t>1</w:t>
            </w:r>
          </w:p>
        </w:tc>
        <w:tc>
          <w:tcPr>
            <w:tcW w:w="1831" w:type="dxa"/>
            <w:vAlign w:val="center"/>
          </w:tcPr>
          <w:p>
            <w:pPr>
              <w:jc w:val="center"/>
              <w:rPr>
                <w:rFonts w:ascii="宋体" w:hAnsi="宋体" w:cs="宋体"/>
                <w:color w:val="auto"/>
                <w:szCs w:val="21"/>
                <w:highlight w:val="none"/>
              </w:rPr>
            </w:pPr>
            <w:r>
              <w:rPr>
                <w:rFonts w:hint="eastAsia" w:ascii="宋体" w:hAnsi="宋体" w:cs="宋体"/>
                <w:color w:val="auto"/>
                <w:szCs w:val="21"/>
                <w:highlight w:val="none"/>
              </w:rPr>
              <w:t>招标人</w:t>
            </w:r>
          </w:p>
        </w:tc>
        <w:tc>
          <w:tcPr>
            <w:tcW w:w="7226" w:type="dxa"/>
            <w:vAlign w:val="center"/>
          </w:tcPr>
          <w:p>
            <w:pPr>
              <w:keepNext w:val="0"/>
              <w:keepLines w:val="0"/>
              <w:pageBreakBefore w:val="0"/>
              <w:widowControl/>
              <w:kinsoku/>
              <w:wordWrap/>
              <w:overflowPunct/>
              <w:topLinePunct w:val="0"/>
              <w:autoSpaceDE/>
              <w:autoSpaceDN/>
              <w:bidi w:val="0"/>
              <w:adjustRightInd/>
              <w:snapToGrid/>
              <w:spacing w:line="288" w:lineRule="auto"/>
              <w:textAlignment w:val="auto"/>
              <w:rPr>
                <w:rFonts w:hint="eastAsia" w:ascii="宋体" w:hAnsi="宋体" w:cs="宋体"/>
                <w:color w:val="auto"/>
                <w:szCs w:val="21"/>
                <w:highlight w:val="none"/>
              </w:rPr>
            </w:pPr>
            <w:r>
              <w:rPr>
                <w:rFonts w:hint="eastAsia" w:ascii="宋体" w:hAnsi="宋体" w:cs="宋体"/>
                <w:color w:val="auto"/>
                <w:szCs w:val="21"/>
                <w:highlight w:val="none"/>
              </w:rPr>
              <w:t>名称：咸阳市中心医院</w:t>
            </w:r>
          </w:p>
          <w:p>
            <w:pPr>
              <w:keepNext w:val="0"/>
              <w:keepLines w:val="0"/>
              <w:pageBreakBefore w:val="0"/>
              <w:widowControl/>
              <w:kinsoku/>
              <w:wordWrap/>
              <w:overflowPunct/>
              <w:topLinePunct w:val="0"/>
              <w:autoSpaceDE/>
              <w:autoSpaceDN/>
              <w:bidi w:val="0"/>
              <w:adjustRightInd/>
              <w:snapToGrid/>
              <w:spacing w:line="288" w:lineRule="auto"/>
              <w:textAlignment w:val="auto"/>
              <w:rPr>
                <w:rFonts w:hint="eastAsia" w:ascii="宋体" w:hAnsi="宋体" w:cs="宋体"/>
                <w:color w:val="auto"/>
                <w:szCs w:val="21"/>
                <w:highlight w:val="none"/>
              </w:rPr>
            </w:pPr>
            <w:r>
              <w:rPr>
                <w:rFonts w:hint="eastAsia" w:ascii="宋体" w:hAnsi="宋体" w:cs="宋体"/>
                <w:color w:val="auto"/>
                <w:szCs w:val="21"/>
                <w:highlight w:val="none"/>
              </w:rPr>
              <w:t>地址：咸阳市人民东路78号</w:t>
            </w:r>
          </w:p>
          <w:p>
            <w:pPr>
              <w:keepNext w:val="0"/>
              <w:keepLines w:val="0"/>
              <w:pageBreakBefore w:val="0"/>
              <w:widowControl/>
              <w:kinsoku/>
              <w:wordWrap/>
              <w:overflowPunct/>
              <w:topLinePunct w:val="0"/>
              <w:autoSpaceDE/>
              <w:autoSpaceDN/>
              <w:bidi w:val="0"/>
              <w:adjustRightInd/>
              <w:snapToGrid/>
              <w:spacing w:line="288" w:lineRule="auto"/>
              <w:textAlignment w:val="auto"/>
              <w:rPr>
                <w:rFonts w:hint="eastAsia" w:ascii="宋体" w:hAnsi="宋体" w:cs="宋体"/>
                <w:color w:val="auto"/>
                <w:szCs w:val="21"/>
                <w:highlight w:val="none"/>
              </w:rPr>
            </w:pPr>
            <w:r>
              <w:rPr>
                <w:rFonts w:hint="eastAsia" w:ascii="宋体" w:hAnsi="宋体" w:cs="宋体"/>
                <w:color w:val="auto"/>
                <w:szCs w:val="21"/>
                <w:highlight w:val="none"/>
              </w:rPr>
              <w:t>联系人：</w:t>
            </w:r>
            <w:r>
              <w:rPr>
                <w:rFonts w:hint="eastAsia" w:ascii="宋体" w:hAnsi="宋体" w:cs="宋体"/>
                <w:color w:val="auto"/>
                <w:szCs w:val="21"/>
                <w:highlight w:val="none"/>
                <w:lang w:val="en-US" w:eastAsia="zh-CN"/>
              </w:rPr>
              <w:t>祁</w:t>
            </w:r>
            <w:r>
              <w:rPr>
                <w:rFonts w:hint="eastAsia" w:ascii="宋体" w:hAnsi="宋体" w:cs="宋体"/>
                <w:color w:val="auto"/>
                <w:szCs w:val="21"/>
                <w:highlight w:val="none"/>
              </w:rPr>
              <w:t>老师</w:t>
            </w:r>
          </w:p>
          <w:p>
            <w:pPr>
              <w:keepNext w:val="0"/>
              <w:keepLines w:val="0"/>
              <w:pageBreakBefore w:val="0"/>
              <w:widowControl/>
              <w:kinsoku/>
              <w:wordWrap/>
              <w:overflowPunct/>
              <w:topLinePunct w:val="0"/>
              <w:autoSpaceDE/>
              <w:autoSpaceDN/>
              <w:bidi w:val="0"/>
              <w:adjustRightInd/>
              <w:snapToGrid/>
              <w:spacing w:line="288" w:lineRule="auto"/>
              <w:textAlignment w:val="auto"/>
              <w:rPr>
                <w:rFonts w:ascii="宋体" w:hAnsi="宋体" w:cs="宋体"/>
                <w:color w:val="auto"/>
                <w:szCs w:val="21"/>
                <w:highlight w:val="none"/>
              </w:rPr>
            </w:pPr>
            <w:r>
              <w:rPr>
                <w:rFonts w:hint="eastAsia" w:ascii="宋体" w:hAnsi="宋体" w:cs="宋体"/>
                <w:color w:val="auto"/>
                <w:szCs w:val="21"/>
                <w:highlight w:val="none"/>
              </w:rPr>
              <w:t xml:space="preserve">电话：029-33284535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87" w:type="dxa"/>
            <w:vAlign w:val="center"/>
          </w:tcPr>
          <w:p>
            <w:pPr>
              <w:jc w:val="center"/>
              <w:rPr>
                <w:rFonts w:ascii="宋体" w:hAnsi="宋体" w:cs="宋体"/>
                <w:color w:val="auto"/>
                <w:szCs w:val="21"/>
                <w:highlight w:val="none"/>
              </w:rPr>
            </w:pPr>
            <w:r>
              <w:rPr>
                <w:rFonts w:hint="eastAsia" w:ascii="宋体" w:hAnsi="宋体" w:cs="宋体"/>
                <w:color w:val="auto"/>
                <w:szCs w:val="21"/>
                <w:highlight w:val="none"/>
              </w:rPr>
              <w:t>2</w:t>
            </w:r>
          </w:p>
        </w:tc>
        <w:tc>
          <w:tcPr>
            <w:tcW w:w="1831" w:type="dxa"/>
            <w:vAlign w:val="center"/>
          </w:tcPr>
          <w:p>
            <w:pPr>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eastAsia="zh-CN"/>
              </w:rPr>
              <w:t>采购代理机构</w:t>
            </w:r>
          </w:p>
        </w:tc>
        <w:tc>
          <w:tcPr>
            <w:tcW w:w="7226" w:type="dxa"/>
            <w:vAlign w:val="center"/>
          </w:tcPr>
          <w:p>
            <w:pPr>
              <w:keepNext w:val="0"/>
              <w:keepLines w:val="0"/>
              <w:pageBreakBefore w:val="0"/>
              <w:widowControl/>
              <w:kinsoku/>
              <w:wordWrap/>
              <w:overflowPunct/>
              <w:topLinePunct w:val="0"/>
              <w:autoSpaceDE/>
              <w:autoSpaceDN/>
              <w:bidi w:val="0"/>
              <w:adjustRightInd/>
              <w:snapToGrid/>
              <w:spacing w:line="288" w:lineRule="auto"/>
              <w:textAlignment w:val="auto"/>
              <w:rPr>
                <w:rFonts w:ascii="宋体" w:hAnsi="宋体" w:cs="宋体"/>
                <w:color w:val="auto"/>
                <w:szCs w:val="21"/>
                <w:highlight w:val="none"/>
              </w:rPr>
            </w:pPr>
            <w:r>
              <w:rPr>
                <w:rFonts w:hint="eastAsia" w:ascii="宋体" w:hAnsi="宋体" w:cs="宋体"/>
                <w:color w:val="auto"/>
                <w:szCs w:val="21"/>
                <w:highlight w:val="none"/>
                <w:lang w:val="en-US" w:eastAsia="zh-CN"/>
              </w:rPr>
              <w:t>名称</w:t>
            </w:r>
            <w:r>
              <w:rPr>
                <w:rFonts w:hint="eastAsia" w:ascii="宋体" w:hAnsi="宋体" w:cs="宋体"/>
                <w:color w:val="auto"/>
                <w:szCs w:val="21"/>
                <w:highlight w:val="none"/>
              </w:rPr>
              <w:t>：中航技（北京）工程管理有限公司</w:t>
            </w:r>
          </w:p>
          <w:p>
            <w:pPr>
              <w:keepNext w:val="0"/>
              <w:keepLines w:val="0"/>
              <w:pageBreakBefore w:val="0"/>
              <w:widowControl/>
              <w:kinsoku/>
              <w:wordWrap/>
              <w:overflowPunct/>
              <w:topLinePunct w:val="0"/>
              <w:autoSpaceDE/>
              <w:autoSpaceDN/>
              <w:bidi w:val="0"/>
              <w:adjustRightInd/>
              <w:snapToGrid/>
              <w:spacing w:line="288" w:lineRule="auto"/>
              <w:textAlignment w:val="auto"/>
              <w:rPr>
                <w:rFonts w:hint="eastAsia" w:ascii="宋体" w:hAnsi="宋体" w:cs="宋体"/>
                <w:color w:val="auto"/>
                <w:szCs w:val="21"/>
                <w:highlight w:val="none"/>
              </w:rPr>
            </w:pPr>
            <w:r>
              <w:rPr>
                <w:rFonts w:hint="eastAsia" w:ascii="宋体" w:hAnsi="宋体" w:cs="宋体"/>
                <w:color w:val="auto"/>
                <w:szCs w:val="21"/>
                <w:highlight w:val="none"/>
              </w:rPr>
              <w:t>地址：西安市高新区沣惠南路34号摩尔中心A座24楼</w:t>
            </w:r>
          </w:p>
          <w:p>
            <w:pPr>
              <w:keepNext w:val="0"/>
              <w:keepLines w:val="0"/>
              <w:pageBreakBefore w:val="0"/>
              <w:widowControl/>
              <w:kinsoku/>
              <w:wordWrap/>
              <w:overflowPunct/>
              <w:topLinePunct w:val="0"/>
              <w:autoSpaceDE/>
              <w:autoSpaceDN/>
              <w:bidi w:val="0"/>
              <w:adjustRightInd/>
              <w:snapToGrid/>
              <w:spacing w:line="288" w:lineRule="auto"/>
              <w:textAlignment w:val="auto"/>
              <w:rPr>
                <w:rFonts w:ascii="宋体" w:hAnsi="宋体" w:cs="宋体"/>
                <w:color w:val="auto"/>
                <w:szCs w:val="21"/>
                <w:highlight w:val="none"/>
              </w:rPr>
            </w:pPr>
            <w:r>
              <w:rPr>
                <w:rFonts w:hint="eastAsia" w:ascii="宋体" w:hAnsi="宋体" w:cs="宋体"/>
                <w:color w:val="auto"/>
                <w:szCs w:val="21"/>
                <w:highlight w:val="none"/>
              </w:rPr>
              <w:t>联系人：赵伟、李冲</w:t>
            </w:r>
          </w:p>
          <w:p>
            <w:pPr>
              <w:keepNext w:val="0"/>
              <w:keepLines w:val="0"/>
              <w:pageBreakBefore w:val="0"/>
              <w:widowControl/>
              <w:kinsoku/>
              <w:wordWrap/>
              <w:overflowPunct/>
              <w:topLinePunct w:val="0"/>
              <w:autoSpaceDE/>
              <w:autoSpaceDN/>
              <w:bidi w:val="0"/>
              <w:adjustRightInd/>
              <w:snapToGrid/>
              <w:spacing w:line="288" w:lineRule="auto"/>
              <w:textAlignment w:val="auto"/>
              <w:rPr>
                <w:rFonts w:ascii="宋体" w:hAnsi="宋体" w:cs="宋体"/>
                <w:color w:val="auto"/>
                <w:szCs w:val="21"/>
                <w:highlight w:val="none"/>
              </w:rPr>
            </w:pPr>
            <w:r>
              <w:rPr>
                <w:rFonts w:hint="eastAsia" w:ascii="宋体" w:hAnsi="宋体" w:cs="宋体"/>
                <w:color w:val="auto"/>
                <w:szCs w:val="21"/>
                <w:highlight w:val="none"/>
              </w:rPr>
              <w:t>电话：029-</w:t>
            </w:r>
            <w:r>
              <w:rPr>
                <w:rFonts w:hint="eastAsia" w:ascii="宋体" w:hAnsi="宋体" w:cs="宋体"/>
                <w:color w:val="auto"/>
                <w:szCs w:val="21"/>
                <w:highlight w:val="none"/>
                <w:lang w:val="en-US" w:eastAsia="zh-CN"/>
              </w:rPr>
              <w:t>89187077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87" w:type="dxa"/>
            <w:vAlign w:val="center"/>
          </w:tcPr>
          <w:p>
            <w:pPr>
              <w:jc w:val="center"/>
              <w:rPr>
                <w:rFonts w:ascii="宋体" w:hAnsi="宋体" w:cs="宋体"/>
                <w:color w:val="auto"/>
                <w:szCs w:val="21"/>
                <w:highlight w:val="none"/>
              </w:rPr>
            </w:pPr>
            <w:r>
              <w:rPr>
                <w:rFonts w:hint="eastAsia" w:ascii="宋体" w:hAnsi="宋体" w:cs="宋体"/>
                <w:color w:val="auto"/>
                <w:szCs w:val="21"/>
                <w:highlight w:val="none"/>
              </w:rPr>
              <w:t>3</w:t>
            </w:r>
          </w:p>
        </w:tc>
        <w:tc>
          <w:tcPr>
            <w:tcW w:w="1831" w:type="dxa"/>
            <w:vAlign w:val="center"/>
          </w:tcPr>
          <w:p>
            <w:pPr>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rPr>
              <w:t>项目名称</w:t>
            </w:r>
          </w:p>
        </w:tc>
        <w:tc>
          <w:tcPr>
            <w:tcW w:w="7226" w:type="dxa"/>
            <w:vAlign w:val="center"/>
          </w:tcPr>
          <w:p>
            <w:pPr>
              <w:keepNext w:val="0"/>
              <w:keepLines w:val="0"/>
              <w:pageBreakBefore w:val="0"/>
              <w:kinsoku/>
              <w:wordWrap/>
              <w:overflowPunct/>
              <w:topLinePunct w:val="0"/>
              <w:autoSpaceDE/>
              <w:autoSpaceDN/>
              <w:bidi w:val="0"/>
              <w:spacing w:line="288" w:lineRule="auto"/>
              <w:textAlignment w:val="auto"/>
              <w:rPr>
                <w:rFonts w:hint="eastAsia" w:ascii="宋体" w:hAnsi="宋体" w:eastAsia="宋体" w:cs="宋体"/>
                <w:color w:val="auto"/>
                <w:szCs w:val="21"/>
                <w:highlight w:val="none"/>
                <w:lang w:eastAsia="zh-CN"/>
              </w:rPr>
            </w:pPr>
            <w:r>
              <w:rPr>
                <w:rFonts w:hint="eastAsia" w:ascii="宋体" w:hAnsi="宋体" w:cs="宋体"/>
                <w:i w:val="0"/>
                <w:iCs w:val="0"/>
                <w:caps w:val="0"/>
                <w:color w:val="auto"/>
                <w:spacing w:val="0"/>
                <w:kern w:val="0"/>
                <w:sz w:val="21"/>
                <w:szCs w:val="21"/>
                <w:highlight w:val="none"/>
                <w:shd w:val="clear" w:color="auto" w:fill="auto"/>
                <w:lang w:val="en-US" w:eastAsia="zh-CN" w:bidi="ar-SA"/>
              </w:rPr>
              <w:t>咸阳市中心医院智慧医院建设提升、智慧医疗管理系统建设及环境扩容服务</w:t>
            </w:r>
            <w:r>
              <w:rPr>
                <w:rFonts w:hint="eastAsia" w:ascii="宋体" w:hAnsi="宋体" w:eastAsia="宋体" w:cs="宋体"/>
                <w:i w:val="0"/>
                <w:iCs w:val="0"/>
                <w:caps w:val="0"/>
                <w:color w:val="auto"/>
                <w:spacing w:val="0"/>
                <w:kern w:val="0"/>
                <w:sz w:val="21"/>
                <w:szCs w:val="21"/>
                <w:highlight w:val="none"/>
                <w:shd w:val="clear" w:color="auto" w:fill="auto"/>
                <w:lang w:val="en-US" w:eastAsia="zh-CN" w:bidi="ar-SA"/>
              </w:rPr>
              <w:t>（04包：智慧医疗管理系统建设及环境扩容服务项目）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85" w:hRule="atLeast"/>
          <w:jc w:val="center"/>
        </w:trPr>
        <w:tc>
          <w:tcPr>
            <w:tcW w:w="687" w:type="dxa"/>
            <w:vAlign w:val="center"/>
          </w:tcPr>
          <w:p>
            <w:pPr>
              <w:jc w:val="center"/>
              <w:rPr>
                <w:rFonts w:ascii="宋体" w:hAnsi="宋体" w:cs="宋体"/>
                <w:color w:val="auto"/>
                <w:szCs w:val="21"/>
                <w:highlight w:val="none"/>
              </w:rPr>
            </w:pPr>
            <w:r>
              <w:rPr>
                <w:rFonts w:hint="eastAsia" w:ascii="宋体" w:hAnsi="宋体" w:cs="宋体"/>
                <w:color w:val="auto"/>
                <w:szCs w:val="21"/>
                <w:highlight w:val="none"/>
              </w:rPr>
              <w:t>4</w:t>
            </w:r>
          </w:p>
        </w:tc>
        <w:tc>
          <w:tcPr>
            <w:tcW w:w="1831" w:type="dxa"/>
            <w:vAlign w:val="center"/>
          </w:tcPr>
          <w:p>
            <w:pPr>
              <w:jc w:val="center"/>
              <w:rPr>
                <w:rFonts w:ascii="宋体" w:hAnsi="宋体" w:cs="宋体"/>
                <w:color w:val="auto"/>
                <w:szCs w:val="21"/>
                <w:highlight w:val="none"/>
              </w:rPr>
            </w:pPr>
            <w:r>
              <w:rPr>
                <w:rFonts w:hint="eastAsia" w:ascii="宋体" w:hAnsi="宋体" w:cs="宋体"/>
                <w:color w:val="auto"/>
                <w:szCs w:val="21"/>
                <w:highlight w:val="none"/>
              </w:rPr>
              <w:t>项目概况</w:t>
            </w:r>
          </w:p>
        </w:tc>
        <w:tc>
          <w:tcPr>
            <w:tcW w:w="7226" w:type="dxa"/>
            <w:vAlign w:val="center"/>
          </w:tcPr>
          <w:p>
            <w:pPr>
              <w:pStyle w:val="20"/>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288" w:lineRule="auto"/>
              <w:ind w:right="0"/>
              <w:textAlignment w:val="auto"/>
              <w:rPr>
                <w:rFonts w:hint="default" w:cs="宋体"/>
                <w:i w:val="0"/>
                <w:iCs w:val="0"/>
                <w:caps w:val="0"/>
                <w:color w:val="auto"/>
                <w:spacing w:val="0"/>
                <w:sz w:val="21"/>
                <w:szCs w:val="21"/>
                <w:highlight w:val="none"/>
                <w:shd w:val="clear" w:color="auto" w:fill="auto"/>
                <w:lang w:val="en-US" w:eastAsia="zh-CN"/>
              </w:rPr>
            </w:pPr>
            <w:r>
              <w:rPr>
                <w:rFonts w:hint="eastAsia" w:cs="宋体"/>
                <w:i w:val="0"/>
                <w:iCs w:val="0"/>
                <w:caps w:val="0"/>
                <w:color w:val="auto"/>
                <w:spacing w:val="0"/>
                <w:sz w:val="21"/>
                <w:szCs w:val="21"/>
                <w:highlight w:val="none"/>
                <w:shd w:val="clear" w:color="auto" w:fill="auto"/>
                <w:lang w:val="en-US" w:eastAsia="zh-CN"/>
              </w:rPr>
              <w:t>加速医院信息化建设，满足医疗应用系统对基础平台承载能力及安全的要求，结合医院业务发展实际需要，针对智慧医院系统应用所需环境进行配套扩容建设</w:t>
            </w:r>
            <w:r>
              <w:rPr>
                <w:rFonts w:hint="eastAsia" w:ascii="宋体" w:hAnsi="宋体" w:eastAsia="宋体" w:cs="宋体"/>
                <w:i w:val="0"/>
                <w:iCs w:val="0"/>
                <w:caps w:val="0"/>
                <w:color w:val="auto"/>
                <w:spacing w:val="0"/>
                <w:sz w:val="21"/>
                <w:szCs w:val="21"/>
                <w:highlight w:val="none"/>
                <w:shd w:val="clear" w:color="auto" w:fill="auto"/>
              </w:rPr>
              <w:t>。</w:t>
            </w:r>
            <w:r>
              <w:rPr>
                <w:rFonts w:hint="eastAsia" w:cs="宋体"/>
                <w:i w:val="0"/>
                <w:iCs w:val="0"/>
                <w:caps w:val="0"/>
                <w:color w:val="auto"/>
                <w:spacing w:val="0"/>
                <w:sz w:val="21"/>
                <w:szCs w:val="21"/>
                <w:highlight w:val="none"/>
                <w:shd w:val="clear" w:color="auto" w:fill="auto"/>
                <w:lang w:val="en-US" w:eastAsia="zh-CN"/>
              </w:rPr>
              <w:t>具体内容详见“</w:t>
            </w:r>
            <w:r>
              <w:rPr>
                <w:rFonts w:hint="eastAsia" w:cs="宋体"/>
                <w:i w:val="0"/>
                <w:iCs w:val="0"/>
                <w:caps w:val="0"/>
                <w:color w:val="auto"/>
                <w:spacing w:val="0"/>
                <w:sz w:val="21"/>
                <w:szCs w:val="21"/>
                <w:highlight w:val="none"/>
                <w:shd w:val="clear" w:color="auto" w:fill="auto"/>
                <w:lang w:eastAsia="zh-CN"/>
              </w:rPr>
              <w:t>第四章 采购内容及要求”。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7" w:type="dxa"/>
            <w:vAlign w:val="center"/>
          </w:tcPr>
          <w:p>
            <w:pPr>
              <w:jc w:val="center"/>
              <w:rPr>
                <w:rFonts w:ascii="宋体" w:hAnsi="宋体" w:cs="宋体"/>
                <w:color w:val="auto"/>
                <w:szCs w:val="21"/>
                <w:highlight w:val="none"/>
              </w:rPr>
            </w:pPr>
            <w:r>
              <w:rPr>
                <w:rFonts w:hint="eastAsia" w:ascii="宋体" w:hAnsi="宋体" w:cs="宋体"/>
                <w:color w:val="auto"/>
                <w:szCs w:val="21"/>
                <w:highlight w:val="none"/>
              </w:rPr>
              <w:t>5</w:t>
            </w:r>
          </w:p>
        </w:tc>
        <w:tc>
          <w:tcPr>
            <w:tcW w:w="1831" w:type="dxa"/>
            <w:vAlign w:val="center"/>
          </w:tcPr>
          <w:p>
            <w:pPr>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eastAsia="zh-CN"/>
              </w:rPr>
              <w:t>服务地点</w:t>
            </w:r>
          </w:p>
        </w:tc>
        <w:tc>
          <w:tcPr>
            <w:tcW w:w="7226" w:type="dxa"/>
            <w:vAlign w:val="center"/>
          </w:tcPr>
          <w:p>
            <w:pPr>
              <w:widowControl/>
              <w:rPr>
                <w:rFonts w:ascii="宋体" w:hAnsi="宋体" w:cs="宋体"/>
                <w:b/>
                <w:color w:val="auto"/>
                <w:szCs w:val="21"/>
                <w:highlight w:val="none"/>
              </w:rPr>
            </w:pPr>
            <w:r>
              <w:rPr>
                <w:rFonts w:hint="eastAsia" w:ascii="宋体" w:hAnsi="宋体" w:cs="宋体"/>
                <w:color w:val="auto"/>
                <w:szCs w:val="21"/>
                <w:highlight w:val="none"/>
              </w:rPr>
              <w:t>咸阳市中心医院指定地点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7" w:type="dxa"/>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6</w:t>
            </w:r>
          </w:p>
        </w:tc>
        <w:tc>
          <w:tcPr>
            <w:tcW w:w="1831" w:type="dxa"/>
            <w:vAlign w:val="center"/>
          </w:tcPr>
          <w:p>
            <w:pPr>
              <w:jc w:val="center"/>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最高限价</w:t>
            </w:r>
          </w:p>
        </w:tc>
        <w:tc>
          <w:tcPr>
            <w:tcW w:w="7226" w:type="dxa"/>
            <w:vAlign w:val="center"/>
          </w:tcPr>
          <w:p>
            <w:pPr>
              <w:rPr>
                <w:rFonts w:hint="default" w:ascii="宋体" w:hAnsi="宋体" w:cs="宋体"/>
                <w:color w:val="auto"/>
                <w:szCs w:val="21"/>
                <w:highlight w:val="none"/>
                <w:lang w:val="en-US" w:eastAsia="zh-CN"/>
              </w:rPr>
            </w:pPr>
            <w:r>
              <w:rPr>
                <w:rFonts w:hint="eastAsia" w:ascii="宋体" w:hAnsi="宋体" w:cs="宋体"/>
                <w:color w:val="auto"/>
                <w:sz w:val="21"/>
                <w:szCs w:val="21"/>
                <w:highlight w:val="none"/>
                <w:vertAlign w:val="baseline"/>
                <w:lang w:val="en-US" w:eastAsia="zh-CN"/>
              </w:rPr>
              <w:t>893.00</w:t>
            </w:r>
            <w:r>
              <w:rPr>
                <w:rFonts w:hint="eastAsia" w:ascii="宋体" w:hAnsi="宋体" w:cs="宋体"/>
                <w:color w:val="auto"/>
                <w:szCs w:val="21"/>
                <w:highlight w:val="none"/>
                <w:lang w:val="en-US" w:eastAsia="zh-CN"/>
              </w:rPr>
              <w:t>万元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7" w:type="dxa"/>
            <w:vAlign w:val="center"/>
          </w:tcPr>
          <w:p>
            <w:pPr>
              <w:jc w:val="center"/>
              <w:rPr>
                <w:rFonts w:ascii="宋体" w:hAnsi="宋体" w:cs="宋体"/>
                <w:color w:val="auto"/>
                <w:szCs w:val="21"/>
                <w:highlight w:val="none"/>
              </w:rPr>
            </w:pPr>
            <w:r>
              <w:rPr>
                <w:rFonts w:hint="eastAsia" w:ascii="宋体" w:hAnsi="宋体" w:cs="宋体"/>
                <w:color w:val="auto"/>
                <w:szCs w:val="21"/>
                <w:highlight w:val="none"/>
              </w:rPr>
              <w:t>7</w:t>
            </w:r>
          </w:p>
        </w:tc>
        <w:tc>
          <w:tcPr>
            <w:tcW w:w="1831" w:type="dxa"/>
            <w:vAlign w:val="center"/>
          </w:tcPr>
          <w:p>
            <w:pPr>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资金来源</w:t>
            </w:r>
          </w:p>
        </w:tc>
        <w:tc>
          <w:tcPr>
            <w:tcW w:w="7226" w:type="dxa"/>
            <w:vAlign w:val="center"/>
          </w:tcPr>
          <w:p>
            <w:pP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财政资金</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87" w:type="dxa"/>
            <w:vAlign w:val="center"/>
          </w:tcPr>
          <w:p>
            <w:pPr>
              <w:jc w:val="center"/>
              <w:rPr>
                <w:rFonts w:ascii="宋体" w:hAnsi="宋体" w:cs="宋体"/>
                <w:color w:val="auto"/>
                <w:szCs w:val="21"/>
                <w:highlight w:val="none"/>
              </w:rPr>
            </w:pPr>
            <w:r>
              <w:rPr>
                <w:rFonts w:hint="eastAsia" w:ascii="宋体" w:hAnsi="宋体" w:cs="宋体"/>
                <w:color w:val="auto"/>
                <w:szCs w:val="21"/>
                <w:highlight w:val="none"/>
              </w:rPr>
              <w:t>8</w:t>
            </w:r>
          </w:p>
        </w:tc>
        <w:tc>
          <w:tcPr>
            <w:tcW w:w="1831" w:type="dxa"/>
            <w:vAlign w:val="center"/>
          </w:tcPr>
          <w:p>
            <w:pPr>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eastAsia="zh-CN"/>
              </w:rPr>
              <w:t>项目完工期</w:t>
            </w:r>
          </w:p>
        </w:tc>
        <w:tc>
          <w:tcPr>
            <w:tcW w:w="7226" w:type="dxa"/>
            <w:vAlign w:val="center"/>
          </w:tcPr>
          <w:p>
            <w:pP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180日历天</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7" w:type="dxa"/>
            <w:vAlign w:val="center"/>
          </w:tcPr>
          <w:p>
            <w:pPr>
              <w:jc w:val="center"/>
              <w:rPr>
                <w:rFonts w:ascii="宋体" w:hAnsi="宋体" w:cs="宋体"/>
                <w:color w:val="auto"/>
                <w:szCs w:val="21"/>
                <w:highlight w:val="none"/>
              </w:rPr>
            </w:pPr>
            <w:r>
              <w:rPr>
                <w:rFonts w:hint="eastAsia" w:ascii="宋体" w:hAnsi="宋体" w:cs="宋体"/>
                <w:color w:val="auto"/>
                <w:szCs w:val="21"/>
                <w:highlight w:val="none"/>
              </w:rPr>
              <w:t>9</w:t>
            </w:r>
          </w:p>
        </w:tc>
        <w:tc>
          <w:tcPr>
            <w:tcW w:w="1831" w:type="dxa"/>
            <w:vAlign w:val="center"/>
          </w:tcPr>
          <w:p>
            <w:pPr>
              <w:jc w:val="center"/>
              <w:rPr>
                <w:rFonts w:ascii="宋体" w:hAnsi="宋体" w:cs="宋体"/>
                <w:color w:val="auto"/>
                <w:szCs w:val="21"/>
                <w:highlight w:val="none"/>
              </w:rPr>
            </w:pPr>
            <w:r>
              <w:rPr>
                <w:rFonts w:hint="eastAsia" w:ascii="宋体" w:hAnsi="宋体" w:cs="宋体"/>
                <w:color w:val="auto"/>
                <w:szCs w:val="21"/>
                <w:highlight w:val="none"/>
              </w:rPr>
              <w:t>招标范围</w:t>
            </w:r>
          </w:p>
        </w:tc>
        <w:tc>
          <w:tcPr>
            <w:tcW w:w="7226" w:type="dxa"/>
            <w:vAlign w:val="center"/>
          </w:tcPr>
          <w:p>
            <w:pPr>
              <w:rPr>
                <w:rFonts w:ascii="宋体" w:hAnsi="宋体" w:cs="宋体"/>
                <w:color w:val="auto"/>
                <w:szCs w:val="21"/>
                <w:highlight w:val="none"/>
                <w:u w:val="single"/>
              </w:rPr>
            </w:pPr>
            <w:r>
              <w:rPr>
                <w:rFonts w:hint="eastAsia" w:ascii="宋体" w:hAnsi="宋体" w:cs="宋体"/>
                <w:color w:val="auto"/>
                <w:szCs w:val="21"/>
                <w:highlight w:val="none"/>
              </w:rPr>
              <w:t>本项目招标文件包含的全部内容。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7" w:type="dxa"/>
            <w:vAlign w:val="center"/>
          </w:tcPr>
          <w:p>
            <w:pPr>
              <w:jc w:val="center"/>
              <w:rPr>
                <w:rFonts w:ascii="宋体" w:hAnsi="宋体" w:cs="宋体"/>
                <w:color w:val="auto"/>
                <w:szCs w:val="21"/>
                <w:highlight w:val="none"/>
              </w:rPr>
            </w:pPr>
            <w:r>
              <w:rPr>
                <w:rFonts w:hint="eastAsia" w:ascii="宋体" w:hAnsi="宋体" w:cs="宋体"/>
                <w:color w:val="auto"/>
                <w:szCs w:val="21"/>
                <w:highlight w:val="none"/>
              </w:rPr>
              <w:t>10</w:t>
            </w:r>
          </w:p>
        </w:tc>
        <w:tc>
          <w:tcPr>
            <w:tcW w:w="1831" w:type="dxa"/>
            <w:vAlign w:val="center"/>
          </w:tcPr>
          <w:p>
            <w:pPr>
              <w:jc w:val="center"/>
              <w:rPr>
                <w:rFonts w:ascii="宋体" w:hAnsi="宋体" w:cs="宋体"/>
                <w:color w:val="auto"/>
                <w:szCs w:val="21"/>
                <w:highlight w:val="none"/>
              </w:rPr>
            </w:pPr>
            <w:r>
              <w:rPr>
                <w:rFonts w:hint="eastAsia" w:ascii="宋体" w:hAnsi="宋体" w:cs="宋体"/>
                <w:color w:val="auto"/>
                <w:szCs w:val="21"/>
                <w:highlight w:val="none"/>
              </w:rPr>
              <w:t>付款方式</w:t>
            </w:r>
          </w:p>
        </w:tc>
        <w:tc>
          <w:tcPr>
            <w:tcW w:w="7226" w:type="dxa"/>
            <w:vAlign w:val="center"/>
          </w:tcPr>
          <w:p>
            <w:pPr>
              <w:rPr>
                <w:rFonts w:ascii="宋体" w:hAnsi="宋体" w:cs="宋体"/>
                <w:color w:val="auto"/>
                <w:szCs w:val="21"/>
                <w:highlight w:val="none"/>
              </w:rPr>
            </w:pPr>
            <w:r>
              <w:rPr>
                <w:rFonts w:hint="eastAsia" w:ascii="宋体" w:hAnsi="宋体" w:cs="宋体"/>
                <w:color w:val="auto"/>
                <w:szCs w:val="21"/>
                <w:highlight w:val="none"/>
              </w:rPr>
              <w:t>详见第五章合同条款</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7" w:type="dxa"/>
            <w:vAlign w:val="center"/>
          </w:tcPr>
          <w:p>
            <w:pPr>
              <w:jc w:val="center"/>
              <w:rPr>
                <w:rFonts w:ascii="宋体" w:hAnsi="宋体" w:cs="宋体"/>
                <w:color w:val="auto"/>
                <w:szCs w:val="21"/>
                <w:highlight w:val="none"/>
              </w:rPr>
            </w:pPr>
            <w:r>
              <w:rPr>
                <w:rFonts w:hint="eastAsia" w:ascii="宋体" w:hAnsi="宋体" w:cs="宋体"/>
                <w:color w:val="auto"/>
                <w:szCs w:val="21"/>
                <w:highlight w:val="none"/>
              </w:rPr>
              <w:t>11</w:t>
            </w:r>
          </w:p>
        </w:tc>
        <w:tc>
          <w:tcPr>
            <w:tcW w:w="1831" w:type="dxa"/>
            <w:vAlign w:val="center"/>
          </w:tcPr>
          <w:p>
            <w:pPr>
              <w:jc w:val="center"/>
              <w:rPr>
                <w:rFonts w:ascii="宋体" w:hAnsi="宋体" w:cs="宋体"/>
                <w:color w:val="auto"/>
                <w:szCs w:val="21"/>
                <w:highlight w:val="none"/>
              </w:rPr>
            </w:pPr>
            <w:r>
              <w:rPr>
                <w:rFonts w:hint="eastAsia" w:ascii="宋体" w:hAnsi="宋体" w:cs="宋体"/>
                <w:color w:val="auto"/>
                <w:szCs w:val="21"/>
                <w:highlight w:val="none"/>
              </w:rPr>
              <w:t>质量标准</w:t>
            </w:r>
          </w:p>
        </w:tc>
        <w:tc>
          <w:tcPr>
            <w:tcW w:w="7226" w:type="dxa"/>
            <w:vAlign w:val="center"/>
          </w:tcPr>
          <w:p>
            <w:pP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符合国家标准、行业规范和医院需求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87" w:type="dxa"/>
            <w:vAlign w:val="center"/>
          </w:tcPr>
          <w:p>
            <w:pPr>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12</w:t>
            </w:r>
          </w:p>
        </w:tc>
        <w:tc>
          <w:tcPr>
            <w:tcW w:w="1831" w:type="dxa"/>
            <w:vAlign w:val="center"/>
          </w:tcPr>
          <w:p>
            <w:pPr>
              <w:jc w:val="center"/>
              <w:rPr>
                <w:rFonts w:ascii="宋体" w:hAnsi="宋体" w:cs="宋体"/>
                <w:color w:val="auto"/>
                <w:szCs w:val="21"/>
                <w:highlight w:val="none"/>
              </w:rPr>
            </w:pPr>
            <w:r>
              <w:rPr>
                <w:rFonts w:hint="eastAsia" w:ascii="宋体" w:hAnsi="宋体" w:cs="宋体"/>
                <w:color w:val="auto"/>
                <w:szCs w:val="21"/>
                <w:highlight w:val="none"/>
              </w:rPr>
              <w:t>投标人资格要求</w:t>
            </w:r>
          </w:p>
        </w:tc>
        <w:tc>
          <w:tcPr>
            <w:tcW w:w="7226" w:type="dxa"/>
            <w:vAlign w:val="center"/>
          </w:tcPr>
          <w:p>
            <w:pPr>
              <w:pStyle w:val="20"/>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288" w:lineRule="auto"/>
              <w:ind w:right="0" w:rightChars="0"/>
              <w:textAlignment w:val="auto"/>
              <w:rPr>
                <w:rFonts w:hint="eastAsia"/>
                <w:color w:val="auto"/>
                <w:sz w:val="21"/>
                <w:szCs w:val="21"/>
                <w:highlight w:val="none"/>
              </w:rPr>
            </w:pPr>
            <w:r>
              <w:rPr>
                <w:rFonts w:hint="eastAsia"/>
                <w:color w:val="auto"/>
                <w:sz w:val="21"/>
                <w:szCs w:val="21"/>
                <w:highlight w:val="none"/>
              </w:rPr>
              <w:t>1、参加政府采购活动的投标人应当具备政府采购法第二十二条第一款规定“具有独立承担民事责任的能力”的条件，并提供下列材料（加盖公章），未按要求提供或者提供的资料不全或未盖公章，视为未实质性响应招标文件要求，按相应无效处理：</w:t>
            </w:r>
          </w:p>
          <w:p>
            <w:pPr>
              <w:pStyle w:val="20"/>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288" w:lineRule="auto"/>
              <w:ind w:right="0" w:rightChars="0"/>
              <w:textAlignment w:val="auto"/>
              <w:rPr>
                <w:rFonts w:hint="eastAsia"/>
                <w:color w:val="auto"/>
                <w:sz w:val="21"/>
                <w:szCs w:val="21"/>
                <w:highlight w:val="none"/>
              </w:rPr>
            </w:pPr>
            <w:r>
              <w:rPr>
                <w:rFonts w:hint="eastAsia"/>
                <w:color w:val="auto"/>
                <w:sz w:val="21"/>
                <w:szCs w:val="21"/>
                <w:highlight w:val="none"/>
              </w:rPr>
              <w:t>1）法人或者其他组织的营业执照等复印件加盖投标人公章，</w:t>
            </w:r>
            <w:r>
              <w:rPr>
                <w:rFonts w:hint="eastAsia"/>
                <w:color w:val="auto"/>
                <w:sz w:val="21"/>
                <w:szCs w:val="21"/>
                <w:highlight w:val="none"/>
                <w:lang w:eastAsia="zh-CN"/>
              </w:rPr>
              <w:t>自然人提供本人身份证</w:t>
            </w:r>
            <w:r>
              <w:rPr>
                <w:rFonts w:hint="eastAsia"/>
                <w:color w:val="auto"/>
                <w:sz w:val="21"/>
                <w:szCs w:val="21"/>
                <w:highlight w:val="none"/>
              </w:rPr>
              <w:t>；</w:t>
            </w:r>
          </w:p>
          <w:p>
            <w:pPr>
              <w:pStyle w:val="20"/>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288" w:lineRule="auto"/>
              <w:ind w:right="0" w:rightChars="0"/>
              <w:textAlignment w:val="auto"/>
              <w:rPr>
                <w:rFonts w:hint="eastAsia"/>
                <w:color w:val="auto"/>
                <w:sz w:val="21"/>
                <w:szCs w:val="21"/>
                <w:highlight w:val="none"/>
              </w:rPr>
            </w:pPr>
            <w:r>
              <w:rPr>
                <w:rFonts w:hint="eastAsia"/>
                <w:color w:val="auto"/>
                <w:sz w:val="21"/>
                <w:szCs w:val="21"/>
                <w:highlight w:val="none"/>
              </w:rPr>
              <w:t>2）</w:t>
            </w:r>
            <w:r>
              <w:rPr>
                <w:rFonts w:hint="eastAsia"/>
                <w:color w:val="auto"/>
                <w:sz w:val="21"/>
                <w:szCs w:val="21"/>
                <w:highlight w:val="none"/>
                <w:lang w:eastAsia="zh-CN"/>
              </w:rPr>
              <w:t>提供法定代表人授权委托书</w:t>
            </w:r>
            <w:r>
              <w:rPr>
                <w:rFonts w:hint="eastAsia"/>
                <w:color w:val="auto"/>
                <w:sz w:val="21"/>
                <w:szCs w:val="21"/>
                <w:highlight w:val="none"/>
              </w:rPr>
              <w:t>并附</w:t>
            </w:r>
            <w:r>
              <w:rPr>
                <w:rFonts w:hint="eastAsia"/>
                <w:color w:val="auto"/>
                <w:sz w:val="21"/>
                <w:szCs w:val="21"/>
                <w:highlight w:val="none"/>
                <w:lang w:val="en-US" w:eastAsia="zh-CN"/>
              </w:rPr>
              <w:t>法定代表人</w:t>
            </w:r>
            <w:r>
              <w:rPr>
                <w:rFonts w:hint="eastAsia"/>
                <w:color w:val="auto"/>
                <w:sz w:val="21"/>
                <w:szCs w:val="21"/>
                <w:highlight w:val="none"/>
              </w:rPr>
              <w:t>及授权人代表身份证复印件并依照规定格式签署和盖章，法定代表人参加投标的提供身份证复印件；</w:t>
            </w:r>
          </w:p>
          <w:p>
            <w:pPr>
              <w:pStyle w:val="20"/>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288" w:lineRule="auto"/>
              <w:ind w:right="0" w:rightChars="0"/>
              <w:textAlignment w:val="auto"/>
              <w:rPr>
                <w:rFonts w:hint="eastAsia" w:eastAsia="宋体"/>
                <w:color w:val="auto"/>
                <w:sz w:val="21"/>
                <w:szCs w:val="21"/>
                <w:highlight w:val="none"/>
                <w:lang w:eastAsia="zh-CN"/>
              </w:rPr>
            </w:pPr>
            <w:r>
              <w:rPr>
                <w:rFonts w:hint="eastAsia"/>
                <w:color w:val="auto"/>
                <w:sz w:val="21"/>
                <w:szCs w:val="21"/>
                <w:highlight w:val="none"/>
              </w:rPr>
              <w:t>3）</w:t>
            </w:r>
            <w:r>
              <w:rPr>
                <w:rFonts w:hint="eastAsia"/>
                <w:color w:val="auto"/>
                <w:sz w:val="21"/>
                <w:szCs w:val="21"/>
                <w:highlight w:val="none"/>
                <w:lang w:eastAsia="zh-CN"/>
              </w:rPr>
              <w:t>提供2022年度经审计的财务报告，或投标截止时间前6个月内任意时段的资产负债表，或投标截止时间前6个月内任意时间由基本开户银行出具的资信证明，或财政部门认可的政府采购专业担保机构出具的投标担保函。（以上四种形式的资料提供任何一种即可）</w:t>
            </w:r>
          </w:p>
          <w:p>
            <w:pPr>
              <w:pStyle w:val="20"/>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288" w:lineRule="auto"/>
              <w:ind w:right="0" w:rightChars="0"/>
              <w:textAlignment w:val="auto"/>
              <w:rPr>
                <w:rFonts w:hint="eastAsia"/>
                <w:color w:val="auto"/>
                <w:sz w:val="21"/>
                <w:szCs w:val="21"/>
                <w:highlight w:val="none"/>
              </w:rPr>
            </w:pPr>
            <w:r>
              <w:rPr>
                <w:rFonts w:hint="eastAsia"/>
                <w:color w:val="auto"/>
                <w:sz w:val="21"/>
                <w:szCs w:val="21"/>
                <w:highlight w:val="none"/>
              </w:rPr>
              <w:t>4）</w:t>
            </w:r>
            <w:r>
              <w:rPr>
                <w:rFonts w:hint="eastAsia"/>
                <w:color w:val="auto"/>
                <w:sz w:val="21"/>
                <w:szCs w:val="21"/>
                <w:highlight w:val="none"/>
                <w:lang w:eastAsia="zh-CN"/>
              </w:rPr>
              <w:t>提供自投标截止时间前6个月内已缴纳任意时段完税凭证或税务机关开具的完税证明（任意税种）；依法免税的应提供相关文件证明</w:t>
            </w:r>
            <w:r>
              <w:rPr>
                <w:rFonts w:hint="eastAsia"/>
                <w:color w:val="auto"/>
                <w:sz w:val="21"/>
                <w:szCs w:val="21"/>
                <w:highlight w:val="none"/>
              </w:rPr>
              <w:t>；</w:t>
            </w:r>
          </w:p>
          <w:p>
            <w:pPr>
              <w:pStyle w:val="20"/>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288" w:lineRule="auto"/>
              <w:ind w:right="0" w:rightChars="0"/>
              <w:textAlignment w:val="auto"/>
              <w:rPr>
                <w:rFonts w:hint="eastAsia"/>
                <w:color w:val="auto"/>
                <w:sz w:val="21"/>
                <w:szCs w:val="21"/>
                <w:highlight w:val="none"/>
                <w:lang w:eastAsia="zh-CN"/>
              </w:rPr>
            </w:pPr>
            <w:r>
              <w:rPr>
                <w:rFonts w:hint="eastAsia"/>
                <w:color w:val="auto"/>
                <w:sz w:val="21"/>
                <w:szCs w:val="21"/>
                <w:highlight w:val="none"/>
              </w:rPr>
              <w:t>5）</w:t>
            </w:r>
            <w:r>
              <w:rPr>
                <w:rFonts w:hint="eastAsia"/>
                <w:color w:val="auto"/>
                <w:sz w:val="21"/>
                <w:szCs w:val="21"/>
                <w:highlight w:val="none"/>
                <w:lang w:eastAsia="zh-CN"/>
              </w:rPr>
              <w:t>提供自投标截止时间前6个月内已缴存的任意时段的社会保障资金缴存单据或社保机构开具的社会保险参保缴费情况证明；依法不需要缴纳社会保障资金的应提供相关文件证明；</w:t>
            </w:r>
          </w:p>
          <w:p>
            <w:pPr>
              <w:pStyle w:val="20"/>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288" w:lineRule="auto"/>
              <w:ind w:right="0" w:rightChars="0"/>
              <w:textAlignment w:val="auto"/>
              <w:rPr>
                <w:rFonts w:hint="eastAsia"/>
                <w:color w:val="auto"/>
                <w:sz w:val="21"/>
                <w:szCs w:val="21"/>
                <w:highlight w:val="none"/>
              </w:rPr>
            </w:pPr>
            <w:r>
              <w:rPr>
                <w:rFonts w:hint="eastAsia"/>
                <w:color w:val="auto"/>
                <w:sz w:val="21"/>
                <w:szCs w:val="21"/>
                <w:highlight w:val="none"/>
              </w:rPr>
              <w:t>6）</w:t>
            </w:r>
            <w:r>
              <w:rPr>
                <w:rFonts w:hint="eastAsia"/>
                <w:color w:val="auto"/>
                <w:sz w:val="21"/>
                <w:szCs w:val="21"/>
                <w:highlight w:val="none"/>
                <w:lang w:eastAsia="zh-CN"/>
              </w:rPr>
              <w:t>具备履行合同所必需的设备和专业技术能力</w:t>
            </w:r>
            <w:r>
              <w:rPr>
                <w:rFonts w:hint="eastAsia"/>
                <w:color w:val="auto"/>
                <w:sz w:val="21"/>
                <w:szCs w:val="21"/>
                <w:highlight w:val="none"/>
              </w:rPr>
              <w:t>书面声明，格式自拟；</w:t>
            </w:r>
          </w:p>
          <w:p>
            <w:pPr>
              <w:pStyle w:val="20"/>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288" w:lineRule="auto"/>
              <w:ind w:right="0" w:rightChars="0"/>
              <w:textAlignment w:val="auto"/>
              <w:rPr>
                <w:rFonts w:hint="eastAsia"/>
                <w:color w:val="auto"/>
                <w:sz w:val="21"/>
                <w:szCs w:val="21"/>
                <w:highlight w:val="none"/>
                <w:lang w:val="en-US" w:eastAsia="zh-CN"/>
              </w:rPr>
            </w:pPr>
            <w:r>
              <w:rPr>
                <w:rFonts w:hint="eastAsia"/>
                <w:color w:val="auto"/>
                <w:sz w:val="21"/>
                <w:szCs w:val="21"/>
                <w:highlight w:val="none"/>
                <w:lang w:val="en-US" w:eastAsia="zh-CN"/>
              </w:rPr>
              <w:t>7）参加政府采购活动前3年内在经营活动中没有重大违法记录的书面声明，格式自拟；</w:t>
            </w:r>
          </w:p>
          <w:p>
            <w:pPr>
              <w:pStyle w:val="20"/>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288" w:lineRule="auto"/>
              <w:ind w:right="0" w:rightChars="0"/>
              <w:textAlignment w:val="auto"/>
              <w:rPr>
                <w:rFonts w:hint="default"/>
                <w:color w:val="auto"/>
                <w:sz w:val="21"/>
                <w:szCs w:val="21"/>
                <w:highlight w:val="none"/>
                <w:lang w:val="en-US"/>
              </w:rPr>
            </w:pPr>
            <w:r>
              <w:rPr>
                <w:rFonts w:hint="eastAsia"/>
                <w:color w:val="auto"/>
                <w:sz w:val="21"/>
                <w:szCs w:val="21"/>
                <w:highlight w:val="none"/>
                <w:lang w:val="en-US" w:eastAsia="zh-CN"/>
              </w:rPr>
              <w:t>2、特定资格条件：无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s="宋体"/>
                <w:color w:val="auto"/>
                <w:szCs w:val="21"/>
                <w:highlight w:val="none"/>
              </w:rPr>
            </w:pPr>
            <w:r>
              <w:rPr>
                <w:rFonts w:hint="eastAsia" w:ascii="宋体" w:hAnsi="宋体" w:cs="宋体"/>
                <w:color w:val="auto"/>
                <w:szCs w:val="21"/>
                <w:highlight w:val="none"/>
              </w:rPr>
              <w:t>13</w:t>
            </w:r>
          </w:p>
        </w:tc>
        <w:tc>
          <w:tcPr>
            <w:tcW w:w="1831"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s="宋体"/>
                <w:color w:val="auto"/>
                <w:szCs w:val="21"/>
                <w:highlight w:val="none"/>
              </w:rPr>
            </w:pPr>
            <w:r>
              <w:rPr>
                <w:rFonts w:hint="eastAsia" w:ascii="宋体" w:hAnsi="宋体" w:cs="宋体"/>
                <w:color w:val="auto"/>
                <w:szCs w:val="21"/>
                <w:highlight w:val="none"/>
              </w:rPr>
              <w:t>采购方式</w:t>
            </w:r>
          </w:p>
        </w:tc>
        <w:tc>
          <w:tcPr>
            <w:tcW w:w="7226" w:type="dxa"/>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宋体" w:hAnsi="宋体" w:cs="宋体"/>
                <w:color w:val="auto"/>
                <w:szCs w:val="21"/>
                <w:highlight w:val="none"/>
              </w:rPr>
            </w:pPr>
            <w:r>
              <w:rPr>
                <w:rFonts w:hint="eastAsia" w:ascii="宋体" w:hAnsi="宋体" w:cs="宋体"/>
                <w:color w:val="auto"/>
                <w:szCs w:val="21"/>
                <w:highlight w:val="none"/>
              </w:rPr>
              <w:t>公开招标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13" w:hRule="atLeast"/>
          <w:jc w:val="center"/>
        </w:trPr>
        <w:tc>
          <w:tcPr>
            <w:tcW w:w="687" w:type="dxa"/>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14</w:t>
            </w:r>
          </w:p>
        </w:tc>
        <w:tc>
          <w:tcPr>
            <w:tcW w:w="1831" w:type="dxa"/>
            <w:vAlign w:val="center"/>
          </w:tcPr>
          <w:p>
            <w:pPr>
              <w:spacing w:line="360" w:lineRule="auto"/>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质疑与答复</w:t>
            </w:r>
          </w:p>
        </w:tc>
        <w:tc>
          <w:tcPr>
            <w:tcW w:w="7226" w:type="dxa"/>
            <w:vAlign w:val="center"/>
          </w:tcPr>
          <w:p>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 xml:space="preserve">提出质疑截止时间：潜在供应商已依法获取其可质疑的采购文件的，可以对该文件提出质疑。对采购文件提出质疑的，应当在获取采购文件或者采购文件公告期限届满之日起 7 个工作日内提出。 </w:t>
            </w:r>
          </w:p>
          <w:p>
            <w:pPr>
              <w:keepNext w:val="0"/>
              <w:keepLines w:val="0"/>
              <w:pageBreakBefore w:val="0"/>
              <w:widowControl w:val="0"/>
              <w:kinsoku/>
              <w:wordWrap/>
              <w:overflowPunct/>
              <w:topLinePunct w:val="0"/>
              <w:autoSpaceDE/>
              <w:autoSpaceDN/>
              <w:bidi w:val="0"/>
              <w:adjustRightInd/>
              <w:snapToGrid/>
              <w:spacing w:line="288" w:lineRule="auto"/>
              <w:textAlignment w:val="auto"/>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提出方式：书面形式（格式详见招标文件第七章）</w:t>
            </w:r>
          </w:p>
          <w:p>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 xml:space="preserve">质疑答复：采购人、采购代理机构应当在收到质疑函后7个工作日内作出答复，并以书面形式通知质疑供应商和其他有关供应商。 </w:t>
            </w:r>
          </w:p>
          <w:p>
            <w:pPr>
              <w:pStyle w:val="2"/>
              <w:rPr>
                <w:rFonts w:hint="default" w:eastAsia="宋体"/>
                <w:color w:val="auto"/>
                <w:highlight w:val="none"/>
                <w:lang w:val="en-US" w:eastAsia="zh-CN"/>
              </w:rPr>
            </w:pPr>
            <w:r>
              <w:rPr>
                <w:rFonts w:hint="eastAsia" w:ascii="宋体" w:hAnsi="宋体"/>
                <w:color w:val="auto"/>
                <w:sz w:val="21"/>
                <w:szCs w:val="21"/>
                <w:highlight w:val="none"/>
              </w:rPr>
              <w:t>针对同一采购程序环节又提出其他质疑事项的，或质疑答复后就同一事项再次提出质疑的</w:t>
            </w:r>
            <w:r>
              <w:rPr>
                <w:rFonts w:hint="eastAsia" w:ascii="宋体" w:hAnsi="宋体"/>
                <w:color w:val="auto"/>
                <w:sz w:val="21"/>
                <w:szCs w:val="21"/>
                <w:highlight w:val="none"/>
                <w:lang w:val="en-US" w:eastAsia="zh-CN"/>
              </w:rPr>
              <w:t>为无效质疑，采购人或代理机构不予接收。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92" w:hRule="atLeast"/>
          <w:jc w:val="center"/>
        </w:trPr>
        <w:tc>
          <w:tcPr>
            <w:tcW w:w="687" w:type="dxa"/>
            <w:vAlign w:val="center"/>
          </w:tcPr>
          <w:p>
            <w:pPr>
              <w:jc w:val="center"/>
              <w:rPr>
                <w:rFonts w:ascii="宋体" w:hAnsi="宋体" w:cs="宋体"/>
                <w:color w:val="auto"/>
                <w:szCs w:val="21"/>
                <w:highlight w:val="none"/>
              </w:rPr>
            </w:pPr>
            <w:r>
              <w:rPr>
                <w:rFonts w:hint="eastAsia" w:ascii="宋体" w:hAnsi="宋体" w:cs="宋体"/>
                <w:color w:val="auto"/>
                <w:szCs w:val="21"/>
                <w:highlight w:val="none"/>
              </w:rPr>
              <w:t>15</w:t>
            </w:r>
          </w:p>
        </w:tc>
        <w:tc>
          <w:tcPr>
            <w:tcW w:w="1831" w:type="dxa"/>
            <w:vAlign w:val="center"/>
          </w:tcPr>
          <w:p>
            <w:pPr>
              <w:spacing w:line="288" w:lineRule="auto"/>
              <w:jc w:val="center"/>
              <w:rPr>
                <w:rFonts w:ascii="宋体" w:hAnsi="宋体" w:cs="宋体"/>
                <w:color w:val="auto"/>
                <w:szCs w:val="21"/>
                <w:highlight w:val="none"/>
              </w:rPr>
            </w:pPr>
            <w:r>
              <w:rPr>
                <w:rFonts w:hint="eastAsia" w:ascii="宋体" w:hAnsi="宋体" w:cs="宋体"/>
                <w:color w:val="auto"/>
                <w:szCs w:val="21"/>
                <w:highlight w:val="none"/>
              </w:rPr>
              <w:t>招标文件澄清和修改</w:t>
            </w:r>
          </w:p>
        </w:tc>
        <w:tc>
          <w:tcPr>
            <w:tcW w:w="7226" w:type="dxa"/>
            <w:vAlign w:val="center"/>
          </w:tcPr>
          <w:p>
            <w:pPr>
              <w:keepNext w:val="0"/>
              <w:keepLines w:val="0"/>
              <w:pageBreakBefore w:val="0"/>
              <w:widowControl w:val="0"/>
              <w:kinsoku/>
              <w:wordWrap/>
              <w:overflowPunct/>
              <w:topLinePunct w:val="0"/>
              <w:autoSpaceDE/>
              <w:autoSpaceDN/>
              <w:bidi w:val="0"/>
              <w:adjustRightInd/>
              <w:snapToGrid/>
              <w:spacing w:line="288" w:lineRule="auto"/>
              <w:textAlignment w:val="auto"/>
              <w:rPr>
                <w:rFonts w:ascii="宋体" w:hAnsi="宋体" w:cs="宋体"/>
                <w:color w:val="auto"/>
                <w:szCs w:val="21"/>
                <w:highlight w:val="none"/>
              </w:rPr>
            </w:pPr>
            <w:bookmarkStart w:id="7" w:name="_Toc11785"/>
            <w:r>
              <w:rPr>
                <w:rFonts w:hint="eastAsia" w:ascii="宋体" w:hAnsi="宋体" w:cs="宋体"/>
                <w:color w:val="auto"/>
                <w:szCs w:val="21"/>
                <w:highlight w:val="none"/>
              </w:rPr>
              <w:t>招标文件的澄清和修改：投标截止时间15日前</w:t>
            </w:r>
          </w:p>
          <w:p>
            <w:pPr>
              <w:keepNext w:val="0"/>
              <w:keepLines w:val="0"/>
              <w:pageBreakBefore w:val="0"/>
              <w:widowControl w:val="0"/>
              <w:kinsoku/>
              <w:wordWrap/>
              <w:overflowPunct/>
              <w:topLinePunct w:val="0"/>
              <w:autoSpaceDE/>
              <w:autoSpaceDN/>
              <w:bidi w:val="0"/>
              <w:adjustRightInd/>
              <w:snapToGrid/>
              <w:spacing w:line="288" w:lineRule="auto"/>
              <w:textAlignment w:val="auto"/>
              <w:rPr>
                <w:rFonts w:ascii="宋体" w:hAnsi="宋体" w:cs="宋体"/>
                <w:color w:val="auto"/>
                <w:szCs w:val="21"/>
                <w:highlight w:val="none"/>
              </w:rPr>
            </w:pPr>
            <w:r>
              <w:rPr>
                <w:rFonts w:hint="eastAsia" w:ascii="宋体" w:hAnsi="宋体" w:cs="宋体"/>
                <w:color w:val="auto"/>
                <w:szCs w:val="21"/>
                <w:highlight w:val="none"/>
              </w:rPr>
              <w:t>在投标截止时间15日前，招标人可以澄清或修改招标文件，并以书面形式通知各投标人。如果修改招标文件的时间距投标截止时间不足15日时，招标人将延长投标截止时间。</w:t>
            </w:r>
            <w:bookmarkEnd w:id="7"/>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7" w:type="dxa"/>
            <w:vAlign w:val="center"/>
          </w:tcPr>
          <w:p>
            <w:pPr>
              <w:jc w:val="center"/>
              <w:rPr>
                <w:rFonts w:ascii="宋体" w:hAnsi="宋体" w:cs="宋体"/>
                <w:color w:val="auto"/>
                <w:szCs w:val="21"/>
                <w:highlight w:val="none"/>
              </w:rPr>
            </w:pPr>
            <w:r>
              <w:rPr>
                <w:rFonts w:hint="eastAsia" w:ascii="宋体" w:hAnsi="宋体" w:cs="宋体"/>
                <w:color w:val="auto"/>
                <w:szCs w:val="21"/>
                <w:highlight w:val="none"/>
              </w:rPr>
              <w:t>16</w:t>
            </w:r>
          </w:p>
        </w:tc>
        <w:tc>
          <w:tcPr>
            <w:tcW w:w="1831" w:type="dxa"/>
            <w:vAlign w:val="center"/>
          </w:tcPr>
          <w:p>
            <w:pPr>
              <w:jc w:val="center"/>
              <w:rPr>
                <w:rFonts w:ascii="宋体" w:hAnsi="宋体" w:cs="宋体"/>
                <w:color w:val="auto"/>
                <w:szCs w:val="21"/>
                <w:highlight w:val="none"/>
              </w:rPr>
            </w:pPr>
            <w:r>
              <w:rPr>
                <w:rFonts w:hint="eastAsia" w:ascii="宋体" w:hAnsi="宋体" w:cs="宋体"/>
                <w:color w:val="auto"/>
                <w:szCs w:val="21"/>
                <w:highlight w:val="none"/>
              </w:rPr>
              <w:t>投标截止时间</w:t>
            </w:r>
          </w:p>
        </w:tc>
        <w:tc>
          <w:tcPr>
            <w:tcW w:w="7226" w:type="dxa"/>
            <w:vAlign w:val="center"/>
          </w:tcPr>
          <w:p>
            <w:pPr>
              <w:rPr>
                <w:rFonts w:ascii="宋体" w:hAnsi="宋体" w:cs="宋体"/>
                <w:color w:val="auto"/>
                <w:szCs w:val="21"/>
                <w:highlight w:val="none"/>
              </w:rPr>
            </w:pPr>
            <w:r>
              <w:rPr>
                <w:rFonts w:hint="eastAsia" w:ascii="宋体" w:hAnsi="宋体" w:cs="宋体"/>
                <w:color w:val="auto"/>
                <w:szCs w:val="21"/>
                <w:highlight w:val="none"/>
              </w:rPr>
              <w:t>202</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年</w:t>
            </w:r>
            <w:r>
              <w:rPr>
                <w:rFonts w:hint="eastAsia" w:ascii="宋体" w:hAnsi="宋体" w:cs="宋体"/>
                <w:color w:val="auto"/>
                <w:szCs w:val="21"/>
                <w:highlight w:val="none"/>
                <w:lang w:val="en-US" w:eastAsia="zh-CN"/>
              </w:rPr>
              <w:t>12月13日</w:t>
            </w:r>
            <w:r>
              <w:rPr>
                <w:rFonts w:hint="eastAsia" w:ascii="宋体" w:hAnsi="宋体" w:cs="宋体"/>
                <w:color w:val="auto"/>
                <w:szCs w:val="21"/>
                <w:highlight w:val="none"/>
              </w:rPr>
              <w:t>09时30分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7" w:type="dxa"/>
            <w:vAlign w:val="center"/>
          </w:tcPr>
          <w:p>
            <w:pPr>
              <w:jc w:val="center"/>
              <w:rPr>
                <w:rFonts w:ascii="宋体" w:hAnsi="宋体" w:cs="宋体"/>
                <w:color w:val="auto"/>
                <w:szCs w:val="21"/>
                <w:highlight w:val="none"/>
              </w:rPr>
            </w:pPr>
            <w:r>
              <w:rPr>
                <w:rFonts w:hint="eastAsia" w:ascii="宋体" w:hAnsi="宋体" w:cs="宋体"/>
                <w:color w:val="auto"/>
                <w:szCs w:val="21"/>
                <w:highlight w:val="none"/>
              </w:rPr>
              <w:t>17</w:t>
            </w:r>
          </w:p>
        </w:tc>
        <w:tc>
          <w:tcPr>
            <w:tcW w:w="1831" w:type="dxa"/>
            <w:vAlign w:val="center"/>
          </w:tcPr>
          <w:p>
            <w:pPr>
              <w:jc w:val="center"/>
              <w:rPr>
                <w:rFonts w:ascii="宋体" w:hAnsi="宋体" w:cs="宋体"/>
                <w:color w:val="auto"/>
                <w:szCs w:val="21"/>
                <w:highlight w:val="none"/>
              </w:rPr>
            </w:pPr>
            <w:r>
              <w:rPr>
                <w:rFonts w:hint="eastAsia" w:ascii="宋体" w:hAnsi="宋体" w:cs="宋体"/>
                <w:color w:val="auto"/>
                <w:szCs w:val="21"/>
                <w:highlight w:val="none"/>
              </w:rPr>
              <w:t>投标有效期</w:t>
            </w:r>
          </w:p>
        </w:tc>
        <w:tc>
          <w:tcPr>
            <w:tcW w:w="7226" w:type="dxa"/>
            <w:vAlign w:val="center"/>
          </w:tcPr>
          <w:p>
            <w:pPr>
              <w:rPr>
                <w:rFonts w:ascii="宋体" w:hAnsi="宋体" w:cs="宋体"/>
                <w:color w:val="auto"/>
                <w:szCs w:val="21"/>
                <w:highlight w:val="none"/>
              </w:rPr>
            </w:pPr>
            <w:r>
              <w:rPr>
                <w:rFonts w:hint="eastAsia" w:ascii="宋体" w:hAnsi="宋体" w:cs="宋体"/>
                <w:color w:val="auto"/>
                <w:kern w:val="0"/>
                <w:szCs w:val="21"/>
                <w:highlight w:val="none"/>
              </w:rPr>
              <w:t>90天（从提交投标文件的截止之日起算）</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7" w:type="dxa"/>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18</w:t>
            </w:r>
          </w:p>
        </w:tc>
        <w:tc>
          <w:tcPr>
            <w:tcW w:w="1831" w:type="dxa"/>
            <w:vAlign w:val="center"/>
          </w:tcPr>
          <w:p>
            <w:pPr>
              <w:jc w:val="center"/>
              <w:rPr>
                <w:rFonts w:ascii="宋体" w:hAnsi="宋体" w:cs="宋体"/>
                <w:color w:val="auto"/>
                <w:szCs w:val="21"/>
                <w:highlight w:val="none"/>
              </w:rPr>
            </w:pPr>
            <w:r>
              <w:rPr>
                <w:rFonts w:hint="eastAsia" w:ascii="宋体" w:hAnsi="宋体" w:cs="宋体"/>
                <w:color w:val="auto"/>
                <w:szCs w:val="21"/>
                <w:highlight w:val="none"/>
              </w:rPr>
              <w:t>投标保证金</w:t>
            </w:r>
          </w:p>
        </w:tc>
        <w:tc>
          <w:tcPr>
            <w:tcW w:w="7226" w:type="dxa"/>
            <w:vAlign w:val="center"/>
          </w:tcPr>
          <w:p>
            <w:pPr>
              <w:keepNext w:val="0"/>
              <w:keepLines w:val="0"/>
              <w:pageBreakBefore w:val="0"/>
              <w:widowControl w:val="0"/>
              <w:kinsoku/>
              <w:wordWrap/>
              <w:overflowPunct/>
              <w:topLinePunct w:val="0"/>
              <w:autoSpaceDE/>
              <w:autoSpaceDN/>
              <w:bidi w:val="0"/>
              <w:adjustRightInd/>
              <w:snapToGrid/>
              <w:spacing w:line="288" w:lineRule="auto"/>
              <w:textAlignment w:val="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本项目不收取保证金。</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687" w:type="dxa"/>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19</w:t>
            </w:r>
          </w:p>
        </w:tc>
        <w:tc>
          <w:tcPr>
            <w:tcW w:w="1831" w:type="dxa"/>
            <w:vAlign w:val="center"/>
          </w:tcPr>
          <w:p>
            <w:pPr>
              <w:spacing w:line="288" w:lineRule="auto"/>
              <w:jc w:val="center"/>
              <w:rPr>
                <w:rFonts w:ascii="宋体" w:hAnsi="宋体" w:cs="宋体"/>
                <w:color w:val="auto"/>
                <w:szCs w:val="21"/>
                <w:highlight w:val="none"/>
              </w:rPr>
            </w:pPr>
            <w:r>
              <w:rPr>
                <w:rFonts w:hint="eastAsia" w:ascii="宋体" w:hAnsi="宋体" w:cs="宋体"/>
                <w:color w:val="auto"/>
                <w:szCs w:val="21"/>
                <w:highlight w:val="none"/>
              </w:rPr>
              <w:t>是否允许递交备选方案</w:t>
            </w:r>
          </w:p>
        </w:tc>
        <w:tc>
          <w:tcPr>
            <w:tcW w:w="7226" w:type="dxa"/>
            <w:vAlign w:val="center"/>
          </w:tcPr>
          <w:p>
            <w:pPr>
              <w:rPr>
                <w:rFonts w:ascii="宋体" w:hAnsi="宋体" w:cs="宋体"/>
                <w:color w:val="auto"/>
                <w:szCs w:val="21"/>
                <w:highlight w:val="none"/>
              </w:rPr>
            </w:pPr>
            <w:r>
              <w:rPr>
                <w:rFonts w:hint="eastAsia" w:ascii="宋体" w:hAnsi="宋体" w:cs="宋体"/>
                <w:color w:val="auto"/>
                <w:szCs w:val="21"/>
                <w:highlight w:val="none"/>
              </w:rPr>
              <w:t>不允许</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687" w:type="dxa"/>
            <w:vAlign w:val="center"/>
          </w:tcPr>
          <w:p>
            <w:pPr>
              <w:spacing w:line="360" w:lineRule="auto"/>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20</w:t>
            </w:r>
          </w:p>
        </w:tc>
        <w:tc>
          <w:tcPr>
            <w:tcW w:w="1831" w:type="dxa"/>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签字或盖章要求</w:t>
            </w:r>
          </w:p>
        </w:tc>
        <w:tc>
          <w:tcPr>
            <w:tcW w:w="7226" w:type="dxa"/>
            <w:vAlign w:val="center"/>
          </w:tcPr>
          <w:p>
            <w:pPr>
              <w:keepNext w:val="0"/>
              <w:keepLines w:val="0"/>
              <w:pageBreakBefore w:val="0"/>
              <w:widowControl w:val="0"/>
              <w:kinsoku/>
              <w:wordWrap/>
              <w:overflowPunct/>
              <w:topLinePunct w:val="0"/>
              <w:autoSpaceDE/>
              <w:autoSpaceDN/>
              <w:bidi w:val="0"/>
              <w:adjustRightInd/>
              <w:snapToGrid/>
              <w:spacing w:line="288" w:lineRule="auto"/>
              <w:textAlignment w:val="auto"/>
              <w:rPr>
                <w:rFonts w:ascii="宋体" w:hAnsi="宋体" w:cs="宋体"/>
                <w:color w:val="auto"/>
                <w:szCs w:val="21"/>
                <w:highlight w:val="none"/>
              </w:rPr>
            </w:pPr>
            <w:r>
              <w:rPr>
                <w:rFonts w:hint="eastAsia" w:ascii="宋体" w:hAnsi="宋体" w:cs="宋体"/>
                <w:color w:val="auto"/>
                <w:szCs w:val="21"/>
                <w:highlight w:val="none"/>
              </w:rPr>
              <w:t>纸质投标文件封面及其它有要求的部位应加盖投标人公章并经</w:t>
            </w:r>
            <w:r>
              <w:rPr>
                <w:rFonts w:hint="eastAsia" w:ascii="宋体" w:hAnsi="宋体" w:cs="宋体"/>
                <w:color w:val="auto"/>
                <w:szCs w:val="21"/>
                <w:highlight w:val="none"/>
                <w:lang w:eastAsia="zh-CN"/>
              </w:rPr>
              <w:t>法定代表人（负责人）</w:t>
            </w:r>
            <w:r>
              <w:rPr>
                <w:rFonts w:hint="eastAsia" w:ascii="宋体" w:hAnsi="宋体" w:cs="宋体"/>
                <w:color w:val="auto"/>
                <w:szCs w:val="21"/>
                <w:highlight w:val="none"/>
              </w:rPr>
              <w:t>或其委托代理人签字或盖章。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11" w:hRule="atLeast"/>
          <w:jc w:val="center"/>
        </w:trPr>
        <w:tc>
          <w:tcPr>
            <w:tcW w:w="687" w:type="dxa"/>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21</w:t>
            </w:r>
          </w:p>
        </w:tc>
        <w:tc>
          <w:tcPr>
            <w:tcW w:w="1831" w:type="dxa"/>
            <w:vAlign w:val="center"/>
          </w:tcPr>
          <w:p>
            <w:pPr>
              <w:spacing w:line="288" w:lineRule="auto"/>
              <w:jc w:val="center"/>
              <w:rPr>
                <w:rFonts w:ascii="宋体" w:hAnsi="宋体" w:cs="宋体"/>
                <w:color w:val="auto"/>
                <w:szCs w:val="21"/>
                <w:highlight w:val="none"/>
              </w:rPr>
            </w:pPr>
            <w:r>
              <w:rPr>
                <w:rFonts w:hint="eastAsia" w:ascii="宋体" w:hAnsi="宋体" w:cs="宋体"/>
                <w:color w:val="auto"/>
                <w:szCs w:val="21"/>
                <w:highlight w:val="none"/>
              </w:rPr>
              <w:t>投标文件的份数及装订要求</w:t>
            </w:r>
          </w:p>
        </w:tc>
        <w:tc>
          <w:tcPr>
            <w:tcW w:w="7226" w:type="dxa"/>
            <w:vAlign w:val="center"/>
          </w:tcPr>
          <w:p>
            <w:pPr>
              <w:keepNext w:val="0"/>
              <w:keepLines w:val="0"/>
              <w:pageBreakBefore w:val="0"/>
              <w:widowControl w:val="0"/>
              <w:numPr>
                <w:ilvl w:val="0"/>
                <w:numId w:val="1"/>
              </w:numPr>
              <w:kinsoku/>
              <w:wordWrap/>
              <w:overflowPunct/>
              <w:topLinePunct w:val="0"/>
              <w:autoSpaceDE/>
              <w:autoSpaceDN/>
              <w:bidi w:val="0"/>
              <w:adjustRightInd/>
              <w:snapToGrid/>
              <w:spacing w:line="288" w:lineRule="auto"/>
              <w:textAlignment w:val="auto"/>
              <w:rPr>
                <w:rFonts w:hint="eastAsia" w:ascii="宋体" w:hAnsi="宋体" w:cs="宋体"/>
                <w:color w:val="auto"/>
                <w:szCs w:val="21"/>
                <w:highlight w:val="none"/>
              </w:rPr>
            </w:pPr>
            <w:r>
              <w:rPr>
                <w:rFonts w:hint="eastAsia" w:ascii="宋体" w:hAnsi="宋体" w:cs="宋体"/>
                <w:color w:val="auto"/>
                <w:szCs w:val="21"/>
                <w:highlight w:val="none"/>
              </w:rPr>
              <w:t>份数要求：</w:t>
            </w:r>
          </w:p>
          <w:p>
            <w:pPr>
              <w:widowControl/>
              <w:spacing w:line="259" w:lineRule="auto"/>
              <w:jc w:val="left"/>
              <w:rPr>
                <w:rFonts w:hint="eastAsia" w:ascii="宋体" w:hAnsi="宋体"/>
                <w:color w:val="auto"/>
                <w:sz w:val="21"/>
                <w:szCs w:val="21"/>
                <w:highlight w:val="none"/>
              </w:rPr>
            </w:pPr>
            <w:r>
              <w:rPr>
                <w:rFonts w:hint="eastAsia" w:ascii="宋体" w:hAnsi="宋体"/>
                <w:color w:val="auto"/>
                <w:sz w:val="21"/>
                <w:szCs w:val="21"/>
                <w:highlight w:val="none"/>
              </w:rPr>
              <w:t>1）</w:t>
            </w:r>
            <w:r>
              <w:rPr>
                <w:rFonts w:ascii="宋体" w:hAnsi="宋体"/>
                <w:b/>
                <w:bCs/>
                <w:color w:val="auto"/>
                <w:sz w:val="21"/>
                <w:szCs w:val="21"/>
                <w:highlight w:val="none"/>
              </w:rPr>
              <w:t>一份投标文件正本和</w:t>
            </w:r>
            <w:r>
              <w:rPr>
                <w:rFonts w:hint="eastAsia" w:ascii="宋体" w:hAnsi="宋体"/>
                <w:b/>
                <w:bCs/>
                <w:color w:val="auto"/>
                <w:sz w:val="21"/>
                <w:szCs w:val="21"/>
                <w:highlight w:val="none"/>
                <w:lang w:val="en-US" w:eastAsia="zh-CN"/>
              </w:rPr>
              <w:t>2</w:t>
            </w:r>
            <w:r>
              <w:rPr>
                <w:rFonts w:hint="eastAsia" w:ascii="宋体" w:hAnsi="宋体"/>
                <w:b/>
                <w:bCs/>
                <w:color w:val="auto"/>
                <w:sz w:val="21"/>
                <w:szCs w:val="21"/>
                <w:highlight w:val="none"/>
              </w:rPr>
              <w:t>份</w:t>
            </w:r>
            <w:r>
              <w:rPr>
                <w:rFonts w:ascii="宋体" w:hAnsi="宋体"/>
                <w:b/>
                <w:bCs/>
                <w:color w:val="auto"/>
                <w:sz w:val="21"/>
                <w:szCs w:val="21"/>
                <w:highlight w:val="none"/>
              </w:rPr>
              <w:t>副本</w:t>
            </w:r>
            <w:r>
              <w:rPr>
                <w:rFonts w:ascii="宋体" w:hAnsi="宋体"/>
                <w:color w:val="auto"/>
                <w:sz w:val="21"/>
                <w:szCs w:val="21"/>
                <w:highlight w:val="none"/>
              </w:rPr>
              <w:t>，每套投标文件须清楚地标明“正本”或“副本”</w:t>
            </w:r>
            <w:r>
              <w:rPr>
                <w:rFonts w:hint="eastAsia" w:ascii="宋体" w:hAnsi="宋体"/>
                <w:color w:val="auto"/>
                <w:sz w:val="21"/>
                <w:szCs w:val="21"/>
                <w:highlight w:val="none"/>
              </w:rPr>
              <w:t>，</w:t>
            </w:r>
            <w:r>
              <w:rPr>
                <w:rFonts w:ascii="宋体" w:hAnsi="宋体"/>
                <w:color w:val="auto"/>
                <w:sz w:val="21"/>
                <w:szCs w:val="21"/>
                <w:highlight w:val="none"/>
              </w:rPr>
              <w:t>若副本与正本不符，以正本为准</w:t>
            </w:r>
            <w:r>
              <w:rPr>
                <w:rFonts w:hint="eastAsia" w:ascii="宋体" w:hAnsi="宋体"/>
                <w:color w:val="auto"/>
                <w:sz w:val="21"/>
                <w:szCs w:val="21"/>
                <w:highlight w:val="none"/>
              </w:rPr>
              <w:t>；</w:t>
            </w:r>
          </w:p>
          <w:p>
            <w:pPr>
              <w:widowControl/>
              <w:spacing w:line="259" w:lineRule="auto"/>
              <w:jc w:val="left"/>
              <w:rPr>
                <w:rFonts w:hint="eastAsia" w:ascii="宋体" w:hAnsi="宋体"/>
                <w:color w:val="auto"/>
                <w:sz w:val="21"/>
                <w:szCs w:val="21"/>
                <w:highlight w:val="none"/>
              </w:rPr>
            </w:pPr>
            <w:r>
              <w:rPr>
                <w:rFonts w:hint="eastAsia" w:ascii="宋体" w:hAnsi="宋体"/>
                <w:color w:val="auto"/>
                <w:sz w:val="21"/>
                <w:szCs w:val="21"/>
                <w:highlight w:val="none"/>
              </w:rPr>
              <w:t>2）</w:t>
            </w:r>
            <w:r>
              <w:rPr>
                <w:rFonts w:hint="eastAsia" w:ascii="宋体" w:hAnsi="宋体"/>
                <w:b/>
                <w:bCs/>
                <w:color w:val="auto"/>
                <w:sz w:val="21"/>
                <w:szCs w:val="21"/>
                <w:highlight w:val="none"/>
                <w:lang w:val="en-US" w:eastAsia="zh-CN"/>
              </w:rPr>
              <w:t>按招标文件要求</w:t>
            </w:r>
            <w:r>
              <w:rPr>
                <w:rFonts w:hint="eastAsia" w:ascii="宋体" w:hAnsi="宋体"/>
                <w:b/>
                <w:bCs/>
                <w:color w:val="auto"/>
                <w:sz w:val="21"/>
                <w:szCs w:val="21"/>
                <w:highlight w:val="none"/>
              </w:rPr>
              <w:t>签字</w:t>
            </w:r>
            <w:r>
              <w:rPr>
                <w:rFonts w:hint="eastAsia" w:ascii="宋体" w:hAnsi="宋体"/>
                <w:b/>
                <w:bCs/>
                <w:color w:val="auto"/>
                <w:sz w:val="21"/>
                <w:szCs w:val="21"/>
                <w:highlight w:val="none"/>
                <w:lang w:val="en-US" w:eastAsia="zh-CN"/>
              </w:rPr>
              <w:t>盖章</w:t>
            </w:r>
            <w:r>
              <w:rPr>
                <w:rFonts w:hint="eastAsia" w:ascii="宋体" w:hAnsi="宋体"/>
                <w:b/>
                <w:bCs/>
                <w:color w:val="auto"/>
                <w:sz w:val="21"/>
                <w:szCs w:val="21"/>
                <w:highlight w:val="none"/>
              </w:rPr>
              <w:t>的“开标一览表”2份</w:t>
            </w:r>
            <w:r>
              <w:rPr>
                <w:rFonts w:hint="eastAsia" w:ascii="宋体" w:hAnsi="宋体"/>
                <w:color w:val="auto"/>
                <w:sz w:val="21"/>
                <w:szCs w:val="21"/>
                <w:highlight w:val="none"/>
              </w:rPr>
              <w:t>；</w:t>
            </w:r>
          </w:p>
          <w:p>
            <w:pPr>
              <w:pStyle w:val="2"/>
              <w:rPr>
                <w:rFonts w:ascii="宋体" w:hAnsi="宋体" w:cs="宋体"/>
                <w:b/>
                <w:bCs/>
                <w:color w:val="auto"/>
                <w:sz w:val="21"/>
                <w:szCs w:val="21"/>
                <w:highlight w:val="none"/>
              </w:rPr>
            </w:pPr>
            <w:r>
              <w:rPr>
                <w:rFonts w:hint="eastAsia" w:ascii="宋体" w:hAnsi="宋体"/>
                <w:color w:val="auto"/>
                <w:sz w:val="21"/>
                <w:szCs w:val="21"/>
                <w:highlight w:val="none"/>
              </w:rPr>
              <w:t>3）</w:t>
            </w:r>
            <w:r>
              <w:rPr>
                <w:rFonts w:ascii="宋体" w:hAnsi="宋体"/>
                <w:b/>
                <w:bCs/>
                <w:color w:val="auto"/>
                <w:sz w:val="21"/>
                <w:szCs w:val="21"/>
                <w:highlight w:val="none"/>
              </w:rPr>
              <w:t>同时提供</w:t>
            </w:r>
            <w:r>
              <w:rPr>
                <w:rFonts w:hint="eastAsia" w:ascii="宋体" w:hAnsi="宋体"/>
                <w:b/>
                <w:bCs/>
                <w:color w:val="auto"/>
                <w:sz w:val="21"/>
                <w:szCs w:val="21"/>
                <w:highlight w:val="none"/>
              </w:rPr>
              <w:t>1份</w:t>
            </w:r>
            <w:r>
              <w:rPr>
                <w:rFonts w:ascii="宋体" w:hAnsi="宋体"/>
                <w:b/>
                <w:bCs/>
                <w:color w:val="auto"/>
                <w:sz w:val="21"/>
                <w:szCs w:val="21"/>
                <w:highlight w:val="none"/>
              </w:rPr>
              <w:t>电子介质的投标文件</w:t>
            </w:r>
            <w:r>
              <w:rPr>
                <w:rFonts w:hint="eastAsia" w:ascii="宋体" w:hAnsi="宋体"/>
                <w:b/>
                <w:bCs/>
                <w:color w:val="auto"/>
                <w:sz w:val="21"/>
                <w:szCs w:val="21"/>
                <w:highlight w:val="none"/>
              </w:rPr>
              <w:t>（U盘）</w:t>
            </w:r>
            <w:r>
              <w:rPr>
                <w:rFonts w:hint="eastAsia" w:ascii="宋体" w:hAnsi="宋体"/>
                <w:color w:val="auto"/>
                <w:sz w:val="21"/>
                <w:szCs w:val="21"/>
                <w:highlight w:val="none"/>
              </w:rPr>
              <w:t>，包括投标文件正本完整版（PDF格式</w:t>
            </w:r>
            <w:r>
              <w:rPr>
                <w:rFonts w:hint="eastAsia" w:ascii="宋体" w:hAnsi="宋体"/>
                <w:color w:val="auto"/>
                <w:sz w:val="21"/>
                <w:szCs w:val="21"/>
                <w:highlight w:val="none"/>
                <w:lang w:val="en-US" w:eastAsia="zh-CN"/>
              </w:rPr>
              <w:t>和</w:t>
            </w:r>
            <w:r>
              <w:rPr>
                <w:rFonts w:hint="eastAsia" w:ascii="宋体" w:hAnsi="宋体"/>
                <w:color w:val="auto"/>
                <w:sz w:val="21"/>
                <w:szCs w:val="21"/>
                <w:highlight w:val="none"/>
              </w:rPr>
              <w:t>WORD格式）</w:t>
            </w:r>
            <w:r>
              <w:rPr>
                <w:rFonts w:hint="eastAsia" w:ascii="宋体" w:hAnsi="宋体"/>
                <w:color w:val="auto"/>
                <w:sz w:val="21"/>
                <w:szCs w:val="21"/>
                <w:highlight w:val="none"/>
                <w:lang w:val="en-US" w:eastAsia="zh-CN"/>
              </w:rPr>
              <w:t>1</w:t>
            </w:r>
            <w:r>
              <w:rPr>
                <w:rFonts w:hint="eastAsia" w:ascii="宋体" w:hAnsi="宋体"/>
                <w:color w:val="auto"/>
                <w:sz w:val="21"/>
                <w:szCs w:val="21"/>
                <w:highlight w:val="none"/>
              </w:rPr>
              <w:t>项</w:t>
            </w:r>
            <w:r>
              <w:rPr>
                <w:rFonts w:ascii="宋体" w:hAnsi="宋体"/>
                <w:color w:val="auto"/>
                <w:sz w:val="21"/>
                <w:szCs w:val="21"/>
                <w:highlight w:val="none"/>
              </w:rPr>
              <w:t>。电子介质的投标文件与纸质投标文件具有同等的法律效力。当电子介质的投标文件与纸质投标文件不一致时，以纸质投标文件为准。</w:t>
            </w:r>
          </w:p>
          <w:p>
            <w:pPr>
              <w:keepNext w:val="0"/>
              <w:keepLines w:val="0"/>
              <w:pageBreakBefore w:val="0"/>
              <w:widowControl w:val="0"/>
              <w:numPr>
                <w:ilvl w:val="0"/>
                <w:numId w:val="1"/>
              </w:numPr>
              <w:kinsoku/>
              <w:wordWrap/>
              <w:overflowPunct/>
              <w:topLinePunct w:val="0"/>
              <w:autoSpaceDE/>
              <w:autoSpaceDN/>
              <w:bidi w:val="0"/>
              <w:adjustRightInd/>
              <w:snapToGrid/>
              <w:spacing w:line="288" w:lineRule="auto"/>
              <w:textAlignment w:val="auto"/>
              <w:rPr>
                <w:rFonts w:ascii="宋体" w:hAnsi="宋体" w:cs="宋体"/>
                <w:color w:val="auto"/>
                <w:szCs w:val="21"/>
                <w:highlight w:val="none"/>
              </w:rPr>
            </w:pPr>
            <w:r>
              <w:rPr>
                <w:rFonts w:hint="eastAsia" w:ascii="宋体" w:hAnsi="宋体" w:cs="宋体"/>
                <w:color w:val="auto"/>
                <w:szCs w:val="21"/>
                <w:highlight w:val="none"/>
              </w:rPr>
              <w:t>装订要求：正、副本分别</w:t>
            </w:r>
            <w:r>
              <w:rPr>
                <w:rFonts w:hint="eastAsia" w:ascii="宋体" w:hAnsi="宋体" w:cs="宋体"/>
                <w:color w:val="auto"/>
                <w:szCs w:val="21"/>
                <w:highlight w:val="none"/>
                <w:lang w:val="en-US" w:eastAsia="zh-CN"/>
              </w:rPr>
              <w:t>胶装</w:t>
            </w:r>
            <w:r>
              <w:rPr>
                <w:rFonts w:hint="eastAsia" w:ascii="宋体" w:hAnsi="宋体" w:cs="宋体"/>
                <w:color w:val="auto"/>
                <w:szCs w:val="21"/>
                <w:highlight w:val="none"/>
              </w:rPr>
              <w:t>成册，如有彩页应装订成册，不允许活页夹装订；</w:t>
            </w:r>
            <w:r>
              <w:rPr>
                <w:rFonts w:hint="eastAsia" w:ascii="宋体" w:hAnsi="宋体" w:cs="宋体"/>
                <w:b/>
                <w:bCs/>
                <w:color w:val="auto"/>
                <w:szCs w:val="21"/>
                <w:highlight w:val="none"/>
              </w:rPr>
              <w:t>书脊处标明项目名称及投标人名称。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11" w:hRule="atLeast"/>
          <w:jc w:val="center"/>
        </w:trPr>
        <w:tc>
          <w:tcPr>
            <w:tcW w:w="687" w:type="dxa"/>
            <w:vMerge w:val="restart"/>
            <w:vAlign w:val="center"/>
          </w:tcPr>
          <w:p>
            <w:pPr>
              <w:spacing w:line="288" w:lineRule="auto"/>
              <w:jc w:val="center"/>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22</w:t>
            </w:r>
          </w:p>
        </w:tc>
        <w:tc>
          <w:tcPr>
            <w:tcW w:w="1831" w:type="dxa"/>
            <w:vMerge w:val="restart"/>
            <w:vAlign w:val="center"/>
          </w:tcPr>
          <w:p>
            <w:pPr>
              <w:spacing w:line="288" w:lineRule="auto"/>
              <w:jc w:val="center"/>
              <w:rPr>
                <w:rFonts w:hint="eastAsia" w:ascii="宋体" w:hAnsi="宋体" w:cs="宋体"/>
                <w:color w:val="auto"/>
                <w:szCs w:val="21"/>
                <w:highlight w:val="none"/>
              </w:rPr>
            </w:pPr>
            <w:r>
              <w:rPr>
                <w:rFonts w:hint="eastAsia" w:ascii="宋体" w:hAnsi="宋体" w:cs="宋体"/>
                <w:color w:val="auto"/>
                <w:szCs w:val="21"/>
                <w:highlight w:val="none"/>
              </w:rPr>
              <w:t>投标文件的密封和标记</w:t>
            </w:r>
          </w:p>
        </w:tc>
        <w:tc>
          <w:tcPr>
            <w:tcW w:w="7226" w:type="dxa"/>
            <w:vAlign w:val="center"/>
          </w:tcPr>
          <w:p>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宋体" w:hAnsi="宋体" w:cs="宋体"/>
                <w:color w:val="auto"/>
                <w:szCs w:val="21"/>
                <w:highlight w:val="none"/>
              </w:rPr>
            </w:pPr>
            <w:r>
              <w:rPr>
                <w:rFonts w:hint="eastAsia" w:ascii="宋体" w:hAnsi="宋体" w:cs="宋体"/>
                <w:color w:val="auto"/>
                <w:szCs w:val="21"/>
                <w:highlight w:val="none"/>
              </w:rPr>
              <w:t>投标文件应包括开标一览表。为方便开标时唱标，投标人还应将①开标一览表单独密封提交并在信封上标注“开标一览表</w:t>
            </w:r>
            <w:r>
              <w:rPr>
                <w:rFonts w:hint="eastAsia" w:ascii="宋体" w:hAnsi="宋体" w:cs="宋体"/>
                <w:color w:val="auto"/>
                <w:szCs w:val="21"/>
                <w:highlight w:val="none"/>
                <w:lang w:eastAsia="zh-CN"/>
              </w:rPr>
              <w:t>”</w:t>
            </w:r>
            <w:r>
              <w:rPr>
                <w:rFonts w:hint="eastAsia" w:ascii="宋体" w:hAnsi="宋体" w:cs="宋体"/>
                <w:color w:val="auto"/>
                <w:szCs w:val="21"/>
                <w:highlight w:val="none"/>
              </w:rPr>
              <w:t>字样</w:t>
            </w:r>
            <w:r>
              <w:rPr>
                <w:rFonts w:hint="eastAsia" w:ascii="宋体" w:hAnsi="宋体" w:cs="宋体"/>
                <w:color w:val="auto"/>
                <w:szCs w:val="21"/>
                <w:highlight w:val="none"/>
                <w:lang w:eastAsia="zh-CN"/>
              </w:rPr>
              <w:t>。</w:t>
            </w:r>
            <w:r>
              <w:rPr>
                <w:rFonts w:hint="eastAsia" w:ascii="宋体" w:hAnsi="宋体" w:cs="宋体"/>
                <w:color w:val="auto"/>
                <w:szCs w:val="21"/>
                <w:highlight w:val="none"/>
              </w:rPr>
              <w:t>②电子介质投标文件单独密封提交并在信封上标注“电子投标文件”字样。③投标文件正本</w:t>
            </w:r>
            <w:r>
              <w:rPr>
                <w:rFonts w:hint="eastAsia" w:ascii="宋体" w:hAnsi="宋体" w:cs="宋体"/>
                <w:color w:val="auto"/>
                <w:szCs w:val="21"/>
                <w:highlight w:val="none"/>
                <w:lang w:eastAsia="zh-CN"/>
              </w:rPr>
              <w:t>、</w:t>
            </w:r>
            <w:r>
              <w:rPr>
                <w:rFonts w:hint="eastAsia" w:ascii="宋体" w:hAnsi="宋体" w:cs="宋体"/>
                <w:color w:val="auto"/>
                <w:szCs w:val="21"/>
                <w:highlight w:val="none"/>
              </w:rPr>
              <w:t>所有的副本封装在一个信封中，如投标文件副本厚重体积大造成递交不便利，允许将副本分为1或最多2个信封密封包装。招标人将拒收不按招标文件要求密封的投标文件。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92" w:hRule="atLeast"/>
          <w:jc w:val="center"/>
        </w:trPr>
        <w:tc>
          <w:tcPr>
            <w:tcW w:w="687" w:type="dxa"/>
            <w:vMerge w:val="continue"/>
            <w:vAlign w:val="center"/>
          </w:tcPr>
          <w:p>
            <w:pPr>
              <w:jc w:val="center"/>
              <w:rPr>
                <w:rFonts w:ascii="宋体" w:hAnsi="宋体" w:cs="宋体"/>
                <w:color w:val="auto"/>
                <w:szCs w:val="21"/>
                <w:highlight w:val="none"/>
              </w:rPr>
            </w:pPr>
          </w:p>
        </w:tc>
        <w:tc>
          <w:tcPr>
            <w:tcW w:w="1831" w:type="dxa"/>
            <w:vMerge w:val="continue"/>
            <w:vAlign w:val="center"/>
          </w:tcPr>
          <w:p>
            <w:pPr>
              <w:spacing w:line="288" w:lineRule="auto"/>
              <w:jc w:val="center"/>
              <w:rPr>
                <w:rFonts w:ascii="宋体" w:hAnsi="宋体" w:cs="宋体"/>
                <w:color w:val="auto"/>
                <w:szCs w:val="21"/>
                <w:highlight w:val="none"/>
              </w:rPr>
            </w:pPr>
          </w:p>
        </w:tc>
        <w:tc>
          <w:tcPr>
            <w:tcW w:w="7226" w:type="dxa"/>
            <w:vAlign w:val="center"/>
          </w:tcPr>
          <w:p>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宋体" w:hAnsi="宋体" w:cs="宋体"/>
                <w:color w:val="auto"/>
                <w:szCs w:val="21"/>
                <w:highlight w:val="none"/>
              </w:rPr>
            </w:pPr>
            <w:r>
              <w:rPr>
                <w:rFonts w:hint="eastAsia" w:ascii="宋体" w:hAnsi="宋体" w:cs="宋体"/>
                <w:color w:val="auto"/>
                <w:szCs w:val="21"/>
                <w:highlight w:val="none"/>
              </w:rPr>
              <w:t>外层信封均应标明</w:t>
            </w:r>
            <w:r>
              <w:rPr>
                <w:rFonts w:hint="eastAsia" w:ascii="宋体" w:hAnsi="宋体" w:cs="宋体"/>
                <w:color w:val="auto"/>
                <w:szCs w:val="21"/>
                <w:highlight w:val="none"/>
                <w:lang w:val="en-US" w:eastAsia="zh-CN"/>
              </w:rPr>
              <w:t>以下字样</w:t>
            </w:r>
            <w:r>
              <w:rPr>
                <w:rFonts w:hint="eastAsia" w:ascii="宋体" w:hAnsi="宋体" w:cs="宋体"/>
                <w:color w:val="auto"/>
                <w:szCs w:val="21"/>
                <w:highlight w:val="none"/>
              </w:rPr>
              <w:t>：</w:t>
            </w:r>
          </w:p>
          <w:p>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宋体" w:hAnsi="宋体" w:cs="宋体"/>
                <w:color w:val="auto"/>
                <w:szCs w:val="21"/>
                <w:highlight w:val="none"/>
                <w:lang w:val="en-US" w:eastAsia="zh-CN"/>
              </w:rPr>
            </w:pPr>
            <w:r>
              <w:rPr>
                <w:rFonts w:hint="eastAsia" w:ascii="宋体" w:hAnsi="宋体" w:cs="宋体"/>
                <w:color w:val="auto"/>
                <w:szCs w:val="21"/>
                <w:highlight w:val="none"/>
              </w:rPr>
              <w:t>项目编号：</w:t>
            </w:r>
            <w:r>
              <w:rPr>
                <w:rFonts w:hint="eastAsia" w:ascii="宋体" w:hAnsi="宋体" w:cs="宋体"/>
                <w:color w:val="auto"/>
                <w:szCs w:val="21"/>
                <w:highlight w:val="none"/>
                <w:lang w:eastAsia="zh-CN"/>
              </w:rPr>
              <w:t>E-234132XA011/0</w:t>
            </w:r>
            <w:r>
              <w:rPr>
                <w:rFonts w:hint="eastAsia" w:ascii="宋体" w:hAnsi="宋体" w:cs="宋体"/>
                <w:color w:val="auto"/>
                <w:szCs w:val="21"/>
                <w:highlight w:val="none"/>
                <w:lang w:val="en-US" w:eastAsia="zh-CN"/>
              </w:rPr>
              <w:t>4</w:t>
            </w:r>
          </w:p>
          <w:p>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宋体" w:hAnsi="宋体" w:cs="宋体"/>
                <w:color w:val="auto"/>
                <w:szCs w:val="21"/>
                <w:highlight w:val="none"/>
              </w:rPr>
            </w:pPr>
            <w:r>
              <w:rPr>
                <w:rFonts w:hint="eastAsia" w:ascii="宋体" w:hAnsi="宋体" w:cs="宋体"/>
                <w:color w:val="auto"/>
                <w:szCs w:val="21"/>
                <w:highlight w:val="none"/>
              </w:rPr>
              <w:t>项目名称：</w:t>
            </w:r>
            <w:r>
              <w:rPr>
                <w:rFonts w:hint="eastAsia" w:ascii="宋体" w:hAnsi="宋体" w:cs="宋体"/>
                <w:i w:val="0"/>
                <w:iCs w:val="0"/>
                <w:caps w:val="0"/>
                <w:color w:val="auto"/>
                <w:spacing w:val="0"/>
                <w:kern w:val="0"/>
                <w:sz w:val="21"/>
                <w:szCs w:val="21"/>
                <w:highlight w:val="none"/>
                <w:shd w:val="clear" w:color="auto" w:fill="auto"/>
                <w:lang w:val="en-US" w:eastAsia="zh-CN" w:bidi="ar-SA"/>
              </w:rPr>
              <w:t>咸阳市中心医院智慧医院建设提升、智慧医疗管理系统建设及环境扩容服务</w:t>
            </w:r>
            <w:r>
              <w:rPr>
                <w:rFonts w:hint="eastAsia" w:ascii="宋体" w:hAnsi="宋体" w:eastAsia="宋体" w:cs="宋体"/>
                <w:i w:val="0"/>
                <w:iCs w:val="0"/>
                <w:caps w:val="0"/>
                <w:color w:val="auto"/>
                <w:spacing w:val="0"/>
                <w:kern w:val="0"/>
                <w:sz w:val="21"/>
                <w:szCs w:val="21"/>
                <w:highlight w:val="none"/>
                <w:shd w:val="clear" w:color="auto" w:fill="auto"/>
                <w:lang w:val="en-US" w:eastAsia="zh-CN" w:bidi="ar-SA"/>
              </w:rPr>
              <w:t>（04包：智慧医疗管理系统建设及环境扩容服务项目）</w:t>
            </w:r>
          </w:p>
          <w:p>
            <w:pPr>
              <w:keepNext w:val="0"/>
              <w:keepLines w:val="0"/>
              <w:pageBreakBefore w:val="0"/>
              <w:widowControl w:val="0"/>
              <w:kinsoku/>
              <w:wordWrap/>
              <w:overflowPunct/>
              <w:topLinePunct w:val="0"/>
              <w:autoSpaceDE/>
              <w:autoSpaceDN/>
              <w:bidi w:val="0"/>
              <w:adjustRightInd/>
              <w:snapToGrid/>
              <w:spacing w:line="288" w:lineRule="auto"/>
              <w:ind w:firstLine="1890" w:firstLineChars="900"/>
              <w:textAlignment w:val="auto"/>
              <w:rPr>
                <w:rFonts w:hint="eastAsia" w:ascii="宋体" w:hAnsi="宋体" w:cs="宋体"/>
                <w:color w:val="auto"/>
                <w:szCs w:val="21"/>
                <w:highlight w:val="none"/>
              </w:rPr>
            </w:pPr>
            <w:r>
              <w:rPr>
                <w:rFonts w:hint="eastAsia" w:ascii="宋体" w:hAnsi="宋体" w:cs="宋体"/>
                <w:color w:val="auto"/>
                <w:szCs w:val="21"/>
                <w:highlight w:val="none"/>
                <w:lang w:val="en-US" w:eastAsia="zh-CN"/>
              </w:rPr>
              <w:t>投标文件</w:t>
            </w:r>
          </w:p>
          <w:p>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宋体" w:hAnsi="宋体" w:cs="宋体"/>
                <w:color w:val="auto"/>
                <w:szCs w:val="21"/>
                <w:highlight w:val="none"/>
              </w:rPr>
            </w:pPr>
            <w:r>
              <w:rPr>
                <w:rFonts w:hint="eastAsia" w:ascii="宋体" w:hAnsi="宋体" w:cs="宋体"/>
                <w:color w:val="auto"/>
                <w:szCs w:val="21"/>
                <w:highlight w:val="none"/>
              </w:rPr>
              <w:t>投标人名称（盖章）：</w:t>
            </w:r>
          </w:p>
          <w:p>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宋体" w:hAnsi="宋体" w:cs="宋体"/>
                <w:color w:val="auto"/>
                <w:szCs w:val="21"/>
                <w:highlight w:val="none"/>
              </w:rPr>
            </w:pPr>
            <w:r>
              <w:rPr>
                <w:rFonts w:hint="eastAsia" w:ascii="宋体" w:hAnsi="宋体" w:cs="宋体"/>
                <w:color w:val="auto"/>
                <w:szCs w:val="21"/>
                <w:highlight w:val="none"/>
              </w:rPr>
              <w:t>在</w:t>
            </w:r>
            <w:r>
              <w:rPr>
                <w:rFonts w:hint="eastAsia" w:ascii="宋体" w:hAnsi="宋体" w:cs="宋体"/>
                <w:color w:val="auto"/>
                <w:szCs w:val="21"/>
                <w:highlight w:val="none"/>
                <w:lang w:val="en-US" w:eastAsia="zh-CN"/>
              </w:rPr>
              <w:t>投标文件递交截止时间</w:t>
            </w:r>
            <w:r>
              <w:rPr>
                <w:rFonts w:hint="eastAsia" w:ascii="宋体" w:hAnsi="宋体" w:cs="宋体"/>
                <w:color w:val="auto"/>
                <w:szCs w:val="21"/>
                <w:highlight w:val="none"/>
              </w:rPr>
              <w:t>之前不得启封。</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7" w:type="dxa"/>
            <w:vAlign w:val="center"/>
          </w:tcPr>
          <w:p>
            <w:pPr>
              <w:jc w:val="center"/>
              <w:rPr>
                <w:rFonts w:ascii="宋体" w:hAnsi="宋体" w:cs="宋体"/>
                <w:color w:val="auto"/>
                <w:szCs w:val="21"/>
                <w:highlight w:val="none"/>
              </w:rPr>
            </w:pPr>
            <w:r>
              <w:rPr>
                <w:rFonts w:hint="eastAsia" w:ascii="宋体" w:hAnsi="宋体" w:cs="宋体"/>
                <w:color w:val="auto"/>
                <w:szCs w:val="21"/>
                <w:highlight w:val="none"/>
              </w:rPr>
              <w:t>23</w:t>
            </w:r>
          </w:p>
        </w:tc>
        <w:tc>
          <w:tcPr>
            <w:tcW w:w="1831" w:type="dxa"/>
            <w:vAlign w:val="center"/>
          </w:tcPr>
          <w:p>
            <w:pPr>
              <w:jc w:val="center"/>
              <w:rPr>
                <w:rFonts w:ascii="宋体" w:hAnsi="宋体" w:cs="宋体"/>
                <w:color w:val="auto"/>
                <w:szCs w:val="21"/>
                <w:highlight w:val="none"/>
              </w:rPr>
            </w:pPr>
            <w:r>
              <w:rPr>
                <w:rFonts w:hint="eastAsia" w:ascii="宋体" w:hAnsi="宋体" w:cs="宋体"/>
                <w:color w:val="auto"/>
                <w:szCs w:val="21"/>
                <w:highlight w:val="none"/>
              </w:rPr>
              <w:t>递交投标文件地点</w:t>
            </w:r>
          </w:p>
        </w:tc>
        <w:tc>
          <w:tcPr>
            <w:tcW w:w="7226" w:type="dxa"/>
            <w:vAlign w:val="center"/>
          </w:tcPr>
          <w:p>
            <w:pPr>
              <w:widowControl/>
              <w:jc w:val="left"/>
              <w:rPr>
                <w:rFonts w:ascii="宋体" w:hAnsi="宋体" w:cs="宋体"/>
                <w:color w:val="auto"/>
                <w:szCs w:val="21"/>
                <w:highlight w:val="none"/>
              </w:rPr>
            </w:pPr>
            <w:r>
              <w:rPr>
                <w:rFonts w:hint="eastAsia" w:ascii="宋体" w:hAnsi="宋体" w:cs="宋体"/>
                <w:color w:val="auto"/>
                <w:szCs w:val="21"/>
                <w:highlight w:val="none"/>
              </w:rPr>
              <w:t>西安市高新区沣惠南路34号摩尔中心A座24层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22" w:hRule="atLeast"/>
          <w:jc w:val="center"/>
        </w:trPr>
        <w:tc>
          <w:tcPr>
            <w:tcW w:w="687" w:type="dxa"/>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24</w:t>
            </w:r>
          </w:p>
        </w:tc>
        <w:tc>
          <w:tcPr>
            <w:tcW w:w="1831" w:type="dxa"/>
            <w:vAlign w:val="center"/>
          </w:tcPr>
          <w:p>
            <w:pPr>
              <w:jc w:val="center"/>
              <w:rPr>
                <w:rFonts w:ascii="宋体" w:hAnsi="宋体" w:cs="宋体"/>
                <w:color w:val="auto"/>
                <w:szCs w:val="21"/>
                <w:highlight w:val="none"/>
              </w:rPr>
            </w:pPr>
            <w:r>
              <w:rPr>
                <w:rFonts w:hint="eastAsia" w:ascii="宋体" w:hAnsi="宋体" w:cs="宋体"/>
                <w:color w:val="auto"/>
                <w:szCs w:val="21"/>
                <w:highlight w:val="none"/>
              </w:rPr>
              <w:t>开标时间和地点</w:t>
            </w:r>
          </w:p>
        </w:tc>
        <w:tc>
          <w:tcPr>
            <w:tcW w:w="7226" w:type="dxa"/>
            <w:vAlign w:val="center"/>
          </w:tcPr>
          <w:p>
            <w:pPr>
              <w:spacing w:line="288" w:lineRule="auto"/>
              <w:rPr>
                <w:rFonts w:ascii="宋体" w:hAnsi="宋体" w:cs="宋体"/>
                <w:color w:val="auto"/>
                <w:szCs w:val="21"/>
                <w:highlight w:val="none"/>
              </w:rPr>
            </w:pPr>
            <w:r>
              <w:rPr>
                <w:rFonts w:hint="eastAsia" w:ascii="宋体" w:hAnsi="宋体" w:cs="宋体"/>
                <w:color w:val="auto"/>
                <w:szCs w:val="21"/>
                <w:highlight w:val="none"/>
              </w:rPr>
              <w:t>开标时间：</w:t>
            </w:r>
            <w:r>
              <w:rPr>
                <w:rFonts w:hint="eastAsia" w:ascii="宋体" w:hAnsi="宋体" w:cs="宋体"/>
                <w:color w:val="auto"/>
                <w:szCs w:val="21"/>
                <w:highlight w:val="none"/>
                <w:lang w:eastAsia="zh-CN"/>
              </w:rPr>
              <w:t>202</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lang w:eastAsia="zh-CN"/>
              </w:rPr>
              <w:t>年</w:t>
            </w:r>
            <w:r>
              <w:rPr>
                <w:rFonts w:hint="eastAsia" w:ascii="宋体" w:hAnsi="宋体" w:cs="宋体"/>
                <w:color w:val="auto"/>
                <w:szCs w:val="21"/>
                <w:highlight w:val="none"/>
                <w:lang w:val="en-US" w:eastAsia="zh-CN"/>
              </w:rPr>
              <w:t>12</w:t>
            </w:r>
            <w:r>
              <w:rPr>
                <w:rFonts w:hint="eastAsia" w:ascii="宋体" w:hAnsi="宋体" w:cs="宋体"/>
                <w:color w:val="auto"/>
                <w:szCs w:val="21"/>
                <w:highlight w:val="none"/>
                <w:lang w:eastAsia="zh-CN"/>
              </w:rPr>
              <w:t>月</w:t>
            </w:r>
            <w:r>
              <w:rPr>
                <w:rFonts w:hint="eastAsia" w:ascii="宋体" w:hAnsi="宋体" w:cs="宋体"/>
                <w:color w:val="auto"/>
                <w:szCs w:val="21"/>
                <w:highlight w:val="none"/>
                <w:lang w:val="en-US" w:eastAsia="zh-CN"/>
              </w:rPr>
              <w:t xml:space="preserve"> 13 </w:t>
            </w:r>
            <w:r>
              <w:rPr>
                <w:rFonts w:hint="eastAsia" w:ascii="宋体" w:hAnsi="宋体" w:cs="宋体"/>
                <w:color w:val="auto"/>
                <w:szCs w:val="21"/>
                <w:highlight w:val="none"/>
                <w:lang w:eastAsia="zh-CN"/>
              </w:rPr>
              <w:t>日</w:t>
            </w:r>
            <w:r>
              <w:rPr>
                <w:rFonts w:hint="eastAsia" w:ascii="宋体" w:hAnsi="宋体" w:cs="宋体"/>
                <w:color w:val="auto"/>
                <w:szCs w:val="21"/>
                <w:highlight w:val="none"/>
                <w:lang w:val="en-US" w:eastAsia="zh-CN"/>
              </w:rPr>
              <w:t>09</w:t>
            </w:r>
            <w:r>
              <w:rPr>
                <w:rFonts w:hint="eastAsia" w:ascii="宋体" w:hAnsi="宋体" w:cs="宋体"/>
                <w:color w:val="auto"/>
                <w:szCs w:val="21"/>
                <w:highlight w:val="none"/>
              </w:rPr>
              <w:t>时</w:t>
            </w:r>
            <w:r>
              <w:rPr>
                <w:rFonts w:hint="eastAsia" w:ascii="宋体" w:hAnsi="宋体" w:cs="宋体"/>
                <w:color w:val="auto"/>
                <w:szCs w:val="21"/>
                <w:highlight w:val="none"/>
                <w:lang w:val="en-US" w:eastAsia="zh-CN"/>
              </w:rPr>
              <w:t>30</w:t>
            </w:r>
            <w:r>
              <w:rPr>
                <w:rFonts w:hint="eastAsia" w:ascii="宋体" w:hAnsi="宋体" w:cs="宋体"/>
                <w:color w:val="auto"/>
                <w:szCs w:val="21"/>
                <w:highlight w:val="none"/>
              </w:rPr>
              <w:t>分</w:t>
            </w:r>
          </w:p>
          <w:p>
            <w:pPr>
              <w:spacing w:line="288" w:lineRule="auto"/>
              <w:rPr>
                <w:rFonts w:ascii="宋体" w:hAnsi="宋体" w:cs="宋体"/>
                <w:color w:val="auto"/>
                <w:szCs w:val="21"/>
                <w:highlight w:val="none"/>
              </w:rPr>
            </w:pPr>
            <w:r>
              <w:rPr>
                <w:rFonts w:hint="eastAsia" w:ascii="宋体" w:hAnsi="宋体" w:cs="宋体"/>
                <w:color w:val="auto"/>
                <w:szCs w:val="21"/>
                <w:highlight w:val="none"/>
              </w:rPr>
              <w:t>开标地点：陕西省西安市高新区沣惠南路34号摩尔中心A座24层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687" w:type="dxa"/>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25</w:t>
            </w:r>
          </w:p>
        </w:tc>
        <w:tc>
          <w:tcPr>
            <w:tcW w:w="1831" w:type="dxa"/>
            <w:vAlign w:val="center"/>
          </w:tcPr>
          <w:p>
            <w:pPr>
              <w:spacing w:line="288" w:lineRule="auto"/>
              <w:jc w:val="center"/>
              <w:rPr>
                <w:rFonts w:ascii="宋体" w:hAnsi="宋体" w:cs="宋体"/>
                <w:color w:val="auto"/>
                <w:szCs w:val="21"/>
                <w:highlight w:val="none"/>
              </w:rPr>
            </w:pPr>
            <w:r>
              <w:rPr>
                <w:rFonts w:hint="eastAsia" w:ascii="宋体" w:hAnsi="宋体" w:cs="宋体"/>
                <w:color w:val="auto"/>
                <w:szCs w:val="21"/>
                <w:highlight w:val="none"/>
              </w:rPr>
              <w:t>评标委员会</w:t>
            </w:r>
          </w:p>
          <w:p>
            <w:pPr>
              <w:spacing w:line="288" w:lineRule="auto"/>
              <w:jc w:val="center"/>
              <w:rPr>
                <w:rFonts w:ascii="宋体" w:hAnsi="宋体" w:cs="宋体"/>
                <w:color w:val="auto"/>
                <w:szCs w:val="21"/>
                <w:highlight w:val="none"/>
              </w:rPr>
            </w:pPr>
            <w:r>
              <w:rPr>
                <w:rFonts w:hint="eastAsia" w:ascii="宋体" w:hAnsi="宋体" w:cs="宋体"/>
                <w:color w:val="auto"/>
                <w:szCs w:val="21"/>
                <w:highlight w:val="none"/>
              </w:rPr>
              <w:t>的组建</w:t>
            </w:r>
          </w:p>
        </w:tc>
        <w:tc>
          <w:tcPr>
            <w:tcW w:w="7226" w:type="dxa"/>
            <w:vAlign w:val="center"/>
          </w:tcPr>
          <w:p>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ascii="宋体" w:hAnsi="宋体" w:cs="宋体"/>
                <w:color w:val="auto"/>
                <w:szCs w:val="21"/>
                <w:highlight w:val="none"/>
              </w:rPr>
            </w:pPr>
            <w:r>
              <w:rPr>
                <w:rFonts w:hint="eastAsia" w:ascii="宋体" w:hAnsi="宋体" w:cs="宋体"/>
                <w:color w:val="auto"/>
                <w:szCs w:val="21"/>
                <w:highlight w:val="none"/>
              </w:rPr>
              <w:t>评标委员会构成：</w:t>
            </w: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 xml:space="preserve">人，其中招标人代表 </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 xml:space="preserve"> 名、专家 </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名。</w:t>
            </w:r>
          </w:p>
          <w:p>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ascii="宋体" w:hAnsi="宋体" w:cs="宋体"/>
                <w:color w:val="auto"/>
                <w:szCs w:val="21"/>
                <w:highlight w:val="none"/>
              </w:rPr>
            </w:pPr>
            <w:r>
              <w:rPr>
                <w:rFonts w:hint="eastAsia" w:ascii="宋体" w:hAnsi="宋体" w:cs="宋体"/>
                <w:color w:val="auto"/>
                <w:szCs w:val="21"/>
                <w:highlight w:val="none"/>
              </w:rPr>
              <w:t>评标专家确定方式：</w:t>
            </w:r>
            <w:r>
              <w:rPr>
                <w:rFonts w:hint="eastAsia" w:ascii="宋体" w:hAnsi="宋体" w:cs="宋体"/>
                <w:color w:val="auto"/>
                <w:szCs w:val="21"/>
                <w:highlight w:val="none"/>
                <w:lang w:val="en-US" w:eastAsia="zh-CN"/>
              </w:rPr>
              <w:t>在</w:t>
            </w:r>
            <w:r>
              <w:rPr>
                <w:rFonts w:hint="eastAsia" w:ascii="宋体" w:hAnsi="宋体" w:cs="宋体"/>
                <w:color w:val="auto"/>
                <w:szCs w:val="21"/>
                <w:highlight w:val="none"/>
              </w:rPr>
              <w:t>评审专家库中随机抽取。</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687" w:type="dxa"/>
            <w:vAlign w:val="center"/>
          </w:tcPr>
          <w:p>
            <w:pPr>
              <w:jc w:val="center"/>
              <w:rPr>
                <w:rFonts w:ascii="宋体" w:hAnsi="宋体" w:cs="宋体"/>
                <w:color w:val="auto"/>
                <w:szCs w:val="21"/>
                <w:highlight w:val="none"/>
              </w:rPr>
            </w:pPr>
            <w:r>
              <w:rPr>
                <w:rFonts w:hint="eastAsia" w:ascii="宋体" w:hAnsi="宋体" w:cs="宋体"/>
                <w:color w:val="auto"/>
                <w:szCs w:val="21"/>
                <w:highlight w:val="none"/>
              </w:rPr>
              <w:t>26</w:t>
            </w:r>
          </w:p>
        </w:tc>
        <w:tc>
          <w:tcPr>
            <w:tcW w:w="1831" w:type="dxa"/>
            <w:vAlign w:val="center"/>
          </w:tcPr>
          <w:p>
            <w:pPr>
              <w:spacing w:line="288" w:lineRule="auto"/>
              <w:jc w:val="center"/>
              <w:rPr>
                <w:rFonts w:ascii="宋体" w:hAnsi="宋体" w:cs="宋体"/>
                <w:color w:val="auto"/>
                <w:szCs w:val="21"/>
                <w:highlight w:val="none"/>
              </w:rPr>
            </w:pPr>
            <w:r>
              <w:rPr>
                <w:rFonts w:hint="eastAsia" w:ascii="宋体" w:hAnsi="宋体" w:cs="宋体"/>
                <w:color w:val="auto"/>
                <w:szCs w:val="21"/>
                <w:highlight w:val="none"/>
              </w:rPr>
              <w:t>是否授权评标委员会确定中标投标人</w:t>
            </w:r>
          </w:p>
        </w:tc>
        <w:tc>
          <w:tcPr>
            <w:tcW w:w="7226" w:type="dxa"/>
            <w:vAlign w:val="center"/>
          </w:tcPr>
          <w:p>
            <w:pPr>
              <w:rPr>
                <w:rFonts w:ascii="宋体" w:hAnsi="宋体" w:cs="宋体"/>
                <w:color w:val="auto"/>
                <w:szCs w:val="21"/>
                <w:highlight w:val="none"/>
              </w:rPr>
            </w:pPr>
            <w:r>
              <w:rPr>
                <w:rFonts w:hint="eastAsia" w:ascii="宋体" w:hAnsi="宋体" w:cs="宋体"/>
                <w:color w:val="auto"/>
                <w:szCs w:val="21"/>
                <w:highlight w:val="none"/>
              </w:rPr>
              <w:t>否，推荐的中标候选人数量：3名</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7" w:type="dxa"/>
            <w:vAlign w:val="center"/>
          </w:tcPr>
          <w:p>
            <w:pPr>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27</w:t>
            </w:r>
          </w:p>
        </w:tc>
        <w:tc>
          <w:tcPr>
            <w:tcW w:w="9057" w:type="dxa"/>
            <w:gridSpan w:val="2"/>
            <w:vAlign w:val="center"/>
          </w:tcPr>
          <w:p>
            <w:pPr>
              <w:jc w:val="left"/>
              <w:rPr>
                <w:rFonts w:ascii="宋体" w:hAnsi="宋体" w:cs="宋体"/>
                <w:color w:val="auto"/>
                <w:szCs w:val="21"/>
                <w:highlight w:val="none"/>
              </w:rPr>
            </w:pPr>
            <w:r>
              <w:rPr>
                <w:rFonts w:hint="eastAsia" w:ascii="宋体" w:hAnsi="宋体" w:cs="宋体"/>
                <w:color w:val="auto"/>
                <w:szCs w:val="21"/>
                <w:highlight w:val="none"/>
              </w:rPr>
              <w:t>需要补充的其他内容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7" w:type="dxa"/>
            <w:vAlign w:val="center"/>
          </w:tcPr>
          <w:p>
            <w:pPr>
              <w:jc w:val="center"/>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（1）</w:t>
            </w:r>
          </w:p>
        </w:tc>
        <w:tc>
          <w:tcPr>
            <w:tcW w:w="1831" w:type="dxa"/>
            <w:vAlign w:val="center"/>
          </w:tcPr>
          <w:p>
            <w:pPr>
              <w:jc w:val="left"/>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核心产品</w:t>
            </w:r>
          </w:p>
        </w:tc>
        <w:tc>
          <w:tcPr>
            <w:tcW w:w="7226" w:type="dxa"/>
            <w:vAlign w:val="center"/>
          </w:tcPr>
          <w:p>
            <w:pPr>
              <w:jc w:val="left"/>
              <w:rPr>
                <w:rFonts w:hint="eastAsia" w:ascii="宋体" w:hAnsi="宋体" w:cs="宋体"/>
                <w:color w:val="auto"/>
                <w:szCs w:val="21"/>
                <w:highlight w:val="none"/>
              </w:rPr>
            </w:pPr>
            <w:r>
              <w:rPr>
                <w:rFonts w:hint="eastAsia" w:ascii="宋体" w:hAnsi="宋体" w:cs="宋体"/>
                <w:b/>
                <w:bCs/>
                <w:color w:val="auto"/>
                <w:szCs w:val="21"/>
                <w:highlight w:val="none"/>
              </w:rPr>
              <w:t>核心交换机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687" w:type="dxa"/>
            <w:vAlign w:val="center"/>
          </w:tcPr>
          <w:p>
            <w:pPr>
              <w:jc w:val="center"/>
              <w:rPr>
                <w:rFonts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w:t>
            </w:r>
          </w:p>
        </w:tc>
        <w:tc>
          <w:tcPr>
            <w:tcW w:w="1831" w:type="dxa"/>
            <w:vAlign w:val="center"/>
          </w:tcPr>
          <w:p>
            <w:pPr>
              <w:jc w:val="center"/>
              <w:rPr>
                <w:rFonts w:ascii="宋体" w:hAnsi="宋体" w:cs="宋体"/>
                <w:color w:val="auto"/>
                <w:szCs w:val="21"/>
                <w:highlight w:val="none"/>
              </w:rPr>
            </w:pPr>
            <w:r>
              <w:rPr>
                <w:rFonts w:hint="eastAsia" w:ascii="宋体" w:hAnsi="宋体" w:cs="宋体"/>
                <w:color w:val="auto"/>
                <w:szCs w:val="21"/>
                <w:highlight w:val="none"/>
              </w:rPr>
              <w:t>招标代理服务费</w:t>
            </w:r>
          </w:p>
        </w:tc>
        <w:tc>
          <w:tcPr>
            <w:tcW w:w="7226" w:type="dxa"/>
            <w:vAlign w:val="center"/>
          </w:tcPr>
          <w:p>
            <w:pPr>
              <w:numPr>
                <w:ilvl w:val="0"/>
                <w:numId w:val="0"/>
              </w:numPr>
              <w:tabs>
                <w:tab w:val="left" w:pos="9030"/>
              </w:tabs>
              <w:spacing w:line="288" w:lineRule="auto"/>
              <w:jc w:val="left"/>
              <w:rPr>
                <w:rFonts w:hint="eastAsia" w:ascii="宋体" w:hAnsi="宋体" w:cs="宋体"/>
                <w:szCs w:val="21"/>
                <w:lang w:val="en-US" w:eastAsia="zh-CN"/>
              </w:rPr>
            </w:pPr>
            <w:r>
              <w:rPr>
                <w:rFonts w:hint="eastAsia" w:ascii="宋体" w:hAnsi="宋体" w:cs="宋体"/>
                <w:szCs w:val="21"/>
                <w:lang w:val="en-US" w:eastAsia="zh-CN"/>
              </w:rPr>
              <w:t>1、</w:t>
            </w:r>
            <w:r>
              <w:rPr>
                <w:rFonts w:hint="eastAsia" w:ascii="宋体" w:hAnsi="宋体" w:cs="宋体"/>
                <w:color w:val="auto"/>
                <w:szCs w:val="21"/>
                <w:highlight w:val="none"/>
              </w:rPr>
              <w:t>招标代理服务费</w:t>
            </w:r>
          </w:p>
          <w:p>
            <w:pPr>
              <w:numPr>
                <w:ilvl w:val="0"/>
                <w:numId w:val="0"/>
              </w:numPr>
              <w:tabs>
                <w:tab w:val="left" w:pos="9030"/>
              </w:tabs>
              <w:spacing w:line="288" w:lineRule="auto"/>
              <w:jc w:val="left"/>
              <w:rPr>
                <w:rFonts w:hint="eastAsia" w:ascii="宋体" w:hAnsi="宋体" w:cs="宋体"/>
                <w:szCs w:val="21"/>
              </w:rPr>
            </w:pPr>
            <w:r>
              <w:rPr>
                <w:rFonts w:hint="eastAsia" w:ascii="宋体" w:hAnsi="宋体" w:cs="宋体"/>
                <w:szCs w:val="21"/>
              </w:rPr>
              <w:t>按照国家计委颁布的«招标代理服务收费管理暂行办法»（计价格[2002]1980号）和国家发改委办公厅颁布的«国家发改委办公厅关于招标代理服务收费有关问题的通知（发改办价格[2003]857号）规定</w:t>
            </w:r>
            <w:r>
              <w:rPr>
                <w:rFonts w:hint="eastAsia" w:ascii="宋体" w:hAnsi="宋体" w:cs="宋体"/>
                <w:szCs w:val="21"/>
                <w:lang w:val="en-US" w:eastAsia="zh-CN"/>
              </w:rPr>
              <w:t>按固定下浮百分比取费</w:t>
            </w:r>
            <w:r>
              <w:rPr>
                <w:rFonts w:hint="eastAsia" w:ascii="宋体" w:hAnsi="宋体" w:cs="宋体"/>
                <w:szCs w:val="21"/>
              </w:rPr>
              <w:t>。由中标单位在领取中标通知书之前支付。</w:t>
            </w:r>
          </w:p>
          <w:p>
            <w:pPr>
              <w:pStyle w:val="28"/>
              <w:numPr>
                <w:ilvl w:val="0"/>
                <w:numId w:val="0"/>
              </w:numPr>
              <w:rPr>
                <w:rFonts w:hint="eastAsia" w:ascii="宋体" w:hAnsi="宋体" w:eastAsia="宋体" w:cs="宋体"/>
                <w:kern w:val="2"/>
                <w:sz w:val="21"/>
                <w:szCs w:val="21"/>
                <w:lang w:val="zh-CN" w:eastAsia="zh-CN" w:bidi="ar-SA"/>
              </w:rPr>
            </w:pPr>
            <w:r>
              <w:rPr>
                <w:rFonts w:hint="eastAsia" w:ascii="宋体" w:hAnsi="宋体" w:eastAsia="宋体" w:cs="宋体"/>
                <w:kern w:val="2"/>
                <w:sz w:val="21"/>
                <w:szCs w:val="21"/>
                <w:lang w:val="zh-CN" w:eastAsia="zh-CN" w:bidi="ar-SA"/>
              </w:rPr>
              <w:t>中标金额＜100万元，按照标准下浮30%收取。</w:t>
            </w:r>
          </w:p>
          <w:p>
            <w:pPr>
              <w:pStyle w:val="28"/>
              <w:numPr>
                <w:ilvl w:val="0"/>
                <w:numId w:val="0"/>
              </w:numPr>
              <w:rPr>
                <w:rFonts w:hint="eastAsia" w:ascii="宋体" w:hAnsi="宋体" w:eastAsia="宋体" w:cs="宋体"/>
                <w:kern w:val="2"/>
                <w:sz w:val="21"/>
                <w:szCs w:val="21"/>
                <w:lang w:val="zh-CN" w:eastAsia="zh-CN" w:bidi="ar-SA"/>
              </w:rPr>
            </w:pPr>
            <w:r>
              <w:rPr>
                <w:rFonts w:hint="eastAsia" w:ascii="宋体" w:hAnsi="宋体" w:eastAsia="宋体" w:cs="宋体"/>
                <w:kern w:val="2"/>
                <w:sz w:val="21"/>
                <w:szCs w:val="21"/>
                <w:lang w:val="zh-CN" w:eastAsia="zh-CN" w:bidi="ar-SA"/>
              </w:rPr>
              <w:t>100万元≤中标金额＜200万元，按照标准下浮35%收取。</w:t>
            </w:r>
          </w:p>
          <w:p>
            <w:pPr>
              <w:pStyle w:val="28"/>
              <w:numPr>
                <w:ilvl w:val="0"/>
                <w:numId w:val="0"/>
              </w:numPr>
              <w:rPr>
                <w:rFonts w:hint="eastAsia" w:ascii="宋体" w:hAnsi="宋体" w:eastAsia="宋体" w:cs="宋体"/>
                <w:kern w:val="2"/>
                <w:sz w:val="21"/>
                <w:szCs w:val="21"/>
                <w:lang w:val="zh-CN" w:eastAsia="zh-CN" w:bidi="ar-SA"/>
              </w:rPr>
            </w:pPr>
            <w:r>
              <w:rPr>
                <w:rFonts w:hint="eastAsia" w:ascii="宋体" w:hAnsi="宋体" w:eastAsia="宋体" w:cs="宋体"/>
                <w:kern w:val="2"/>
                <w:sz w:val="21"/>
                <w:szCs w:val="21"/>
                <w:lang w:val="en-US" w:eastAsia="zh-CN" w:bidi="ar-SA"/>
              </w:rPr>
              <w:t>2</w:t>
            </w:r>
            <w:r>
              <w:rPr>
                <w:rFonts w:hint="eastAsia" w:ascii="宋体" w:hAnsi="宋体" w:eastAsia="宋体" w:cs="宋体"/>
                <w:kern w:val="2"/>
                <w:sz w:val="21"/>
                <w:szCs w:val="21"/>
                <w:lang w:val="zh-CN" w:eastAsia="zh-CN" w:bidi="ar-SA"/>
              </w:rPr>
              <w:t>00万元≤中标金额＜</w:t>
            </w:r>
            <w:r>
              <w:rPr>
                <w:rFonts w:hint="eastAsia" w:ascii="宋体" w:hAnsi="宋体" w:eastAsia="宋体" w:cs="宋体"/>
                <w:kern w:val="2"/>
                <w:sz w:val="21"/>
                <w:szCs w:val="21"/>
                <w:lang w:val="en-US" w:eastAsia="zh-CN" w:bidi="ar-SA"/>
              </w:rPr>
              <w:t>5</w:t>
            </w:r>
            <w:r>
              <w:rPr>
                <w:rFonts w:hint="eastAsia" w:ascii="宋体" w:hAnsi="宋体" w:eastAsia="宋体" w:cs="宋体"/>
                <w:kern w:val="2"/>
                <w:sz w:val="21"/>
                <w:szCs w:val="21"/>
                <w:lang w:val="zh-CN" w:eastAsia="zh-CN" w:bidi="ar-SA"/>
              </w:rPr>
              <w:t>00万元，按照标准下浮</w:t>
            </w:r>
            <w:r>
              <w:rPr>
                <w:rFonts w:hint="eastAsia" w:ascii="宋体" w:hAnsi="宋体" w:eastAsia="宋体" w:cs="宋体"/>
                <w:kern w:val="2"/>
                <w:sz w:val="21"/>
                <w:szCs w:val="21"/>
                <w:lang w:val="en-US" w:eastAsia="zh-CN" w:bidi="ar-SA"/>
              </w:rPr>
              <w:t>40</w:t>
            </w:r>
            <w:r>
              <w:rPr>
                <w:rFonts w:hint="eastAsia" w:ascii="宋体" w:hAnsi="宋体" w:eastAsia="宋体" w:cs="宋体"/>
                <w:kern w:val="2"/>
                <w:sz w:val="21"/>
                <w:szCs w:val="21"/>
                <w:lang w:val="zh-CN" w:eastAsia="zh-CN" w:bidi="ar-SA"/>
              </w:rPr>
              <w:t>%收取。</w:t>
            </w:r>
          </w:p>
          <w:p>
            <w:pPr>
              <w:pStyle w:val="28"/>
              <w:numPr>
                <w:ilvl w:val="0"/>
                <w:numId w:val="0"/>
              </w:numPr>
              <w:rPr>
                <w:rFonts w:hint="eastAsia" w:ascii="宋体" w:hAnsi="宋体" w:eastAsia="宋体" w:cs="宋体"/>
                <w:kern w:val="2"/>
                <w:sz w:val="21"/>
                <w:szCs w:val="21"/>
                <w:lang w:val="zh-CN" w:eastAsia="zh-CN" w:bidi="ar-SA"/>
              </w:rPr>
            </w:pPr>
            <w:r>
              <w:rPr>
                <w:rFonts w:hint="eastAsia" w:ascii="宋体" w:hAnsi="宋体" w:eastAsia="宋体" w:cs="宋体"/>
                <w:kern w:val="2"/>
                <w:sz w:val="21"/>
                <w:szCs w:val="21"/>
                <w:lang w:val="en-US" w:eastAsia="zh-CN" w:bidi="ar-SA"/>
              </w:rPr>
              <w:t>5</w:t>
            </w:r>
            <w:r>
              <w:rPr>
                <w:rFonts w:hint="eastAsia" w:ascii="宋体" w:hAnsi="宋体" w:eastAsia="宋体" w:cs="宋体"/>
                <w:kern w:val="2"/>
                <w:sz w:val="21"/>
                <w:szCs w:val="21"/>
                <w:lang w:val="zh-CN" w:eastAsia="zh-CN" w:bidi="ar-SA"/>
              </w:rPr>
              <w:t>00万元≤中标金额＜</w:t>
            </w:r>
            <w:r>
              <w:rPr>
                <w:rFonts w:hint="eastAsia" w:ascii="宋体" w:hAnsi="宋体" w:eastAsia="宋体" w:cs="宋体"/>
                <w:kern w:val="2"/>
                <w:sz w:val="21"/>
                <w:szCs w:val="21"/>
                <w:lang w:val="en-US" w:eastAsia="zh-CN" w:bidi="ar-SA"/>
              </w:rPr>
              <w:t>10</w:t>
            </w:r>
            <w:r>
              <w:rPr>
                <w:rFonts w:hint="eastAsia" w:ascii="宋体" w:hAnsi="宋体" w:eastAsia="宋体" w:cs="宋体"/>
                <w:kern w:val="2"/>
                <w:sz w:val="21"/>
                <w:szCs w:val="21"/>
                <w:lang w:val="zh-CN" w:eastAsia="zh-CN" w:bidi="ar-SA"/>
              </w:rPr>
              <w:t>00万元，按照标准下浮</w:t>
            </w:r>
            <w:r>
              <w:rPr>
                <w:rFonts w:hint="eastAsia" w:ascii="宋体" w:hAnsi="宋体" w:eastAsia="宋体" w:cs="宋体"/>
                <w:kern w:val="2"/>
                <w:sz w:val="21"/>
                <w:szCs w:val="21"/>
                <w:lang w:val="en-US" w:eastAsia="zh-CN" w:bidi="ar-SA"/>
              </w:rPr>
              <w:t>45</w:t>
            </w:r>
            <w:r>
              <w:rPr>
                <w:rFonts w:hint="eastAsia" w:ascii="宋体" w:hAnsi="宋体" w:eastAsia="宋体" w:cs="宋体"/>
                <w:kern w:val="2"/>
                <w:sz w:val="21"/>
                <w:szCs w:val="21"/>
                <w:lang w:val="zh-CN" w:eastAsia="zh-CN" w:bidi="ar-SA"/>
              </w:rPr>
              <w:t>%收取。</w:t>
            </w:r>
          </w:p>
          <w:p>
            <w:pPr>
              <w:tabs>
                <w:tab w:val="left" w:pos="9030"/>
              </w:tabs>
              <w:spacing w:line="288" w:lineRule="auto"/>
              <w:jc w:val="left"/>
              <w:rPr>
                <w:rFonts w:ascii="宋体" w:hAnsi="宋体" w:cs="宋体"/>
                <w:szCs w:val="21"/>
              </w:rPr>
            </w:pPr>
            <w:r>
              <w:rPr>
                <w:rFonts w:hint="eastAsia" w:ascii="宋体" w:hAnsi="宋体" w:cs="宋体"/>
                <w:szCs w:val="21"/>
                <w:lang w:val="en-US" w:eastAsia="zh-CN"/>
              </w:rPr>
              <w:t>2、</w:t>
            </w:r>
            <w:r>
              <w:rPr>
                <w:rFonts w:hint="eastAsia" w:ascii="宋体" w:hAnsi="宋体" w:cs="宋体"/>
                <w:szCs w:val="21"/>
              </w:rPr>
              <w:t>招标代理服务费交纳信息</w:t>
            </w:r>
          </w:p>
          <w:p>
            <w:pPr>
              <w:tabs>
                <w:tab w:val="left" w:pos="9030"/>
              </w:tabs>
              <w:spacing w:line="288" w:lineRule="auto"/>
              <w:jc w:val="left"/>
              <w:rPr>
                <w:rFonts w:ascii="宋体" w:hAnsi="宋体" w:cs="宋体"/>
                <w:szCs w:val="21"/>
              </w:rPr>
            </w:pPr>
            <w:r>
              <w:rPr>
                <w:rFonts w:hint="eastAsia" w:ascii="宋体" w:hAnsi="宋体" w:cs="宋体"/>
                <w:szCs w:val="21"/>
              </w:rPr>
              <w:t>账户</w:t>
            </w:r>
            <w:r>
              <w:rPr>
                <w:rFonts w:hint="eastAsia" w:ascii="宋体" w:hAnsi="宋体" w:cs="宋体"/>
                <w:szCs w:val="21"/>
                <w:lang w:val="zh-CN"/>
              </w:rPr>
              <w:t>名称：中航技（北京）工程管理有限公司</w:t>
            </w:r>
            <w:r>
              <w:rPr>
                <w:rFonts w:hint="eastAsia" w:ascii="宋体" w:hAnsi="宋体" w:cs="宋体"/>
                <w:szCs w:val="21"/>
              </w:rPr>
              <w:t>西安分公司</w:t>
            </w:r>
          </w:p>
          <w:p>
            <w:pPr>
              <w:tabs>
                <w:tab w:val="left" w:pos="9030"/>
              </w:tabs>
              <w:spacing w:line="288" w:lineRule="auto"/>
              <w:jc w:val="left"/>
              <w:rPr>
                <w:rFonts w:ascii="宋体" w:hAnsi="宋体" w:cs="宋体"/>
                <w:szCs w:val="21"/>
                <w:lang w:val="zh-CN"/>
              </w:rPr>
            </w:pPr>
            <w:r>
              <w:rPr>
                <w:rFonts w:hint="eastAsia" w:ascii="宋体" w:hAnsi="宋体" w:cs="宋体"/>
                <w:szCs w:val="21"/>
                <w:lang w:val="zh-CN"/>
              </w:rPr>
              <w:t>开户银行：</w:t>
            </w:r>
            <w:r>
              <w:rPr>
                <w:rFonts w:hint="eastAsia" w:ascii="宋体" w:hAnsi="宋体" w:cs="宋体"/>
                <w:szCs w:val="21"/>
              </w:rPr>
              <w:t>中国银行西安高科智慧园支行</w:t>
            </w:r>
          </w:p>
          <w:p>
            <w:pPr>
              <w:tabs>
                <w:tab w:val="left" w:pos="9030"/>
              </w:tabs>
              <w:spacing w:line="288" w:lineRule="auto"/>
              <w:jc w:val="left"/>
              <w:rPr>
                <w:rFonts w:ascii="宋体" w:hAnsi="宋体" w:cs="宋体"/>
                <w:color w:val="auto"/>
                <w:szCs w:val="21"/>
                <w:highlight w:val="none"/>
              </w:rPr>
            </w:pPr>
            <w:r>
              <w:rPr>
                <w:rFonts w:hint="eastAsia" w:ascii="宋体" w:hAnsi="宋体" w:cs="宋体"/>
                <w:szCs w:val="21"/>
                <w:lang w:val="zh-CN"/>
              </w:rPr>
              <w:t>账    号：</w:t>
            </w:r>
            <w:r>
              <w:rPr>
                <w:rFonts w:hint="eastAsia" w:ascii="宋体" w:hAnsi="宋体" w:cs="宋体"/>
                <w:szCs w:val="21"/>
              </w:rPr>
              <w:t>102876626131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7" w:type="dxa"/>
            <w:vAlign w:val="center"/>
          </w:tcPr>
          <w:p>
            <w:pPr>
              <w:jc w:val="center"/>
              <w:rPr>
                <w:rFonts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w:t>
            </w:r>
          </w:p>
        </w:tc>
        <w:tc>
          <w:tcPr>
            <w:tcW w:w="9057" w:type="dxa"/>
            <w:gridSpan w:val="2"/>
            <w:vAlign w:val="center"/>
          </w:tcPr>
          <w:p>
            <w:pPr>
              <w:jc w:val="left"/>
              <w:rPr>
                <w:rFonts w:ascii="宋体" w:hAnsi="宋体" w:cs="宋体"/>
                <w:color w:val="auto"/>
                <w:szCs w:val="21"/>
                <w:highlight w:val="none"/>
              </w:rPr>
            </w:pPr>
            <w:r>
              <w:rPr>
                <w:rFonts w:hint="eastAsia" w:ascii="宋体" w:hAnsi="宋体" w:cs="宋体"/>
                <w:color w:val="auto"/>
                <w:szCs w:val="21"/>
                <w:highlight w:val="none"/>
              </w:rPr>
              <w:t>投标人须知前附表和须知不一致的地方，以前附表为准。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1" w:hRule="atLeast"/>
          <w:jc w:val="center"/>
        </w:trPr>
        <w:tc>
          <w:tcPr>
            <w:tcW w:w="687" w:type="dxa"/>
            <w:vAlign w:val="center"/>
          </w:tcPr>
          <w:p>
            <w:pPr>
              <w:jc w:val="center"/>
              <w:rPr>
                <w:rFonts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w:t>
            </w:r>
          </w:p>
        </w:tc>
        <w:tc>
          <w:tcPr>
            <w:tcW w:w="9057" w:type="dxa"/>
            <w:gridSpan w:val="2"/>
            <w:vAlign w:val="center"/>
          </w:tcPr>
          <w:p>
            <w:pPr>
              <w:jc w:val="left"/>
              <w:rPr>
                <w:rFonts w:ascii="宋体" w:hAnsi="宋体" w:cs="宋体"/>
                <w:color w:val="auto"/>
                <w:szCs w:val="21"/>
                <w:highlight w:val="none"/>
              </w:rPr>
            </w:pPr>
            <w:r>
              <w:rPr>
                <w:rFonts w:hint="eastAsia" w:ascii="宋体" w:hAnsi="宋体" w:cs="宋体"/>
                <w:color w:val="auto"/>
                <w:szCs w:val="21"/>
                <w:highlight w:val="none"/>
              </w:rPr>
              <w:t>文件未明确的其他事项，按照有关法律、法规或省市有关规定执行。</w:t>
            </w:r>
            <w:r>
              <w:rPr>
                <w:rFonts w:hint="eastAsia" w:ascii="宋体" w:hAnsi="宋体" w:cs="宋体"/>
                <w:szCs w:val="21"/>
              </w:rPr>
              <w:t>本招标文件由招标人和采购代理机构负责解释。</w:t>
            </w:r>
          </w:p>
        </w:tc>
      </w:tr>
    </w:tbl>
    <w:p>
      <w:pPr>
        <w:rPr>
          <w:color w:val="auto"/>
          <w:highlight w:val="none"/>
        </w:rPr>
      </w:pPr>
      <w:r>
        <w:rPr>
          <w:color w:val="auto"/>
          <w:highlight w:val="none"/>
        </w:rPr>
        <w:br w:type="page"/>
      </w:r>
    </w:p>
    <w:p>
      <w:pPr>
        <w:pStyle w:val="4"/>
        <w:bidi w:val="0"/>
        <w:rPr>
          <w:rFonts w:hint="eastAsia"/>
          <w:color w:val="auto"/>
          <w:sz w:val="22"/>
          <w:szCs w:val="16"/>
          <w:highlight w:val="none"/>
        </w:rPr>
      </w:pPr>
      <w:r>
        <w:rPr>
          <w:rFonts w:hint="eastAsia"/>
          <w:color w:val="auto"/>
          <w:sz w:val="22"/>
          <w:szCs w:val="16"/>
          <w:highlight w:val="none"/>
        </w:rPr>
        <w:t>一、总  则</w:t>
      </w:r>
    </w:p>
    <w:p>
      <w:pPr>
        <w:spacing w:line="360" w:lineRule="auto"/>
        <w:rPr>
          <w:rFonts w:ascii="宋体" w:hAnsi="宋体"/>
          <w:b/>
          <w:color w:val="auto"/>
          <w:sz w:val="21"/>
          <w:szCs w:val="21"/>
          <w:highlight w:val="none"/>
        </w:rPr>
      </w:pPr>
      <w:bookmarkStart w:id="8" w:name="_Toc250572264"/>
      <w:bookmarkStart w:id="9" w:name="_Toc238899378"/>
      <w:bookmarkStart w:id="10" w:name="_Toc30853"/>
      <w:bookmarkStart w:id="11" w:name="_Toc67552688"/>
      <w:bookmarkStart w:id="12" w:name="_Toc235544703"/>
      <w:bookmarkStart w:id="13" w:name="_Toc54404815"/>
      <w:bookmarkStart w:id="14" w:name="_Toc269407612"/>
      <w:r>
        <w:rPr>
          <w:rFonts w:hint="eastAsia" w:ascii="宋体" w:hAnsi="宋体"/>
          <w:b/>
          <w:color w:val="auto"/>
          <w:sz w:val="21"/>
          <w:szCs w:val="21"/>
          <w:highlight w:val="none"/>
        </w:rPr>
        <w:t>1.1 项目概况</w:t>
      </w:r>
    </w:p>
    <w:p>
      <w:pPr>
        <w:spacing w:line="360" w:lineRule="auto"/>
        <w:ind w:firstLine="420" w:firstLineChars="20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1.1.1 根据《中华人民共和国政府采购法》及实施条例等有关法律、法规和规章的规定，本招标项目已具备招标条件，现对本项目进行招标。</w:t>
      </w:r>
    </w:p>
    <w:p>
      <w:pPr>
        <w:spacing w:line="360" w:lineRule="auto"/>
        <w:ind w:firstLine="420" w:firstLineChars="20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1.1.2 本招标项目招标人：见投标人须知前附表。</w:t>
      </w:r>
    </w:p>
    <w:p>
      <w:pPr>
        <w:spacing w:line="360" w:lineRule="auto"/>
        <w:ind w:firstLine="420" w:firstLineChars="20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1.1.3 本招标项目</w:t>
      </w:r>
      <w:r>
        <w:rPr>
          <w:rFonts w:hint="eastAsia" w:ascii="宋体" w:hAnsi="宋体" w:cs="宋体"/>
          <w:color w:val="auto"/>
          <w:szCs w:val="21"/>
          <w:highlight w:val="none"/>
          <w:lang w:val="en-US" w:eastAsia="zh-CN"/>
        </w:rPr>
        <w:t>采购代理机构</w:t>
      </w:r>
      <w:r>
        <w:rPr>
          <w:rFonts w:hint="eastAsia" w:ascii="宋体" w:hAnsi="宋体" w:eastAsia="宋体" w:cs="宋体"/>
          <w:color w:val="auto"/>
          <w:szCs w:val="21"/>
          <w:highlight w:val="none"/>
          <w:lang w:val="en-US" w:eastAsia="zh-CN"/>
        </w:rPr>
        <w:t>：见投标人须知前附表。</w:t>
      </w:r>
    </w:p>
    <w:p>
      <w:pPr>
        <w:spacing w:line="360" w:lineRule="auto"/>
        <w:ind w:firstLine="420" w:firstLineChars="20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1.1.4 本招标项目名称：见投标人须知前附表。</w:t>
      </w:r>
    </w:p>
    <w:p>
      <w:pPr>
        <w:spacing w:line="360" w:lineRule="auto"/>
        <w:ind w:firstLine="420" w:firstLineChars="20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1.1.5 本招标项目地点：见投标人须知前附表。</w:t>
      </w:r>
    </w:p>
    <w:p>
      <w:pPr>
        <w:spacing w:line="360" w:lineRule="auto"/>
        <w:rPr>
          <w:rFonts w:ascii="宋体" w:hAnsi="宋体"/>
          <w:b/>
          <w:color w:val="auto"/>
          <w:sz w:val="21"/>
          <w:szCs w:val="21"/>
          <w:highlight w:val="none"/>
        </w:rPr>
      </w:pPr>
      <w:r>
        <w:rPr>
          <w:rFonts w:hint="eastAsia" w:ascii="宋体" w:hAnsi="宋体"/>
          <w:b/>
          <w:color w:val="auto"/>
          <w:sz w:val="21"/>
          <w:szCs w:val="21"/>
          <w:highlight w:val="none"/>
        </w:rPr>
        <w:t>1.2 资金来源</w:t>
      </w:r>
    </w:p>
    <w:p>
      <w:pPr>
        <w:spacing w:line="360" w:lineRule="auto"/>
        <w:ind w:firstLine="420" w:firstLineChars="200"/>
        <w:rPr>
          <w:rFonts w:ascii="宋体" w:hAnsi="宋体"/>
          <w:color w:val="auto"/>
          <w:sz w:val="21"/>
          <w:szCs w:val="21"/>
          <w:highlight w:val="none"/>
        </w:rPr>
      </w:pPr>
      <w:r>
        <w:rPr>
          <w:rFonts w:hint="eastAsia" w:ascii="宋体" w:hAnsi="宋体"/>
          <w:color w:val="auto"/>
          <w:sz w:val="21"/>
          <w:szCs w:val="21"/>
          <w:highlight w:val="none"/>
        </w:rPr>
        <w:t>1.2.1 本招标项目的</w:t>
      </w:r>
      <w:r>
        <w:rPr>
          <w:rFonts w:hint="eastAsia" w:ascii="宋体" w:hAnsi="宋体"/>
          <w:color w:val="auto"/>
          <w:sz w:val="21"/>
          <w:szCs w:val="21"/>
          <w:highlight w:val="none"/>
          <w:lang w:eastAsia="zh-CN"/>
        </w:rPr>
        <w:t>最高限价</w:t>
      </w:r>
      <w:r>
        <w:rPr>
          <w:rFonts w:hint="eastAsia" w:ascii="宋体" w:hAnsi="宋体"/>
          <w:color w:val="auto"/>
          <w:sz w:val="21"/>
          <w:szCs w:val="21"/>
          <w:highlight w:val="none"/>
        </w:rPr>
        <w:t>：见投标人须知前附表。</w:t>
      </w:r>
    </w:p>
    <w:p>
      <w:pPr>
        <w:spacing w:line="360" w:lineRule="auto"/>
        <w:rPr>
          <w:rFonts w:ascii="宋体" w:hAnsi="宋体"/>
          <w:b/>
          <w:color w:val="auto"/>
          <w:sz w:val="21"/>
          <w:szCs w:val="21"/>
          <w:highlight w:val="none"/>
        </w:rPr>
      </w:pPr>
      <w:r>
        <w:rPr>
          <w:rFonts w:hint="eastAsia" w:ascii="宋体" w:hAnsi="宋体"/>
          <w:b/>
          <w:color w:val="auto"/>
          <w:sz w:val="21"/>
          <w:szCs w:val="21"/>
          <w:highlight w:val="none"/>
        </w:rPr>
        <w:t>1.3 招标范围</w:t>
      </w:r>
    </w:p>
    <w:p>
      <w:pPr>
        <w:spacing w:line="360" w:lineRule="auto"/>
        <w:ind w:firstLine="420" w:firstLineChars="200"/>
        <w:rPr>
          <w:rFonts w:ascii="宋体" w:hAnsi="宋体"/>
          <w:color w:val="auto"/>
          <w:sz w:val="21"/>
          <w:szCs w:val="21"/>
          <w:highlight w:val="none"/>
        </w:rPr>
      </w:pPr>
      <w:r>
        <w:rPr>
          <w:rFonts w:hint="eastAsia" w:ascii="宋体" w:hAnsi="宋体"/>
          <w:color w:val="auto"/>
          <w:sz w:val="21"/>
          <w:szCs w:val="21"/>
          <w:highlight w:val="none"/>
        </w:rPr>
        <w:t>1.3.1 本次招标范围：见投标人须知前附表。</w:t>
      </w:r>
    </w:p>
    <w:p>
      <w:pPr>
        <w:spacing w:line="360" w:lineRule="auto"/>
        <w:rPr>
          <w:rFonts w:ascii="宋体" w:hAnsi="宋体"/>
          <w:b/>
          <w:color w:val="auto"/>
          <w:sz w:val="21"/>
          <w:szCs w:val="21"/>
          <w:highlight w:val="none"/>
        </w:rPr>
      </w:pPr>
      <w:r>
        <w:rPr>
          <w:rFonts w:hint="eastAsia" w:ascii="宋体" w:hAnsi="宋体"/>
          <w:b/>
          <w:color w:val="auto"/>
          <w:sz w:val="21"/>
          <w:szCs w:val="21"/>
          <w:highlight w:val="none"/>
        </w:rPr>
        <w:t>1.4 投标人资格要求</w:t>
      </w:r>
    </w:p>
    <w:p>
      <w:pPr>
        <w:spacing w:line="360" w:lineRule="auto"/>
        <w:ind w:firstLine="420" w:firstLineChars="200"/>
        <w:rPr>
          <w:rFonts w:ascii="宋体" w:hAnsi="宋体"/>
          <w:color w:val="auto"/>
          <w:sz w:val="21"/>
          <w:szCs w:val="21"/>
          <w:highlight w:val="none"/>
        </w:rPr>
      </w:pPr>
      <w:r>
        <w:rPr>
          <w:rFonts w:hint="eastAsia" w:ascii="宋体" w:hAnsi="宋体"/>
          <w:color w:val="auto"/>
          <w:sz w:val="21"/>
          <w:szCs w:val="21"/>
          <w:highlight w:val="none"/>
        </w:rPr>
        <w:t>1.4.1 投标人应具备承担本项目的资质条件：见投标人须知前附表。</w:t>
      </w:r>
    </w:p>
    <w:p>
      <w:pPr>
        <w:spacing w:line="360" w:lineRule="auto"/>
        <w:ind w:firstLine="420" w:firstLineChars="200"/>
        <w:rPr>
          <w:rFonts w:hint="eastAsia" w:ascii="宋体" w:hAnsi="宋体"/>
          <w:color w:val="auto"/>
          <w:sz w:val="21"/>
          <w:szCs w:val="21"/>
          <w:highlight w:val="none"/>
          <w:lang w:eastAsia="zh-CN"/>
        </w:rPr>
      </w:pPr>
      <w:r>
        <w:rPr>
          <w:rFonts w:hint="eastAsia" w:ascii="宋体" w:hAnsi="宋体"/>
          <w:color w:val="auto"/>
          <w:sz w:val="21"/>
          <w:szCs w:val="21"/>
          <w:highlight w:val="none"/>
        </w:rPr>
        <w:t xml:space="preserve">1.4.2 </w:t>
      </w:r>
      <w:r>
        <w:rPr>
          <w:rFonts w:hint="eastAsia" w:ascii="宋体" w:hAnsi="宋体"/>
          <w:color w:val="auto"/>
          <w:sz w:val="21"/>
          <w:szCs w:val="21"/>
          <w:highlight w:val="none"/>
          <w:lang w:eastAsia="zh-CN"/>
        </w:rPr>
        <w:t>单位负责人为同一人或者存在直接控股、管理关系的不同供应商，不得参加同一合同项下的政府采购活动。</w:t>
      </w:r>
    </w:p>
    <w:p>
      <w:pPr>
        <w:spacing w:line="360" w:lineRule="auto"/>
        <w:ind w:firstLine="420" w:firstLineChars="200"/>
        <w:rPr>
          <w:rFonts w:hint="eastAsia" w:ascii="宋体" w:hAnsi="宋体"/>
          <w:color w:val="auto"/>
          <w:sz w:val="21"/>
          <w:szCs w:val="21"/>
          <w:highlight w:val="none"/>
          <w:lang w:eastAsia="zh-CN"/>
        </w:rPr>
      </w:pPr>
      <w:r>
        <w:rPr>
          <w:rFonts w:hint="eastAsia" w:ascii="宋体" w:hAnsi="宋体"/>
          <w:color w:val="auto"/>
          <w:sz w:val="21"/>
          <w:szCs w:val="21"/>
          <w:highlight w:val="none"/>
        </w:rPr>
        <w:t>为采购项目提供整体设计、规范编制或者项目管理、监理、检测等服务的供应商，不得再参加该采购项目的其他采购活动。</w:t>
      </w:r>
    </w:p>
    <w:p>
      <w:pPr>
        <w:spacing w:line="360" w:lineRule="auto"/>
        <w:rPr>
          <w:rFonts w:ascii="宋体" w:hAnsi="宋体"/>
          <w:b/>
          <w:color w:val="auto"/>
          <w:sz w:val="21"/>
          <w:szCs w:val="21"/>
          <w:highlight w:val="none"/>
        </w:rPr>
      </w:pPr>
      <w:r>
        <w:rPr>
          <w:rFonts w:hint="eastAsia" w:ascii="宋体" w:hAnsi="宋体"/>
          <w:b/>
          <w:color w:val="auto"/>
          <w:sz w:val="21"/>
          <w:szCs w:val="21"/>
          <w:highlight w:val="none"/>
        </w:rPr>
        <w:t>1.5 费用承担</w:t>
      </w:r>
    </w:p>
    <w:p>
      <w:pPr>
        <w:spacing w:line="360" w:lineRule="auto"/>
        <w:ind w:firstLine="420" w:firstLineChars="200"/>
        <w:rPr>
          <w:rFonts w:ascii="宋体" w:hAnsi="宋体"/>
          <w:color w:val="auto"/>
          <w:sz w:val="21"/>
          <w:szCs w:val="21"/>
          <w:highlight w:val="none"/>
        </w:rPr>
      </w:pPr>
      <w:r>
        <w:rPr>
          <w:rFonts w:hint="eastAsia" w:ascii="宋体" w:hAnsi="宋体"/>
          <w:color w:val="auto"/>
          <w:sz w:val="21"/>
          <w:szCs w:val="21"/>
          <w:highlight w:val="none"/>
        </w:rPr>
        <w:t>投标人准备和参加投标活动发生的费用自理。</w:t>
      </w:r>
    </w:p>
    <w:p>
      <w:pPr>
        <w:spacing w:line="360" w:lineRule="auto"/>
        <w:rPr>
          <w:rFonts w:ascii="宋体" w:hAnsi="宋体"/>
          <w:b/>
          <w:color w:val="auto"/>
          <w:sz w:val="21"/>
          <w:szCs w:val="21"/>
          <w:highlight w:val="none"/>
        </w:rPr>
      </w:pPr>
      <w:r>
        <w:rPr>
          <w:rFonts w:hint="eastAsia" w:ascii="宋体" w:hAnsi="宋体"/>
          <w:b/>
          <w:color w:val="auto"/>
          <w:sz w:val="21"/>
          <w:szCs w:val="21"/>
          <w:highlight w:val="none"/>
        </w:rPr>
        <w:t>1.6 保密</w:t>
      </w:r>
    </w:p>
    <w:p>
      <w:pPr>
        <w:spacing w:line="360" w:lineRule="auto"/>
        <w:ind w:firstLine="420" w:firstLineChars="200"/>
        <w:rPr>
          <w:rFonts w:ascii="宋体" w:hAnsi="宋体"/>
          <w:color w:val="auto"/>
          <w:sz w:val="21"/>
          <w:szCs w:val="21"/>
          <w:highlight w:val="none"/>
        </w:rPr>
      </w:pPr>
      <w:r>
        <w:rPr>
          <w:rFonts w:hint="eastAsia" w:ascii="宋体" w:hAnsi="宋体"/>
          <w:color w:val="auto"/>
          <w:sz w:val="21"/>
          <w:szCs w:val="21"/>
          <w:highlight w:val="none"/>
        </w:rPr>
        <w:t>参与招标投标活动的各方应对招标文件和投标文件中的商业和技术等秘密保密，违者应对由此造成的后果承担法律责任。</w:t>
      </w:r>
    </w:p>
    <w:p>
      <w:pPr>
        <w:spacing w:line="360" w:lineRule="auto"/>
        <w:rPr>
          <w:rFonts w:ascii="宋体" w:hAnsi="宋体"/>
          <w:b/>
          <w:color w:val="auto"/>
          <w:sz w:val="21"/>
          <w:szCs w:val="21"/>
          <w:highlight w:val="none"/>
        </w:rPr>
      </w:pPr>
      <w:r>
        <w:rPr>
          <w:rFonts w:hint="eastAsia" w:ascii="宋体" w:hAnsi="宋体"/>
          <w:b/>
          <w:color w:val="auto"/>
          <w:sz w:val="21"/>
          <w:szCs w:val="21"/>
          <w:highlight w:val="none"/>
        </w:rPr>
        <w:t>1.7 语言文字</w:t>
      </w:r>
    </w:p>
    <w:p>
      <w:pPr>
        <w:spacing w:line="360" w:lineRule="auto"/>
        <w:ind w:firstLine="420" w:firstLineChars="20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1.7.1投标人提交的投标文件以及投标人与采购代理机构就有关投标所有来往书面文件均须使用中文简体。投标文件中如附有外文资料，必须对应翻译成中文并加盖投标人公章后附在相关外文资料后面，否则，投标人的投标文件将作为无效投标处理。</w:t>
      </w:r>
    </w:p>
    <w:p>
      <w:pPr>
        <w:spacing w:line="360" w:lineRule="auto"/>
        <w:ind w:firstLine="420" w:firstLineChars="20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1.7.2翻译的中文资料与外文资料如果出现差异和矛盾以中文为准。投标人不能以响应招标文件为目的将不满足招标文件要求和规定的投标故意翻译成满足的投标，否则，投标人的投标将作为无效投标处理。</w:t>
      </w:r>
    </w:p>
    <w:p>
      <w:pPr>
        <w:spacing w:line="360" w:lineRule="auto"/>
        <w:rPr>
          <w:rFonts w:ascii="宋体" w:hAnsi="宋体"/>
          <w:b/>
          <w:color w:val="auto"/>
          <w:sz w:val="21"/>
          <w:szCs w:val="21"/>
          <w:highlight w:val="none"/>
        </w:rPr>
      </w:pPr>
      <w:r>
        <w:rPr>
          <w:rFonts w:hint="eastAsia" w:ascii="宋体" w:hAnsi="宋体"/>
          <w:b/>
          <w:color w:val="auto"/>
          <w:sz w:val="21"/>
          <w:szCs w:val="21"/>
          <w:highlight w:val="none"/>
        </w:rPr>
        <w:t>1.8 计量单位</w:t>
      </w:r>
    </w:p>
    <w:p>
      <w:pPr>
        <w:spacing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投标文件中所使用的计量单位，除技术规格及要求另有规定外，本采购项目的投标均采用中华人民共和国法定计量单位。</w:t>
      </w:r>
    </w:p>
    <w:p>
      <w:pPr>
        <w:spacing w:line="360" w:lineRule="auto"/>
        <w:rPr>
          <w:rFonts w:hint="eastAsia" w:ascii="宋体" w:hAnsi="宋体"/>
          <w:b/>
          <w:color w:val="auto"/>
          <w:sz w:val="21"/>
          <w:szCs w:val="21"/>
          <w:highlight w:val="none"/>
        </w:rPr>
      </w:pPr>
      <w:r>
        <w:rPr>
          <w:rFonts w:hint="eastAsia" w:ascii="宋体" w:hAnsi="宋体"/>
          <w:b/>
          <w:color w:val="auto"/>
          <w:sz w:val="21"/>
          <w:szCs w:val="21"/>
          <w:highlight w:val="none"/>
        </w:rPr>
        <w:t>1.9 踏勘现场</w:t>
      </w:r>
    </w:p>
    <w:p>
      <w:pPr>
        <w:bidi w:val="0"/>
        <w:rPr>
          <w:rFonts w:hint="default" w:eastAsia="宋体"/>
          <w:color w:val="auto"/>
          <w:highlight w:val="none"/>
          <w:lang w:val="en-US" w:eastAsia="zh-CN"/>
        </w:rPr>
      </w:pPr>
      <w:r>
        <w:rPr>
          <w:rFonts w:hint="eastAsia"/>
          <w:color w:val="auto"/>
          <w:highlight w:val="none"/>
          <w:lang w:val="en-US" w:eastAsia="zh-CN"/>
        </w:rPr>
        <w:t xml:space="preserve">    本项目不组织现场踏勘。</w:t>
      </w:r>
    </w:p>
    <w:p>
      <w:pPr>
        <w:spacing w:line="360" w:lineRule="auto"/>
        <w:rPr>
          <w:rFonts w:hint="eastAsia" w:ascii="宋体" w:hAnsi="宋体"/>
          <w:b/>
          <w:color w:val="auto"/>
          <w:sz w:val="21"/>
          <w:szCs w:val="21"/>
          <w:highlight w:val="none"/>
        </w:rPr>
      </w:pPr>
      <w:r>
        <w:rPr>
          <w:rFonts w:hint="eastAsia" w:ascii="宋体" w:hAnsi="宋体"/>
          <w:b/>
          <w:color w:val="auto"/>
          <w:sz w:val="21"/>
          <w:szCs w:val="21"/>
          <w:highlight w:val="none"/>
        </w:rPr>
        <w:t>1.10招标文件取得</w:t>
      </w:r>
    </w:p>
    <w:p>
      <w:pPr>
        <w:spacing w:line="360" w:lineRule="auto"/>
        <w:ind w:firstLine="420" w:firstLineChars="200"/>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招标公告在</w:t>
      </w:r>
      <w:r>
        <w:rPr>
          <w:rFonts w:hint="eastAsia" w:ascii="宋体" w:hAnsi="宋体" w:eastAsia="宋体" w:cs="Times New Roman"/>
          <w:color w:val="auto"/>
          <w:sz w:val="21"/>
          <w:szCs w:val="21"/>
          <w:highlight w:val="none"/>
          <w:lang w:val="en-US" w:eastAsia="zh-CN"/>
        </w:rPr>
        <w:t>陕西省政府采购网</w:t>
      </w:r>
      <w:r>
        <w:rPr>
          <w:rFonts w:hint="eastAsia" w:ascii="宋体" w:hAnsi="宋体" w:eastAsia="宋体" w:cs="Times New Roman"/>
          <w:color w:val="auto"/>
          <w:sz w:val="21"/>
          <w:szCs w:val="21"/>
          <w:highlight w:val="none"/>
        </w:rPr>
        <w:t>发布并以此为准，有意愿投标的合格投标人必须在采购代理机构获取招标文件，凡未在采购代理机构获取本项目招标文件或未在采购代理机构获取本项目招标文件采取复制他人招标文件的投标将被拒绝。</w:t>
      </w:r>
    </w:p>
    <w:p>
      <w:pPr>
        <w:spacing w:line="360" w:lineRule="auto"/>
        <w:rPr>
          <w:rFonts w:hint="eastAsia" w:ascii="宋体" w:hAnsi="宋体" w:eastAsia="宋体" w:cs="Times New Roman"/>
          <w:b/>
          <w:color w:val="auto"/>
          <w:sz w:val="21"/>
          <w:szCs w:val="21"/>
          <w:highlight w:val="none"/>
        </w:rPr>
      </w:pPr>
      <w:bookmarkStart w:id="15" w:name="_Toc48301710"/>
      <w:bookmarkStart w:id="16" w:name="_Toc52064303"/>
      <w:bookmarkStart w:id="17" w:name="_Toc52064846"/>
      <w:r>
        <w:rPr>
          <w:rFonts w:hint="eastAsia" w:ascii="宋体" w:hAnsi="宋体" w:eastAsia="宋体" w:cs="Times New Roman"/>
          <w:b/>
          <w:color w:val="auto"/>
          <w:sz w:val="21"/>
          <w:szCs w:val="21"/>
          <w:highlight w:val="none"/>
        </w:rPr>
        <w:t>1.11投标文件的货币单位</w:t>
      </w:r>
      <w:bookmarkEnd w:id="15"/>
      <w:bookmarkEnd w:id="16"/>
      <w:bookmarkEnd w:id="17"/>
    </w:p>
    <w:p>
      <w:pPr>
        <w:spacing w:line="360" w:lineRule="auto"/>
        <w:ind w:firstLine="420" w:firstLineChars="200"/>
        <w:rPr>
          <w:rFonts w:ascii="宋体" w:hAnsi="宋体"/>
          <w:color w:val="auto"/>
          <w:sz w:val="21"/>
          <w:szCs w:val="21"/>
          <w:highlight w:val="none"/>
        </w:rPr>
      </w:pPr>
      <w:r>
        <w:rPr>
          <w:rFonts w:hint="eastAsia" w:ascii="宋体" w:hAnsi="宋体"/>
          <w:color w:val="auto"/>
          <w:sz w:val="21"/>
          <w:szCs w:val="21"/>
          <w:highlight w:val="none"/>
        </w:rPr>
        <w:t>本项目投标文件所采用的货币单位：元</w:t>
      </w:r>
    </w:p>
    <w:p>
      <w:pPr>
        <w:spacing w:line="360" w:lineRule="auto"/>
        <w:rPr>
          <w:rFonts w:hint="eastAsia" w:ascii="宋体" w:hAnsi="宋体"/>
          <w:b/>
          <w:color w:val="auto"/>
          <w:sz w:val="21"/>
          <w:szCs w:val="21"/>
          <w:highlight w:val="none"/>
        </w:rPr>
      </w:pPr>
      <w:bookmarkStart w:id="18" w:name="_Toc48301711"/>
      <w:bookmarkStart w:id="19" w:name="_Toc52064304"/>
      <w:bookmarkStart w:id="20" w:name="_Toc52064847"/>
      <w:r>
        <w:rPr>
          <w:rFonts w:hint="eastAsia" w:ascii="宋体" w:hAnsi="宋体"/>
          <w:b/>
          <w:color w:val="auto"/>
          <w:sz w:val="21"/>
          <w:szCs w:val="21"/>
          <w:highlight w:val="none"/>
        </w:rPr>
        <w:t>1.12投标文件的投标范围</w:t>
      </w:r>
      <w:bookmarkEnd w:id="18"/>
      <w:bookmarkEnd w:id="19"/>
      <w:bookmarkEnd w:id="20"/>
    </w:p>
    <w:p>
      <w:pPr>
        <w:spacing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投标人可以对招标文件中采购项目所列货物进行投标，但不得将同一个包中的内容拆开投标，将同一个包内容拆开的投标将按无效投标处理。</w:t>
      </w:r>
    </w:p>
    <w:p>
      <w:pPr>
        <w:spacing w:line="360" w:lineRule="auto"/>
        <w:rPr>
          <w:rFonts w:hint="eastAsia" w:ascii="宋体" w:hAnsi="宋体"/>
          <w:b/>
          <w:color w:val="auto"/>
          <w:sz w:val="21"/>
          <w:szCs w:val="21"/>
          <w:highlight w:val="none"/>
        </w:rPr>
      </w:pPr>
      <w:bookmarkStart w:id="21" w:name="_Toc52064305"/>
      <w:bookmarkStart w:id="22" w:name="_Toc48301712"/>
      <w:bookmarkStart w:id="23" w:name="_Toc52064848"/>
      <w:r>
        <w:rPr>
          <w:rFonts w:hint="eastAsia" w:ascii="宋体" w:hAnsi="宋体"/>
          <w:b/>
          <w:color w:val="auto"/>
          <w:sz w:val="21"/>
          <w:szCs w:val="21"/>
          <w:highlight w:val="none"/>
        </w:rPr>
        <w:t>1.13联合体投标的规定</w:t>
      </w:r>
      <w:bookmarkEnd w:id="21"/>
      <w:bookmarkEnd w:id="22"/>
      <w:bookmarkEnd w:id="23"/>
    </w:p>
    <w:p>
      <w:pPr>
        <w:spacing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本次采购活动不接受联合体投标。</w:t>
      </w:r>
    </w:p>
    <w:p>
      <w:pPr>
        <w:spacing w:line="360" w:lineRule="auto"/>
        <w:rPr>
          <w:rFonts w:hint="eastAsia" w:ascii="宋体" w:hAnsi="宋体"/>
          <w:b/>
          <w:color w:val="auto"/>
          <w:sz w:val="21"/>
          <w:szCs w:val="21"/>
          <w:highlight w:val="none"/>
        </w:rPr>
      </w:pPr>
      <w:bookmarkStart w:id="24" w:name="_Toc48301713"/>
      <w:bookmarkStart w:id="25" w:name="_Toc52064849"/>
      <w:bookmarkStart w:id="26" w:name="_Toc52064306"/>
      <w:r>
        <w:rPr>
          <w:rFonts w:hint="eastAsia" w:ascii="宋体" w:hAnsi="宋体"/>
          <w:b/>
          <w:color w:val="auto"/>
          <w:sz w:val="21"/>
          <w:szCs w:val="21"/>
          <w:highlight w:val="none"/>
        </w:rPr>
        <w:t>1.14所涉及的知识产权</w:t>
      </w:r>
      <w:bookmarkEnd w:id="24"/>
      <w:bookmarkEnd w:id="25"/>
      <w:bookmarkEnd w:id="26"/>
    </w:p>
    <w:p>
      <w:pPr>
        <w:spacing w:line="360" w:lineRule="auto"/>
        <w:ind w:firstLine="420" w:firstLineChars="20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1.14.1投标人应保证对本项目投标的任何货物（包括部分使用）时，不会产生因第三方提出侵犯其专利权、商标权或其它知识产权而引起的法律和经济纠纷，否则，由投标人承担所有相关责任。</w:t>
      </w:r>
    </w:p>
    <w:p>
      <w:pPr>
        <w:spacing w:line="360" w:lineRule="auto"/>
        <w:ind w:firstLine="420" w:firstLineChars="20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1.14.2采购人享有本项目实施过程中产生的知识成果及知识产权。</w:t>
      </w:r>
    </w:p>
    <w:p>
      <w:pPr>
        <w:spacing w:line="360" w:lineRule="auto"/>
        <w:ind w:firstLine="420" w:firstLineChars="20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1.14.3投标人如欲在项目实施过程中采用自有知识成果，需在投标文件中声明并提供知识产权和市场准入的相关证明文件。使用该知识成果后，投标人需提供和开放开发接口和开发手册等技术文档，并承诺提供无限期技术支持，采购人享有永久使用权。</w:t>
      </w:r>
    </w:p>
    <w:p>
      <w:pPr>
        <w:spacing w:line="360" w:lineRule="auto"/>
        <w:ind w:firstLine="420" w:firstLineChars="200"/>
        <w:jc w:val="left"/>
        <w:rPr>
          <w:rFonts w:hint="eastAsia" w:ascii="宋体" w:hAnsi="宋体"/>
          <w:color w:val="auto"/>
          <w:sz w:val="21"/>
          <w:szCs w:val="21"/>
          <w:highlight w:val="none"/>
        </w:rPr>
      </w:pPr>
      <w:r>
        <w:rPr>
          <w:rFonts w:hint="eastAsia" w:ascii="宋体" w:hAnsi="宋体" w:eastAsia="宋体" w:cs="宋体"/>
          <w:color w:val="auto"/>
          <w:szCs w:val="21"/>
          <w:highlight w:val="none"/>
          <w:lang w:val="en-US" w:eastAsia="zh-CN"/>
        </w:rPr>
        <w:t>1.14.4如采用投标人所不拥有的知识产权，则在投标报价中必须包括合法获取</w:t>
      </w:r>
      <w:r>
        <w:rPr>
          <w:rFonts w:hint="eastAsia" w:ascii="宋体" w:hAnsi="宋体"/>
          <w:color w:val="auto"/>
          <w:sz w:val="21"/>
          <w:szCs w:val="21"/>
          <w:highlight w:val="none"/>
        </w:rPr>
        <w:t>该知识产权无限制使用的相关费用。</w:t>
      </w:r>
    </w:p>
    <w:p>
      <w:pPr>
        <w:spacing w:line="360" w:lineRule="auto"/>
        <w:rPr>
          <w:rFonts w:hint="eastAsia" w:ascii="宋体" w:hAnsi="宋体"/>
          <w:b/>
          <w:color w:val="auto"/>
          <w:sz w:val="21"/>
          <w:szCs w:val="21"/>
          <w:highlight w:val="none"/>
        </w:rPr>
      </w:pPr>
      <w:r>
        <w:rPr>
          <w:rFonts w:hint="eastAsia" w:ascii="宋体" w:hAnsi="宋体"/>
          <w:b/>
          <w:color w:val="auto"/>
          <w:sz w:val="21"/>
          <w:szCs w:val="21"/>
          <w:highlight w:val="none"/>
        </w:rPr>
        <w:t>1.15应落实的政府采购政策</w:t>
      </w:r>
    </w:p>
    <w:p>
      <w:pPr>
        <w:spacing w:line="360" w:lineRule="auto"/>
        <w:ind w:firstLine="420" w:firstLineChars="20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1.15.1对中小企业、监狱企业、残疾人福利性单位的优惠政策</w:t>
      </w:r>
    </w:p>
    <w:p>
      <w:pPr>
        <w:spacing w:line="360" w:lineRule="auto"/>
        <w:ind w:firstLine="420" w:firstLineChars="20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（1）根据《政府采购促进中小企业发展管理办法》（财库〔2020〕46号）</w:t>
      </w:r>
      <w:r>
        <w:rPr>
          <w:rFonts w:hint="eastAsia" w:ascii="宋体" w:hAnsi="宋体" w:cs="宋体"/>
          <w:color w:val="auto"/>
          <w:szCs w:val="21"/>
          <w:highlight w:val="none"/>
          <w:lang w:val="en-US" w:eastAsia="zh-CN"/>
        </w:rPr>
        <w:t>、《关于进一步加大政府采购支持中小企业力度的通知》财库〔2022〕19号的相关规定</w:t>
      </w:r>
      <w:r>
        <w:rPr>
          <w:rFonts w:hint="eastAsia" w:ascii="宋体" w:hAnsi="宋体" w:eastAsia="宋体" w:cs="宋体"/>
          <w:color w:val="auto"/>
          <w:szCs w:val="21"/>
          <w:highlight w:val="none"/>
          <w:lang w:val="en-US" w:eastAsia="zh-CN"/>
        </w:rPr>
        <w:t>，提供小微企业制造的货物、承建的工程或者承接的服务（不包括使用大型、中型企业商号或者注册商标的货物）参与政府采购活动时对小型和微型企业产品的报价给予10%~20%的扣除（实际价格扣除比例以《第三章  评标标准及方法》中的具体规定为准），用扣除后的价格参加评审。同时，依据该办法第四条第二款规定在货物采购项目中，投标人提供的货物既有中小企业制造货物，也有大型企业制造货物的，不享受中小企业扶持政策。</w:t>
      </w:r>
    </w:p>
    <w:p>
      <w:pPr>
        <w:spacing w:line="360" w:lineRule="auto"/>
        <w:ind w:firstLine="420" w:firstLineChars="20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（2）根据财政部、司法部联合下发的《关于政府采购支持监狱企业发展有关问题的通知》（财库〔2014〕68号）的规定，监狱企业视同小型、微型企业。</w:t>
      </w:r>
    </w:p>
    <w:p>
      <w:pPr>
        <w:spacing w:line="360" w:lineRule="auto"/>
        <w:ind w:firstLine="420" w:firstLineChars="20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3）根据财政部、民政部、中国残疾人联合会下发的《关于促进残疾人就业政府采购政策的通知》（财库〔2017〕141号）的规定，残疾人福利性单位提供本单位制造的货物、承建的工程或者承接的服务（以下简称产品），或者提供其他残疾人福利性单位制造的货物（不包括使用非残疾人福利性单位注册商标的货物）参与政府采购活动时，视同小型、微型企业，享受预留份额、评审中价格扣除等促进中小企业发展的政府采购政策。残疾人福利性单位属于小型、微型企业的，不重复享受政策。</w:t>
      </w:r>
    </w:p>
    <w:p>
      <w:pPr>
        <w:spacing w:line="360" w:lineRule="auto"/>
        <w:ind w:firstLine="420" w:firstLineChars="20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4）参加政府采购活动的中小企业、监狱企业、残疾人福利性单位应根据企业性质分别提供《中小企业声明函》\《监狱企业证明函》\《残疾人福利性单位声明函》。其中，《监狱企业证明函》应由省级以上监狱管理局、戒毒管理局（含新疆生产建设兵团）出具。未提供上述声明函\证明函的，不能享受招标文件规定的价格扣除，但不影响投标文件的有效性。</w:t>
      </w:r>
    </w:p>
    <w:p>
      <w:pPr>
        <w:spacing w:line="360" w:lineRule="auto"/>
        <w:ind w:firstLine="420" w:firstLineChars="20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1.15.2节能、环保产品采购政策</w:t>
      </w:r>
    </w:p>
    <w:p>
      <w:pPr>
        <w:spacing w:line="360" w:lineRule="auto"/>
        <w:ind w:firstLine="420" w:firstLineChars="20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根据财政部、发展改革委、生态环境部、市场监管总局《关于调整优化节能产品、环境标志产品政府采购执行机制的通知》（财库〔2019〕9号）规定“对政府采购节能产品、环境标志产品实施品目清单管理”。采购人拟采购的产品属于品目清单范围的，依据国家确定的认证机构出具的、处于有效期之内的节能产品、环境标志产品认证证书，对获得证书的产品实施政府优先采购或强制采购。</w:t>
      </w:r>
    </w:p>
    <w:p>
      <w:pPr>
        <w:spacing w:line="360" w:lineRule="auto"/>
        <w:ind w:firstLine="420" w:firstLineChars="20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对于已列入品目清单的产品类别，采购人可在采购需求中提出更高的节约资源和保护环境要求，对符合条件的获证产品给予优先待遇。对于未列入品目清单的产品类别，鼓励采购人综合考虑节能、节水、环保、循环、低碳、再生、有机等因素，参考相关国家标准、行业标准或团体标准，在采购需求中提出相关绿色采购要求，促进绿色产品推广应用。</w:t>
      </w:r>
    </w:p>
    <w:p>
      <w:pPr>
        <w:spacing w:line="360" w:lineRule="auto"/>
        <w:ind w:firstLine="420" w:firstLineChars="20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（3）《节能产品政府采购品目清单》见财政部、发展改革委《关于印发节能产品政府采购品目清单的通知》（财库〔2019〕19号）附件。</w:t>
      </w:r>
    </w:p>
    <w:p>
      <w:pPr>
        <w:spacing w:line="360" w:lineRule="auto"/>
        <w:ind w:firstLine="420" w:firstLineChars="20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（4）《环境标志产品政府采购品目清单》见财政部、生态环境部《关于印发环境标志产品政府采购品目清单的通知》（财库〔2019〕18号）附件。</w:t>
      </w:r>
    </w:p>
    <w:p>
      <w:pPr>
        <w:spacing w:line="360" w:lineRule="auto"/>
        <w:ind w:firstLine="420" w:firstLineChars="200"/>
        <w:jc w:val="left"/>
        <w:rPr>
          <w:rFonts w:hint="eastAsia" w:ascii="宋体" w:hAnsi="宋体"/>
          <w:color w:val="auto"/>
          <w:sz w:val="21"/>
          <w:szCs w:val="21"/>
          <w:highlight w:val="none"/>
        </w:rPr>
      </w:pPr>
      <w:r>
        <w:rPr>
          <w:rFonts w:hint="eastAsia" w:ascii="宋体" w:hAnsi="宋体" w:eastAsia="宋体" w:cs="宋体"/>
          <w:color w:val="auto"/>
          <w:szCs w:val="21"/>
          <w:highlight w:val="none"/>
          <w:lang w:val="en-US" w:eastAsia="zh-CN"/>
        </w:rPr>
        <w:t>（5）“国家确定的认证机构”名单见市场监管总局《关于发布参与实施政府采购节能产品、环境标志产品认证机构名录的公告》（2019年第16号）。</w:t>
      </w:r>
    </w:p>
    <w:p>
      <w:pPr>
        <w:spacing w:line="360" w:lineRule="auto"/>
        <w:ind w:firstLine="525" w:firstLineChars="250"/>
        <w:rPr>
          <w:rFonts w:hint="eastAsia" w:ascii="宋体" w:hAnsi="宋体"/>
          <w:color w:val="auto"/>
          <w:sz w:val="21"/>
          <w:szCs w:val="21"/>
          <w:highlight w:val="none"/>
        </w:rPr>
      </w:pPr>
      <w:r>
        <w:rPr>
          <w:rFonts w:hint="eastAsia" w:ascii="宋体" w:hAnsi="宋体"/>
          <w:color w:val="auto"/>
          <w:sz w:val="21"/>
          <w:szCs w:val="21"/>
          <w:highlight w:val="none"/>
        </w:rPr>
        <w:t>1.15.3陕西省中小企业政府采购信用融资办法</w:t>
      </w:r>
    </w:p>
    <w:p>
      <w:pPr>
        <w:spacing w:line="360" w:lineRule="auto"/>
        <w:ind w:firstLine="525" w:firstLineChars="250"/>
        <w:rPr>
          <w:rFonts w:hint="eastAsia" w:ascii="宋体" w:hAnsi="宋体" w:eastAsia="宋体" w:cs="宋体"/>
          <w:color w:val="auto"/>
          <w:szCs w:val="21"/>
          <w:highlight w:val="none"/>
          <w:lang w:val="en-US" w:eastAsia="zh-CN"/>
        </w:rPr>
      </w:pPr>
      <w:r>
        <w:rPr>
          <w:rFonts w:hint="eastAsia" w:ascii="宋体" w:hAnsi="宋体"/>
          <w:color w:val="auto"/>
          <w:sz w:val="21"/>
          <w:szCs w:val="21"/>
          <w:highlight w:val="none"/>
        </w:rPr>
        <w:t>为进</w:t>
      </w:r>
      <w:r>
        <w:rPr>
          <w:rFonts w:hint="eastAsia" w:ascii="宋体" w:hAnsi="宋体" w:eastAsia="宋体" w:cs="宋体"/>
          <w:color w:val="auto"/>
          <w:szCs w:val="21"/>
          <w:highlight w:val="none"/>
          <w:lang w:val="en-US" w:eastAsia="zh-CN"/>
        </w:rPr>
        <w:t>一步贯彻落实国务院和陕西省关于支持中小企业发展的政策措施，发挥政府采购政策导向作用，充分利用信息化技术，通过搭建信息对称、相互对接的平台，有效缓解中小企业融资难、融资贵问题。陕西省财政厅结合陕西省政府采购信息化建设实际，制定了《陕西省中小企业政府采购信用融资办法》（陕财办采〔2018〕23号，简称融资办法）。</w:t>
      </w:r>
    </w:p>
    <w:p>
      <w:pPr>
        <w:spacing w:line="360" w:lineRule="auto"/>
        <w:rPr>
          <w:rFonts w:ascii="宋体" w:hAnsi="宋体"/>
          <w:b/>
          <w:bCs/>
          <w:color w:val="auto"/>
          <w:sz w:val="21"/>
          <w:szCs w:val="21"/>
          <w:highlight w:val="none"/>
        </w:rPr>
      </w:pPr>
      <w:r>
        <w:rPr>
          <w:rFonts w:hint="eastAsia" w:ascii="宋体" w:hAnsi="宋体"/>
          <w:b/>
          <w:bCs/>
          <w:color w:val="auto"/>
          <w:sz w:val="21"/>
          <w:szCs w:val="21"/>
          <w:highlight w:val="none"/>
        </w:rPr>
        <w:t>1.16相同品牌认定</w:t>
      </w:r>
    </w:p>
    <w:p>
      <w:pPr>
        <w:spacing w:line="360" w:lineRule="auto"/>
        <w:ind w:firstLine="420" w:firstLineChars="20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 xml:space="preserve">1.16.1使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根据报价由低到高的方式，如报价相同采取随机抽取方式）确定一个投标人获得中标人推荐资格，招标文件未规定的采取随机抽取方式确定，其他同品牌投标人不作为中标候选人。 </w:t>
      </w:r>
    </w:p>
    <w:p>
      <w:pPr>
        <w:pStyle w:val="4"/>
        <w:bidi w:val="0"/>
        <w:ind w:left="0" w:firstLine="0"/>
        <w:rPr>
          <w:rFonts w:hint="eastAsia" w:ascii="宋体" w:hAnsi="宋体" w:eastAsia="宋体"/>
          <w:color w:val="auto"/>
          <w:sz w:val="22"/>
          <w:szCs w:val="16"/>
          <w:highlight w:val="none"/>
        </w:rPr>
      </w:pPr>
      <w:r>
        <w:rPr>
          <w:rFonts w:hint="eastAsia" w:ascii="宋体" w:hAnsi="宋体" w:eastAsia="宋体"/>
          <w:color w:val="auto"/>
          <w:sz w:val="22"/>
          <w:szCs w:val="16"/>
          <w:highlight w:val="none"/>
        </w:rPr>
        <w:t>二、招标文件</w:t>
      </w:r>
      <w:bookmarkEnd w:id="8"/>
      <w:bookmarkEnd w:id="9"/>
      <w:bookmarkEnd w:id="10"/>
      <w:bookmarkEnd w:id="11"/>
      <w:bookmarkEnd w:id="12"/>
      <w:bookmarkEnd w:id="13"/>
      <w:bookmarkEnd w:id="14"/>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lang w:val="en-US" w:eastAsia="zh-CN"/>
        </w:rPr>
        <w:t>2.1</w:t>
      </w:r>
      <w:r>
        <w:rPr>
          <w:rFonts w:hint="eastAsia" w:ascii="宋体" w:hAnsi="宋体" w:cs="宋体"/>
          <w:color w:val="auto"/>
          <w:szCs w:val="21"/>
          <w:highlight w:val="none"/>
        </w:rPr>
        <w:t>招标文件的构成</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lang w:val="en-US" w:eastAsia="zh-CN"/>
        </w:rPr>
        <w:t>2.1.1</w:t>
      </w:r>
      <w:r>
        <w:rPr>
          <w:rFonts w:hint="eastAsia" w:ascii="宋体" w:hAnsi="宋体" w:cs="宋体"/>
          <w:color w:val="auto"/>
          <w:szCs w:val="21"/>
          <w:highlight w:val="none"/>
        </w:rPr>
        <w:t>招标文件包括下列内容：</w:t>
      </w:r>
    </w:p>
    <w:p>
      <w:pPr>
        <w:spacing w:line="360" w:lineRule="auto"/>
        <w:ind w:firstLine="420" w:firstLineChars="20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第一章  招标公告</w:t>
      </w:r>
    </w:p>
    <w:p>
      <w:pPr>
        <w:spacing w:line="360" w:lineRule="auto"/>
        <w:ind w:firstLine="420" w:firstLineChars="20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第二章  投标人须知</w:t>
      </w:r>
    </w:p>
    <w:p>
      <w:pPr>
        <w:spacing w:line="360" w:lineRule="auto"/>
        <w:ind w:firstLine="420" w:firstLineChars="20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第三章  评标标准及方法</w:t>
      </w:r>
    </w:p>
    <w:p>
      <w:pPr>
        <w:spacing w:line="360" w:lineRule="auto"/>
        <w:ind w:firstLine="420" w:firstLineChars="20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第四章  采购内容及要求</w:t>
      </w:r>
    </w:p>
    <w:p>
      <w:pPr>
        <w:spacing w:line="360" w:lineRule="auto"/>
        <w:ind w:firstLine="420" w:firstLineChars="20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第五章  合同条款</w:t>
      </w:r>
    </w:p>
    <w:p>
      <w:pPr>
        <w:spacing w:line="360" w:lineRule="auto"/>
        <w:ind w:firstLine="420" w:firstLineChars="20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第六章  投标文件格式</w:t>
      </w:r>
    </w:p>
    <w:p>
      <w:pPr>
        <w:spacing w:line="360" w:lineRule="auto"/>
        <w:ind w:firstLine="420" w:firstLineChars="200"/>
        <w:jc w:val="left"/>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第七章  质疑和投诉</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2.1.2</w:t>
      </w:r>
      <w:r>
        <w:rPr>
          <w:rFonts w:hint="eastAsia" w:ascii="宋体" w:hAnsi="宋体" w:cs="宋体"/>
          <w:color w:val="auto"/>
          <w:szCs w:val="21"/>
          <w:highlight w:val="none"/>
          <w:lang w:eastAsia="zh-CN"/>
        </w:rPr>
        <w:t>采购代理机构</w:t>
      </w:r>
      <w:r>
        <w:rPr>
          <w:rFonts w:hint="eastAsia" w:ascii="宋体" w:hAnsi="宋体" w:cs="宋体"/>
          <w:color w:val="auto"/>
          <w:szCs w:val="21"/>
          <w:highlight w:val="none"/>
        </w:rPr>
        <w:t>以书面形式发给投标人的解释、修改、补充通知等也是本招标文件的正式组成部分。</w:t>
      </w:r>
    </w:p>
    <w:p>
      <w:pPr>
        <w:spacing w:line="360" w:lineRule="auto"/>
        <w:ind w:firstLine="420" w:firstLineChars="200"/>
        <w:jc w:val="left"/>
        <w:rPr>
          <w:rFonts w:hint="eastAsia" w:ascii="宋体" w:hAnsi="宋体" w:cs="宋体"/>
          <w:color w:val="auto"/>
          <w:szCs w:val="21"/>
          <w:highlight w:val="none"/>
        </w:rPr>
      </w:pPr>
      <w:bookmarkStart w:id="27" w:name="_Toc48301700"/>
      <w:bookmarkStart w:id="28" w:name="_Toc52064292"/>
      <w:bookmarkStart w:id="29" w:name="_Toc52064835"/>
      <w:r>
        <w:rPr>
          <w:rFonts w:hint="eastAsia" w:ascii="宋体" w:hAnsi="宋体" w:cs="宋体"/>
          <w:color w:val="auto"/>
          <w:szCs w:val="21"/>
          <w:highlight w:val="none"/>
        </w:rPr>
        <w:t>2.2招标文件澄清或者修改</w:t>
      </w:r>
      <w:bookmarkEnd w:id="27"/>
      <w:bookmarkEnd w:id="28"/>
      <w:bookmarkEnd w:id="29"/>
    </w:p>
    <w:p>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2.2.1采购代理机构可以对已发出的招标文件进行必要澄清和修改，但不得改变采购标的和资格条件。澄清或者修改应当在原公告发布媒体上发布澄清公告。澄清或修改的内容为招标文件组成部分。</w:t>
      </w:r>
    </w:p>
    <w:p>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2.2.2澄清或者修改的内容可能影响投标文件编制的，采购代理机构应当在投标截止时间至少15日前，以书面形式或者电子邮件通知所有获取招标文件的潜在投标人；不足15日的，采购代理机构应当顺延提交投标文件的截止时间。</w:t>
      </w:r>
    </w:p>
    <w:p>
      <w:pPr>
        <w:spacing w:line="360" w:lineRule="auto"/>
        <w:ind w:firstLine="420" w:firstLineChars="20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2.2.3获取招标文件的潜在投标人在投标截止时间15日前收到的澄清或者修改，要求潜在投标人以书面或电子邮件形式回复和盖章确认，方式为原件送达采购代理机构或者盖章后的PDF格式文档通过电子邮件回复至代理机构规定的邮箱地址。招标文件澄清或者修改的书面或电子邮件通知与潜在投标人预留的联系方式无法联系或发送，或者潜在投标人对已发出的招标文件澄清或者修改的书面或电子邮件通知未以书面或电子邮件形式按照要求回复和确认的，采购代理机构视同潜在投标人对招标文件澄清或者修改的书面或电子邮件通知已经认可。</w:t>
      </w:r>
    </w:p>
    <w:p>
      <w:pPr>
        <w:spacing w:line="360" w:lineRule="auto"/>
        <w:ind w:firstLine="420" w:firstLineChars="200"/>
        <w:jc w:val="left"/>
        <w:rPr>
          <w:rFonts w:hint="eastAsia" w:ascii="宋体" w:hAnsi="宋体" w:eastAsia="宋体" w:cs="宋体"/>
          <w:color w:val="auto"/>
          <w:szCs w:val="21"/>
          <w:highlight w:val="none"/>
          <w:lang w:val="en-US" w:eastAsia="zh-CN"/>
        </w:rPr>
      </w:pPr>
      <w:bookmarkStart w:id="30" w:name="_Toc52064836"/>
      <w:bookmarkStart w:id="31" w:name="_Toc52064293"/>
      <w:r>
        <w:rPr>
          <w:rFonts w:hint="eastAsia" w:ascii="宋体" w:hAnsi="宋体" w:eastAsia="宋体" w:cs="宋体"/>
          <w:color w:val="auto"/>
          <w:szCs w:val="21"/>
          <w:highlight w:val="none"/>
          <w:lang w:val="en-US" w:eastAsia="zh-CN"/>
        </w:rPr>
        <w:t>2.3对采购代理机构书面通知的回复和确认</w:t>
      </w:r>
      <w:bookmarkEnd w:id="30"/>
      <w:bookmarkEnd w:id="31"/>
    </w:p>
    <w:p>
      <w:pPr>
        <w:spacing w:line="360" w:lineRule="auto"/>
        <w:ind w:firstLine="420" w:firstLineChars="20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在本项目采购活动中，采购代理机构按照有关法规和规定对获取招标文件的潜在投标人发出的书面或者电子邮件通知要求回复和盖章并签字确认的，潜在投标人应当在规定时间内以书面或电子邮件形式回复和盖章并签字确认，方式为原件送达采购代理机构或者盖章并签字后的PDF格式文档通过电子邮件回复至采购代理机构规定的邮箱地址。书面或电子邮件/电话通知与潜在投标人预留的联系方式无法联系或发送，或者潜在投标人对已发出的书面通知未以书面形式按照要求回复和确认的，采购代理机构视同潜在投标人对采购代理机构书面或电子邮件通知已经认可。</w:t>
      </w:r>
    </w:p>
    <w:p>
      <w:pPr>
        <w:pStyle w:val="4"/>
        <w:bidi w:val="0"/>
        <w:ind w:left="0" w:firstLine="0"/>
        <w:rPr>
          <w:rFonts w:hint="eastAsia" w:ascii="宋体" w:hAnsi="宋体" w:eastAsia="宋体"/>
          <w:color w:val="auto"/>
          <w:sz w:val="22"/>
          <w:szCs w:val="16"/>
          <w:highlight w:val="none"/>
        </w:rPr>
      </w:pPr>
      <w:bookmarkStart w:id="32" w:name="_Toc235544704"/>
      <w:bookmarkStart w:id="33" w:name="_Toc238899379"/>
      <w:bookmarkStart w:id="34" w:name="_Toc67552689"/>
      <w:bookmarkStart w:id="35" w:name="_Toc269407613"/>
      <w:bookmarkStart w:id="36" w:name="_Toc14169"/>
      <w:bookmarkStart w:id="37" w:name="_Toc54404816"/>
      <w:bookmarkStart w:id="38" w:name="_Toc250572265"/>
      <w:r>
        <w:rPr>
          <w:rFonts w:hint="eastAsia" w:ascii="宋体" w:hAnsi="宋体" w:eastAsia="宋体"/>
          <w:color w:val="auto"/>
          <w:sz w:val="22"/>
          <w:szCs w:val="16"/>
          <w:highlight w:val="none"/>
        </w:rPr>
        <w:t>三、投标文件</w:t>
      </w:r>
      <w:bookmarkEnd w:id="32"/>
      <w:bookmarkEnd w:id="33"/>
      <w:bookmarkEnd w:id="34"/>
      <w:bookmarkEnd w:id="35"/>
      <w:bookmarkEnd w:id="36"/>
      <w:bookmarkEnd w:id="37"/>
      <w:bookmarkEnd w:id="38"/>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lang w:val="en-US" w:eastAsia="zh-CN"/>
        </w:rPr>
        <w:t>3.1</w:t>
      </w:r>
      <w:r>
        <w:rPr>
          <w:rFonts w:hint="eastAsia" w:ascii="宋体" w:hAnsi="宋体" w:cs="宋体"/>
          <w:color w:val="auto"/>
          <w:szCs w:val="21"/>
          <w:highlight w:val="none"/>
        </w:rPr>
        <w:t>投标要求</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lang w:val="en-US" w:eastAsia="zh-CN"/>
        </w:rPr>
        <w:t>3.1</w:t>
      </w:r>
      <w:r>
        <w:rPr>
          <w:rFonts w:hint="eastAsia" w:ascii="宋体" w:hAnsi="宋体" w:cs="宋体"/>
          <w:color w:val="auto"/>
          <w:szCs w:val="21"/>
          <w:highlight w:val="none"/>
        </w:rPr>
        <w:t>.1 投标人获取招标文件后，应仔细检查招标文件的所有内容，如有残缺、印刷不清等问题应</w:t>
      </w:r>
      <w:r>
        <w:rPr>
          <w:rFonts w:hint="eastAsia" w:ascii="宋体" w:hAnsi="宋体" w:cs="宋体"/>
          <w:color w:val="auto"/>
          <w:szCs w:val="21"/>
          <w:highlight w:val="none"/>
          <w:lang w:val="en-US" w:eastAsia="zh-CN"/>
        </w:rPr>
        <w:t>及时</w:t>
      </w:r>
      <w:r>
        <w:rPr>
          <w:rFonts w:hint="eastAsia" w:ascii="宋体" w:hAnsi="宋体" w:cs="宋体"/>
          <w:color w:val="auto"/>
          <w:szCs w:val="21"/>
          <w:highlight w:val="none"/>
        </w:rPr>
        <w:t>向</w:t>
      </w:r>
      <w:r>
        <w:rPr>
          <w:rFonts w:hint="eastAsia" w:ascii="宋体" w:hAnsi="宋体" w:cs="宋体"/>
          <w:color w:val="auto"/>
          <w:szCs w:val="21"/>
          <w:highlight w:val="none"/>
          <w:lang w:eastAsia="zh-CN"/>
        </w:rPr>
        <w:t>采购代理机构</w:t>
      </w:r>
      <w:r>
        <w:rPr>
          <w:rFonts w:hint="eastAsia" w:ascii="宋体" w:hAnsi="宋体" w:cs="宋体"/>
          <w:color w:val="auto"/>
          <w:szCs w:val="21"/>
          <w:highlight w:val="none"/>
        </w:rPr>
        <w:t>提出，否则，由此引起的损失由投标人自行承担。投标人同时应认真阅读招标文件中的所有内容、格式、条款和规范要求，按招标文件的要求编写和提交投标文件，并保证所提供的全部资料的真实性。若投标人的投标文件没有按招标文件要求提交，或投标文件没有对招标文件作出实质性的响应等，根据相关条款规定其投标可能被拒绝。</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lang w:val="en-US" w:eastAsia="zh-CN"/>
        </w:rPr>
        <w:t>3.2</w:t>
      </w:r>
      <w:r>
        <w:rPr>
          <w:rFonts w:hint="eastAsia" w:ascii="宋体" w:hAnsi="宋体" w:cs="宋体"/>
          <w:color w:val="auto"/>
          <w:szCs w:val="21"/>
          <w:highlight w:val="none"/>
        </w:rPr>
        <w:t>投标文件的组成</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投标文件由以下内容、并按顺序以及提供的格式（如有）组成：</w:t>
      </w:r>
    </w:p>
    <w:p>
      <w:pPr>
        <w:spacing w:line="360" w:lineRule="auto"/>
        <w:ind w:firstLine="420" w:firstLineChars="200"/>
        <w:jc w:val="left"/>
        <w:rPr>
          <w:rFonts w:ascii="宋体" w:hAnsi="宋体" w:cs="宋体"/>
          <w:bCs/>
          <w:color w:val="auto"/>
          <w:szCs w:val="21"/>
          <w:highlight w:val="none"/>
        </w:rPr>
      </w:pPr>
      <w:r>
        <w:rPr>
          <w:rFonts w:hint="eastAsia" w:ascii="宋体" w:hAnsi="宋体" w:cs="宋体"/>
          <w:bCs/>
          <w:color w:val="auto"/>
          <w:szCs w:val="21"/>
          <w:highlight w:val="none"/>
        </w:rPr>
        <w:t>一  投标函</w:t>
      </w:r>
    </w:p>
    <w:p>
      <w:pPr>
        <w:spacing w:line="360" w:lineRule="auto"/>
        <w:ind w:firstLine="420" w:firstLineChars="200"/>
        <w:jc w:val="left"/>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rPr>
        <w:t xml:space="preserve">二  </w:t>
      </w:r>
      <w:r>
        <w:rPr>
          <w:rFonts w:hint="eastAsia" w:ascii="宋体" w:hAnsi="宋体" w:cs="宋体"/>
          <w:color w:val="auto"/>
          <w:szCs w:val="21"/>
          <w:highlight w:val="none"/>
          <w:lang w:val="en-US" w:eastAsia="zh-CN"/>
        </w:rPr>
        <w:t>开标一览表</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三  投标人资格</w:t>
      </w:r>
    </w:p>
    <w:p>
      <w:pPr>
        <w:spacing w:line="360" w:lineRule="auto"/>
        <w:ind w:firstLine="420" w:firstLineChars="200"/>
        <w:jc w:val="left"/>
        <w:rPr>
          <w:rFonts w:hint="eastAsia" w:ascii="宋体" w:hAnsi="宋体" w:eastAsia="宋体" w:cs="宋体"/>
          <w:bCs/>
          <w:color w:val="auto"/>
          <w:szCs w:val="21"/>
          <w:highlight w:val="none"/>
          <w:lang w:eastAsia="zh-CN"/>
        </w:rPr>
      </w:pPr>
      <w:r>
        <w:rPr>
          <w:rFonts w:hint="eastAsia" w:ascii="宋体" w:hAnsi="宋体" w:cs="宋体"/>
          <w:bCs/>
          <w:color w:val="auto"/>
          <w:szCs w:val="21"/>
          <w:highlight w:val="none"/>
        </w:rPr>
        <w:t xml:space="preserve">四  </w:t>
      </w:r>
      <w:r>
        <w:rPr>
          <w:rFonts w:hint="eastAsia" w:ascii="宋体" w:hAnsi="宋体" w:cs="宋体"/>
          <w:bCs/>
          <w:color w:val="auto"/>
          <w:szCs w:val="21"/>
          <w:highlight w:val="none"/>
          <w:lang w:val="en-US" w:eastAsia="zh-CN"/>
        </w:rPr>
        <w:t>技术方案</w:t>
      </w:r>
    </w:p>
    <w:p>
      <w:pPr>
        <w:spacing w:line="360" w:lineRule="auto"/>
        <w:ind w:firstLine="420" w:firstLineChars="200"/>
        <w:jc w:val="left"/>
        <w:rPr>
          <w:rFonts w:hint="eastAsia" w:ascii="宋体" w:hAnsi="宋体" w:eastAsia="宋体" w:cs="宋体"/>
          <w:bCs/>
          <w:color w:val="auto"/>
          <w:szCs w:val="21"/>
          <w:highlight w:val="none"/>
          <w:lang w:val="en-US" w:eastAsia="zh-CN"/>
        </w:rPr>
      </w:pPr>
      <w:r>
        <w:rPr>
          <w:rFonts w:hint="eastAsia" w:ascii="宋体" w:hAnsi="宋体" w:cs="宋体"/>
          <w:bCs/>
          <w:color w:val="auto"/>
          <w:szCs w:val="21"/>
          <w:highlight w:val="none"/>
          <w:lang w:val="en-US" w:eastAsia="zh-CN"/>
        </w:rPr>
        <w:t>五</w:t>
      </w:r>
      <w:r>
        <w:rPr>
          <w:rFonts w:hint="eastAsia" w:ascii="宋体" w:hAnsi="宋体" w:cs="宋体"/>
          <w:bCs/>
          <w:color w:val="auto"/>
          <w:szCs w:val="21"/>
          <w:highlight w:val="none"/>
        </w:rPr>
        <w:t xml:space="preserve">  商务</w:t>
      </w:r>
      <w:r>
        <w:rPr>
          <w:rFonts w:hint="eastAsia" w:ascii="宋体" w:hAnsi="宋体" w:cs="宋体"/>
          <w:bCs/>
          <w:color w:val="auto"/>
          <w:szCs w:val="21"/>
          <w:highlight w:val="none"/>
          <w:lang w:val="en-US" w:eastAsia="zh-CN"/>
        </w:rPr>
        <w:t>响应</w:t>
      </w:r>
    </w:p>
    <w:p>
      <w:pPr>
        <w:spacing w:line="360" w:lineRule="auto"/>
        <w:ind w:firstLine="420" w:firstLineChars="200"/>
        <w:jc w:val="left"/>
        <w:rPr>
          <w:rFonts w:hint="eastAsia" w:ascii="宋体" w:hAnsi="宋体" w:cs="宋体"/>
          <w:bCs/>
          <w:color w:val="auto"/>
          <w:szCs w:val="21"/>
          <w:highlight w:val="none"/>
        </w:rPr>
      </w:pPr>
      <w:r>
        <w:rPr>
          <w:rFonts w:hint="eastAsia" w:ascii="宋体" w:hAnsi="宋体" w:cs="宋体"/>
          <w:bCs/>
          <w:color w:val="auto"/>
          <w:szCs w:val="21"/>
          <w:highlight w:val="none"/>
          <w:lang w:val="en-US" w:eastAsia="zh-CN"/>
        </w:rPr>
        <w:t>六</w:t>
      </w:r>
      <w:r>
        <w:rPr>
          <w:rFonts w:hint="eastAsia" w:ascii="宋体" w:hAnsi="宋体" w:cs="宋体"/>
          <w:bCs/>
          <w:color w:val="auto"/>
          <w:szCs w:val="21"/>
          <w:highlight w:val="none"/>
        </w:rPr>
        <w:t xml:space="preserve">  </w:t>
      </w:r>
      <w:r>
        <w:rPr>
          <w:rFonts w:hint="eastAsia" w:ascii="宋体" w:hAnsi="宋体" w:cs="宋体"/>
          <w:bCs/>
          <w:color w:val="auto"/>
          <w:szCs w:val="21"/>
          <w:highlight w:val="none"/>
          <w:lang w:val="zh-CN" w:eastAsia="zh-CN"/>
        </w:rPr>
        <w:t>提供政府采购政策等证明材料</w:t>
      </w:r>
    </w:p>
    <w:p>
      <w:pPr>
        <w:bidi w:val="0"/>
        <w:rPr>
          <w:rFonts w:hint="default" w:eastAsia="宋体"/>
          <w:color w:val="auto"/>
          <w:highlight w:val="none"/>
          <w:lang w:val="en-US" w:eastAsia="zh-CN"/>
        </w:rPr>
      </w:pPr>
      <w:r>
        <w:rPr>
          <w:rFonts w:hint="eastAsia"/>
          <w:color w:val="auto"/>
          <w:highlight w:val="none"/>
          <w:lang w:val="en-US" w:eastAsia="zh-CN"/>
        </w:rPr>
        <w:t xml:space="preserve">    七  投标人认为需要提供的其他资料</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lang w:val="en-US" w:eastAsia="zh-CN"/>
        </w:rPr>
        <w:t>3.3</w:t>
      </w:r>
      <w:r>
        <w:rPr>
          <w:rFonts w:hint="eastAsia" w:ascii="宋体" w:hAnsi="宋体" w:cs="宋体"/>
          <w:color w:val="auto"/>
          <w:szCs w:val="21"/>
          <w:highlight w:val="none"/>
        </w:rPr>
        <w:t>投标文件格式</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lang w:val="en-US" w:eastAsia="zh-CN"/>
        </w:rPr>
        <w:t>3.3</w:t>
      </w:r>
      <w:r>
        <w:rPr>
          <w:rFonts w:hint="eastAsia" w:ascii="宋体" w:hAnsi="宋体" w:cs="宋体"/>
          <w:color w:val="auto"/>
          <w:szCs w:val="21"/>
          <w:highlight w:val="none"/>
        </w:rPr>
        <w:t>.1 投标人提供的投标文件应设置目录且逐页标注页码。</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lang w:val="en-US" w:eastAsia="zh-CN"/>
        </w:rPr>
        <w:t>3.3</w:t>
      </w:r>
      <w:r>
        <w:rPr>
          <w:rFonts w:hint="eastAsia" w:ascii="宋体" w:hAnsi="宋体" w:cs="宋体"/>
          <w:color w:val="auto"/>
          <w:szCs w:val="21"/>
          <w:highlight w:val="none"/>
        </w:rPr>
        <w:t>.2 投标人应严格按招标文件中提供的投标文件格式填写投标函、技术要求响应表、投标报价清单等。</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lang w:val="en-US" w:eastAsia="zh-CN"/>
        </w:rPr>
        <w:t>3.4</w:t>
      </w:r>
      <w:r>
        <w:rPr>
          <w:rFonts w:hint="eastAsia" w:ascii="宋体" w:hAnsi="宋体" w:cs="宋体"/>
          <w:color w:val="auto"/>
          <w:szCs w:val="21"/>
          <w:highlight w:val="none"/>
        </w:rPr>
        <w:t xml:space="preserve"> 投标报价</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lang w:val="en-US" w:eastAsia="zh-CN"/>
        </w:rPr>
        <w:t>3.4</w:t>
      </w:r>
      <w:r>
        <w:rPr>
          <w:rFonts w:hint="eastAsia" w:ascii="宋体" w:hAnsi="宋体" w:cs="宋体"/>
          <w:color w:val="auto"/>
          <w:szCs w:val="21"/>
          <w:highlight w:val="none"/>
        </w:rPr>
        <w:t>.1投标报价不得超过本项目</w:t>
      </w:r>
      <w:r>
        <w:rPr>
          <w:rFonts w:hint="eastAsia" w:ascii="宋体" w:hAnsi="宋体" w:cs="宋体"/>
          <w:color w:val="auto"/>
          <w:szCs w:val="21"/>
          <w:highlight w:val="none"/>
          <w:lang w:eastAsia="zh-CN"/>
        </w:rPr>
        <w:t>最高限价</w:t>
      </w:r>
      <w:r>
        <w:rPr>
          <w:rFonts w:hint="eastAsia" w:ascii="宋体" w:hAnsi="宋体" w:cs="宋体"/>
          <w:color w:val="auto"/>
          <w:szCs w:val="21"/>
          <w:highlight w:val="none"/>
        </w:rPr>
        <w:t>，否则按废标处理。</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lang w:val="en-US" w:eastAsia="zh-CN"/>
        </w:rPr>
        <w:t>3.4</w:t>
      </w:r>
      <w:r>
        <w:rPr>
          <w:rFonts w:hint="eastAsia" w:ascii="宋体" w:hAnsi="宋体" w:cs="宋体"/>
          <w:color w:val="auto"/>
          <w:szCs w:val="21"/>
          <w:highlight w:val="none"/>
        </w:rPr>
        <w:t>.2投标人应列出详细的清单及报价，并对此项目所列的所有货物及伴随服务进行报价。</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lang w:val="en-US" w:eastAsia="zh-CN"/>
        </w:rPr>
        <w:t>3.4</w:t>
      </w:r>
      <w:r>
        <w:rPr>
          <w:rFonts w:hint="eastAsia" w:ascii="宋体" w:hAnsi="宋体" w:cs="宋体"/>
          <w:color w:val="auto"/>
          <w:szCs w:val="21"/>
          <w:highlight w:val="none"/>
        </w:rPr>
        <w:t>.3 任何有选择的投标报价招标人不接受。</w:t>
      </w:r>
    </w:p>
    <w:p>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lang w:val="en-US" w:eastAsia="zh-CN"/>
        </w:rPr>
        <w:t>3.4</w:t>
      </w:r>
      <w:r>
        <w:rPr>
          <w:rFonts w:hint="eastAsia" w:ascii="宋体" w:hAnsi="宋体" w:cs="宋体"/>
          <w:color w:val="auto"/>
          <w:szCs w:val="21"/>
          <w:highlight w:val="none"/>
        </w:rPr>
        <w:t>.4 投标报价为完成本项目所发生的一切费用,包括但不限于设备的设计、制造、包装、仓储、运输、装卸、保管、保险费、安装费、调试费、验收合格之前及售后保修期间更换备品备件发生的费用、税金、调试配合及技术资料、技术服务等所有费用，如有遗漏，视为已包含在内。</w:t>
      </w:r>
    </w:p>
    <w:p>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投标人应充分考虑各种费用、市场风险、责任、合同主要条款和付款条件等。投标报价不受市场价格变化的影响，一次包死。</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lang w:val="en-US" w:eastAsia="zh-CN"/>
        </w:rPr>
        <w:t>3.5</w:t>
      </w:r>
      <w:r>
        <w:rPr>
          <w:rFonts w:hint="eastAsia" w:ascii="宋体" w:hAnsi="宋体" w:cs="宋体"/>
          <w:color w:val="auto"/>
          <w:szCs w:val="21"/>
          <w:highlight w:val="none"/>
        </w:rPr>
        <w:t>投标货物符合招标文件规定的技术规格参数及其他要求。</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lang w:val="en-US" w:eastAsia="zh-CN"/>
        </w:rPr>
        <w:t>3.5</w:t>
      </w:r>
      <w:r>
        <w:rPr>
          <w:rFonts w:hint="eastAsia" w:ascii="宋体" w:hAnsi="宋体" w:cs="宋体"/>
          <w:color w:val="auto"/>
          <w:szCs w:val="21"/>
          <w:highlight w:val="none"/>
        </w:rPr>
        <w:t>.1投标人应对招标文件中的各项条款做出清晰准确的答复。</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lang w:val="en-US" w:eastAsia="zh-CN"/>
        </w:rPr>
        <w:t>3.5</w:t>
      </w:r>
      <w:r>
        <w:rPr>
          <w:rFonts w:hint="eastAsia" w:ascii="宋体" w:hAnsi="宋体" w:cs="宋体"/>
          <w:color w:val="auto"/>
          <w:szCs w:val="21"/>
          <w:highlight w:val="none"/>
        </w:rPr>
        <w:t>.2 上述文件可以是文字资料、图纸和数据，并须提供货物主要性能的详细描述。</w:t>
      </w:r>
    </w:p>
    <w:p>
      <w:pPr>
        <w:spacing w:line="360" w:lineRule="auto"/>
        <w:ind w:firstLine="420" w:firstLineChars="20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3.6投标保证金</w:t>
      </w:r>
    </w:p>
    <w:p>
      <w:pPr>
        <w:spacing w:line="360" w:lineRule="auto"/>
        <w:ind w:firstLine="420" w:firstLineChars="200"/>
        <w:jc w:val="left"/>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本项目不收取投标保证金。</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lang w:val="en-US" w:eastAsia="zh-CN"/>
        </w:rPr>
        <w:t>3.7</w:t>
      </w:r>
      <w:r>
        <w:rPr>
          <w:rFonts w:hint="eastAsia" w:ascii="宋体" w:hAnsi="宋体" w:cs="宋体"/>
          <w:color w:val="auto"/>
          <w:szCs w:val="21"/>
          <w:highlight w:val="none"/>
        </w:rPr>
        <w:t>投标有效期</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lang w:val="en-US" w:eastAsia="zh-CN"/>
        </w:rPr>
        <w:t>3.7</w:t>
      </w:r>
      <w:r>
        <w:rPr>
          <w:rFonts w:hint="eastAsia" w:ascii="宋体" w:hAnsi="宋体" w:cs="宋体"/>
          <w:color w:val="auto"/>
          <w:szCs w:val="21"/>
          <w:highlight w:val="none"/>
        </w:rPr>
        <w:t>.1 投标有效期：见投标人须知前附表。</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lang w:val="en-US" w:eastAsia="zh-CN"/>
        </w:rPr>
        <w:t>3.7</w:t>
      </w:r>
      <w:r>
        <w:rPr>
          <w:rFonts w:hint="eastAsia" w:ascii="宋体" w:hAnsi="宋体" w:cs="宋体"/>
          <w:color w:val="auto"/>
          <w:szCs w:val="21"/>
          <w:highlight w:val="none"/>
        </w:rPr>
        <w:t>.2 特殊情况下，投标人可于投标有效期满之前要求投标人同意延长有效期，要求与答复均以书面形式。投标人可以拒绝上述要求而其投标保证金将予以退还。对于同意该要求的投标人，既不要求也不允许其修改投标文件，但将要求其相应延长投标保证金的有效期，有关退还和不予退还投标保证金的规定在投标有效期的延长期内继续有效。</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lang w:val="en-US" w:eastAsia="zh-CN"/>
        </w:rPr>
        <w:t>3.8</w:t>
      </w:r>
      <w:r>
        <w:rPr>
          <w:rFonts w:hint="eastAsia" w:ascii="宋体" w:hAnsi="宋体" w:cs="宋体"/>
          <w:color w:val="auto"/>
          <w:szCs w:val="21"/>
          <w:highlight w:val="none"/>
        </w:rPr>
        <w:t>投标文件的签署及规定</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lang w:val="en-US" w:eastAsia="zh-CN"/>
        </w:rPr>
        <w:t>3.8</w:t>
      </w:r>
      <w:r>
        <w:rPr>
          <w:rFonts w:hint="eastAsia" w:ascii="宋体" w:hAnsi="宋体" w:cs="宋体"/>
          <w:color w:val="auto"/>
          <w:szCs w:val="21"/>
          <w:highlight w:val="none"/>
        </w:rPr>
        <w:t>.1 投标人须按照招标文件的份数要求提供投标文件，在每一份投标文件上要明确注明“正本”、“副本”字样，正副本内容不致的，以正本为准。</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lang w:val="en-US" w:eastAsia="zh-CN"/>
        </w:rPr>
        <w:t>3.8</w:t>
      </w:r>
      <w:r>
        <w:rPr>
          <w:rFonts w:hint="eastAsia" w:ascii="宋体" w:hAnsi="宋体" w:cs="宋体"/>
          <w:color w:val="auto"/>
          <w:szCs w:val="21"/>
          <w:highlight w:val="none"/>
        </w:rPr>
        <w:t>.2 投标文件正本和副本均应使用不能擦去的墨水打印或书写，并由投标人法定代表人或其正式授权的委托代理人签署，且加盖投标人公章。</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lang w:val="en-US" w:eastAsia="zh-CN"/>
        </w:rPr>
        <w:t>3.8</w:t>
      </w:r>
      <w:r>
        <w:rPr>
          <w:rFonts w:hint="eastAsia" w:ascii="宋体" w:hAnsi="宋体" w:cs="宋体"/>
          <w:color w:val="auto"/>
          <w:szCs w:val="21"/>
          <w:highlight w:val="none"/>
        </w:rPr>
        <w:t>.3 投标人除对错处作必要修改外，投标文件中不许有加行、涂抹或改写。若有修改须由投标文件</w:t>
      </w:r>
      <w:r>
        <w:rPr>
          <w:rFonts w:hint="eastAsia" w:ascii="宋体" w:hAnsi="宋体" w:cs="宋体"/>
          <w:color w:val="auto"/>
          <w:szCs w:val="21"/>
          <w:highlight w:val="none"/>
          <w:lang w:eastAsia="zh-CN"/>
        </w:rPr>
        <w:t>法定代表人（负责人）</w:t>
      </w:r>
      <w:r>
        <w:rPr>
          <w:rFonts w:hint="eastAsia" w:ascii="宋体" w:hAnsi="宋体" w:cs="宋体"/>
          <w:color w:val="auto"/>
          <w:szCs w:val="21"/>
          <w:highlight w:val="none"/>
        </w:rPr>
        <w:t>或其委托代理人签字。</w:t>
      </w:r>
    </w:p>
    <w:p>
      <w:pPr>
        <w:spacing w:line="360" w:lineRule="auto"/>
        <w:ind w:firstLine="420" w:firstLineChars="200"/>
        <w:jc w:val="left"/>
        <w:rPr>
          <w:rFonts w:ascii="宋体" w:hAnsi="宋体" w:cs="宋体"/>
          <w:b/>
          <w:bCs/>
          <w:color w:val="auto"/>
          <w:szCs w:val="21"/>
          <w:highlight w:val="none"/>
        </w:rPr>
      </w:pPr>
      <w:r>
        <w:rPr>
          <w:rFonts w:hint="eastAsia" w:ascii="宋体" w:hAnsi="宋体" w:cs="宋体"/>
          <w:color w:val="auto"/>
          <w:szCs w:val="21"/>
          <w:highlight w:val="none"/>
          <w:lang w:val="en-US" w:eastAsia="zh-CN"/>
        </w:rPr>
        <w:t>3.8</w:t>
      </w:r>
      <w:r>
        <w:rPr>
          <w:rFonts w:hint="eastAsia" w:ascii="宋体" w:hAnsi="宋体" w:cs="宋体"/>
          <w:color w:val="auto"/>
          <w:szCs w:val="21"/>
          <w:highlight w:val="none"/>
        </w:rPr>
        <w:t>.4 以电报、电话、传真、电子邮件等形式投标概不接受。</w:t>
      </w:r>
      <w:bookmarkStart w:id="39" w:name="_Toc250572266"/>
      <w:bookmarkStart w:id="40" w:name="_Toc238899380"/>
      <w:bookmarkStart w:id="41" w:name="_Toc235544705"/>
      <w:bookmarkStart w:id="42" w:name="_Toc269407614"/>
      <w:bookmarkStart w:id="43" w:name="_Toc67552690"/>
      <w:bookmarkStart w:id="44" w:name="_Toc12453"/>
      <w:bookmarkStart w:id="45" w:name="_Toc54404817"/>
    </w:p>
    <w:p>
      <w:pPr>
        <w:pStyle w:val="4"/>
        <w:bidi w:val="0"/>
        <w:ind w:left="0" w:firstLine="0"/>
        <w:rPr>
          <w:rFonts w:hint="eastAsia" w:ascii="宋体" w:hAnsi="宋体" w:eastAsia="宋体"/>
          <w:color w:val="auto"/>
          <w:sz w:val="22"/>
          <w:szCs w:val="16"/>
          <w:highlight w:val="none"/>
        </w:rPr>
      </w:pPr>
      <w:r>
        <w:rPr>
          <w:rFonts w:hint="eastAsia" w:ascii="宋体" w:hAnsi="宋体" w:eastAsia="宋体"/>
          <w:color w:val="auto"/>
          <w:sz w:val="22"/>
          <w:szCs w:val="16"/>
          <w:highlight w:val="none"/>
        </w:rPr>
        <w:t>四、投标文件的递交</w:t>
      </w:r>
      <w:bookmarkEnd w:id="39"/>
      <w:bookmarkEnd w:id="40"/>
      <w:bookmarkEnd w:id="41"/>
      <w:bookmarkEnd w:id="42"/>
      <w:bookmarkEnd w:id="43"/>
      <w:bookmarkEnd w:id="44"/>
      <w:bookmarkEnd w:id="45"/>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lang w:val="en-US" w:eastAsia="zh-CN"/>
        </w:rPr>
        <w:t>4.1</w:t>
      </w:r>
      <w:r>
        <w:rPr>
          <w:rFonts w:hint="eastAsia" w:ascii="宋体" w:hAnsi="宋体" w:cs="宋体"/>
          <w:color w:val="auto"/>
          <w:szCs w:val="21"/>
          <w:highlight w:val="none"/>
        </w:rPr>
        <w:t>投标文件的密封、标记</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lang w:val="en-US" w:eastAsia="zh-CN"/>
        </w:rPr>
        <w:t>4.1</w:t>
      </w:r>
      <w:r>
        <w:rPr>
          <w:rFonts w:hint="eastAsia" w:ascii="宋体" w:hAnsi="宋体" w:cs="宋体"/>
          <w:color w:val="auto"/>
          <w:szCs w:val="21"/>
          <w:highlight w:val="none"/>
        </w:rPr>
        <w:t>.1 投标人应将正、副本分别</w:t>
      </w:r>
      <w:r>
        <w:rPr>
          <w:rFonts w:hint="eastAsia" w:ascii="宋体" w:hAnsi="宋体" w:cs="宋体"/>
          <w:color w:val="auto"/>
          <w:szCs w:val="21"/>
          <w:highlight w:val="none"/>
          <w:lang w:val="en-US" w:eastAsia="zh-CN"/>
        </w:rPr>
        <w:t>胶装成册</w:t>
      </w:r>
      <w:r>
        <w:rPr>
          <w:rFonts w:hint="eastAsia" w:ascii="宋体" w:hAnsi="宋体" w:cs="宋体"/>
          <w:color w:val="auto"/>
          <w:szCs w:val="21"/>
          <w:highlight w:val="none"/>
        </w:rPr>
        <w:t>，密封包装，密封袋上标明的内容见投标人须知前附表，并在密封袋封口处加盖投标人公章。</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lang w:val="en-US" w:eastAsia="zh-CN"/>
        </w:rPr>
        <w:t>4.1</w:t>
      </w:r>
      <w:r>
        <w:rPr>
          <w:rFonts w:hint="eastAsia" w:ascii="宋体" w:hAnsi="宋体" w:cs="宋体"/>
          <w:color w:val="auto"/>
          <w:szCs w:val="21"/>
          <w:highlight w:val="none"/>
        </w:rPr>
        <w:t>.2 如果未按上述规定进行密封和标记，招标人可以拒收或者告知投标人，招标人将不承担投标文件错放、提前开封、泄露商业机密等任何责任。对于提前开封的投标文件将视为投标无效。</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lang w:val="en-US" w:eastAsia="zh-CN"/>
        </w:rPr>
        <w:t>4.2</w:t>
      </w:r>
      <w:r>
        <w:rPr>
          <w:rFonts w:hint="eastAsia" w:ascii="宋体" w:hAnsi="宋体" w:cs="宋体"/>
          <w:color w:val="auto"/>
          <w:szCs w:val="21"/>
          <w:highlight w:val="none"/>
        </w:rPr>
        <w:t>递交投标文件的截止时间</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lang w:val="en-US" w:eastAsia="zh-CN"/>
        </w:rPr>
        <w:t>4.2</w:t>
      </w:r>
      <w:r>
        <w:rPr>
          <w:rFonts w:hint="eastAsia" w:ascii="宋体" w:hAnsi="宋体" w:cs="宋体"/>
          <w:color w:val="auto"/>
          <w:szCs w:val="21"/>
          <w:highlight w:val="none"/>
        </w:rPr>
        <w:t>.1 投标文件由专人提交，投标人应将投标文件按投标人须知的规定进行密封和标记，按投标人须知前附表要求的时间、地点送交</w:t>
      </w:r>
      <w:r>
        <w:rPr>
          <w:rFonts w:hint="eastAsia" w:ascii="宋体" w:hAnsi="宋体" w:cs="宋体"/>
          <w:color w:val="auto"/>
          <w:szCs w:val="21"/>
          <w:highlight w:val="none"/>
          <w:lang w:eastAsia="zh-CN"/>
        </w:rPr>
        <w:t>采购代理机构</w:t>
      </w:r>
      <w:r>
        <w:rPr>
          <w:rFonts w:hint="eastAsia" w:ascii="宋体" w:hAnsi="宋体" w:cs="宋体"/>
          <w:color w:val="auto"/>
          <w:szCs w:val="21"/>
          <w:highlight w:val="none"/>
        </w:rPr>
        <w:t>，超过规定时限送交的投标文件，招标人将不予接收。</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lang w:val="en-US" w:eastAsia="zh-CN"/>
        </w:rPr>
        <w:t>4.2</w:t>
      </w:r>
      <w:r>
        <w:rPr>
          <w:rFonts w:hint="eastAsia" w:ascii="宋体" w:hAnsi="宋体" w:cs="宋体"/>
          <w:color w:val="auto"/>
          <w:szCs w:val="21"/>
          <w:highlight w:val="none"/>
        </w:rPr>
        <w:t>.2 招标人可以以修改补充通知的方式，延长提交投标文件的截止时间。在此情况下，投标人的所有权利和义务以及投标人受制约的截止时间，均以延长后新的投标截止时间为准。</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lang w:val="en-US" w:eastAsia="zh-CN"/>
        </w:rPr>
        <w:t>4.3</w:t>
      </w:r>
      <w:r>
        <w:rPr>
          <w:rFonts w:hint="eastAsia" w:ascii="宋体" w:hAnsi="宋体" w:cs="宋体"/>
          <w:color w:val="auto"/>
          <w:szCs w:val="21"/>
          <w:highlight w:val="none"/>
        </w:rPr>
        <w:t>投标文件有下列情形之一的，招标人不予受理：</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（一）逾期送达的或者未送达指定地点的；</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（二）未按招标文件要求密封的。</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lang w:val="en-US" w:eastAsia="zh-CN"/>
        </w:rPr>
        <w:t>4.4</w:t>
      </w:r>
      <w:r>
        <w:rPr>
          <w:rFonts w:hint="eastAsia" w:ascii="宋体" w:hAnsi="宋体" w:cs="宋体"/>
          <w:color w:val="auto"/>
          <w:szCs w:val="21"/>
          <w:highlight w:val="none"/>
        </w:rPr>
        <w:t>投标文件的修改和撤销</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lang w:val="en-US" w:eastAsia="zh-CN"/>
        </w:rPr>
        <w:t>4.4</w:t>
      </w:r>
      <w:r>
        <w:rPr>
          <w:rFonts w:hint="eastAsia" w:ascii="宋体" w:hAnsi="宋体" w:cs="宋体"/>
          <w:color w:val="auto"/>
          <w:szCs w:val="21"/>
          <w:highlight w:val="none"/>
        </w:rPr>
        <w:t>.1 投标人在提交投标文件以后，在规定的投标截止时间之前，可以书面形式补充修改或撤回已提交的投标文件，并以书面形式通知招标人。补充、修改的内容作为投标文件的组成部分。</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lang w:val="en-US" w:eastAsia="zh-CN"/>
        </w:rPr>
        <w:t>4.4</w:t>
      </w:r>
      <w:r>
        <w:rPr>
          <w:rFonts w:hint="eastAsia" w:ascii="宋体" w:hAnsi="宋体" w:cs="宋体"/>
          <w:color w:val="auto"/>
          <w:szCs w:val="21"/>
          <w:highlight w:val="none"/>
        </w:rPr>
        <w:t>.2 投标人对投标文件的补充、修改，应按本须知有关规定密封、标记和提交，并在内外层投标文件密封袋上清楚标明“补充、修改”或“撤回”字样。</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lang w:val="en-US" w:eastAsia="zh-CN"/>
        </w:rPr>
        <w:t>4.4</w:t>
      </w:r>
      <w:r>
        <w:rPr>
          <w:rFonts w:hint="eastAsia" w:ascii="宋体" w:hAnsi="宋体" w:cs="宋体"/>
          <w:color w:val="auto"/>
          <w:szCs w:val="21"/>
          <w:highlight w:val="none"/>
        </w:rPr>
        <w:t>.3 投标截止时间以后，投标人不得补充、修改投标文件。</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lang w:val="en-US" w:eastAsia="zh-CN"/>
        </w:rPr>
        <w:t>4.4</w:t>
      </w:r>
      <w:r>
        <w:rPr>
          <w:rFonts w:hint="eastAsia" w:ascii="宋体" w:hAnsi="宋体" w:cs="宋体"/>
          <w:color w:val="auto"/>
          <w:szCs w:val="21"/>
          <w:highlight w:val="none"/>
        </w:rPr>
        <w:t>.4 投标人不得在投标有效期内，撤销投标文件</w:t>
      </w:r>
      <w:r>
        <w:rPr>
          <w:rFonts w:hint="eastAsia" w:ascii="宋体" w:hAnsi="宋体" w:cs="宋体"/>
          <w:color w:val="auto"/>
          <w:szCs w:val="21"/>
          <w:highlight w:val="none"/>
          <w:lang w:eastAsia="zh-CN"/>
        </w:rPr>
        <w:t>，</w:t>
      </w:r>
      <w:r>
        <w:rPr>
          <w:rFonts w:hint="eastAsia" w:ascii="宋体" w:hAnsi="宋体" w:cs="宋体"/>
          <w:color w:val="auto"/>
          <w:szCs w:val="21"/>
          <w:highlight w:val="none"/>
        </w:rPr>
        <w:t>否则招标人将不予退还其投标保证金。</w:t>
      </w:r>
    </w:p>
    <w:p>
      <w:pPr>
        <w:pStyle w:val="4"/>
        <w:bidi w:val="0"/>
        <w:ind w:left="0" w:firstLine="0"/>
        <w:rPr>
          <w:rFonts w:hint="eastAsia" w:ascii="宋体" w:hAnsi="宋体" w:eastAsia="宋体"/>
          <w:color w:val="auto"/>
          <w:sz w:val="22"/>
          <w:szCs w:val="16"/>
          <w:highlight w:val="none"/>
        </w:rPr>
      </w:pPr>
      <w:bookmarkStart w:id="46" w:name="_Toc238899381"/>
      <w:bookmarkStart w:id="47" w:name="_Toc67552691"/>
      <w:bookmarkStart w:id="48" w:name="_Toc9240"/>
      <w:bookmarkStart w:id="49" w:name="_Toc54404818"/>
      <w:bookmarkStart w:id="50" w:name="_Toc235544706"/>
      <w:bookmarkStart w:id="51" w:name="_Toc250572267"/>
      <w:bookmarkStart w:id="52" w:name="_Toc269407615"/>
      <w:r>
        <w:rPr>
          <w:rFonts w:hint="eastAsia" w:ascii="宋体" w:hAnsi="宋体" w:eastAsia="宋体"/>
          <w:color w:val="auto"/>
          <w:sz w:val="22"/>
          <w:szCs w:val="16"/>
          <w:highlight w:val="none"/>
        </w:rPr>
        <w:t>五、开标</w:t>
      </w:r>
      <w:bookmarkEnd w:id="46"/>
      <w:bookmarkEnd w:id="47"/>
      <w:bookmarkEnd w:id="48"/>
      <w:bookmarkEnd w:id="49"/>
      <w:bookmarkEnd w:id="50"/>
      <w:bookmarkEnd w:id="51"/>
      <w:bookmarkEnd w:id="52"/>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lang w:val="en-US" w:eastAsia="zh-CN"/>
        </w:rPr>
        <w:t>5.1</w:t>
      </w:r>
      <w:r>
        <w:rPr>
          <w:rFonts w:hint="eastAsia" w:ascii="宋体" w:hAnsi="宋体" w:cs="宋体"/>
          <w:color w:val="auto"/>
          <w:szCs w:val="21"/>
          <w:highlight w:val="none"/>
        </w:rPr>
        <w:t>开标</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lang w:val="en-US" w:eastAsia="zh-CN"/>
        </w:rPr>
        <w:t>5.1</w:t>
      </w:r>
      <w:r>
        <w:rPr>
          <w:rFonts w:hint="eastAsia" w:ascii="宋体" w:hAnsi="宋体" w:cs="宋体"/>
          <w:color w:val="auto"/>
          <w:szCs w:val="21"/>
          <w:highlight w:val="none"/>
        </w:rPr>
        <w:t>.1 招标人在规定的投标截止时间（开标时间）和投标人须知前附表规定的地点公开开标，并邀请所有投标人的</w:t>
      </w:r>
      <w:r>
        <w:rPr>
          <w:rFonts w:hint="eastAsia" w:ascii="宋体" w:hAnsi="宋体" w:cs="宋体"/>
          <w:color w:val="auto"/>
          <w:szCs w:val="21"/>
          <w:highlight w:val="none"/>
          <w:lang w:eastAsia="zh-CN"/>
        </w:rPr>
        <w:t>法定代表人（负责人）</w:t>
      </w:r>
      <w:r>
        <w:rPr>
          <w:rFonts w:hint="eastAsia" w:ascii="宋体" w:hAnsi="宋体" w:cs="宋体"/>
          <w:color w:val="auto"/>
          <w:szCs w:val="21"/>
          <w:highlight w:val="none"/>
        </w:rPr>
        <w:t>或其委托代理人准时参加。</w:t>
      </w:r>
    </w:p>
    <w:p>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5.2采购代理机构在招标文件规定的时间和地点组织公开开标，邀请投标人代表或法定代表人参加；</w:t>
      </w:r>
    </w:p>
    <w:p>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5.3开标时，应当由投标人或者其推选的代表检查投标文件的密封情况；经确认无误后，由采购代理机构工作人员当众拆封，宣布投标人名称、投标价格和招标文件规定的需要宣布的其他内容；</w:t>
      </w:r>
    </w:p>
    <w:p>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5.4投标人不足三家不得开标；</w:t>
      </w:r>
    </w:p>
    <w:p>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5.5开标过程应当由采购代理机构负责记录，由参加开标的各投标人代表和相关工作人员签字确认；</w:t>
      </w:r>
    </w:p>
    <w:p>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5.6投标人代表对开标过程和开标记录有疑义，以及认为采购代理机构相关工作人员有需要回避的情形的，应当场提出询问或者回避申请；</w:t>
      </w:r>
    </w:p>
    <w:p>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5.7投标人未参加开标的，视同认可开标结果；</w:t>
      </w:r>
    </w:p>
    <w:p>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5.8开标时，“</w:t>
      </w:r>
      <w:r>
        <w:rPr>
          <w:rFonts w:hint="eastAsia" w:ascii="宋体" w:hAnsi="宋体" w:cs="宋体"/>
          <w:color w:val="auto"/>
          <w:szCs w:val="21"/>
          <w:highlight w:val="none"/>
          <w:lang w:val="en-US" w:eastAsia="zh-CN"/>
        </w:rPr>
        <w:t>开标</w:t>
      </w:r>
      <w:bookmarkStart w:id="235" w:name="_GoBack"/>
      <w:bookmarkEnd w:id="235"/>
      <w:r>
        <w:rPr>
          <w:rFonts w:hint="eastAsia" w:ascii="宋体" w:hAnsi="宋体" w:cs="宋体"/>
          <w:color w:val="auto"/>
          <w:szCs w:val="21"/>
          <w:highlight w:val="none"/>
        </w:rPr>
        <w:t>一览表”中的大写金额与小写金额不一致的，以大写金额为准；总价金额与按单价计算的汇总金额不一致的，以单价计算的汇总金额为准；单价金额有明显小数点错误的，以总价为准，并修改单价。按上述修正错误的方法调整的投标报价应对投标人具有约束力，如果投标人不接受修正后的价格，其投标将被拒绝；</w:t>
      </w:r>
    </w:p>
    <w:p>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5.9开标过程应当全程录音录像并保存归档。</w:t>
      </w:r>
    </w:p>
    <w:p>
      <w:pPr>
        <w:pStyle w:val="4"/>
        <w:bidi w:val="0"/>
        <w:ind w:left="0" w:firstLine="0"/>
        <w:rPr>
          <w:rFonts w:hint="eastAsia" w:ascii="宋体" w:hAnsi="宋体" w:eastAsia="宋体"/>
          <w:color w:val="auto"/>
          <w:sz w:val="22"/>
          <w:szCs w:val="16"/>
          <w:highlight w:val="none"/>
          <w:lang w:val="en-US" w:eastAsia="zh-CN"/>
        </w:rPr>
      </w:pPr>
      <w:r>
        <w:rPr>
          <w:rFonts w:hint="eastAsia"/>
          <w:color w:val="auto"/>
          <w:sz w:val="22"/>
          <w:szCs w:val="16"/>
          <w:highlight w:val="none"/>
          <w:lang w:val="en-US" w:eastAsia="zh-CN"/>
        </w:rPr>
        <w:t>六、</w:t>
      </w:r>
      <w:r>
        <w:rPr>
          <w:rFonts w:hint="eastAsia" w:ascii="宋体" w:hAnsi="宋体" w:eastAsia="宋体"/>
          <w:color w:val="auto"/>
          <w:sz w:val="22"/>
          <w:szCs w:val="16"/>
          <w:highlight w:val="none"/>
          <w:lang w:val="en-US" w:eastAsia="zh-CN"/>
        </w:rPr>
        <w:t>评标</w:t>
      </w:r>
    </w:p>
    <w:p>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6.1 评标委员会按照第三章“评标办法”规定的方法、评审因素、标准和程序对投标文件进行评审。第三章“评标办法”没有规定的方法、评审因素和标准，不作为评标依据。</w:t>
      </w:r>
    </w:p>
    <w:p>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6.2 评标过程的保密</w:t>
      </w:r>
    </w:p>
    <w:p>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6.2.1开标后，直至授予中标人合同为止，凡属于对投标文件的审查、澄清、评价和比较的有关资料以及中标候选人的推荐情况，与评标有关的其他任何情况均严格保密。</w:t>
      </w:r>
    </w:p>
    <w:p>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6.2.2在投标文件的评审和比较、中标候选人推荐以及授予合同的过程中，投标人向招标人和评标委员会施加影响的任何行为，都将会导致其投标被拒绝。</w:t>
      </w:r>
    </w:p>
    <w:p>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6.2.3中标人确定后，招标人不对未中标人就评标过程以及未能中标原因作出任何解释,亦不退回投标文件。未中标人不得向评标委员会组成人员和招标人或其他有关人员索问评标过程的情况和材料。</w:t>
      </w:r>
    </w:p>
    <w:p>
      <w:pPr>
        <w:pStyle w:val="4"/>
        <w:bidi w:val="0"/>
        <w:ind w:left="0" w:firstLine="0"/>
        <w:rPr>
          <w:rFonts w:hint="eastAsia" w:ascii="宋体" w:hAnsi="宋体" w:eastAsia="宋体"/>
          <w:color w:val="auto"/>
          <w:sz w:val="22"/>
          <w:szCs w:val="16"/>
          <w:highlight w:val="none"/>
          <w:lang w:val="en-US" w:eastAsia="zh-CN"/>
        </w:rPr>
      </w:pPr>
      <w:r>
        <w:rPr>
          <w:rFonts w:hint="eastAsia"/>
          <w:color w:val="auto"/>
          <w:sz w:val="22"/>
          <w:szCs w:val="16"/>
          <w:highlight w:val="none"/>
          <w:lang w:val="en-US" w:eastAsia="zh-CN"/>
        </w:rPr>
        <w:t>七、</w:t>
      </w:r>
      <w:r>
        <w:rPr>
          <w:rFonts w:hint="eastAsia" w:ascii="宋体" w:hAnsi="宋体" w:eastAsia="宋体"/>
          <w:color w:val="auto"/>
          <w:sz w:val="22"/>
          <w:szCs w:val="16"/>
          <w:highlight w:val="none"/>
          <w:lang w:val="en-US" w:eastAsia="zh-CN"/>
        </w:rPr>
        <w:t>中标</w:t>
      </w:r>
    </w:p>
    <w:p>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7.1采购代理机构在评标结束后2个工作日内将评标报告送采购人；</w:t>
      </w:r>
    </w:p>
    <w:p>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7.2采购人在收到评标报告后5个工作日内，按照评标报告中推荐的中标候选人顺序确定中标人；</w:t>
      </w:r>
    </w:p>
    <w:p>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7.3根据采购人确定的中标人，采购代理机构在采购人确定中标人之日起2个工作日内在</w:t>
      </w:r>
      <w:r>
        <w:rPr>
          <w:rFonts w:hint="eastAsia" w:ascii="宋体" w:hAnsi="宋体" w:cs="宋体"/>
          <w:color w:val="auto"/>
          <w:szCs w:val="21"/>
          <w:highlight w:val="none"/>
          <w:lang w:eastAsia="zh-CN"/>
        </w:rPr>
        <w:t>陕西省政府采购网</w:t>
      </w:r>
      <w:r>
        <w:rPr>
          <w:rFonts w:hint="eastAsia" w:ascii="宋体" w:hAnsi="宋体" w:cs="宋体"/>
          <w:color w:val="auto"/>
          <w:szCs w:val="21"/>
          <w:highlight w:val="none"/>
        </w:rPr>
        <w:t>上公告中标结果，同时向中标人发出中标通知书；</w:t>
      </w:r>
    </w:p>
    <w:p>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7.4中标公告期限为1个工作日；</w:t>
      </w:r>
    </w:p>
    <w:p>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7.5对未通过资格审查的投标人，采购代理机构应当告知其未通过的原因，以及未中标人的评审得分与排序；</w:t>
      </w:r>
    </w:p>
    <w:p>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7.8中标通知书：</w:t>
      </w:r>
    </w:p>
    <w:p>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7.8.1中标通知书为签订采购合同的依据，是合同的有效组成部分；</w:t>
      </w:r>
    </w:p>
    <w:p>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7.8.2中标通知书对采购人和中标人均具有法律效力。中标通知书发出后，采购人改变中标结果，或者中标人无正当理由放弃中标的，应当承担相应的法律责任；</w:t>
      </w:r>
    </w:p>
    <w:p>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7.8.3中标人的投标文件本应作为无效投标处理或者有采购相关法律法规规章制度规定的中标无效情形的，采购代理机构在取得有权主体的认定以后，应当宣布发出的中标通知书无效，并收回发出的中标通知书（中标人也应当</w:t>
      </w:r>
      <w:r>
        <w:rPr>
          <w:rFonts w:hint="eastAsia" w:ascii="宋体" w:hAnsi="宋体" w:cs="宋体"/>
          <w:color w:val="auto"/>
          <w:szCs w:val="21"/>
          <w:highlight w:val="none"/>
          <w:lang w:val="en-US" w:eastAsia="zh-CN"/>
        </w:rPr>
        <w:t>交</w:t>
      </w:r>
      <w:r>
        <w:rPr>
          <w:rFonts w:hint="eastAsia" w:ascii="宋体" w:hAnsi="宋体" w:cs="宋体"/>
          <w:color w:val="auto"/>
          <w:szCs w:val="21"/>
          <w:highlight w:val="none"/>
        </w:rPr>
        <w:t>回），依法重新确定中标人或者重新开展采购活动。</w:t>
      </w:r>
    </w:p>
    <w:p>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7.9中标服务费</w:t>
      </w:r>
    </w:p>
    <w:p>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lang w:val="en-US" w:eastAsia="zh-CN"/>
        </w:rPr>
        <w:t>见投标人须知前附表</w:t>
      </w:r>
      <w:r>
        <w:rPr>
          <w:rFonts w:hint="eastAsia" w:ascii="宋体" w:hAnsi="宋体" w:cs="宋体"/>
          <w:color w:val="auto"/>
          <w:szCs w:val="21"/>
          <w:highlight w:val="none"/>
        </w:rPr>
        <w:t>。</w:t>
      </w:r>
    </w:p>
    <w:p>
      <w:pPr>
        <w:pStyle w:val="4"/>
        <w:bidi w:val="0"/>
        <w:ind w:left="0" w:firstLine="0"/>
        <w:rPr>
          <w:rFonts w:hint="eastAsia" w:ascii="宋体" w:hAnsi="宋体" w:eastAsia="宋体"/>
          <w:color w:val="auto"/>
          <w:sz w:val="22"/>
          <w:szCs w:val="16"/>
          <w:highlight w:val="none"/>
          <w:lang w:val="en-US" w:eastAsia="zh-CN"/>
        </w:rPr>
      </w:pPr>
      <w:r>
        <w:rPr>
          <w:rFonts w:hint="eastAsia"/>
          <w:color w:val="auto"/>
          <w:sz w:val="22"/>
          <w:szCs w:val="16"/>
          <w:highlight w:val="none"/>
          <w:lang w:val="en-US" w:eastAsia="zh-CN"/>
        </w:rPr>
        <w:t>八、</w:t>
      </w:r>
      <w:r>
        <w:rPr>
          <w:rFonts w:hint="eastAsia" w:ascii="宋体" w:hAnsi="宋体" w:eastAsia="宋体"/>
          <w:color w:val="auto"/>
          <w:sz w:val="22"/>
          <w:szCs w:val="16"/>
          <w:highlight w:val="none"/>
          <w:lang w:val="en-US" w:eastAsia="zh-CN"/>
        </w:rPr>
        <w:t>合同授予</w:t>
      </w:r>
    </w:p>
    <w:p>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8.1签订时间的约束</w:t>
      </w:r>
    </w:p>
    <w:p>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自中标通知书发出之日起30日内，按照招标文件和中标人投标文件的规定，采购人应当与中标人签订书面合同。采购人不得违法改变中标结果，中标人无正当理由不得放弃中标。</w:t>
      </w:r>
    </w:p>
    <w:p>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8.2签订内容的约束</w:t>
      </w:r>
    </w:p>
    <w:p>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8.2.1所签订的合同不得对招标文件确定的事项和中标人投标文件作实质性修改，中标人应当严格接受招标文件和中标人投标文件的约束，不得对投标产品的名称、型号规格、数量、技术规格、配置、商务和招标文件要求的内容做实质性变动。采购人不得向中标人提出任何不合理的要求作为签订合同的条件。</w:t>
      </w:r>
    </w:p>
    <w:p>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8.2.2政府采购合同应当包括采购人与中标人的名称和住所、标的、数量、质量、价款或者报酬、履行期限及地点和方式、验收要求、违约责任、解决争议的方法等内容。</w:t>
      </w:r>
    </w:p>
    <w:p>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8.2.3采购人与中标人应当根据合同的约定依法履行合同义务。政府采购合同的履行、违约责任和解决争议的方法等适用《中华人民共和国民法典》。</w:t>
      </w:r>
    </w:p>
    <w:p>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8.3合同履约的约束</w:t>
      </w:r>
    </w:p>
    <w:p>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8.3.1货物必须符合招标文件规定的国家相关标准、行业标准、地方标准或者其他标准、规范；</w:t>
      </w:r>
    </w:p>
    <w:p>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8.3.2货物必须符合招标文件规定的质量、安全、技术规格、物理特性等要求；</w:t>
      </w:r>
    </w:p>
    <w:p>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8.3.3货物必须符合招标文件和中标人投标文件规定的数量、项目交付或者实施的时间和地点。</w:t>
      </w:r>
    </w:p>
    <w:p>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8.3.4中标人需提供满足项目实施的货物的标准、期限、实现的效率等规定和措施；</w:t>
      </w:r>
    </w:p>
    <w:p>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8.3.5中标人应当提供完成项目的计划方案、相关资料或借鉴完成类似项目的检验大纲等验收依据或者完备、合理和科学的验收标准，以及相关的其他技术、服务等支持；</w:t>
      </w:r>
    </w:p>
    <w:p>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8.3.6中标人应当积极配合采购人及时对项目进行验收。或者必要时采购人可以邀请参加本项目的其他投标人或者第三方机构参与验收的配合。</w:t>
      </w:r>
    </w:p>
    <w:p>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8.3.7对于中标人违反采购合同约定的行为，采购人应当及时处理，依法追究其违约责任。</w:t>
      </w:r>
    </w:p>
    <w:p>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8.4合同签订事项</w:t>
      </w:r>
    </w:p>
    <w:p>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8.4.1中标人在收到招标人发出的《中标通知书》后，应在规定的时间内与采购人签订采购合同。由于中标人的原因逾期未与采购人签订采购合同的，将视为放弃中标，取消其中标资格并将按相关规定进行处理。</w:t>
      </w:r>
    </w:p>
    <w:p>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8.4.2采购人不得向中标人提出任何不合理的要求，作为签订合同的条件。中标人拒绝按照招标文件和投标文件签订合同的或者签订的合同对服务内容做出了实质性修改，采购人有权终止合同，并保留要求经济赔偿的权利。</w:t>
      </w:r>
    </w:p>
    <w:p>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8.4.3中标人因不可抗力原因不能履行采购合同或放弃中标的，采购人可以与排在中标人之后第一位的中标候选人签订采购合同，以此类推。</w:t>
      </w:r>
    </w:p>
    <w:p>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8.4.4中标人在合同签订之后三个工作日内，将签订的合同（</w:t>
      </w:r>
      <w:r>
        <w:rPr>
          <w:rFonts w:hint="eastAsia" w:ascii="宋体" w:hAnsi="宋体" w:cs="宋体"/>
          <w:color w:val="auto"/>
          <w:szCs w:val="21"/>
          <w:highlight w:val="none"/>
          <w:lang w:val="en-US" w:eastAsia="zh-CN"/>
        </w:rPr>
        <w:t>PDF扫描件或原件复印件</w:t>
      </w:r>
      <w:r>
        <w:rPr>
          <w:rFonts w:hint="eastAsia" w:ascii="宋体" w:hAnsi="宋体" w:cs="宋体"/>
          <w:color w:val="auto"/>
          <w:szCs w:val="21"/>
          <w:highlight w:val="none"/>
        </w:rPr>
        <w:t>）送采购代理机构留存。</w:t>
      </w:r>
    </w:p>
    <w:p>
      <w:pPr>
        <w:pStyle w:val="4"/>
        <w:bidi w:val="0"/>
        <w:ind w:left="0" w:firstLine="0"/>
        <w:rPr>
          <w:rFonts w:hint="eastAsia" w:ascii="宋体" w:hAnsi="宋体" w:eastAsia="宋体"/>
          <w:color w:val="auto"/>
          <w:sz w:val="22"/>
          <w:szCs w:val="16"/>
          <w:highlight w:val="none"/>
          <w:lang w:val="en-US" w:eastAsia="zh-CN"/>
        </w:rPr>
      </w:pPr>
      <w:r>
        <w:rPr>
          <w:rFonts w:hint="eastAsia"/>
          <w:color w:val="auto"/>
          <w:sz w:val="22"/>
          <w:szCs w:val="16"/>
          <w:highlight w:val="none"/>
          <w:lang w:val="en-US" w:eastAsia="zh-CN"/>
        </w:rPr>
        <w:t>九、</w:t>
      </w:r>
      <w:r>
        <w:rPr>
          <w:rFonts w:hint="eastAsia" w:ascii="宋体" w:hAnsi="宋体" w:eastAsia="宋体"/>
          <w:color w:val="auto"/>
          <w:sz w:val="22"/>
          <w:szCs w:val="16"/>
          <w:highlight w:val="none"/>
          <w:lang w:val="en-US" w:eastAsia="zh-CN"/>
        </w:rPr>
        <w:t>样品</w:t>
      </w:r>
    </w:p>
    <w:p>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本次采购活动不要求提供样品。</w:t>
      </w:r>
    </w:p>
    <w:p>
      <w:pPr>
        <w:pStyle w:val="4"/>
        <w:bidi w:val="0"/>
        <w:ind w:left="0" w:firstLine="0"/>
        <w:rPr>
          <w:rFonts w:hint="eastAsia" w:ascii="宋体" w:hAnsi="宋体" w:eastAsia="宋体"/>
          <w:color w:val="auto"/>
          <w:sz w:val="22"/>
          <w:szCs w:val="16"/>
          <w:highlight w:val="none"/>
          <w:lang w:val="en-US" w:eastAsia="zh-CN"/>
        </w:rPr>
      </w:pPr>
      <w:r>
        <w:rPr>
          <w:rFonts w:hint="eastAsia"/>
          <w:color w:val="auto"/>
          <w:sz w:val="22"/>
          <w:szCs w:val="16"/>
          <w:highlight w:val="none"/>
          <w:lang w:val="en-US" w:eastAsia="zh-CN"/>
        </w:rPr>
        <w:t>十、</w:t>
      </w:r>
      <w:r>
        <w:rPr>
          <w:rFonts w:hint="eastAsia" w:ascii="宋体" w:hAnsi="宋体" w:eastAsia="宋体"/>
          <w:color w:val="auto"/>
          <w:sz w:val="22"/>
          <w:szCs w:val="16"/>
          <w:highlight w:val="none"/>
          <w:lang w:val="en-US" w:eastAsia="zh-CN"/>
        </w:rPr>
        <w:t>图纸</w:t>
      </w:r>
    </w:p>
    <w:p>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本次采购活动</w:t>
      </w:r>
      <w:r>
        <w:rPr>
          <w:rFonts w:hint="eastAsia" w:ascii="宋体" w:hAnsi="宋体" w:cs="宋体"/>
          <w:color w:val="auto"/>
          <w:szCs w:val="21"/>
          <w:highlight w:val="none"/>
          <w:lang w:val="en-US" w:eastAsia="zh-CN"/>
        </w:rPr>
        <w:t>无图纸</w:t>
      </w:r>
      <w:r>
        <w:rPr>
          <w:rFonts w:hint="eastAsia" w:ascii="宋体" w:hAnsi="宋体" w:cs="宋体"/>
          <w:color w:val="auto"/>
          <w:szCs w:val="21"/>
          <w:highlight w:val="none"/>
        </w:rPr>
        <w:t>。</w:t>
      </w:r>
    </w:p>
    <w:p>
      <w:pPr>
        <w:pStyle w:val="4"/>
        <w:bidi w:val="0"/>
        <w:ind w:left="0" w:firstLine="0"/>
        <w:rPr>
          <w:rFonts w:hint="eastAsia" w:ascii="宋体" w:hAnsi="宋体" w:eastAsia="宋体"/>
          <w:color w:val="auto"/>
          <w:sz w:val="22"/>
          <w:szCs w:val="16"/>
          <w:highlight w:val="none"/>
          <w:lang w:val="en-US" w:eastAsia="zh-CN"/>
        </w:rPr>
      </w:pPr>
      <w:r>
        <w:rPr>
          <w:rFonts w:hint="eastAsia"/>
          <w:color w:val="auto"/>
          <w:sz w:val="22"/>
          <w:szCs w:val="16"/>
          <w:highlight w:val="none"/>
          <w:lang w:val="en-US" w:eastAsia="zh-CN"/>
        </w:rPr>
        <w:t>十一、</w:t>
      </w:r>
      <w:r>
        <w:rPr>
          <w:rFonts w:hint="eastAsia" w:ascii="宋体" w:hAnsi="宋体" w:eastAsia="宋体"/>
          <w:color w:val="auto"/>
          <w:sz w:val="22"/>
          <w:szCs w:val="16"/>
          <w:highlight w:val="none"/>
          <w:lang w:val="en-US" w:eastAsia="zh-CN"/>
        </w:rPr>
        <w:t>招标活动的终止</w:t>
      </w:r>
    </w:p>
    <w:p>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采购代理机构在发布招标公告后，除因重大变故采购任务取消情况外，不得擅自终止招标活动。</w:t>
      </w:r>
    </w:p>
    <w:p>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终止招标的，采购代理机构应当及时在原公告发布媒体上发布终止公告，以书面或电子邮件形式通知已获取招标文件的潜在投标人。</w:t>
      </w:r>
    </w:p>
    <w:p>
      <w:pPr>
        <w:pStyle w:val="4"/>
        <w:bidi w:val="0"/>
        <w:ind w:left="0" w:firstLine="0"/>
        <w:rPr>
          <w:rFonts w:hint="eastAsia" w:ascii="宋体" w:hAnsi="宋体" w:eastAsia="宋体"/>
          <w:color w:val="auto"/>
          <w:sz w:val="22"/>
          <w:szCs w:val="16"/>
          <w:highlight w:val="none"/>
          <w:lang w:val="en-US" w:eastAsia="zh-CN"/>
        </w:rPr>
      </w:pPr>
      <w:r>
        <w:rPr>
          <w:rFonts w:hint="eastAsia"/>
          <w:color w:val="auto"/>
          <w:sz w:val="22"/>
          <w:szCs w:val="16"/>
          <w:highlight w:val="none"/>
          <w:lang w:val="en-US" w:eastAsia="zh-CN"/>
        </w:rPr>
        <w:t>十二、</w:t>
      </w:r>
      <w:r>
        <w:rPr>
          <w:rFonts w:hint="eastAsia" w:ascii="宋体" w:hAnsi="宋体" w:eastAsia="宋体"/>
          <w:color w:val="auto"/>
          <w:sz w:val="22"/>
          <w:szCs w:val="16"/>
          <w:highlight w:val="none"/>
          <w:lang w:val="en-US" w:eastAsia="zh-CN"/>
        </w:rPr>
        <w:t>行贿与受贿约束</w:t>
      </w:r>
    </w:p>
    <w:p>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投标人在获取招标文件后，在投标过程中不得向采购代理机构工作人员提供、赠予、给予等任何形式的有价物品，不得向采购人给予赠品、回扣或者与采购无关的其他商品、服务，坚决杜绝和抵制影响采购招标的正常决策行为。投标人一旦发生上述行为且证据明确，其投标资格被取消并承担相应法律责任。</w:t>
      </w:r>
    </w:p>
    <w:p>
      <w:pPr>
        <w:pStyle w:val="4"/>
        <w:bidi w:val="0"/>
        <w:ind w:left="0" w:firstLine="0"/>
        <w:rPr>
          <w:rFonts w:hint="eastAsia" w:ascii="宋体" w:hAnsi="宋体" w:eastAsia="宋体"/>
          <w:color w:val="auto"/>
          <w:sz w:val="22"/>
          <w:szCs w:val="16"/>
          <w:highlight w:val="none"/>
          <w:lang w:val="en-US" w:eastAsia="zh-CN"/>
        </w:rPr>
      </w:pPr>
      <w:r>
        <w:rPr>
          <w:rFonts w:hint="eastAsia"/>
          <w:color w:val="auto"/>
          <w:sz w:val="22"/>
          <w:szCs w:val="16"/>
          <w:highlight w:val="none"/>
          <w:lang w:val="en-US" w:eastAsia="zh-CN"/>
        </w:rPr>
        <w:t>十三、</w:t>
      </w:r>
      <w:r>
        <w:rPr>
          <w:rFonts w:hint="eastAsia" w:ascii="宋体" w:hAnsi="宋体" w:eastAsia="宋体"/>
          <w:color w:val="auto"/>
          <w:sz w:val="22"/>
          <w:szCs w:val="16"/>
          <w:highlight w:val="none"/>
          <w:lang w:val="en-US" w:eastAsia="zh-CN"/>
        </w:rPr>
        <w:t>投标人信用查询方法和途径</w:t>
      </w:r>
    </w:p>
    <w:p>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lang w:val="en-US" w:eastAsia="zh-CN"/>
        </w:rPr>
        <w:t>13.1</w:t>
      </w:r>
      <w:r>
        <w:rPr>
          <w:rFonts w:hint="eastAsia" w:ascii="宋体" w:hAnsi="宋体" w:cs="宋体"/>
          <w:color w:val="auto"/>
          <w:szCs w:val="21"/>
          <w:highlight w:val="none"/>
        </w:rPr>
        <w:t>根据财政部《关于在政府采购活动中查询及使用信用记录有关问题的通知》（财库〔2016〕125号）第二条有关要求，采购人将在资格审查阶段通过【信用中国】（</w:t>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HYPERLINK "https://www.creditchina.gov.cn"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https://www.creditchina.gov.cn</w:t>
      </w:r>
      <w:r>
        <w:rPr>
          <w:rFonts w:hint="eastAsia" w:ascii="宋体" w:hAnsi="宋体" w:cs="宋体"/>
          <w:color w:val="auto"/>
          <w:szCs w:val="21"/>
          <w:highlight w:val="none"/>
        </w:rPr>
        <w:fldChar w:fldCharType="end"/>
      </w:r>
      <w:r>
        <w:rPr>
          <w:rFonts w:hint="eastAsia" w:ascii="宋体" w:hAnsi="宋体" w:cs="宋体"/>
          <w:color w:val="auto"/>
          <w:szCs w:val="21"/>
          <w:highlight w:val="none"/>
        </w:rPr>
        <w:t>/）和【中国政府采购网】（</w:t>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HYPERLINK "http://www.ccgp.gov.cn/"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http://www.ccgp.gov.cn/）</w:t>
      </w:r>
      <w:r>
        <w:rPr>
          <w:rFonts w:hint="eastAsia" w:ascii="宋体" w:hAnsi="宋体" w:cs="宋体"/>
          <w:color w:val="auto"/>
          <w:szCs w:val="21"/>
          <w:highlight w:val="none"/>
        </w:rPr>
        <w:fldChar w:fldCharType="end"/>
      </w:r>
      <w:r>
        <w:rPr>
          <w:rFonts w:hint="eastAsia" w:ascii="宋体" w:hAnsi="宋体" w:cs="宋体"/>
          <w:color w:val="auto"/>
          <w:szCs w:val="21"/>
          <w:highlight w:val="none"/>
        </w:rPr>
        <w:t>对供应商的信用情况进行甄别。</w:t>
      </w:r>
    </w:p>
    <w:p>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lang w:val="en-US" w:eastAsia="zh-CN"/>
        </w:rPr>
        <w:t>13.2</w:t>
      </w:r>
      <w:r>
        <w:rPr>
          <w:rFonts w:hint="eastAsia" w:ascii="宋体" w:hAnsi="宋体" w:cs="宋体"/>
          <w:color w:val="auto"/>
          <w:szCs w:val="21"/>
          <w:highlight w:val="none"/>
        </w:rPr>
        <w:t>对列入失信被执行人、重大税收违法案件当事人名单、政府采购严重违法失信行为记录名单及其他不符合《中华人民共和国政府采购法》第二十二条规定条件的供应商，将拒绝其参与政府采购活动。</w:t>
      </w:r>
    </w:p>
    <w:p>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lang w:val="en-US" w:eastAsia="zh-CN"/>
        </w:rPr>
        <w:t>13.3</w:t>
      </w:r>
      <w:r>
        <w:rPr>
          <w:rFonts w:hint="eastAsia" w:ascii="宋体" w:hAnsi="宋体" w:cs="宋体"/>
          <w:color w:val="auto"/>
          <w:szCs w:val="21"/>
          <w:highlight w:val="none"/>
        </w:rPr>
        <w:t>供应商在参加政府采购活动前3年内因违法经营被禁止在一定期限内参加政府采购活动，期限届满的，可以参加政府采购活动的，但供应商应提供相关证明材料。</w:t>
      </w:r>
    </w:p>
    <w:p>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lang w:val="en-US" w:eastAsia="zh-CN"/>
        </w:rPr>
        <w:t>13.4</w:t>
      </w:r>
      <w:r>
        <w:rPr>
          <w:rFonts w:hint="eastAsia" w:ascii="宋体" w:hAnsi="宋体" w:cs="宋体"/>
          <w:color w:val="auto"/>
          <w:szCs w:val="21"/>
          <w:highlight w:val="none"/>
        </w:rPr>
        <w:t>信用记录查询结果打印后，将与其他采购文件一并保存。</w:t>
      </w:r>
    </w:p>
    <w:p>
      <w:pPr>
        <w:pStyle w:val="4"/>
        <w:bidi w:val="0"/>
        <w:ind w:left="0" w:firstLine="0"/>
        <w:rPr>
          <w:rFonts w:hint="eastAsia"/>
          <w:color w:val="auto"/>
          <w:sz w:val="22"/>
          <w:szCs w:val="16"/>
          <w:highlight w:val="none"/>
          <w:lang w:val="en-US" w:eastAsia="zh-CN"/>
        </w:rPr>
      </w:pPr>
      <w:r>
        <w:rPr>
          <w:rFonts w:hint="eastAsia"/>
          <w:color w:val="auto"/>
          <w:sz w:val="22"/>
          <w:szCs w:val="16"/>
          <w:highlight w:val="none"/>
          <w:lang w:val="en-US" w:eastAsia="zh-CN"/>
        </w:rPr>
        <w:t>十四、其他说明</w:t>
      </w:r>
    </w:p>
    <w:p>
      <w:pPr>
        <w:widowControl/>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lang w:val="en-US" w:eastAsia="zh-CN"/>
        </w:rPr>
        <w:t>1、</w:t>
      </w:r>
      <w:r>
        <w:rPr>
          <w:rFonts w:hint="eastAsia" w:ascii="宋体" w:hAnsi="宋体" w:cs="宋体"/>
          <w:color w:val="auto"/>
          <w:kern w:val="0"/>
          <w:szCs w:val="21"/>
          <w:highlight w:val="none"/>
        </w:rPr>
        <w:t>投标人不得存在下列情形之一，否则</w:t>
      </w:r>
      <w:r>
        <w:rPr>
          <w:rFonts w:hint="eastAsia" w:ascii="宋体" w:hAnsi="宋体" w:cs="宋体"/>
          <w:color w:val="auto"/>
          <w:szCs w:val="21"/>
          <w:highlight w:val="none"/>
        </w:rPr>
        <w:t>其投标将被否决：</w:t>
      </w:r>
    </w:p>
    <w:p>
      <w:pPr>
        <w:widowControl/>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（1）为招标人不具有独立法人资格的附属机构（单位）； </w:t>
      </w:r>
    </w:p>
    <w:p>
      <w:pPr>
        <w:widowControl/>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（2）为本项目提供招标代理服务的； </w:t>
      </w:r>
    </w:p>
    <w:p>
      <w:pPr>
        <w:widowControl/>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（3）被责令停业的； </w:t>
      </w:r>
    </w:p>
    <w:p>
      <w:pPr>
        <w:widowControl/>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（4）被暂停或取消投标资格的； </w:t>
      </w:r>
    </w:p>
    <w:p>
      <w:pPr>
        <w:widowControl/>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（5）财产被接管或冻结的；</w:t>
      </w:r>
    </w:p>
    <w:p>
      <w:pPr>
        <w:widowControl/>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（6）在最近三年内有骗取中标或严重违约或重大质量问题的；</w:t>
      </w:r>
    </w:p>
    <w:p>
      <w:pPr>
        <w:widowControl/>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（7）存在提供虚假的财务状况、业绩、虚假的信用状况等弄虚作假的行为；</w:t>
      </w:r>
    </w:p>
    <w:p>
      <w:pPr>
        <w:widowControl/>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（8）不按评标委员会要求澄清、说明或补正的。</w:t>
      </w:r>
    </w:p>
    <w:p>
      <w:r>
        <w:br w:type="page"/>
      </w:r>
    </w:p>
    <w:p>
      <w:pPr>
        <w:spacing w:line="360" w:lineRule="auto"/>
        <w:ind w:firstLine="42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lang w:val="en-US" w:eastAsia="zh-CN"/>
        </w:rPr>
        <w:t>2、</w:t>
      </w:r>
      <w:r>
        <w:rPr>
          <w:rFonts w:hint="eastAsia" w:ascii="宋体" w:hAnsi="宋体" w:eastAsia="宋体" w:cs="宋体"/>
          <w:b/>
          <w:bCs/>
          <w:color w:val="auto"/>
          <w:sz w:val="24"/>
          <w:highlight w:val="none"/>
        </w:rPr>
        <w:t>政府采购信用担保及信用融资政策：</w:t>
      </w:r>
    </w:p>
    <w:p>
      <w:pPr>
        <w:widowControl/>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为支持和促进中小企业发展，进一步发挥政府采购政策功能作用，根据《财政部关于开展政府采购信用担保试点工作的通知》（财库（2011）124号），陕西省财政厅制订了《陕西省政府采购信用担保试点工作实施方案（试行）》及《陕西省中小企业政府采购信用融资办法》（陕财办采〔2018〕23号），为参与陕西省政府采购项目的供应商提供政府采购信用担保和融资服务，并按照程序确定了合作的担保机构和商业银行。</w:t>
      </w:r>
    </w:p>
    <w:p>
      <w:pPr>
        <w:widowControl/>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中标人如果需要融资贷款服务的，可凭中标通知书、政府采购合同等相关资料，按照文件规定的程序申请办理，具体规定可登陆陕西省政府采购网(www.ccgp-shaanxi.gov.cn/)重要通知专栏中查询了解。</w:t>
      </w:r>
    </w:p>
    <w:p>
      <w:pPr>
        <w:pStyle w:val="12"/>
        <w:ind w:left="0" w:leftChars="0" w:firstLine="0" w:firstLineChars="0"/>
      </w:pPr>
      <w:r>
        <w:rPr>
          <w:rFonts w:hint="eastAsia" w:ascii="楷体" w:hAnsi="楷体" w:eastAsia="楷体" w:cs="楷体"/>
          <w:color w:val="auto"/>
          <w:szCs w:val="21"/>
          <w:highlight w:val="none"/>
        </w:rPr>
        <w:drawing>
          <wp:inline distT="0" distB="0" distL="114300" distR="114300">
            <wp:extent cx="5786120" cy="4500245"/>
            <wp:effectExtent l="0" t="0" r="5080" b="14605"/>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13"/>
                    <a:stretch>
                      <a:fillRect/>
                    </a:stretch>
                  </pic:blipFill>
                  <pic:spPr>
                    <a:xfrm>
                      <a:off x="0" y="0"/>
                      <a:ext cx="5786120" cy="4500245"/>
                    </a:xfrm>
                    <a:prstGeom prst="rect">
                      <a:avLst/>
                    </a:prstGeom>
                    <a:noFill/>
                    <a:ln>
                      <a:noFill/>
                    </a:ln>
                  </pic:spPr>
                </pic:pic>
              </a:graphicData>
            </a:graphic>
          </wp:inline>
        </w:drawing>
      </w:r>
    </w:p>
    <w:p>
      <w:pPr>
        <w:rPr>
          <w:rFonts w:ascii="宋体" w:hAnsi="宋体" w:cs="宋体"/>
          <w:color w:val="auto"/>
          <w:sz w:val="24"/>
          <w:highlight w:val="none"/>
        </w:rPr>
      </w:pPr>
      <w:r>
        <w:rPr>
          <w:rFonts w:hint="eastAsia" w:ascii="宋体" w:hAnsi="宋体" w:cs="宋体"/>
          <w:color w:val="auto"/>
          <w:sz w:val="24"/>
          <w:highlight w:val="none"/>
        </w:rPr>
        <w:br w:type="page"/>
      </w:r>
    </w:p>
    <w:p>
      <w:pPr>
        <w:spacing w:line="360" w:lineRule="auto"/>
        <w:jc w:val="center"/>
        <w:outlineLvl w:val="0"/>
        <w:rPr>
          <w:rFonts w:ascii="宋体" w:hAnsi="宋体"/>
          <w:b/>
          <w:color w:val="auto"/>
          <w:kern w:val="44"/>
          <w:sz w:val="32"/>
          <w:highlight w:val="none"/>
        </w:rPr>
      </w:pPr>
      <w:bookmarkStart w:id="53" w:name="_Toc23925"/>
      <w:bookmarkStart w:id="54" w:name="_Toc20329"/>
      <w:bookmarkStart w:id="55" w:name="_Toc19517"/>
      <w:r>
        <w:rPr>
          <w:rFonts w:ascii="宋体" w:hAnsi="宋体"/>
          <w:b/>
          <w:color w:val="auto"/>
          <w:kern w:val="44"/>
          <w:sz w:val="32"/>
          <w:highlight w:val="none"/>
        </w:rPr>
        <w:t>第</w:t>
      </w:r>
      <w:r>
        <w:rPr>
          <w:rFonts w:hint="eastAsia" w:ascii="宋体" w:hAnsi="宋体"/>
          <w:b/>
          <w:color w:val="auto"/>
          <w:kern w:val="44"/>
          <w:sz w:val="32"/>
          <w:highlight w:val="none"/>
        </w:rPr>
        <w:t>三</w:t>
      </w:r>
      <w:r>
        <w:rPr>
          <w:rFonts w:ascii="宋体" w:hAnsi="宋体"/>
          <w:b/>
          <w:color w:val="auto"/>
          <w:kern w:val="44"/>
          <w:sz w:val="32"/>
          <w:highlight w:val="none"/>
        </w:rPr>
        <w:t>章  评标标准及方法</w:t>
      </w:r>
      <w:bookmarkEnd w:id="53"/>
      <w:bookmarkEnd w:id="54"/>
      <w:bookmarkEnd w:id="55"/>
    </w:p>
    <w:p>
      <w:pPr>
        <w:pStyle w:val="4"/>
        <w:spacing w:before="78" w:after="78"/>
        <w:rPr>
          <w:rFonts w:hint="eastAsia" w:ascii="宋体" w:hAnsi="宋体"/>
          <w:color w:val="auto"/>
          <w:highlight w:val="none"/>
        </w:rPr>
      </w:pPr>
      <w:bookmarkStart w:id="56" w:name="_Toc29875"/>
      <w:bookmarkStart w:id="57" w:name="_Toc363463332"/>
      <w:r>
        <w:rPr>
          <w:rFonts w:hint="eastAsia" w:ascii="宋体" w:hAnsi="宋体"/>
          <w:color w:val="auto"/>
          <w:highlight w:val="none"/>
        </w:rPr>
        <w:t>一</w:t>
      </w:r>
      <w:r>
        <w:rPr>
          <w:rFonts w:hint="eastAsia"/>
          <w:color w:val="auto"/>
          <w:highlight w:val="none"/>
          <w:lang w:eastAsia="zh-CN"/>
        </w:rPr>
        <w:t>、</w:t>
      </w:r>
      <w:r>
        <w:rPr>
          <w:rFonts w:hint="eastAsia" w:ascii="宋体" w:hAnsi="宋体"/>
          <w:color w:val="auto"/>
          <w:highlight w:val="none"/>
        </w:rPr>
        <w:t>评标方法</w:t>
      </w:r>
      <w:bookmarkEnd w:id="56"/>
      <w:bookmarkEnd w:id="57"/>
    </w:p>
    <w:p>
      <w:pPr>
        <w:spacing w:line="360" w:lineRule="auto"/>
        <w:ind w:firstLine="420" w:firstLineChars="200"/>
        <w:rPr>
          <w:rFonts w:ascii="宋体" w:hAnsi="宋体" w:cs="宋体"/>
          <w:bCs/>
          <w:color w:val="auto"/>
          <w:sz w:val="21"/>
          <w:szCs w:val="21"/>
          <w:highlight w:val="none"/>
        </w:rPr>
      </w:pPr>
      <w:r>
        <w:rPr>
          <w:rFonts w:hint="eastAsia" w:ascii="宋体" w:hAnsi="宋体"/>
          <w:color w:val="auto"/>
          <w:sz w:val="21"/>
          <w:szCs w:val="21"/>
          <w:highlight w:val="none"/>
        </w:rPr>
        <w:t>按照《中华人民共和国政府采购法》、《中华人民共和国政府采购法实施条例》和《政府采购服务和服务招标投标管理办法》</w:t>
      </w:r>
      <w:r>
        <w:rPr>
          <w:rFonts w:hint="eastAsia" w:ascii="宋体" w:hAnsi="宋体"/>
          <w:color w:val="auto"/>
          <w:sz w:val="21"/>
          <w:szCs w:val="21"/>
          <w:highlight w:val="none"/>
          <w:lang w:eastAsia="zh-CN"/>
        </w:rPr>
        <w:t>（</w:t>
      </w:r>
      <w:r>
        <w:rPr>
          <w:rFonts w:hint="eastAsia" w:ascii="宋体" w:hAnsi="宋体"/>
          <w:color w:val="auto"/>
          <w:sz w:val="21"/>
          <w:szCs w:val="21"/>
          <w:highlight w:val="none"/>
        </w:rPr>
        <w:t>第87号令</w:t>
      </w:r>
      <w:r>
        <w:rPr>
          <w:rFonts w:hint="eastAsia" w:ascii="宋体" w:hAnsi="宋体"/>
          <w:color w:val="auto"/>
          <w:sz w:val="21"/>
          <w:szCs w:val="21"/>
          <w:highlight w:val="none"/>
          <w:lang w:eastAsia="zh-CN"/>
        </w:rPr>
        <w:t>）</w:t>
      </w:r>
      <w:r>
        <w:rPr>
          <w:rFonts w:hint="eastAsia" w:ascii="宋体" w:hAnsi="宋体"/>
          <w:color w:val="auto"/>
          <w:sz w:val="21"/>
          <w:szCs w:val="21"/>
          <w:highlight w:val="none"/>
        </w:rPr>
        <w:t>的规定，本次评标采用综合评分法--投标文件满足招标文件全部实质性要求，且按照评审因素的量化指标评审得分最高的投标人为中标候选人。（最低报价不是中标的唯一标准）。</w:t>
      </w:r>
    </w:p>
    <w:p>
      <w:pPr>
        <w:pStyle w:val="4"/>
        <w:spacing w:before="78" w:after="78"/>
        <w:rPr>
          <w:rFonts w:hint="eastAsia" w:ascii="宋体" w:hAnsi="宋体"/>
          <w:color w:val="auto"/>
          <w:highlight w:val="none"/>
          <w:lang w:val="en-US" w:eastAsia="zh-CN"/>
        </w:rPr>
      </w:pPr>
      <w:bookmarkStart w:id="58" w:name="_Toc30213"/>
      <w:r>
        <w:rPr>
          <w:rFonts w:hint="eastAsia" w:ascii="宋体" w:hAnsi="宋体"/>
          <w:color w:val="auto"/>
          <w:highlight w:val="none"/>
          <w:lang w:val="en-US" w:eastAsia="zh-CN"/>
        </w:rPr>
        <w:t>二</w:t>
      </w:r>
      <w:r>
        <w:rPr>
          <w:rFonts w:hint="eastAsia"/>
          <w:color w:val="auto"/>
          <w:highlight w:val="none"/>
          <w:lang w:val="en-US" w:eastAsia="zh-CN"/>
        </w:rPr>
        <w:t>、</w:t>
      </w:r>
      <w:r>
        <w:rPr>
          <w:rFonts w:hint="eastAsia" w:ascii="宋体" w:hAnsi="宋体"/>
          <w:color w:val="auto"/>
          <w:highlight w:val="none"/>
          <w:lang w:val="en-US" w:eastAsia="zh-CN"/>
        </w:rPr>
        <w:t>资格性审查</w:t>
      </w:r>
      <w:bookmarkEnd w:id="58"/>
    </w:p>
    <w:p>
      <w:pPr>
        <w:spacing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资格评审标准：开标结束后，采购人或者采购代理机构应当依法对投标人的资格进行审查。合格投标人不足三家的，不得评标。</w:t>
      </w:r>
    </w:p>
    <w:p>
      <w:pPr>
        <w:spacing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审查内容出现任何一项不符合，按无效响应处理。资格审查内容如下：</w:t>
      </w:r>
    </w:p>
    <w:tbl>
      <w:tblPr>
        <w:tblStyle w:val="23"/>
        <w:tblW w:w="9018" w:type="dxa"/>
        <w:tblInd w:w="13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00"/>
        <w:gridCol w:w="5723"/>
        <w:gridCol w:w="25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700" w:type="dxa"/>
            <w:noWrap w:val="0"/>
            <w:vAlign w:val="center"/>
          </w:tcPr>
          <w:p>
            <w:pPr>
              <w:jc w:val="left"/>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序号</w:t>
            </w:r>
          </w:p>
        </w:tc>
        <w:tc>
          <w:tcPr>
            <w:tcW w:w="5723" w:type="dxa"/>
            <w:noWrap w:val="0"/>
            <w:vAlign w:val="center"/>
          </w:tcPr>
          <w:p>
            <w:pPr>
              <w:jc w:val="left"/>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审查内容</w:t>
            </w:r>
          </w:p>
        </w:tc>
        <w:tc>
          <w:tcPr>
            <w:tcW w:w="2595" w:type="dxa"/>
            <w:noWrap w:val="0"/>
            <w:vAlign w:val="center"/>
          </w:tcPr>
          <w:p>
            <w:pPr>
              <w:jc w:val="left"/>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审查标准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700" w:type="dxa"/>
            <w:noWrap w:val="0"/>
            <w:vAlign w:val="center"/>
          </w:tcPr>
          <w:p>
            <w:pPr>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1</w:t>
            </w:r>
          </w:p>
        </w:tc>
        <w:tc>
          <w:tcPr>
            <w:tcW w:w="5723" w:type="dxa"/>
            <w:noWrap w:val="0"/>
            <w:vAlign w:val="center"/>
          </w:tcPr>
          <w:p>
            <w:pPr>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法人或者其他组织的营业执照等复印件加盖投标人公章，</w:t>
            </w:r>
            <w:r>
              <w:rPr>
                <w:rFonts w:hint="eastAsia" w:ascii="宋体" w:hAnsi="宋体" w:cs="宋体"/>
                <w:color w:val="auto"/>
                <w:kern w:val="0"/>
                <w:sz w:val="21"/>
                <w:szCs w:val="21"/>
                <w:highlight w:val="none"/>
                <w:lang w:eastAsia="zh-CN"/>
              </w:rPr>
              <w:t>自然人提供本人身份证</w:t>
            </w:r>
            <w:r>
              <w:rPr>
                <w:rFonts w:hint="eastAsia" w:ascii="宋体" w:hAnsi="宋体" w:cs="宋体"/>
                <w:color w:val="auto"/>
                <w:kern w:val="0"/>
                <w:sz w:val="21"/>
                <w:szCs w:val="21"/>
                <w:highlight w:val="none"/>
              </w:rPr>
              <w:t>；</w:t>
            </w:r>
          </w:p>
        </w:tc>
        <w:tc>
          <w:tcPr>
            <w:tcW w:w="2595" w:type="dxa"/>
            <w:noWrap w:val="0"/>
            <w:vAlign w:val="center"/>
          </w:tcPr>
          <w:p>
            <w:pPr>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符合招标文件要求，通过。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700" w:type="dxa"/>
            <w:noWrap w:val="0"/>
            <w:vAlign w:val="center"/>
          </w:tcPr>
          <w:p>
            <w:pPr>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2</w:t>
            </w:r>
          </w:p>
        </w:tc>
        <w:tc>
          <w:tcPr>
            <w:tcW w:w="5723" w:type="dxa"/>
            <w:noWrap w:val="0"/>
            <w:vAlign w:val="center"/>
          </w:tcPr>
          <w:p>
            <w:pPr>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lang w:eastAsia="zh-CN"/>
              </w:rPr>
              <w:t>提供法定代表人授权委托书</w:t>
            </w:r>
            <w:r>
              <w:rPr>
                <w:rFonts w:hint="eastAsia" w:ascii="宋体" w:hAnsi="宋体" w:cs="宋体"/>
                <w:color w:val="auto"/>
                <w:kern w:val="0"/>
                <w:sz w:val="21"/>
                <w:szCs w:val="21"/>
                <w:highlight w:val="none"/>
              </w:rPr>
              <w:t>并附</w:t>
            </w:r>
            <w:r>
              <w:rPr>
                <w:rFonts w:hint="eastAsia" w:ascii="宋体" w:hAnsi="宋体" w:cs="宋体"/>
                <w:color w:val="auto"/>
                <w:kern w:val="0"/>
                <w:sz w:val="21"/>
                <w:szCs w:val="21"/>
                <w:highlight w:val="none"/>
                <w:lang w:val="en-US" w:eastAsia="zh-CN"/>
              </w:rPr>
              <w:t>法定代表人</w:t>
            </w:r>
            <w:r>
              <w:rPr>
                <w:rFonts w:hint="eastAsia" w:ascii="宋体" w:hAnsi="宋体" w:cs="宋体"/>
                <w:color w:val="auto"/>
                <w:kern w:val="0"/>
                <w:sz w:val="21"/>
                <w:szCs w:val="21"/>
                <w:highlight w:val="none"/>
              </w:rPr>
              <w:t>及授权人代表身份证复印件并依照规定格式签署和盖章，法定代表人参加投标的提供身份证复印件；</w:t>
            </w:r>
          </w:p>
        </w:tc>
        <w:tc>
          <w:tcPr>
            <w:tcW w:w="2595" w:type="dxa"/>
            <w:noWrap w:val="0"/>
            <w:vAlign w:val="center"/>
          </w:tcPr>
          <w:p>
            <w:pPr>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符合招标文件要求，通过。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700" w:type="dxa"/>
            <w:noWrap w:val="0"/>
            <w:vAlign w:val="center"/>
          </w:tcPr>
          <w:p>
            <w:pPr>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3</w:t>
            </w:r>
          </w:p>
        </w:tc>
        <w:tc>
          <w:tcPr>
            <w:tcW w:w="5723" w:type="dxa"/>
            <w:noWrap w:val="0"/>
            <w:vAlign w:val="center"/>
          </w:tcPr>
          <w:p>
            <w:pPr>
              <w:rPr>
                <w:rFonts w:hint="eastAsia" w:ascii="宋体" w:hAnsi="宋体" w:eastAsia="宋体" w:cs="宋体"/>
                <w:color w:val="auto"/>
                <w:kern w:val="0"/>
                <w:sz w:val="21"/>
                <w:szCs w:val="21"/>
                <w:highlight w:val="none"/>
                <w:lang w:eastAsia="zh-CN"/>
              </w:rPr>
            </w:pPr>
            <w:r>
              <w:rPr>
                <w:rFonts w:hint="eastAsia" w:ascii="宋体" w:hAnsi="宋体" w:cs="宋体"/>
                <w:color w:val="auto"/>
                <w:kern w:val="0"/>
                <w:sz w:val="21"/>
                <w:szCs w:val="21"/>
                <w:highlight w:val="none"/>
                <w:lang w:eastAsia="zh-CN"/>
              </w:rPr>
              <w:t>提供2022年度经审计的财务报告，或投标截止时间前6个月内任意时段的资产负债表，或投标截止时间前6个月内任意时间由基本开户银行出具的资信证明，或财政部门认可的政府采购专业担保机构出具的投标担保函。（以上四种形式的资料提供任何一种即可）</w:t>
            </w:r>
          </w:p>
        </w:tc>
        <w:tc>
          <w:tcPr>
            <w:tcW w:w="2595" w:type="dxa"/>
            <w:noWrap w:val="0"/>
            <w:vAlign w:val="center"/>
          </w:tcPr>
          <w:p>
            <w:pPr>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符合招标文件要求，通过。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9" w:hRule="atLeast"/>
        </w:trPr>
        <w:tc>
          <w:tcPr>
            <w:tcW w:w="700" w:type="dxa"/>
            <w:noWrap w:val="0"/>
            <w:vAlign w:val="center"/>
          </w:tcPr>
          <w:p>
            <w:pPr>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4</w:t>
            </w:r>
          </w:p>
        </w:tc>
        <w:tc>
          <w:tcPr>
            <w:tcW w:w="5723" w:type="dxa"/>
            <w:noWrap w:val="0"/>
            <w:vAlign w:val="center"/>
          </w:tcPr>
          <w:p>
            <w:pPr>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lang w:eastAsia="zh-CN"/>
              </w:rPr>
              <w:t>提供自投标截止时间前6个月内已缴纳任意时段完税凭证或税务机关开具的完税证明（任意税种）；依法免税的应提供相关文件证明</w:t>
            </w:r>
            <w:r>
              <w:rPr>
                <w:rFonts w:hint="eastAsia" w:ascii="宋体" w:hAnsi="宋体" w:cs="宋体"/>
                <w:color w:val="auto"/>
                <w:kern w:val="0"/>
                <w:sz w:val="21"/>
                <w:szCs w:val="21"/>
                <w:highlight w:val="none"/>
              </w:rPr>
              <w:t>；</w:t>
            </w:r>
          </w:p>
        </w:tc>
        <w:tc>
          <w:tcPr>
            <w:tcW w:w="2595" w:type="dxa"/>
            <w:noWrap w:val="0"/>
            <w:vAlign w:val="center"/>
          </w:tcPr>
          <w:p>
            <w:pPr>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符合招标文件要求，通过。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9" w:hRule="atLeast"/>
        </w:trPr>
        <w:tc>
          <w:tcPr>
            <w:tcW w:w="700" w:type="dxa"/>
            <w:noWrap w:val="0"/>
            <w:vAlign w:val="center"/>
          </w:tcPr>
          <w:p>
            <w:pPr>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5</w:t>
            </w:r>
          </w:p>
        </w:tc>
        <w:tc>
          <w:tcPr>
            <w:tcW w:w="5723" w:type="dxa"/>
            <w:noWrap w:val="0"/>
            <w:vAlign w:val="center"/>
          </w:tcPr>
          <w:p>
            <w:pPr>
              <w:rPr>
                <w:rFonts w:hint="eastAsia" w:ascii="宋体" w:hAnsi="宋体" w:eastAsia="宋体" w:cs="宋体"/>
                <w:color w:val="auto"/>
                <w:kern w:val="0"/>
                <w:sz w:val="21"/>
                <w:szCs w:val="21"/>
                <w:highlight w:val="none"/>
                <w:lang w:eastAsia="zh-CN"/>
              </w:rPr>
            </w:pPr>
            <w:r>
              <w:rPr>
                <w:rFonts w:hint="eastAsia" w:ascii="宋体" w:hAnsi="宋体" w:cs="宋体"/>
                <w:color w:val="auto"/>
                <w:kern w:val="0"/>
                <w:sz w:val="21"/>
                <w:szCs w:val="21"/>
                <w:highlight w:val="none"/>
                <w:lang w:eastAsia="zh-CN"/>
              </w:rPr>
              <w:t>提供自投标截止时间前6个月内已缴存的任意时段的社会保障资金缴存单据或社保机构开具的社会保险参保缴费情况证明；依法不需要缴纳社会保障资金的应提供相关文件证明；</w:t>
            </w:r>
          </w:p>
        </w:tc>
        <w:tc>
          <w:tcPr>
            <w:tcW w:w="2595" w:type="dxa"/>
            <w:noWrap w:val="0"/>
            <w:vAlign w:val="center"/>
          </w:tcPr>
          <w:p>
            <w:pPr>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符合招标文件要求，通过。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700" w:type="dxa"/>
            <w:noWrap w:val="0"/>
            <w:vAlign w:val="center"/>
          </w:tcPr>
          <w:p>
            <w:pPr>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6</w:t>
            </w:r>
          </w:p>
        </w:tc>
        <w:tc>
          <w:tcPr>
            <w:tcW w:w="5723" w:type="dxa"/>
            <w:noWrap w:val="0"/>
            <w:vAlign w:val="center"/>
          </w:tcPr>
          <w:p>
            <w:pPr>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具备履行合同所必需的设备和专业技术能力的书面声明，格式自拟；</w:t>
            </w:r>
          </w:p>
        </w:tc>
        <w:tc>
          <w:tcPr>
            <w:tcW w:w="2595" w:type="dxa"/>
            <w:noWrap w:val="0"/>
            <w:vAlign w:val="center"/>
          </w:tcPr>
          <w:p>
            <w:pPr>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符合招标文件要求，通过。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700" w:type="dxa"/>
            <w:noWrap w:val="0"/>
            <w:vAlign w:val="center"/>
          </w:tcPr>
          <w:p>
            <w:pPr>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7</w:t>
            </w:r>
          </w:p>
        </w:tc>
        <w:tc>
          <w:tcPr>
            <w:tcW w:w="5723" w:type="dxa"/>
            <w:noWrap w:val="0"/>
            <w:vAlign w:val="center"/>
          </w:tcPr>
          <w:p>
            <w:pPr>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参加政府采购活动前3年内在经营活动中没有重大违法记录的书面声明，格式自拟；</w:t>
            </w:r>
          </w:p>
        </w:tc>
        <w:tc>
          <w:tcPr>
            <w:tcW w:w="2595" w:type="dxa"/>
            <w:noWrap w:val="0"/>
            <w:vAlign w:val="center"/>
          </w:tcPr>
          <w:p>
            <w:pPr>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符合招标文件要求，通过。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700" w:type="dxa"/>
            <w:noWrap w:val="0"/>
            <w:vAlign w:val="center"/>
          </w:tcPr>
          <w:p>
            <w:pPr>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8</w:t>
            </w:r>
          </w:p>
        </w:tc>
        <w:tc>
          <w:tcPr>
            <w:tcW w:w="5723" w:type="dxa"/>
            <w:noWrap w:val="0"/>
            <w:vAlign w:val="center"/>
          </w:tcPr>
          <w:p>
            <w:pPr>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信用查询</w:t>
            </w:r>
          </w:p>
        </w:tc>
        <w:tc>
          <w:tcPr>
            <w:tcW w:w="2595" w:type="dxa"/>
            <w:noWrap w:val="0"/>
            <w:vAlign w:val="center"/>
          </w:tcPr>
          <w:p>
            <w:pPr>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符合招标文件要求，通过。</w:t>
            </w:r>
          </w:p>
        </w:tc>
      </w:tr>
    </w:tbl>
    <w:p>
      <w:pPr>
        <w:pStyle w:val="4"/>
        <w:spacing w:before="78" w:after="78"/>
        <w:rPr>
          <w:rFonts w:hint="eastAsia" w:ascii="宋体" w:hAnsi="宋体"/>
          <w:color w:val="auto"/>
          <w:highlight w:val="none"/>
          <w:lang w:val="en-US" w:eastAsia="zh-CN"/>
        </w:rPr>
      </w:pPr>
      <w:bookmarkStart w:id="59" w:name="_Toc52064327"/>
      <w:bookmarkStart w:id="60" w:name="_Toc52064870"/>
      <w:bookmarkStart w:id="61" w:name="_Toc48301729"/>
      <w:bookmarkStart w:id="62" w:name="_Toc25772"/>
      <w:r>
        <w:rPr>
          <w:rFonts w:hint="eastAsia" w:ascii="宋体" w:hAnsi="宋体"/>
          <w:color w:val="auto"/>
          <w:highlight w:val="none"/>
          <w:lang w:val="en-US" w:eastAsia="zh-CN"/>
        </w:rPr>
        <w:t>三</w:t>
      </w:r>
      <w:r>
        <w:rPr>
          <w:rFonts w:hint="eastAsia"/>
          <w:color w:val="auto"/>
          <w:highlight w:val="none"/>
          <w:lang w:val="en-US" w:eastAsia="zh-CN"/>
        </w:rPr>
        <w:t>、</w:t>
      </w:r>
      <w:r>
        <w:rPr>
          <w:rFonts w:hint="eastAsia" w:ascii="宋体" w:hAnsi="宋体"/>
          <w:color w:val="auto"/>
          <w:highlight w:val="none"/>
          <w:lang w:val="en-US" w:eastAsia="zh-CN"/>
        </w:rPr>
        <w:t>评标</w:t>
      </w:r>
      <w:bookmarkEnd w:id="59"/>
      <w:bookmarkEnd w:id="60"/>
      <w:bookmarkEnd w:id="61"/>
      <w:bookmarkEnd w:id="62"/>
    </w:p>
    <w:p>
      <w:pPr>
        <w:spacing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（一）采购代理机构负责组织评标工作，并履行下列职责：</w:t>
      </w:r>
    </w:p>
    <w:p>
      <w:pPr>
        <w:spacing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1、核对评审专家身份和采购人对采购人代表授权函，对评审专家在政府采购活动重的职责履行情况予以记录，并及时将有关违法违规行为向财政部门报告；</w:t>
      </w:r>
    </w:p>
    <w:p>
      <w:pPr>
        <w:spacing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2、宣布评标纪律；</w:t>
      </w:r>
    </w:p>
    <w:p>
      <w:pPr>
        <w:spacing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3、公布投标人名单，告知评审专家应当回避的情形；</w:t>
      </w:r>
    </w:p>
    <w:p>
      <w:pPr>
        <w:spacing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4、组织评审委员会推选评标组长；</w:t>
      </w:r>
    </w:p>
    <w:p>
      <w:pPr>
        <w:spacing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5、在评标期间采取必要的通讯管理措施，保证评标活动不受外界干扰；</w:t>
      </w:r>
    </w:p>
    <w:p>
      <w:pPr>
        <w:spacing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6、根据评标委员会的要求介绍政府采购相关法规和招标文件规定及要求；</w:t>
      </w:r>
    </w:p>
    <w:p>
      <w:pPr>
        <w:spacing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7、维护评标秩序，监督评标委员会依照招标文件规定的评标程序、方法和标准进行独立评审，及时制止和纠正采购人代表、评审专家的倾向性言论或者违法违规行为；</w:t>
      </w:r>
    </w:p>
    <w:p>
      <w:pPr>
        <w:spacing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8、核对评标结果；</w:t>
      </w:r>
    </w:p>
    <w:p>
      <w:pPr>
        <w:spacing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9、处理与评标有关的其他事项。</w:t>
      </w:r>
    </w:p>
    <w:p>
      <w:pPr>
        <w:spacing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（二）评标委员会由采购人代表和评审专家组成，于开标之前抽取。</w:t>
      </w:r>
    </w:p>
    <w:p>
      <w:pPr>
        <w:spacing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（三）评标委员会负责具体评标事务，并独立履行下列职责：</w:t>
      </w:r>
    </w:p>
    <w:p>
      <w:pPr>
        <w:spacing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1、通过符合性审查，审查、评价投标文件是否符合招标文件要求的完整性、签署和盖章，以及是否满足商务、技术实质性要求。</w:t>
      </w:r>
    </w:p>
    <w:p>
      <w:pPr>
        <w:spacing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2、</w:t>
      </w:r>
      <w:r>
        <w:rPr>
          <w:rFonts w:hint="eastAsia" w:ascii="宋体" w:hAnsi="宋体"/>
          <w:color w:val="auto"/>
          <w:sz w:val="21"/>
          <w:szCs w:val="21"/>
          <w:highlight w:val="none"/>
          <w:lang w:val="en-US" w:eastAsia="zh-CN"/>
        </w:rPr>
        <w:t>评标委员会应当对符合资格的投标人的投标文件进行符合性审查，以确定其是否满足招标文件的实质性要求。</w:t>
      </w:r>
      <w:r>
        <w:rPr>
          <w:rFonts w:hint="eastAsia" w:ascii="宋体" w:hAnsi="宋体"/>
          <w:color w:val="auto"/>
          <w:sz w:val="21"/>
          <w:szCs w:val="21"/>
          <w:highlight w:val="none"/>
        </w:rPr>
        <w:t>审查内容出现任何一项不符合，按无效响应处理。符合性审查内容如下：</w:t>
      </w:r>
    </w:p>
    <w:tbl>
      <w:tblPr>
        <w:tblStyle w:val="23"/>
        <w:tblW w:w="9504"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17"/>
        <w:gridCol w:w="5670"/>
        <w:gridCol w:w="301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17" w:type="dxa"/>
            <w:noWrap w:val="0"/>
            <w:vAlign w:val="center"/>
          </w:tcPr>
          <w:p>
            <w:pPr>
              <w:spacing w:line="360" w:lineRule="auto"/>
              <w:jc w:val="left"/>
              <w:rPr>
                <w:rFonts w:hint="eastAsia" w:ascii="宋体" w:hAnsi="宋体"/>
                <w:color w:val="auto"/>
                <w:sz w:val="21"/>
                <w:szCs w:val="21"/>
                <w:highlight w:val="none"/>
              </w:rPr>
            </w:pPr>
            <w:r>
              <w:rPr>
                <w:rFonts w:hint="eastAsia" w:ascii="宋体" w:hAnsi="宋体"/>
                <w:color w:val="auto"/>
                <w:sz w:val="21"/>
                <w:szCs w:val="21"/>
                <w:highlight w:val="none"/>
              </w:rPr>
              <w:t>序号</w:t>
            </w:r>
          </w:p>
        </w:tc>
        <w:tc>
          <w:tcPr>
            <w:tcW w:w="5670" w:type="dxa"/>
            <w:noWrap w:val="0"/>
            <w:vAlign w:val="center"/>
          </w:tcPr>
          <w:p>
            <w:pPr>
              <w:spacing w:line="360" w:lineRule="auto"/>
              <w:jc w:val="left"/>
              <w:rPr>
                <w:rFonts w:hint="eastAsia" w:ascii="宋体" w:hAnsi="宋体"/>
                <w:color w:val="auto"/>
                <w:sz w:val="21"/>
                <w:szCs w:val="21"/>
                <w:highlight w:val="none"/>
              </w:rPr>
            </w:pPr>
            <w:r>
              <w:rPr>
                <w:rFonts w:hint="eastAsia" w:ascii="宋体" w:hAnsi="宋体"/>
                <w:color w:val="auto"/>
                <w:sz w:val="21"/>
                <w:szCs w:val="21"/>
                <w:highlight w:val="none"/>
              </w:rPr>
              <w:t>审查内容</w:t>
            </w:r>
          </w:p>
        </w:tc>
        <w:tc>
          <w:tcPr>
            <w:tcW w:w="3017" w:type="dxa"/>
            <w:noWrap w:val="0"/>
            <w:vAlign w:val="center"/>
          </w:tcPr>
          <w:p>
            <w:pPr>
              <w:spacing w:line="360" w:lineRule="auto"/>
              <w:jc w:val="left"/>
              <w:rPr>
                <w:rFonts w:hint="eastAsia" w:ascii="宋体" w:hAnsi="宋体"/>
                <w:color w:val="auto"/>
                <w:sz w:val="21"/>
                <w:szCs w:val="21"/>
                <w:highlight w:val="none"/>
              </w:rPr>
            </w:pPr>
            <w:r>
              <w:rPr>
                <w:rFonts w:hint="eastAsia" w:ascii="宋体" w:hAnsi="宋体"/>
                <w:color w:val="auto"/>
                <w:sz w:val="21"/>
                <w:szCs w:val="21"/>
                <w:highlight w:val="none"/>
              </w:rPr>
              <w:t>审查标准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17" w:type="dxa"/>
            <w:noWrap w:val="0"/>
            <w:vAlign w:val="center"/>
          </w:tcPr>
          <w:p>
            <w:pPr>
              <w:spacing w:line="360" w:lineRule="auto"/>
              <w:jc w:val="center"/>
              <w:rPr>
                <w:rFonts w:hint="eastAsia" w:ascii="宋体" w:hAnsi="宋体"/>
                <w:color w:val="auto"/>
                <w:sz w:val="21"/>
                <w:szCs w:val="21"/>
                <w:highlight w:val="none"/>
              </w:rPr>
            </w:pPr>
            <w:r>
              <w:rPr>
                <w:rFonts w:hint="eastAsia" w:ascii="宋体" w:hAnsi="宋体"/>
                <w:color w:val="auto"/>
                <w:sz w:val="21"/>
                <w:szCs w:val="21"/>
                <w:highlight w:val="none"/>
              </w:rPr>
              <w:t>1</w:t>
            </w:r>
          </w:p>
        </w:tc>
        <w:tc>
          <w:tcPr>
            <w:tcW w:w="567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color w:val="auto"/>
                <w:sz w:val="21"/>
                <w:szCs w:val="21"/>
                <w:highlight w:val="none"/>
              </w:rPr>
            </w:pPr>
            <w:r>
              <w:rPr>
                <w:rFonts w:hint="eastAsia" w:ascii="宋体" w:hAnsi="宋体"/>
                <w:color w:val="auto"/>
                <w:sz w:val="21"/>
                <w:szCs w:val="21"/>
                <w:highlight w:val="none"/>
                <w:lang w:val="en-US" w:eastAsia="zh-CN"/>
              </w:rPr>
              <w:t>是否</w:t>
            </w:r>
            <w:r>
              <w:rPr>
                <w:rFonts w:hint="eastAsia" w:ascii="宋体" w:hAnsi="宋体"/>
                <w:color w:val="auto"/>
                <w:sz w:val="21"/>
                <w:szCs w:val="21"/>
                <w:highlight w:val="none"/>
              </w:rPr>
              <w:t>按照招标文件要求和格式编制投标文件，数量符合。</w:t>
            </w:r>
          </w:p>
        </w:tc>
        <w:tc>
          <w:tcPr>
            <w:tcW w:w="301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color w:val="auto"/>
                <w:sz w:val="21"/>
                <w:szCs w:val="21"/>
                <w:highlight w:val="none"/>
              </w:rPr>
            </w:pPr>
            <w:r>
              <w:rPr>
                <w:rFonts w:hint="eastAsia" w:ascii="宋体" w:hAnsi="宋体"/>
                <w:color w:val="auto"/>
                <w:sz w:val="21"/>
                <w:szCs w:val="21"/>
                <w:highlight w:val="none"/>
              </w:rPr>
              <w:t>符合招标文件要求，通过。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17" w:type="dxa"/>
            <w:noWrap w:val="0"/>
            <w:vAlign w:val="center"/>
          </w:tcPr>
          <w:p>
            <w:pPr>
              <w:spacing w:line="360" w:lineRule="auto"/>
              <w:jc w:val="center"/>
              <w:rPr>
                <w:rFonts w:hint="eastAsia" w:ascii="宋体" w:hAnsi="宋体"/>
                <w:color w:val="auto"/>
                <w:sz w:val="21"/>
                <w:szCs w:val="21"/>
                <w:highlight w:val="none"/>
              </w:rPr>
            </w:pPr>
            <w:r>
              <w:rPr>
                <w:rFonts w:hint="eastAsia" w:ascii="宋体" w:hAnsi="宋体"/>
                <w:color w:val="auto"/>
                <w:sz w:val="21"/>
                <w:szCs w:val="21"/>
                <w:highlight w:val="none"/>
              </w:rPr>
              <w:t>2</w:t>
            </w:r>
          </w:p>
        </w:tc>
        <w:tc>
          <w:tcPr>
            <w:tcW w:w="567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color w:val="auto"/>
                <w:sz w:val="21"/>
                <w:szCs w:val="21"/>
                <w:highlight w:val="none"/>
              </w:rPr>
            </w:pPr>
            <w:r>
              <w:rPr>
                <w:rFonts w:hint="eastAsia" w:ascii="宋体" w:hAnsi="宋体"/>
                <w:color w:val="auto"/>
                <w:sz w:val="21"/>
                <w:szCs w:val="21"/>
                <w:highlight w:val="none"/>
              </w:rPr>
              <w:t>投标文件的签署、加盖印章是否合格、有效。</w:t>
            </w:r>
          </w:p>
        </w:tc>
        <w:tc>
          <w:tcPr>
            <w:tcW w:w="301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color w:val="auto"/>
                <w:sz w:val="21"/>
                <w:szCs w:val="21"/>
                <w:highlight w:val="none"/>
              </w:rPr>
            </w:pPr>
            <w:r>
              <w:rPr>
                <w:rFonts w:hint="eastAsia" w:ascii="宋体" w:hAnsi="宋体"/>
                <w:color w:val="auto"/>
                <w:sz w:val="21"/>
                <w:szCs w:val="21"/>
                <w:highlight w:val="none"/>
              </w:rPr>
              <w:t>符合招标文件要求，通过。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17" w:type="dxa"/>
            <w:noWrap w:val="0"/>
            <w:vAlign w:val="center"/>
          </w:tcPr>
          <w:p>
            <w:pPr>
              <w:spacing w:line="360" w:lineRule="auto"/>
              <w:jc w:val="center"/>
              <w:rPr>
                <w:rFonts w:hint="eastAsia" w:ascii="宋体" w:hAnsi="宋体"/>
                <w:color w:val="auto"/>
                <w:sz w:val="21"/>
                <w:szCs w:val="21"/>
                <w:highlight w:val="none"/>
              </w:rPr>
            </w:pPr>
            <w:r>
              <w:rPr>
                <w:rFonts w:hint="eastAsia" w:ascii="宋体" w:hAnsi="宋体"/>
                <w:color w:val="auto"/>
                <w:sz w:val="21"/>
                <w:szCs w:val="21"/>
                <w:highlight w:val="none"/>
              </w:rPr>
              <w:t>3</w:t>
            </w:r>
          </w:p>
        </w:tc>
        <w:tc>
          <w:tcPr>
            <w:tcW w:w="567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color w:val="auto"/>
                <w:sz w:val="21"/>
                <w:szCs w:val="21"/>
                <w:highlight w:val="none"/>
              </w:rPr>
            </w:pPr>
            <w:r>
              <w:rPr>
                <w:rFonts w:hint="eastAsia" w:ascii="宋体" w:hAnsi="宋体"/>
                <w:color w:val="auto"/>
                <w:sz w:val="21"/>
                <w:szCs w:val="21"/>
                <w:highlight w:val="none"/>
              </w:rPr>
              <w:t>投标有效期</w:t>
            </w:r>
            <w:r>
              <w:rPr>
                <w:rFonts w:hint="eastAsia" w:ascii="宋体" w:hAnsi="宋体"/>
                <w:color w:val="auto"/>
                <w:sz w:val="21"/>
                <w:szCs w:val="21"/>
                <w:highlight w:val="none"/>
                <w:lang w:val="en-US" w:eastAsia="zh-CN"/>
              </w:rPr>
              <w:t>是否</w:t>
            </w:r>
            <w:r>
              <w:rPr>
                <w:rFonts w:hint="eastAsia" w:ascii="宋体" w:hAnsi="宋体"/>
                <w:color w:val="auto"/>
                <w:sz w:val="21"/>
                <w:szCs w:val="21"/>
                <w:highlight w:val="none"/>
              </w:rPr>
              <w:t>符合招标文件要求。</w:t>
            </w:r>
          </w:p>
        </w:tc>
        <w:tc>
          <w:tcPr>
            <w:tcW w:w="301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color w:val="auto"/>
                <w:sz w:val="21"/>
                <w:szCs w:val="21"/>
                <w:highlight w:val="none"/>
              </w:rPr>
            </w:pPr>
            <w:r>
              <w:rPr>
                <w:rFonts w:hint="eastAsia" w:ascii="宋体" w:hAnsi="宋体"/>
                <w:color w:val="auto"/>
                <w:sz w:val="21"/>
                <w:szCs w:val="21"/>
                <w:highlight w:val="none"/>
              </w:rPr>
              <w:t>符合招标文件要求，通过。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17" w:type="dxa"/>
            <w:noWrap w:val="0"/>
            <w:vAlign w:val="center"/>
          </w:tcPr>
          <w:p>
            <w:pPr>
              <w:spacing w:line="360" w:lineRule="auto"/>
              <w:jc w:val="center"/>
              <w:rPr>
                <w:rFonts w:hint="eastAsia" w:ascii="宋体" w:hAnsi="宋体" w:eastAsia="宋体"/>
                <w:color w:val="auto"/>
                <w:sz w:val="21"/>
                <w:szCs w:val="21"/>
                <w:highlight w:val="none"/>
                <w:lang w:eastAsia="zh-CN"/>
              </w:rPr>
            </w:pPr>
            <w:r>
              <w:rPr>
                <w:rFonts w:hint="eastAsia" w:ascii="宋体" w:hAnsi="宋体"/>
                <w:color w:val="auto"/>
                <w:sz w:val="21"/>
                <w:szCs w:val="21"/>
                <w:highlight w:val="none"/>
                <w:lang w:val="en-US" w:eastAsia="zh-CN"/>
              </w:rPr>
              <w:t>4</w:t>
            </w:r>
          </w:p>
        </w:tc>
        <w:tc>
          <w:tcPr>
            <w:tcW w:w="567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olor w:val="auto"/>
                <w:sz w:val="21"/>
                <w:szCs w:val="21"/>
                <w:highlight w:val="none"/>
                <w:lang w:eastAsia="zh-CN"/>
              </w:rPr>
            </w:pPr>
            <w:r>
              <w:rPr>
                <w:rFonts w:hint="eastAsia" w:ascii="宋体" w:hAnsi="宋体"/>
                <w:color w:val="auto"/>
                <w:sz w:val="21"/>
                <w:szCs w:val="21"/>
                <w:highlight w:val="none"/>
              </w:rPr>
              <w:t>投标报价是否超过</w:t>
            </w:r>
            <w:r>
              <w:rPr>
                <w:rFonts w:hint="eastAsia" w:ascii="宋体" w:hAnsi="宋体"/>
                <w:color w:val="auto"/>
                <w:sz w:val="21"/>
                <w:szCs w:val="21"/>
                <w:highlight w:val="none"/>
                <w:lang w:eastAsia="zh-CN"/>
              </w:rPr>
              <w:t>最高限价</w:t>
            </w:r>
          </w:p>
        </w:tc>
        <w:tc>
          <w:tcPr>
            <w:tcW w:w="301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color w:val="auto"/>
                <w:sz w:val="21"/>
                <w:szCs w:val="21"/>
                <w:highlight w:val="none"/>
              </w:rPr>
            </w:pPr>
            <w:r>
              <w:rPr>
                <w:rFonts w:hint="eastAsia" w:ascii="宋体" w:hAnsi="宋体"/>
                <w:color w:val="auto"/>
                <w:sz w:val="21"/>
                <w:szCs w:val="21"/>
                <w:highlight w:val="none"/>
              </w:rPr>
              <w:t>符合招标文件要求，通过。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17" w:type="dxa"/>
            <w:noWrap w:val="0"/>
            <w:vAlign w:val="center"/>
          </w:tcPr>
          <w:p>
            <w:pPr>
              <w:spacing w:line="360" w:lineRule="auto"/>
              <w:jc w:val="center"/>
              <w:rPr>
                <w:rFonts w:hint="eastAsia" w:ascii="宋体" w:hAnsi="宋体" w:eastAsia="宋体"/>
                <w:color w:val="auto"/>
                <w:sz w:val="21"/>
                <w:szCs w:val="21"/>
                <w:highlight w:val="none"/>
                <w:lang w:eastAsia="zh-CN"/>
              </w:rPr>
            </w:pPr>
            <w:r>
              <w:rPr>
                <w:rFonts w:hint="eastAsia" w:ascii="宋体" w:hAnsi="宋体"/>
                <w:color w:val="auto"/>
                <w:sz w:val="21"/>
                <w:szCs w:val="21"/>
                <w:highlight w:val="none"/>
                <w:lang w:val="en-US" w:eastAsia="zh-CN"/>
              </w:rPr>
              <w:t>5</w:t>
            </w:r>
          </w:p>
        </w:tc>
        <w:tc>
          <w:tcPr>
            <w:tcW w:w="567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color w:val="auto"/>
                <w:sz w:val="21"/>
                <w:szCs w:val="21"/>
                <w:highlight w:val="none"/>
              </w:rPr>
            </w:pPr>
            <w:r>
              <w:rPr>
                <w:rFonts w:hint="eastAsia" w:ascii="宋体" w:hAnsi="宋体"/>
                <w:color w:val="auto"/>
                <w:sz w:val="21"/>
                <w:szCs w:val="21"/>
                <w:highlight w:val="none"/>
              </w:rPr>
              <w:t>投标没有出现招标文件规定的其它无效响应情形。</w:t>
            </w:r>
          </w:p>
        </w:tc>
        <w:tc>
          <w:tcPr>
            <w:tcW w:w="301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color w:val="auto"/>
                <w:sz w:val="21"/>
                <w:szCs w:val="21"/>
                <w:highlight w:val="none"/>
              </w:rPr>
            </w:pPr>
            <w:r>
              <w:rPr>
                <w:rFonts w:hint="eastAsia" w:ascii="宋体" w:hAnsi="宋体"/>
                <w:color w:val="auto"/>
                <w:sz w:val="21"/>
                <w:szCs w:val="21"/>
                <w:highlight w:val="none"/>
              </w:rPr>
              <w:t>符合招标文件要求，通过。</w:t>
            </w:r>
          </w:p>
        </w:tc>
      </w:tr>
    </w:tbl>
    <w:p>
      <w:pPr>
        <w:spacing w:line="360" w:lineRule="auto"/>
        <w:ind w:firstLine="420" w:firstLineChars="200"/>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3、要求投标人对投标文件有关事项作出澄清或者说明；</w:t>
      </w:r>
    </w:p>
    <w:p>
      <w:pPr>
        <w:spacing w:line="360" w:lineRule="auto"/>
        <w:ind w:firstLine="420" w:firstLineChars="200"/>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4、对投标文件进行对比和评价；</w:t>
      </w:r>
    </w:p>
    <w:p>
      <w:pPr>
        <w:spacing w:line="360" w:lineRule="auto"/>
        <w:ind w:firstLine="420" w:firstLineChars="200"/>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5、确定中标候选人名单，以及根据采购人委托直接确定中标人；</w:t>
      </w:r>
    </w:p>
    <w:p>
      <w:pPr>
        <w:spacing w:line="360" w:lineRule="auto"/>
        <w:ind w:firstLine="420" w:firstLineChars="200"/>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6、向采购代理机构或者有关部门报告评标中发现的违法行为。</w:t>
      </w:r>
    </w:p>
    <w:p>
      <w:pPr>
        <w:spacing w:line="360" w:lineRule="auto"/>
        <w:ind w:firstLine="420" w:firstLineChars="200"/>
        <w:rPr>
          <w:rFonts w:hint="eastAsia"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7、对于投标文件中含义不明确、同类问题表述不一致或者有明显文字和计算错误的内容，评标委员会应当以书面形式要求投标人作出必要的澄清、说明或者补正。</w:t>
      </w:r>
    </w:p>
    <w:p>
      <w:pPr>
        <w:spacing w:line="360" w:lineRule="auto"/>
        <w:ind w:firstLine="420" w:firstLineChars="200"/>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lang w:val="en-US" w:eastAsia="zh-CN"/>
        </w:rPr>
        <w:t xml:space="preserve">（四）评标委员会及其成员不得有下列行为： </w:t>
      </w:r>
    </w:p>
    <w:p>
      <w:pPr>
        <w:spacing w:line="360" w:lineRule="auto"/>
        <w:ind w:firstLine="420" w:firstLineChars="200"/>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lang w:val="en-US" w:eastAsia="zh-CN"/>
        </w:rPr>
        <w:t xml:space="preserve">1、确定参与评标至评标结束前私自接触投标人； </w:t>
      </w:r>
    </w:p>
    <w:p>
      <w:pPr>
        <w:spacing w:line="360" w:lineRule="auto"/>
        <w:ind w:firstLine="420" w:firstLineChars="200"/>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lang w:val="en-US" w:eastAsia="zh-CN"/>
        </w:rPr>
        <w:t xml:space="preserve">2、接受投标人提出的与投标文件不一致的澄清或者说明，本办法第五十一条规定的情形除外； </w:t>
      </w:r>
    </w:p>
    <w:p>
      <w:pPr>
        <w:spacing w:line="360" w:lineRule="auto"/>
        <w:ind w:firstLine="420" w:firstLineChars="200"/>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lang w:val="en-US" w:eastAsia="zh-CN"/>
        </w:rPr>
        <w:t xml:space="preserve">3、违反评标纪律发表倾向性意见或者征询采购人的倾向性意见； </w:t>
      </w:r>
    </w:p>
    <w:p>
      <w:pPr>
        <w:spacing w:line="360" w:lineRule="auto"/>
        <w:ind w:firstLine="420" w:firstLineChars="200"/>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lang w:val="en-US" w:eastAsia="zh-CN"/>
        </w:rPr>
        <w:t xml:space="preserve">4、对需要专业判断的主观评审因素协商评分； </w:t>
      </w:r>
    </w:p>
    <w:p>
      <w:pPr>
        <w:spacing w:line="360" w:lineRule="auto"/>
        <w:ind w:firstLine="420" w:firstLineChars="200"/>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lang w:val="en-US" w:eastAsia="zh-CN"/>
        </w:rPr>
        <w:t xml:space="preserve">5、在评标过程中擅离职守，影响评标程序正常进行的； </w:t>
      </w:r>
    </w:p>
    <w:p>
      <w:pPr>
        <w:spacing w:line="360" w:lineRule="auto"/>
        <w:ind w:firstLine="420" w:firstLineChars="200"/>
        <w:rPr>
          <w:rFonts w:hint="eastAsia"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 xml:space="preserve">6、记录、复制或者带走任何评标资料； </w:t>
      </w:r>
    </w:p>
    <w:p>
      <w:pPr>
        <w:spacing w:line="360" w:lineRule="auto"/>
        <w:ind w:firstLine="420" w:firstLineChars="200"/>
        <w:rPr>
          <w:rFonts w:hint="eastAsia"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 xml:space="preserve">7、其他不遵守评标纪律的行为。 </w:t>
      </w:r>
    </w:p>
    <w:p>
      <w:pPr>
        <w:spacing w:line="360" w:lineRule="auto"/>
        <w:ind w:firstLine="420" w:firstLineChars="200"/>
        <w:rPr>
          <w:rFonts w:hint="eastAsia"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8、评标委员会成员有前款第一至五项行为之一的，其评审意见无效，并不得获取评审劳务报酬和报销异地评审差旅费。</w:t>
      </w:r>
    </w:p>
    <w:p>
      <w:pPr>
        <w:spacing w:line="360" w:lineRule="auto"/>
        <w:ind w:firstLine="420" w:firstLineChars="200"/>
        <w:rPr>
          <w:rFonts w:hint="eastAsia"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（四）评标委员会应当按照招标文件中规定的评标方法和标准，对符合性审查合格的投标文件进行商务和技术评估，综合比较与评价。</w:t>
      </w:r>
    </w:p>
    <w:p>
      <w:pPr>
        <w:spacing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1、本项目评标采用综合评分法。</w:t>
      </w:r>
    </w:p>
    <w:p>
      <w:pPr>
        <w:spacing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2、综合评审因素及分值：</w:t>
      </w:r>
    </w:p>
    <w:tbl>
      <w:tblPr>
        <w:tblStyle w:val="23"/>
        <w:tblW w:w="9495" w:type="dxa"/>
        <w:tblInd w:w="-24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2"/>
        <w:gridCol w:w="788"/>
        <w:gridCol w:w="1492"/>
        <w:gridCol w:w="930"/>
        <w:gridCol w:w="56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08" w:hRule="atLeast"/>
          <w:tblHeader/>
        </w:trPr>
        <w:tc>
          <w:tcPr>
            <w:tcW w:w="65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
                <w:color w:val="auto"/>
                <w:szCs w:val="21"/>
                <w:highlight w:val="none"/>
                <w:lang w:val="en-US" w:eastAsia="zh-CN"/>
              </w:rPr>
            </w:pPr>
            <w:r>
              <w:rPr>
                <w:rFonts w:hint="eastAsia" w:ascii="宋体" w:hAnsi="宋体" w:cs="宋体"/>
                <w:b/>
                <w:color w:val="auto"/>
                <w:szCs w:val="21"/>
                <w:highlight w:val="none"/>
                <w:lang w:val="en-US" w:eastAsia="zh-CN"/>
              </w:rPr>
              <w:t>评审因素</w:t>
            </w:r>
          </w:p>
        </w:tc>
        <w:tc>
          <w:tcPr>
            <w:tcW w:w="78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color w:val="auto"/>
                <w:szCs w:val="21"/>
                <w:highlight w:val="none"/>
              </w:rPr>
            </w:pPr>
            <w:r>
              <w:rPr>
                <w:rFonts w:hint="eastAsia" w:ascii="宋体" w:hAnsi="宋体" w:cs="宋体"/>
                <w:b/>
                <w:color w:val="auto"/>
                <w:szCs w:val="21"/>
                <w:highlight w:val="none"/>
              </w:rPr>
              <w:t>总分</w:t>
            </w:r>
          </w:p>
        </w:tc>
        <w:tc>
          <w:tcPr>
            <w:tcW w:w="149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
                <w:color w:val="auto"/>
                <w:szCs w:val="21"/>
                <w:highlight w:val="none"/>
                <w:lang w:val="en-US" w:eastAsia="zh-CN"/>
              </w:rPr>
            </w:pPr>
            <w:r>
              <w:rPr>
                <w:rFonts w:hint="eastAsia" w:ascii="宋体" w:hAnsi="宋体" w:cs="宋体"/>
                <w:b/>
                <w:color w:val="auto"/>
                <w:szCs w:val="21"/>
                <w:highlight w:val="none"/>
              </w:rPr>
              <w:t>评审</w:t>
            </w:r>
            <w:r>
              <w:rPr>
                <w:rFonts w:hint="eastAsia" w:ascii="宋体" w:hAnsi="宋体" w:cs="宋体"/>
                <w:b/>
                <w:color w:val="auto"/>
                <w:szCs w:val="21"/>
                <w:highlight w:val="none"/>
                <w:lang w:val="en-US" w:eastAsia="zh-CN"/>
              </w:rPr>
              <w:t>项</w:t>
            </w:r>
          </w:p>
        </w:tc>
        <w:tc>
          <w:tcPr>
            <w:tcW w:w="93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color w:val="auto"/>
                <w:szCs w:val="21"/>
                <w:highlight w:val="none"/>
              </w:rPr>
            </w:pPr>
            <w:r>
              <w:rPr>
                <w:rFonts w:hint="eastAsia" w:ascii="宋体" w:hAnsi="宋体" w:cs="宋体"/>
                <w:b/>
                <w:color w:val="auto"/>
                <w:szCs w:val="21"/>
                <w:highlight w:val="none"/>
              </w:rPr>
              <w:t>最高</w:t>
            </w:r>
          </w:p>
          <w:p>
            <w:pPr>
              <w:jc w:val="center"/>
              <w:rPr>
                <w:rFonts w:ascii="宋体" w:hAnsi="宋体" w:cs="宋体"/>
                <w:b/>
                <w:color w:val="auto"/>
                <w:szCs w:val="21"/>
                <w:highlight w:val="none"/>
              </w:rPr>
            </w:pPr>
            <w:r>
              <w:rPr>
                <w:rFonts w:hint="eastAsia" w:ascii="宋体" w:hAnsi="宋体" w:cs="宋体"/>
                <w:b/>
                <w:color w:val="auto"/>
                <w:szCs w:val="21"/>
                <w:highlight w:val="none"/>
              </w:rPr>
              <w:t>得分</w:t>
            </w:r>
          </w:p>
        </w:tc>
        <w:tc>
          <w:tcPr>
            <w:tcW w:w="563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color w:val="auto"/>
                <w:szCs w:val="21"/>
                <w:highlight w:val="none"/>
              </w:rPr>
            </w:pPr>
            <w:r>
              <w:rPr>
                <w:rFonts w:hint="eastAsia" w:ascii="宋体" w:hAnsi="宋体" w:cs="宋体"/>
                <w:b/>
                <w:color w:val="auto"/>
                <w:szCs w:val="21"/>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92" w:hRule="atLeast"/>
        </w:trPr>
        <w:tc>
          <w:tcPr>
            <w:tcW w:w="652" w:type="dxa"/>
            <w:tcBorders>
              <w:top w:val="single" w:color="auto" w:sz="4" w:space="0"/>
              <w:left w:val="single" w:color="auto" w:sz="4" w:space="0"/>
              <w:right w:val="single" w:color="auto" w:sz="4" w:space="0"/>
            </w:tcBorders>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价格</w:t>
            </w:r>
          </w:p>
        </w:tc>
        <w:tc>
          <w:tcPr>
            <w:tcW w:w="78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rPr>
              <w:t>0分</w:t>
            </w:r>
          </w:p>
        </w:tc>
        <w:tc>
          <w:tcPr>
            <w:tcW w:w="149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投标报价</w:t>
            </w:r>
          </w:p>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rPr>
              <w:t>0分）</w:t>
            </w:r>
          </w:p>
        </w:tc>
        <w:tc>
          <w:tcPr>
            <w:tcW w:w="93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rPr>
              <w:t>0</w:t>
            </w:r>
            <w:r>
              <w:rPr>
                <w:rFonts w:hint="eastAsia" w:ascii="宋体" w:hAnsi="宋体" w:eastAsia="宋体" w:cs="宋体"/>
                <w:color w:val="auto"/>
                <w:sz w:val="21"/>
                <w:szCs w:val="21"/>
                <w:highlight w:val="none"/>
                <w:lang w:val="zh-CN"/>
              </w:rPr>
              <w:t>分</w:t>
            </w:r>
          </w:p>
        </w:tc>
        <w:tc>
          <w:tcPr>
            <w:tcW w:w="563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adjustRightInd/>
              <w:snapToGrid w:val="0"/>
              <w:spacing w:line="400" w:lineRule="exact"/>
              <w:ind w:firstLine="315" w:firstLineChars="15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采用低价优先法计算，即满足招标文件要求且投标价格最低的投标报价为评标基准价，其价格分为满分。 投标报价得分＝（评标基准价/投标报价）*</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lang w:val="en-US" w:eastAsia="zh-CN"/>
              </w:rPr>
              <w:t xml:space="preserve">0 </w:t>
            </w:r>
          </w:p>
          <w:p>
            <w:pPr>
              <w:keepNext w:val="0"/>
              <w:keepLines w:val="0"/>
              <w:pageBreakBefore w:val="0"/>
              <w:widowControl w:val="0"/>
              <w:kinsoku/>
              <w:wordWrap/>
              <w:overflowPunct/>
              <w:topLinePunct w:val="0"/>
              <w:bidi w:val="0"/>
              <w:adjustRightInd/>
              <w:snapToGrid w:val="0"/>
              <w:spacing w:line="400" w:lineRule="exact"/>
              <w:ind w:firstLine="315" w:firstLineChars="15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备注：当评标委员会认为某个投标人的报价明显低于其他通过符合性审查投标人的报价，有可能影响设备质量和不能诚信履约的，应要求该投标人在评标现场合理的时间内提供书面说明，必要时提交相关证明材料；投标人不能证明其报价合理的，评标委员会将其作为无效文件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5" w:hRule="atLeast"/>
        </w:trPr>
        <w:tc>
          <w:tcPr>
            <w:tcW w:w="652" w:type="dxa"/>
            <w:vMerge w:val="restart"/>
            <w:tcBorders>
              <w:top w:val="single" w:color="auto" w:sz="4" w:space="0"/>
              <w:left w:val="single" w:color="auto" w:sz="4" w:space="0"/>
              <w:right w:val="single" w:color="auto" w:sz="4" w:space="0"/>
            </w:tcBorders>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技术</w:t>
            </w:r>
          </w:p>
        </w:tc>
        <w:tc>
          <w:tcPr>
            <w:tcW w:w="788" w:type="dxa"/>
            <w:vMerge w:val="restart"/>
            <w:tcBorders>
              <w:top w:val="single" w:color="auto" w:sz="4" w:space="0"/>
              <w:left w:val="single" w:color="auto" w:sz="4" w:space="0"/>
              <w:right w:val="single" w:color="auto" w:sz="4" w:space="0"/>
            </w:tcBorders>
            <w:vAlign w:val="center"/>
          </w:tcPr>
          <w:p>
            <w:pPr>
              <w:jc w:val="center"/>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58</w:t>
            </w:r>
            <w:r>
              <w:rPr>
                <w:rFonts w:hint="eastAsia" w:ascii="宋体" w:hAnsi="宋体" w:eastAsia="宋体" w:cs="宋体"/>
                <w:color w:val="auto"/>
                <w:sz w:val="21"/>
                <w:szCs w:val="21"/>
                <w:highlight w:val="none"/>
              </w:rPr>
              <w:t>分</w:t>
            </w:r>
          </w:p>
        </w:tc>
        <w:tc>
          <w:tcPr>
            <w:tcW w:w="1492" w:type="dxa"/>
            <w:tcBorders>
              <w:top w:val="single" w:color="auto" w:sz="4" w:space="0"/>
              <w:left w:val="single" w:color="auto" w:sz="4" w:space="0"/>
              <w:right w:val="single" w:color="auto" w:sz="4" w:space="0"/>
            </w:tcBorders>
            <w:vAlign w:val="center"/>
          </w:tcPr>
          <w:p>
            <w:pPr>
              <w:autoSpaceDE w:val="0"/>
              <w:autoSpaceDN w:val="0"/>
              <w:adjustRightInd w:val="0"/>
              <w:spacing w:line="320" w:lineRule="exact"/>
              <w:ind w:firstLine="105" w:firstLineChars="5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技术</w:t>
            </w:r>
            <w:r>
              <w:rPr>
                <w:rFonts w:hint="eastAsia" w:ascii="宋体" w:hAnsi="宋体" w:eastAsia="宋体" w:cs="宋体"/>
                <w:color w:val="auto"/>
                <w:sz w:val="21"/>
                <w:szCs w:val="21"/>
                <w:highlight w:val="none"/>
                <w:lang w:val="en-US" w:eastAsia="zh-CN"/>
              </w:rPr>
              <w:t>性能</w:t>
            </w:r>
            <w:r>
              <w:rPr>
                <w:rFonts w:hint="eastAsia" w:ascii="宋体" w:hAnsi="宋体" w:eastAsia="宋体" w:cs="宋体"/>
                <w:color w:val="auto"/>
                <w:sz w:val="21"/>
                <w:szCs w:val="21"/>
                <w:highlight w:val="none"/>
              </w:rPr>
              <w:t>指标（</w:t>
            </w:r>
            <w:r>
              <w:rPr>
                <w:rFonts w:hint="eastAsia" w:ascii="宋体" w:hAnsi="宋体" w:cs="宋体"/>
                <w:color w:val="auto"/>
                <w:sz w:val="21"/>
                <w:szCs w:val="21"/>
                <w:highlight w:val="none"/>
                <w:lang w:val="en-US" w:eastAsia="zh-CN"/>
              </w:rPr>
              <w:t>30</w:t>
            </w:r>
            <w:r>
              <w:rPr>
                <w:rFonts w:hint="eastAsia" w:ascii="宋体" w:hAnsi="宋体" w:eastAsia="宋体" w:cs="宋体"/>
                <w:color w:val="auto"/>
                <w:sz w:val="21"/>
                <w:szCs w:val="21"/>
                <w:highlight w:val="none"/>
                <w:lang w:val="zh-CN"/>
              </w:rPr>
              <w:t>分</w:t>
            </w:r>
            <w:r>
              <w:rPr>
                <w:rFonts w:hint="eastAsia" w:ascii="宋体" w:hAnsi="宋体" w:eastAsia="宋体" w:cs="宋体"/>
                <w:color w:val="auto"/>
                <w:sz w:val="21"/>
                <w:szCs w:val="21"/>
                <w:highlight w:val="none"/>
              </w:rPr>
              <w:t>）</w:t>
            </w:r>
          </w:p>
        </w:tc>
        <w:tc>
          <w:tcPr>
            <w:tcW w:w="930" w:type="dxa"/>
            <w:tcBorders>
              <w:top w:val="single" w:color="auto" w:sz="4" w:space="0"/>
              <w:left w:val="single" w:color="auto" w:sz="4" w:space="0"/>
              <w:right w:val="single" w:color="auto" w:sz="4" w:space="0"/>
            </w:tcBorders>
            <w:vAlign w:val="center"/>
          </w:tcPr>
          <w:p>
            <w:pPr>
              <w:autoSpaceDE w:val="0"/>
              <w:autoSpaceDN w:val="0"/>
              <w:adjustRightInd w:val="0"/>
              <w:spacing w:line="320" w:lineRule="exact"/>
              <w:ind w:firstLine="105" w:firstLineChars="50"/>
              <w:jc w:val="center"/>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sz w:val="21"/>
                <w:szCs w:val="21"/>
                <w:highlight w:val="none"/>
              </w:rPr>
              <w:t>3</w:t>
            </w:r>
            <w:r>
              <w:rPr>
                <w:rFonts w:hint="eastAsia" w:ascii="宋体" w:hAnsi="宋体" w:cs="宋体"/>
                <w:color w:val="auto"/>
                <w:sz w:val="21"/>
                <w:szCs w:val="21"/>
                <w:highlight w:val="none"/>
                <w:lang w:val="en-US" w:eastAsia="zh-CN"/>
              </w:rPr>
              <w:t>0</w:t>
            </w:r>
            <w:r>
              <w:rPr>
                <w:rFonts w:hint="eastAsia" w:ascii="宋体" w:hAnsi="宋体" w:eastAsia="宋体" w:cs="宋体"/>
                <w:color w:val="auto"/>
                <w:sz w:val="21"/>
                <w:szCs w:val="21"/>
                <w:highlight w:val="none"/>
                <w:lang w:val="zh-CN"/>
              </w:rPr>
              <w:t>分</w:t>
            </w:r>
          </w:p>
        </w:tc>
        <w:tc>
          <w:tcPr>
            <w:tcW w:w="5633"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bidi w:val="0"/>
              <w:adjustRightInd/>
              <w:snapToGrid w:val="0"/>
              <w:spacing w:line="400" w:lineRule="exact"/>
              <w:ind w:firstLine="315" w:firstLineChars="15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综合考虑产品配置、对招标文件中“</w:t>
            </w:r>
            <w:r>
              <w:rPr>
                <w:rFonts w:hint="eastAsia" w:ascii="宋体" w:hAnsi="宋体" w:cs="宋体"/>
                <w:color w:val="auto"/>
                <w:sz w:val="21"/>
                <w:szCs w:val="21"/>
                <w:highlight w:val="none"/>
                <w:lang w:val="en-US" w:eastAsia="zh-CN"/>
              </w:rPr>
              <w:t>采购需求</w:t>
            </w:r>
            <w:r>
              <w:rPr>
                <w:rFonts w:hint="eastAsia" w:ascii="宋体" w:hAnsi="宋体" w:eastAsia="宋体" w:cs="宋体"/>
                <w:color w:val="auto"/>
                <w:sz w:val="21"/>
                <w:szCs w:val="21"/>
                <w:highlight w:val="none"/>
                <w:lang w:val="en-US" w:eastAsia="zh-CN"/>
              </w:rPr>
              <w:t xml:space="preserve">”的响应程度、投标货物的先进性、投标货物的可靠性、性能指标等。 </w:t>
            </w:r>
          </w:p>
          <w:p>
            <w:pPr>
              <w:keepNext w:val="0"/>
              <w:keepLines w:val="0"/>
              <w:pageBreakBefore w:val="0"/>
              <w:widowControl w:val="0"/>
              <w:kinsoku/>
              <w:wordWrap/>
              <w:overflowPunct/>
              <w:topLinePunct w:val="0"/>
              <w:bidi w:val="0"/>
              <w:adjustRightInd/>
              <w:snapToGrid w:val="0"/>
              <w:spacing w:line="400" w:lineRule="exact"/>
              <w:ind w:firstLine="315" w:firstLineChars="15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1.本项起评分为2</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lang w:val="en-US" w:eastAsia="zh-CN"/>
              </w:rPr>
              <w:t>分，技术指标完全满足招标要求得2</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lang w:val="en-US" w:eastAsia="zh-CN"/>
              </w:rPr>
              <w:t>分，根据技术要求提供证明材料，未提供项不计分。</w:t>
            </w:r>
          </w:p>
          <w:p>
            <w:pPr>
              <w:keepNext w:val="0"/>
              <w:keepLines w:val="0"/>
              <w:pageBreakBefore w:val="0"/>
              <w:widowControl w:val="0"/>
              <w:kinsoku/>
              <w:wordWrap/>
              <w:overflowPunct/>
              <w:topLinePunct w:val="0"/>
              <w:bidi w:val="0"/>
              <w:adjustRightInd/>
              <w:snapToGrid w:val="0"/>
              <w:spacing w:line="400" w:lineRule="exact"/>
              <w:ind w:firstLine="315" w:firstLineChars="15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2.技术指标每负偏离一项扣1分，扣完为止。</w:t>
            </w:r>
          </w:p>
          <w:p>
            <w:pPr>
              <w:keepNext w:val="0"/>
              <w:keepLines w:val="0"/>
              <w:pageBreakBefore w:val="0"/>
              <w:widowControl w:val="0"/>
              <w:kinsoku/>
              <w:wordWrap/>
              <w:overflowPunct/>
              <w:topLinePunct w:val="0"/>
              <w:bidi w:val="0"/>
              <w:adjustRightInd/>
              <w:snapToGrid w:val="0"/>
              <w:spacing w:line="400" w:lineRule="exact"/>
              <w:ind w:firstLine="315" w:firstLineChars="150"/>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lang w:val="en-US" w:eastAsia="zh-CN"/>
              </w:rPr>
              <w:t>.在所有技术指标满足招标文件要求时，如有优于招标要求指标每优于一项加</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lang w:val="en-US" w:eastAsia="zh-CN"/>
              </w:rPr>
              <w:t>分，本项最高可加</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lang w:val="en-US" w:eastAsia="zh-CN"/>
              </w:rPr>
              <w:t>分。</w:t>
            </w:r>
          </w:p>
          <w:p>
            <w:pPr>
              <w:keepNext w:val="0"/>
              <w:keepLines w:val="0"/>
              <w:pageBreakBefore w:val="0"/>
              <w:widowControl w:val="0"/>
              <w:kinsoku/>
              <w:wordWrap/>
              <w:overflowPunct/>
              <w:topLinePunct w:val="0"/>
              <w:bidi w:val="0"/>
              <w:adjustRightInd/>
              <w:snapToGrid w:val="0"/>
              <w:spacing w:line="400" w:lineRule="exact"/>
              <w:ind w:firstLine="316" w:firstLineChars="15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优于招标文件要求的指标需提供相关证明材料，佐证材料包括但不限于技术说明、检测报告、产品彩页、功能截图等。否则不予得分。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80" w:hRule="atLeast"/>
        </w:trPr>
        <w:tc>
          <w:tcPr>
            <w:tcW w:w="652" w:type="dxa"/>
            <w:vMerge w:val="continue"/>
            <w:tcBorders>
              <w:left w:val="single" w:color="auto" w:sz="4" w:space="0"/>
              <w:right w:val="single" w:color="auto" w:sz="4" w:space="0"/>
            </w:tcBorders>
            <w:vAlign w:val="center"/>
          </w:tcPr>
          <w:p>
            <w:pPr>
              <w:jc w:val="center"/>
              <w:rPr>
                <w:rFonts w:hint="eastAsia" w:ascii="宋体" w:hAnsi="宋体" w:eastAsia="宋体" w:cs="宋体"/>
                <w:color w:val="auto"/>
                <w:sz w:val="21"/>
                <w:szCs w:val="21"/>
                <w:highlight w:val="none"/>
              </w:rPr>
            </w:pPr>
          </w:p>
        </w:tc>
        <w:tc>
          <w:tcPr>
            <w:tcW w:w="788" w:type="dxa"/>
            <w:vMerge w:val="continue"/>
            <w:tcBorders>
              <w:left w:val="single" w:color="auto" w:sz="4" w:space="0"/>
              <w:right w:val="single" w:color="auto" w:sz="4" w:space="0"/>
            </w:tcBorders>
            <w:vAlign w:val="center"/>
          </w:tcPr>
          <w:p>
            <w:pPr>
              <w:jc w:val="center"/>
              <w:rPr>
                <w:rFonts w:hint="eastAsia" w:ascii="宋体" w:hAnsi="宋体" w:eastAsia="宋体" w:cs="宋体"/>
                <w:color w:val="auto"/>
                <w:sz w:val="21"/>
                <w:szCs w:val="21"/>
                <w:highlight w:val="none"/>
              </w:rPr>
            </w:pPr>
          </w:p>
        </w:tc>
        <w:tc>
          <w:tcPr>
            <w:tcW w:w="1492" w:type="dxa"/>
            <w:vMerge w:val="restart"/>
            <w:tcBorders>
              <w:top w:val="single" w:color="auto" w:sz="4" w:space="0"/>
              <w:left w:val="single" w:color="auto" w:sz="4" w:space="0"/>
              <w:right w:val="single" w:color="auto" w:sz="4" w:space="0"/>
            </w:tcBorders>
            <w:vAlign w:val="center"/>
          </w:tcPr>
          <w:p>
            <w:pPr>
              <w:jc w:val="center"/>
              <w:rPr>
                <w:rFonts w:ascii="宋体" w:hAnsi="宋体" w:cs="宋体"/>
                <w:color w:val="auto"/>
                <w:szCs w:val="21"/>
                <w:highlight w:val="none"/>
              </w:rPr>
            </w:pPr>
            <w:r>
              <w:rPr>
                <w:rFonts w:hint="eastAsia" w:ascii="宋体" w:hAnsi="宋体" w:cs="宋体"/>
                <w:color w:val="auto"/>
                <w:szCs w:val="21"/>
                <w:highlight w:val="none"/>
              </w:rPr>
              <w:t>总体方案</w:t>
            </w:r>
          </w:p>
          <w:p>
            <w:pPr>
              <w:jc w:val="center"/>
              <w:rPr>
                <w:rFonts w:hint="eastAsia" w:ascii="宋体" w:hAnsi="宋体" w:eastAsia="宋体" w:cs="宋体"/>
                <w:color w:val="auto"/>
                <w:sz w:val="21"/>
                <w:szCs w:val="21"/>
                <w:highlight w:val="none"/>
                <w:lang w:eastAsia="zh-CN"/>
              </w:rPr>
            </w:pPr>
            <w:r>
              <w:rPr>
                <w:rFonts w:hint="eastAsia" w:ascii="宋体" w:hAnsi="宋体" w:cs="宋体"/>
                <w:color w:val="auto"/>
                <w:szCs w:val="21"/>
                <w:highlight w:val="none"/>
              </w:rPr>
              <w:t>（2</w:t>
            </w:r>
            <w:r>
              <w:rPr>
                <w:rFonts w:ascii="宋体" w:hAnsi="宋体" w:cs="宋体"/>
                <w:color w:val="auto"/>
                <w:szCs w:val="21"/>
                <w:highlight w:val="none"/>
              </w:rPr>
              <w:t>5</w:t>
            </w:r>
            <w:r>
              <w:rPr>
                <w:rFonts w:hint="eastAsia" w:ascii="宋体" w:hAnsi="宋体" w:cs="宋体"/>
                <w:color w:val="auto"/>
                <w:szCs w:val="21"/>
                <w:highlight w:val="none"/>
              </w:rPr>
              <w:t>分）</w:t>
            </w:r>
          </w:p>
        </w:tc>
        <w:tc>
          <w:tcPr>
            <w:tcW w:w="930" w:type="dxa"/>
            <w:tcBorders>
              <w:top w:val="single" w:color="auto" w:sz="4" w:space="0"/>
              <w:left w:val="single" w:color="auto" w:sz="4" w:space="0"/>
              <w:right w:val="single" w:color="auto" w:sz="4" w:space="0"/>
            </w:tcBorders>
            <w:vAlign w:val="center"/>
          </w:tcPr>
          <w:p>
            <w:pPr>
              <w:spacing w:line="300" w:lineRule="exact"/>
              <w:jc w:val="center"/>
              <w:rPr>
                <w:rFonts w:hint="eastAsia" w:ascii="宋体" w:hAnsi="宋体" w:eastAsia="宋体" w:cs="宋体"/>
                <w:color w:val="auto"/>
                <w:sz w:val="21"/>
                <w:szCs w:val="21"/>
                <w:highlight w:val="none"/>
              </w:rPr>
            </w:pPr>
            <w:r>
              <w:rPr>
                <w:rFonts w:hint="eastAsia" w:ascii="宋体" w:hAnsi="宋体" w:cs="宋体"/>
                <w:color w:val="auto"/>
                <w:szCs w:val="21"/>
                <w:highlight w:val="none"/>
              </w:rPr>
              <w:t>10分</w:t>
            </w:r>
          </w:p>
        </w:tc>
        <w:tc>
          <w:tcPr>
            <w:tcW w:w="5633"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320" w:lineRule="atLeast"/>
              <w:ind w:firstLine="210" w:firstLineChars="100"/>
              <w:textAlignment w:val="auto"/>
              <w:rPr>
                <w:rFonts w:hint="eastAsia" w:ascii="宋体" w:hAnsi="宋体" w:cs="宋体"/>
                <w:color w:val="auto"/>
                <w:szCs w:val="21"/>
                <w:highlight w:val="none"/>
              </w:rPr>
            </w:pPr>
            <w:r>
              <w:rPr>
                <w:rFonts w:hint="eastAsia" w:ascii="宋体" w:hAnsi="宋体" w:cs="宋体"/>
                <w:color w:val="auto"/>
                <w:szCs w:val="21"/>
                <w:highlight w:val="none"/>
              </w:rPr>
              <w:t>提供针对本项目的总体实施方案，方案包含但不限于产品选型配置、产品来源渠道合法的证明文件</w:t>
            </w:r>
            <w:r>
              <w:rPr>
                <w:rFonts w:hint="eastAsia" w:ascii="宋体" w:hAnsi="宋体" w:eastAsia="宋体" w:cs="宋体"/>
                <w:color w:val="auto"/>
                <w:sz w:val="21"/>
                <w:szCs w:val="21"/>
                <w:highlight w:val="none"/>
                <w:lang w:val="en-US" w:eastAsia="zh-CN"/>
              </w:rPr>
              <w:t>（包括但不限于销售协议、代理协议、原厂授权等）</w:t>
            </w:r>
            <w:r>
              <w:rPr>
                <w:rFonts w:hint="eastAsia" w:ascii="宋体" w:hAnsi="宋体" w:cs="宋体"/>
                <w:color w:val="auto"/>
                <w:szCs w:val="21"/>
                <w:highlight w:val="none"/>
              </w:rPr>
              <w:t>、整体性能优化设计、进度计划（设备供货、安装调试、软件安装升级等）、拟投入人员配备、特殊情况预防措施、可行性服务方式等。</w:t>
            </w:r>
          </w:p>
          <w:p>
            <w:pPr>
              <w:keepNext w:val="0"/>
              <w:keepLines w:val="0"/>
              <w:widowControl/>
              <w:numPr>
                <w:ilvl w:val="0"/>
                <w:numId w:val="2"/>
              </w:numPr>
              <w:suppressLineNumbers w:val="0"/>
              <w:jc w:val="left"/>
              <w:textAlignment w:val="center"/>
              <w:rPr>
                <w:rFonts w:hint="eastAsia" w:ascii="宋体" w:hAnsi="宋体" w:eastAsia="宋体" w:cs="宋体"/>
                <w:color w:val="auto"/>
                <w:sz w:val="21"/>
                <w:szCs w:val="21"/>
                <w:highlight w:val="none"/>
                <w:lang w:val="en-US" w:eastAsia="zh-CN"/>
              </w:rPr>
            </w:pPr>
            <w:r>
              <w:rPr>
                <w:rFonts w:hint="eastAsia" w:ascii="宋体" w:hAnsi="宋体" w:cs="宋体"/>
                <w:i w:val="0"/>
                <w:iCs w:val="0"/>
                <w:color w:val="000000"/>
                <w:kern w:val="0"/>
                <w:sz w:val="21"/>
                <w:szCs w:val="21"/>
                <w:highlight w:val="none"/>
                <w:u w:val="none"/>
                <w:lang w:val="en-US" w:eastAsia="zh-CN" w:bidi="ar"/>
              </w:rPr>
              <w:t>实施</w:t>
            </w:r>
            <w:r>
              <w:rPr>
                <w:rFonts w:hint="eastAsia" w:ascii="宋体" w:hAnsi="宋体" w:eastAsia="宋体" w:cs="宋体"/>
                <w:i w:val="0"/>
                <w:iCs w:val="0"/>
                <w:color w:val="000000"/>
                <w:kern w:val="0"/>
                <w:sz w:val="21"/>
                <w:szCs w:val="21"/>
                <w:highlight w:val="none"/>
                <w:u w:val="none"/>
                <w:lang w:val="en-US" w:eastAsia="zh-CN" w:bidi="ar"/>
              </w:rPr>
              <w:t>方案符合本次建设需要</w:t>
            </w:r>
            <w:r>
              <w:rPr>
                <w:rFonts w:hint="eastAsia" w:ascii="宋体" w:hAnsi="宋体" w:cs="宋体"/>
                <w:i w:val="0"/>
                <w:iCs w:val="0"/>
                <w:color w:val="000000"/>
                <w:kern w:val="0"/>
                <w:sz w:val="21"/>
                <w:szCs w:val="21"/>
                <w:highlight w:val="none"/>
                <w:u w:val="none"/>
                <w:lang w:val="en-US" w:eastAsia="zh-CN" w:bidi="ar"/>
              </w:rPr>
              <w:t>，</w:t>
            </w:r>
            <w:r>
              <w:rPr>
                <w:rFonts w:hint="eastAsia" w:ascii="宋体" w:hAnsi="宋体" w:eastAsia="宋体" w:cs="宋体"/>
                <w:i w:val="0"/>
                <w:iCs w:val="0"/>
                <w:color w:val="000000"/>
                <w:kern w:val="0"/>
                <w:sz w:val="21"/>
                <w:szCs w:val="21"/>
                <w:highlight w:val="none"/>
                <w:u w:val="none"/>
                <w:lang w:val="en-US" w:eastAsia="zh-CN" w:bidi="ar"/>
              </w:rPr>
              <w:t>具有可落地性、可扩展性，得</w:t>
            </w:r>
            <w:r>
              <w:rPr>
                <w:rFonts w:hint="eastAsia" w:ascii="宋体" w:hAnsi="宋体" w:cs="宋体"/>
                <w:i w:val="0"/>
                <w:iCs w:val="0"/>
                <w:color w:val="000000"/>
                <w:kern w:val="0"/>
                <w:sz w:val="21"/>
                <w:szCs w:val="21"/>
                <w:highlight w:val="none"/>
                <w:u w:val="none"/>
                <w:lang w:val="en-US" w:eastAsia="zh-CN" w:bidi="ar"/>
              </w:rPr>
              <w:t>7-10</w:t>
            </w:r>
            <w:r>
              <w:rPr>
                <w:rFonts w:hint="eastAsia" w:ascii="宋体" w:hAnsi="宋体" w:eastAsia="宋体" w:cs="宋体"/>
                <w:i w:val="0"/>
                <w:iCs w:val="0"/>
                <w:color w:val="000000"/>
                <w:kern w:val="0"/>
                <w:sz w:val="21"/>
                <w:szCs w:val="21"/>
                <w:highlight w:val="none"/>
                <w:u w:val="none"/>
                <w:lang w:val="en-US" w:eastAsia="zh-CN" w:bidi="ar"/>
              </w:rPr>
              <w:t>分</w:t>
            </w:r>
            <w:r>
              <w:rPr>
                <w:rFonts w:hint="eastAsia" w:ascii="宋体" w:hAnsi="宋体" w:cs="宋体"/>
                <w:i w:val="0"/>
                <w:iCs w:val="0"/>
                <w:color w:val="000000"/>
                <w:kern w:val="0"/>
                <w:sz w:val="21"/>
                <w:szCs w:val="21"/>
                <w:highlight w:val="none"/>
                <w:u w:val="none"/>
                <w:lang w:val="en-US" w:eastAsia="zh-CN" w:bidi="ar"/>
              </w:rPr>
              <w:t>；</w:t>
            </w:r>
          </w:p>
          <w:p>
            <w:pPr>
              <w:keepNext w:val="0"/>
              <w:keepLines w:val="0"/>
              <w:widowControl/>
              <w:numPr>
                <w:ilvl w:val="0"/>
                <w:numId w:val="2"/>
              </w:numPr>
              <w:suppressLineNumbers w:val="0"/>
              <w:jc w:val="left"/>
              <w:textAlignment w:val="center"/>
              <w:rPr>
                <w:rFonts w:hint="eastAsia" w:ascii="宋体" w:hAnsi="宋体" w:eastAsia="宋体" w:cs="宋体"/>
                <w:color w:val="auto"/>
                <w:sz w:val="21"/>
                <w:szCs w:val="21"/>
                <w:highlight w:val="none"/>
                <w:lang w:val="en-US" w:eastAsia="zh-CN"/>
              </w:rPr>
            </w:pPr>
            <w:r>
              <w:rPr>
                <w:rFonts w:hint="eastAsia" w:ascii="宋体" w:hAnsi="宋体" w:cs="宋体"/>
                <w:i w:val="0"/>
                <w:iCs w:val="0"/>
                <w:color w:val="000000"/>
                <w:kern w:val="0"/>
                <w:sz w:val="21"/>
                <w:szCs w:val="21"/>
                <w:highlight w:val="none"/>
                <w:u w:val="none"/>
                <w:lang w:val="en-US" w:eastAsia="zh-CN" w:bidi="ar"/>
              </w:rPr>
              <w:t>实施</w:t>
            </w:r>
            <w:r>
              <w:rPr>
                <w:rFonts w:hint="eastAsia" w:ascii="宋体" w:hAnsi="宋体" w:eastAsia="宋体" w:cs="宋体"/>
                <w:i w:val="0"/>
                <w:iCs w:val="0"/>
                <w:color w:val="000000"/>
                <w:kern w:val="0"/>
                <w:sz w:val="21"/>
                <w:szCs w:val="21"/>
                <w:highlight w:val="none"/>
                <w:u w:val="none"/>
                <w:lang w:val="en-US" w:eastAsia="zh-CN" w:bidi="ar"/>
              </w:rPr>
              <w:t>方案基本合理，</w:t>
            </w:r>
            <w:r>
              <w:rPr>
                <w:rFonts w:hint="eastAsia" w:ascii="宋体" w:hAnsi="宋体" w:cs="宋体"/>
                <w:i w:val="0"/>
                <w:iCs w:val="0"/>
                <w:color w:val="000000"/>
                <w:kern w:val="0"/>
                <w:sz w:val="21"/>
                <w:szCs w:val="21"/>
                <w:highlight w:val="none"/>
                <w:u w:val="none"/>
                <w:lang w:val="en-US" w:eastAsia="zh-CN" w:bidi="ar"/>
              </w:rPr>
              <w:t>与项目采购需求基本一致</w:t>
            </w:r>
            <w:r>
              <w:rPr>
                <w:rFonts w:hint="eastAsia" w:ascii="宋体" w:hAnsi="宋体" w:eastAsia="宋体" w:cs="宋体"/>
                <w:i w:val="0"/>
                <w:iCs w:val="0"/>
                <w:color w:val="000000"/>
                <w:kern w:val="0"/>
                <w:sz w:val="21"/>
                <w:szCs w:val="21"/>
                <w:highlight w:val="none"/>
                <w:u w:val="none"/>
                <w:lang w:val="en-US" w:eastAsia="zh-CN" w:bidi="ar"/>
              </w:rPr>
              <w:t>，</w:t>
            </w:r>
            <w:r>
              <w:rPr>
                <w:rFonts w:hint="eastAsia" w:ascii="宋体" w:hAnsi="宋体" w:cs="宋体"/>
                <w:i w:val="0"/>
                <w:iCs w:val="0"/>
                <w:color w:val="000000"/>
                <w:kern w:val="0"/>
                <w:sz w:val="21"/>
                <w:szCs w:val="21"/>
                <w:highlight w:val="none"/>
                <w:u w:val="none"/>
                <w:lang w:val="en-US" w:eastAsia="zh-CN" w:bidi="ar"/>
              </w:rPr>
              <w:t>3-7</w:t>
            </w:r>
            <w:r>
              <w:rPr>
                <w:rFonts w:hint="eastAsia" w:ascii="宋体" w:hAnsi="宋体" w:eastAsia="宋体" w:cs="宋体"/>
                <w:i w:val="0"/>
                <w:iCs w:val="0"/>
                <w:color w:val="000000"/>
                <w:kern w:val="0"/>
                <w:sz w:val="21"/>
                <w:szCs w:val="21"/>
                <w:highlight w:val="none"/>
                <w:u w:val="none"/>
                <w:lang w:val="en-US" w:eastAsia="zh-CN" w:bidi="ar"/>
              </w:rPr>
              <w:t>分</w:t>
            </w:r>
            <w:r>
              <w:rPr>
                <w:rFonts w:hint="eastAsia" w:ascii="宋体" w:hAnsi="宋体" w:cs="宋体"/>
                <w:i w:val="0"/>
                <w:iCs w:val="0"/>
                <w:color w:val="000000"/>
                <w:kern w:val="0"/>
                <w:sz w:val="21"/>
                <w:szCs w:val="21"/>
                <w:highlight w:val="none"/>
                <w:u w:val="none"/>
                <w:lang w:val="en-US" w:eastAsia="zh-CN" w:bidi="ar"/>
              </w:rPr>
              <w:t>（不含7分）</w:t>
            </w:r>
            <w:r>
              <w:rPr>
                <w:rFonts w:hint="eastAsia" w:ascii="宋体" w:hAnsi="宋体" w:eastAsia="宋体" w:cs="宋体"/>
                <w:i w:val="0"/>
                <w:iCs w:val="0"/>
                <w:color w:val="000000"/>
                <w:kern w:val="0"/>
                <w:sz w:val="21"/>
                <w:szCs w:val="21"/>
                <w:highlight w:val="none"/>
                <w:u w:val="none"/>
                <w:lang w:val="en-US" w:eastAsia="zh-CN" w:bidi="ar"/>
              </w:rPr>
              <w:t>；</w:t>
            </w:r>
          </w:p>
          <w:p>
            <w:pPr>
              <w:keepNext w:val="0"/>
              <w:keepLines w:val="0"/>
              <w:pageBreakBefore w:val="0"/>
              <w:widowControl w:val="0"/>
              <w:kinsoku/>
              <w:wordWrap/>
              <w:overflowPunct/>
              <w:topLinePunct w:val="0"/>
              <w:autoSpaceDE w:val="0"/>
              <w:autoSpaceDN w:val="0"/>
              <w:bidi w:val="0"/>
              <w:adjustRightInd w:val="0"/>
              <w:snapToGrid/>
              <w:spacing w:line="320" w:lineRule="atLeast"/>
              <w:textAlignment w:val="auto"/>
              <w:rPr>
                <w:rFonts w:hint="eastAsia" w:ascii="宋体" w:hAnsi="宋体" w:eastAsia="宋体" w:cs="宋体"/>
                <w:color w:val="auto"/>
                <w:sz w:val="21"/>
                <w:szCs w:val="21"/>
                <w:highlight w:val="none"/>
                <w:lang w:val="en-US" w:eastAsia="zh-CN"/>
              </w:rPr>
            </w:pPr>
            <w:r>
              <w:rPr>
                <w:rFonts w:hint="eastAsia" w:ascii="宋体" w:hAnsi="宋体" w:cs="宋体"/>
                <w:i w:val="0"/>
                <w:iCs w:val="0"/>
                <w:color w:val="000000"/>
                <w:kern w:val="0"/>
                <w:sz w:val="21"/>
                <w:szCs w:val="21"/>
                <w:highlight w:val="none"/>
                <w:u w:val="none"/>
                <w:lang w:val="en-US" w:eastAsia="zh-CN" w:bidi="ar"/>
              </w:rPr>
              <w:t>3、实施</w:t>
            </w:r>
            <w:r>
              <w:rPr>
                <w:rFonts w:hint="eastAsia" w:ascii="宋体" w:hAnsi="宋体" w:eastAsia="宋体" w:cs="宋体"/>
                <w:i w:val="0"/>
                <w:iCs w:val="0"/>
                <w:color w:val="000000"/>
                <w:kern w:val="0"/>
                <w:sz w:val="21"/>
                <w:szCs w:val="21"/>
                <w:highlight w:val="none"/>
                <w:u w:val="none"/>
                <w:lang w:val="en-US" w:eastAsia="zh-CN" w:bidi="ar"/>
              </w:rPr>
              <w:t>方案有疏漏、可行性欠佳，得</w:t>
            </w:r>
            <w:r>
              <w:rPr>
                <w:rFonts w:hint="eastAsia" w:ascii="宋体" w:hAnsi="宋体" w:cs="宋体"/>
                <w:i w:val="0"/>
                <w:iCs w:val="0"/>
                <w:color w:val="000000"/>
                <w:kern w:val="0"/>
                <w:sz w:val="21"/>
                <w:szCs w:val="21"/>
                <w:highlight w:val="none"/>
                <w:u w:val="none"/>
                <w:lang w:val="en-US" w:eastAsia="zh-CN" w:bidi="ar"/>
              </w:rPr>
              <w:t>0-3</w:t>
            </w:r>
            <w:r>
              <w:rPr>
                <w:rFonts w:hint="eastAsia" w:ascii="宋体" w:hAnsi="宋体" w:eastAsia="宋体" w:cs="宋体"/>
                <w:i w:val="0"/>
                <w:iCs w:val="0"/>
                <w:color w:val="000000"/>
                <w:kern w:val="0"/>
                <w:sz w:val="21"/>
                <w:szCs w:val="21"/>
                <w:highlight w:val="none"/>
                <w:u w:val="none"/>
                <w:lang w:val="en-US" w:eastAsia="zh-CN" w:bidi="ar"/>
              </w:rPr>
              <w:t>分</w:t>
            </w:r>
            <w:r>
              <w:rPr>
                <w:rFonts w:hint="eastAsia" w:ascii="宋体" w:hAnsi="宋体" w:cs="宋体"/>
                <w:i w:val="0"/>
                <w:iCs w:val="0"/>
                <w:color w:val="000000"/>
                <w:kern w:val="0"/>
                <w:sz w:val="21"/>
                <w:szCs w:val="21"/>
                <w:highlight w:val="none"/>
                <w:u w:val="none"/>
                <w:lang w:val="en-US" w:eastAsia="zh-CN" w:bidi="ar"/>
              </w:rPr>
              <w:t>（不含3分）</w:t>
            </w:r>
            <w:r>
              <w:rPr>
                <w:rFonts w:hint="eastAsia" w:ascii="宋体" w:hAnsi="宋体" w:eastAsia="宋体" w:cs="宋体"/>
                <w:i w:val="0"/>
                <w:iCs w:val="0"/>
                <w:color w:val="000000"/>
                <w:kern w:val="0"/>
                <w:sz w:val="21"/>
                <w:szCs w:val="21"/>
                <w:highlight w:val="none"/>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80" w:hRule="atLeast"/>
        </w:trPr>
        <w:tc>
          <w:tcPr>
            <w:tcW w:w="652" w:type="dxa"/>
            <w:vMerge w:val="continue"/>
            <w:tcBorders>
              <w:left w:val="single" w:color="auto" w:sz="4" w:space="0"/>
              <w:right w:val="single" w:color="auto" w:sz="4" w:space="0"/>
            </w:tcBorders>
            <w:vAlign w:val="center"/>
          </w:tcPr>
          <w:p>
            <w:pPr>
              <w:jc w:val="center"/>
              <w:rPr>
                <w:rFonts w:hint="eastAsia" w:ascii="宋体" w:hAnsi="宋体" w:eastAsia="宋体" w:cs="宋体"/>
                <w:color w:val="auto"/>
                <w:sz w:val="21"/>
                <w:szCs w:val="21"/>
                <w:highlight w:val="none"/>
              </w:rPr>
            </w:pPr>
          </w:p>
        </w:tc>
        <w:tc>
          <w:tcPr>
            <w:tcW w:w="788" w:type="dxa"/>
            <w:vMerge w:val="continue"/>
            <w:tcBorders>
              <w:left w:val="single" w:color="auto" w:sz="4" w:space="0"/>
              <w:right w:val="single" w:color="auto" w:sz="4" w:space="0"/>
            </w:tcBorders>
            <w:vAlign w:val="center"/>
          </w:tcPr>
          <w:p>
            <w:pPr>
              <w:jc w:val="center"/>
              <w:rPr>
                <w:rFonts w:hint="eastAsia" w:ascii="宋体" w:hAnsi="宋体" w:eastAsia="宋体" w:cs="宋体"/>
                <w:color w:val="auto"/>
                <w:sz w:val="21"/>
                <w:szCs w:val="21"/>
                <w:highlight w:val="none"/>
              </w:rPr>
            </w:pPr>
          </w:p>
        </w:tc>
        <w:tc>
          <w:tcPr>
            <w:tcW w:w="1492" w:type="dxa"/>
            <w:vMerge w:val="continue"/>
            <w:tcBorders>
              <w:left w:val="single" w:color="auto" w:sz="4" w:space="0"/>
              <w:right w:val="single" w:color="auto" w:sz="4" w:space="0"/>
            </w:tcBorders>
            <w:vAlign w:val="center"/>
          </w:tcPr>
          <w:p>
            <w:pPr>
              <w:jc w:val="center"/>
              <w:rPr>
                <w:rFonts w:hint="eastAsia" w:ascii="宋体" w:hAnsi="宋体" w:eastAsia="宋体" w:cs="宋体"/>
                <w:color w:val="auto"/>
                <w:sz w:val="21"/>
                <w:szCs w:val="21"/>
                <w:highlight w:val="none"/>
              </w:rPr>
            </w:pPr>
          </w:p>
        </w:tc>
        <w:tc>
          <w:tcPr>
            <w:tcW w:w="930" w:type="dxa"/>
            <w:tcBorders>
              <w:top w:val="single" w:color="auto" w:sz="4" w:space="0"/>
              <w:left w:val="single" w:color="auto" w:sz="4" w:space="0"/>
              <w:right w:val="single" w:color="auto" w:sz="4" w:space="0"/>
            </w:tcBorders>
            <w:vAlign w:val="center"/>
          </w:tcPr>
          <w:p>
            <w:pPr>
              <w:spacing w:line="300" w:lineRule="exact"/>
              <w:jc w:val="center"/>
              <w:rPr>
                <w:rFonts w:hint="eastAsia" w:ascii="宋体" w:hAnsi="宋体" w:eastAsia="宋体" w:cs="宋体"/>
                <w:color w:val="auto"/>
                <w:sz w:val="21"/>
                <w:szCs w:val="21"/>
                <w:highlight w:val="none"/>
                <w:lang w:val="en-US" w:eastAsia="zh-CN"/>
              </w:rPr>
            </w:pPr>
            <w:r>
              <w:rPr>
                <w:rFonts w:hint="eastAsia" w:ascii="宋体" w:hAnsi="宋体" w:cs="宋体"/>
                <w:color w:val="auto"/>
                <w:szCs w:val="21"/>
                <w:highlight w:val="none"/>
              </w:rPr>
              <w:t>10分</w:t>
            </w:r>
          </w:p>
        </w:tc>
        <w:tc>
          <w:tcPr>
            <w:tcW w:w="5633"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320" w:lineRule="atLeast"/>
              <w:ind w:firstLine="210" w:firstLineChars="100"/>
              <w:textAlignment w:val="auto"/>
              <w:rPr>
                <w:rFonts w:hint="eastAsia" w:ascii="宋体" w:hAnsi="宋体" w:cs="宋体"/>
                <w:color w:val="auto"/>
                <w:szCs w:val="21"/>
                <w:highlight w:val="none"/>
              </w:rPr>
            </w:pPr>
            <w:r>
              <w:rPr>
                <w:rFonts w:hint="eastAsia" w:ascii="宋体" w:hAnsi="宋体" w:cs="宋体"/>
                <w:color w:val="auto"/>
                <w:szCs w:val="21"/>
                <w:highlight w:val="none"/>
              </w:rPr>
              <w:t>投标人应充分了解医院现有设备运行情况，并提供针对本项目的扩容方案，方案包含但不限于保证与原有虚拟化资源池、动态安全防护等产品的兼容及可扩展性的保证措施等。</w:t>
            </w:r>
          </w:p>
          <w:p>
            <w:pPr>
              <w:keepNext w:val="0"/>
              <w:keepLines w:val="0"/>
              <w:widowControl/>
              <w:numPr>
                <w:ilvl w:val="0"/>
                <w:numId w:val="3"/>
              </w:numPr>
              <w:suppressLineNumbers w:val="0"/>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000000"/>
                <w:kern w:val="0"/>
                <w:sz w:val="21"/>
                <w:szCs w:val="21"/>
                <w:highlight w:val="none"/>
                <w:u w:val="none"/>
                <w:lang w:val="en-US" w:eastAsia="zh-CN" w:bidi="ar"/>
              </w:rPr>
              <w:t>方案符合本次建设需要</w:t>
            </w:r>
            <w:r>
              <w:rPr>
                <w:rFonts w:hint="eastAsia" w:ascii="宋体" w:hAnsi="宋体" w:cs="宋体"/>
                <w:i w:val="0"/>
                <w:iCs w:val="0"/>
                <w:color w:val="000000"/>
                <w:kern w:val="0"/>
                <w:sz w:val="21"/>
                <w:szCs w:val="21"/>
                <w:highlight w:val="none"/>
                <w:u w:val="none"/>
                <w:lang w:val="en-US" w:eastAsia="zh-CN" w:bidi="ar"/>
              </w:rPr>
              <w:t>，</w:t>
            </w:r>
            <w:r>
              <w:rPr>
                <w:rFonts w:hint="eastAsia" w:ascii="宋体" w:hAnsi="宋体" w:eastAsia="宋体" w:cs="宋体"/>
                <w:i w:val="0"/>
                <w:iCs w:val="0"/>
                <w:color w:val="000000"/>
                <w:kern w:val="0"/>
                <w:sz w:val="21"/>
                <w:szCs w:val="21"/>
                <w:highlight w:val="none"/>
                <w:u w:val="none"/>
                <w:lang w:val="en-US" w:eastAsia="zh-CN" w:bidi="ar"/>
              </w:rPr>
              <w:t>具有可落地性、可扩展性，得</w:t>
            </w:r>
            <w:r>
              <w:rPr>
                <w:rFonts w:hint="eastAsia" w:ascii="宋体" w:hAnsi="宋体" w:cs="宋体"/>
                <w:i w:val="0"/>
                <w:iCs w:val="0"/>
                <w:color w:val="000000"/>
                <w:kern w:val="0"/>
                <w:sz w:val="21"/>
                <w:szCs w:val="21"/>
                <w:highlight w:val="none"/>
                <w:u w:val="none"/>
                <w:lang w:val="en-US" w:eastAsia="zh-CN" w:bidi="ar"/>
              </w:rPr>
              <w:t>7-10</w:t>
            </w:r>
            <w:r>
              <w:rPr>
                <w:rFonts w:hint="eastAsia" w:ascii="宋体" w:hAnsi="宋体" w:eastAsia="宋体" w:cs="宋体"/>
                <w:i w:val="0"/>
                <w:iCs w:val="0"/>
                <w:color w:val="000000"/>
                <w:kern w:val="0"/>
                <w:sz w:val="21"/>
                <w:szCs w:val="21"/>
                <w:highlight w:val="none"/>
                <w:u w:val="none"/>
                <w:lang w:val="en-US" w:eastAsia="zh-CN" w:bidi="ar"/>
              </w:rPr>
              <w:t>分</w:t>
            </w:r>
            <w:r>
              <w:rPr>
                <w:rFonts w:hint="eastAsia" w:ascii="宋体" w:hAnsi="宋体" w:cs="宋体"/>
                <w:i w:val="0"/>
                <w:iCs w:val="0"/>
                <w:color w:val="000000"/>
                <w:kern w:val="0"/>
                <w:sz w:val="21"/>
                <w:szCs w:val="21"/>
                <w:highlight w:val="none"/>
                <w:u w:val="none"/>
                <w:lang w:val="en-US" w:eastAsia="zh-CN" w:bidi="ar"/>
              </w:rPr>
              <w:t>；</w:t>
            </w:r>
          </w:p>
          <w:p>
            <w:pPr>
              <w:keepNext w:val="0"/>
              <w:keepLines w:val="0"/>
              <w:widowControl/>
              <w:numPr>
                <w:ilvl w:val="0"/>
                <w:numId w:val="3"/>
              </w:numPr>
              <w:suppressLineNumbers w:val="0"/>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000000"/>
                <w:kern w:val="0"/>
                <w:sz w:val="21"/>
                <w:szCs w:val="21"/>
                <w:highlight w:val="none"/>
                <w:u w:val="none"/>
                <w:lang w:val="en-US" w:eastAsia="zh-CN" w:bidi="ar"/>
              </w:rPr>
              <w:t>方案基本合理，</w:t>
            </w:r>
            <w:r>
              <w:rPr>
                <w:rFonts w:hint="eastAsia" w:ascii="宋体" w:hAnsi="宋体" w:cs="宋体"/>
                <w:i w:val="0"/>
                <w:iCs w:val="0"/>
                <w:color w:val="000000"/>
                <w:kern w:val="0"/>
                <w:sz w:val="21"/>
                <w:szCs w:val="21"/>
                <w:highlight w:val="none"/>
                <w:u w:val="none"/>
                <w:lang w:val="en-US" w:eastAsia="zh-CN" w:bidi="ar"/>
              </w:rPr>
              <w:t>与项目采购需求基本一致</w:t>
            </w:r>
            <w:r>
              <w:rPr>
                <w:rFonts w:hint="eastAsia" w:ascii="宋体" w:hAnsi="宋体" w:eastAsia="宋体" w:cs="宋体"/>
                <w:i w:val="0"/>
                <w:iCs w:val="0"/>
                <w:color w:val="000000"/>
                <w:kern w:val="0"/>
                <w:sz w:val="21"/>
                <w:szCs w:val="21"/>
                <w:highlight w:val="none"/>
                <w:u w:val="none"/>
                <w:lang w:val="en-US" w:eastAsia="zh-CN" w:bidi="ar"/>
              </w:rPr>
              <w:t>，</w:t>
            </w:r>
            <w:r>
              <w:rPr>
                <w:rFonts w:hint="eastAsia" w:ascii="宋体" w:hAnsi="宋体" w:cs="宋体"/>
                <w:i w:val="0"/>
                <w:iCs w:val="0"/>
                <w:color w:val="000000"/>
                <w:kern w:val="0"/>
                <w:sz w:val="21"/>
                <w:szCs w:val="21"/>
                <w:highlight w:val="none"/>
                <w:u w:val="none"/>
                <w:lang w:val="en-US" w:eastAsia="zh-CN" w:bidi="ar"/>
              </w:rPr>
              <w:t>3-7</w:t>
            </w:r>
            <w:r>
              <w:rPr>
                <w:rFonts w:hint="eastAsia" w:ascii="宋体" w:hAnsi="宋体" w:eastAsia="宋体" w:cs="宋体"/>
                <w:i w:val="0"/>
                <w:iCs w:val="0"/>
                <w:color w:val="000000"/>
                <w:kern w:val="0"/>
                <w:sz w:val="21"/>
                <w:szCs w:val="21"/>
                <w:highlight w:val="none"/>
                <w:u w:val="none"/>
                <w:lang w:val="en-US" w:eastAsia="zh-CN" w:bidi="ar"/>
              </w:rPr>
              <w:t>分</w:t>
            </w:r>
            <w:r>
              <w:rPr>
                <w:rFonts w:hint="eastAsia" w:ascii="宋体" w:hAnsi="宋体" w:cs="宋体"/>
                <w:i w:val="0"/>
                <w:iCs w:val="0"/>
                <w:color w:val="000000"/>
                <w:kern w:val="0"/>
                <w:sz w:val="21"/>
                <w:szCs w:val="21"/>
                <w:highlight w:val="none"/>
                <w:u w:val="none"/>
                <w:lang w:val="en-US" w:eastAsia="zh-CN" w:bidi="ar"/>
              </w:rPr>
              <w:t>（不含7分）</w:t>
            </w:r>
            <w:r>
              <w:rPr>
                <w:rFonts w:hint="eastAsia" w:ascii="宋体" w:hAnsi="宋体" w:eastAsia="宋体" w:cs="宋体"/>
                <w:i w:val="0"/>
                <w:iCs w:val="0"/>
                <w:color w:val="000000"/>
                <w:kern w:val="0"/>
                <w:sz w:val="21"/>
                <w:szCs w:val="21"/>
                <w:highlight w:val="none"/>
                <w:u w:val="none"/>
                <w:lang w:val="en-US" w:eastAsia="zh-CN" w:bidi="ar"/>
              </w:rPr>
              <w:t>；</w:t>
            </w:r>
          </w:p>
          <w:p>
            <w:pPr>
              <w:keepNext w:val="0"/>
              <w:keepLines w:val="0"/>
              <w:pageBreakBefore w:val="0"/>
              <w:widowControl w:val="0"/>
              <w:kinsoku/>
              <w:wordWrap/>
              <w:overflowPunct/>
              <w:topLinePunct w:val="0"/>
              <w:autoSpaceDE w:val="0"/>
              <w:autoSpaceDN w:val="0"/>
              <w:bidi w:val="0"/>
              <w:adjustRightInd w:val="0"/>
              <w:snapToGrid/>
              <w:spacing w:line="320" w:lineRule="atLeast"/>
              <w:textAlignment w:val="auto"/>
              <w:rPr>
                <w:rFonts w:hint="eastAsia" w:ascii="宋体" w:hAnsi="宋体" w:eastAsia="宋体" w:cs="宋体"/>
                <w:color w:val="auto"/>
                <w:sz w:val="21"/>
                <w:szCs w:val="21"/>
                <w:highlight w:val="none"/>
                <w:lang w:val="en-US" w:eastAsia="zh-CN"/>
              </w:rPr>
            </w:pPr>
            <w:r>
              <w:rPr>
                <w:rFonts w:hint="eastAsia" w:ascii="宋体" w:hAnsi="宋体" w:cs="宋体"/>
                <w:i w:val="0"/>
                <w:iCs w:val="0"/>
                <w:color w:val="000000"/>
                <w:kern w:val="0"/>
                <w:sz w:val="21"/>
                <w:szCs w:val="21"/>
                <w:highlight w:val="none"/>
                <w:u w:val="none"/>
                <w:lang w:val="en-US" w:eastAsia="zh-CN" w:bidi="ar"/>
              </w:rPr>
              <w:t>3、</w:t>
            </w:r>
            <w:r>
              <w:rPr>
                <w:rFonts w:hint="eastAsia" w:ascii="宋体" w:hAnsi="宋体" w:eastAsia="宋体" w:cs="宋体"/>
                <w:i w:val="0"/>
                <w:iCs w:val="0"/>
                <w:color w:val="000000"/>
                <w:kern w:val="0"/>
                <w:sz w:val="21"/>
                <w:szCs w:val="21"/>
                <w:highlight w:val="none"/>
                <w:u w:val="none"/>
                <w:lang w:val="en-US" w:eastAsia="zh-CN" w:bidi="ar"/>
              </w:rPr>
              <w:t>方案有疏漏、可行性欠佳，得</w:t>
            </w:r>
            <w:r>
              <w:rPr>
                <w:rFonts w:hint="eastAsia" w:ascii="宋体" w:hAnsi="宋体" w:cs="宋体"/>
                <w:i w:val="0"/>
                <w:iCs w:val="0"/>
                <w:color w:val="000000"/>
                <w:kern w:val="0"/>
                <w:sz w:val="21"/>
                <w:szCs w:val="21"/>
                <w:highlight w:val="none"/>
                <w:u w:val="none"/>
                <w:lang w:val="en-US" w:eastAsia="zh-CN" w:bidi="ar"/>
              </w:rPr>
              <w:t>0-3</w:t>
            </w:r>
            <w:r>
              <w:rPr>
                <w:rFonts w:hint="eastAsia" w:ascii="宋体" w:hAnsi="宋体" w:eastAsia="宋体" w:cs="宋体"/>
                <w:i w:val="0"/>
                <w:iCs w:val="0"/>
                <w:color w:val="000000"/>
                <w:kern w:val="0"/>
                <w:sz w:val="21"/>
                <w:szCs w:val="21"/>
                <w:highlight w:val="none"/>
                <w:u w:val="none"/>
                <w:lang w:val="en-US" w:eastAsia="zh-CN" w:bidi="ar"/>
              </w:rPr>
              <w:t>分</w:t>
            </w:r>
            <w:r>
              <w:rPr>
                <w:rFonts w:hint="eastAsia" w:ascii="宋体" w:hAnsi="宋体" w:cs="宋体"/>
                <w:i w:val="0"/>
                <w:iCs w:val="0"/>
                <w:color w:val="000000"/>
                <w:kern w:val="0"/>
                <w:sz w:val="21"/>
                <w:szCs w:val="21"/>
                <w:highlight w:val="none"/>
                <w:u w:val="none"/>
                <w:lang w:val="en-US" w:eastAsia="zh-CN" w:bidi="ar"/>
              </w:rPr>
              <w:t>（不含3分）</w:t>
            </w:r>
            <w:r>
              <w:rPr>
                <w:rFonts w:hint="eastAsia" w:ascii="宋体" w:hAnsi="宋体" w:eastAsia="宋体" w:cs="宋体"/>
                <w:i w:val="0"/>
                <w:iCs w:val="0"/>
                <w:color w:val="000000"/>
                <w:kern w:val="0"/>
                <w:sz w:val="21"/>
                <w:szCs w:val="21"/>
                <w:highlight w:val="none"/>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07" w:hRule="atLeast"/>
        </w:trPr>
        <w:tc>
          <w:tcPr>
            <w:tcW w:w="652" w:type="dxa"/>
            <w:vMerge w:val="continue"/>
            <w:tcBorders>
              <w:left w:val="single" w:color="auto" w:sz="4" w:space="0"/>
              <w:right w:val="single" w:color="auto" w:sz="4" w:space="0"/>
            </w:tcBorders>
            <w:vAlign w:val="center"/>
          </w:tcPr>
          <w:p>
            <w:pPr>
              <w:jc w:val="center"/>
              <w:rPr>
                <w:rFonts w:hint="eastAsia" w:ascii="宋体" w:hAnsi="宋体" w:eastAsia="宋体" w:cs="宋体"/>
                <w:color w:val="auto"/>
                <w:sz w:val="21"/>
                <w:szCs w:val="21"/>
                <w:highlight w:val="none"/>
              </w:rPr>
            </w:pPr>
          </w:p>
        </w:tc>
        <w:tc>
          <w:tcPr>
            <w:tcW w:w="788" w:type="dxa"/>
            <w:vMerge w:val="continue"/>
            <w:tcBorders>
              <w:left w:val="single" w:color="auto" w:sz="4" w:space="0"/>
              <w:right w:val="single" w:color="auto" w:sz="4" w:space="0"/>
            </w:tcBorders>
            <w:vAlign w:val="center"/>
          </w:tcPr>
          <w:p>
            <w:pPr>
              <w:jc w:val="center"/>
              <w:rPr>
                <w:rFonts w:hint="eastAsia" w:ascii="宋体" w:hAnsi="宋体" w:eastAsia="宋体" w:cs="宋体"/>
                <w:color w:val="auto"/>
                <w:sz w:val="21"/>
                <w:szCs w:val="21"/>
                <w:highlight w:val="none"/>
              </w:rPr>
            </w:pPr>
          </w:p>
        </w:tc>
        <w:tc>
          <w:tcPr>
            <w:tcW w:w="1492" w:type="dxa"/>
            <w:vMerge w:val="continue"/>
            <w:tcBorders>
              <w:left w:val="single" w:color="auto" w:sz="4" w:space="0"/>
              <w:right w:val="single" w:color="auto" w:sz="4" w:space="0"/>
            </w:tcBorders>
            <w:vAlign w:val="center"/>
          </w:tcPr>
          <w:p>
            <w:pPr>
              <w:jc w:val="center"/>
              <w:rPr>
                <w:rFonts w:hint="eastAsia" w:ascii="宋体" w:hAnsi="宋体" w:eastAsia="宋体" w:cs="宋体"/>
                <w:color w:val="auto"/>
                <w:sz w:val="21"/>
                <w:szCs w:val="21"/>
                <w:highlight w:val="none"/>
              </w:rPr>
            </w:pPr>
          </w:p>
        </w:tc>
        <w:tc>
          <w:tcPr>
            <w:tcW w:w="930" w:type="dxa"/>
            <w:tcBorders>
              <w:top w:val="single" w:color="auto" w:sz="4" w:space="0"/>
              <w:left w:val="single" w:color="auto" w:sz="4" w:space="0"/>
              <w:right w:val="single" w:color="auto" w:sz="4" w:space="0"/>
            </w:tcBorders>
            <w:vAlign w:val="center"/>
          </w:tcPr>
          <w:p>
            <w:pPr>
              <w:spacing w:line="300" w:lineRule="exact"/>
              <w:jc w:val="center"/>
              <w:rPr>
                <w:rFonts w:hint="eastAsia" w:ascii="宋体" w:hAnsi="宋体" w:eastAsia="宋体" w:cs="宋体"/>
                <w:color w:val="auto"/>
                <w:sz w:val="21"/>
                <w:szCs w:val="21"/>
                <w:highlight w:val="none"/>
                <w:lang w:val="en-US" w:eastAsia="zh-CN"/>
              </w:rPr>
            </w:pPr>
            <w:r>
              <w:rPr>
                <w:rFonts w:ascii="宋体" w:hAnsi="宋体" w:cs="宋体"/>
                <w:color w:val="auto"/>
                <w:szCs w:val="21"/>
                <w:highlight w:val="none"/>
              </w:rPr>
              <w:t>3</w:t>
            </w:r>
            <w:r>
              <w:rPr>
                <w:rFonts w:hint="eastAsia" w:ascii="宋体" w:hAnsi="宋体" w:cs="宋体"/>
                <w:color w:val="auto"/>
                <w:szCs w:val="21"/>
                <w:highlight w:val="none"/>
              </w:rPr>
              <w:t>分</w:t>
            </w:r>
          </w:p>
        </w:tc>
        <w:tc>
          <w:tcPr>
            <w:tcW w:w="5633"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320" w:lineRule="atLeast"/>
              <w:ind w:firstLine="210" w:firstLineChars="100"/>
              <w:textAlignment w:val="auto"/>
              <w:rPr>
                <w:rFonts w:hint="eastAsia" w:ascii="宋体" w:hAnsi="宋体" w:eastAsia="宋体" w:cs="宋体"/>
                <w:color w:val="auto"/>
                <w:sz w:val="21"/>
                <w:szCs w:val="21"/>
                <w:highlight w:val="none"/>
                <w:lang w:val="en-US" w:eastAsia="zh-CN"/>
              </w:rPr>
            </w:pPr>
            <w:r>
              <w:rPr>
                <w:rFonts w:hint="eastAsia" w:ascii="宋体" w:hAnsi="宋体" w:cs="仿宋"/>
                <w:color w:val="auto"/>
                <w:szCs w:val="21"/>
                <w:highlight w:val="none"/>
              </w:rPr>
              <w:t>提供数据库维护的具体内容及方案。包括信息安全管理、项目管理流程、服务质量、应急情况应对措施、合理化建议。</w:t>
            </w:r>
            <w:r>
              <w:rPr>
                <w:rFonts w:hint="eastAsia" w:ascii="宋体" w:hAnsi="宋体" w:cs="宋体"/>
                <w:color w:val="auto"/>
                <w:szCs w:val="21"/>
                <w:highlight w:val="none"/>
              </w:rPr>
              <w:t>根据投标文件的响应情况</w:t>
            </w:r>
            <w:r>
              <w:rPr>
                <w:rFonts w:hint="eastAsia" w:ascii="宋体" w:hAnsi="宋体" w:cs="仿宋"/>
                <w:color w:val="auto"/>
                <w:szCs w:val="21"/>
                <w:highlight w:val="none"/>
              </w:rPr>
              <w:t>进行综合评</w:t>
            </w:r>
            <w:r>
              <w:rPr>
                <w:rFonts w:hint="eastAsia" w:ascii="宋体" w:hAnsi="宋体" w:cs="仿宋"/>
                <w:color w:val="auto"/>
                <w:szCs w:val="21"/>
                <w:highlight w:val="none"/>
                <w:lang w:val="en-US" w:eastAsia="zh-CN"/>
              </w:rPr>
              <w:t>价0-3分</w:t>
            </w:r>
            <w:r>
              <w:rPr>
                <w:rFonts w:hint="eastAsia" w:ascii="宋体" w:hAnsi="宋体" w:eastAsia="宋体" w:cs="宋体"/>
                <w:szCs w:val="21"/>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1" w:hRule="atLeast"/>
        </w:trPr>
        <w:tc>
          <w:tcPr>
            <w:tcW w:w="652" w:type="dxa"/>
            <w:vMerge w:val="continue"/>
            <w:tcBorders>
              <w:left w:val="single" w:color="auto" w:sz="4" w:space="0"/>
              <w:right w:val="single" w:color="auto" w:sz="4" w:space="0"/>
            </w:tcBorders>
            <w:vAlign w:val="center"/>
          </w:tcPr>
          <w:p>
            <w:pPr>
              <w:jc w:val="center"/>
              <w:rPr>
                <w:rFonts w:hint="eastAsia" w:ascii="宋体" w:hAnsi="宋体" w:eastAsia="宋体" w:cs="宋体"/>
                <w:color w:val="auto"/>
                <w:sz w:val="21"/>
                <w:szCs w:val="21"/>
                <w:highlight w:val="none"/>
              </w:rPr>
            </w:pPr>
          </w:p>
        </w:tc>
        <w:tc>
          <w:tcPr>
            <w:tcW w:w="788" w:type="dxa"/>
            <w:vMerge w:val="continue"/>
            <w:tcBorders>
              <w:left w:val="single" w:color="auto" w:sz="4" w:space="0"/>
              <w:right w:val="single" w:color="auto" w:sz="4" w:space="0"/>
            </w:tcBorders>
            <w:vAlign w:val="center"/>
          </w:tcPr>
          <w:p>
            <w:pPr>
              <w:jc w:val="center"/>
              <w:rPr>
                <w:rFonts w:hint="eastAsia" w:ascii="宋体" w:hAnsi="宋体" w:eastAsia="宋体" w:cs="宋体"/>
                <w:color w:val="auto"/>
                <w:sz w:val="21"/>
                <w:szCs w:val="21"/>
                <w:highlight w:val="none"/>
              </w:rPr>
            </w:pPr>
          </w:p>
        </w:tc>
        <w:tc>
          <w:tcPr>
            <w:tcW w:w="1492" w:type="dxa"/>
            <w:vMerge w:val="continue"/>
            <w:tcBorders>
              <w:left w:val="single" w:color="auto" w:sz="4" w:space="0"/>
              <w:right w:val="single" w:color="auto" w:sz="4" w:space="0"/>
            </w:tcBorders>
            <w:vAlign w:val="center"/>
          </w:tcPr>
          <w:p>
            <w:pPr>
              <w:jc w:val="center"/>
              <w:rPr>
                <w:rFonts w:hint="eastAsia" w:ascii="宋体" w:hAnsi="宋体" w:eastAsia="宋体" w:cs="宋体"/>
                <w:color w:val="auto"/>
                <w:sz w:val="21"/>
                <w:szCs w:val="21"/>
                <w:highlight w:val="none"/>
              </w:rPr>
            </w:pPr>
          </w:p>
        </w:tc>
        <w:tc>
          <w:tcPr>
            <w:tcW w:w="930" w:type="dxa"/>
            <w:tcBorders>
              <w:top w:val="single" w:color="auto" w:sz="4" w:space="0"/>
              <w:left w:val="single" w:color="auto" w:sz="4" w:space="0"/>
              <w:right w:val="single" w:color="auto" w:sz="4" w:space="0"/>
            </w:tcBorders>
            <w:vAlign w:val="center"/>
          </w:tcPr>
          <w:p>
            <w:pPr>
              <w:spacing w:line="300" w:lineRule="exact"/>
              <w:jc w:val="center"/>
              <w:rPr>
                <w:rFonts w:hint="eastAsia" w:ascii="宋体" w:hAnsi="宋体" w:eastAsia="宋体" w:cs="宋体"/>
                <w:color w:val="auto"/>
                <w:sz w:val="21"/>
                <w:szCs w:val="21"/>
                <w:highlight w:val="none"/>
                <w:lang w:val="en-US" w:eastAsia="zh-CN"/>
              </w:rPr>
            </w:pPr>
            <w:r>
              <w:rPr>
                <w:rFonts w:hint="eastAsia" w:ascii="宋体" w:hAnsi="宋体" w:cs="宋体"/>
                <w:color w:val="auto"/>
                <w:szCs w:val="21"/>
                <w:highlight w:val="none"/>
              </w:rPr>
              <w:t>2分</w:t>
            </w:r>
          </w:p>
        </w:tc>
        <w:tc>
          <w:tcPr>
            <w:tcW w:w="5633"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320" w:lineRule="atLeast"/>
              <w:ind w:firstLine="210" w:firstLineChars="100"/>
              <w:textAlignment w:val="auto"/>
              <w:rPr>
                <w:rFonts w:hint="eastAsia" w:ascii="宋体" w:hAnsi="宋体" w:eastAsia="宋体" w:cs="宋体"/>
                <w:color w:val="auto"/>
                <w:sz w:val="21"/>
                <w:szCs w:val="21"/>
                <w:highlight w:val="none"/>
                <w:lang w:val="en-US" w:eastAsia="zh-CN"/>
              </w:rPr>
            </w:pPr>
            <w:r>
              <w:rPr>
                <w:rFonts w:hint="eastAsia" w:ascii="宋体" w:hAnsi="宋体" w:cs="仿宋"/>
                <w:color w:val="auto"/>
                <w:szCs w:val="21"/>
                <w:highlight w:val="none"/>
              </w:rPr>
              <w:t>内网云平台扩容现有的版本升级服务，有完整、可行的升级方案，</w:t>
            </w:r>
            <w:r>
              <w:rPr>
                <w:rFonts w:hint="eastAsia" w:ascii="宋体" w:hAnsi="宋体" w:cs="宋体"/>
                <w:color w:val="auto"/>
                <w:szCs w:val="21"/>
                <w:highlight w:val="none"/>
              </w:rPr>
              <w:t>根据投标文件的响应情况</w:t>
            </w:r>
            <w:r>
              <w:rPr>
                <w:rFonts w:hint="eastAsia" w:ascii="宋体" w:hAnsi="宋体" w:cs="仿宋"/>
                <w:color w:val="auto"/>
                <w:szCs w:val="21"/>
                <w:highlight w:val="none"/>
              </w:rPr>
              <w:t>进行综合评</w:t>
            </w:r>
            <w:r>
              <w:rPr>
                <w:rFonts w:hint="eastAsia" w:ascii="宋体" w:hAnsi="宋体" w:cs="仿宋"/>
                <w:color w:val="auto"/>
                <w:szCs w:val="21"/>
                <w:highlight w:val="none"/>
                <w:lang w:val="en-US" w:eastAsia="zh-CN"/>
              </w:rPr>
              <w:t>价0-2分</w:t>
            </w:r>
            <w:r>
              <w:rPr>
                <w:rFonts w:hint="eastAsia" w:ascii="宋体" w:hAnsi="宋体" w:eastAsia="宋体" w:cs="宋体"/>
                <w:szCs w:val="21"/>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1" w:hRule="atLeast"/>
        </w:trPr>
        <w:tc>
          <w:tcPr>
            <w:tcW w:w="652" w:type="dxa"/>
            <w:vMerge w:val="continue"/>
            <w:tcBorders>
              <w:left w:val="single" w:color="auto" w:sz="4" w:space="0"/>
              <w:right w:val="single" w:color="auto" w:sz="4" w:space="0"/>
            </w:tcBorders>
            <w:vAlign w:val="center"/>
          </w:tcPr>
          <w:p>
            <w:pPr>
              <w:jc w:val="center"/>
              <w:rPr>
                <w:rFonts w:hint="eastAsia" w:ascii="宋体" w:hAnsi="宋体" w:eastAsia="宋体" w:cs="宋体"/>
                <w:color w:val="auto"/>
                <w:sz w:val="21"/>
                <w:szCs w:val="21"/>
                <w:highlight w:val="none"/>
              </w:rPr>
            </w:pPr>
          </w:p>
        </w:tc>
        <w:tc>
          <w:tcPr>
            <w:tcW w:w="788" w:type="dxa"/>
            <w:vMerge w:val="continue"/>
            <w:tcBorders>
              <w:left w:val="single" w:color="auto" w:sz="4" w:space="0"/>
              <w:right w:val="single" w:color="auto" w:sz="4" w:space="0"/>
            </w:tcBorders>
            <w:vAlign w:val="center"/>
          </w:tcPr>
          <w:p>
            <w:pPr>
              <w:jc w:val="center"/>
              <w:rPr>
                <w:rFonts w:hint="eastAsia" w:ascii="宋体" w:hAnsi="宋体" w:eastAsia="宋体" w:cs="宋体"/>
                <w:color w:val="auto"/>
                <w:sz w:val="21"/>
                <w:szCs w:val="21"/>
                <w:highlight w:val="none"/>
              </w:rPr>
            </w:pPr>
          </w:p>
        </w:tc>
        <w:tc>
          <w:tcPr>
            <w:tcW w:w="1492" w:type="dxa"/>
            <w:tcBorders>
              <w:left w:val="single" w:color="auto" w:sz="4" w:space="0"/>
              <w:right w:val="single" w:color="auto" w:sz="4" w:space="0"/>
            </w:tcBorders>
            <w:vAlign w:val="center"/>
          </w:tcPr>
          <w:p>
            <w:pPr>
              <w:jc w:val="center"/>
              <w:rPr>
                <w:rFonts w:hint="eastAsia" w:ascii="宋体" w:hAnsi="宋体" w:eastAsia="宋体" w:cs="宋体"/>
                <w:szCs w:val="21"/>
                <w:lang w:bidi="ar"/>
              </w:rPr>
            </w:pPr>
            <w:r>
              <w:rPr>
                <w:rFonts w:hint="eastAsia" w:ascii="宋体" w:hAnsi="宋体" w:eastAsia="宋体" w:cs="宋体"/>
                <w:szCs w:val="21"/>
                <w:lang w:bidi="ar"/>
              </w:rPr>
              <w:t>合理化建议及风险防控</w:t>
            </w:r>
          </w:p>
          <w:p>
            <w:pPr>
              <w:autoSpaceDE w:val="0"/>
              <w:autoSpaceDN w:val="0"/>
              <w:adjustRightInd w:val="0"/>
              <w:spacing w:line="320" w:lineRule="exact"/>
              <w:ind w:firstLine="105" w:firstLineChars="50"/>
              <w:jc w:val="center"/>
              <w:rPr>
                <w:rFonts w:hint="eastAsia" w:ascii="宋体" w:hAnsi="宋体" w:eastAsia="宋体" w:cs="宋体"/>
                <w:color w:val="auto"/>
                <w:sz w:val="21"/>
                <w:szCs w:val="21"/>
                <w:highlight w:val="none"/>
              </w:rPr>
            </w:pPr>
            <w:r>
              <w:rPr>
                <w:rFonts w:hint="eastAsia" w:ascii="宋体" w:hAnsi="宋体" w:eastAsia="宋体" w:cs="宋体"/>
                <w:szCs w:val="21"/>
                <w:lang w:bidi="ar"/>
              </w:rPr>
              <w:t>（</w:t>
            </w:r>
            <w:r>
              <w:rPr>
                <w:rFonts w:hint="eastAsia" w:ascii="宋体" w:hAnsi="宋体" w:cs="宋体"/>
                <w:szCs w:val="21"/>
                <w:lang w:val="en-US" w:eastAsia="zh-CN" w:bidi="ar"/>
              </w:rPr>
              <w:t>3</w:t>
            </w:r>
            <w:r>
              <w:rPr>
                <w:rFonts w:hint="eastAsia" w:ascii="宋体" w:hAnsi="宋体" w:eastAsia="宋体" w:cs="宋体"/>
                <w:szCs w:val="21"/>
                <w:lang w:bidi="ar"/>
              </w:rPr>
              <w:t>分）</w:t>
            </w:r>
          </w:p>
        </w:tc>
        <w:tc>
          <w:tcPr>
            <w:tcW w:w="930" w:type="dxa"/>
            <w:tcBorders>
              <w:top w:val="single" w:color="auto" w:sz="4" w:space="0"/>
              <w:left w:val="single" w:color="auto" w:sz="4" w:space="0"/>
              <w:right w:val="single" w:color="auto" w:sz="4" w:space="0"/>
            </w:tcBorders>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lang w:val="en-US" w:eastAsia="zh-CN"/>
              </w:rPr>
              <w:t>3分</w:t>
            </w:r>
          </w:p>
        </w:tc>
        <w:tc>
          <w:tcPr>
            <w:tcW w:w="5633" w:type="dxa"/>
            <w:tcBorders>
              <w:top w:val="single" w:color="auto" w:sz="4" w:space="0"/>
              <w:left w:val="single" w:color="auto" w:sz="4" w:space="0"/>
              <w:right w:val="single" w:color="auto" w:sz="4" w:space="0"/>
            </w:tcBorders>
            <w:vAlign w:val="center"/>
          </w:tcPr>
          <w:p>
            <w:pPr>
              <w:rPr>
                <w:rFonts w:hint="eastAsia" w:ascii="宋体" w:hAnsi="宋体" w:cs="仿宋"/>
                <w:color w:val="auto"/>
                <w:szCs w:val="21"/>
                <w:highlight w:val="none"/>
              </w:rPr>
            </w:pPr>
            <w:r>
              <w:rPr>
                <w:rFonts w:hint="eastAsia" w:ascii="宋体" w:hAnsi="宋体" w:cs="宋体"/>
                <w:szCs w:val="21"/>
                <w:lang w:val="en-US" w:eastAsia="zh-CN" w:bidi="ar"/>
              </w:rPr>
              <w:t>对本项目的</w:t>
            </w:r>
            <w:r>
              <w:rPr>
                <w:rFonts w:hint="eastAsia" w:ascii="宋体" w:hAnsi="宋体" w:eastAsia="宋体" w:cs="宋体"/>
                <w:szCs w:val="21"/>
                <w:lang w:bidi="ar"/>
              </w:rPr>
              <w:t>风险分析、合理化建议。</w:t>
            </w:r>
            <w:r>
              <w:rPr>
                <w:rFonts w:hint="eastAsia" w:ascii="宋体" w:hAnsi="宋体" w:cs="宋体"/>
                <w:color w:val="auto"/>
                <w:szCs w:val="21"/>
                <w:highlight w:val="none"/>
              </w:rPr>
              <w:t>根据投标文件的响应情况</w:t>
            </w:r>
            <w:r>
              <w:rPr>
                <w:rFonts w:hint="eastAsia" w:ascii="宋体" w:hAnsi="宋体" w:cs="仿宋"/>
                <w:color w:val="auto"/>
                <w:szCs w:val="21"/>
                <w:highlight w:val="none"/>
              </w:rPr>
              <w:t>进行综合评</w:t>
            </w:r>
            <w:r>
              <w:rPr>
                <w:rFonts w:hint="eastAsia" w:ascii="宋体" w:hAnsi="宋体" w:cs="仿宋"/>
                <w:color w:val="auto"/>
                <w:szCs w:val="21"/>
                <w:highlight w:val="none"/>
                <w:lang w:val="en-US" w:eastAsia="zh-CN"/>
              </w:rPr>
              <w:t>价0-3分</w:t>
            </w:r>
            <w:r>
              <w:rPr>
                <w:rFonts w:hint="eastAsia" w:ascii="宋体" w:hAnsi="宋体" w:eastAsia="宋体" w:cs="宋体"/>
                <w:szCs w:val="21"/>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6" w:hRule="atLeast"/>
        </w:trPr>
        <w:tc>
          <w:tcPr>
            <w:tcW w:w="652" w:type="dxa"/>
            <w:vMerge w:val="restart"/>
            <w:tcBorders>
              <w:left w:val="single" w:color="auto" w:sz="4" w:space="0"/>
              <w:right w:val="single" w:color="auto" w:sz="4" w:space="0"/>
            </w:tcBorders>
            <w:vAlign w:val="center"/>
          </w:tcPr>
          <w:p>
            <w:pPr>
              <w:widowControl/>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商务</w:t>
            </w:r>
          </w:p>
        </w:tc>
        <w:tc>
          <w:tcPr>
            <w:tcW w:w="788" w:type="dxa"/>
            <w:vMerge w:val="restart"/>
            <w:tcBorders>
              <w:left w:val="single" w:color="auto" w:sz="4" w:space="0"/>
              <w:right w:val="single" w:color="auto" w:sz="4" w:space="0"/>
            </w:tcBorders>
            <w:vAlign w:val="center"/>
          </w:tcPr>
          <w:p>
            <w:pPr>
              <w:widowControl/>
              <w:jc w:val="center"/>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22</w:t>
            </w:r>
            <w:r>
              <w:rPr>
                <w:rFonts w:hint="eastAsia" w:ascii="宋体" w:hAnsi="宋体" w:eastAsia="宋体" w:cs="宋体"/>
                <w:color w:val="auto"/>
                <w:sz w:val="21"/>
                <w:szCs w:val="21"/>
                <w:highlight w:val="none"/>
                <w:lang w:val="zh-CN"/>
              </w:rPr>
              <w:t>分</w:t>
            </w:r>
          </w:p>
        </w:tc>
        <w:tc>
          <w:tcPr>
            <w:tcW w:w="1492" w:type="dxa"/>
            <w:tcBorders>
              <w:top w:val="single" w:color="auto" w:sz="4" w:space="0"/>
              <w:left w:val="single" w:color="auto" w:sz="4" w:space="0"/>
              <w:bottom w:val="single" w:color="auto" w:sz="4" w:space="0"/>
              <w:right w:val="single" w:color="auto" w:sz="4" w:space="0"/>
            </w:tcBorders>
            <w:vAlign w:val="center"/>
          </w:tcPr>
          <w:p>
            <w:pPr>
              <w:ind w:firstLine="525" w:firstLineChars="250"/>
              <w:rPr>
                <w:rFonts w:ascii="宋体" w:hAnsi="宋体" w:cs="宋体"/>
                <w:color w:val="auto"/>
                <w:szCs w:val="21"/>
                <w:highlight w:val="none"/>
              </w:rPr>
            </w:pPr>
            <w:r>
              <w:rPr>
                <w:rFonts w:hint="eastAsia" w:ascii="宋体" w:hAnsi="宋体" w:cs="宋体"/>
                <w:color w:val="auto"/>
                <w:szCs w:val="21"/>
                <w:highlight w:val="none"/>
              </w:rPr>
              <w:t>业绩</w:t>
            </w:r>
          </w:p>
          <w:p>
            <w:pPr>
              <w:jc w:val="center"/>
              <w:rPr>
                <w:rFonts w:hint="eastAsia" w:ascii="宋体" w:hAnsi="宋体" w:eastAsia="宋体" w:cs="宋体"/>
                <w:color w:val="auto"/>
                <w:sz w:val="21"/>
                <w:szCs w:val="21"/>
                <w:highlight w:val="none"/>
                <w:lang w:val="zh-CN"/>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lang w:val="zh-CN"/>
              </w:rPr>
              <w:t>分</w:t>
            </w:r>
            <w:r>
              <w:rPr>
                <w:rFonts w:hint="eastAsia" w:ascii="宋体" w:hAnsi="宋体" w:cs="宋体"/>
                <w:color w:val="auto"/>
                <w:szCs w:val="21"/>
                <w:highlight w:val="none"/>
              </w:rPr>
              <w:t>）</w:t>
            </w:r>
          </w:p>
        </w:tc>
        <w:tc>
          <w:tcPr>
            <w:tcW w:w="93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jc w:val="center"/>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lang w:val="zh-CN"/>
              </w:rPr>
              <w:t>分</w:t>
            </w:r>
          </w:p>
        </w:tc>
        <w:tc>
          <w:tcPr>
            <w:tcW w:w="563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snapToGrid/>
              <w:spacing w:line="288" w:lineRule="auto"/>
              <w:ind w:firstLine="210" w:firstLineChars="100"/>
              <w:jc w:val="left"/>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投标人或</w:t>
            </w:r>
            <w:r>
              <w:rPr>
                <w:rFonts w:hint="eastAsia" w:ascii="宋体" w:hAnsi="宋体" w:eastAsia="宋体" w:cs="宋体"/>
                <w:i w:val="0"/>
                <w:iCs w:val="0"/>
                <w:color w:val="000000"/>
                <w:kern w:val="0"/>
                <w:sz w:val="21"/>
                <w:szCs w:val="21"/>
                <w:u w:val="none"/>
                <w:lang w:val="en-US" w:eastAsia="zh-CN" w:bidi="ar"/>
              </w:rPr>
              <w:t>产品制造商</w:t>
            </w:r>
            <w:r>
              <w:rPr>
                <w:rFonts w:hint="eastAsia" w:ascii="宋体" w:hAnsi="宋体" w:cs="宋体"/>
                <w:i w:val="0"/>
                <w:iCs w:val="0"/>
                <w:color w:val="000000"/>
                <w:kern w:val="0"/>
                <w:sz w:val="21"/>
                <w:szCs w:val="21"/>
                <w:u w:val="none"/>
                <w:lang w:val="en-US" w:eastAsia="zh-CN" w:bidi="ar"/>
              </w:rPr>
              <w:t>自</w:t>
            </w:r>
            <w:r>
              <w:rPr>
                <w:rFonts w:hint="eastAsia" w:ascii="宋体" w:hAnsi="宋体" w:eastAsia="宋体" w:cs="宋体"/>
                <w:color w:val="auto"/>
                <w:sz w:val="21"/>
                <w:szCs w:val="21"/>
                <w:highlight w:val="none"/>
              </w:rPr>
              <w:t>20</w:t>
            </w:r>
            <w:r>
              <w:rPr>
                <w:rFonts w:hint="eastAsia" w:ascii="宋体" w:hAnsi="宋体" w:cs="宋体"/>
                <w:color w:val="auto"/>
                <w:sz w:val="21"/>
                <w:szCs w:val="21"/>
                <w:highlight w:val="none"/>
                <w:lang w:val="en-US" w:eastAsia="zh-CN"/>
              </w:rPr>
              <w:t>20</w:t>
            </w:r>
            <w:r>
              <w:rPr>
                <w:rFonts w:hint="eastAsia" w:ascii="宋体" w:hAnsi="宋体" w:eastAsia="宋体" w:cs="宋体"/>
                <w:color w:val="auto"/>
                <w:sz w:val="21"/>
                <w:szCs w:val="21"/>
                <w:highlight w:val="none"/>
              </w:rPr>
              <w:t>年1月1日至今</w:t>
            </w:r>
            <w:r>
              <w:rPr>
                <w:rFonts w:hint="eastAsia" w:ascii="宋体" w:hAnsi="宋体" w:eastAsia="宋体" w:cs="宋体"/>
                <w:color w:val="auto"/>
                <w:sz w:val="21"/>
                <w:szCs w:val="21"/>
                <w:highlight w:val="none"/>
                <w:lang w:val="en-US" w:eastAsia="zh-CN"/>
              </w:rPr>
              <w:t>具有类似产品业绩</w:t>
            </w:r>
            <w:r>
              <w:rPr>
                <w:rFonts w:hint="eastAsia" w:ascii="宋体" w:hAnsi="宋体" w:cs="宋体"/>
                <w:color w:val="auto"/>
                <w:sz w:val="21"/>
                <w:szCs w:val="21"/>
                <w:highlight w:val="none"/>
                <w:lang w:val="en-US" w:eastAsia="zh-CN"/>
              </w:rPr>
              <w:t>或</w:t>
            </w:r>
            <w:r>
              <w:rPr>
                <w:rFonts w:hint="eastAsia" w:ascii="宋体" w:hAnsi="宋体" w:eastAsia="宋体" w:cs="宋体"/>
                <w:i w:val="0"/>
                <w:iCs w:val="0"/>
                <w:color w:val="000000"/>
                <w:kern w:val="0"/>
                <w:sz w:val="21"/>
                <w:szCs w:val="21"/>
                <w:u w:val="none"/>
                <w:lang w:val="en-US" w:eastAsia="zh-CN" w:bidi="ar"/>
              </w:rPr>
              <w:t>建设案例，</w:t>
            </w:r>
            <w:r>
              <w:rPr>
                <w:rFonts w:hint="eastAsia" w:ascii="宋体" w:hAnsi="宋体" w:eastAsia="宋体" w:cs="宋体"/>
                <w:color w:val="auto"/>
                <w:sz w:val="21"/>
                <w:szCs w:val="21"/>
                <w:highlight w:val="none"/>
              </w:rPr>
              <w:t>提供业绩列表及对应合同（</w:t>
            </w:r>
            <w:r>
              <w:rPr>
                <w:rFonts w:hint="eastAsia" w:ascii="宋体" w:hAnsi="宋体" w:cs="宋体"/>
                <w:color w:val="auto"/>
                <w:sz w:val="21"/>
                <w:szCs w:val="21"/>
                <w:highlight w:val="none"/>
                <w:lang w:val="en-US" w:eastAsia="zh-CN"/>
              </w:rPr>
              <w:t>提供合同复印件加盖公章，</w:t>
            </w:r>
            <w:r>
              <w:rPr>
                <w:rFonts w:hint="eastAsia" w:ascii="宋体" w:hAnsi="宋体" w:eastAsia="宋体" w:cs="宋体"/>
                <w:color w:val="auto"/>
                <w:sz w:val="21"/>
                <w:szCs w:val="21"/>
                <w:highlight w:val="none"/>
              </w:rPr>
              <w:t>以合同签订日期为准），每提供1个符合要求的业绩得</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rPr>
              <w:t>分，本项最高为</w:t>
            </w: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40" w:hRule="atLeast"/>
        </w:trPr>
        <w:tc>
          <w:tcPr>
            <w:tcW w:w="652" w:type="dxa"/>
            <w:vMerge w:val="continue"/>
            <w:tcBorders>
              <w:left w:val="single" w:color="auto" w:sz="4" w:space="0"/>
              <w:right w:val="single" w:color="auto" w:sz="4" w:space="0"/>
            </w:tcBorders>
            <w:vAlign w:val="center"/>
          </w:tcPr>
          <w:p>
            <w:pPr>
              <w:widowControl/>
              <w:jc w:val="center"/>
              <w:rPr>
                <w:rFonts w:hint="eastAsia" w:ascii="宋体" w:hAnsi="宋体" w:eastAsia="宋体" w:cs="宋体"/>
                <w:color w:val="auto"/>
                <w:sz w:val="21"/>
                <w:szCs w:val="21"/>
                <w:highlight w:val="none"/>
              </w:rPr>
            </w:pPr>
          </w:p>
        </w:tc>
        <w:tc>
          <w:tcPr>
            <w:tcW w:w="788" w:type="dxa"/>
            <w:vMerge w:val="continue"/>
            <w:tcBorders>
              <w:left w:val="single" w:color="auto" w:sz="4" w:space="0"/>
              <w:right w:val="single" w:color="auto" w:sz="4" w:space="0"/>
            </w:tcBorders>
            <w:vAlign w:val="center"/>
          </w:tcPr>
          <w:p>
            <w:pPr>
              <w:widowControl/>
              <w:jc w:val="center"/>
              <w:rPr>
                <w:rFonts w:hint="eastAsia" w:ascii="宋体" w:hAnsi="宋体" w:eastAsia="宋体" w:cs="宋体"/>
                <w:color w:val="auto"/>
                <w:sz w:val="21"/>
                <w:szCs w:val="21"/>
                <w:highlight w:val="none"/>
              </w:rPr>
            </w:pPr>
          </w:p>
        </w:tc>
        <w:tc>
          <w:tcPr>
            <w:tcW w:w="14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Cs w:val="21"/>
                <w:highlight w:val="none"/>
                <w:lang w:val="zh-CN"/>
              </w:rPr>
            </w:pPr>
            <w:r>
              <w:rPr>
                <w:rFonts w:hint="eastAsia" w:ascii="宋体" w:hAnsi="宋体" w:cs="宋体"/>
                <w:color w:val="auto"/>
                <w:szCs w:val="21"/>
                <w:highlight w:val="none"/>
                <w:lang w:val="zh-CN"/>
              </w:rPr>
              <w:t>商务条款响应</w:t>
            </w:r>
          </w:p>
          <w:p>
            <w:pPr>
              <w:pStyle w:val="28"/>
              <w:jc w:val="center"/>
              <w:rPr>
                <w:rFonts w:hint="eastAsia" w:ascii="宋体" w:hAnsi="宋体" w:eastAsia="宋体" w:cs="宋体"/>
                <w:color w:val="auto"/>
                <w:sz w:val="21"/>
                <w:szCs w:val="21"/>
                <w:highlight w:val="none"/>
                <w:lang w:val="zh-CN"/>
              </w:rPr>
            </w:pPr>
            <w:r>
              <w:rPr>
                <w:rFonts w:hint="eastAsia" w:ascii="宋体" w:hAnsi="宋体" w:cs="宋体"/>
                <w:color w:val="auto"/>
                <w:szCs w:val="21"/>
                <w:highlight w:val="none"/>
              </w:rPr>
              <w:t>（</w:t>
            </w:r>
            <w:r>
              <w:rPr>
                <w:rFonts w:ascii="宋体" w:hAnsi="宋体" w:cs="宋体"/>
                <w:color w:val="auto"/>
                <w:szCs w:val="21"/>
                <w:highlight w:val="none"/>
              </w:rPr>
              <w:t>2</w:t>
            </w:r>
            <w:r>
              <w:rPr>
                <w:rFonts w:hint="eastAsia" w:ascii="宋体" w:hAnsi="宋体" w:cs="宋体"/>
                <w:color w:val="auto"/>
                <w:szCs w:val="21"/>
                <w:highlight w:val="none"/>
                <w:lang w:val="zh-CN"/>
              </w:rPr>
              <w:t>分</w:t>
            </w:r>
            <w:r>
              <w:rPr>
                <w:rFonts w:hint="eastAsia" w:ascii="宋体" w:hAnsi="宋体" w:cs="宋体"/>
                <w:color w:val="auto"/>
                <w:szCs w:val="21"/>
                <w:highlight w:val="none"/>
              </w:rPr>
              <w:t>）</w:t>
            </w:r>
          </w:p>
        </w:tc>
        <w:tc>
          <w:tcPr>
            <w:tcW w:w="93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lang w:val="zh-CN"/>
              </w:rPr>
              <w:t>分</w:t>
            </w:r>
          </w:p>
        </w:tc>
        <w:tc>
          <w:tcPr>
            <w:tcW w:w="563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snapToGrid/>
              <w:spacing w:line="320" w:lineRule="atLeast"/>
              <w:ind w:firstLine="210" w:firstLineChars="1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商务条款（包括但不限于</w:t>
            </w:r>
            <w:r>
              <w:rPr>
                <w:rFonts w:hint="eastAsia" w:ascii="宋体" w:hAnsi="宋体" w:cs="宋体"/>
                <w:color w:val="auto"/>
                <w:sz w:val="21"/>
                <w:szCs w:val="21"/>
                <w:highlight w:val="none"/>
                <w:lang w:val="en-US" w:eastAsia="zh-CN"/>
              </w:rPr>
              <w:t>实施完工期</w:t>
            </w:r>
            <w:r>
              <w:rPr>
                <w:rFonts w:hint="eastAsia" w:ascii="宋体" w:hAnsi="宋体" w:eastAsia="宋体" w:cs="宋体"/>
                <w:color w:val="auto"/>
                <w:sz w:val="21"/>
                <w:szCs w:val="21"/>
                <w:highlight w:val="none"/>
              </w:rPr>
              <w:t>、质量保证期、</w:t>
            </w:r>
            <w:r>
              <w:rPr>
                <w:rFonts w:hint="eastAsia" w:ascii="宋体" w:hAnsi="宋体" w:eastAsia="宋体" w:cs="宋体"/>
                <w:color w:val="auto"/>
                <w:sz w:val="21"/>
                <w:szCs w:val="21"/>
                <w:highlight w:val="none"/>
                <w:lang w:val="en-US" w:eastAsia="zh-CN"/>
              </w:rPr>
              <w:t>付款方式、应急响应</w:t>
            </w:r>
            <w:r>
              <w:rPr>
                <w:rFonts w:hint="eastAsia" w:ascii="宋体" w:hAnsi="宋体" w:eastAsia="宋体" w:cs="宋体"/>
                <w:color w:val="auto"/>
                <w:sz w:val="21"/>
                <w:szCs w:val="21"/>
                <w:highlight w:val="none"/>
              </w:rPr>
              <w:t>等）优于招标文件要求</w:t>
            </w:r>
            <w:r>
              <w:rPr>
                <w:rFonts w:hint="eastAsia" w:ascii="宋体" w:hAnsi="宋体" w:cs="宋体"/>
                <w:color w:val="auto"/>
                <w:sz w:val="21"/>
                <w:szCs w:val="21"/>
                <w:highlight w:val="none"/>
                <w:lang w:eastAsia="zh-CN"/>
              </w:rPr>
              <w:t>，</w:t>
            </w:r>
            <w:r>
              <w:rPr>
                <w:rFonts w:hint="eastAsia" w:ascii="宋体" w:hAnsi="宋体" w:cs="宋体"/>
                <w:color w:val="auto"/>
                <w:szCs w:val="21"/>
                <w:highlight w:val="none"/>
              </w:rPr>
              <w:t>根据投标文件的响应情况</w:t>
            </w:r>
            <w:r>
              <w:rPr>
                <w:rFonts w:hint="eastAsia" w:ascii="宋体" w:hAnsi="宋体" w:cs="仿宋"/>
                <w:color w:val="auto"/>
                <w:szCs w:val="21"/>
                <w:highlight w:val="none"/>
              </w:rPr>
              <w:t>进行综合评</w:t>
            </w:r>
            <w:r>
              <w:rPr>
                <w:rFonts w:hint="eastAsia" w:ascii="宋体" w:hAnsi="宋体" w:cs="仿宋"/>
                <w:color w:val="auto"/>
                <w:szCs w:val="21"/>
                <w:highlight w:val="none"/>
                <w:lang w:val="en-US" w:eastAsia="zh-CN"/>
              </w:rPr>
              <w:t>价0-2分</w:t>
            </w:r>
            <w:r>
              <w:rPr>
                <w:rFonts w:hint="eastAsia" w:ascii="宋体" w:hAnsi="宋体" w:eastAsia="宋体" w:cs="宋体"/>
                <w:szCs w:val="21"/>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4" w:hRule="atLeast"/>
        </w:trPr>
        <w:tc>
          <w:tcPr>
            <w:tcW w:w="652" w:type="dxa"/>
            <w:vMerge w:val="continue"/>
            <w:tcBorders>
              <w:left w:val="single" w:color="auto" w:sz="4" w:space="0"/>
              <w:right w:val="single" w:color="auto" w:sz="4" w:space="0"/>
            </w:tcBorders>
            <w:vAlign w:val="center"/>
          </w:tcPr>
          <w:p>
            <w:pPr>
              <w:jc w:val="center"/>
              <w:rPr>
                <w:rFonts w:hint="eastAsia" w:ascii="宋体" w:hAnsi="宋体" w:eastAsia="宋体" w:cs="宋体"/>
                <w:color w:val="auto"/>
                <w:sz w:val="21"/>
                <w:szCs w:val="21"/>
                <w:highlight w:val="none"/>
              </w:rPr>
            </w:pPr>
          </w:p>
        </w:tc>
        <w:tc>
          <w:tcPr>
            <w:tcW w:w="788" w:type="dxa"/>
            <w:vMerge w:val="continue"/>
            <w:tcBorders>
              <w:left w:val="single" w:color="auto" w:sz="4" w:space="0"/>
              <w:right w:val="single" w:color="auto" w:sz="4" w:space="0"/>
            </w:tcBorders>
            <w:vAlign w:val="center"/>
          </w:tcPr>
          <w:p>
            <w:pPr>
              <w:jc w:val="center"/>
              <w:rPr>
                <w:rFonts w:hint="eastAsia" w:ascii="宋体" w:hAnsi="宋体" w:eastAsia="宋体" w:cs="宋体"/>
                <w:color w:val="auto"/>
                <w:sz w:val="21"/>
                <w:szCs w:val="21"/>
                <w:highlight w:val="none"/>
              </w:rPr>
            </w:pPr>
          </w:p>
        </w:tc>
        <w:tc>
          <w:tcPr>
            <w:tcW w:w="1492" w:type="dxa"/>
            <w:vMerge w:val="restart"/>
            <w:tcBorders>
              <w:top w:val="single" w:color="auto" w:sz="4" w:space="0"/>
              <w:left w:val="single" w:color="auto" w:sz="4" w:space="0"/>
              <w:right w:val="single" w:color="auto" w:sz="4" w:space="0"/>
            </w:tcBorders>
            <w:vAlign w:val="center"/>
          </w:tcPr>
          <w:p>
            <w:pPr>
              <w:spacing w:line="30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售后服务</w:t>
            </w:r>
          </w:p>
          <w:p>
            <w:pPr>
              <w:spacing w:line="3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w:t>
            </w:r>
            <w:r>
              <w:rPr>
                <w:rFonts w:hint="eastAsia" w:ascii="宋体" w:hAnsi="宋体" w:cs="宋体"/>
                <w:color w:val="auto"/>
                <w:sz w:val="21"/>
                <w:szCs w:val="21"/>
                <w:highlight w:val="none"/>
                <w:lang w:val="en-US" w:eastAsia="zh-CN"/>
              </w:rPr>
              <w:t>10</w:t>
            </w:r>
            <w:r>
              <w:rPr>
                <w:rFonts w:hint="eastAsia" w:ascii="宋体" w:hAnsi="宋体" w:eastAsia="宋体" w:cs="宋体"/>
                <w:color w:val="auto"/>
                <w:sz w:val="21"/>
                <w:szCs w:val="21"/>
                <w:highlight w:val="none"/>
                <w:lang w:val="en-US" w:eastAsia="zh-CN"/>
              </w:rPr>
              <w:t>分）</w:t>
            </w:r>
          </w:p>
        </w:tc>
        <w:tc>
          <w:tcPr>
            <w:tcW w:w="930" w:type="dxa"/>
            <w:tcBorders>
              <w:top w:val="single" w:color="auto" w:sz="4" w:space="0"/>
              <w:left w:val="single" w:color="auto" w:sz="4" w:space="0"/>
              <w:right w:val="single" w:color="auto" w:sz="4" w:space="0"/>
            </w:tcBorders>
            <w:vAlign w:val="center"/>
          </w:tcPr>
          <w:p>
            <w:pPr>
              <w:spacing w:line="30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rPr>
              <w:t>分</w:t>
            </w:r>
          </w:p>
        </w:tc>
        <w:tc>
          <w:tcPr>
            <w:tcW w:w="5633"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bidi w:val="0"/>
              <w:snapToGrid/>
              <w:spacing w:line="320" w:lineRule="atLeast"/>
              <w:ind w:firstLine="210" w:firstLineChars="1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有完整、可行的培训方案，明确具体培训方式、培训内容、培训人员数量、效果评价等，</w:t>
            </w:r>
            <w:r>
              <w:rPr>
                <w:rFonts w:hint="eastAsia" w:ascii="宋体" w:hAnsi="宋体" w:cs="宋体"/>
                <w:color w:val="auto"/>
                <w:szCs w:val="21"/>
                <w:highlight w:val="none"/>
              </w:rPr>
              <w:t>根据投标文件的响应情况</w:t>
            </w:r>
            <w:r>
              <w:rPr>
                <w:rFonts w:hint="eastAsia" w:ascii="宋体" w:hAnsi="宋体" w:cs="仿宋"/>
                <w:color w:val="auto"/>
                <w:szCs w:val="21"/>
                <w:highlight w:val="none"/>
              </w:rPr>
              <w:t>进行综合评</w:t>
            </w:r>
            <w:r>
              <w:rPr>
                <w:rFonts w:hint="eastAsia" w:ascii="宋体" w:hAnsi="宋体" w:cs="仿宋"/>
                <w:color w:val="auto"/>
                <w:szCs w:val="21"/>
                <w:highlight w:val="none"/>
                <w:lang w:val="en-US" w:eastAsia="zh-CN"/>
              </w:rPr>
              <w:t>价0-3分</w:t>
            </w:r>
            <w:r>
              <w:rPr>
                <w:rFonts w:hint="eastAsia" w:ascii="宋体" w:hAnsi="宋体" w:eastAsia="宋体" w:cs="宋体"/>
                <w:szCs w:val="21"/>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55" w:hRule="atLeast"/>
        </w:trPr>
        <w:tc>
          <w:tcPr>
            <w:tcW w:w="652" w:type="dxa"/>
            <w:vMerge w:val="continue"/>
            <w:tcBorders>
              <w:left w:val="single" w:color="auto" w:sz="4" w:space="0"/>
              <w:right w:val="single" w:color="auto" w:sz="4" w:space="0"/>
            </w:tcBorders>
            <w:vAlign w:val="center"/>
          </w:tcPr>
          <w:p>
            <w:pPr>
              <w:jc w:val="center"/>
              <w:rPr>
                <w:rFonts w:hint="eastAsia" w:ascii="宋体" w:hAnsi="宋体" w:eastAsia="宋体" w:cs="宋体"/>
                <w:color w:val="auto"/>
                <w:sz w:val="21"/>
                <w:szCs w:val="21"/>
                <w:highlight w:val="none"/>
              </w:rPr>
            </w:pPr>
          </w:p>
        </w:tc>
        <w:tc>
          <w:tcPr>
            <w:tcW w:w="788" w:type="dxa"/>
            <w:vMerge w:val="continue"/>
            <w:tcBorders>
              <w:left w:val="single" w:color="auto" w:sz="4" w:space="0"/>
              <w:right w:val="single" w:color="auto" w:sz="4" w:space="0"/>
            </w:tcBorders>
            <w:vAlign w:val="center"/>
          </w:tcPr>
          <w:p>
            <w:pPr>
              <w:jc w:val="center"/>
              <w:rPr>
                <w:rFonts w:hint="eastAsia" w:ascii="宋体" w:hAnsi="宋体" w:eastAsia="宋体" w:cs="宋体"/>
                <w:color w:val="auto"/>
                <w:sz w:val="21"/>
                <w:szCs w:val="21"/>
                <w:highlight w:val="none"/>
              </w:rPr>
            </w:pPr>
          </w:p>
        </w:tc>
        <w:tc>
          <w:tcPr>
            <w:tcW w:w="1492" w:type="dxa"/>
            <w:vMerge w:val="continue"/>
            <w:tcBorders>
              <w:left w:val="single" w:color="auto" w:sz="4" w:space="0"/>
              <w:right w:val="single" w:color="auto" w:sz="4" w:space="0"/>
            </w:tcBorders>
            <w:vAlign w:val="center"/>
          </w:tcPr>
          <w:p>
            <w:pPr>
              <w:spacing w:line="300" w:lineRule="exact"/>
              <w:jc w:val="center"/>
              <w:rPr>
                <w:rFonts w:hint="eastAsia" w:ascii="宋体" w:hAnsi="宋体" w:cs="宋体"/>
                <w:color w:val="auto"/>
                <w:sz w:val="21"/>
                <w:szCs w:val="21"/>
                <w:highlight w:val="none"/>
                <w:lang w:val="en-US" w:eastAsia="zh-CN"/>
              </w:rPr>
            </w:pPr>
          </w:p>
        </w:tc>
        <w:tc>
          <w:tcPr>
            <w:tcW w:w="930" w:type="dxa"/>
            <w:tcBorders>
              <w:top w:val="single" w:color="auto" w:sz="4" w:space="0"/>
              <w:left w:val="single" w:color="auto" w:sz="4" w:space="0"/>
              <w:right w:val="single" w:color="auto" w:sz="4" w:space="0"/>
            </w:tcBorders>
            <w:vAlign w:val="center"/>
          </w:tcPr>
          <w:p>
            <w:pPr>
              <w:autoSpaceDE w:val="0"/>
              <w:autoSpaceDN w:val="0"/>
              <w:adjustRightInd w:val="0"/>
              <w:spacing w:line="30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rPr>
              <w:t>分</w:t>
            </w:r>
          </w:p>
        </w:tc>
        <w:tc>
          <w:tcPr>
            <w:tcW w:w="5633"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320" w:lineRule="atLeast"/>
              <w:ind w:firstLine="210" w:firstLineChars="1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提供后期维护方案，应包含但不限于</w:t>
            </w:r>
            <w:r>
              <w:rPr>
                <w:rFonts w:hint="eastAsia" w:ascii="宋体" w:hAnsi="宋体" w:eastAsia="宋体" w:cs="宋体"/>
                <w:color w:val="auto"/>
                <w:sz w:val="21"/>
                <w:szCs w:val="21"/>
                <w:highlight w:val="none"/>
                <w:lang w:val="en-US" w:eastAsia="zh-CN"/>
              </w:rPr>
              <w:t>设备</w:t>
            </w:r>
            <w:r>
              <w:rPr>
                <w:rFonts w:hint="eastAsia" w:ascii="宋体" w:hAnsi="宋体" w:eastAsia="宋体" w:cs="宋体"/>
                <w:color w:val="auto"/>
                <w:sz w:val="21"/>
                <w:szCs w:val="21"/>
                <w:highlight w:val="none"/>
              </w:rPr>
              <w:t>日常</w:t>
            </w:r>
            <w:r>
              <w:rPr>
                <w:rFonts w:hint="eastAsia" w:ascii="宋体" w:hAnsi="宋体" w:eastAsia="宋体" w:cs="宋体"/>
                <w:color w:val="auto"/>
                <w:sz w:val="21"/>
                <w:szCs w:val="21"/>
                <w:highlight w:val="none"/>
                <w:lang w:val="en-US" w:eastAsia="zh-CN"/>
              </w:rPr>
              <w:t>巡查</w:t>
            </w:r>
            <w:r>
              <w:rPr>
                <w:rFonts w:hint="eastAsia" w:ascii="宋体" w:hAnsi="宋体" w:eastAsia="宋体" w:cs="宋体"/>
                <w:color w:val="auto"/>
                <w:sz w:val="21"/>
                <w:szCs w:val="21"/>
                <w:highlight w:val="none"/>
              </w:rPr>
              <w:t>、故障维护与故障报修等，有针对性的保养维护计划</w:t>
            </w:r>
            <w:r>
              <w:rPr>
                <w:rFonts w:hint="eastAsia" w:ascii="宋体" w:hAnsi="宋体" w:cs="宋体"/>
                <w:color w:val="auto"/>
                <w:sz w:val="21"/>
                <w:szCs w:val="21"/>
                <w:highlight w:val="none"/>
                <w:lang w:eastAsia="zh-CN"/>
              </w:rPr>
              <w:t>，</w:t>
            </w:r>
            <w:r>
              <w:rPr>
                <w:rFonts w:hint="eastAsia" w:ascii="宋体" w:hAnsi="宋体" w:cs="宋体"/>
                <w:color w:val="auto"/>
                <w:szCs w:val="21"/>
                <w:highlight w:val="none"/>
              </w:rPr>
              <w:t>根据投标文件的响应情况</w:t>
            </w:r>
            <w:r>
              <w:rPr>
                <w:rFonts w:hint="eastAsia" w:ascii="宋体" w:hAnsi="宋体" w:cs="仿宋"/>
                <w:color w:val="auto"/>
                <w:szCs w:val="21"/>
                <w:highlight w:val="none"/>
              </w:rPr>
              <w:t>进行综合评</w:t>
            </w:r>
            <w:r>
              <w:rPr>
                <w:rFonts w:hint="eastAsia" w:ascii="宋体" w:hAnsi="宋体" w:cs="仿宋"/>
                <w:color w:val="auto"/>
                <w:szCs w:val="21"/>
                <w:highlight w:val="none"/>
                <w:lang w:val="en-US" w:eastAsia="zh-CN"/>
              </w:rPr>
              <w:t>价0-4分</w:t>
            </w:r>
            <w:r>
              <w:rPr>
                <w:rFonts w:hint="eastAsia" w:ascii="宋体" w:hAnsi="宋体" w:eastAsia="宋体" w:cs="宋体"/>
                <w:szCs w:val="21"/>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0" w:hRule="atLeast"/>
        </w:trPr>
        <w:tc>
          <w:tcPr>
            <w:tcW w:w="652" w:type="dxa"/>
            <w:vMerge w:val="continue"/>
            <w:tcBorders>
              <w:left w:val="single" w:color="auto" w:sz="4" w:space="0"/>
              <w:right w:val="single" w:color="auto" w:sz="4" w:space="0"/>
            </w:tcBorders>
            <w:vAlign w:val="center"/>
          </w:tcPr>
          <w:p>
            <w:pPr>
              <w:jc w:val="center"/>
              <w:rPr>
                <w:rFonts w:hint="eastAsia" w:ascii="宋体" w:hAnsi="宋体" w:eastAsia="宋体" w:cs="宋体"/>
                <w:color w:val="auto"/>
                <w:sz w:val="21"/>
                <w:szCs w:val="21"/>
                <w:highlight w:val="none"/>
              </w:rPr>
            </w:pPr>
          </w:p>
        </w:tc>
        <w:tc>
          <w:tcPr>
            <w:tcW w:w="788" w:type="dxa"/>
            <w:vMerge w:val="continue"/>
            <w:tcBorders>
              <w:left w:val="single" w:color="auto" w:sz="4" w:space="0"/>
              <w:right w:val="single" w:color="auto" w:sz="4" w:space="0"/>
            </w:tcBorders>
            <w:vAlign w:val="center"/>
          </w:tcPr>
          <w:p>
            <w:pPr>
              <w:jc w:val="center"/>
              <w:rPr>
                <w:rFonts w:hint="eastAsia" w:ascii="宋体" w:hAnsi="宋体" w:eastAsia="宋体" w:cs="宋体"/>
                <w:color w:val="auto"/>
                <w:sz w:val="21"/>
                <w:szCs w:val="21"/>
                <w:highlight w:val="none"/>
              </w:rPr>
            </w:pPr>
          </w:p>
        </w:tc>
        <w:tc>
          <w:tcPr>
            <w:tcW w:w="1492" w:type="dxa"/>
            <w:vMerge w:val="continue"/>
            <w:tcBorders>
              <w:left w:val="single" w:color="auto" w:sz="4" w:space="0"/>
              <w:right w:val="single" w:color="auto" w:sz="4" w:space="0"/>
            </w:tcBorders>
            <w:vAlign w:val="center"/>
          </w:tcPr>
          <w:p>
            <w:pPr>
              <w:spacing w:line="300" w:lineRule="exact"/>
              <w:jc w:val="center"/>
              <w:rPr>
                <w:rFonts w:hint="eastAsia" w:ascii="宋体" w:hAnsi="宋体" w:cs="宋体"/>
                <w:color w:val="auto"/>
                <w:sz w:val="21"/>
                <w:szCs w:val="21"/>
                <w:highlight w:val="none"/>
                <w:lang w:val="en-US" w:eastAsia="zh-CN"/>
              </w:rPr>
            </w:pPr>
          </w:p>
        </w:tc>
        <w:tc>
          <w:tcPr>
            <w:tcW w:w="930" w:type="dxa"/>
            <w:tcBorders>
              <w:top w:val="single" w:color="auto" w:sz="4" w:space="0"/>
              <w:left w:val="single" w:color="auto" w:sz="4" w:space="0"/>
              <w:right w:val="single" w:color="auto" w:sz="4" w:space="0"/>
            </w:tcBorders>
            <w:vAlign w:val="center"/>
          </w:tcPr>
          <w:p>
            <w:pPr>
              <w:spacing w:line="30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rPr>
              <w:t>分</w:t>
            </w:r>
          </w:p>
        </w:tc>
        <w:tc>
          <w:tcPr>
            <w:tcW w:w="5633"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bidi w:val="0"/>
              <w:snapToGrid/>
              <w:spacing w:line="320" w:lineRule="atLeast"/>
              <w:ind w:firstLine="210" w:firstLineChars="1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投标人</w:t>
            </w:r>
            <w:r>
              <w:rPr>
                <w:rFonts w:hint="eastAsia" w:ascii="宋体" w:hAnsi="宋体" w:cs="宋体"/>
                <w:color w:val="auto"/>
                <w:sz w:val="21"/>
                <w:szCs w:val="21"/>
                <w:highlight w:val="none"/>
                <w:lang w:val="en-US" w:eastAsia="zh-CN"/>
              </w:rPr>
              <w:t>可以提供本地化服务</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提供有效证明</w:t>
            </w:r>
            <w:r>
              <w:rPr>
                <w:rFonts w:hint="eastAsia" w:ascii="宋体" w:hAnsi="宋体" w:cs="宋体"/>
                <w:color w:val="auto"/>
                <w:sz w:val="21"/>
                <w:szCs w:val="21"/>
                <w:highlight w:val="none"/>
                <w:lang w:val="en-US" w:eastAsia="zh-CN"/>
              </w:rPr>
              <w:t>材料</w:t>
            </w:r>
            <w:r>
              <w:rPr>
                <w:rFonts w:hint="eastAsia" w:ascii="宋体" w:hAnsi="宋体" w:eastAsia="宋体" w:cs="宋体"/>
                <w:color w:val="auto"/>
                <w:sz w:val="21"/>
                <w:szCs w:val="21"/>
                <w:highlight w:val="none"/>
              </w:rPr>
              <w:t>，并承诺对</w:t>
            </w:r>
            <w:r>
              <w:rPr>
                <w:rFonts w:hint="eastAsia" w:ascii="宋体" w:hAnsi="宋体" w:cs="宋体"/>
                <w:color w:val="auto"/>
                <w:sz w:val="21"/>
                <w:szCs w:val="21"/>
                <w:highlight w:val="none"/>
                <w:lang w:val="en-US" w:eastAsia="zh-CN"/>
              </w:rPr>
              <w:t>系统及设备维护</w:t>
            </w:r>
            <w:r>
              <w:rPr>
                <w:rFonts w:hint="eastAsia" w:ascii="宋体" w:hAnsi="宋体" w:eastAsia="宋体" w:cs="宋体"/>
                <w:color w:val="auto"/>
                <w:sz w:val="21"/>
                <w:szCs w:val="21"/>
                <w:highlight w:val="none"/>
              </w:rPr>
              <w:t>、备品的供应、技术咨询等提供长期、可信的服务，</w:t>
            </w:r>
            <w:r>
              <w:rPr>
                <w:rFonts w:hint="eastAsia" w:ascii="宋体" w:hAnsi="宋体" w:cs="宋体"/>
                <w:color w:val="auto"/>
                <w:szCs w:val="21"/>
                <w:highlight w:val="none"/>
              </w:rPr>
              <w:t>根据投标文件的响应情况</w:t>
            </w:r>
            <w:r>
              <w:rPr>
                <w:rFonts w:hint="eastAsia" w:ascii="宋体" w:hAnsi="宋体" w:cs="仿宋"/>
                <w:color w:val="auto"/>
                <w:szCs w:val="21"/>
                <w:highlight w:val="none"/>
              </w:rPr>
              <w:t>进行综合评</w:t>
            </w:r>
            <w:r>
              <w:rPr>
                <w:rFonts w:hint="eastAsia" w:ascii="宋体" w:hAnsi="宋体" w:cs="仿宋"/>
                <w:color w:val="auto"/>
                <w:szCs w:val="21"/>
                <w:highlight w:val="none"/>
                <w:lang w:val="en-US" w:eastAsia="zh-CN"/>
              </w:rPr>
              <w:t>价0-3分</w:t>
            </w:r>
            <w:r>
              <w:rPr>
                <w:rFonts w:hint="eastAsia" w:ascii="宋体" w:hAnsi="宋体" w:eastAsia="宋体" w:cs="宋体"/>
                <w:szCs w:val="21"/>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9" w:hRule="atLeast"/>
        </w:trPr>
        <w:tc>
          <w:tcPr>
            <w:tcW w:w="652" w:type="dxa"/>
            <w:vMerge w:val="continue"/>
            <w:tcBorders>
              <w:left w:val="single" w:color="auto" w:sz="4" w:space="0"/>
              <w:right w:val="single" w:color="auto" w:sz="4" w:space="0"/>
            </w:tcBorders>
            <w:vAlign w:val="center"/>
          </w:tcPr>
          <w:p>
            <w:pPr>
              <w:jc w:val="center"/>
              <w:rPr>
                <w:rFonts w:hint="eastAsia" w:ascii="宋体" w:hAnsi="宋体" w:eastAsia="宋体" w:cs="宋体"/>
                <w:color w:val="auto"/>
                <w:sz w:val="21"/>
                <w:szCs w:val="21"/>
                <w:highlight w:val="none"/>
              </w:rPr>
            </w:pPr>
          </w:p>
        </w:tc>
        <w:tc>
          <w:tcPr>
            <w:tcW w:w="788" w:type="dxa"/>
            <w:vMerge w:val="continue"/>
            <w:tcBorders>
              <w:left w:val="single" w:color="auto" w:sz="4" w:space="0"/>
              <w:right w:val="single" w:color="auto" w:sz="4" w:space="0"/>
            </w:tcBorders>
            <w:vAlign w:val="center"/>
          </w:tcPr>
          <w:p>
            <w:pPr>
              <w:jc w:val="center"/>
              <w:rPr>
                <w:rFonts w:hint="eastAsia" w:ascii="宋体" w:hAnsi="宋体" w:eastAsia="宋体" w:cs="宋体"/>
                <w:color w:val="auto"/>
                <w:sz w:val="21"/>
                <w:szCs w:val="21"/>
                <w:highlight w:val="none"/>
              </w:rPr>
            </w:pPr>
          </w:p>
        </w:tc>
        <w:tc>
          <w:tcPr>
            <w:tcW w:w="1492" w:type="dxa"/>
            <w:tcBorders>
              <w:left w:val="single" w:color="auto" w:sz="4" w:space="0"/>
              <w:right w:val="single" w:color="auto" w:sz="4" w:space="0"/>
            </w:tcBorders>
            <w:vAlign w:val="center"/>
          </w:tcPr>
          <w:p>
            <w:pPr>
              <w:rPr>
                <w:rFonts w:hint="eastAsia" w:ascii="宋体" w:hAnsi="宋体" w:cs="宋体"/>
                <w:color w:val="auto"/>
                <w:sz w:val="21"/>
                <w:szCs w:val="21"/>
                <w:highlight w:val="none"/>
                <w:lang w:val="en-US" w:eastAsia="zh-CN"/>
              </w:rPr>
            </w:pPr>
            <w:r>
              <w:rPr>
                <w:rFonts w:hint="eastAsia" w:ascii="宋体" w:hAnsi="宋体" w:eastAsia="宋体" w:cs="宋体"/>
                <w:szCs w:val="21"/>
                <w:lang w:bidi="ar"/>
              </w:rPr>
              <w:t>质保期外服务方案（</w:t>
            </w:r>
            <w:r>
              <w:rPr>
                <w:rFonts w:hint="eastAsia" w:ascii="宋体" w:hAnsi="宋体" w:cs="宋体"/>
                <w:szCs w:val="21"/>
                <w:lang w:val="en-US" w:eastAsia="zh-CN" w:bidi="ar"/>
              </w:rPr>
              <w:t>2</w:t>
            </w:r>
            <w:r>
              <w:rPr>
                <w:rFonts w:hint="eastAsia" w:ascii="宋体" w:hAnsi="宋体" w:eastAsia="宋体" w:cs="宋体"/>
                <w:szCs w:val="21"/>
                <w:lang w:bidi="ar"/>
              </w:rPr>
              <w:t>分）</w:t>
            </w:r>
          </w:p>
        </w:tc>
        <w:tc>
          <w:tcPr>
            <w:tcW w:w="930" w:type="dxa"/>
            <w:tcBorders>
              <w:top w:val="single" w:color="auto" w:sz="4" w:space="0"/>
              <w:left w:val="single" w:color="auto" w:sz="4" w:space="0"/>
              <w:right w:val="single" w:color="auto" w:sz="4" w:space="0"/>
            </w:tcBorders>
            <w:vAlign w:val="center"/>
          </w:tcPr>
          <w:p>
            <w:pPr>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lang w:val="en-US" w:eastAsia="zh-CN"/>
              </w:rPr>
              <w:t>2分</w:t>
            </w:r>
          </w:p>
        </w:tc>
        <w:tc>
          <w:tcPr>
            <w:tcW w:w="5633" w:type="dxa"/>
            <w:tcBorders>
              <w:top w:val="single" w:color="auto" w:sz="4" w:space="0"/>
              <w:left w:val="single" w:color="auto" w:sz="4" w:space="0"/>
              <w:right w:val="single" w:color="auto" w:sz="4" w:space="0"/>
            </w:tcBorders>
            <w:vAlign w:val="center"/>
          </w:tcPr>
          <w:p>
            <w:pPr>
              <w:rPr>
                <w:rFonts w:hint="eastAsia" w:ascii="宋体" w:hAnsi="宋体" w:eastAsia="宋体" w:cs="宋体"/>
                <w:color w:val="auto"/>
                <w:kern w:val="2"/>
                <w:sz w:val="21"/>
                <w:szCs w:val="21"/>
                <w:highlight w:val="none"/>
                <w:lang w:val="en-US" w:eastAsia="zh-CN" w:bidi="ar-SA"/>
              </w:rPr>
            </w:pPr>
            <w:r>
              <w:rPr>
                <w:rFonts w:hint="eastAsia" w:ascii="宋体" w:hAnsi="宋体" w:cs="宋体"/>
                <w:szCs w:val="21"/>
                <w:lang w:val="en-US" w:eastAsia="zh-CN" w:bidi="ar"/>
              </w:rPr>
              <w:t>提供</w:t>
            </w:r>
            <w:r>
              <w:rPr>
                <w:rFonts w:hint="eastAsia" w:ascii="宋体" w:hAnsi="宋体" w:eastAsia="宋体" w:cs="宋体"/>
                <w:szCs w:val="21"/>
                <w:lang w:bidi="ar"/>
              </w:rPr>
              <w:t>质保期满后的服务措施，</w:t>
            </w:r>
            <w:r>
              <w:rPr>
                <w:rFonts w:hint="eastAsia" w:ascii="宋体" w:hAnsi="宋体" w:cs="宋体"/>
                <w:color w:val="auto"/>
                <w:szCs w:val="21"/>
                <w:highlight w:val="none"/>
              </w:rPr>
              <w:t>根据投标文件的响应情况</w:t>
            </w:r>
            <w:r>
              <w:rPr>
                <w:rFonts w:hint="eastAsia" w:ascii="宋体" w:hAnsi="宋体" w:cs="仿宋"/>
                <w:color w:val="auto"/>
                <w:szCs w:val="21"/>
                <w:highlight w:val="none"/>
              </w:rPr>
              <w:t>进行综合评</w:t>
            </w:r>
            <w:r>
              <w:rPr>
                <w:rFonts w:hint="eastAsia" w:ascii="宋体" w:hAnsi="宋体" w:cs="仿宋"/>
                <w:color w:val="auto"/>
                <w:szCs w:val="21"/>
                <w:highlight w:val="none"/>
                <w:lang w:val="en-US" w:eastAsia="zh-CN"/>
              </w:rPr>
              <w:t>价0-2分</w:t>
            </w:r>
            <w:r>
              <w:rPr>
                <w:rFonts w:hint="eastAsia" w:ascii="宋体" w:hAnsi="宋体" w:eastAsia="宋体" w:cs="宋体"/>
                <w:szCs w:val="21"/>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3" w:hRule="atLeast"/>
        </w:trPr>
        <w:tc>
          <w:tcPr>
            <w:tcW w:w="652" w:type="dxa"/>
            <w:vMerge w:val="continue"/>
            <w:tcBorders>
              <w:left w:val="single" w:color="auto" w:sz="4" w:space="0"/>
              <w:right w:val="single" w:color="auto" w:sz="4" w:space="0"/>
            </w:tcBorders>
            <w:vAlign w:val="center"/>
          </w:tcPr>
          <w:p>
            <w:pPr>
              <w:jc w:val="center"/>
              <w:rPr>
                <w:rFonts w:hint="eastAsia" w:ascii="宋体" w:hAnsi="宋体" w:eastAsia="宋体" w:cs="宋体"/>
                <w:color w:val="auto"/>
                <w:sz w:val="21"/>
                <w:szCs w:val="21"/>
                <w:highlight w:val="none"/>
              </w:rPr>
            </w:pPr>
          </w:p>
        </w:tc>
        <w:tc>
          <w:tcPr>
            <w:tcW w:w="788" w:type="dxa"/>
            <w:vMerge w:val="continue"/>
            <w:tcBorders>
              <w:left w:val="single" w:color="auto" w:sz="4" w:space="0"/>
              <w:right w:val="single" w:color="auto" w:sz="4" w:space="0"/>
            </w:tcBorders>
            <w:vAlign w:val="center"/>
          </w:tcPr>
          <w:p>
            <w:pPr>
              <w:jc w:val="center"/>
              <w:rPr>
                <w:rFonts w:hint="eastAsia" w:ascii="宋体" w:hAnsi="宋体" w:eastAsia="宋体" w:cs="宋体"/>
                <w:color w:val="auto"/>
                <w:sz w:val="21"/>
                <w:szCs w:val="21"/>
                <w:highlight w:val="none"/>
              </w:rPr>
            </w:pPr>
          </w:p>
        </w:tc>
        <w:tc>
          <w:tcPr>
            <w:tcW w:w="1492" w:type="dxa"/>
            <w:tcBorders>
              <w:left w:val="single" w:color="auto" w:sz="4" w:space="0"/>
              <w:right w:val="single" w:color="auto" w:sz="4" w:space="0"/>
            </w:tcBorders>
            <w:vAlign w:val="center"/>
          </w:tcPr>
          <w:p>
            <w:pPr>
              <w:spacing w:line="300" w:lineRule="exact"/>
              <w:jc w:val="center"/>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节能、环保产品（2分）</w:t>
            </w:r>
          </w:p>
        </w:tc>
        <w:tc>
          <w:tcPr>
            <w:tcW w:w="930" w:type="dxa"/>
            <w:tcBorders>
              <w:top w:val="single" w:color="auto" w:sz="4" w:space="0"/>
              <w:left w:val="single" w:color="auto" w:sz="4" w:space="0"/>
              <w:right w:val="single" w:color="auto" w:sz="4" w:space="0"/>
            </w:tcBorders>
            <w:vAlign w:val="center"/>
          </w:tcPr>
          <w:p>
            <w:pPr>
              <w:spacing w:line="300" w:lineRule="exact"/>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2分</w:t>
            </w:r>
          </w:p>
        </w:tc>
        <w:tc>
          <w:tcPr>
            <w:tcW w:w="5633"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bidi w:val="0"/>
              <w:snapToGrid/>
              <w:spacing w:line="320" w:lineRule="atLeast"/>
              <w:ind w:firstLine="210" w:firstLineChars="100"/>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投标人所投的产品中每有一项为节能产品（非强制类）经国家认证的得0.5分，每有一项为环境标志产品经国家认证的得0.5分，</w:t>
            </w:r>
            <w:r>
              <w:rPr>
                <w:rFonts w:hint="eastAsia" w:ascii="宋体" w:hAnsi="宋体" w:cs="宋体"/>
                <w:color w:val="auto"/>
                <w:kern w:val="0"/>
                <w:sz w:val="21"/>
                <w:szCs w:val="21"/>
                <w:highlight w:val="none"/>
                <w:lang w:val="en-US" w:eastAsia="zh-CN" w:bidi="ar"/>
              </w:rPr>
              <w:t>投标人响应的</w:t>
            </w:r>
            <w:r>
              <w:rPr>
                <w:rFonts w:hint="eastAsia" w:ascii="宋体" w:hAnsi="宋体" w:eastAsia="宋体" w:cs="宋体"/>
                <w:color w:val="auto"/>
                <w:kern w:val="0"/>
                <w:sz w:val="21"/>
                <w:szCs w:val="21"/>
                <w:highlight w:val="none"/>
                <w:lang w:val="en-US" w:eastAsia="zh-CN" w:bidi="ar"/>
              </w:rPr>
              <w:t xml:space="preserve">产品中每有一项产品同时为节能产品和环境标志产品得1分，最多得2分。（以经国家确定的认证机构出具的、处于有效期内的节能产品、环境标志产品认证证书为准。 </w:t>
            </w:r>
            <w:r>
              <w:rPr>
                <w:rFonts w:hint="eastAsia" w:ascii="宋体" w:hAnsi="宋体" w:cs="宋体"/>
                <w:color w:val="auto"/>
                <w:kern w:val="0"/>
                <w:sz w:val="21"/>
                <w:szCs w:val="21"/>
                <w:highlight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10" w:hRule="atLeast"/>
        </w:trPr>
        <w:tc>
          <w:tcPr>
            <w:tcW w:w="65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w:t>
            </w:r>
          </w:p>
        </w:tc>
        <w:tc>
          <w:tcPr>
            <w:tcW w:w="8843" w:type="dxa"/>
            <w:gridSpan w:val="4"/>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rPr>
              <w:t>通过初审者为有效投标</w:t>
            </w:r>
            <w:r>
              <w:rPr>
                <w:rFonts w:hint="eastAsia" w:ascii="宋体" w:hAnsi="宋体" w:eastAsia="宋体" w:cs="宋体"/>
                <w:color w:val="auto"/>
                <w:sz w:val="21"/>
                <w:szCs w:val="21"/>
                <w:highlight w:val="none"/>
                <w:lang w:eastAsia="zh-CN"/>
              </w:rPr>
              <w:t>。</w:t>
            </w:r>
          </w:p>
          <w:p>
            <w:pPr>
              <w:autoSpaceDE w:val="0"/>
              <w:autoSpaceDN w:val="0"/>
              <w:adjustRightInd w:val="0"/>
              <w:spacing w:line="320" w:lineRule="exact"/>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rPr>
              <w:t>计算</w:t>
            </w:r>
            <w:r>
              <w:rPr>
                <w:rFonts w:hint="eastAsia" w:ascii="宋体" w:hAnsi="宋体" w:cs="宋体"/>
                <w:color w:val="auto"/>
                <w:sz w:val="21"/>
                <w:szCs w:val="21"/>
                <w:highlight w:val="none"/>
                <w:lang w:val="en-US" w:eastAsia="zh-CN"/>
              </w:rPr>
              <w:t>价格</w:t>
            </w:r>
            <w:r>
              <w:rPr>
                <w:rFonts w:hint="eastAsia" w:ascii="宋体" w:hAnsi="宋体" w:eastAsia="宋体" w:cs="宋体"/>
                <w:color w:val="auto"/>
                <w:sz w:val="21"/>
                <w:szCs w:val="21"/>
                <w:highlight w:val="none"/>
              </w:rPr>
              <w:t>分数时四舍五入取小数点后两位</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以上评分项有缺项时，按0分计取。</w:t>
            </w:r>
          </w:p>
          <w:p>
            <w:pPr>
              <w:autoSpaceDE w:val="0"/>
              <w:autoSpaceDN w:val="0"/>
              <w:adjustRightInd w:val="0"/>
              <w:spacing w:line="32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3、若出现综合得分并列时，比较价格得分此分项得分高者排序在前；若</w:t>
            </w:r>
            <w:r>
              <w:rPr>
                <w:rFonts w:hint="eastAsia" w:ascii="宋体" w:hAnsi="宋体" w:eastAsia="宋体" w:cs="宋体"/>
                <w:color w:val="auto"/>
                <w:sz w:val="21"/>
                <w:szCs w:val="21"/>
                <w:highlight w:val="none"/>
                <w:lang w:val="en-US" w:eastAsia="zh-CN"/>
              </w:rPr>
              <w:t>价格</w:t>
            </w:r>
            <w:r>
              <w:rPr>
                <w:rFonts w:hint="eastAsia" w:ascii="宋体" w:hAnsi="宋体" w:eastAsia="宋体" w:cs="宋体"/>
                <w:color w:val="auto"/>
                <w:sz w:val="21"/>
                <w:szCs w:val="21"/>
                <w:highlight w:val="none"/>
              </w:rPr>
              <w:t>得分仍相同，依次比较技术</w:t>
            </w:r>
            <w:r>
              <w:rPr>
                <w:rFonts w:hint="eastAsia" w:ascii="宋体" w:hAnsi="宋体" w:cs="宋体"/>
                <w:color w:val="auto"/>
                <w:sz w:val="21"/>
                <w:szCs w:val="21"/>
                <w:highlight w:val="none"/>
                <w:lang w:val="en-US" w:eastAsia="zh-CN"/>
              </w:rPr>
              <w:t>得分</w:t>
            </w: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商务得分</w:t>
            </w:r>
            <w:r>
              <w:rPr>
                <w:rFonts w:hint="eastAsia" w:ascii="宋体" w:hAnsi="宋体" w:eastAsia="宋体" w:cs="宋体"/>
                <w:color w:val="auto"/>
                <w:sz w:val="21"/>
                <w:szCs w:val="21"/>
                <w:highlight w:val="none"/>
              </w:rPr>
              <w:t>，此分项得分高者排序在前；若得分仍相同，则由全体评委成员无记名投票，得票高者排序在前。</w:t>
            </w:r>
          </w:p>
          <w:p>
            <w:pPr>
              <w:spacing w:line="32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4、评委打分超过得分界限或未按本方法赋分时，该评委的打分按废票处理。</w:t>
            </w:r>
          </w:p>
        </w:tc>
      </w:tr>
    </w:tbl>
    <w:p>
      <w:pPr>
        <w:spacing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（五）投标文件报价出现前后不一致的，除招标文件另有规定外，按照下列规定修正：</w:t>
      </w:r>
    </w:p>
    <w:p>
      <w:pPr>
        <w:spacing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lang w:val="en-US" w:eastAsia="zh-CN"/>
        </w:rPr>
        <w:t>1、</w:t>
      </w:r>
      <w:r>
        <w:rPr>
          <w:rFonts w:hint="eastAsia" w:ascii="宋体" w:hAnsi="宋体"/>
          <w:color w:val="auto"/>
          <w:sz w:val="21"/>
          <w:szCs w:val="21"/>
          <w:highlight w:val="none"/>
        </w:rPr>
        <w:t>投标文件开标一览表（报价表）内容与投标文件中相应内容不一致的，以开标一览表（报价表）为准；</w:t>
      </w:r>
    </w:p>
    <w:p>
      <w:pPr>
        <w:spacing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lang w:val="en-US" w:eastAsia="zh-CN"/>
        </w:rPr>
        <w:t>2</w:t>
      </w:r>
      <w:r>
        <w:rPr>
          <w:rFonts w:hint="eastAsia" w:ascii="宋体" w:hAnsi="宋体"/>
          <w:color w:val="auto"/>
          <w:sz w:val="21"/>
          <w:szCs w:val="21"/>
          <w:highlight w:val="none"/>
        </w:rPr>
        <w:t>、大写金额和小写金额不一致的，以大写金额为准；</w:t>
      </w:r>
    </w:p>
    <w:p>
      <w:pPr>
        <w:spacing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3、</w:t>
      </w:r>
      <w:r>
        <w:rPr>
          <w:rFonts w:hint="eastAsia" w:ascii="宋体" w:hAnsi="宋体"/>
          <w:color w:val="auto"/>
          <w:sz w:val="21"/>
          <w:szCs w:val="21"/>
          <w:highlight w:val="none"/>
          <w:lang w:val="en-US" w:eastAsia="zh-CN"/>
        </w:rPr>
        <w:t>单价金额小数点或者百分比有明显错位的，以开标一览表的总价为准，并修改单价</w:t>
      </w:r>
      <w:r>
        <w:rPr>
          <w:rFonts w:hint="eastAsia" w:ascii="宋体" w:hAnsi="宋体"/>
          <w:color w:val="auto"/>
          <w:sz w:val="21"/>
          <w:szCs w:val="21"/>
          <w:highlight w:val="none"/>
        </w:rPr>
        <w:t>；</w:t>
      </w:r>
    </w:p>
    <w:p>
      <w:pPr>
        <w:spacing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lang w:val="en-US" w:eastAsia="zh-CN"/>
        </w:rPr>
        <w:t>4</w:t>
      </w:r>
      <w:r>
        <w:rPr>
          <w:rFonts w:hint="eastAsia" w:ascii="宋体" w:hAnsi="宋体"/>
          <w:color w:val="auto"/>
          <w:sz w:val="21"/>
          <w:szCs w:val="21"/>
          <w:highlight w:val="none"/>
        </w:rPr>
        <w:t>、总价金额与按单价汇总金额不一致的，以单价金额计算结果为准；</w:t>
      </w:r>
    </w:p>
    <w:p>
      <w:pPr>
        <w:spacing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5、修正后的报价经投标人的确认后产生约束力，投标人不确认的，其投标无效；</w:t>
      </w:r>
    </w:p>
    <w:p>
      <w:pPr>
        <w:spacing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（六）投标文件内容不一致的，按下列方式处理：</w:t>
      </w:r>
    </w:p>
    <w:p>
      <w:pPr>
        <w:spacing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1、对不同文字文本投标文件的解释发生异议的，以中文文本为准；</w:t>
      </w:r>
    </w:p>
    <w:p>
      <w:pPr>
        <w:spacing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2、文字与图表不一致的，以文字为准；</w:t>
      </w:r>
    </w:p>
    <w:p>
      <w:pPr>
        <w:spacing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3、正本与副本不一致的，以正本为准；</w:t>
      </w:r>
    </w:p>
    <w:p>
      <w:pPr>
        <w:spacing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4、电子文件与纸质文件不一致的，以纸质文件为准；</w:t>
      </w:r>
    </w:p>
    <w:p>
      <w:pPr>
        <w:spacing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5、投标文件的文字叙述与制造厂商的技术白皮书、检测报告不符时，以技术白皮书、检测报告为准。</w:t>
      </w:r>
    </w:p>
    <w:p>
      <w:pPr>
        <w:spacing w:line="360" w:lineRule="auto"/>
        <w:ind w:firstLine="420" w:firstLineChars="200"/>
        <w:rPr>
          <w:rFonts w:hint="eastAsia" w:ascii="宋体" w:hAnsi="宋体" w:eastAsia="宋体" w:cs="Times New Roman"/>
          <w:color w:val="auto"/>
          <w:sz w:val="21"/>
          <w:szCs w:val="21"/>
          <w:highlight w:val="none"/>
        </w:rPr>
      </w:pPr>
      <w:r>
        <w:rPr>
          <w:rFonts w:hint="eastAsia" w:ascii="宋体" w:hAnsi="宋体"/>
          <w:color w:val="auto"/>
          <w:sz w:val="21"/>
          <w:szCs w:val="21"/>
          <w:highlight w:val="none"/>
        </w:rPr>
        <w:t>（七）最低报价不作为中标的唯一条件。评标委员会认为投标人的报价明显低于其它通过符</w:t>
      </w:r>
      <w:r>
        <w:rPr>
          <w:rFonts w:hint="eastAsia" w:ascii="宋体" w:hAnsi="宋体" w:eastAsia="宋体" w:cs="Times New Roman"/>
          <w:color w:val="auto"/>
          <w:sz w:val="21"/>
          <w:szCs w:val="21"/>
          <w:highlight w:val="none"/>
        </w:rPr>
        <w:t>合性审查投标人的报价，有可能影响产品质量或者不能诚信履约的，要求投标人应当在评标现场合理的时间内提供书面说明，必要时按照评标委员会允许的时间提交相关证明材料；投标人不能证明其报价合理性和提供证明材料的，评标委员会应当将其作为无效投标处理。</w:t>
      </w:r>
    </w:p>
    <w:p>
      <w:pPr>
        <w:spacing w:line="360" w:lineRule="auto"/>
        <w:ind w:firstLine="420" w:firstLineChars="200"/>
        <w:rPr>
          <w:rFonts w:hint="eastAsia"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（八）评标委员会成员对需要共同认定的事项存在争议的，应当按照少数服从多数的原则作出结论。持不同意见的评标委员会成员应当在评标报告上签署不同意见及理由，否则视为同意评标报告。</w:t>
      </w:r>
    </w:p>
    <w:p>
      <w:pPr>
        <w:spacing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（八）政府采购政策评分标准</w:t>
      </w:r>
    </w:p>
    <w:p>
      <w:pPr>
        <w:spacing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1小微企业的价格评分标准</w:t>
      </w:r>
    </w:p>
    <w:p>
      <w:pPr>
        <w:spacing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1.1根据《关于进一步加大政府采购支持中小企业力度的通知》（财库〔2022〕19号）的办法，对于非专门面向中小企业的项目，对小型和微型企业产品的价格给予10%的扣除，用扣除后的价格参与评审，其评审价=投标报价*（1-10%）。</w:t>
      </w:r>
    </w:p>
    <w:p>
      <w:pPr>
        <w:spacing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1.2联合体共同参加非专门面向中小企业的政府采购活动，联合协议中约定，小型和微型企业的协议合同金额占到联合体协议合同金额的30%以上的，可给予联合体4%的价格扣除，用扣除后的价格参与评审，其评审价=投标报价*（1-4%）。</w:t>
      </w:r>
    </w:p>
    <w:p>
      <w:pPr>
        <w:spacing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1.3参加本项目的小微企业须提供《中小企业声明函》（式样见投标文件格式），未提供的不视为小微企业。本项目提供的货物不包括使用大型企业注册商标的货物，小型、微型企业提供中型企业制造的货物的，视同为中型企业。投标人须作出承诺，保证真实性，如有虚假，将依法承担相应责任。</w:t>
      </w:r>
    </w:p>
    <w:p>
      <w:pPr>
        <w:spacing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1.4小微企业按《政府采购促进中小企业发展管理办法》（财库〔2020〕46号）和《工业和信息化部、国家统计局、国家发展和改革委员会、财政部关于印发&lt;中小企业划型标准规定&gt;的通知》（工信部联企业【2011】300号）文件规定标准确认。</w:t>
      </w:r>
    </w:p>
    <w:p>
      <w:pPr>
        <w:spacing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1.5在服务采购项目中，服务的承接商应当为中小企业，不对其中涉及的货物的制造商作出要求。</w:t>
      </w:r>
    </w:p>
    <w:p>
      <w:pPr>
        <w:spacing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2监狱企业的价格评分标准</w:t>
      </w:r>
    </w:p>
    <w:p>
      <w:pPr>
        <w:spacing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2.1在政府采购活动中，监狱企业视同小型、微型企业，享受预留份额、评审中价格扣除等政府采购促进中小企业发展的政府采购政策。</w:t>
      </w:r>
    </w:p>
    <w:p>
      <w:pPr>
        <w:spacing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2.2监狱企业参加政府采购活动时，应当提供由省级以上监狱管理局、戒毒管理局（含新疆生产建设兵团）出具的属于监狱企业的证明文件。</w:t>
      </w:r>
    </w:p>
    <w:p>
      <w:pPr>
        <w:spacing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2.3监狱企业按《财政部、司法部关于政府采购支持监狱企业发展有关问题的通知》（财库〔2014〕68号）文件规定标准执行。</w:t>
      </w:r>
    </w:p>
    <w:p>
      <w:pPr>
        <w:spacing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3残疾人福利性单位的价格评分标准</w:t>
      </w:r>
    </w:p>
    <w:p>
      <w:pPr>
        <w:spacing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3.1在政府采购活动中，残疾人福利性单位视同小型、微型企业，享受预留份额、评审中价格扣除等政府采购促进中小企业发展的政府采购政策。</w:t>
      </w:r>
    </w:p>
    <w:p>
      <w:pPr>
        <w:spacing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 xml:space="preserve">3.2符合条件的残疾人福利性单位在参加政府采购活动时，应当提供本通知规定的《残疾人福利性单位声明函》（式样见投标文件格式），并对声明的真实性负责，未提供的不视为残疾人福利性单位。 </w:t>
      </w:r>
    </w:p>
    <w:p>
      <w:pPr>
        <w:spacing w:line="360" w:lineRule="auto"/>
        <w:ind w:firstLine="422" w:firstLineChars="200"/>
        <w:rPr>
          <w:rFonts w:hint="eastAsia" w:ascii="宋体" w:hAnsi="宋体"/>
          <w:b/>
          <w:bCs/>
          <w:color w:val="auto"/>
          <w:sz w:val="21"/>
          <w:szCs w:val="21"/>
          <w:highlight w:val="none"/>
        </w:rPr>
      </w:pPr>
      <w:r>
        <w:rPr>
          <w:rFonts w:hint="eastAsia" w:ascii="宋体" w:hAnsi="宋体"/>
          <w:b/>
          <w:bCs/>
          <w:color w:val="auto"/>
          <w:sz w:val="21"/>
          <w:szCs w:val="21"/>
          <w:highlight w:val="none"/>
        </w:rPr>
        <w:t>以上</w:t>
      </w:r>
      <w:r>
        <w:rPr>
          <w:rFonts w:hint="eastAsia" w:ascii="宋体" w:hAnsi="宋体"/>
          <w:b/>
          <w:bCs/>
          <w:color w:val="auto"/>
          <w:sz w:val="21"/>
          <w:szCs w:val="21"/>
          <w:highlight w:val="none"/>
          <w:lang w:val="en-US" w:eastAsia="zh-CN"/>
        </w:rPr>
        <w:t>1-3项</w:t>
      </w:r>
      <w:r>
        <w:rPr>
          <w:rFonts w:hint="eastAsia" w:ascii="宋体" w:hAnsi="宋体"/>
          <w:b/>
          <w:bCs/>
          <w:color w:val="auto"/>
          <w:sz w:val="21"/>
          <w:szCs w:val="21"/>
          <w:highlight w:val="none"/>
        </w:rPr>
        <w:t>政策同时具备的仅对其进行一次10%的价格扣除，不重复扣除。</w:t>
      </w:r>
    </w:p>
    <w:p>
      <w:pPr>
        <w:spacing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4节能产品、环境标志产品政策</w:t>
      </w:r>
    </w:p>
    <w:p>
      <w:pPr>
        <w:spacing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4.1投标</w:t>
      </w:r>
      <w:r>
        <w:rPr>
          <w:rFonts w:hint="eastAsia" w:ascii="宋体" w:hAnsi="宋体"/>
          <w:color w:val="auto"/>
          <w:sz w:val="21"/>
          <w:szCs w:val="21"/>
          <w:highlight w:val="none"/>
          <w:lang w:val="zh-CN"/>
        </w:rPr>
        <w:t>产品为节能、环保、环境标志产品清单中的产品，符合</w:t>
      </w:r>
      <w:r>
        <w:rPr>
          <w:rFonts w:hint="eastAsia" w:ascii="宋体" w:hAnsi="宋体"/>
          <w:color w:val="auto"/>
          <w:sz w:val="21"/>
          <w:szCs w:val="21"/>
          <w:highlight w:val="none"/>
        </w:rPr>
        <w:t>招标</w:t>
      </w:r>
      <w:r>
        <w:rPr>
          <w:rFonts w:hint="eastAsia" w:ascii="宋体" w:hAnsi="宋体"/>
          <w:color w:val="auto"/>
          <w:sz w:val="21"/>
          <w:szCs w:val="21"/>
          <w:highlight w:val="none"/>
          <w:lang w:val="zh-CN"/>
        </w:rPr>
        <w:t>文件要求的，可优先采购，</w:t>
      </w:r>
      <w:r>
        <w:rPr>
          <w:rFonts w:hint="eastAsia" w:ascii="宋体" w:hAnsi="宋体"/>
          <w:color w:val="auto"/>
          <w:sz w:val="21"/>
          <w:szCs w:val="21"/>
          <w:highlight w:val="none"/>
          <w:lang w:val="en-US" w:eastAsia="zh-CN"/>
        </w:rPr>
        <w:t>具体详见</w:t>
      </w:r>
      <w:r>
        <w:rPr>
          <w:rFonts w:hint="eastAsia" w:ascii="宋体" w:hAnsi="宋体"/>
          <w:color w:val="auto"/>
          <w:sz w:val="21"/>
          <w:szCs w:val="21"/>
          <w:highlight w:val="none"/>
        </w:rPr>
        <w:t>综合评审因素及分值</w:t>
      </w:r>
      <w:r>
        <w:rPr>
          <w:rFonts w:hint="eastAsia" w:ascii="宋体" w:hAnsi="宋体"/>
          <w:color w:val="auto"/>
          <w:sz w:val="21"/>
          <w:szCs w:val="21"/>
          <w:highlight w:val="none"/>
          <w:lang w:val="zh-CN"/>
        </w:rPr>
        <w:t>。</w:t>
      </w:r>
    </w:p>
    <w:p>
      <w:pPr>
        <w:spacing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4.2节能产品、环境标志产品根据《财政部、国家发展和改革委员会关于印发&lt;节能产品政府采购实施意见&gt;的通知》（财库【2004】185号）、《国务院办公厅关于建立政府强制采购节能产品制度的通知》（国办发〔2007〕51号）、《财政部、国家环保总局联合印发&lt;关于环境标志产品政府采购实施的意见&gt;》（财库【2006】90号）、《财政部、发展改革委、生态环境部、市场监管总局关于调整优化节能产品、环境标志产品政府采购执行机制的通知》（财库〔2019〕9号）、《关于印发节能产品政府采购品目清单的通知》（财库〔2019〕19号）、《关于印发环境标志产品政府采购品目清单的通知》（财库〔2019〕18号）的有关规定执行。</w:t>
      </w:r>
    </w:p>
    <w:p>
      <w:pPr>
        <w:spacing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 xml:space="preserve">4.3投标人在投标文件中对所投产品为节能、环保、环境标志产品品目清单中的产品，在投标报价时必须对此类产品单独分项报价，并提供认证机构出具的、处于有效期之内的节能产品、环境标志产品认证证书，未提供认证证书的不给予计分。 </w:t>
      </w:r>
    </w:p>
    <w:p>
      <w:pPr>
        <w:spacing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4.4若节能、环保、环境标志品目清单内的产品仅是构成所投产品的部件、组件或零件的，则该所投产品不享受鼓励优惠政策。</w:t>
      </w:r>
    </w:p>
    <w:p>
      <w:pPr>
        <w:spacing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 xml:space="preserve">4.5节能、环保、环境标志产品部分计分只对属于品目清单内的非强制类产品进行计分，强制类产品不给予计分。 </w:t>
      </w:r>
    </w:p>
    <w:p>
      <w:pPr>
        <w:spacing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 xml:space="preserve">4.6对于同时列入环保品目清单和节能品目清单的产品，应当优先于只列入其中一个清单的产品。 </w:t>
      </w:r>
    </w:p>
    <w:p>
      <w:pPr>
        <w:spacing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4.7获得上述认证的产品在</w:t>
      </w:r>
      <w:r>
        <w:rPr>
          <w:rFonts w:hint="eastAsia" w:ascii="宋体" w:hAnsi="宋体"/>
          <w:color w:val="auto"/>
          <w:sz w:val="21"/>
          <w:szCs w:val="21"/>
          <w:highlight w:val="none"/>
          <w:lang w:val="en-US" w:eastAsia="zh-CN"/>
        </w:rPr>
        <w:t>投标</w:t>
      </w:r>
      <w:r>
        <w:rPr>
          <w:rFonts w:hint="eastAsia" w:ascii="宋体" w:hAnsi="宋体"/>
          <w:color w:val="auto"/>
          <w:sz w:val="21"/>
          <w:szCs w:val="21"/>
          <w:highlight w:val="none"/>
        </w:rPr>
        <w:t>时应提供有效证明材料。</w:t>
      </w:r>
    </w:p>
    <w:p>
      <w:pPr>
        <w:spacing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（九）</w:t>
      </w:r>
      <w:r>
        <w:rPr>
          <w:rFonts w:hint="eastAsia" w:ascii="宋体" w:hAnsi="宋体" w:eastAsia="宋体" w:cs="Times New Roman"/>
          <w:color w:val="auto"/>
          <w:sz w:val="21"/>
          <w:szCs w:val="21"/>
          <w:highlight w:val="none"/>
          <w:lang w:val="en-US" w:eastAsia="zh-CN"/>
        </w:rPr>
        <w:t>采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r>
        <w:rPr>
          <w:rFonts w:hint="eastAsia" w:ascii="宋体" w:hAnsi="宋体"/>
          <w:color w:val="auto"/>
          <w:sz w:val="21"/>
          <w:szCs w:val="21"/>
          <w:highlight w:val="none"/>
        </w:rPr>
        <w:t>评标委员会评价最终得分由高至低排列名序，推荐中标候选投标人。</w:t>
      </w:r>
    </w:p>
    <w:p>
      <w:pPr>
        <w:spacing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（十）特殊情况的处理</w:t>
      </w:r>
    </w:p>
    <w:p>
      <w:pPr>
        <w:spacing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1单一产品采购项目中，提供相同品牌的产品的不同投标人参加同一合同项下投标的，按以下方法处理：</w:t>
      </w:r>
    </w:p>
    <w:p>
      <w:pPr>
        <w:spacing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1.1使用综合评分法的采购项目，提供相同品牌产品且通过资格审查、符合性审查的不同投标人参加同一合同项下投标的，按一家投标人计算，评审后得分最高的同品牌投标人获得中标人推荐资格；评审得分相同的，由采购人及评标委员会按照投标报价最低的方式确定一个投标人获得中标人推荐资格，其他同品牌投标人不作为中标候选人。</w:t>
      </w:r>
    </w:p>
    <w:p>
      <w:pPr>
        <w:spacing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2非单一产品采购项目中，提供相同品牌的核心产品的不同投标人参加同一合同项下投标的，按以下方法处理：</w:t>
      </w:r>
    </w:p>
    <w:p>
      <w:pPr>
        <w:spacing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2.1使用综合评分法的采购项目，提供相同品牌核心产品且通过资格审查、符合性审查的不同投标人参加同一合同项下投标的，按一家投标人计算，评审后得分最高的同品牌投标人获得中标人推荐资格；评审得分相同的，由采购人及评标委员会按照投标报价最低的方式确定一个投标人获得中标人推荐资格，其他同品牌投标人不作为中标候选人。</w:t>
      </w:r>
    </w:p>
    <w:p>
      <w:pPr>
        <w:spacing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2.2</w:t>
      </w:r>
      <w:r>
        <w:rPr>
          <w:rFonts w:hint="eastAsia" w:ascii="宋体" w:hAnsi="宋体"/>
          <w:color w:val="auto"/>
          <w:sz w:val="21"/>
          <w:szCs w:val="21"/>
          <w:highlight w:val="none"/>
          <w:lang w:val="en-US" w:eastAsia="zh-CN"/>
        </w:rPr>
        <w:t>投标</w:t>
      </w:r>
      <w:r>
        <w:rPr>
          <w:rFonts w:hint="eastAsia" w:ascii="宋体" w:hAnsi="宋体"/>
          <w:color w:val="auto"/>
          <w:sz w:val="21"/>
          <w:szCs w:val="21"/>
          <w:highlight w:val="none"/>
        </w:rPr>
        <w:t>产品为两个及以上时，对两家以上</w:t>
      </w:r>
      <w:r>
        <w:rPr>
          <w:rFonts w:hint="eastAsia" w:ascii="宋体" w:hAnsi="宋体"/>
          <w:color w:val="auto"/>
          <w:sz w:val="21"/>
          <w:szCs w:val="21"/>
          <w:highlight w:val="none"/>
          <w:lang w:val="en-US" w:eastAsia="zh-CN"/>
        </w:rPr>
        <w:t>投标人</w:t>
      </w:r>
      <w:r>
        <w:rPr>
          <w:rFonts w:hint="eastAsia" w:ascii="宋体" w:hAnsi="宋体"/>
          <w:color w:val="auto"/>
          <w:sz w:val="21"/>
          <w:szCs w:val="21"/>
          <w:highlight w:val="none"/>
        </w:rPr>
        <w:t>使用相同制造商产品作为其项目包的一部分，且相同产品的价格总和均超过该项目包各自投标总价60%的，按一家投标人认定。</w:t>
      </w:r>
    </w:p>
    <w:p>
      <w:pPr>
        <w:pStyle w:val="4"/>
        <w:spacing w:before="78" w:after="78"/>
        <w:rPr>
          <w:rFonts w:hint="eastAsia" w:ascii="宋体" w:hAnsi="宋体"/>
          <w:color w:val="auto"/>
          <w:highlight w:val="none"/>
          <w:lang w:val="en-US" w:eastAsia="zh-CN"/>
        </w:rPr>
      </w:pPr>
      <w:bookmarkStart w:id="63" w:name="_Toc48301730"/>
      <w:bookmarkStart w:id="64" w:name="_Toc23246"/>
      <w:bookmarkStart w:id="65" w:name="_Toc52064871"/>
      <w:bookmarkStart w:id="66" w:name="_Toc52064328"/>
      <w:r>
        <w:rPr>
          <w:rFonts w:hint="eastAsia" w:ascii="宋体" w:hAnsi="宋体"/>
          <w:color w:val="auto"/>
          <w:highlight w:val="none"/>
          <w:lang w:val="en-US" w:eastAsia="zh-CN"/>
        </w:rPr>
        <w:t>四</w:t>
      </w:r>
      <w:r>
        <w:rPr>
          <w:rFonts w:hint="eastAsia"/>
          <w:color w:val="auto"/>
          <w:highlight w:val="none"/>
          <w:lang w:val="en-US" w:eastAsia="zh-CN"/>
        </w:rPr>
        <w:t>、</w:t>
      </w:r>
      <w:r>
        <w:rPr>
          <w:rFonts w:hint="eastAsia" w:ascii="宋体" w:hAnsi="宋体"/>
          <w:color w:val="auto"/>
          <w:highlight w:val="none"/>
          <w:lang w:val="en-US" w:eastAsia="zh-CN"/>
        </w:rPr>
        <w:t>投标无效情形</w:t>
      </w:r>
      <w:bookmarkEnd w:id="63"/>
      <w:bookmarkEnd w:id="64"/>
      <w:bookmarkEnd w:id="65"/>
      <w:bookmarkEnd w:id="66"/>
    </w:p>
    <w:p>
      <w:pPr>
        <w:spacing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（一）投标文件未按招标文件要求签署、盖章的；</w:t>
      </w:r>
    </w:p>
    <w:p>
      <w:pPr>
        <w:spacing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（二）不具备招标文件中规定的资格要求的；</w:t>
      </w:r>
    </w:p>
    <w:p>
      <w:pPr>
        <w:spacing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（三）报价超过招标文件中规定的最高限价的；</w:t>
      </w:r>
    </w:p>
    <w:p>
      <w:pPr>
        <w:spacing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（四）投标文件含有采购人不能接受的附加条件的；</w:t>
      </w:r>
    </w:p>
    <w:p>
      <w:pPr>
        <w:spacing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（五）法律、法规和招标文件规定的其他无效情形。</w:t>
      </w:r>
      <w:bookmarkStart w:id="67" w:name="_Toc52064329"/>
      <w:bookmarkStart w:id="68" w:name="_Toc52064872"/>
    </w:p>
    <w:p>
      <w:pPr>
        <w:pStyle w:val="4"/>
        <w:spacing w:before="78" w:after="78"/>
        <w:rPr>
          <w:rFonts w:hint="eastAsia" w:ascii="宋体" w:hAnsi="宋体"/>
          <w:color w:val="auto"/>
          <w:highlight w:val="none"/>
          <w:lang w:val="en-US" w:eastAsia="zh-CN"/>
        </w:rPr>
      </w:pPr>
      <w:bookmarkStart w:id="69" w:name="_Toc9301"/>
      <w:r>
        <w:rPr>
          <w:rFonts w:hint="eastAsia" w:ascii="宋体" w:hAnsi="宋体"/>
          <w:color w:val="auto"/>
          <w:highlight w:val="none"/>
          <w:lang w:val="en-US" w:eastAsia="zh-CN"/>
        </w:rPr>
        <w:t>五</w:t>
      </w:r>
      <w:r>
        <w:rPr>
          <w:rFonts w:hint="eastAsia"/>
          <w:color w:val="auto"/>
          <w:highlight w:val="none"/>
          <w:lang w:val="en-US" w:eastAsia="zh-CN"/>
        </w:rPr>
        <w:t>、</w:t>
      </w:r>
      <w:r>
        <w:rPr>
          <w:rFonts w:hint="eastAsia" w:ascii="宋体" w:hAnsi="宋体"/>
          <w:color w:val="auto"/>
          <w:highlight w:val="none"/>
          <w:lang w:val="en-US" w:eastAsia="zh-CN"/>
        </w:rPr>
        <w:t>采购方式改变或重新招标</w:t>
      </w:r>
      <w:bookmarkEnd w:id="67"/>
      <w:bookmarkEnd w:id="68"/>
      <w:bookmarkEnd w:id="69"/>
    </w:p>
    <w:p>
      <w:pPr>
        <w:spacing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投标截止后投标人不足3家或者通过资格审查或符合性审查的投标人不足3家的，除采购任务取消情形外，按照以下方式处理：</w:t>
      </w:r>
    </w:p>
    <w:p>
      <w:pPr>
        <w:spacing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w:t>
      </w:r>
      <w:r>
        <w:rPr>
          <w:rFonts w:hint="eastAsia" w:ascii="宋体" w:hAnsi="宋体"/>
          <w:color w:val="auto"/>
          <w:sz w:val="21"/>
          <w:szCs w:val="21"/>
          <w:highlight w:val="none"/>
          <w:lang w:val="en-US" w:eastAsia="zh-CN"/>
        </w:rPr>
        <w:t>一</w:t>
      </w:r>
      <w:r>
        <w:rPr>
          <w:rFonts w:hint="eastAsia" w:ascii="宋体" w:hAnsi="宋体"/>
          <w:color w:val="auto"/>
          <w:sz w:val="21"/>
          <w:szCs w:val="21"/>
          <w:highlight w:val="none"/>
        </w:rPr>
        <w:t>）招标文件存在不合理条款或者招标程序不符合规定的，采购人、采购代理机构改正后依法重新招标；</w:t>
      </w:r>
    </w:p>
    <w:p>
      <w:pPr>
        <w:spacing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w:t>
      </w:r>
      <w:r>
        <w:rPr>
          <w:rFonts w:hint="eastAsia" w:ascii="宋体" w:hAnsi="宋体"/>
          <w:color w:val="auto"/>
          <w:sz w:val="21"/>
          <w:szCs w:val="21"/>
          <w:highlight w:val="none"/>
          <w:lang w:val="en-US" w:eastAsia="zh-CN"/>
        </w:rPr>
        <w:t>二</w:t>
      </w:r>
      <w:r>
        <w:rPr>
          <w:rFonts w:hint="eastAsia" w:ascii="宋体" w:hAnsi="宋体"/>
          <w:color w:val="auto"/>
          <w:sz w:val="21"/>
          <w:szCs w:val="21"/>
          <w:highlight w:val="none"/>
        </w:rPr>
        <w:t>）招标文件没有不合理条款、招标程序符合规定，需要采用其他采购方式采购的，采购人应当依法报财政部门批准；</w:t>
      </w:r>
    </w:p>
    <w:p>
      <w:pPr>
        <w:spacing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w:t>
      </w:r>
      <w:r>
        <w:rPr>
          <w:rFonts w:hint="eastAsia" w:ascii="宋体" w:hAnsi="宋体"/>
          <w:color w:val="auto"/>
          <w:sz w:val="21"/>
          <w:szCs w:val="21"/>
          <w:highlight w:val="none"/>
          <w:lang w:val="en-US" w:eastAsia="zh-CN"/>
        </w:rPr>
        <w:t>三</w:t>
      </w:r>
      <w:r>
        <w:rPr>
          <w:rFonts w:hint="eastAsia" w:ascii="宋体" w:hAnsi="宋体"/>
          <w:color w:val="auto"/>
          <w:sz w:val="21"/>
          <w:szCs w:val="21"/>
          <w:highlight w:val="none"/>
        </w:rPr>
        <w:t>）招标文件内容违反法律、行政法规、强制性标准、政府采购政策，或者违反公开透明、公平竞争、公正和诚实信用原则，影响潜在投标人投标的，采购代理机构应当修改招标文件后重新招标。</w:t>
      </w:r>
      <w:bookmarkStart w:id="70" w:name="_Toc52064873"/>
      <w:bookmarkStart w:id="71" w:name="_Toc52064330"/>
      <w:bookmarkStart w:id="72" w:name="_Toc48301732"/>
    </w:p>
    <w:p>
      <w:pPr>
        <w:spacing w:line="360" w:lineRule="auto"/>
        <w:ind w:firstLine="420" w:firstLineChars="200"/>
        <w:rPr>
          <w:rFonts w:hint="eastAsia" w:ascii="宋体" w:hAnsi="宋体"/>
          <w:color w:val="auto"/>
          <w:sz w:val="21"/>
          <w:szCs w:val="21"/>
          <w:highlight w:val="none"/>
          <w:lang w:val="en-US" w:eastAsia="zh-CN"/>
        </w:rPr>
      </w:pPr>
      <w:bookmarkStart w:id="73" w:name="_Toc11628"/>
      <w:r>
        <w:rPr>
          <w:rFonts w:hint="eastAsia" w:ascii="宋体" w:hAnsi="宋体"/>
          <w:color w:val="auto"/>
          <w:sz w:val="21"/>
          <w:szCs w:val="21"/>
          <w:highlight w:val="none"/>
          <w:lang w:val="en-US" w:eastAsia="zh-CN"/>
        </w:rPr>
        <w:t>六．采购项目终止</w:t>
      </w:r>
      <w:bookmarkEnd w:id="70"/>
      <w:bookmarkEnd w:id="71"/>
      <w:bookmarkEnd w:id="72"/>
      <w:bookmarkEnd w:id="73"/>
    </w:p>
    <w:p>
      <w:pPr>
        <w:spacing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本次采购活动中，出现下列情形之一的，将终止招标：</w:t>
      </w:r>
    </w:p>
    <w:p>
      <w:pPr>
        <w:spacing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（一）符合专业条件的投标人不足三家或者对招标文件作实质响应的投标人不足三家，采购人不需要采用其他采购方式采购的；</w:t>
      </w:r>
    </w:p>
    <w:p>
      <w:pPr>
        <w:spacing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（二）出现影响采购公正公平的违法、违规行为的；</w:t>
      </w:r>
    </w:p>
    <w:p>
      <w:pPr>
        <w:spacing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（三）因重大变故，采购任务取消的。</w:t>
      </w:r>
    </w:p>
    <w:p>
      <w:pPr>
        <w:spacing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终止招标后，采购代理机构应当在</w:t>
      </w:r>
      <w:r>
        <w:rPr>
          <w:rFonts w:hint="eastAsia" w:ascii="宋体" w:hAnsi="宋体"/>
          <w:color w:val="auto"/>
          <w:sz w:val="21"/>
          <w:szCs w:val="21"/>
          <w:highlight w:val="none"/>
          <w:lang w:val="en-US" w:eastAsia="zh-CN"/>
        </w:rPr>
        <w:t>陕西省政府采购网</w:t>
      </w:r>
      <w:r>
        <w:rPr>
          <w:rFonts w:hint="eastAsia" w:ascii="宋体" w:hAnsi="宋体"/>
          <w:color w:val="auto"/>
          <w:sz w:val="21"/>
          <w:szCs w:val="21"/>
          <w:highlight w:val="none"/>
        </w:rPr>
        <w:t>公告。</w:t>
      </w:r>
      <w:r>
        <w:rPr>
          <w:rFonts w:hint="eastAsia" w:ascii="宋体" w:hAnsi="宋体"/>
          <w:color w:val="auto"/>
          <w:sz w:val="21"/>
          <w:szCs w:val="21"/>
          <w:highlight w:val="none"/>
        </w:rPr>
        <w:br w:type="page"/>
      </w:r>
    </w:p>
    <w:p>
      <w:pPr>
        <w:numPr>
          <w:ilvl w:val="0"/>
          <w:numId w:val="4"/>
        </w:numPr>
        <w:spacing w:line="360" w:lineRule="auto"/>
        <w:jc w:val="center"/>
        <w:outlineLvl w:val="0"/>
        <w:rPr>
          <w:rFonts w:ascii="宋体" w:hAnsi="宋体"/>
          <w:b/>
          <w:color w:val="auto"/>
          <w:kern w:val="44"/>
          <w:sz w:val="32"/>
          <w:highlight w:val="none"/>
        </w:rPr>
      </w:pPr>
      <w:r>
        <w:rPr>
          <w:rFonts w:hint="eastAsia" w:ascii="宋体" w:hAnsi="宋体"/>
          <w:b/>
          <w:color w:val="auto"/>
          <w:kern w:val="44"/>
          <w:sz w:val="32"/>
          <w:highlight w:val="none"/>
          <w:lang w:val="en-US" w:eastAsia="zh-CN"/>
        </w:rPr>
        <w:t xml:space="preserve">  </w:t>
      </w:r>
      <w:bookmarkStart w:id="74" w:name="_Toc10942"/>
      <w:r>
        <w:rPr>
          <w:rFonts w:hint="eastAsia" w:ascii="宋体" w:hAnsi="宋体"/>
          <w:b/>
          <w:color w:val="auto"/>
          <w:kern w:val="44"/>
          <w:sz w:val="32"/>
          <w:highlight w:val="none"/>
        </w:rPr>
        <w:t>采购内容及要求</w:t>
      </w:r>
      <w:bookmarkEnd w:id="74"/>
    </w:p>
    <w:p>
      <w:pPr>
        <w:pStyle w:val="4"/>
        <w:numPr>
          <w:ilvl w:val="0"/>
          <w:numId w:val="5"/>
        </w:numPr>
        <w:jc w:val="left"/>
        <w:rPr>
          <w:color w:val="auto"/>
          <w:sz w:val="28"/>
          <w:szCs w:val="28"/>
          <w:highlight w:val="none"/>
        </w:rPr>
      </w:pPr>
      <w:bookmarkStart w:id="75" w:name="_Toc17616"/>
      <w:bookmarkStart w:id="76" w:name="_Toc13442"/>
      <w:bookmarkStart w:id="77" w:name="_Toc23718"/>
      <w:bookmarkStart w:id="78" w:name="_Toc18418"/>
      <w:bookmarkStart w:id="79" w:name="_Toc24974"/>
      <w:r>
        <w:rPr>
          <w:rFonts w:hint="eastAsia"/>
          <w:color w:val="auto"/>
          <w:sz w:val="28"/>
          <w:szCs w:val="28"/>
          <w:highlight w:val="none"/>
        </w:rPr>
        <w:t>概述</w:t>
      </w:r>
      <w:bookmarkEnd w:id="75"/>
      <w:bookmarkEnd w:id="76"/>
    </w:p>
    <w:p>
      <w:pPr>
        <w:spacing w:line="360" w:lineRule="auto"/>
        <w:ind w:firstLine="420" w:firstLineChars="200"/>
        <w:jc w:val="left"/>
        <w:rPr>
          <w:rFonts w:ascii="宋体" w:hAnsi="宋体" w:eastAsia="宋体"/>
          <w:color w:val="auto"/>
          <w:sz w:val="21"/>
          <w:szCs w:val="21"/>
          <w:highlight w:val="none"/>
        </w:rPr>
      </w:pPr>
      <w:r>
        <w:rPr>
          <w:rFonts w:hint="eastAsia" w:ascii="宋体" w:hAnsi="宋体" w:eastAsia="宋体"/>
          <w:color w:val="auto"/>
          <w:sz w:val="21"/>
          <w:szCs w:val="21"/>
          <w:highlight w:val="none"/>
        </w:rPr>
        <w:t>为提升我院医用智能化服务水平，加速医院信息化建设，满足医疗应用系统对基础平台承载能力及安全的要求，根据国家及市相关政策要求，结合医院业务发展实际需要，针对智慧医院系统应用所需环境进行配套扩容建设，进一步向患者提供更加高效、智慧、优质的信息化服务。</w:t>
      </w:r>
    </w:p>
    <w:p>
      <w:pPr>
        <w:spacing w:line="360" w:lineRule="auto"/>
        <w:ind w:firstLine="420" w:firstLineChars="200"/>
        <w:jc w:val="left"/>
        <w:rPr>
          <w:b/>
          <w:color w:val="auto"/>
          <w:sz w:val="21"/>
          <w:szCs w:val="21"/>
          <w:highlight w:val="none"/>
        </w:rPr>
      </w:pPr>
      <w:r>
        <w:rPr>
          <w:rFonts w:hint="eastAsia" w:ascii="宋体" w:hAnsi="宋体" w:eastAsia="宋体"/>
          <w:color w:val="auto"/>
          <w:sz w:val="21"/>
          <w:szCs w:val="21"/>
          <w:highlight w:val="none"/>
        </w:rPr>
        <w:t>对医院现有云平台进行升级扩容，搭建计算资源平台，分担现有应用资源；加固信息安全防护，加强院内网络连通的通行安全能力、根据电子病历评级所需信息化环境进行补充完善、更新医院网站系统运行环境、提高数据库运行维护能力，保证业务系统正常稳定的运行、网络设备扩容等。</w:t>
      </w:r>
    </w:p>
    <w:p>
      <w:pPr>
        <w:pStyle w:val="4"/>
        <w:numPr>
          <w:ilvl w:val="0"/>
          <w:numId w:val="5"/>
        </w:numPr>
        <w:jc w:val="left"/>
        <w:rPr>
          <w:rFonts w:hint="eastAsia"/>
          <w:color w:val="auto"/>
          <w:sz w:val="28"/>
          <w:szCs w:val="28"/>
          <w:highlight w:val="none"/>
        </w:rPr>
      </w:pPr>
      <w:bookmarkStart w:id="80" w:name="_Toc11602"/>
      <w:bookmarkStart w:id="81" w:name="_Toc2051"/>
      <w:r>
        <w:rPr>
          <w:rFonts w:hint="eastAsia"/>
          <w:color w:val="auto"/>
          <w:sz w:val="28"/>
          <w:szCs w:val="28"/>
          <w:highlight w:val="none"/>
        </w:rPr>
        <w:t>建设清单</w:t>
      </w:r>
      <w:bookmarkEnd w:id="80"/>
      <w:bookmarkEnd w:id="81"/>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1"/>
        <w:gridCol w:w="1107"/>
        <w:gridCol w:w="3650"/>
        <w:gridCol w:w="1888"/>
        <w:gridCol w:w="735"/>
        <w:gridCol w:w="6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661" w:type="dxa"/>
            <w:vAlign w:val="center"/>
          </w:tcPr>
          <w:p>
            <w:pPr>
              <w:jc w:val="center"/>
              <w:rPr>
                <w:rFonts w:ascii="宋体" w:hAnsi="宋体" w:eastAsia="宋体" w:cs="宋体"/>
                <w:b/>
                <w:bCs/>
                <w:color w:val="auto"/>
                <w:szCs w:val="21"/>
                <w:highlight w:val="none"/>
              </w:rPr>
            </w:pPr>
            <w:r>
              <w:rPr>
                <w:rFonts w:hint="eastAsia" w:ascii="宋体" w:hAnsi="宋体" w:eastAsia="宋体" w:cs="宋体"/>
                <w:b/>
                <w:bCs/>
                <w:color w:val="auto"/>
                <w:szCs w:val="21"/>
                <w:highlight w:val="none"/>
              </w:rPr>
              <w:t>序号</w:t>
            </w:r>
          </w:p>
        </w:tc>
        <w:tc>
          <w:tcPr>
            <w:tcW w:w="1107" w:type="dxa"/>
            <w:vAlign w:val="center"/>
          </w:tcPr>
          <w:p>
            <w:pPr>
              <w:jc w:val="center"/>
              <w:rPr>
                <w:rFonts w:ascii="宋体" w:hAnsi="宋体" w:eastAsia="宋体" w:cs="宋体"/>
                <w:b/>
                <w:bCs/>
                <w:color w:val="auto"/>
                <w:szCs w:val="21"/>
                <w:highlight w:val="none"/>
              </w:rPr>
            </w:pPr>
            <w:r>
              <w:rPr>
                <w:rFonts w:hint="eastAsia" w:ascii="宋体" w:hAnsi="宋体" w:eastAsia="宋体" w:cs="宋体"/>
                <w:b/>
                <w:bCs/>
                <w:color w:val="auto"/>
                <w:szCs w:val="21"/>
                <w:highlight w:val="none"/>
              </w:rPr>
              <w:t>服务名称</w:t>
            </w:r>
          </w:p>
        </w:tc>
        <w:tc>
          <w:tcPr>
            <w:tcW w:w="3650" w:type="dxa"/>
            <w:vAlign w:val="center"/>
          </w:tcPr>
          <w:p>
            <w:pPr>
              <w:jc w:val="center"/>
              <w:rPr>
                <w:rFonts w:ascii="宋体" w:hAnsi="宋体" w:eastAsia="宋体" w:cs="宋体"/>
                <w:b/>
                <w:bCs/>
                <w:color w:val="auto"/>
                <w:szCs w:val="21"/>
                <w:highlight w:val="none"/>
              </w:rPr>
            </w:pPr>
            <w:r>
              <w:rPr>
                <w:rFonts w:hint="eastAsia" w:ascii="宋体" w:hAnsi="宋体" w:eastAsia="宋体" w:cs="宋体"/>
                <w:b/>
                <w:bCs/>
                <w:color w:val="auto"/>
                <w:szCs w:val="21"/>
                <w:highlight w:val="none"/>
              </w:rPr>
              <w:t>功能描述</w:t>
            </w:r>
          </w:p>
        </w:tc>
        <w:tc>
          <w:tcPr>
            <w:tcW w:w="1888" w:type="dxa"/>
            <w:vAlign w:val="center"/>
          </w:tcPr>
          <w:p>
            <w:pPr>
              <w:jc w:val="center"/>
              <w:rPr>
                <w:rFonts w:ascii="宋体" w:hAnsi="宋体" w:eastAsia="宋体" w:cs="宋体"/>
                <w:b/>
                <w:bCs/>
                <w:color w:val="auto"/>
                <w:szCs w:val="21"/>
                <w:highlight w:val="none"/>
              </w:rPr>
            </w:pPr>
            <w:r>
              <w:rPr>
                <w:rFonts w:hint="eastAsia" w:ascii="宋体" w:hAnsi="宋体" w:cs="宋体"/>
                <w:b/>
                <w:bCs/>
                <w:color w:val="auto"/>
                <w:szCs w:val="21"/>
                <w:highlight w:val="none"/>
              </w:rPr>
              <w:t>产品名称</w:t>
            </w:r>
          </w:p>
        </w:tc>
        <w:tc>
          <w:tcPr>
            <w:tcW w:w="735" w:type="dxa"/>
            <w:vAlign w:val="center"/>
          </w:tcPr>
          <w:p>
            <w:pPr>
              <w:jc w:val="center"/>
              <w:rPr>
                <w:rFonts w:ascii="宋体" w:hAnsi="宋体" w:eastAsia="宋体" w:cs="宋体"/>
                <w:b/>
                <w:bCs/>
                <w:color w:val="auto"/>
                <w:szCs w:val="21"/>
                <w:highlight w:val="none"/>
              </w:rPr>
            </w:pPr>
            <w:r>
              <w:rPr>
                <w:rFonts w:hint="eastAsia" w:ascii="宋体" w:hAnsi="宋体" w:eastAsia="宋体" w:cs="宋体"/>
                <w:b/>
                <w:bCs/>
                <w:color w:val="auto"/>
                <w:szCs w:val="21"/>
                <w:highlight w:val="none"/>
              </w:rPr>
              <w:t>规格</w:t>
            </w:r>
          </w:p>
        </w:tc>
        <w:tc>
          <w:tcPr>
            <w:tcW w:w="660" w:type="dxa"/>
            <w:vAlign w:val="center"/>
          </w:tcPr>
          <w:p>
            <w:pPr>
              <w:jc w:val="center"/>
              <w:rPr>
                <w:rFonts w:ascii="宋体" w:hAnsi="宋体" w:eastAsia="宋体" w:cs="宋体"/>
                <w:b/>
                <w:bCs/>
                <w:color w:val="auto"/>
                <w:szCs w:val="21"/>
                <w:highlight w:val="none"/>
              </w:rPr>
            </w:pPr>
            <w:r>
              <w:rPr>
                <w:rFonts w:hint="eastAsia" w:ascii="宋体" w:hAnsi="宋体" w:eastAsia="宋体" w:cs="宋体"/>
                <w:b/>
                <w:bCs/>
                <w:color w:val="auto"/>
                <w:szCs w:val="21"/>
                <w:highlight w:val="none"/>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1" w:type="dxa"/>
            <w:vMerge w:val="restart"/>
            <w:vAlign w:val="center"/>
          </w:tcPr>
          <w:p>
            <w:pPr>
              <w:spacing w:line="360" w:lineRule="exact"/>
              <w:jc w:val="left"/>
              <w:rPr>
                <w:rFonts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1107" w:type="dxa"/>
            <w:vMerge w:val="restart"/>
            <w:vAlign w:val="center"/>
          </w:tcPr>
          <w:p>
            <w:pPr>
              <w:spacing w:line="360" w:lineRule="exact"/>
              <w:jc w:val="left"/>
              <w:rPr>
                <w:rFonts w:ascii="宋体" w:hAnsi="宋体" w:eastAsia="宋体" w:cs="宋体"/>
                <w:color w:val="auto"/>
                <w:szCs w:val="21"/>
                <w:highlight w:val="none"/>
              </w:rPr>
            </w:pPr>
            <w:r>
              <w:rPr>
                <w:rFonts w:hint="eastAsia" w:ascii="宋体" w:hAnsi="宋体" w:eastAsia="宋体" w:cs="宋体"/>
                <w:color w:val="auto"/>
                <w:szCs w:val="21"/>
                <w:highlight w:val="none"/>
              </w:rPr>
              <w:t>超融合平台建设</w:t>
            </w:r>
          </w:p>
        </w:tc>
        <w:tc>
          <w:tcPr>
            <w:tcW w:w="3650" w:type="dxa"/>
            <w:vMerge w:val="restart"/>
            <w:vAlign w:val="center"/>
          </w:tcPr>
          <w:p>
            <w:pPr>
              <w:spacing w:line="360" w:lineRule="exact"/>
              <w:jc w:val="left"/>
              <w:rPr>
                <w:rFonts w:ascii="宋体" w:hAnsi="宋体" w:eastAsia="宋体" w:cs="宋体"/>
                <w:color w:val="auto"/>
                <w:szCs w:val="21"/>
                <w:highlight w:val="none"/>
              </w:rPr>
            </w:pPr>
            <w:r>
              <w:rPr>
                <w:rFonts w:ascii="宋体" w:hAnsi="宋体" w:eastAsia="宋体" w:cs="宋体"/>
                <w:color w:val="auto"/>
                <w:szCs w:val="21"/>
                <w:highlight w:val="none"/>
              </w:rPr>
              <w:t>新建一套业界主流的超融合平台，将现有云平台内的部分应用系统迁移至超融合平台，一方面可分担云平台资源，降低平台故障所造成的业务中断风险，也可为其他各新型上线业务应用系统提供资源环境。</w:t>
            </w:r>
          </w:p>
        </w:tc>
        <w:tc>
          <w:tcPr>
            <w:tcW w:w="1888" w:type="dxa"/>
            <w:vAlign w:val="center"/>
          </w:tcPr>
          <w:p>
            <w:pPr>
              <w:spacing w:line="360" w:lineRule="exact"/>
              <w:jc w:val="left"/>
              <w:rPr>
                <w:rFonts w:ascii="宋体" w:hAnsi="宋体" w:eastAsia="宋体" w:cs="宋体"/>
                <w:color w:val="auto"/>
                <w:szCs w:val="21"/>
                <w:highlight w:val="none"/>
              </w:rPr>
            </w:pPr>
            <w:r>
              <w:rPr>
                <w:rFonts w:ascii="宋体" w:hAnsi="宋体" w:eastAsia="宋体" w:cs="宋体"/>
                <w:color w:val="auto"/>
                <w:szCs w:val="21"/>
                <w:highlight w:val="none"/>
              </w:rPr>
              <w:t>超融合平台</w:t>
            </w:r>
          </w:p>
        </w:tc>
        <w:tc>
          <w:tcPr>
            <w:tcW w:w="735" w:type="dxa"/>
            <w:vAlign w:val="center"/>
          </w:tcPr>
          <w:p>
            <w:pPr>
              <w:spacing w:line="360" w:lineRule="exact"/>
              <w:jc w:val="left"/>
              <w:rPr>
                <w:rFonts w:ascii="宋体" w:hAnsi="宋体" w:eastAsia="宋体" w:cs="宋体"/>
                <w:color w:val="auto"/>
                <w:szCs w:val="21"/>
                <w:highlight w:val="none"/>
              </w:rPr>
            </w:pPr>
            <w:r>
              <w:rPr>
                <w:rFonts w:hint="eastAsia" w:ascii="宋体" w:hAnsi="宋体" w:eastAsia="宋体" w:cs="宋体"/>
                <w:color w:val="auto"/>
                <w:szCs w:val="21"/>
                <w:highlight w:val="none"/>
              </w:rPr>
              <w:t>套</w:t>
            </w:r>
          </w:p>
        </w:tc>
        <w:tc>
          <w:tcPr>
            <w:tcW w:w="660" w:type="dxa"/>
            <w:vAlign w:val="center"/>
          </w:tcPr>
          <w:p>
            <w:pPr>
              <w:spacing w:line="360" w:lineRule="exact"/>
              <w:jc w:val="left"/>
              <w:rPr>
                <w:rFonts w:ascii="宋体" w:hAnsi="宋体" w:eastAsia="宋体" w:cs="宋体"/>
                <w:color w:val="auto"/>
                <w:szCs w:val="21"/>
                <w:highlight w:val="none"/>
              </w:rPr>
            </w:pPr>
            <w:r>
              <w:rPr>
                <w:rFonts w:hint="eastAsia" w:ascii="宋体" w:hAnsi="宋体" w:eastAsia="宋体" w:cs="宋体"/>
                <w:color w:val="auto"/>
                <w:szCs w:val="21"/>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1" w:type="dxa"/>
            <w:vMerge w:val="continue"/>
          </w:tcPr>
          <w:p>
            <w:pPr>
              <w:rPr>
                <w:color w:val="auto"/>
                <w:highlight w:val="none"/>
              </w:rPr>
            </w:pPr>
          </w:p>
        </w:tc>
        <w:tc>
          <w:tcPr>
            <w:tcW w:w="1107" w:type="dxa"/>
            <w:vMerge w:val="continue"/>
          </w:tcPr>
          <w:p>
            <w:pPr>
              <w:rPr>
                <w:color w:val="auto"/>
                <w:highlight w:val="none"/>
              </w:rPr>
            </w:pPr>
          </w:p>
        </w:tc>
        <w:tc>
          <w:tcPr>
            <w:tcW w:w="3650" w:type="dxa"/>
            <w:vMerge w:val="continue"/>
          </w:tcPr>
          <w:p>
            <w:pPr>
              <w:rPr>
                <w:color w:val="auto"/>
                <w:highlight w:val="none"/>
              </w:rPr>
            </w:pPr>
          </w:p>
        </w:tc>
        <w:tc>
          <w:tcPr>
            <w:tcW w:w="1888" w:type="dxa"/>
            <w:vAlign w:val="center"/>
          </w:tcPr>
          <w:p>
            <w:pPr>
              <w:spacing w:line="360" w:lineRule="exact"/>
              <w:jc w:val="left"/>
              <w:rPr>
                <w:rFonts w:ascii="宋体" w:hAnsi="宋体" w:eastAsia="宋体" w:cs="宋体"/>
                <w:color w:val="auto"/>
                <w:szCs w:val="21"/>
                <w:highlight w:val="none"/>
              </w:rPr>
            </w:pPr>
            <w:r>
              <w:rPr>
                <w:rFonts w:ascii="宋体" w:hAnsi="宋体" w:eastAsia="宋体" w:cs="宋体"/>
                <w:color w:val="auto"/>
                <w:szCs w:val="21"/>
                <w:highlight w:val="none"/>
              </w:rPr>
              <w:t>计算</w:t>
            </w:r>
            <w:r>
              <w:rPr>
                <w:rFonts w:hint="eastAsia" w:ascii="宋体" w:hAnsi="宋体" w:eastAsia="宋体" w:cs="宋体"/>
                <w:color w:val="auto"/>
                <w:szCs w:val="21"/>
                <w:highlight w:val="none"/>
              </w:rPr>
              <w:t>服务器</w:t>
            </w:r>
            <w:r>
              <w:rPr>
                <w:rFonts w:ascii="宋体" w:hAnsi="宋体" w:eastAsia="宋体" w:cs="宋体"/>
                <w:color w:val="auto"/>
                <w:szCs w:val="21"/>
                <w:highlight w:val="none"/>
              </w:rPr>
              <w:t>资源</w:t>
            </w:r>
          </w:p>
        </w:tc>
        <w:tc>
          <w:tcPr>
            <w:tcW w:w="735" w:type="dxa"/>
            <w:vAlign w:val="center"/>
          </w:tcPr>
          <w:p>
            <w:pPr>
              <w:spacing w:line="360" w:lineRule="exact"/>
              <w:jc w:val="left"/>
              <w:rPr>
                <w:rFonts w:ascii="宋体" w:hAnsi="宋体" w:eastAsia="宋体" w:cs="宋体"/>
                <w:color w:val="auto"/>
                <w:szCs w:val="21"/>
                <w:highlight w:val="none"/>
              </w:rPr>
            </w:pPr>
            <w:r>
              <w:rPr>
                <w:rFonts w:hint="eastAsia" w:ascii="宋体" w:hAnsi="宋体" w:eastAsia="宋体" w:cs="宋体"/>
                <w:color w:val="auto"/>
                <w:szCs w:val="21"/>
                <w:highlight w:val="none"/>
              </w:rPr>
              <w:t>台</w:t>
            </w:r>
          </w:p>
        </w:tc>
        <w:tc>
          <w:tcPr>
            <w:tcW w:w="660" w:type="dxa"/>
            <w:vAlign w:val="center"/>
          </w:tcPr>
          <w:p>
            <w:pPr>
              <w:spacing w:line="360" w:lineRule="exact"/>
              <w:jc w:val="left"/>
              <w:rPr>
                <w:rFonts w:ascii="宋体" w:hAnsi="宋体" w:eastAsia="宋体" w:cs="宋体"/>
                <w:color w:val="auto"/>
                <w:szCs w:val="21"/>
                <w:highlight w:val="none"/>
              </w:rPr>
            </w:pPr>
            <w:r>
              <w:rPr>
                <w:rFonts w:hint="eastAsia" w:ascii="宋体" w:hAnsi="宋体" w:eastAsia="宋体" w:cs="宋体"/>
                <w:color w:val="auto"/>
                <w:szCs w:val="21"/>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1" w:type="dxa"/>
            <w:vMerge w:val="continue"/>
          </w:tcPr>
          <w:p>
            <w:pPr>
              <w:rPr>
                <w:color w:val="auto"/>
                <w:highlight w:val="none"/>
              </w:rPr>
            </w:pPr>
          </w:p>
        </w:tc>
        <w:tc>
          <w:tcPr>
            <w:tcW w:w="1107" w:type="dxa"/>
            <w:vMerge w:val="continue"/>
          </w:tcPr>
          <w:p>
            <w:pPr>
              <w:rPr>
                <w:color w:val="auto"/>
                <w:highlight w:val="none"/>
              </w:rPr>
            </w:pPr>
          </w:p>
        </w:tc>
        <w:tc>
          <w:tcPr>
            <w:tcW w:w="3650" w:type="dxa"/>
            <w:vMerge w:val="continue"/>
          </w:tcPr>
          <w:p>
            <w:pPr>
              <w:rPr>
                <w:color w:val="auto"/>
                <w:highlight w:val="none"/>
              </w:rPr>
            </w:pPr>
          </w:p>
        </w:tc>
        <w:tc>
          <w:tcPr>
            <w:tcW w:w="1888" w:type="dxa"/>
            <w:vAlign w:val="center"/>
          </w:tcPr>
          <w:p>
            <w:pPr>
              <w:spacing w:line="360" w:lineRule="exact"/>
              <w:jc w:val="left"/>
              <w:rPr>
                <w:rFonts w:ascii="宋体" w:hAnsi="宋体" w:eastAsia="宋体" w:cs="宋体"/>
                <w:color w:val="auto"/>
                <w:szCs w:val="21"/>
                <w:highlight w:val="none"/>
              </w:rPr>
            </w:pPr>
            <w:r>
              <w:rPr>
                <w:rFonts w:hint="eastAsia" w:ascii="宋体" w:hAnsi="宋体" w:eastAsia="宋体" w:cs="宋体"/>
                <w:color w:val="auto"/>
                <w:szCs w:val="21"/>
                <w:highlight w:val="none"/>
              </w:rPr>
              <w:t>7.68</w:t>
            </w:r>
            <w:r>
              <w:rPr>
                <w:rFonts w:ascii="宋体" w:hAnsi="宋体" w:eastAsia="宋体" w:cs="宋体"/>
                <w:color w:val="auto"/>
                <w:szCs w:val="21"/>
                <w:highlight w:val="none"/>
              </w:rPr>
              <w:t>T热插拔固态硬盘</w:t>
            </w:r>
          </w:p>
        </w:tc>
        <w:tc>
          <w:tcPr>
            <w:tcW w:w="735" w:type="dxa"/>
            <w:vAlign w:val="center"/>
          </w:tcPr>
          <w:p>
            <w:pPr>
              <w:spacing w:line="360" w:lineRule="exact"/>
              <w:jc w:val="left"/>
              <w:rPr>
                <w:rFonts w:ascii="宋体" w:hAnsi="宋体" w:eastAsia="宋体" w:cs="宋体"/>
                <w:color w:val="auto"/>
                <w:szCs w:val="21"/>
                <w:highlight w:val="none"/>
              </w:rPr>
            </w:pPr>
            <w:r>
              <w:rPr>
                <w:rFonts w:hint="eastAsia" w:ascii="宋体" w:hAnsi="宋体" w:eastAsia="宋体" w:cs="宋体"/>
                <w:color w:val="auto"/>
                <w:szCs w:val="21"/>
                <w:highlight w:val="none"/>
              </w:rPr>
              <w:t>块</w:t>
            </w:r>
          </w:p>
        </w:tc>
        <w:tc>
          <w:tcPr>
            <w:tcW w:w="660" w:type="dxa"/>
            <w:vAlign w:val="center"/>
          </w:tcPr>
          <w:p>
            <w:pPr>
              <w:spacing w:line="360" w:lineRule="exact"/>
              <w:jc w:val="left"/>
              <w:rPr>
                <w:rFonts w:ascii="宋体" w:hAnsi="宋体" w:eastAsia="宋体" w:cs="宋体"/>
                <w:color w:val="auto"/>
                <w:szCs w:val="21"/>
                <w:highlight w:val="none"/>
              </w:rPr>
            </w:pPr>
            <w:r>
              <w:rPr>
                <w:rFonts w:hint="eastAsia" w:ascii="宋体" w:hAnsi="宋体" w:eastAsia="宋体" w:cs="宋体"/>
                <w:color w:val="auto"/>
                <w:szCs w:val="21"/>
                <w:highlight w:val="none"/>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1" w:type="dxa"/>
            <w:vMerge w:val="continue"/>
          </w:tcPr>
          <w:p>
            <w:pPr>
              <w:rPr>
                <w:color w:val="auto"/>
                <w:highlight w:val="none"/>
              </w:rPr>
            </w:pPr>
          </w:p>
        </w:tc>
        <w:tc>
          <w:tcPr>
            <w:tcW w:w="1107" w:type="dxa"/>
            <w:vMerge w:val="continue"/>
          </w:tcPr>
          <w:p>
            <w:pPr>
              <w:rPr>
                <w:color w:val="auto"/>
                <w:highlight w:val="none"/>
              </w:rPr>
            </w:pPr>
          </w:p>
        </w:tc>
        <w:tc>
          <w:tcPr>
            <w:tcW w:w="3650" w:type="dxa"/>
            <w:vMerge w:val="continue"/>
          </w:tcPr>
          <w:p>
            <w:pPr>
              <w:rPr>
                <w:color w:val="auto"/>
                <w:highlight w:val="none"/>
              </w:rPr>
            </w:pPr>
          </w:p>
        </w:tc>
        <w:tc>
          <w:tcPr>
            <w:tcW w:w="1888" w:type="dxa"/>
            <w:vAlign w:val="center"/>
          </w:tcPr>
          <w:p>
            <w:pPr>
              <w:spacing w:line="360" w:lineRule="exact"/>
              <w:jc w:val="left"/>
              <w:rPr>
                <w:rFonts w:ascii="宋体" w:hAnsi="宋体" w:eastAsia="宋体" w:cs="宋体"/>
                <w:color w:val="auto"/>
                <w:szCs w:val="21"/>
                <w:highlight w:val="none"/>
              </w:rPr>
            </w:pPr>
            <w:r>
              <w:rPr>
                <w:rFonts w:ascii="宋体" w:hAnsi="宋体" w:eastAsia="宋体" w:cs="宋体"/>
                <w:color w:val="auto"/>
                <w:szCs w:val="21"/>
                <w:highlight w:val="none"/>
              </w:rPr>
              <w:t>服务器CPU</w:t>
            </w:r>
          </w:p>
        </w:tc>
        <w:tc>
          <w:tcPr>
            <w:tcW w:w="735" w:type="dxa"/>
            <w:vAlign w:val="center"/>
          </w:tcPr>
          <w:p>
            <w:pPr>
              <w:spacing w:line="360" w:lineRule="exact"/>
              <w:jc w:val="left"/>
              <w:rPr>
                <w:rFonts w:ascii="宋体" w:hAnsi="宋体" w:eastAsia="宋体" w:cs="宋体"/>
                <w:color w:val="auto"/>
                <w:szCs w:val="21"/>
                <w:highlight w:val="none"/>
              </w:rPr>
            </w:pPr>
            <w:r>
              <w:rPr>
                <w:rFonts w:hint="eastAsia" w:ascii="宋体" w:hAnsi="宋体" w:eastAsia="宋体" w:cs="宋体"/>
                <w:color w:val="auto"/>
                <w:szCs w:val="21"/>
                <w:highlight w:val="none"/>
              </w:rPr>
              <w:t>颗</w:t>
            </w:r>
          </w:p>
        </w:tc>
        <w:tc>
          <w:tcPr>
            <w:tcW w:w="660" w:type="dxa"/>
            <w:vAlign w:val="center"/>
          </w:tcPr>
          <w:p>
            <w:pPr>
              <w:spacing w:line="360" w:lineRule="exact"/>
              <w:jc w:val="left"/>
              <w:rPr>
                <w:rFonts w:ascii="宋体" w:hAnsi="宋体" w:eastAsia="宋体" w:cs="宋体"/>
                <w:color w:val="auto"/>
                <w:szCs w:val="21"/>
                <w:highlight w:val="none"/>
              </w:rPr>
            </w:pPr>
            <w:r>
              <w:rPr>
                <w:rFonts w:hint="eastAsia" w:ascii="宋体" w:hAnsi="宋体" w:eastAsia="宋体" w:cs="宋体"/>
                <w:color w:val="auto"/>
                <w:szCs w:val="21"/>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1" w:type="dxa"/>
            <w:vMerge w:val="continue"/>
          </w:tcPr>
          <w:p>
            <w:pPr>
              <w:rPr>
                <w:color w:val="auto"/>
                <w:highlight w:val="none"/>
              </w:rPr>
            </w:pPr>
          </w:p>
        </w:tc>
        <w:tc>
          <w:tcPr>
            <w:tcW w:w="1107" w:type="dxa"/>
            <w:vMerge w:val="continue"/>
          </w:tcPr>
          <w:p>
            <w:pPr>
              <w:rPr>
                <w:color w:val="auto"/>
                <w:highlight w:val="none"/>
              </w:rPr>
            </w:pPr>
          </w:p>
        </w:tc>
        <w:tc>
          <w:tcPr>
            <w:tcW w:w="3650" w:type="dxa"/>
            <w:vMerge w:val="continue"/>
          </w:tcPr>
          <w:p>
            <w:pPr>
              <w:rPr>
                <w:color w:val="auto"/>
                <w:highlight w:val="none"/>
              </w:rPr>
            </w:pPr>
          </w:p>
        </w:tc>
        <w:tc>
          <w:tcPr>
            <w:tcW w:w="1888" w:type="dxa"/>
            <w:vAlign w:val="center"/>
          </w:tcPr>
          <w:p>
            <w:pPr>
              <w:spacing w:line="360" w:lineRule="exact"/>
              <w:jc w:val="left"/>
              <w:rPr>
                <w:rFonts w:ascii="宋体" w:hAnsi="宋体" w:eastAsia="宋体" w:cs="宋体"/>
                <w:color w:val="auto"/>
                <w:szCs w:val="21"/>
                <w:highlight w:val="none"/>
              </w:rPr>
            </w:pPr>
            <w:r>
              <w:rPr>
                <w:rFonts w:ascii="宋体" w:hAnsi="宋体" w:eastAsia="宋体" w:cs="宋体"/>
                <w:color w:val="auto"/>
                <w:szCs w:val="21"/>
                <w:highlight w:val="none"/>
              </w:rPr>
              <w:t>超融合授权</w:t>
            </w:r>
          </w:p>
        </w:tc>
        <w:tc>
          <w:tcPr>
            <w:tcW w:w="735" w:type="dxa"/>
            <w:vAlign w:val="center"/>
          </w:tcPr>
          <w:p>
            <w:pPr>
              <w:spacing w:line="360" w:lineRule="exact"/>
              <w:jc w:val="left"/>
              <w:rPr>
                <w:rFonts w:ascii="宋体" w:hAnsi="宋体" w:eastAsia="宋体" w:cs="宋体"/>
                <w:color w:val="auto"/>
                <w:szCs w:val="21"/>
                <w:highlight w:val="none"/>
              </w:rPr>
            </w:pPr>
            <w:r>
              <w:rPr>
                <w:rFonts w:hint="eastAsia" w:ascii="宋体" w:hAnsi="宋体" w:eastAsia="宋体" w:cs="宋体"/>
                <w:color w:val="auto"/>
                <w:szCs w:val="21"/>
                <w:highlight w:val="none"/>
              </w:rPr>
              <w:t>节点</w:t>
            </w:r>
          </w:p>
        </w:tc>
        <w:tc>
          <w:tcPr>
            <w:tcW w:w="660" w:type="dxa"/>
            <w:vAlign w:val="center"/>
          </w:tcPr>
          <w:p>
            <w:pPr>
              <w:spacing w:line="360" w:lineRule="exact"/>
              <w:jc w:val="left"/>
              <w:rPr>
                <w:rFonts w:ascii="宋体" w:hAnsi="宋体" w:eastAsia="宋体" w:cs="宋体"/>
                <w:color w:val="auto"/>
                <w:szCs w:val="21"/>
                <w:highlight w:val="none"/>
              </w:rPr>
            </w:pPr>
            <w:r>
              <w:rPr>
                <w:rFonts w:hint="eastAsia" w:ascii="宋体" w:hAnsi="宋体" w:eastAsia="宋体" w:cs="宋体"/>
                <w:color w:val="auto"/>
                <w:szCs w:val="21"/>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1" w:type="dxa"/>
            <w:vMerge w:val="restart"/>
            <w:vAlign w:val="center"/>
          </w:tcPr>
          <w:p>
            <w:pPr>
              <w:spacing w:line="360" w:lineRule="exact"/>
              <w:jc w:val="left"/>
              <w:rPr>
                <w:rFonts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1107" w:type="dxa"/>
            <w:vMerge w:val="restart"/>
            <w:vAlign w:val="center"/>
          </w:tcPr>
          <w:p>
            <w:pPr>
              <w:spacing w:line="360" w:lineRule="exact"/>
              <w:jc w:val="left"/>
              <w:rPr>
                <w:rFonts w:ascii="宋体" w:hAnsi="宋体" w:eastAsia="宋体" w:cs="宋体"/>
                <w:color w:val="auto"/>
                <w:szCs w:val="21"/>
                <w:highlight w:val="none"/>
              </w:rPr>
            </w:pPr>
            <w:r>
              <w:rPr>
                <w:rFonts w:hint="eastAsia" w:ascii="宋体" w:hAnsi="宋体" w:eastAsia="宋体" w:cs="宋体"/>
                <w:color w:val="auto"/>
                <w:szCs w:val="21"/>
                <w:highlight w:val="none"/>
              </w:rPr>
              <w:t>内网云平台设备更新及扩容</w:t>
            </w:r>
          </w:p>
        </w:tc>
        <w:tc>
          <w:tcPr>
            <w:tcW w:w="3650" w:type="dxa"/>
            <w:vMerge w:val="restart"/>
            <w:vAlign w:val="center"/>
          </w:tcPr>
          <w:p>
            <w:pPr>
              <w:spacing w:line="360" w:lineRule="exact"/>
              <w:jc w:val="left"/>
              <w:rPr>
                <w:rFonts w:ascii="宋体" w:hAnsi="宋体" w:eastAsia="宋体" w:cs="宋体"/>
                <w:color w:val="auto"/>
                <w:szCs w:val="21"/>
                <w:highlight w:val="none"/>
              </w:rPr>
            </w:pPr>
            <w:r>
              <w:rPr>
                <w:rFonts w:hint="eastAsia" w:ascii="宋体" w:hAnsi="宋体" w:eastAsia="宋体" w:cs="宋体"/>
                <w:color w:val="auto"/>
                <w:szCs w:val="21"/>
                <w:highlight w:val="none"/>
              </w:rPr>
              <w:t>我院原有云平台的一些早期服务器设备已逐渐走向老龄化，容易造成整体平台的使用瓶颈，拉低使用效能，现在需更换及增补高性能服务器，以保持及提升云平台的性能</w:t>
            </w:r>
          </w:p>
        </w:tc>
        <w:tc>
          <w:tcPr>
            <w:tcW w:w="1888" w:type="dxa"/>
            <w:vAlign w:val="center"/>
          </w:tcPr>
          <w:p>
            <w:pPr>
              <w:spacing w:line="360" w:lineRule="exact"/>
              <w:jc w:val="left"/>
              <w:rPr>
                <w:rFonts w:ascii="宋体" w:hAnsi="宋体" w:eastAsia="宋体" w:cs="宋体"/>
                <w:color w:val="auto"/>
                <w:szCs w:val="21"/>
                <w:highlight w:val="none"/>
              </w:rPr>
            </w:pPr>
            <w:r>
              <w:rPr>
                <w:rFonts w:ascii="宋体" w:hAnsi="宋体" w:eastAsia="宋体" w:cs="宋体"/>
                <w:color w:val="auto"/>
                <w:szCs w:val="21"/>
                <w:highlight w:val="none"/>
              </w:rPr>
              <w:t>计算</w:t>
            </w:r>
            <w:r>
              <w:rPr>
                <w:rFonts w:hint="eastAsia" w:ascii="宋体" w:hAnsi="宋体" w:eastAsia="宋体" w:cs="宋体"/>
                <w:color w:val="auto"/>
                <w:szCs w:val="21"/>
                <w:highlight w:val="none"/>
              </w:rPr>
              <w:t>服务器</w:t>
            </w:r>
            <w:r>
              <w:rPr>
                <w:rFonts w:ascii="宋体" w:hAnsi="宋体" w:eastAsia="宋体" w:cs="宋体"/>
                <w:color w:val="auto"/>
                <w:szCs w:val="21"/>
                <w:highlight w:val="none"/>
              </w:rPr>
              <w:t>资源</w:t>
            </w:r>
          </w:p>
        </w:tc>
        <w:tc>
          <w:tcPr>
            <w:tcW w:w="735" w:type="dxa"/>
            <w:vAlign w:val="center"/>
          </w:tcPr>
          <w:p>
            <w:pPr>
              <w:spacing w:line="360" w:lineRule="exact"/>
              <w:jc w:val="left"/>
              <w:rPr>
                <w:rFonts w:ascii="宋体" w:hAnsi="宋体" w:eastAsia="宋体" w:cs="宋体"/>
                <w:color w:val="auto"/>
                <w:szCs w:val="21"/>
                <w:highlight w:val="none"/>
              </w:rPr>
            </w:pPr>
            <w:r>
              <w:rPr>
                <w:rFonts w:hint="eastAsia" w:ascii="宋体" w:hAnsi="宋体" w:eastAsia="宋体" w:cs="宋体"/>
                <w:color w:val="auto"/>
                <w:szCs w:val="21"/>
                <w:highlight w:val="none"/>
              </w:rPr>
              <w:t>台</w:t>
            </w:r>
          </w:p>
        </w:tc>
        <w:tc>
          <w:tcPr>
            <w:tcW w:w="660" w:type="dxa"/>
            <w:vAlign w:val="center"/>
          </w:tcPr>
          <w:p>
            <w:pPr>
              <w:spacing w:line="360" w:lineRule="exact"/>
              <w:jc w:val="left"/>
              <w:rPr>
                <w:rFonts w:ascii="宋体" w:hAnsi="宋体" w:eastAsia="宋体" w:cs="宋体"/>
                <w:color w:val="auto"/>
                <w:szCs w:val="21"/>
                <w:highlight w:val="none"/>
              </w:rPr>
            </w:pPr>
            <w:r>
              <w:rPr>
                <w:rFonts w:hint="eastAsia" w:ascii="宋体" w:hAnsi="宋体" w:eastAsia="宋体" w:cs="宋体"/>
                <w:color w:val="auto"/>
                <w:szCs w:val="21"/>
                <w:highlight w:val="none"/>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1" w:type="dxa"/>
            <w:vMerge w:val="continue"/>
          </w:tcPr>
          <w:p>
            <w:pPr>
              <w:rPr>
                <w:color w:val="auto"/>
                <w:highlight w:val="none"/>
              </w:rPr>
            </w:pPr>
          </w:p>
        </w:tc>
        <w:tc>
          <w:tcPr>
            <w:tcW w:w="1107" w:type="dxa"/>
            <w:vMerge w:val="continue"/>
          </w:tcPr>
          <w:p>
            <w:pPr>
              <w:rPr>
                <w:color w:val="auto"/>
                <w:highlight w:val="none"/>
              </w:rPr>
            </w:pPr>
          </w:p>
        </w:tc>
        <w:tc>
          <w:tcPr>
            <w:tcW w:w="3650" w:type="dxa"/>
            <w:vMerge w:val="continue"/>
          </w:tcPr>
          <w:p>
            <w:pPr>
              <w:rPr>
                <w:color w:val="auto"/>
                <w:highlight w:val="none"/>
              </w:rPr>
            </w:pPr>
          </w:p>
        </w:tc>
        <w:tc>
          <w:tcPr>
            <w:tcW w:w="1888" w:type="dxa"/>
            <w:vAlign w:val="center"/>
          </w:tcPr>
          <w:p>
            <w:pPr>
              <w:spacing w:line="360" w:lineRule="exact"/>
              <w:jc w:val="left"/>
              <w:rPr>
                <w:rFonts w:ascii="宋体" w:hAnsi="宋体" w:eastAsia="宋体" w:cs="宋体"/>
                <w:color w:val="auto"/>
                <w:szCs w:val="21"/>
                <w:highlight w:val="none"/>
              </w:rPr>
            </w:pPr>
            <w:r>
              <w:rPr>
                <w:rFonts w:ascii="宋体" w:hAnsi="宋体" w:eastAsia="宋体" w:cs="宋体"/>
                <w:color w:val="auto"/>
                <w:szCs w:val="21"/>
                <w:highlight w:val="none"/>
              </w:rPr>
              <w:t>云平台授权</w:t>
            </w:r>
          </w:p>
        </w:tc>
        <w:tc>
          <w:tcPr>
            <w:tcW w:w="735" w:type="dxa"/>
            <w:vAlign w:val="center"/>
          </w:tcPr>
          <w:p>
            <w:pPr>
              <w:spacing w:line="360" w:lineRule="exact"/>
              <w:jc w:val="left"/>
              <w:rPr>
                <w:rFonts w:ascii="宋体" w:hAnsi="宋体" w:eastAsia="宋体" w:cs="宋体"/>
                <w:color w:val="auto"/>
                <w:szCs w:val="21"/>
                <w:highlight w:val="none"/>
              </w:rPr>
            </w:pPr>
            <w:r>
              <w:rPr>
                <w:rFonts w:hint="eastAsia" w:ascii="宋体" w:hAnsi="宋体" w:eastAsia="宋体" w:cs="宋体"/>
                <w:color w:val="auto"/>
                <w:szCs w:val="21"/>
                <w:highlight w:val="none"/>
              </w:rPr>
              <w:t>个</w:t>
            </w:r>
          </w:p>
        </w:tc>
        <w:tc>
          <w:tcPr>
            <w:tcW w:w="660" w:type="dxa"/>
            <w:vAlign w:val="center"/>
          </w:tcPr>
          <w:p>
            <w:pPr>
              <w:spacing w:line="360" w:lineRule="exact"/>
              <w:jc w:val="left"/>
              <w:rPr>
                <w:rFonts w:ascii="宋体" w:hAnsi="宋体" w:eastAsia="宋体" w:cs="宋体"/>
                <w:color w:val="auto"/>
                <w:szCs w:val="21"/>
                <w:highlight w:val="none"/>
              </w:rPr>
            </w:pPr>
            <w:r>
              <w:rPr>
                <w:rFonts w:hint="eastAsia" w:ascii="宋体" w:hAnsi="宋体" w:eastAsia="宋体" w:cs="宋体"/>
                <w:color w:val="auto"/>
                <w:szCs w:val="21"/>
                <w:highlight w:val="none"/>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1" w:type="dxa"/>
            <w:vMerge w:val="continue"/>
          </w:tcPr>
          <w:p>
            <w:pPr>
              <w:rPr>
                <w:color w:val="auto"/>
                <w:highlight w:val="none"/>
              </w:rPr>
            </w:pPr>
          </w:p>
        </w:tc>
        <w:tc>
          <w:tcPr>
            <w:tcW w:w="1107" w:type="dxa"/>
            <w:vMerge w:val="continue"/>
          </w:tcPr>
          <w:p>
            <w:pPr>
              <w:rPr>
                <w:color w:val="auto"/>
                <w:highlight w:val="none"/>
              </w:rPr>
            </w:pPr>
          </w:p>
        </w:tc>
        <w:tc>
          <w:tcPr>
            <w:tcW w:w="3650" w:type="dxa"/>
            <w:vMerge w:val="continue"/>
          </w:tcPr>
          <w:p>
            <w:pPr>
              <w:rPr>
                <w:color w:val="auto"/>
                <w:highlight w:val="none"/>
              </w:rPr>
            </w:pPr>
          </w:p>
        </w:tc>
        <w:tc>
          <w:tcPr>
            <w:tcW w:w="1888" w:type="dxa"/>
            <w:vAlign w:val="center"/>
          </w:tcPr>
          <w:p>
            <w:pPr>
              <w:spacing w:line="360" w:lineRule="exact"/>
              <w:jc w:val="left"/>
              <w:rPr>
                <w:rFonts w:ascii="宋体" w:hAnsi="宋体" w:eastAsia="宋体" w:cs="宋体"/>
                <w:color w:val="auto"/>
                <w:szCs w:val="21"/>
                <w:highlight w:val="none"/>
              </w:rPr>
            </w:pPr>
            <w:r>
              <w:rPr>
                <w:rFonts w:ascii="宋体" w:hAnsi="宋体" w:eastAsia="宋体" w:cs="宋体"/>
                <w:color w:val="auto"/>
                <w:szCs w:val="21"/>
                <w:highlight w:val="none"/>
              </w:rPr>
              <w:t>FC交换机端口激活</w:t>
            </w:r>
          </w:p>
        </w:tc>
        <w:tc>
          <w:tcPr>
            <w:tcW w:w="735" w:type="dxa"/>
            <w:vAlign w:val="center"/>
          </w:tcPr>
          <w:p>
            <w:pPr>
              <w:spacing w:line="360" w:lineRule="exact"/>
              <w:jc w:val="left"/>
              <w:rPr>
                <w:rFonts w:ascii="宋体" w:hAnsi="宋体" w:eastAsia="宋体" w:cs="宋体"/>
                <w:color w:val="auto"/>
                <w:szCs w:val="21"/>
                <w:highlight w:val="none"/>
              </w:rPr>
            </w:pPr>
            <w:r>
              <w:rPr>
                <w:rFonts w:hint="eastAsia" w:ascii="宋体" w:hAnsi="宋体" w:eastAsia="宋体" w:cs="宋体"/>
                <w:color w:val="auto"/>
                <w:szCs w:val="21"/>
                <w:highlight w:val="none"/>
              </w:rPr>
              <w:t>项</w:t>
            </w:r>
          </w:p>
        </w:tc>
        <w:tc>
          <w:tcPr>
            <w:tcW w:w="660" w:type="dxa"/>
            <w:vAlign w:val="center"/>
          </w:tcPr>
          <w:p>
            <w:pPr>
              <w:spacing w:line="360" w:lineRule="exact"/>
              <w:jc w:val="left"/>
              <w:rPr>
                <w:rFonts w:ascii="宋体" w:hAnsi="宋体" w:eastAsia="宋体" w:cs="宋体"/>
                <w:color w:val="auto"/>
                <w:szCs w:val="21"/>
                <w:highlight w:val="none"/>
              </w:rPr>
            </w:pPr>
            <w:r>
              <w:rPr>
                <w:rFonts w:hint="eastAsia" w:ascii="宋体" w:hAnsi="宋体" w:eastAsia="宋体" w:cs="宋体"/>
                <w:color w:val="auto"/>
                <w:szCs w:val="21"/>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1" w:type="dxa"/>
            <w:vMerge w:val="restart"/>
            <w:vAlign w:val="center"/>
          </w:tcPr>
          <w:p>
            <w:pPr>
              <w:spacing w:line="360" w:lineRule="exact"/>
              <w:jc w:val="left"/>
              <w:rPr>
                <w:rFonts w:ascii="宋体" w:hAnsi="宋体" w:eastAsia="宋体" w:cs="宋体"/>
                <w:color w:val="auto"/>
                <w:szCs w:val="21"/>
                <w:highlight w:val="none"/>
              </w:rPr>
            </w:pPr>
            <w:r>
              <w:rPr>
                <w:rFonts w:hint="eastAsia" w:ascii="宋体" w:hAnsi="宋体" w:eastAsia="宋体" w:cs="宋体"/>
                <w:color w:val="auto"/>
                <w:szCs w:val="21"/>
                <w:highlight w:val="none"/>
              </w:rPr>
              <w:t>3</w:t>
            </w:r>
          </w:p>
        </w:tc>
        <w:tc>
          <w:tcPr>
            <w:tcW w:w="1107" w:type="dxa"/>
            <w:vMerge w:val="restart"/>
            <w:vAlign w:val="center"/>
          </w:tcPr>
          <w:p>
            <w:pPr>
              <w:spacing w:line="360" w:lineRule="exact"/>
              <w:jc w:val="left"/>
              <w:rPr>
                <w:rFonts w:ascii="宋体" w:hAnsi="宋体" w:eastAsia="宋体" w:cs="宋体"/>
                <w:color w:val="auto"/>
                <w:szCs w:val="21"/>
                <w:highlight w:val="none"/>
              </w:rPr>
            </w:pPr>
            <w:r>
              <w:rPr>
                <w:rFonts w:hint="eastAsia" w:ascii="宋体" w:hAnsi="宋体" w:eastAsia="宋体" w:cs="宋体"/>
                <w:color w:val="auto"/>
                <w:szCs w:val="21"/>
                <w:highlight w:val="none"/>
              </w:rPr>
              <w:t>外网云平台升级</w:t>
            </w:r>
          </w:p>
        </w:tc>
        <w:tc>
          <w:tcPr>
            <w:tcW w:w="3650" w:type="dxa"/>
            <w:vMerge w:val="restart"/>
            <w:vAlign w:val="center"/>
          </w:tcPr>
          <w:p>
            <w:pPr>
              <w:spacing w:line="360" w:lineRule="exact"/>
              <w:jc w:val="left"/>
              <w:rPr>
                <w:rFonts w:ascii="宋体" w:hAnsi="宋体" w:eastAsia="宋体" w:cs="宋体"/>
                <w:color w:val="auto"/>
                <w:szCs w:val="21"/>
                <w:highlight w:val="none"/>
              </w:rPr>
            </w:pPr>
            <w:r>
              <w:rPr>
                <w:rFonts w:hint="eastAsia" w:ascii="宋体" w:hAnsi="宋体" w:eastAsia="宋体" w:cs="宋体"/>
                <w:color w:val="auto"/>
                <w:szCs w:val="21"/>
                <w:highlight w:val="none"/>
              </w:rPr>
              <w:t>扩容现有外网云平台，保持及提升云平台的性能</w:t>
            </w:r>
          </w:p>
        </w:tc>
        <w:tc>
          <w:tcPr>
            <w:tcW w:w="1888" w:type="dxa"/>
            <w:vAlign w:val="center"/>
          </w:tcPr>
          <w:p>
            <w:pPr>
              <w:spacing w:line="360" w:lineRule="exact"/>
              <w:jc w:val="left"/>
              <w:rPr>
                <w:rFonts w:ascii="宋体" w:hAnsi="宋体" w:eastAsia="宋体" w:cs="宋体"/>
                <w:color w:val="auto"/>
                <w:szCs w:val="21"/>
                <w:highlight w:val="none"/>
              </w:rPr>
            </w:pPr>
            <w:r>
              <w:rPr>
                <w:rFonts w:ascii="宋体" w:hAnsi="宋体" w:eastAsia="宋体" w:cs="宋体"/>
                <w:color w:val="auto"/>
                <w:szCs w:val="21"/>
                <w:highlight w:val="none"/>
              </w:rPr>
              <w:t>计算</w:t>
            </w:r>
            <w:r>
              <w:rPr>
                <w:rFonts w:hint="eastAsia" w:ascii="宋体" w:hAnsi="宋体" w:eastAsia="宋体" w:cs="宋体"/>
                <w:color w:val="auto"/>
                <w:szCs w:val="21"/>
                <w:highlight w:val="none"/>
              </w:rPr>
              <w:t>服务器</w:t>
            </w:r>
            <w:r>
              <w:rPr>
                <w:rFonts w:ascii="宋体" w:hAnsi="宋体" w:eastAsia="宋体" w:cs="宋体"/>
                <w:color w:val="auto"/>
                <w:szCs w:val="21"/>
                <w:highlight w:val="none"/>
              </w:rPr>
              <w:t>资源</w:t>
            </w:r>
          </w:p>
        </w:tc>
        <w:tc>
          <w:tcPr>
            <w:tcW w:w="735" w:type="dxa"/>
            <w:vAlign w:val="center"/>
          </w:tcPr>
          <w:p>
            <w:pPr>
              <w:spacing w:line="360" w:lineRule="exact"/>
              <w:jc w:val="left"/>
              <w:rPr>
                <w:rFonts w:ascii="宋体" w:hAnsi="宋体" w:eastAsia="宋体" w:cs="宋体"/>
                <w:color w:val="auto"/>
                <w:szCs w:val="21"/>
                <w:highlight w:val="none"/>
              </w:rPr>
            </w:pPr>
            <w:r>
              <w:rPr>
                <w:rFonts w:hint="eastAsia" w:ascii="宋体" w:hAnsi="宋体" w:eastAsia="宋体" w:cs="宋体"/>
                <w:color w:val="auto"/>
                <w:szCs w:val="21"/>
                <w:highlight w:val="none"/>
              </w:rPr>
              <w:t>台</w:t>
            </w:r>
          </w:p>
        </w:tc>
        <w:tc>
          <w:tcPr>
            <w:tcW w:w="660" w:type="dxa"/>
            <w:vAlign w:val="center"/>
          </w:tcPr>
          <w:p>
            <w:pPr>
              <w:spacing w:line="360" w:lineRule="exact"/>
              <w:jc w:val="left"/>
              <w:rPr>
                <w:rFonts w:ascii="宋体" w:hAnsi="宋体" w:eastAsia="宋体" w:cs="宋体"/>
                <w:color w:val="auto"/>
                <w:szCs w:val="21"/>
                <w:highlight w:val="none"/>
              </w:rPr>
            </w:pPr>
            <w:r>
              <w:rPr>
                <w:rFonts w:hint="eastAsia" w:ascii="宋体" w:hAnsi="宋体" w:eastAsia="宋体" w:cs="宋体"/>
                <w:color w:val="auto"/>
                <w:szCs w:val="21"/>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1" w:type="dxa"/>
            <w:vMerge w:val="continue"/>
          </w:tcPr>
          <w:p>
            <w:pPr>
              <w:rPr>
                <w:color w:val="auto"/>
                <w:highlight w:val="none"/>
              </w:rPr>
            </w:pPr>
          </w:p>
        </w:tc>
        <w:tc>
          <w:tcPr>
            <w:tcW w:w="1107" w:type="dxa"/>
            <w:vMerge w:val="continue"/>
          </w:tcPr>
          <w:p>
            <w:pPr>
              <w:rPr>
                <w:color w:val="auto"/>
                <w:highlight w:val="none"/>
              </w:rPr>
            </w:pPr>
          </w:p>
        </w:tc>
        <w:tc>
          <w:tcPr>
            <w:tcW w:w="3650" w:type="dxa"/>
            <w:vMerge w:val="continue"/>
          </w:tcPr>
          <w:p>
            <w:pPr>
              <w:rPr>
                <w:color w:val="auto"/>
                <w:highlight w:val="none"/>
              </w:rPr>
            </w:pPr>
          </w:p>
        </w:tc>
        <w:tc>
          <w:tcPr>
            <w:tcW w:w="1888" w:type="dxa"/>
            <w:vAlign w:val="center"/>
          </w:tcPr>
          <w:p>
            <w:pPr>
              <w:spacing w:line="360" w:lineRule="exact"/>
              <w:jc w:val="left"/>
              <w:rPr>
                <w:rFonts w:ascii="宋体" w:hAnsi="宋体" w:eastAsia="宋体" w:cs="宋体"/>
                <w:color w:val="auto"/>
                <w:szCs w:val="21"/>
                <w:highlight w:val="none"/>
              </w:rPr>
            </w:pPr>
            <w:r>
              <w:rPr>
                <w:rFonts w:ascii="宋体" w:hAnsi="宋体" w:eastAsia="宋体" w:cs="宋体"/>
                <w:color w:val="auto"/>
                <w:szCs w:val="21"/>
                <w:highlight w:val="none"/>
              </w:rPr>
              <w:t>云平台授权</w:t>
            </w:r>
          </w:p>
        </w:tc>
        <w:tc>
          <w:tcPr>
            <w:tcW w:w="735" w:type="dxa"/>
            <w:vAlign w:val="center"/>
          </w:tcPr>
          <w:p>
            <w:pPr>
              <w:spacing w:line="360" w:lineRule="exact"/>
              <w:jc w:val="left"/>
              <w:rPr>
                <w:rFonts w:ascii="宋体" w:hAnsi="宋体" w:eastAsia="宋体" w:cs="宋体"/>
                <w:color w:val="auto"/>
                <w:szCs w:val="21"/>
                <w:highlight w:val="none"/>
              </w:rPr>
            </w:pPr>
            <w:r>
              <w:rPr>
                <w:rFonts w:hint="eastAsia" w:ascii="宋体" w:hAnsi="宋体" w:eastAsia="宋体" w:cs="宋体"/>
                <w:color w:val="auto"/>
                <w:szCs w:val="21"/>
                <w:highlight w:val="none"/>
              </w:rPr>
              <w:t>个</w:t>
            </w:r>
          </w:p>
        </w:tc>
        <w:tc>
          <w:tcPr>
            <w:tcW w:w="660" w:type="dxa"/>
            <w:vAlign w:val="center"/>
          </w:tcPr>
          <w:p>
            <w:pPr>
              <w:spacing w:line="360" w:lineRule="exact"/>
              <w:jc w:val="left"/>
              <w:rPr>
                <w:rFonts w:ascii="宋体" w:hAnsi="宋体" w:eastAsia="宋体" w:cs="宋体"/>
                <w:color w:val="auto"/>
                <w:szCs w:val="21"/>
                <w:highlight w:val="none"/>
              </w:rPr>
            </w:pPr>
            <w:r>
              <w:rPr>
                <w:rFonts w:hint="eastAsia" w:ascii="宋体" w:hAnsi="宋体" w:eastAsia="宋体" w:cs="宋体"/>
                <w:color w:val="auto"/>
                <w:szCs w:val="21"/>
                <w:highlight w:val="none"/>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1" w:type="dxa"/>
            <w:vMerge w:val="restart"/>
            <w:vAlign w:val="center"/>
          </w:tcPr>
          <w:p>
            <w:pPr>
              <w:spacing w:line="360" w:lineRule="exact"/>
              <w:jc w:val="left"/>
              <w:rPr>
                <w:rFonts w:ascii="宋体" w:hAnsi="宋体" w:eastAsia="宋体" w:cs="宋体"/>
                <w:color w:val="auto"/>
                <w:szCs w:val="21"/>
                <w:highlight w:val="none"/>
              </w:rPr>
            </w:pPr>
            <w:r>
              <w:rPr>
                <w:rFonts w:hint="eastAsia" w:ascii="宋体" w:hAnsi="宋体" w:eastAsia="宋体" w:cs="宋体"/>
                <w:color w:val="auto"/>
                <w:szCs w:val="21"/>
                <w:highlight w:val="none"/>
              </w:rPr>
              <w:t>4</w:t>
            </w:r>
          </w:p>
        </w:tc>
        <w:tc>
          <w:tcPr>
            <w:tcW w:w="1107" w:type="dxa"/>
            <w:vMerge w:val="restart"/>
            <w:vAlign w:val="center"/>
          </w:tcPr>
          <w:p>
            <w:pPr>
              <w:spacing w:line="360" w:lineRule="exact"/>
              <w:jc w:val="left"/>
              <w:rPr>
                <w:rFonts w:ascii="宋体" w:hAnsi="宋体" w:eastAsia="宋体" w:cs="宋体"/>
                <w:color w:val="auto"/>
                <w:szCs w:val="21"/>
                <w:highlight w:val="none"/>
              </w:rPr>
            </w:pPr>
            <w:r>
              <w:rPr>
                <w:rFonts w:hint="eastAsia" w:ascii="宋体" w:hAnsi="宋体" w:eastAsia="宋体" w:cs="宋体"/>
                <w:color w:val="auto"/>
                <w:szCs w:val="21"/>
                <w:highlight w:val="none"/>
              </w:rPr>
              <w:t>集成平台数据库增容</w:t>
            </w:r>
          </w:p>
        </w:tc>
        <w:tc>
          <w:tcPr>
            <w:tcW w:w="3650" w:type="dxa"/>
            <w:vMerge w:val="restart"/>
            <w:vAlign w:val="center"/>
          </w:tcPr>
          <w:p>
            <w:pPr>
              <w:spacing w:line="360" w:lineRule="exact"/>
              <w:jc w:val="left"/>
              <w:rPr>
                <w:rFonts w:ascii="宋体" w:hAnsi="宋体" w:eastAsia="宋体" w:cs="宋体"/>
                <w:color w:val="auto"/>
                <w:szCs w:val="21"/>
                <w:highlight w:val="none"/>
              </w:rPr>
            </w:pPr>
            <w:r>
              <w:rPr>
                <w:rFonts w:hint="eastAsia" w:ascii="宋体" w:hAnsi="宋体" w:eastAsia="宋体" w:cs="宋体"/>
                <w:color w:val="auto"/>
                <w:szCs w:val="21"/>
                <w:highlight w:val="none"/>
              </w:rPr>
              <w:t>根据</w:t>
            </w:r>
            <w:r>
              <w:rPr>
                <w:rFonts w:ascii="宋体" w:hAnsi="宋体" w:eastAsia="宋体" w:cs="宋体"/>
                <w:color w:val="auto"/>
                <w:szCs w:val="21"/>
                <w:highlight w:val="none"/>
              </w:rPr>
              <w:t>电子病历要求，搭建集成平台应用环境，并配套数据库服务器，用于数据存储及流转</w:t>
            </w:r>
            <w:r>
              <w:rPr>
                <w:rFonts w:hint="eastAsia" w:ascii="宋体" w:hAnsi="宋体" w:eastAsia="宋体" w:cs="宋体"/>
                <w:color w:val="auto"/>
                <w:szCs w:val="21"/>
                <w:highlight w:val="none"/>
              </w:rPr>
              <w:t>。</w:t>
            </w:r>
          </w:p>
        </w:tc>
        <w:tc>
          <w:tcPr>
            <w:tcW w:w="1888" w:type="dxa"/>
            <w:vAlign w:val="center"/>
          </w:tcPr>
          <w:p>
            <w:pPr>
              <w:spacing w:line="360" w:lineRule="exact"/>
              <w:jc w:val="left"/>
              <w:rPr>
                <w:rFonts w:ascii="宋体" w:hAnsi="宋体" w:eastAsia="宋体" w:cs="宋体"/>
                <w:color w:val="auto"/>
                <w:szCs w:val="21"/>
                <w:highlight w:val="none"/>
              </w:rPr>
            </w:pPr>
            <w:r>
              <w:rPr>
                <w:rFonts w:ascii="宋体" w:hAnsi="宋体" w:eastAsia="宋体" w:cs="宋体"/>
                <w:color w:val="auto"/>
                <w:szCs w:val="21"/>
                <w:highlight w:val="none"/>
              </w:rPr>
              <w:t>应用服务器</w:t>
            </w:r>
          </w:p>
        </w:tc>
        <w:tc>
          <w:tcPr>
            <w:tcW w:w="735" w:type="dxa"/>
            <w:vAlign w:val="center"/>
          </w:tcPr>
          <w:p>
            <w:pPr>
              <w:spacing w:line="360" w:lineRule="exact"/>
              <w:jc w:val="left"/>
              <w:rPr>
                <w:rFonts w:ascii="宋体" w:hAnsi="宋体" w:eastAsia="宋体" w:cs="宋体"/>
                <w:color w:val="auto"/>
                <w:szCs w:val="21"/>
                <w:highlight w:val="none"/>
              </w:rPr>
            </w:pPr>
            <w:r>
              <w:rPr>
                <w:rFonts w:hint="eastAsia" w:ascii="宋体" w:hAnsi="宋体" w:eastAsia="宋体" w:cs="宋体"/>
                <w:color w:val="auto"/>
                <w:szCs w:val="21"/>
                <w:highlight w:val="none"/>
              </w:rPr>
              <w:t>台</w:t>
            </w:r>
          </w:p>
        </w:tc>
        <w:tc>
          <w:tcPr>
            <w:tcW w:w="660" w:type="dxa"/>
            <w:vAlign w:val="center"/>
          </w:tcPr>
          <w:p>
            <w:pPr>
              <w:spacing w:line="360" w:lineRule="exact"/>
              <w:jc w:val="left"/>
              <w:rPr>
                <w:rFonts w:ascii="宋体" w:hAnsi="宋体" w:eastAsia="宋体" w:cs="宋体"/>
                <w:color w:val="auto"/>
                <w:szCs w:val="21"/>
                <w:highlight w:val="none"/>
              </w:rPr>
            </w:pPr>
            <w:r>
              <w:rPr>
                <w:rFonts w:hint="eastAsia" w:ascii="宋体" w:hAnsi="宋体" w:eastAsia="宋体" w:cs="宋体"/>
                <w:color w:val="auto"/>
                <w:szCs w:val="21"/>
                <w:highlight w:val="none"/>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1" w:type="dxa"/>
            <w:vMerge w:val="continue"/>
          </w:tcPr>
          <w:p>
            <w:pPr>
              <w:rPr>
                <w:color w:val="auto"/>
                <w:highlight w:val="none"/>
              </w:rPr>
            </w:pPr>
          </w:p>
        </w:tc>
        <w:tc>
          <w:tcPr>
            <w:tcW w:w="1107" w:type="dxa"/>
            <w:vMerge w:val="continue"/>
          </w:tcPr>
          <w:p>
            <w:pPr>
              <w:rPr>
                <w:color w:val="auto"/>
                <w:highlight w:val="none"/>
              </w:rPr>
            </w:pPr>
          </w:p>
        </w:tc>
        <w:tc>
          <w:tcPr>
            <w:tcW w:w="3650" w:type="dxa"/>
            <w:vMerge w:val="continue"/>
          </w:tcPr>
          <w:p>
            <w:pPr>
              <w:rPr>
                <w:color w:val="auto"/>
                <w:highlight w:val="none"/>
              </w:rPr>
            </w:pPr>
          </w:p>
        </w:tc>
        <w:tc>
          <w:tcPr>
            <w:tcW w:w="1888" w:type="dxa"/>
            <w:vAlign w:val="center"/>
          </w:tcPr>
          <w:p>
            <w:pPr>
              <w:spacing w:line="360" w:lineRule="exact"/>
              <w:jc w:val="left"/>
              <w:rPr>
                <w:rFonts w:ascii="宋体" w:hAnsi="宋体" w:eastAsia="宋体" w:cs="宋体"/>
                <w:color w:val="auto"/>
                <w:szCs w:val="21"/>
                <w:highlight w:val="none"/>
              </w:rPr>
            </w:pPr>
            <w:r>
              <w:rPr>
                <w:rFonts w:ascii="宋体" w:hAnsi="宋体" w:eastAsia="宋体" w:cs="宋体"/>
                <w:color w:val="auto"/>
                <w:szCs w:val="21"/>
                <w:highlight w:val="none"/>
              </w:rPr>
              <w:t>光纤网卡</w:t>
            </w:r>
          </w:p>
        </w:tc>
        <w:tc>
          <w:tcPr>
            <w:tcW w:w="735" w:type="dxa"/>
            <w:vAlign w:val="center"/>
          </w:tcPr>
          <w:p>
            <w:pPr>
              <w:spacing w:line="360" w:lineRule="exact"/>
              <w:jc w:val="left"/>
              <w:rPr>
                <w:rFonts w:ascii="宋体" w:hAnsi="宋体" w:eastAsia="宋体" w:cs="宋体"/>
                <w:color w:val="auto"/>
                <w:szCs w:val="21"/>
                <w:highlight w:val="none"/>
              </w:rPr>
            </w:pPr>
            <w:r>
              <w:rPr>
                <w:rFonts w:hint="eastAsia" w:ascii="宋体" w:hAnsi="宋体" w:eastAsia="宋体" w:cs="宋体"/>
                <w:color w:val="auto"/>
                <w:szCs w:val="21"/>
                <w:highlight w:val="none"/>
              </w:rPr>
              <w:t>块</w:t>
            </w:r>
          </w:p>
        </w:tc>
        <w:tc>
          <w:tcPr>
            <w:tcW w:w="660" w:type="dxa"/>
            <w:vAlign w:val="center"/>
          </w:tcPr>
          <w:p>
            <w:pPr>
              <w:spacing w:line="360" w:lineRule="exact"/>
              <w:jc w:val="left"/>
              <w:rPr>
                <w:rFonts w:ascii="宋体" w:hAnsi="宋体" w:eastAsia="宋体" w:cs="宋体"/>
                <w:color w:val="auto"/>
                <w:szCs w:val="21"/>
                <w:highlight w:val="none"/>
              </w:rPr>
            </w:pPr>
            <w:r>
              <w:rPr>
                <w:rFonts w:hint="eastAsia" w:ascii="宋体" w:hAnsi="宋体" w:eastAsia="宋体" w:cs="宋体"/>
                <w:color w:val="auto"/>
                <w:szCs w:val="21"/>
                <w:highlight w:val="none"/>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1" w:type="dxa"/>
            <w:vMerge w:val="continue"/>
          </w:tcPr>
          <w:p>
            <w:pPr>
              <w:rPr>
                <w:color w:val="auto"/>
                <w:highlight w:val="none"/>
              </w:rPr>
            </w:pPr>
          </w:p>
        </w:tc>
        <w:tc>
          <w:tcPr>
            <w:tcW w:w="1107" w:type="dxa"/>
            <w:vMerge w:val="continue"/>
          </w:tcPr>
          <w:p>
            <w:pPr>
              <w:rPr>
                <w:color w:val="auto"/>
                <w:highlight w:val="none"/>
              </w:rPr>
            </w:pPr>
          </w:p>
        </w:tc>
        <w:tc>
          <w:tcPr>
            <w:tcW w:w="3650" w:type="dxa"/>
            <w:vMerge w:val="continue"/>
          </w:tcPr>
          <w:p>
            <w:pPr>
              <w:rPr>
                <w:color w:val="auto"/>
                <w:highlight w:val="none"/>
              </w:rPr>
            </w:pPr>
          </w:p>
        </w:tc>
        <w:tc>
          <w:tcPr>
            <w:tcW w:w="1888" w:type="dxa"/>
            <w:vAlign w:val="center"/>
          </w:tcPr>
          <w:p>
            <w:pPr>
              <w:spacing w:line="360" w:lineRule="exact"/>
              <w:jc w:val="left"/>
              <w:rPr>
                <w:rFonts w:ascii="宋体" w:hAnsi="宋体" w:eastAsia="宋体" w:cs="宋体"/>
                <w:color w:val="auto"/>
                <w:szCs w:val="21"/>
                <w:highlight w:val="none"/>
              </w:rPr>
            </w:pPr>
            <w:r>
              <w:rPr>
                <w:rFonts w:ascii="宋体" w:hAnsi="宋体" w:eastAsia="宋体" w:cs="宋体"/>
                <w:color w:val="auto"/>
                <w:szCs w:val="21"/>
                <w:highlight w:val="none"/>
              </w:rPr>
              <w:t>16G HBA卡</w:t>
            </w:r>
          </w:p>
        </w:tc>
        <w:tc>
          <w:tcPr>
            <w:tcW w:w="735" w:type="dxa"/>
            <w:vAlign w:val="center"/>
          </w:tcPr>
          <w:p>
            <w:pPr>
              <w:spacing w:line="360" w:lineRule="exact"/>
              <w:jc w:val="left"/>
              <w:rPr>
                <w:rFonts w:ascii="宋体" w:hAnsi="宋体" w:eastAsia="宋体" w:cs="宋体"/>
                <w:color w:val="auto"/>
                <w:szCs w:val="21"/>
                <w:highlight w:val="none"/>
              </w:rPr>
            </w:pPr>
            <w:r>
              <w:rPr>
                <w:rFonts w:hint="eastAsia" w:ascii="宋体" w:hAnsi="宋体" w:eastAsia="宋体" w:cs="宋体"/>
                <w:color w:val="auto"/>
                <w:szCs w:val="21"/>
                <w:highlight w:val="none"/>
              </w:rPr>
              <w:t>块</w:t>
            </w:r>
          </w:p>
        </w:tc>
        <w:tc>
          <w:tcPr>
            <w:tcW w:w="660" w:type="dxa"/>
            <w:vAlign w:val="center"/>
          </w:tcPr>
          <w:p>
            <w:pPr>
              <w:spacing w:line="360" w:lineRule="exact"/>
              <w:jc w:val="left"/>
              <w:rPr>
                <w:rFonts w:ascii="宋体" w:hAnsi="宋体" w:eastAsia="宋体" w:cs="宋体"/>
                <w:color w:val="auto"/>
                <w:szCs w:val="21"/>
                <w:highlight w:val="none"/>
              </w:rPr>
            </w:pPr>
            <w:r>
              <w:rPr>
                <w:rFonts w:hint="eastAsia" w:ascii="宋体" w:hAnsi="宋体" w:eastAsia="宋体" w:cs="宋体"/>
                <w:color w:val="auto"/>
                <w:szCs w:val="21"/>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1" w:type="dxa"/>
            <w:vMerge w:val="continue"/>
          </w:tcPr>
          <w:p>
            <w:pPr>
              <w:rPr>
                <w:color w:val="auto"/>
                <w:highlight w:val="none"/>
              </w:rPr>
            </w:pPr>
          </w:p>
        </w:tc>
        <w:tc>
          <w:tcPr>
            <w:tcW w:w="1107" w:type="dxa"/>
            <w:vMerge w:val="continue"/>
          </w:tcPr>
          <w:p>
            <w:pPr>
              <w:rPr>
                <w:color w:val="auto"/>
                <w:highlight w:val="none"/>
              </w:rPr>
            </w:pPr>
          </w:p>
        </w:tc>
        <w:tc>
          <w:tcPr>
            <w:tcW w:w="3650" w:type="dxa"/>
            <w:vMerge w:val="continue"/>
          </w:tcPr>
          <w:p>
            <w:pPr>
              <w:rPr>
                <w:color w:val="auto"/>
                <w:highlight w:val="none"/>
              </w:rPr>
            </w:pPr>
          </w:p>
        </w:tc>
        <w:tc>
          <w:tcPr>
            <w:tcW w:w="1888" w:type="dxa"/>
            <w:vAlign w:val="center"/>
          </w:tcPr>
          <w:p>
            <w:pPr>
              <w:spacing w:line="360" w:lineRule="exact"/>
              <w:jc w:val="left"/>
              <w:rPr>
                <w:rFonts w:ascii="宋体" w:hAnsi="宋体" w:eastAsia="宋体" w:cs="宋体"/>
                <w:color w:val="auto"/>
                <w:szCs w:val="21"/>
                <w:highlight w:val="none"/>
              </w:rPr>
            </w:pPr>
            <w:r>
              <w:rPr>
                <w:rFonts w:ascii="宋体" w:hAnsi="宋体" w:eastAsia="宋体" w:cs="宋体"/>
                <w:color w:val="auto"/>
                <w:szCs w:val="21"/>
                <w:highlight w:val="none"/>
              </w:rPr>
              <w:t>2.4T存储专用系统硬盘</w:t>
            </w:r>
          </w:p>
        </w:tc>
        <w:tc>
          <w:tcPr>
            <w:tcW w:w="735" w:type="dxa"/>
            <w:vAlign w:val="center"/>
          </w:tcPr>
          <w:p>
            <w:pPr>
              <w:spacing w:line="360" w:lineRule="exact"/>
              <w:jc w:val="left"/>
              <w:rPr>
                <w:rFonts w:ascii="宋体" w:hAnsi="宋体" w:eastAsia="宋体" w:cs="宋体"/>
                <w:color w:val="auto"/>
                <w:szCs w:val="21"/>
                <w:highlight w:val="none"/>
              </w:rPr>
            </w:pPr>
            <w:r>
              <w:rPr>
                <w:rFonts w:hint="eastAsia" w:ascii="宋体" w:hAnsi="宋体" w:eastAsia="宋体" w:cs="宋体"/>
                <w:color w:val="auto"/>
                <w:szCs w:val="21"/>
                <w:highlight w:val="none"/>
              </w:rPr>
              <w:t>块</w:t>
            </w:r>
          </w:p>
        </w:tc>
        <w:tc>
          <w:tcPr>
            <w:tcW w:w="660" w:type="dxa"/>
            <w:vAlign w:val="center"/>
          </w:tcPr>
          <w:p>
            <w:pPr>
              <w:spacing w:line="360" w:lineRule="exact"/>
              <w:jc w:val="left"/>
              <w:rPr>
                <w:rFonts w:ascii="宋体" w:hAnsi="宋体" w:eastAsia="宋体" w:cs="宋体"/>
                <w:color w:val="auto"/>
                <w:szCs w:val="21"/>
                <w:highlight w:val="none"/>
              </w:rPr>
            </w:pPr>
            <w:r>
              <w:rPr>
                <w:rFonts w:hint="eastAsia" w:ascii="宋体" w:hAnsi="宋体" w:eastAsia="宋体" w:cs="宋体"/>
                <w:color w:val="auto"/>
                <w:szCs w:val="21"/>
                <w:highlight w:val="none"/>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1" w:type="dxa"/>
            <w:vMerge w:val="continue"/>
          </w:tcPr>
          <w:p>
            <w:pPr>
              <w:rPr>
                <w:color w:val="auto"/>
                <w:highlight w:val="none"/>
              </w:rPr>
            </w:pPr>
          </w:p>
        </w:tc>
        <w:tc>
          <w:tcPr>
            <w:tcW w:w="1107" w:type="dxa"/>
            <w:vMerge w:val="continue"/>
          </w:tcPr>
          <w:p>
            <w:pPr>
              <w:rPr>
                <w:color w:val="auto"/>
                <w:highlight w:val="none"/>
              </w:rPr>
            </w:pPr>
          </w:p>
        </w:tc>
        <w:tc>
          <w:tcPr>
            <w:tcW w:w="3650" w:type="dxa"/>
            <w:vMerge w:val="continue"/>
          </w:tcPr>
          <w:p>
            <w:pPr>
              <w:rPr>
                <w:color w:val="auto"/>
                <w:highlight w:val="none"/>
              </w:rPr>
            </w:pPr>
          </w:p>
        </w:tc>
        <w:tc>
          <w:tcPr>
            <w:tcW w:w="1888" w:type="dxa"/>
            <w:vAlign w:val="center"/>
          </w:tcPr>
          <w:p>
            <w:pPr>
              <w:spacing w:line="360" w:lineRule="exact"/>
              <w:jc w:val="left"/>
              <w:rPr>
                <w:rFonts w:ascii="宋体" w:hAnsi="宋体" w:eastAsia="宋体" w:cs="宋体"/>
                <w:color w:val="auto"/>
                <w:szCs w:val="21"/>
                <w:highlight w:val="none"/>
              </w:rPr>
            </w:pPr>
            <w:r>
              <w:rPr>
                <w:rFonts w:hint="eastAsia" w:ascii="宋体" w:hAnsi="宋体" w:eastAsia="宋体" w:cs="宋体"/>
                <w:color w:val="auto"/>
                <w:szCs w:val="21"/>
                <w:highlight w:val="none"/>
              </w:rPr>
              <w:t>双机软件</w:t>
            </w:r>
          </w:p>
        </w:tc>
        <w:tc>
          <w:tcPr>
            <w:tcW w:w="735" w:type="dxa"/>
            <w:vAlign w:val="center"/>
          </w:tcPr>
          <w:p>
            <w:pPr>
              <w:spacing w:line="360" w:lineRule="exact"/>
              <w:jc w:val="left"/>
              <w:rPr>
                <w:rFonts w:ascii="宋体" w:hAnsi="宋体" w:eastAsia="宋体" w:cs="宋体"/>
                <w:color w:val="auto"/>
                <w:szCs w:val="21"/>
                <w:highlight w:val="none"/>
              </w:rPr>
            </w:pPr>
            <w:r>
              <w:rPr>
                <w:rFonts w:hint="eastAsia" w:ascii="宋体" w:hAnsi="宋体" w:eastAsia="宋体" w:cs="宋体"/>
                <w:color w:val="auto"/>
                <w:szCs w:val="21"/>
                <w:highlight w:val="none"/>
              </w:rPr>
              <w:t>套</w:t>
            </w:r>
          </w:p>
        </w:tc>
        <w:tc>
          <w:tcPr>
            <w:tcW w:w="660" w:type="dxa"/>
            <w:vAlign w:val="center"/>
          </w:tcPr>
          <w:p>
            <w:pPr>
              <w:spacing w:line="360" w:lineRule="exact"/>
              <w:jc w:val="left"/>
              <w:rPr>
                <w:rFonts w:ascii="宋体" w:hAnsi="宋体" w:eastAsia="宋体" w:cs="宋体"/>
                <w:color w:val="auto"/>
                <w:szCs w:val="21"/>
                <w:highlight w:val="none"/>
              </w:rPr>
            </w:pPr>
            <w:r>
              <w:rPr>
                <w:rFonts w:hint="eastAsia" w:ascii="宋体" w:hAnsi="宋体" w:eastAsia="宋体" w:cs="宋体"/>
                <w:color w:val="auto"/>
                <w:szCs w:val="21"/>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1" w:type="dxa"/>
            <w:vAlign w:val="center"/>
          </w:tcPr>
          <w:p>
            <w:pPr>
              <w:spacing w:line="360" w:lineRule="exact"/>
              <w:jc w:val="left"/>
              <w:rPr>
                <w:rFonts w:ascii="宋体" w:hAnsi="宋体" w:eastAsia="宋体" w:cs="宋体"/>
                <w:color w:val="auto"/>
                <w:szCs w:val="21"/>
                <w:highlight w:val="none"/>
              </w:rPr>
            </w:pPr>
            <w:r>
              <w:rPr>
                <w:rFonts w:hint="eastAsia" w:ascii="宋体" w:hAnsi="宋体" w:eastAsia="宋体" w:cs="宋体"/>
                <w:color w:val="auto"/>
                <w:szCs w:val="21"/>
                <w:highlight w:val="none"/>
              </w:rPr>
              <w:t>5</w:t>
            </w:r>
          </w:p>
        </w:tc>
        <w:tc>
          <w:tcPr>
            <w:tcW w:w="1107" w:type="dxa"/>
            <w:vAlign w:val="center"/>
          </w:tcPr>
          <w:p>
            <w:pPr>
              <w:spacing w:line="360" w:lineRule="exact"/>
              <w:jc w:val="left"/>
              <w:rPr>
                <w:rFonts w:ascii="宋体" w:hAnsi="宋体" w:eastAsia="宋体" w:cs="宋体"/>
                <w:color w:val="auto"/>
                <w:szCs w:val="21"/>
                <w:highlight w:val="none"/>
              </w:rPr>
            </w:pPr>
            <w:r>
              <w:rPr>
                <w:rFonts w:hint="eastAsia" w:ascii="宋体" w:hAnsi="宋体" w:eastAsia="宋体" w:cs="宋体"/>
                <w:color w:val="auto"/>
                <w:szCs w:val="21"/>
                <w:highlight w:val="none"/>
              </w:rPr>
              <w:t>官网服务器更新</w:t>
            </w:r>
          </w:p>
        </w:tc>
        <w:tc>
          <w:tcPr>
            <w:tcW w:w="3650" w:type="dxa"/>
            <w:vAlign w:val="center"/>
          </w:tcPr>
          <w:p>
            <w:pPr>
              <w:spacing w:line="360" w:lineRule="exact"/>
              <w:jc w:val="left"/>
              <w:rPr>
                <w:rFonts w:ascii="宋体" w:hAnsi="宋体" w:eastAsia="宋体" w:cs="宋体"/>
                <w:color w:val="auto"/>
                <w:szCs w:val="21"/>
                <w:highlight w:val="none"/>
              </w:rPr>
            </w:pPr>
            <w:r>
              <w:rPr>
                <w:rFonts w:hint="eastAsia" w:ascii="宋体" w:hAnsi="宋体" w:eastAsia="宋体" w:cs="宋体"/>
                <w:color w:val="auto"/>
                <w:szCs w:val="21"/>
                <w:highlight w:val="none"/>
              </w:rPr>
              <w:t>对官网旧服务器进行整体更换，重新部署官网程序，增强官网使用稳定性。</w:t>
            </w:r>
          </w:p>
        </w:tc>
        <w:tc>
          <w:tcPr>
            <w:tcW w:w="1888" w:type="dxa"/>
            <w:vAlign w:val="center"/>
          </w:tcPr>
          <w:p>
            <w:pPr>
              <w:spacing w:line="360" w:lineRule="exact"/>
              <w:jc w:val="left"/>
              <w:rPr>
                <w:rFonts w:ascii="宋体" w:hAnsi="宋体" w:eastAsia="宋体" w:cs="宋体"/>
                <w:color w:val="auto"/>
                <w:szCs w:val="21"/>
                <w:highlight w:val="none"/>
              </w:rPr>
            </w:pPr>
            <w:r>
              <w:rPr>
                <w:rFonts w:ascii="宋体" w:hAnsi="宋体" w:eastAsia="宋体" w:cs="宋体"/>
                <w:color w:val="auto"/>
                <w:szCs w:val="21"/>
                <w:highlight w:val="none"/>
              </w:rPr>
              <w:t>官网应用服务器</w:t>
            </w:r>
          </w:p>
        </w:tc>
        <w:tc>
          <w:tcPr>
            <w:tcW w:w="735" w:type="dxa"/>
            <w:vAlign w:val="center"/>
          </w:tcPr>
          <w:p>
            <w:pPr>
              <w:spacing w:line="360" w:lineRule="exact"/>
              <w:jc w:val="left"/>
              <w:rPr>
                <w:rFonts w:ascii="宋体" w:hAnsi="宋体" w:eastAsia="宋体" w:cs="宋体"/>
                <w:color w:val="auto"/>
                <w:szCs w:val="21"/>
                <w:highlight w:val="none"/>
              </w:rPr>
            </w:pPr>
            <w:r>
              <w:rPr>
                <w:rFonts w:hint="eastAsia" w:ascii="宋体" w:hAnsi="宋体" w:eastAsia="宋体" w:cs="宋体"/>
                <w:color w:val="auto"/>
                <w:szCs w:val="21"/>
                <w:highlight w:val="none"/>
              </w:rPr>
              <w:t>台</w:t>
            </w:r>
          </w:p>
        </w:tc>
        <w:tc>
          <w:tcPr>
            <w:tcW w:w="660" w:type="dxa"/>
            <w:vAlign w:val="center"/>
          </w:tcPr>
          <w:p>
            <w:pPr>
              <w:spacing w:line="360" w:lineRule="exact"/>
              <w:jc w:val="left"/>
              <w:rPr>
                <w:rFonts w:ascii="宋体" w:hAnsi="宋体" w:eastAsia="宋体" w:cs="宋体"/>
                <w:color w:val="auto"/>
                <w:szCs w:val="21"/>
                <w:highlight w:val="none"/>
              </w:rPr>
            </w:pPr>
            <w:r>
              <w:rPr>
                <w:rFonts w:hint="eastAsia" w:ascii="宋体" w:hAnsi="宋体" w:eastAsia="宋体" w:cs="宋体"/>
                <w:color w:val="auto"/>
                <w:szCs w:val="21"/>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1" w:type="dxa"/>
            <w:vMerge w:val="restart"/>
            <w:vAlign w:val="center"/>
          </w:tcPr>
          <w:p>
            <w:pPr>
              <w:spacing w:line="360" w:lineRule="exact"/>
              <w:jc w:val="left"/>
              <w:rPr>
                <w:rFonts w:ascii="宋体" w:hAnsi="宋体" w:eastAsia="宋体" w:cs="宋体"/>
                <w:color w:val="auto"/>
                <w:szCs w:val="21"/>
                <w:highlight w:val="none"/>
              </w:rPr>
            </w:pPr>
            <w:r>
              <w:rPr>
                <w:rFonts w:hint="eastAsia" w:ascii="宋体" w:hAnsi="宋体" w:eastAsia="宋体" w:cs="宋体"/>
                <w:color w:val="auto"/>
                <w:szCs w:val="21"/>
                <w:highlight w:val="none"/>
              </w:rPr>
              <w:t>6</w:t>
            </w:r>
          </w:p>
        </w:tc>
        <w:tc>
          <w:tcPr>
            <w:tcW w:w="1107" w:type="dxa"/>
            <w:vMerge w:val="restart"/>
            <w:vAlign w:val="center"/>
          </w:tcPr>
          <w:p>
            <w:pPr>
              <w:spacing w:line="360" w:lineRule="exact"/>
              <w:jc w:val="left"/>
              <w:rPr>
                <w:rFonts w:ascii="宋体" w:hAnsi="宋体" w:eastAsia="宋体" w:cs="宋体"/>
                <w:color w:val="auto"/>
                <w:szCs w:val="21"/>
                <w:highlight w:val="none"/>
              </w:rPr>
            </w:pPr>
            <w:r>
              <w:rPr>
                <w:rFonts w:hint="eastAsia" w:ascii="宋体" w:hAnsi="宋体" w:eastAsia="宋体" w:cs="宋体"/>
                <w:color w:val="auto"/>
                <w:szCs w:val="21"/>
                <w:highlight w:val="none"/>
              </w:rPr>
              <w:t>信息配套</w:t>
            </w:r>
          </w:p>
        </w:tc>
        <w:tc>
          <w:tcPr>
            <w:tcW w:w="3650" w:type="dxa"/>
            <w:vMerge w:val="restart"/>
            <w:vAlign w:val="center"/>
          </w:tcPr>
          <w:p>
            <w:pPr>
              <w:spacing w:line="360" w:lineRule="exact"/>
              <w:jc w:val="left"/>
              <w:rPr>
                <w:rFonts w:ascii="宋体" w:hAnsi="宋体" w:eastAsia="宋体" w:cs="宋体"/>
                <w:color w:val="auto"/>
                <w:szCs w:val="21"/>
                <w:highlight w:val="none"/>
              </w:rPr>
            </w:pPr>
            <w:r>
              <w:rPr>
                <w:rFonts w:hint="eastAsia" w:ascii="宋体" w:hAnsi="宋体" w:eastAsia="宋体" w:cs="宋体"/>
                <w:color w:val="auto"/>
                <w:szCs w:val="21"/>
                <w:highlight w:val="none"/>
              </w:rPr>
              <w:t>用于超融合、分布式存储等平台系统，万兆数据转换，数据库维护等。</w:t>
            </w:r>
          </w:p>
        </w:tc>
        <w:tc>
          <w:tcPr>
            <w:tcW w:w="1888" w:type="dxa"/>
            <w:vAlign w:val="center"/>
          </w:tcPr>
          <w:p>
            <w:pPr>
              <w:spacing w:line="360" w:lineRule="exact"/>
              <w:jc w:val="left"/>
              <w:rPr>
                <w:rFonts w:ascii="宋体" w:hAnsi="宋体" w:eastAsia="宋体" w:cs="宋体"/>
                <w:color w:val="auto"/>
                <w:szCs w:val="21"/>
                <w:highlight w:val="none"/>
              </w:rPr>
            </w:pPr>
            <w:r>
              <w:rPr>
                <w:rFonts w:hint="eastAsia" w:ascii="宋体" w:hAnsi="宋体" w:eastAsia="宋体" w:cs="宋体"/>
                <w:color w:val="auto"/>
                <w:szCs w:val="21"/>
                <w:highlight w:val="none"/>
              </w:rPr>
              <w:t>核心交换机</w:t>
            </w:r>
          </w:p>
        </w:tc>
        <w:tc>
          <w:tcPr>
            <w:tcW w:w="735" w:type="dxa"/>
            <w:vAlign w:val="center"/>
          </w:tcPr>
          <w:p>
            <w:pPr>
              <w:spacing w:line="360" w:lineRule="exact"/>
              <w:jc w:val="left"/>
              <w:rPr>
                <w:rFonts w:ascii="宋体" w:hAnsi="宋体" w:eastAsia="宋体" w:cs="宋体"/>
                <w:color w:val="auto"/>
                <w:szCs w:val="21"/>
                <w:highlight w:val="none"/>
              </w:rPr>
            </w:pPr>
            <w:r>
              <w:rPr>
                <w:rFonts w:hint="eastAsia" w:ascii="宋体" w:hAnsi="宋体" w:eastAsia="宋体" w:cs="宋体"/>
                <w:color w:val="auto"/>
                <w:szCs w:val="21"/>
                <w:highlight w:val="none"/>
              </w:rPr>
              <w:t>台</w:t>
            </w:r>
          </w:p>
        </w:tc>
        <w:tc>
          <w:tcPr>
            <w:tcW w:w="660" w:type="dxa"/>
            <w:vAlign w:val="center"/>
          </w:tcPr>
          <w:p>
            <w:pPr>
              <w:spacing w:line="360" w:lineRule="exact"/>
              <w:jc w:val="left"/>
              <w:rPr>
                <w:rFonts w:ascii="宋体" w:hAnsi="宋体" w:eastAsia="宋体" w:cs="宋体"/>
                <w:color w:val="auto"/>
                <w:szCs w:val="21"/>
                <w:highlight w:val="none"/>
              </w:rPr>
            </w:pPr>
            <w:r>
              <w:rPr>
                <w:rFonts w:hint="eastAsia" w:ascii="宋体" w:hAnsi="宋体" w:eastAsia="宋体" w:cs="宋体"/>
                <w:color w:val="auto"/>
                <w:szCs w:val="21"/>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1" w:type="dxa"/>
            <w:vMerge w:val="continue"/>
          </w:tcPr>
          <w:p>
            <w:pPr>
              <w:rPr>
                <w:color w:val="auto"/>
                <w:highlight w:val="none"/>
              </w:rPr>
            </w:pPr>
          </w:p>
        </w:tc>
        <w:tc>
          <w:tcPr>
            <w:tcW w:w="1107" w:type="dxa"/>
            <w:vMerge w:val="continue"/>
          </w:tcPr>
          <w:p>
            <w:pPr>
              <w:rPr>
                <w:color w:val="auto"/>
                <w:highlight w:val="none"/>
              </w:rPr>
            </w:pPr>
          </w:p>
        </w:tc>
        <w:tc>
          <w:tcPr>
            <w:tcW w:w="3650" w:type="dxa"/>
            <w:vMerge w:val="continue"/>
          </w:tcPr>
          <w:p>
            <w:pPr>
              <w:rPr>
                <w:color w:val="auto"/>
                <w:highlight w:val="none"/>
              </w:rPr>
            </w:pPr>
          </w:p>
        </w:tc>
        <w:tc>
          <w:tcPr>
            <w:tcW w:w="1888" w:type="dxa"/>
            <w:vAlign w:val="center"/>
          </w:tcPr>
          <w:p>
            <w:pPr>
              <w:spacing w:line="360" w:lineRule="exact"/>
              <w:jc w:val="left"/>
              <w:rPr>
                <w:rFonts w:ascii="宋体" w:hAnsi="宋体" w:eastAsia="宋体" w:cs="宋体"/>
                <w:color w:val="auto"/>
                <w:szCs w:val="21"/>
                <w:highlight w:val="none"/>
              </w:rPr>
            </w:pPr>
            <w:r>
              <w:rPr>
                <w:rFonts w:hint="eastAsia" w:ascii="宋体" w:hAnsi="宋体" w:eastAsia="宋体" w:cs="宋体"/>
                <w:color w:val="auto"/>
                <w:szCs w:val="21"/>
                <w:highlight w:val="none"/>
              </w:rPr>
              <w:t>汇聚交换机</w:t>
            </w:r>
          </w:p>
        </w:tc>
        <w:tc>
          <w:tcPr>
            <w:tcW w:w="735" w:type="dxa"/>
            <w:vAlign w:val="center"/>
          </w:tcPr>
          <w:p>
            <w:pPr>
              <w:spacing w:line="360" w:lineRule="exact"/>
              <w:jc w:val="left"/>
              <w:rPr>
                <w:rFonts w:ascii="宋体" w:hAnsi="宋体" w:eastAsia="宋体" w:cs="宋体"/>
                <w:color w:val="auto"/>
                <w:szCs w:val="21"/>
                <w:highlight w:val="none"/>
              </w:rPr>
            </w:pPr>
            <w:r>
              <w:rPr>
                <w:rFonts w:hint="eastAsia" w:ascii="宋体" w:hAnsi="宋体" w:eastAsia="宋体" w:cs="宋体"/>
                <w:color w:val="auto"/>
                <w:szCs w:val="21"/>
                <w:highlight w:val="none"/>
              </w:rPr>
              <w:t>台</w:t>
            </w:r>
          </w:p>
        </w:tc>
        <w:tc>
          <w:tcPr>
            <w:tcW w:w="660" w:type="dxa"/>
            <w:vAlign w:val="center"/>
          </w:tcPr>
          <w:p>
            <w:pPr>
              <w:spacing w:line="360" w:lineRule="exact"/>
              <w:jc w:val="left"/>
              <w:rPr>
                <w:rFonts w:ascii="宋体" w:hAnsi="宋体" w:eastAsia="宋体" w:cs="宋体"/>
                <w:color w:val="auto"/>
                <w:szCs w:val="21"/>
                <w:highlight w:val="none"/>
              </w:rPr>
            </w:pPr>
            <w:r>
              <w:rPr>
                <w:rFonts w:hint="eastAsia" w:ascii="宋体" w:hAnsi="宋体" w:eastAsia="宋体" w:cs="宋体"/>
                <w:color w:val="auto"/>
                <w:szCs w:val="21"/>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1" w:type="dxa"/>
            <w:vMerge w:val="continue"/>
          </w:tcPr>
          <w:p>
            <w:pPr>
              <w:rPr>
                <w:color w:val="auto"/>
                <w:highlight w:val="none"/>
              </w:rPr>
            </w:pPr>
          </w:p>
        </w:tc>
        <w:tc>
          <w:tcPr>
            <w:tcW w:w="1107" w:type="dxa"/>
            <w:vMerge w:val="continue"/>
          </w:tcPr>
          <w:p>
            <w:pPr>
              <w:rPr>
                <w:color w:val="auto"/>
                <w:highlight w:val="none"/>
              </w:rPr>
            </w:pPr>
          </w:p>
        </w:tc>
        <w:tc>
          <w:tcPr>
            <w:tcW w:w="3650" w:type="dxa"/>
            <w:vMerge w:val="continue"/>
          </w:tcPr>
          <w:p>
            <w:pPr>
              <w:rPr>
                <w:color w:val="auto"/>
                <w:highlight w:val="none"/>
              </w:rPr>
            </w:pPr>
          </w:p>
        </w:tc>
        <w:tc>
          <w:tcPr>
            <w:tcW w:w="1888" w:type="dxa"/>
            <w:vAlign w:val="center"/>
          </w:tcPr>
          <w:p>
            <w:pPr>
              <w:spacing w:line="360" w:lineRule="exact"/>
              <w:jc w:val="left"/>
              <w:rPr>
                <w:rFonts w:ascii="宋体" w:hAnsi="宋体" w:eastAsia="宋体" w:cs="宋体"/>
                <w:color w:val="auto"/>
                <w:szCs w:val="21"/>
                <w:highlight w:val="none"/>
              </w:rPr>
            </w:pPr>
            <w:r>
              <w:rPr>
                <w:rFonts w:hint="eastAsia" w:ascii="宋体" w:hAnsi="宋体" w:eastAsia="宋体" w:cs="宋体"/>
                <w:color w:val="auto"/>
                <w:szCs w:val="21"/>
                <w:highlight w:val="none"/>
              </w:rPr>
              <w:t>接入交换机</w:t>
            </w:r>
          </w:p>
        </w:tc>
        <w:tc>
          <w:tcPr>
            <w:tcW w:w="735" w:type="dxa"/>
            <w:vAlign w:val="center"/>
          </w:tcPr>
          <w:p>
            <w:pPr>
              <w:spacing w:line="360" w:lineRule="exact"/>
              <w:jc w:val="left"/>
              <w:rPr>
                <w:rFonts w:ascii="宋体" w:hAnsi="宋体" w:eastAsia="宋体" w:cs="宋体"/>
                <w:color w:val="auto"/>
                <w:szCs w:val="21"/>
                <w:highlight w:val="none"/>
              </w:rPr>
            </w:pPr>
            <w:r>
              <w:rPr>
                <w:rFonts w:hint="eastAsia" w:ascii="宋体" w:hAnsi="宋体" w:eastAsia="宋体" w:cs="宋体"/>
                <w:color w:val="auto"/>
                <w:szCs w:val="21"/>
                <w:highlight w:val="none"/>
              </w:rPr>
              <w:t>台</w:t>
            </w:r>
          </w:p>
        </w:tc>
        <w:tc>
          <w:tcPr>
            <w:tcW w:w="660" w:type="dxa"/>
            <w:vAlign w:val="center"/>
          </w:tcPr>
          <w:p>
            <w:pPr>
              <w:spacing w:line="360" w:lineRule="exact"/>
              <w:jc w:val="left"/>
              <w:rPr>
                <w:rFonts w:ascii="宋体" w:hAnsi="宋体" w:eastAsia="宋体" w:cs="宋体"/>
                <w:color w:val="auto"/>
                <w:szCs w:val="21"/>
                <w:highlight w:val="none"/>
              </w:rPr>
            </w:pPr>
            <w:r>
              <w:rPr>
                <w:rFonts w:hint="eastAsia" w:ascii="宋体" w:hAnsi="宋体" w:eastAsia="宋体" w:cs="宋体"/>
                <w:color w:val="auto"/>
                <w:szCs w:val="21"/>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1" w:type="dxa"/>
            <w:vMerge w:val="continue"/>
          </w:tcPr>
          <w:p>
            <w:pPr>
              <w:rPr>
                <w:color w:val="auto"/>
                <w:highlight w:val="none"/>
              </w:rPr>
            </w:pPr>
          </w:p>
        </w:tc>
        <w:tc>
          <w:tcPr>
            <w:tcW w:w="1107" w:type="dxa"/>
            <w:vMerge w:val="continue"/>
          </w:tcPr>
          <w:p>
            <w:pPr>
              <w:rPr>
                <w:color w:val="auto"/>
                <w:highlight w:val="none"/>
              </w:rPr>
            </w:pPr>
          </w:p>
        </w:tc>
        <w:tc>
          <w:tcPr>
            <w:tcW w:w="3650" w:type="dxa"/>
            <w:vMerge w:val="continue"/>
          </w:tcPr>
          <w:p>
            <w:pPr>
              <w:rPr>
                <w:color w:val="auto"/>
                <w:highlight w:val="none"/>
              </w:rPr>
            </w:pPr>
          </w:p>
        </w:tc>
        <w:tc>
          <w:tcPr>
            <w:tcW w:w="1888" w:type="dxa"/>
            <w:vAlign w:val="center"/>
          </w:tcPr>
          <w:p>
            <w:pPr>
              <w:spacing w:line="360" w:lineRule="exact"/>
              <w:jc w:val="left"/>
              <w:rPr>
                <w:rFonts w:ascii="宋体" w:hAnsi="宋体" w:eastAsia="宋体" w:cs="宋体"/>
                <w:color w:val="auto"/>
                <w:szCs w:val="21"/>
                <w:highlight w:val="none"/>
              </w:rPr>
            </w:pPr>
            <w:r>
              <w:rPr>
                <w:rFonts w:hint="eastAsia" w:ascii="宋体" w:hAnsi="宋体" w:eastAsia="宋体" w:cs="宋体"/>
                <w:color w:val="auto"/>
                <w:szCs w:val="21"/>
                <w:highlight w:val="none"/>
              </w:rPr>
              <w:t>存储硬盘框</w:t>
            </w:r>
          </w:p>
        </w:tc>
        <w:tc>
          <w:tcPr>
            <w:tcW w:w="735" w:type="dxa"/>
            <w:vAlign w:val="center"/>
          </w:tcPr>
          <w:p>
            <w:pPr>
              <w:spacing w:line="360" w:lineRule="exact"/>
              <w:jc w:val="left"/>
              <w:rPr>
                <w:rFonts w:ascii="宋体" w:hAnsi="宋体" w:eastAsia="宋体" w:cs="宋体"/>
                <w:color w:val="auto"/>
                <w:szCs w:val="21"/>
                <w:highlight w:val="none"/>
              </w:rPr>
            </w:pPr>
            <w:r>
              <w:rPr>
                <w:rFonts w:hint="eastAsia" w:ascii="宋体" w:hAnsi="宋体" w:eastAsia="宋体" w:cs="宋体"/>
                <w:color w:val="auto"/>
                <w:szCs w:val="21"/>
                <w:highlight w:val="none"/>
              </w:rPr>
              <w:t>台</w:t>
            </w:r>
          </w:p>
        </w:tc>
        <w:tc>
          <w:tcPr>
            <w:tcW w:w="660" w:type="dxa"/>
            <w:vAlign w:val="center"/>
          </w:tcPr>
          <w:p>
            <w:pPr>
              <w:spacing w:line="360" w:lineRule="exact"/>
              <w:jc w:val="left"/>
              <w:rPr>
                <w:rFonts w:ascii="宋体" w:hAnsi="宋体" w:eastAsia="宋体" w:cs="宋体"/>
                <w:color w:val="auto"/>
                <w:szCs w:val="21"/>
                <w:highlight w:val="none"/>
              </w:rPr>
            </w:pPr>
            <w:r>
              <w:rPr>
                <w:rFonts w:hint="eastAsia" w:ascii="宋体" w:hAnsi="宋体" w:eastAsia="宋体" w:cs="宋体"/>
                <w:color w:val="auto"/>
                <w:szCs w:val="21"/>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1" w:type="dxa"/>
            <w:vMerge w:val="continue"/>
          </w:tcPr>
          <w:p>
            <w:pPr>
              <w:rPr>
                <w:color w:val="auto"/>
                <w:highlight w:val="none"/>
              </w:rPr>
            </w:pPr>
          </w:p>
        </w:tc>
        <w:tc>
          <w:tcPr>
            <w:tcW w:w="1107" w:type="dxa"/>
            <w:vMerge w:val="continue"/>
          </w:tcPr>
          <w:p>
            <w:pPr>
              <w:rPr>
                <w:color w:val="auto"/>
                <w:highlight w:val="none"/>
              </w:rPr>
            </w:pPr>
          </w:p>
        </w:tc>
        <w:tc>
          <w:tcPr>
            <w:tcW w:w="3650" w:type="dxa"/>
            <w:vMerge w:val="continue"/>
          </w:tcPr>
          <w:p>
            <w:pPr>
              <w:rPr>
                <w:color w:val="auto"/>
                <w:highlight w:val="none"/>
              </w:rPr>
            </w:pPr>
          </w:p>
        </w:tc>
        <w:tc>
          <w:tcPr>
            <w:tcW w:w="1888" w:type="dxa"/>
            <w:vAlign w:val="center"/>
          </w:tcPr>
          <w:p>
            <w:pPr>
              <w:spacing w:line="360" w:lineRule="exact"/>
              <w:jc w:val="left"/>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存储硬盘 </w:t>
            </w:r>
            <w:r>
              <w:rPr>
                <w:rFonts w:ascii="宋体" w:hAnsi="宋体" w:eastAsia="宋体" w:cs="宋体"/>
                <w:color w:val="auto"/>
                <w:szCs w:val="21"/>
                <w:highlight w:val="none"/>
              </w:rPr>
              <w:t>10T</w:t>
            </w:r>
          </w:p>
        </w:tc>
        <w:tc>
          <w:tcPr>
            <w:tcW w:w="735" w:type="dxa"/>
            <w:vAlign w:val="center"/>
          </w:tcPr>
          <w:p>
            <w:pPr>
              <w:spacing w:line="360" w:lineRule="exact"/>
              <w:jc w:val="left"/>
              <w:rPr>
                <w:rFonts w:ascii="宋体" w:hAnsi="宋体" w:eastAsia="宋体" w:cs="宋体"/>
                <w:color w:val="auto"/>
                <w:szCs w:val="21"/>
                <w:highlight w:val="none"/>
              </w:rPr>
            </w:pPr>
            <w:r>
              <w:rPr>
                <w:rFonts w:hint="eastAsia" w:ascii="宋体" w:hAnsi="宋体" w:eastAsia="宋体" w:cs="宋体"/>
                <w:color w:val="auto"/>
                <w:szCs w:val="21"/>
                <w:highlight w:val="none"/>
              </w:rPr>
              <w:t>块</w:t>
            </w:r>
          </w:p>
        </w:tc>
        <w:tc>
          <w:tcPr>
            <w:tcW w:w="660" w:type="dxa"/>
            <w:vAlign w:val="center"/>
          </w:tcPr>
          <w:p>
            <w:pPr>
              <w:spacing w:line="360" w:lineRule="exact"/>
              <w:jc w:val="left"/>
              <w:rPr>
                <w:rFonts w:ascii="宋体" w:hAnsi="宋体" w:eastAsia="宋体" w:cs="宋体"/>
                <w:color w:val="auto"/>
                <w:szCs w:val="21"/>
                <w:highlight w:val="none"/>
              </w:rPr>
            </w:pPr>
            <w:r>
              <w:rPr>
                <w:rFonts w:hint="eastAsia" w:ascii="宋体" w:hAnsi="宋体" w:eastAsia="宋体" w:cs="宋体"/>
                <w:color w:val="auto"/>
                <w:szCs w:val="21"/>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1" w:type="dxa"/>
            <w:vMerge w:val="continue"/>
          </w:tcPr>
          <w:p>
            <w:pPr>
              <w:rPr>
                <w:color w:val="auto"/>
                <w:highlight w:val="none"/>
              </w:rPr>
            </w:pPr>
          </w:p>
        </w:tc>
        <w:tc>
          <w:tcPr>
            <w:tcW w:w="1107" w:type="dxa"/>
            <w:vMerge w:val="continue"/>
          </w:tcPr>
          <w:p>
            <w:pPr>
              <w:rPr>
                <w:color w:val="auto"/>
                <w:highlight w:val="none"/>
              </w:rPr>
            </w:pPr>
          </w:p>
        </w:tc>
        <w:tc>
          <w:tcPr>
            <w:tcW w:w="3650" w:type="dxa"/>
            <w:vMerge w:val="continue"/>
          </w:tcPr>
          <w:p>
            <w:pPr>
              <w:rPr>
                <w:color w:val="auto"/>
                <w:highlight w:val="none"/>
              </w:rPr>
            </w:pPr>
          </w:p>
        </w:tc>
        <w:tc>
          <w:tcPr>
            <w:tcW w:w="1888" w:type="dxa"/>
            <w:vAlign w:val="center"/>
          </w:tcPr>
          <w:p>
            <w:pPr>
              <w:spacing w:line="360" w:lineRule="exact"/>
              <w:jc w:val="left"/>
              <w:rPr>
                <w:rFonts w:ascii="宋体" w:hAnsi="宋体" w:eastAsia="宋体" w:cs="宋体"/>
                <w:color w:val="auto"/>
                <w:szCs w:val="21"/>
                <w:highlight w:val="none"/>
              </w:rPr>
            </w:pPr>
            <w:r>
              <w:rPr>
                <w:rFonts w:hint="eastAsia" w:ascii="宋体" w:hAnsi="宋体" w:eastAsia="宋体" w:cs="宋体"/>
                <w:color w:val="auto"/>
                <w:szCs w:val="21"/>
                <w:highlight w:val="none"/>
              </w:rPr>
              <w:t>UPS不间断电源</w:t>
            </w:r>
          </w:p>
        </w:tc>
        <w:tc>
          <w:tcPr>
            <w:tcW w:w="735" w:type="dxa"/>
            <w:vAlign w:val="center"/>
          </w:tcPr>
          <w:p>
            <w:pPr>
              <w:spacing w:line="360" w:lineRule="exact"/>
              <w:jc w:val="left"/>
              <w:rPr>
                <w:rFonts w:ascii="宋体" w:hAnsi="宋体" w:eastAsia="宋体" w:cs="宋体"/>
                <w:color w:val="auto"/>
                <w:szCs w:val="21"/>
                <w:highlight w:val="none"/>
              </w:rPr>
            </w:pPr>
            <w:r>
              <w:rPr>
                <w:rFonts w:hint="eastAsia" w:ascii="宋体" w:hAnsi="宋体" w:eastAsia="宋体" w:cs="宋体"/>
                <w:color w:val="auto"/>
                <w:szCs w:val="21"/>
                <w:highlight w:val="none"/>
              </w:rPr>
              <w:t>套</w:t>
            </w:r>
          </w:p>
        </w:tc>
        <w:tc>
          <w:tcPr>
            <w:tcW w:w="660" w:type="dxa"/>
            <w:vAlign w:val="center"/>
          </w:tcPr>
          <w:p>
            <w:pPr>
              <w:spacing w:line="360" w:lineRule="exact"/>
              <w:jc w:val="left"/>
              <w:rPr>
                <w:rFonts w:ascii="宋体" w:hAnsi="宋体" w:eastAsia="宋体" w:cs="宋体"/>
                <w:color w:val="auto"/>
                <w:szCs w:val="21"/>
                <w:highlight w:val="none"/>
              </w:rPr>
            </w:pPr>
            <w:r>
              <w:rPr>
                <w:rFonts w:hint="eastAsia" w:ascii="宋体" w:hAnsi="宋体" w:eastAsia="宋体" w:cs="宋体"/>
                <w:color w:val="auto"/>
                <w:szCs w:val="21"/>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1" w:type="dxa"/>
            <w:vMerge w:val="continue"/>
          </w:tcPr>
          <w:p>
            <w:pPr>
              <w:rPr>
                <w:color w:val="auto"/>
                <w:highlight w:val="none"/>
              </w:rPr>
            </w:pPr>
          </w:p>
        </w:tc>
        <w:tc>
          <w:tcPr>
            <w:tcW w:w="1107" w:type="dxa"/>
            <w:vMerge w:val="continue"/>
          </w:tcPr>
          <w:p>
            <w:pPr>
              <w:rPr>
                <w:color w:val="auto"/>
                <w:highlight w:val="none"/>
              </w:rPr>
            </w:pPr>
          </w:p>
        </w:tc>
        <w:tc>
          <w:tcPr>
            <w:tcW w:w="3650" w:type="dxa"/>
            <w:vMerge w:val="continue"/>
          </w:tcPr>
          <w:p>
            <w:pPr>
              <w:rPr>
                <w:color w:val="auto"/>
                <w:highlight w:val="none"/>
              </w:rPr>
            </w:pPr>
          </w:p>
        </w:tc>
        <w:tc>
          <w:tcPr>
            <w:tcW w:w="1888" w:type="dxa"/>
            <w:vAlign w:val="center"/>
          </w:tcPr>
          <w:p>
            <w:pPr>
              <w:spacing w:line="360" w:lineRule="exact"/>
              <w:jc w:val="left"/>
              <w:rPr>
                <w:rFonts w:ascii="宋体" w:hAnsi="宋体" w:eastAsia="宋体" w:cs="宋体"/>
                <w:color w:val="auto"/>
                <w:szCs w:val="21"/>
                <w:highlight w:val="none"/>
              </w:rPr>
            </w:pPr>
            <w:r>
              <w:rPr>
                <w:rFonts w:hint="eastAsia" w:ascii="宋体" w:hAnsi="宋体" w:eastAsia="宋体" w:cs="宋体"/>
                <w:color w:val="auto"/>
                <w:szCs w:val="21"/>
                <w:highlight w:val="none"/>
              </w:rPr>
              <w:t>数据库维护</w:t>
            </w:r>
          </w:p>
        </w:tc>
        <w:tc>
          <w:tcPr>
            <w:tcW w:w="735" w:type="dxa"/>
            <w:vAlign w:val="center"/>
          </w:tcPr>
          <w:p>
            <w:pPr>
              <w:spacing w:line="360" w:lineRule="exact"/>
              <w:jc w:val="left"/>
              <w:rPr>
                <w:rFonts w:ascii="宋体" w:hAnsi="宋体" w:eastAsia="宋体" w:cs="宋体"/>
                <w:color w:val="auto"/>
                <w:szCs w:val="21"/>
                <w:highlight w:val="none"/>
              </w:rPr>
            </w:pPr>
            <w:r>
              <w:rPr>
                <w:rFonts w:hint="eastAsia" w:ascii="宋体" w:hAnsi="宋体" w:eastAsia="宋体" w:cs="宋体"/>
                <w:color w:val="auto"/>
                <w:szCs w:val="21"/>
                <w:highlight w:val="none"/>
              </w:rPr>
              <w:t>年</w:t>
            </w:r>
          </w:p>
        </w:tc>
        <w:tc>
          <w:tcPr>
            <w:tcW w:w="660" w:type="dxa"/>
            <w:vAlign w:val="center"/>
          </w:tcPr>
          <w:p>
            <w:pPr>
              <w:spacing w:line="360" w:lineRule="exact"/>
              <w:jc w:val="left"/>
              <w:rPr>
                <w:rFonts w:ascii="宋体" w:hAnsi="宋体" w:eastAsia="宋体" w:cs="宋体"/>
                <w:color w:val="auto"/>
                <w:szCs w:val="21"/>
                <w:highlight w:val="none"/>
              </w:rPr>
            </w:pPr>
            <w:r>
              <w:rPr>
                <w:rFonts w:hint="eastAsia" w:ascii="宋体" w:hAnsi="宋体" w:eastAsia="宋体" w:cs="宋体"/>
                <w:color w:val="auto"/>
                <w:szCs w:val="21"/>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1" w:type="dxa"/>
            <w:vMerge w:val="restart"/>
            <w:vAlign w:val="center"/>
          </w:tcPr>
          <w:p>
            <w:pPr>
              <w:spacing w:line="360" w:lineRule="exact"/>
              <w:jc w:val="left"/>
              <w:rPr>
                <w:rFonts w:ascii="宋体" w:hAnsi="宋体" w:eastAsia="宋体" w:cs="宋体"/>
                <w:color w:val="auto"/>
                <w:szCs w:val="21"/>
                <w:highlight w:val="none"/>
              </w:rPr>
            </w:pPr>
            <w:r>
              <w:rPr>
                <w:rFonts w:hint="eastAsia" w:ascii="宋体" w:hAnsi="宋体" w:eastAsia="宋体" w:cs="宋体"/>
                <w:color w:val="auto"/>
                <w:szCs w:val="21"/>
                <w:highlight w:val="none"/>
              </w:rPr>
              <w:t>7</w:t>
            </w:r>
          </w:p>
        </w:tc>
        <w:tc>
          <w:tcPr>
            <w:tcW w:w="1107" w:type="dxa"/>
            <w:vMerge w:val="restart"/>
            <w:vAlign w:val="center"/>
          </w:tcPr>
          <w:p>
            <w:pPr>
              <w:spacing w:line="360" w:lineRule="exact"/>
              <w:jc w:val="left"/>
              <w:rPr>
                <w:rFonts w:ascii="宋体" w:hAnsi="宋体" w:eastAsia="宋体" w:cs="宋体"/>
                <w:color w:val="auto"/>
                <w:szCs w:val="21"/>
                <w:highlight w:val="none"/>
              </w:rPr>
            </w:pPr>
            <w:r>
              <w:rPr>
                <w:rFonts w:hint="eastAsia" w:ascii="宋体" w:hAnsi="宋体" w:eastAsia="宋体" w:cs="宋体"/>
                <w:color w:val="auto"/>
                <w:szCs w:val="21"/>
                <w:highlight w:val="none"/>
              </w:rPr>
              <w:t>安全加固</w:t>
            </w:r>
          </w:p>
        </w:tc>
        <w:tc>
          <w:tcPr>
            <w:tcW w:w="3650" w:type="dxa"/>
            <w:vMerge w:val="restart"/>
            <w:vAlign w:val="center"/>
          </w:tcPr>
          <w:p>
            <w:pPr>
              <w:spacing w:line="360" w:lineRule="exact"/>
              <w:jc w:val="left"/>
              <w:rPr>
                <w:rFonts w:ascii="宋体" w:hAnsi="宋体" w:eastAsia="宋体" w:cs="宋体"/>
                <w:color w:val="auto"/>
                <w:szCs w:val="21"/>
                <w:highlight w:val="none"/>
              </w:rPr>
            </w:pPr>
            <w:r>
              <w:rPr>
                <w:rFonts w:ascii="宋体" w:hAnsi="宋体" w:eastAsia="宋体" w:cs="宋体"/>
                <w:color w:val="auto"/>
                <w:szCs w:val="21"/>
                <w:highlight w:val="none"/>
              </w:rPr>
              <w:t>对安全防护能力较弱的主要安全设备进行配套更新，并增加动态防护系统，进一步加强外网的应用访问防护能力，加强互联网连通的通行安全能力</w:t>
            </w:r>
            <w:r>
              <w:rPr>
                <w:rFonts w:hint="eastAsia" w:ascii="宋体" w:hAnsi="宋体" w:eastAsia="宋体" w:cs="宋体"/>
                <w:color w:val="auto"/>
                <w:szCs w:val="21"/>
                <w:highlight w:val="none"/>
              </w:rPr>
              <w:t>。</w:t>
            </w:r>
          </w:p>
        </w:tc>
        <w:tc>
          <w:tcPr>
            <w:tcW w:w="1888" w:type="dxa"/>
            <w:vAlign w:val="center"/>
          </w:tcPr>
          <w:p>
            <w:pPr>
              <w:spacing w:line="360" w:lineRule="exact"/>
              <w:jc w:val="left"/>
              <w:rPr>
                <w:rFonts w:ascii="宋体" w:hAnsi="宋体" w:eastAsia="宋体" w:cs="宋体"/>
                <w:color w:val="auto"/>
                <w:szCs w:val="21"/>
                <w:highlight w:val="none"/>
              </w:rPr>
            </w:pPr>
            <w:r>
              <w:rPr>
                <w:rFonts w:ascii="宋体" w:hAnsi="宋体" w:eastAsia="宋体" w:cs="宋体"/>
                <w:color w:val="auto"/>
                <w:szCs w:val="21"/>
                <w:highlight w:val="none"/>
              </w:rPr>
              <w:t>防火墙</w:t>
            </w:r>
          </w:p>
        </w:tc>
        <w:tc>
          <w:tcPr>
            <w:tcW w:w="735" w:type="dxa"/>
            <w:vAlign w:val="center"/>
          </w:tcPr>
          <w:p>
            <w:pPr>
              <w:spacing w:line="360" w:lineRule="exact"/>
              <w:jc w:val="left"/>
              <w:rPr>
                <w:rFonts w:ascii="宋体" w:hAnsi="宋体" w:eastAsia="宋体" w:cs="宋体"/>
                <w:color w:val="auto"/>
                <w:szCs w:val="21"/>
                <w:highlight w:val="none"/>
              </w:rPr>
            </w:pPr>
            <w:r>
              <w:rPr>
                <w:rFonts w:hint="eastAsia" w:ascii="宋体" w:hAnsi="宋体" w:eastAsia="宋体" w:cs="宋体"/>
                <w:color w:val="auto"/>
                <w:szCs w:val="21"/>
                <w:highlight w:val="none"/>
              </w:rPr>
              <w:t>个</w:t>
            </w:r>
          </w:p>
        </w:tc>
        <w:tc>
          <w:tcPr>
            <w:tcW w:w="660" w:type="dxa"/>
            <w:vAlign w:val="center"/>
          </w:tcPr>
          <w:p>
            <w:pPr>
              <w:spacing w:line="360" w:lineRule="exact"/>
              <w:jc w:val="left"/>
              <w:rPr>
                <w:rFonts w:ascii="宋体" w:hAnsi="宋体" w:eastAsia="宋体" w:cs="宋体"/>
                <w:color w:val="auto"/>
                <w:szCs w:val="21"/>
                <w:highlight w:val="none"/>
              </w:rPr>
            </w:pPr>
            <w:r>
              <w:rPr>
                <w:rFonts w:hint="eastAsia" w:ascii="宋体" w:hAnsi="宋体" w:eastAsia="宋体" w:cs="宋体"/>
                <w:color w:val="auto"/>
                <w:szCs w:val="21"/>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1" w:type="dxa"/>
            <w:vMerge w:val="continue"/>
          </w:tcPr>
          <w:p>
            <w:pPr>
              <w:rPr>
                <w:color w:val="auto"/>
                <w:highlight w:val="none"/>
              </w:rPr>
            </w:pPr>
          </w:p>
        </w:tc>
        <w:tc>
          <w:tcPr>
            <w:tcW w:w="1107" w:type="dxa"/>
            <w:vMerge w:val="continue"/>
          </w:tcPr>
          <w:p>
            <w:pPr>
              <w:rPr>
                <w:color w:val="auto"/>
                <w:highlight w:val="none"/>
              </w:rPr>
            </w:pPr>
          </w:p>
        </w:tc>
        <w:tc>
          <w:tcPr>
            <w:tcW w:w="3650" w:type="dxa"/>
            <w:vMerge w:val="continue"/>
          </w:tcPr>
          <w:p>
            <w:pPr>
              <w:rPr>
                <w:color w:val="auto"/>
                <w:highlight w:val="none"/>
              </w:rPr>
            </w:pPr>
          </w:p>
        </w:tc>
        <w:tc>
          <w:tcPr>
            <w:tcW w:w="1888" w:type="dxa"/>
            <w:vAlign w:val="center"/>
          </w:tcPr>
          <w:p>
            <w:pPr>
              <w:spacing w:line="360" w:lineRule="exact"/>
              <w:jc w:val="left"/>
              <w:rPr>
                <w:rFonts w:ascii="宋体" w:hAnsi="宋体" w:eastAsia="宋体" w:cs="宋体"/>
                <w:color w:val="auto"/>
                <w:szCs w:val="21"/>
                <w:highlight w:val="none"/>
              </w:rPr>
            </w:pPr>
            <w:r>
              <w:rPr>
                <w:rFonts w:ascii="宋体" w:hAnsi="宋体" w:eastAsia="宋体" w:cs="宋体"/>
                <w:color w:val="auto"/>
                <w:szCs w:val="21"/>
                <w:highlight w:val="none"/>
              </w:rPr>
              <w:t>入侵防御（IPS）</w:t>
            </w:r>
          </w:p>
        </w:tc>
        <w:tc>
          <w:tcPr>
            <w:tcW w:w="735" w:type="dxa"/>
            <w:vAlign w:val="center"/>
          </w:tcPr>
          <w:p>
            <w:pPr>
              <w:spacing w:line="360" w:lineRule="exact"/>
              <w:jc w:val="left"/>
              <w:rPr>
                <w:rFonts w:ascii="宋体" w:hAnsi="宋体" w:eastAsia="宋体" w:cs="宋体"/>
                <w:color w:val="auto"/>
                <w:szCs w:val="21"/>
                <w:highlight w:val="none"/>
              </w:rPr>
            </w:pPr>
            <w:r>
              <w:rPr>
                <w:rFonts w:hint="eastAsia" w:ascii="宋体" w:hAnsi="宋体" w:eastAsia="宋体" w:cs="宋体"/>
                <w:color w:val="auto"/>
                <w:szCs w:val="21"/>
                <w:highlight w:val="none"/>
              </w:rPr>
              <w:t>个</w:t>
            </w:r>
          </w:p>
        </w:tc>
        <w:tc>
          <w:tcPr>
            <w:tcW w:w="660" w:type="dxa"/>
            <w:vAlign w:val="center"/>
          </w:tcPr>
          <w:p>
            <w:pPr>
              <w:spacing w:line="360" w:lineRule="exact"/>
              <w:jc w:val="left"/>
              <w:rPr>
                <w:rFonts w:ascii="宋体" w:hAnsi="宋体" w:eastAsia="宋体" w:cs="宋体"/>
                <w:color w:val="auto"/>
                <w:szCs w:val="21"/>
                <w:highlight w:val="none"/>
              </w:rPr>
            </w:pPr>
            <w:r>
              <w:rPr>
                <w:rFonts w:hint="eastAsia" w:ascii="宋体" w:hAnsi="宋体" w:eastAsia="宋体" w:cs="宋体"/>
                <w:color w:val="auto"/>
                <w:szCs w:val="21"/>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1" w:type="dxa"/>
            <w:vMerge w:val="continue"/>
          </w:tcPr>
          <w:p>
            <w:pPr>
              <w:rPr>
                <w:color w:val="auto"/>
                <w:highlight w:val="none"/>
              </w:rPr>
            </w:pPr>
          </w:p>
        </w:tc>
        <w:tc>
          <w:tcPr>
            <w:tcW w:w="1107" w:type="dxa"/>
            <w:vMerge w:val="continue"/>
          </w:tcPr>
          <w:p>
            <w:pPr>
              <w:rPr>
                <w:color w:val="auto"/>
                <w:highlight w:val="none"/>
              </w:rPr>
            </w:pPr>
          </w:p>
        </w:tc>
        <w:tc>
          <w:tcPr>
            <w:tcW w:w="3650" w:type="dxa"/>
            <w:vMerge w:val="continue"/>
          </w:tcPr>
          <w:p>
            <w:pPr>
              <w:rPr>
                <w:color w:val="auto"/>
                <w:highlight w:val="none"/>
              </w:rPr>
            </w:pPr>
          </w:p>
        </w:tc>
        <w:tc>
          <w:tcPr>
            <w:tcW w:w="1888" w:type="dxa"/>
            <w:vAlign w:val="center"/>
          </w:tcPr>
          <w:p>
            <w:pPr>
              <w:spacing w:line="360" w:lineRule="exact"/>
              <w:jc w:val="left"/>
              <w:rPr>
                <w:rFonts w:ascii="宋体" w:hAnsi="宋体" w:eastAsia="宋体" w:cs="宋体"/>
                <w:color w:val="auto"/>
                <w:szCs w:val="21"/>
                <w:highlight w:val="none"/>
              </w:rPr>
            </w:pPr>
            <w:r>
              <w:rPr>
                <w:rFonts w:ascii="宋体" w:hAnsi="宋体" w:eastAsia="宋体" w:cs="宋体"/>
                <w:color w:val="auto"/>
                <w:szCs w:val="21"/>
                <w:highlight w:val="none"/>
              </w:rPr>
              <w:t>防毒墙</w:t>
            </w:r>
          </w:p>
        </w:tc>
        <w:tc>
          <w:tcPr>
            <w:tcW w:w="735" w:type="dxa"/>
            <w:vAlign w:val="center"/>
          </w:tcPr>
          <w:p>
            <w:pPr>
              <w:spacing w:line="360" w:lineRule="exact"/>
              <w:jc w:val="left"/>
              <w:rPr>
                <w:rFonts w:ascii="宋体" w:hAnsi="宋体" w:eastAsia="宋体" w:cs="宋体"/>
                <w:color w:val="auto"/>
                <w:szCs w:val="21"/>
                <w:highlight w:val="none"/>
              </w:rPr>
            </w:pPr>
            <w:r>
              <w:rPr>
                <w:rFonts w:hint="eastAsia" w:ascii="宋体" w:hAnsi="宋体" w:eastAsia="宋体" w:cs="宋体"/>
                <w:color w:val="auto"/>
                <w:szCs w:val="21"/>
                <w:highlight w:val="none"/>
              </w:rPr>
              <w:t>个</w:t>
            </w:r>
          </w:p>
        </w:tc>
        <w:tc>
          <w:tcPr>
            <w:tcW w:w="660" w:type="dxa"/>
            <w:vAlign w:val="center"/>
          </w:tcPr>
          <w:p>
            <w:pPr>
              <w:spacing w:line="360" w:lineRule="exact"/>
              <w:jc w:val="left"/>
              <w:rPr>
                <w:rFonts w:ascii="宋体" w:hAnsi="宋体" w:eastAsia="宋体" w:cs="宋体"/>
                <w:color w:val="auto"/>
                <w:szCs w:val="21"/>
                <w:highlight w:val="none"/>
              </w:rPr>
            </w:pPr>
            <w:r>
              <w:rPr>
                <w:rFonts w:hint="eastAsia" w:ascii="宋体" w:hAnsi="宋体" w:eastAsia="宋体" w:cs="宋体"/>
                <w:color w:val="auto"/>
                <w:szCs w:val="21"/>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1" w:type="dxa"/>
            <w:vMerge w:val="continue"/>
          </w:tcPr>
          <w:p>
            <w:pPr>
              <w:rPr>
                <w:color w:val="auto"/>
                <w:highlight w:val="none"/>
              </w:rPr>
            </w:pPr>
          </w:p>
        </w:tc>
        <w:tc>
          <w:tcPr>
            <w:tcW w:w="1107" w:type="dxa"/>
            <w:vMerge w:val="continue"/>
          </w:tcPr>
          <w:p>
            <w:pPr>
              <w:rPr>
                <w:color w:val="auto"/>
                <w:highlight w:val="none"/>
              </w:rPr>
            </w:pPr>
          </w:p>
        </w:tc>
        <w:tc>
          <w:tcPr>
            <w:tcW w:w="3650" w:type="dxa"/>
            <w:vMerge w:val="continue"/>
          </w:tcPr>
          <w:p>
            <w:pPr>
              <w:rPr>
                <w:color w:val="auto"/>
                <w:highlight w:val="none"/>
              </w:rPr>
            </w:pPr>
          </w:p>
        </w:tc>
        <w:tc>
          <w:tcPr>
            <w:tcW w:w="1888" w:type="dxa"/>
            <w:vAlign w:val="center"/>
          </w:tcPr>
          <w:p>
            <w:pPr>
              <w:spacing w:line="360" w:lineRule="exact"/>
              <w:jc w:val="left"/>
              <w:rPr>
                <w:rFonts w:ascii="宋体" w:hAnsi="宋体" w:eastAsia="宋体" w:cs="宋体"/>
                <w:color w:val="auto"/>
                <w:szCs w:val="21"/>
                <w:highlight w:val="none"/>
              </w:rPr>
            </w:pPr>
            <w:r>
              <w:rPr>
                <w:rFonts w:ascii="宋体" w:hAnsi="宋体" w:eastAsia="宋体" w:cs="宋体"/>
                <w:color w:val="auto"/>
                <w:szCs w:val="21"/>
                <w:highlight w:val="none"/>
              </w:rPr>
              <w:t>数据交换系统（网闸）</w:t>
            </w:r>
          </w:p>
        </w:tc>
        <w:tc>
          <w:tcPr>
            <w:tcW w:w="735" w:type="dxa"/>
            <w:vAlign w:val="center"/>
          </w:tcPr>
          <w:p>
            <w:pPr>
              <w:spacing w:line="360" w:lineRule="exact"/>
              <w:jc w:val="left"/>
              <w:rPr>
                <w:rFonts w:ascii="宋体" w:hAnsi="宋体" w:eastAsia="宋体" w:cs="宋体"/>
                <w:color w:val="auto"/>
                <w:szCs w:val="21"/>
                <w:highlight w:val="none"/>
              </w:rPr>
            </w:pPr>
            <w:r>
              <w:rPr>
                <w:rFonts w:hint="eastAsia" w:ascii="宋体" w:hAnsi="宋体" w:eastAsia="宋体" w:cs="宋体"/>
                <w:color w:val="auto"/>
                <w:szCs w:val="21"/>
                <w:highlight w:val="none"/>
              </w:rPr>
              <w:t>个</w:t>
            </w:r>
          </w:p>
        </w:tc>
        <w:tc>
          <w:tcPr>
            <w:tcW w:w="660" w:type="dxa"/>
            <w:vAlign w:val="center"/>
          </w:tcPr>
          <w:p>
            <w:pPr>
              <w:spacing w:line="360" w:lineRule="exact"/>
              <w:jc w:val="left"/>
              <w:rPr>
                <w:rFonts w:ascii="宋体" w:hAnsi="宋体" w:eastAsia="宋体" w:cs="宋体"/>
                <w:color w:val="auto"/>
                <w:szCs w:val="21"/>
                <w:highlight w:val="none"/>
              </w:rPr>
            </w:pPr>
            <w:r>
              <w:rPr>
                <w:rFonts w:hint="eastAsia" w:ascii="宋体" w:hAnsi="宋体" w:eastAsia="宋体" w:cs="宋体"/>
                <w:color w:val="auto"/>
                <w:szCs w:val="21"/>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1" w:type="dxa"/>
            <w:vMerge w:val="continue"/>
          </w:tcPr>
          <w:p>
            <w:pPr>
              <w:rPr>
                <w:color w:val="auto"/>
                <w:highlight w:val="none"/>
              </w:rPr>
            </w:pPr>
          </w:p>
        </w:tc>
        <w:tc>
          <w:tcPr>
            <w:tcW w:w="1107" w:type="dxa"/>
            <w:vMerge w:val="continue"/>
          </w:tcPr>
          <w:p>
            <w:pPr>
              <w:rPr>
                <w:color w:val="auto"/>
                <w:highlight w:val="none"/>
              </w:rPr>
            </w:pPr>
          </w:p>
        </w:tc>
        <w:tc>
          <w:tcPr>
            <w:tcW w:w="3650" w:type="dxa"/>
            <w:vMerge w:val="continue"/>
          </w:tcPr>
          <w:p>
            <w:pPr>
              <w:rPr>
                <w:color w:val="auto"/>
                <w:highlight w:val="none"/>
              </w:rPr>
            </w:pPr>
          </w:p>
        </w:tc>
        <w:tc>
          <w:tcPr>
            <w:tcW w:w="1888" w:type="dxa"/>
            <w:vAlign w:val="center"/>
          </w:tcPr>
          <w:p>
            <w:pPr>
              <w:spacing w:line="360" w:lineRule="exact"/>
              <w:jc w:val="left"/>
              <w:rPr>
                <w:rFonts w:ascii="宋体" w:hAnsi="宋体" w:eastAsia="宋体" w:cs="宋体"/>
                <w:color w:val="auto"/>
                <w:szCs w:val="21"/>
                <w:highlight w:val="none"/>
              </w:rPr>
            </w:pPr>
            <w:r>
              <w:rPr>
                <w:rFonts w:ascii="宋体" w:hAnsi="宋体" w:eastAsia="宋体" w:cs="宋体"/>
                <w:color w:val="auto"/>
                <w:szCs w:val="21"/>
                <w:highlight w:val="none"/>
              </w:rPr>
              <w:t>外网杀毒软件</w:t>
            </w:r>
          </w:p>
        </w:tc>
        <w:tc>
          <w:tcPr>
            <w:tcW w:w="735" w:type="dxa"/>
            <w:vAlign w:val="center"/>
          </w:tcPr>
          <w:p>
            <w:pPr>
              <w:spacing w:line="360" w:lineRule="exact"/>
              <w:jc w:val="left"/>
              <w:rPr>
                <w:rFonts w:ascii="宋体" w:hAnsi="宋体" w:eastAsia="宋体" w:cs="宋体"/>
                <w:color w:val="auto"/>
                <w:szCs w:val="21"/>
                <w:highlight w:val="none"/>
              </w:rPr>
            </w:pPr>
            <w:r>
              <w:rPr>
                <w:rFonts w:hint="eastAsia" w:ascii="宋体" w:hAnsi="宋体" w:eastAsia="宋体" w:cs="宋体"/>
                <w:color w:val="auto"/>
                <w:szCs w:val="21"/>
                <w:highlight w:val="none"/>
              </w:rPr>
              <w:t>点</w:t>
            </w:r>
          </w:p>
        </w:tc>
        <w:tc>
          <w:tcPr>
            <w:tcW w:w="660" w:type="dxa"/>
            <w:vAlign w:val="center"/>
          </w:tcPr>
          <w:p>
            <w:pPr>
              <w:spacing w:line="360" w:lineRule="exact"/>
              <w:jc w:val="left"/>
              <w:rPr>
                <w:rFonts w:ascii="宋体" w:hAnsi="宋体" w:eastAsia="宋体" w:cs="宋体"/>
                <w:color w:val="auto"/>
                <w:szCs w:val="21"/>
                <w:highlight w:val="none"/>
              </w:rPr>
            </w:pPr>
            <w:r>
              <w:rPr>
                <w:rFonts w:hint="eastAsia" w:ascii="宋体" w:hAnsi="宋体" w:eastAsia="宋体" w:cs="宋体"/>
                <w:color w:val="auto"/>
                <w:szCs w:val="21"/>
                <w:highlight w:val="none"/>
              </w:rPr>
              <w:t>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1" w:type="dxa"/>
            <w:vMerge w:val="continue"/>
          </w:tcPr>
          <w:p>
            <w:pPr>
              <w:rPr>
                <w:color w:val="auto"/>
                <w:highlight w:val="none"/>
              </w:rPr>
            </w:pPr>
          </w:p>
        </w:tc>
        <w:tc>
          <w:tcPr>
            <w:tcW w:w="1107" w:type="dxa"/>
            <w:vMerge w:val="continue"/>
          </w:tcPr>
          <w:p>
            <w:pPr>
              <w:rPr>
                <w:color w:val="auto"/>
                <w:highlight w:val="none"/>
              </w:rPr>
            </w:pPr>
          </w:p>
        </w:tc>
        <w:tc>
          <w:tcPr>
            <w:tcW w:w="3650" w:type="dxa"/>
            <w:vMerge w:val="continue"/>
          </w:tcPr>
          <w:p>
            <w:pPr>
              <w:rPr>
                <w:color w:val="auto"/>
                <w:highlight w:val="none"/>
              </w:rPr>
            </w:pPr>
          </w:p>
        </w:tc>
        <w:tc>
          <w:tcPr>
            <w:tcW w:w="1888" w:type="dxa"/>
            <w:vAlign w:val="center"/>
          </w:tcPr>
          <w:p>
            <w:pPr>
              <w:spacing w:line="360" w:lineRule="exact"/>
              <w:jc w:val="left"/>
              <w:rPr>
                <w:rFonts w:ascii="宋体" w:hAnsi="宋体" w:eastAsia="宋体" w:cs="宋体"/>
                <w:color w:val="auto"/>
                <w:szCs w:val="21"/>
                <w:highlight w:val="none"/>
              </w:rPr>
            </w:pPr>
            <w:r>
              <w:rPr>
                <w:rFonts w:ascii="宋体" w:hAnsi="宋体" w:eastAsia="宋体" w:cs="宋体"/>
                <w:color w:val="auto"/>
                <w:szCs w:val="21"/>
                <w:highlight w:val="none"/>
              </w:rPr>
              <w:t>上网行为管理</w:t>
            </w:r>
          </w:p>
        </w:tc>
        <w:tc>
          <w:tcPr>
            <w:tcW w:w="735" w:type="dxa"/>
            <w:vAlign w:val="center"/>
          </w:tcPr>
          <w:p>
            <w:pPr>
              <w:spacing w:line="360" w:lineRule="exact"/>
              <w:jc w:val="left"/>
              <w:rPr>
                <w:rFonts w:ascii="宋体" w:hAnsi="宋体" w:eastAsia="宋体" w:cs="宋体"/>
                <w:color w:val="auto"/>
                <w:szCs w:val="21"/>
                <w:highlight w:val="none"/>
              </w:rPr>
            </w:pPr>
            <w:r>
              <w:rPr>
                <w:rFonts w:hint="eastAsia" w:ascii="宋体" w:hAnsi="宋体" w:eastAsia="宋体" w:cs="宋体"/>
                <w:color w:val="auto"/>
                <w:szCs w:val="21"/>
                <w:highlight w:val="none"/>
              </w:rPr>
              <w:t>台</w:t>
            </w:r>
          </w:p>
        </w:tc>
        <w:tc>
          <w:tcPr>
            <w:tcW w:w="660" w:type="dxa"/>
            <w:vAlign w:val="center"/>
          </w:tcPr>
          <w:p>
            <w:pPr>
              <w:spacing w:line="360" w:lineRule="exact"/>
              <w:jc w:val="left"/>
              <w:rPr>
                <w:rFonts w:ascii="宋体" w:hAnsi="宋体" w:eastAsia="宋体" w:cs="宋体"/>
                <w:color w:val="auto"/>
                <w:szCs w:val="21"/>
                <w:highlight w:val="none"/>
              </w:rPr>
            </w:pPr>
            <w:r>
              <w:rPr>
                <w:rFonts w:hint="eastAsia" w:ascii="宋体" w:hAnsi="宋体" w:eastAsia="宋体" w:cs="宋体"/>
                <w:color w:val="auto"/>
                <w:szCs w:val="21"/>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1" w:type="dxa"/>
            <w:vMerge w:val="continue"/>
          </w:tcPr>
          <w:p>
            <w:pPr>
              <w:rPr>
                <w:color w:val="auto"/>
                <w:highlight w:val="none"/>
              </w:rPr>
            </w:pPr>
          </w:p>
        </w:tc>
        <w:tc>
          <w:tcPr>
            <w:tcW w:w="1107" w:type="dxa"/>
            <w:vMerge w:val="continue"/>
          </w:tcPr>
          <w:p>
            <w:pPr>
              <w:rPr>
                <w:color w:val="auto"/>
                <w:highlight w:val="none"/>
              </w:rPr>
            </w:pPr>
          </w:p>
        </w:tc>
        <w:tc>
          <w:tcPr>
            <w:tcW w:w="3650" w:type="dxa"/>
            <w:vMerge w:val="continue"/>
          </w:tcPr>
          <w:p>
            <w:pPr>
              <w:rPr>
                <w:color w:val="auto"/>
                <w:highlight w:val="none"/>
              </w:rPr>
            </w:pPr>
          </w:p>
        </w:tc>
        <w:tc>
          <w:tcPr>
            <w:tcW w:w="1888" w:type="dxa"/>
            <w:vAlign w:val="center"/>
          </w:tcPr>
          <w:p>
            <w:pPr>
              <w:spacing w:line="360" w:lineRule="exact"/>
              <w:jc w:val="left"/>
              <w:rPr>
                <w:rFonts w:ascii="宋体" w:hAnsi="宋体" w:eastAsia="宋体" w:cs="宋体"/>
                <w:color w:val="auto"/>
                <w:szCs w:val="21"/>
                <w:highlight w:val="none"/>
              </w:rPr>
            </w:pPr>
            <w:r>
              <w:rPr>
                <w:rFonts w:ascii="宋体" w:hAnsi="宋体" w:eastAsia="宋体" w:cs="宋体"/>
                <w:color w:val="auto"/>
                <w:szCs w:val="21"/>
                <w:highlight w:val="none"/>
              </w:rPr>
              <w:t>堡垒机授权</w:t>
            </w:r>
          </w:p>
        </w:tc>
        <w:tc>
          <w:tcPr>
            <w:tcW w:w="735" w:type="dxa"/>
            <w:vAlign w:val="center"/>
          </w:tcPr>
          <w:p>
            <w:pPr>
              <w:spacing w:line="360" w:lineRule="exact"/>
              <w:jc w:val="left"/>
              <w:rPr>
                <w:rFonts w:ascii="宋体" w:hAnsi="宋体" w:eastAsia="宋体" w:cs="宋体"/>
                <w:color w:val="auto"/>
                <w:szCs w:val="21"/>
                <w:highlight w:val="none"/>
              </w:rPr>
            </w:pPr>
            <w:r>
              <w:rPr>
                <w:rFonts w:hint="eastAsia" w:ascii="宋体" w:hAnsi="宋体" w:eastAsia="宋体" w:cs="宋体"/>
                <w:color w:val="auto"/>
                <w:szCs w:val="21"/>
                <w:highlight w:val="none"/>
              </w:rPr>
              <w:t>套</w:t>
            </w:r>
          </w:p>
        </w:tc>
        <w:tc>
          <w:tcPr>
            <w:tcW w:w="660" w:type="dxa"/>
            <w:vAlign w:val="center"/>
          </w:tcPr>
          <w:p>
            <w:pPr>
              <w:spacing w:line="360" w:lineRule="exact"/>
              <w:jc w:val="left"/>
              <w:rPr>
                <w:rFonts w:ascii="宋体" w:hAnsi="宋体" w:eastAsia="宋体" w:cs="宋体"/>
                <w:color w:val="auto"/>
                <w:szCs w:val="21"/>
                <w:highlight w:val="none"/>
              </w:rPr>
            </w:pPr>
            <w:r>
              <w:rPr>
                <w:rFonts w:hint="eastAsia" w:ascii="宋体" w:hAnsi="宋体" w:eastAsia="宋体" w:cs="宋体"/>
                <w:color w:val="auto"/>
                <w:szCs w:val="21"/>
                <w:highlight w:val="none"/>
              </w:rPr>
              <w:t>220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1" w:type="dxa"/>
            <w:vMerge w:val="continue"/>
          </w:tcPr>
          <w:p>
            <w:pPr>
              <w:rPr>
                <w:color w:val="auto"/>
                <w:highlight w:val="none"/>
              </w:rPr>
            </w:pPr>
          </w:p>
        </w:tc>
        <w:tc>
          <w:tcPr>
            <w:tcW w:w="1107" w:type="dxa"/>
            <w:vMerge w:val="continue"/>
          </w:tcPr>
          <w:p>
            <w:pPr>
              <w:rPr>
                <w:color w:val="auto"/>
                <w:highlight w:val="none"/>
              </w:rPr>
            </w:pPr>
          </w:p>
        </w:tc>
        <w:tc>
          <w:tcPr>
            <w:tcW w:w="3650" w:type="dxa"/>
            <w:vMerge w:val="continue"/>
          </w:tcPr>
          <w:p>
            <w:pPr>
              <w:rPr>
                <w:color w:val="auto"/>
                <w:highlight w:val="none"/>
              </w:rPr>
            </w:pPr>
          </w:p>
        </w:tc>
        <w:tc>
          <w:tcPr>
            <w:tcW w:w="1888" w:type="dxa"/>
            <w:vAlign w:val="center"/>
          </w:tcPr>
          <w:p>
            <w:pPr>
              <w:spacing w:line="360" w:lineRule="exact"/>
              <w:jc w:val="left"/>
              <w:rPr>
                <w:rFonts w:ascii="宋体" w:hAnsi="宋体" w:eastAsia="宋体" w:cs="宋体"/>
                <w:color w:val="auto"/>
                <w:szCs w:val="21"/>
                <w:highlight w:val="none"/>
              </w:rPr>
            </w:pPr>
            <w:r>
              <w:rPr>
                <w:rFonts w:ascii="宋体" w:hAnsi="宋体" w:eastAsia="宋体" w:cs="宋体"/>
                <w:color w:val="auto"/>
                <w:szCs w:val="21"/>
                <w:highlight w:val="none"/>
              </w:rPr>
              <w:t>动态应用防护系统</w:t>
            </w:r>
          </w:p>
        </w:tc>
        <w:tc>
          <w:tcPr>
            <w:tcW w:w="735" w:type="dxa"/>
            <w:vAlign w:val="center"/>
          </w:tcPr>
          <w:p>
            <w:pPr>
              <w:spacing w:line="360" w:lineRule="exact"/>
              <w:jc w:val="left"/>
              <w:rPr>
                <w:rFonts w:ascii="宋体" w:hAnsi="宋体" w:eastAsia="宋体" w:cs="宋体"/>
                <w:color w:val="auto"/>
                <w:szCs w:val="21"/>
                <w:highlight w:val="none"/>
              </w:rPr>
            </w:pPr>
            <w:r>
              <w:rPr>
                <w:rFonts w:hint="eastAsia" w:ascii="宋体" w:hAnsi="宋体" w:eastAsia="宋体" w:cs="宋体"/>
                <w:color w:val="auto"/>
                <w:szCs w:val="21"/>
                <w:highlight w:val="none"/>
              </w:rPr>
              <w:t>套</w:t>
            </w:r>
          </w:p>
        </w:tc>
        <w:tc>
          <w:tcPr>
            <w:tcW w:w="660" w:type="dxa"/>
            <w:vAlign w:val="center"/>
          </w:tcPr>
          <w:p>
            <w:pPr>
              <w:spacing w:line="360" w:lineRule="exact"/>
              <w:jc w:val="left"/>
              <w:rPr>
                <w:rFonts w:ascii="宋体" w:hAnsi="宋体" w:eastAsia="宋体" w:cs="宋体"/>
                <w:color w:val="auto"/>
                <w:szCs w:val="21"/>
                <w:highlight w:val="none"/>
              </w:rPr>
            </w:pPr>
            <w:r>
              <w:rPr>
                <w:rFonts w:hint="eastAsia" w:ascii="宋体" w:hAnsi="宋体" w:eastAsia="宋体" w:cs="宋体"/>
                <w:color w:val="auto"/>
                <w:szCs w:val="21"/>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1" w:type="dxa"/>
            <w:vMerge w:val="continue"/>
          </w:tcPr>
          <w:p>
            <w:pPr>
              <w:rPr>
                <w:color w:val="auto"/>
                <w:highlight w:val="none"/>
              </w:rPr>
            </w:pPr>
          </w:p>
        </w:tc>
        <w:tc>
          <w:tcPr>
            <w:tcW w:w="1107" w:type="dxa"/>
            <w:vMerge w:val="continue"/>
          </w:tcPr>
          <w:p>
            <w:pPr>
              <w:rPr>
                <w:color w:val="auto"/>
                <w:highlight w:val="none"/>
              </w:rPr>
            </w:pPr>
          </w:p>
        </w:tc>
        <w:tc>
          <w:tcPr>
            <w:tcW w:w="3650" w:type="dxa"/>
            <w:vMerge w:val="continue"/>
          </w:tcPr>
          <w:p>
            <w:pPr>
              <w:rPr>
                <w:color w:val="auto"/>
                <w:highlight w:val="none"/>
              </w:rPr>
            </w:pPr>
          </w:p>
        </w:tc>
        <w:tc>
          <w:tcPr>
            <w:tcW w:w="1888" w:type="dxa"/>
            <w:vAlign w:val="center"/>
          </w:tcPr>
          <w:p>
            <w:pPr>
              <w:spacing w:line="360" w:lineRule="exact"/>
              <w:jc w:val="left"/>
              <w:rPr>
                <w:rFonts w:ascii="宋体" w:hAnsi="宋体" w:eastAsia="宋体" w:cs="宋体"/>
                <w:color w:val="auto"/>
                <w:szCs w:val="21"/>
                <w:highlight w:val="none"/>
              </w:rPr>
            </w:pPr>
            <w:r>
              <w:rPr>
                <w:rFonts w:ascii="宋体" w:hAnsi="宋体" w:eastAsia="宋体" w:cs="宋体"/>
                <w:color w:val="auto"/>
                <w:szCs w:val="21"/>
                <w:highlight w:val="none"/>
              </w:rPr>
              <w:t>配套虚拟化防护授权</w:t>
            </w:r>
          </w:p>
        </w:tc>
        <w:tc>
          <w:tcPr>
            <w:tcW w:w="735" w:type="dxa"/>
            <w:vAlign w:val="center"/>
          </w:tcPr>
          <w:p>
            <w:pPr>
              <w:spacing w:line="360" w:lineRule="exact"/>
              <w:jc w:val="left"/>
              <w:rPr>
                <w:rFonts w:ascii="宋体" w:hAnsi="宋体" w:eastAsia="宋体" w:cs="宋体"/>
                <w:color w:val="auto"/>
                <w:szCs w:val="21"/>
                <w:highlight w:val="none"/>
              </w:rPr>
            </w:pPr>
            <w:r>
              <w:rPr>
                <w:rFonts w:hint="eastAsia" w:ascii="宋体" w:hAnsi="宋体" w:eastAsia="宋体" w:cs="宋体"/>
                <w:color w:val="auto"/>
                <w:szCs w:val="21"/>
                <w:highlight w:val="none"/>
              </w:rPr>
              <w:t>个</w:t>
            </w:r>
          </w:p>
        </w:tc>
        <w:tc>
          <w:tcPr>
            <w:tcW w:w="660" w:type="dxa"/>
            <w:vAlign w:val="center"/>
          </w:tcPr>
          <w:p>
            <w:pPr>
              <w:spacing w:line="360" w:lineRule="exact"/>
              <w:jc w:val="left"/>
              <w:rPr>
                <w:rFonts w:ascii="宋体" w:hAnsi="宋体" w:eastAsia="宋体" w:cs="宋体"/>
                <w:color w:val="auto"/>
                <w:szCs w:val="21"/>
                <w:highlight w:val="none"/>
              </w:rPr>
            </w:pPr>
            <w:r>
              <w:rPr>
                <w:rFonts w:hint="eastAsia" w:ascii="宋体" w:hAnsi="宋体" w:eastAsia="宋体" w:cs="宋体"/>
                <w:color w:val="auto"/>
                <w:szCs w:val="21"/>
                <w:highlight w:val="none"/>
              </w:rPr>
              <w:t>48</w:t>
            </w:r>
          </w:p>
        </w:tc>
      </w:tr>
    </w:tbl>
    <w:p>
      <w:pPr>
        <w:pStyle w:val="4"/>
        <w:numPr>
          <w:ilvl w:val="0"/>
          <w:numId w:val="5"/>
        </w:numPr>
        <w:jc w:val="left"/>
        <w:rPr>
          <w:rFonts w:hint="eastAsia"/>
          <w:color w:val="auto"/>
          <w:sz w:val="28"/>
          <w:szCs w:val="28"/>
          <w:highlight w:val="none"/>
        </w:rPr>
      </w:pPr>
      <w:bookmarkStart w:id="82" w:name="_Toc19847"/>
      <w:bookmarkStart w:id="83" w:name="_Toc4428"/>
      <w:r>
        <w:rPr>
          <w:rFonts w:hint="eastAsia"/>
          <w:color w:val="auto"/>
          <w:sz w:val="28"/>
          <w:szCs w:val="28"/>
          <w:highlight w:val="none"/>
        </w:rPr>
        <w:t>建设内容与技术规范</w:t>
      </w:r>
      <w:bookmarkEnd w:id="82"/>
      <w:bookmarkEnd w:id="83"/>
    </w:p>
    <w:p>
      <w:pPr>
        <w:pStyle w:val="5"/>
        <w:keepNext/>
        <w:keepLines/>
        <w:pageBreakBefore w:val="0"/>
        <w:widowControl w:val="0"/>
        <w:kinsoku/>
        <w:wordWrap/>
        <w:overflowPunct/>
        <w:topLinePunct w:val="0"/>
        <w:autoSpaceDE/>
        <w:autoSpaceDN/>
        <w:bidi w:val="0"/>
        <w:adjustRightInd/>
        <w:snapToGrid/>
        <w:ind w:firstLine="0"/>
        <w:jc w:val="left"/>
        <w:textAlignment w:val="auto"/>
        <w:rPr>
          <w:rFonts w:hint="eastAsia" w:ascii="宋体" w:hAnsi="宋体" w:eastAsia="宋体" w:cs="宋体"/>
          <w:color w:val="auto"/>
          <w:sz w:val="28"/>
          <w:szCs w:val="28"/>
          <w:highlight w:val="none"/>
        </w:rPr>
      </w:pPr>
      <w:bookmarkStart w:id="84" w:name="_Toc16657"/>
      <w:bookmarkStart w:id="85" w:name="_Toc19091"/>
      <w:r>
        <w:rPr>
          <w:rFonts w:hint="eastAsia" w:ascii="宋体" w:hAnsi="宋体" w:eastAsia="宋体" w:cs="宋体"/>
          <w:color w:val="auto"/>
          <w:sz w:val="28"/>
          <w:szCs w:val="28"/>
          <w:highlight w:val="none"/>
        </w:rPr>
        <w:t>3.1超融合平台</w:t>
      </w:r>
      <w:bookmarkEnd w:id="84"/>
      <w:bookmarkEnd w:id="85"/>
    </w:p>
    <w:p>
      <w:pPr>
        <w:pStyle w:val="6"/>
        <w:rPr>
          <w:color w:val="auto"/>
          <w:highlight w:val="none"/>
        </w:rPr>
      </w:pPr>
      <w:r>
        <w:rPr>
          <w:rFonts w:hint="eastAsia"/>
          <w:color w:val="auto"/>
          <w:highlight w:val="none"/>
        </w:rPr>
        <w:t>3</w:t>
      </w:r>
      <w:r>
        <w:rPr>
          <w:color w:val="auto"/>
          <w:highlight w:val="none"/>
        </w:rPr>
        <w:t>.1.1</w:t>
      </w:r>
      <w:r>
        <w:rPr>
          <w:rFonts w:hint="eastAsia"/>
          <w:color w:val="auto"/>
          <w:highlight w:val="none"/>
        </w:rPr>
        <w:t>产品数量</w:t>
      </w:r>
    </w:p>
    <w:tbl>
      <w:tblPr>
        <w:tblStyle w:val="23"/>
        <w:tblW w:w="85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6"/>
        <w:gridCol w:w="5103"/>
        <w:gridCol w:w="1276"/>
        <w:gridCol w:w="12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6" w:type="dxa"/>
            <w:shd w:val="clear" w:color="auto" w:fill="auto"/>
            <w:vAlign w:val="center"/>
          </w:tcPr>
          <w:p>
            <w:pPr>
              <w:widowControl/>
              <w:jc w:val="center"/>
              <w:rPr>
                <w:rFonts w:ascii="宋体" w:hAnsi="宋体" w:eastAsia="宋体" w:cs="宋体"/>
                <w:color w:val="auto"/>
                <w:kern w:val="0"/>
                <w:sz w:val="21"/>
                <w:szCs w:val="21"/>
                <w:highlight w:val="none"/>
              </w:rPr>
            </w:pPr>
            <w:r>
              <w:rPr>
                <w:rFonts w:hint="eastAsia" w:ascii="宋体" w:hAnsi="宋体" w:eastAsia="宋体" w:cs="宋体"/>
                <w:b/>
                <w:bCs/>
                <w:color w:val="auto"/>
                <w:kern w:val="0"/>
                <w:sz w:val="21"/>
                <w:szCs w:val="21"/>
                <w:highlight w:val="none"/>
              </w:rPr>
              <w:t>序号</w:t>
            </w:r>
          </w:p>
        </w:tc>
        <w:tc>
          <w:tcPr>
            <w:tcW w:w="5103" w:type="dxa"/>
            <w:shd w:val="clear" w:color="auto" w:fill="auto"/>
            <w:vAlign w:val="center"/>
          </w:tcPr>
          <w:p>
            <w:pPr>
              <w:widowControl/>
              <w:jc w:val="center"/>
              <w:rPr>
                <w:rFonts w:ascii="宋体" w:hAnsi="宋体" w:eastAsia="宋体" w:cs="宋体"/>
                <w:color w:val="auto"/>
                <w:kern w:val="0"/>
                <w:sz w:val="21"/>
                <w:szCs w:val="21"/>
                <w:highlight w:val="none"/>
              </w:rPr>
            </w:pPr>
            <w:r>
              <w:rPr>
                <w:rFonts w:hint="eastAsia" w:ascii="宋体" w:hAnsi="宋体" w:eastAsia="宋体" w:cs="宋体"/>
                <w:b/>
                <w:bCs/>
                <w:color w:val="auto"/>
                <w:kern w:val="0"/>
                <w:sz w:val="21"/>
                <w:szCs w:val="21"/>
                <w:highlight w:val="none"/>
              </w:rPr>
              <w:t>名称</w:t>
            </w:r>
          </w:p>
        </w:tc>
        <w:tc>
          <w:tcPr>
            <w:tcW w:w="1276" w:type="dxa"/>
            <w:shd w:val="clear" w:color="auto" w:fill="auto"/>
            <w:vAlign w:val="center"/>
          </w:tcPr>
          <w:p>
            <w:pPr>
              <w:widowControl/>
              <w:jc w:val="center"/>
              <w:rPr>
                <w:rFonts w:ascii="宋体" w:hAnsi="宋体" w:eastAsia="宋体" w:cs="宋体"/>
                <w:color w:val="auto"/>
                <w:kern w:val="0"/>
                <w:sz w:val="21"/>
                <w:szCs w:val="21"/>
                <w:highlight w:val="none"/>
              </w:rPr>
            </w:pPr>
            <w:r>
              <w:rPr>
                <w:rFonts w:hint="eastAsia" w:ascii="宋体" w:hAnsi="宋体" w:eastAsia="宋体" w:cs="宋体"/>
                <w:b/>
                <w:bCs/>
                <w:color w:val="auto"/>
                <w:kern w:val="0"/>
                <w:sz w:val="21"/>
                <w:szCs w:val="21"/>
                <w:highlight w:val="none"/>
              </w:rPr>
              <w:t>单位</w:t>
            </w:r>
          </w:p>
        </w:tc>
        <w:tc>
          <w:tcPr>
            <w:tcW w:w="1275" w:type="dxa"/>
            <w:shd w:val="clear" w:color="auto" w:fill="auto"/>
            <w:vAlign w:val="center"/>
          </w:tcPr>
          <w:p>
            <w:pPr>
              <w:widowControl/>
              <w:jc w:val="center"/>
              <w:rPr>
                <w:rFonts w:ascii="宋体" w:hAnsi="宋体" w:eastAsia="宋体" w:cs="宋体"/>
                <w:color w:val="auto"/>
                <w:kern w:val="0"/>
                <w:sz w:val="21"/>
                <w:szCs w:val="21"/>
                <w:highlight w:val="none"/>
              </w:rPr>
            </w:pPr>
            <w:r>
              <w:rPr>
                <w:rFonts w:hint="eastAsia" w:ascii="宋体" w:hAnsi="宋体" w:eastAsia="宋体" w:cs="宋体"/>
                <w:b/>
                <w:bCs/>
                <w:color w:val="auto"/>
                <w:kern w:val="0"/>
                <w:sz w:val="21"/>
                <w:szCs w:val="21"/>
                <w:highlight w:val="none"/>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6" w:type="dxa"/>
            <w:shd w:val="clear" w:color="auto" w:fill="auto"/>
            <w:vAlign w:val="center"/>
          </w:tcPr>
          <w:p>
            <w:pPr>
              <w:widowControl/>
              <w:jc w:val="center"/>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p>
        </w:tc>
        <w:tc>
          <w:tcPr>
            <w:tcW w:w="5103" w:type="dxa"/>
            <w:shd w:val="clear" w:color="auto" w:fill="auto"/>
            <w:vAlign w:val="center"/>
          </w:tcPr>
          <w:p>
            <w:pPr>
              <w:widowControl/>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超融合平台</w:t>
            </w:r>
          </w:p>
        </w:tc>
        <w:tc>
          <w:tcPr>
            <w:tcW w:w="1276" w:type="dxa"/>
            <w:shd w:val="clear" w:color="auto" w:fill="auto"/>
            <w:vAlign w:val="center"/>
          </w:tcPr>
          <w:p>
            <w:pPr>
              <w:widowControl/>
              <w:jc w:val="center"/>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套</w:t>
            </w:r>
          </w:p>
        </w:tc>
        <w:tc>
          <w:tcPr>
            <w:tcW w:w="1275" w:type="dxa"/>
            <w:shd w:val="clear" w:color="auto" w:fill="auto"/>
            <w:vAlign w:val="center"/>
          </w:tcPr>
          <w:p>
            <w:pPr>
              <w:widowControl/>
              <w:jc w:val="center"/>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6" w:type="dxa"/>
            <w:shd w:val="clear" w:color="auto" w:fill="auto"/>
            <w:vAlign w:val="center"/>
          </w:tcPr>
          <w:p>
            <w:pPr>
              <w:widowControl/>
              <w:jc w:val="center"/>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w:t>
            </w:r>
          </w:p>
        </w:tc>
        <w:tc>
          <w:tcPr>
            <w:tcW w:w="5103" w:type="dxa"/>
            <w:shd w:val="clear" w:color="auto" w:fill="auto"/>
            <w:vAlign w:val="center"/>
          </w:tcPr>
          <w:p>
            <w:pPr>
              <w:widowControl/>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计算资源</w:t>
            </w:r>
          </w:p>
        </w:tc>
        <w:tc>
          <w:tcPr>
            <w:tcW w:w="1276" w:type="dxa"/>
            <w:shd w:val="clear" w:color="auto" w:fill="auto"/>
            <w:vAlign w:val="center"/>
          </w:tcPr>
          <w:p>
            <w:pPr>
              <w:widowControl/>
              <w:jc w:val="center"/>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台</w:t>
            </w:r>
          </w:p>
        </w:tc>
        <w:tc>
          <w:tcPr>
            <w:tcW w:w="1275" w:type="dxa"/>
            <w:shd w:val="clear" w:color="auto" w:fill="auto"/>
            <w:vAlign w:val="center"/>
          </w:tcPr>
          <w:p>
            <w:pPr>
              <w:widowControl/>
              <w:jc w:val="center"/>
              <w:rPr>
                <w:rFonts w:ascii="宋体" w:hAnsi="宋体" w:eastAsia="宋体" w:cs="宋体"/>
                <w:color w:val="auto"/>
                <w:kern w:val="0"/>
                <w:sz w:val="21"/>
                <w:szCs w:val="21"/>
                <w:highlight w:val="none"/>
              </w:rPr>
            </w:pPr>
            <w:r>
              <w:rPr>
                <w:rFonts w:ascii="宋体" w:hAnsi="宋体" w:eastAsia="宋体" w:cs="宋体"/>
                <w:color w:val="auto"/>
                <w:kern w:val="0"/>
                <w:sz w:val="21"/>
                <w:szCs w:val="21"/>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6" w:type="dxa"/>
            <w:shd w:val="clear" w:color="auto" w:fill="auto"/>
            <w:vAlign w:val="center"/>
          </w:tcPr>
          <w:p>
            <w:pPr>
              <w:widowControl/>
              <w:jc w:val="center"/>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w:t>
            </w:r>
          </w:p>
        </w:tc>
        <w:tc>
          <w:tcPr>
            <w:tcW w:w="5103" w:type="dxa"/>
            <w:shd w:val="clear" w:color="auto" w:fill="auto"/>
            <w:vAlign w:val="center"/>
          </w:tcPr>
          <w:p>
            <w:pPr>
              <w:widowControl/>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7.68T热插拔固态硬盘</w:t>
            </w:r>
          </w:p>
        </w:tc>
        <w:tc>
          <w:tcPr>
            <w:tcW w:w="1276" w:type="dxa"/>
            <w:shd w:val="clear" w:color="auto" w:fill="auto"/>
            <w:vAlign w:val="center"/>
          </w:tcPr>
          <w:p>
            <w:pPr>
              <w:widowControl/>
              <w:jc w:val="center"/>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块</w:t>
            </w:r>
          </w:p>
        </w:tc>
        <w:tc>
          <w:tcPr>
            <w:tcW w:w="1275" w:type="dxa"/>
            <w:shd w:val="clear" w:color="auto" w:fill="auto"/>
            <w:vAlign w:val="center"/>
          </w:tcPr>
          <w:p>
            <w:pPr>
              <w:widowControl/>
              <w:jc w:val="center"/>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6" w:type="dxa"/>
            <w:shd w:val="clear" w:color="auto" w:fill="auto"/>
            <w:vAlign w:val="center"/>
          </w:tcPr>
          <w:p>
            <w:pPr>
              <w:widowControl/>
              <w:jc w:val="center"/>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w:t>
            </w:r>
          </w:p>
        </w:tc>
        <w:tc>
          <w:tcPr>
            <w:tcW w:w="5103" w:type="dxa"/>
            <w:shd w:val="clear" w:color="auto" w:fill="auto"/>
            <w:vAlign w:val="center"/>
          </w:tcPr>
          <w:p>
            <w:pPr>
              <w:widowControl/>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服务器CPU</w:t>
            </w:r>
          </w:p>
        </w:tc>
        <w:tc>
          <w:tcPr>
            <w:tcW w:w="1276" w:type="dxa"/>
            <w:shd w:val="clear" w:color="auto" w:fill="auto"/>
            <w:vAlign w:val="center"/>
          </w:tcPr>
          <w:p>
            <w:pPr>
              <w:widowControl/>
              <w:jc w:val="center"/>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颗</w:t>
            </w:r>
          </w:p>
        </w:tc>
        <w:tc>
          <w:tcPr>
            <w:tcW w:w="1275" w:type="dxa"/>
            <w:shd w:val="clear" w:color="auto" w:fill="auto"/>
            <w:vAlign w:val="center"/>
          </w:tcPr>
          <w:p>
            <w:pPr>
              <w:widowControl/>
              <w:jc w:val="center"/>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6" w:type="dxa"/>
            <w:shd w:val="clear" w:color="auto" w:fill="auto"/>
            <w:vAlign w:val="center"/>
          </w:tcPr>
          <w:p>
            <w:pPr>
              <w:widowControl/>
              <w:jc w:val="center"/>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w:t>
            </w:r>
          </w:p>
        </w:tc>
        <w:tc>
          <w:tcPr>
            <w:tcW w:w="5103" w:type="dxa"/>
            <w:shd w:val="clear" w:color="auto" w:fill="auto"/>
            <w:vAlign w:val="center"/>
          </w:tcPr>
          <w:p>
            <w:pPr>
              <w:widowControl/>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超融合授权</w:t>
            </w:r>
          </w:p>
        </w:tc>
        <w:tc>
          <w:tcPr>
            <w:tcW w:w="1276" w:type="dxa"/>
            <w:shd w:val="clear" w:color="auto" w:fill="auto"/>
            <w:vAlign w:val="center"/>
          </w:tcPr>
          <w:p>
            <w:pPr>
              <w:widowControl/>
              <w:jc w:val="center"/>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节点</w:t>
            </w:r>
          </w:p>
        </w:tc>
        <w:tc>
          <w:tcPr>
            <w:tcW w:w="1275" w:type="dxa"/>
            <w:shd w:val="clear" w:color="auto" w:fill="auto"/>
            <w:vAlign w:val="center"/>
          </w:tcPr>
          <w:p>
            <w:pPr>
              <w:widowControl/>
              <w:jc w:val="center"/>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w:t>
            </w:r>
          </w:p>
        </w:tc>
      </w:tr>
    </w:tbl>
    <w:p>
      <w:pPr>
        <w:pStyle w:val="6"/>
        <w:rPr>
          <w:color w:val="auto"/>
          <w:highlight w:val="none"/>
        </w:rPr>
      </w:pPr>
      <w:r>
        <w:rPr>
          <w:rFonts w:hint="eastAsia"/>
          <w:color w:val="auto"/>
          <w:highlight w:val="none"/>
        </w:rPr>
        <w:t>3</w:t>
      </w:r>
      <w:r>
        <w:rPr>
          <w:color w:val="auto"/>
          <w:highlight w:val="none"/>
        </w:rPr>
        <w:t>.1.2</w:t>
      </w:r>
      <w:r>
        <w:rPr>
          <w:rFonts w:hint="eastAsia"/>
          <w:color w:val="auto"/>
          <w:highlight w:val="none"/>
        </w:rPr>
        <w:t>技术要求</w:t>
      </w:r>
    </w:p>
    <w:p>
      <w:pPr>
        <w:pStyle w:val="32"/>
        <w:numPr>
          <w:ilvl w:val="0"/>
          <w:numId w:val="6"/>
        </w:numPr>
        <w:spacing w:line="360" w:lineRule="auto"/>
        <w:ind w:firstLineChars="0"/>
        <w:rPr>
          <w:rFonts w:ascii="宋体" w:hAnsi="宋体" w:eastAsia="宋体"/>
          <w:b/>
          <w:color w:val="auto"/>
          <w:sz w:val="24"/>
          <w:szCs w:val="24"/>
          <w:highlight w:val="none"/>
        </w:rPr>
      </w:pPr>
      <w:bookmarkStart w:id="86" w:name="_Hlk150766601"/>
      <w:r>
        <w:rPr>
          <w:rFonts w:hint="eastAsia" w:ascii="宋体" w:hAnsi="宋体" w:eastAsia="宋体"/>
          <w:b/>
          <w:color w:val="auto"/>
          <w:sz w:val="24"/>
          <w:szCs w:val="24"/>
          <w:highlight w:val="none"/>
        </w:rPr>
        <w:t>超融合平台</w:t>
      </w:r>
    </w:p>
    <w:p>
      <w:pPr>
        <w:pStyle w:val="32"/>
        <w:spacing w:line="360" w:lineRule="auto"/>
        <w:ind w:left="720" w:firstLine="0" w:firstLineChars="0"/>
        <w:rPr>
          <w:rFonts w:ascii="宋体" w:hAnsi="宋体" w:eastAsia="宋体"/>
          <w:b/>
          <w:bCs/>
          <w:color w:val="auto"/>
          <w:sz w:val="21"/>
          <w:szCs w:val="21"/>
          <w:highlight w:val="none"/>
        </w:rPr>
      </w:pPr>
      <w:r>
        <w:rPr>
          <w:rFonts w:hint="eastAsia" w:ascii="宋体" w:hAnsi="宋体" w:eastAsia="宋体"/>
          <w:b/>
          <w:bCs/>
          <w:color w:val="auto"/>
          <w:sz w:val="21"/>
          <w:szCs w:val="21"/>
          <w:highlight w:val="none"/>
        </w:rPr>
        <w:t>基本要求：</w:t>
      </w:r>
    </w:p>
    <w:p>
      <w:pPr>
        <w:pStyle w:val="32"/>
        <w:spacing w:line="360" w:lineRule="auto"/>
        <w:ind w:firstLine="480"/>
        <w:rPr>
          <w:rFonts w:ascii="宋体" w:hAnsi="宋体" w:eastAsia="宋体"/>
          <w:color w:val="auto"/>
          <w:sz w:val="21"/>
          <w:szCs w:val="21"/>
          <w:highlight w:val="none"/>
        </w:rPr>
      </w:pPr>
      <w:r>
        <w:rPr>
          <w:rFonts w:hint="eastAsia" w:ascii="宋体" w:hAnsi="宋体" w:eastAsia="宋体"/>
          <w:color w:val="auto"/>
          <w:sz w:val="21"/>
          <w:szCs w:val="21"/>
          <w:highlight w:val="none"/>
        </w:rPr>
        <w:t>为了保证良好的兼容性，投标方所提供的软件产品、硬件产品必须为同一品牌。</w:t>
      </w:r>
    </w:p>
    <w:p>
      <w:pPr>
        <w:pStyle w:val="32"/>
        <w:spacing w:line="360" w:lineRule="auto"/>
        <w:ind w:firstLine="480"/>
        <w:rPr>
          <w:rFonts w:ascii="宋体" w:hAnsi="宋体" w:eastAsia="宋体"/>
          <w:color w:val="auto"/>
          <w:sz w:val="21"/>
          <w:szCs w:val="21"/>
          <w:highlight w:val="none"/>
        </w:rPr>
      </w:pPr>
      <w:r>
        <w:rPr>
          <w:rFonts w:hint="eastAsia" w:ascii="宋体" w:hAnsi="宋体" w:eastAsia="宋体"/>
          <w:color w:val="auto"/>
          <w:sz w:val="21"/>
          <w:szCs w:val="21"/>
          <w:highlight w:val="none"/>
        </w:rPr>
        <w:t>超融合管理平台支持一体机的交付方式或纯软件交付方式。</w:t>
      </w:r>
    </w:p>
    <w:p>
      <w:pPr>
        <w:pStyle w:val="32"/>
        <w:spacing w:line="360" w:lineRule="auto"/>
        <w:ind w:firstLine="480"/>
        <w:rPr>
          <w:rFonts w:ascii="宋体" w:hAnsi="宋体" w:eastAsia="宋体"/>
          <w:color w:val="auto"/>
          <w:sz w:val="21"/>
          <w:szCs w:val="21"/>
          <w:highlight w:val="none"/>
        </w:rPr>
      </w:pPr>
      <w:r>
        <w:rPr>
          <w:rFonts w:hint="eastAsia" w:ascii="宋体" w:hAnsi="宋体" w:eastAsia="宋体"/>
          <w:color w:val="auto"/>
          <w:sz w:val="21"/>
          <w:szCs w:val="21"/>
          <w:highlight w:val="none"/>
        </w:rPr>
        <w:t>超融合管理平台支持更换服务器硬件无需更换软件，软件授权不锁定硬件，软件授权可转移，提供更高的灵活性和性价比。</w:t>
      </w:r>
    </w:p>
    <w:p>
      <w:pPr>
        <w:pStyle w:val="32"/>
        <w:spacing w:line="360" w:lineRule="auto"/>
        <w:ind w:firstLine="480"/>
        <w:rPr>
          <w:rFonts w:ascii="宋体" w:hAnsi="宋体" w:eastAsia="宋体" w:cs="仿宋"/>
          <w:color w:val="auto"/>
          <w:sz w:val="21"/>
          <w:szCs w:val="21"/>
          <w:highlight w:val="none"/>
        </w:rPr>
      </w:pPr>
      <w:r>
        <w:rPr>
          <w:rFonts w:hint="eastAsia" w:ascii="宋体" w:hAnsi="宋体" w:eastAsia="宋体" w:cs="仿宋"/>
          <w:color w:val="auto"/>
          <w:sz w:val="21"/>
          <w:szCs w:val="21"/>
          <w:highlight w:val="none"/>
        </w:rPr>
        <w:t>支持市场主流X86服务器部署，且可以在同一平台进行管理。</w:t>
      </w:r>
    </w:p>
    <w:p>
      <w:pPr>
        <w:pStyle w:val="32"/>
        <w:spacing w:line="360" w:lineRule="auto"/>
        <w:ind w:firstLine="480"/>
        <w:rPr>
          <w:rFonts w:ascii="宋体" w:hAnsi="宋体" w:eastAsia="宋体" w:cs="仿宋"/>
          <w:color w:val="auto"/>
          <w:sz w:val="21"/>
          <w:szCs w:val="21"/>
          <w:highlight w:val="none"/>
        </w:rPr>
      </w:pPr>
      <w:r>
        <w:rPr>
          <w:rFonts w:hint="eastAsia" w:ascii="宋体" w:hAnsi="宋体" w:eastAsia="宋体" w:cs="仿宋"/>
          <w:color w:val="auto"/>
          <w:sz w:val="21"/>
          <w:szCs w:val="21"/>
          <w:highlight w:val="none"/>
        </w:rPr>
        <w:t>具备项目（租户）管理功能，支持通过项目对资源进行隔离，包括虚拟机、存储等，按项目分配不同权限用户，用户可拥有所属虚拟机资源，用户登录到云平台后仅可以看到所分配的资源。</w:t>
      </w:r>
    </w:p>
    <w:p>
      <w:pPr>
        <w:pStyle w:val="32"/>
        <w:spacing w:line="360" w:lineRule="auto"/>
        <w:ind w:firstLine="480"/>
        <w:rPr>
          <w:rFonts w:ascii="宋体" w:hAnsi="宋体" w:eastAsia="宋体" w:cs="仿宋"/>
          <w:color w:val="auto"/>
          <w:sz w:val="21"/>
          <w:szCs w:val="21"/>
          <w:highlight w:val="none"/>
        </w:rPr>
      </w:pPr>
      <w:r>
        <w:rPr>
          <w:rFonts w:hint="eastAsia" w:ascii="宋体" w:hAnsi="宋体" w:eastAsia="宋体" w:cs="仿宋"/>
          <w:color w:val="auto"/>
          <w:sz w:val="21"/>
          <w:szCs w:val="21"/>
          <w:highlight w:val="none"/>
        </w:rPr>
        <w:t>具备伸缩组功能，可对一组业务虚拟机或有弹性资源需求的虚拟机设置伸缩组，可根据设定的CPU阈值对伸缩组中虚拟机进行动态的增加和减少。</w:t>
      </w:r>
    </w:p>
    <w:p>
      <w:pPr>
        <w:pStyle w:val="32"/>
        <w:spacing w:line="360" w:lineRule="auto"/>
        <w:ind w:firstLine="480"/>
        <w:rPr>
          <w:rFonts w:ascii="宋体" w:hAnsi="宋体" w:eastAsia="宋体" w:cs="仿宋"/>
          <w:color w:val="auto"/>
          <w:sz w:val="21"/>
          <w:szCs w:val="21"/>
          <w:highlight w:val="none"/>
        </w:rPr>
      </w:pPr>
      <w:r>
        <w:rPr>
          <w:rFonts w:hint="eastAsia" w:ascii="宋体" w:hAnsi="宋体" w:eastAsia="宋体" w:cs="仿宋"/>
          <w:color w:val="auto"/>
          <w:sz w:val="21"/>
          <w:szCs w:val="21"/>
          <w:highlight w:val="none"/>
        </w:rPr>
        <w:t>具备延伸集群功能，可实现站点级容灾保护，配置延伸集群后，单一站点故障后，延伸站点可实现立即接管，数据无丢失，且延伸站点可继续提供集群高可用，延伸站点可继续允许1-2节点故障。</w:t>
      </w:r>
    </w:p>
    <w:p>
      <w:pPr>
        <w:pStyle w:val="32"/>
        <w:spacing w:line="360" w:lineRule="auto"/>
        <w:ind w:firstLine="480"/>
        <w:rPr>
          <w:rFonts w:ascii="宋体" w:hAnsi="宋体" w:eastAsia="宋体" w:cs="仿宋"/>
          <w:color w:val="auto"/>
          <w:sz w:val="21"/>
          <w:szCs w:val="21"/>
          <w:highlight w:val="none"/>
        </w:rPr>
      </w:pPr>
      <w:r>
        <w:rPr>
          <w:rFonts w:hint="eastAsia" w:ascii="宋体" w:hAnsi="宋体" w:eastAsia="宋体" w:cs="仿宋"/>
          <w:color w:val="auto"/>
          <w:sz w:val="21"/>
          <w:szCs w:val="21"/>
          <w:highlight w:val="none"/>
        </w:rPr>
        <w:t>具备告警信息可以通过邮件和微信方式发送，并可以在管理平台记录发送历史，为后期审计提供依据。</w:t>
      </w:r>
    </w:p>
    <w:p>
      <w:pPr>
        <w:pStyle w:val="32"/>
        <w:spacing w:line="360" w:lineRule="auto"/>
        <w:ind w:firstLine="480"/>
        <w:rPr>
          <w:rFonts w:ascii="宋体" w:hAnsi="宋体" w:eastAsia="宋体" w:cs="仿宋"/>
          <w:color w:val="auto"/>
          <w:sz w:val="21"/>
          <w:szCs w:val="21"/>
          <w:highlight w:val="none"/>
        </w:rPr>
      </w:pPr>
      <w:r>
        <w:rPr>
          <w:rFonts w:hint="eastAsia" w:ascii="宋体" w:hAnsi="宋体" w:eastAsia="宋体" w:cs="仿宋"/>
          <w:color w:val="auto"/>
          <w:sz w:val="21"/>
          <w:szCs w:val="21"/>
          <w:highlight w:val="none"/>
        </w:rPr>
        <w:t>具备性能分析面板，可定制多块性能分析面板，可将同一监控指标的多个不同对象在同一面板中集中展示，直观展示在同一时间点多个监控对象的状态。</w:t>
      </w:r>
    </w:p>
    <w:p>
      <w:pPr>
        <w:pStyle w:val="32"/>
        <w:spacing w:line="360" w:lineRule="auto"/>
        <w:ind w:firstLine="480"/>
        <w:rPr>
          <w:rFonts w:ascii="宋体" w:hAnsi="宋体" w:eastAsia="宋体" w:cs="仿宋"/>
          <w:color w:val="auto"/>
          <w:sz w:val="21"/>
          <w:szCs w:val="21"/>
          <w:highlight w:val="none"/>
        </w:rPr>
      </w:pPr>
      <w:r>
        <w:rPr>
          <w:rFonts w:hint="eastAsia" w:ascii="宋体" w:hAnsi="宋体" w:eastAsia="宋体" w:cs="仿宋"/>
          <w:color w:val="auto"/>
          <w:sz w:val="21"/>
          <w:szCs w:val="21"/>
          <w:highlight w:val="none"/>
        </w:rPr>
        <w:t>具备多种身份认证方式，至少支持账户密码、企业微信、OTP、Ukey方式进行登录认证，可进行双因子认证登录设置，保证云平台安全。</w:t>
      </w:r>
    </w:p>
    <w:p>
      <w:pPr>
        <w:pStyle w:val="32"/>
        <w:spacing w:line="360" w:lineRule="auto"/>
        <w:ind w:firstLine="480"/>
        <w:rPr>
          <w:rFonts w:ascii="宋体" w:hAnsi="宋体" w:eastAsia="宋体" w:cs="仿宋"/>
          <w:color w:val="auto"/>
          <w:sz w:val="21"/>
          <w:szCs w:val="21"/>
          <w:highlight w:val="none"/>
        </w:rPr>
      </w:pPr>
      <w:r>
        <w:rPr>
          <w:rFonts w:hint="eastAsia" w:ascii="宋体" w:hAnsi="宋体" w:eastAsia="宋体" w:cs="仿宋"/>
          <w:color w:val="auto"/>
          <w:sz w:val="21"/>
          <w:szCs w:val="21"/>
          <w:highlight w:val="none"/>
        </w:rPr>
        <w:t>具备热力图功能，直观展示存储池/硬盘数据空间分布和数据访问热度，提供最近一小时的热度展示。其中存储池级别的热力图支持按照节点和硬盘类型维度分别展示。该功能为判断缓存盘和容量盘的配比是否合理，是否需要扩容提供有力的依据。</w:t>
      </w:r>
    </w:p>
    <w:p>
      <w:pPr>
        <w:pStyle w:val="32"/>
        <w:spacing w:line="360" w:lineRule="auto"/>
        <w:ind w:firstLine="480"/>
        <w:rPr>
          <w:rFonts w:ascii="宋体" w:hAnsi="宋体" w:eastAsia="宋体" w:cs="仿宋"/>
          <w:color w:val="auto"/>
          <w:sz w:val="21"/>
          <w:szCs w:val="21"/>
          <w:highlight w:val="none"/>
        </w:rPr>
      </w:pPr>
      <w:r>
        <w:rPr>
          <w:rFonts w:hint="eastAsia" w:ascii="宋体" w:hAnsi="宋体" w:eastAsia="宋体" w:cs="仿宋"/>
          <w:color w:val="auto"/>
          <w:sz w:val="21"/>
          <w:szCs w:val="21"/>
          <w:highlight w:val="none"/>
        </w:rPr>
        <w:t>具备审计日志功能，可记录平台所有操作行为日志，并支持汇总导出，也支持将安全日志发送到独立部署的综合审计系统。</w:t>
      </w:r>
    </w:p>
    <w:bookmarkEnd w:id="86"/>
    <w:p>
      <w:pPr>
        <w:pStyle w:val="32"/>
        <w:numPr>
          <w:ilvl w:val="0"/>
          <w:numId w:val="6"/>
        </w:numPr>
        <w:spacing w:line="360" w:lineRule="auto"/>
        <w:ind w:firstLineChars="0"/>
        <w:rPr>
          <w:rFonts w:ascii="宋体" w:hAnsi="宋体" w:eastAsia="宋体"/>
          <w:b/>
          <w:color w:val="auto"/>
          <w:sz w:val="24"/>
          <w:szCs w:val="24"/>
          <w:highlight w:val="none"/>
        </w:rPr>
      </w:pPr>
      <w:r>
        <w:rPr>
          <w:rFonts w:hint="eastAsia" w:ascii="宋体" w:hAnsi="宋体" w:eastAsia="宋体"/>
          <w:b/>
          <w:color w:val="auto"/>
          <w:sz w:val="24"/>
          <w:szCs w:val="24"/>
          <w:highlight w:val="none"/>
        </w:rPr>
        <w:t>计算资源</w:t>
      </w:r>
    </w:p>
    <w:p>
      <w:pPr>
        <w:spacing w:line="360" w:lineRule="auto"/>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规格：4U机架式服务器，标准机箱；</w:t>
      </w:r>
    </w:p>
    <w:p>
      <w:pPr>
        <w:spacing w:line="360" w:lineRule="auto"/>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处理器：≥四个Intel至强可扩展处理器 主频≥2.3GHz ≥16核，L3缓存≥22MB，可选最大可支持至28核处理器；</w:t>
      </w:r>
    </w:p>
    <w:p>
      <w:pPr>
        <w:spacing w:line="360" w:lineRule="auto"/>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内存：≥</w:t>
      </w:r>
      <w:r>
        <w:rPr>
          <w:rFonts w:ascii="宋体" w:hAnsi="宋体" w:eastAsia="宋体"/>
          <w:color w:val="auto"/>
          <w:sz w:val="21"/>
          <w:szCs w:val="21"/>
          <w:highlight w:val="none"/>
        </w:rPr>
        <w:t>48</w:t>
      </w:r>
      <w:r>
        <w:rPr>
          <w:rFonts w:hint="eastAsia" w:ascii="宋体" w:hAnsi="宋体" w:eastAsia="宋体"/>
          <w:color w:val="auto"/>
          <w:sz w:val="21"/>
          <w:szCs w:val="21"/>
          <w:highlight w:val="none"/>
        </w:rPr>
        <w:t>根32GB DDR4，支持≥3TB内存扩展或支持48根内存插槽，支持单条64GB)；</w:t>
      </w:r>
    </w:p>
    <w:p>
      <w:pPr>
        <w:spacing w:line="360" w:lineRule="auto"/>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系统盘：配置≥2块400GB SAS SSD(独立阵列，配置RAID1）；</w:t>
      </w:r>
    </w:p>
    <w:p>
      <w:pPr>
        <w:spacing w:line="360" w:lineRule="auto"/>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数据盘：配置≥4块3.2TB Mainstream NVMe 热插拔 SSD（企业级）；配置≥4块</w:t>
      </w:r>
      <w:r>
        <w:rPr>
          <w:rFonts w:ascii="宋体" w:hAnsi="宋体" w:eastAsia="宋体"/>
          <w:color w:val="auto"/>
          <w:sz w:val="21"/>
          <w:szCs w:val="21"/>
          <w:highlight w:val="none"/>
        </w:rPr>
        <w:t>7.68TB SSD数据中心企业级固态硬盘</w:t>
      </w:r>
      <w:r>
        <w:rPr>
          <w:rFonts w:hint="eastAsia" w:ascii="宋体" w:hAnsi="宋体" w:eastAsia="宋体"/>
          <w:color w:val="auto"/>
          <w:sz w:val="21"/>
          <w:szCs w:val="21"/>
          <w:highlight w:val="none"/>
        </w:rPr>
        <w:t>；</w:t>
      </w:r>
    </w:p>
    <w:p>
      <w:pPr>
        <w:spacing w:line="360" w:lineRule="auto"/>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硬盘扩展：热插拔硬盘插槽,支持≥16个2.5英寸硬盘扩展；硬盘背板需支持直连NVMe PCIe SSD硬盘，并配置NVMe交换机适配器；</w:t>
      </w:r>
    </w:p>
    <w:p>
      <w:pPr>
        <w:spacing w:line="360" w:lineRule="auto"/>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阵列卡：配置≥1块独立12Gb阵列卡，配</w:t>
      </w:r>
      <w:r>
        <w:rPr>
          <w:rFonts w:ascii="宋体" w:hAnsi="宋体" w:eastAsia="宋体"/>
          <w:color w:val="auto"/>
          <w:sz w:val="21"/>
          <w:szCs w:val="21"/>
          <w:highlight w:val="none"/>
        </w:rPr>
        <w:t>4</w:t>
      </w:r>
      <w:r>
        <w:rPr>
          <w:rFonts w:hint="eastAsia" w:ascii="宋体" w:hAnsi="宋体" w:eastAsia="宋体"/>
          <w:color w:val="auto"/>
          <w:sz w:val="21"/>
          <w:szCs w:val="21"/>
          <w:highlight w:val="none"/>
        </w:rPr>
        <w:t>GB缓存，支持0/1/10/5/50/6/60 RAID级别，带电池保护，支持8GB闪存；</w:t>
      </w:r>
    </w:p>
    <w:p>
      <w:pPr>
        <w:spacing w:line="360" w:lineRule="auto"/>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网卡：配置≥</w:t>
      </w:r>
      <w:r>
        <w:rPr>
          <w:rFonts w:ascii="宋体" w:hAnsi="宋体" w:eastAsia="宋体"/>
          <w:color w:val="auto"/>
          <w:sz w:val="21"/>
          <w:szCs w:val="21"/>
          <w:highlight w:val="none"/>
        </w:rPr>
        <w:t>4</w:t>
      </w:r>
      <w:r>
        <w:rPr>
          <w:rFonts w:hint="eastAsia" w:ascii="宋体" w:hAnsi="宋体" w:eastAsia="宋体"/>
          <w:color w:val="auto"/>
          <w:sz w:val="21"/>
          <w:szCs w:val="21"/>
          <w:highlight w:val="none"/>
        </w:rPr>
        <w:t>块双口万兆光纤网卡（含模块），≥标配4个千兆以太网控制器，≥1个专用的管理端口；</w:t>
      </w:r>
    </w:p>
    <w:p>
      <w:pPr>
        <w:spacing w:line="360" w:lineRule="auto"/>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 xml:space="preserve">电源：实配电源输出功率≥1100W 电源，≥1+1热插拔冗余电源。服务器管理软件：提供硬件集中式资源管理系统，可简化基础结构管理、加快响应和提高硬件系统可用性，可自动发现、清点、跟踪、监控和配置服务器、网络和存储硬件，提供如下功能： </w:t>
      </w:r>
    </w:p>
    <w:p>
      <w:pPr>
        <w:spacing w:line="360" w:lineRule="auto"/>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1）硬件管理：可免代理进行硬件管理，可自动发现可管理的设备（包括服务器、网络和存储硬件）。</w:t>
      </w:r>
    </w:p>
    <w:p>
      <w:pPr>
        <w:spacing w:line="360" w:lineRule="auto"/>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2）硬件监控：可集中查看从受管设备生成的所有事件和警报，事件或警报将传递到集中管理平台，显示在事件或警报日志中，可从仪表板和状态栏中查看所有事件和警报的摘要，同时可查看特定设备的警报和事件详细信息。</w:t>
      </w:r>
    </w:p>
    <w:p>
      <w:pPr>
        <w:spacing w:line="360" w:lineRule="auto"/>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3）操作系统批量部署：可管理操作系统映像的存储库以及可同时将操作系统映像部署到≥20 台受管服务器。</w:t>
      </w:r>
    </w:p>
    <w:p>
      <w:pPr>
        <w:spacing w:line="360" w:lineRule="auto"/>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 xml:space="preserve">4）配置管理：可使用一致的配置快速配置和预先配置所有服务器。 </w:t>
      </w:r>
    </w:p>
    <w:p>
      <w:pPr>
        <w:spacing w:line="360" w:lineRule="auto"/>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5）固件合规性和更新：可集中将固件合规性策略分配给受管设备。</w:t>
      </w:r>
    </w:p>
    <w:p>
      <w:pPr>
        <w:spacing w:line="360" w:lineRule="auto"/>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6）用户管理：支持集中认证服务器管理用户帐户和认证用户凭证。</w:t>
      </w:r>
    </w:p>
    <w:p>
      <w:pPr>
        <w:spacing w:line="360" w:lineRule="auto"/>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7）主流管理平台集成：提供Microsoft Systems Center 和Vmware vCenter 集成的插件模块（须提供插件下载网址）。</w:t>
      </w:r>
    </w:p>
    <w:p>
      <w:pPr>
        <w:spacing w:line="360" w:lineRule="auto"/>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8）移动APP 管理功能：提供支持Android 和 iOS 的移动APP，通过APP 可以集中监控查看设备的状态、审计日志和报警信息。（须提供移动APP 下载网址）。</w:t>
      </w:r>
    </w:p>
    <w:p>
      <w:pPr>
        <w:spacing w:line="360" w:lineRule="auto"/>
        <w:ind w:left="479" w:leftChars="228"/>
        <w:rPr>
          <w:rFonts w:ascii="宋体" w:hAnsi="宋体" w:eastAsia="宋体"/>
          <w:color w:val="auto"/>
          <w:sz w:val="21"/>
          <w:szCs w:val="21"/>
          <w:highlight w:val="none"/>
        </w:rPr>
      </w:pPr>
      <w:r>
        <w:rPr>
          <w:rFonts w:hint="eastAsia" w:ascii="宋体" w:hAnsi="宋体" w:eastAsia="宋体"/>
          <w:color w:val="auto"/>
          <w:sz w:val="21"/>
          <w:szCs w:val="21"/>
          <w:highlight w:val="none"/>
        </w:rPr>
        <w:t>服务要求：3 年7x24小时保修服务，全国部分城市宕机4 小时上门服务。可靠性：提供平均无故障时间不低于150000小时产品检验合格证书。</w:t>
      </w:r>
    </w:p>
    <w:p>
      <w:pPr>
        <w:pStyle w:val="32"/>
        <w:numPr>
          <w:ilvl w:val="0"/>
          <w:numId w:val="6"/>
        </w:numPr>
        <w:spacing w:line="360" w:lineRule="auto"/>
        <w:ind w:firstLineChars="0"/>
        <w:rPr>
          <w:rFonts w:ascii="宋体" w:hAnsi="宋体" w:eastAsia="宋体"/>
          <w:b/>
          <w:color w:val="auto"/>
          <w:sz w:val="24"/>
          <w:szCs w:val="24"/>
          <w:highlight w:val="none"/>
        </w:rPr>
      </w:pPr>
      <w:r>
        <w:rPr>
          <w:rFonts w:hint="eastAsia" w:ascii="宋体" w:hAnsi="宋体" w:eastAsia="宋体"/>
          <w:b/>
          <w:color w:val="auto"/>
          <w:sz w:val="24"/>
          <w:szCs w:val="24"/>
          <w:highlight w:val="none"/>
        </w:rPr>
        <w:t>固态硬盘</w:t>
      </w:r>
    </w:p>
    <w:p>
      <w:pPr>
        <w:spacing w:line="360" w:lineRule="auto"/>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≥7.68TB 热插拔 SSD（企业级）</w:t>
      </w:r>
    </w:p>
    <w:p>
      <w:pPr>
        <w:pStyle w:val="32"/>
        <w:numPr>
          <w:ilvl w:val="0"/>
          <w:numId w:val="6"/>
        </w:numPr>
        <w:spacing w:line="360" w:lineRule="auto"/>
        <w:ind w:firstLineChars="0"/>
        <w:rPr>
          <w:rFonts w:ascii="宋体" w:hAnsi="宋体" w:eastAsia="宋体"/>
          <w:b/>
          <w:color w:val="auto"/>
          <w:sz w:val="24"/>
          <w:szCs w:val="24"/>
          <w:highlight w:val="none"/>
        </w:rPr>
      </w:pPr>
      <w:r>
        <w:rPr>
          <w:rFonts w:hint="eastAsia" w:ascii="宋体" w:hAnsi="宋体" w:eastAsia="宋体"/>
          <w:b/>
          <w:color w:val="auto"/>
          <w:sz w:val="24"/>
          <w:szCs w:val="24"/>
          <w:highlight w:val="none"/>
        </w:rPr>
        <w:t>服务器C</w:t>
      </w:r>
      <w:r>
        <w:rPr>
          <w:rFonts w:ascii="宋体" w:hAnsi="宋体" w:eastAsia="宋体"/>
          <w:b/>
          <w:color w:val="auto"/>
          <w:sz w:val="24"/>
          <w:szCs w:val="24"/>
          <w:highlight w:val="none"/>
        </w:rPr>
        <w:t>PU</w:t>
      </w:r>
    </w:p>
    <w:p>
      <w:pPr>
        <w:spacing w:line="360" w:lineRule="auto"/>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w:t>
      </w:r>
      <w:r>
        <w:rPr>
          <w:rFonts w:ascii="宋体" w:hAnsi="宋体" w:eastAsia="宋体"/>
          <w:color w:val="auto"/>
          <w:sz w:val="21"/>
          <w:szCs w:val="21"/>
          <w:highlight w:val="none"/>
        </w:rPr>
        <w:t xml:space="preserve">Intel Xeon 处理器 E7-4850 v4 16C型， 2.1GHz,  </w:t>
      </w:r>
    </w:p>
    <w:p>
      <w:pPr>
        <w:pStyle w:val="32"/>
        <w:numPr>
          <w:ilvl w:val="0"/>
          <w:numId w:val="6"/>
        </w:numPr>
        <w:spacing w:line="360" w:lineRule="auto"/>
        <w:ind w:firstLineChars="0"/>
        <w:rPr>
          <w:rFonts w:ascii="宋体" w:hAnsi="宋体" w:eastAsia="宋体"/>
          <w:b/>
          <w:color w:val="auto"/>
          <w:sz w:val="24"/>
          <w:szCs w:val="24"/>
          <w:highlight w:val="none"/>
        </w:rPr>
      </w:pPr>
      <w:r>
        <w:rPr>
          <w:rFonts w:hint="eastAsia" w:ascii="宋体" w:hAnsi="宋体" w:eastAsia="宋体"/>
          <w:b/>
          <w:color w:val="auto"/>
          <w:sz w:val="24"/>
          <w:szCs w:val="24"/>
          <w:highlight w:val="none"/>
        </w:rPr>
        <w:t>超融合授权</w:t>
      </w:r>
    </w:p>
    <w:p>
      <w:pPr>
        <w:spacing w:line="360" w:lineRule="auto"/>
        <w:ind w:firstLine="422" w:firstLineChars="200"/>
        <w:rPr>
          <w:rFonts w:ascii="宋体" w:hAnsi="宋体" w:eastAsia="宋体"/>
          <w:b/>
          <w:bCs/>
          <w:color w:val="auto"/>
          <w:sz w:val="21"/>
          <w:szCs w:val="21"/>
          <w:highlight w:val="none"/>
        </w:rPr>
      </w:pPr>
      <w:r>
        <w:rPr>
          <w:rFonts w:hint="eastAsia" w:ascii="宋体" w:hAnsi="宋体" w:eastAsia="宋体"/>
          <w:b/>
          <w:bCs/>
          <w:color w:val="auto"/>
          <w:sz w:val="21"/>
          <w:szCs w:val="21"/>
          <w:highlight w:val="none"/>
        </w:rPr>
        <w:t>产品要求：</w:t>
      </w:r>
    </w:p>
    <w:p>
      <w:pPr>
        <w:spacing w:line="360" w:lineRule="auto"/>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计算虚拟化、网络虚拟化和存储虚拟化模块均提供本项目所需所有CPU授权许可或服务器数量授权许可；提供管理平台授权许可。</w:t>
      </w:r>
    </w:p>
    <w:p>
      <w:pPr>
        <w:spacing w:line="360" w:lineRule="auto"/>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具备虚拟机高可用特性，虚拟机在节点宕机情况下可以自动在其它正常服务器节点实现启动；具备资源动态负载均衡策略，虚拟机可以自动在集群内根据节点CPU、内存等负载情况进行迁移，以平衡资源。</w:t>
      </w:r>
    </w:p>
    <w:p>
      <w:pPr>
        <w:spacing w:line="360" w:lineRule="auto"/>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具备精细化快照策略设置，可设置按月、周、天、小时为周期运行策略，可设置按保留时间或保留数量的保存策略，可将配置好的快照策略批量到虚拟机。</w:t>
      </w:r>
    </w:p>
    <w:p>
      <w:pPr>
        <w:spacing w:line="360" w:lineRule="auto"/>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具备对虚拟硬件进行动态调整，可调整开机状态虚拟机的CPU、内存、硬盘、网卡资源，可在开机状态删除虚拟机硬盘、网卡资源，无需停机或重启即可实现虚拟资源的调整生效。</w:t>
      </w:r>
    </w:p>
    <w:p>
      <w:pPr>
        <w:spacing w:line="360" w:lineRule="auto"/>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具备USB设备跨主机映射，无需安装客户端插件或代理即可识别USB设备，即使出现虚拟机迁移也可实现USB设备远程跨主机访问。</w:t>
      </w:r>
    </w:p>
    <w:p>
      <w:pPr>
        <w:spacing w:line="360" w:lineRule="auto"/>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具备vGPU功能，通过将物理GPU切分成多个vGPU分配给多个虚拟机使用，多个虚拟机可以共享物理GPU资源。</w:t>
      </w:r>
    </w:p>
    <w:p>
      <w:pPr>
        <w:spacing w:line="360" w:lineRule="auto"/>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具备虚拟机锁定功能，可以将重要虚拟机设置密码锁定，只有解锁后才可对虚拟机进行配置操作。</w:t>
      </w:r>
    </w:p>
    <w:p>
      <w:pPr>
        <w:spacing w:line="360" w:lineRule="auto"/>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具备数据多副本技术，支持硬盘、节点、站点级别可用域，数据副本按可用域自动存储，具备1-6副本，最大满足5节点或设备故障。</w:t>
      </w:r>
    </w:p>
    <w:p>
      <w:pPr>
        <w:spacing w:line="360" w:lineRule="auto"/>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至少具备即时置零、延迟置零、精简置备等三种置配方式；在卷级别至少4种压缩方式可选，且支持在线压缩功能，具备不同压缩比，以节省存储空间。</w:t>
      </w:r>
    </w:p>
    <w:p>
      <w:pPr>
        <w:spacing w:line="360" w:lineRule="auto"/>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具备网络安全组功能，安全组类型具备ipv4、ipv6、mac、vlan，可设置虚拟机的入方向、出方向安全访问控制功能，可基于IP、MAC、端口号、协议、优先级等设置访问规则。</w:t>
      </w:r>
    </w:p>
    <w:p>
      <w:pPr>
        <w:spacing w:line="360" w:lineRule="auto"/>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具备设置虚拟机网络QoS策略，包括限制平均上传/下载的带宽，避免由于单个虚拟机的网络流量过大影响其他业务虚拟机。</w:t>
      </w:r>
    </w:p>
    <w:p>
      <w:pPr>
        <w:spacing w:line="360" w:lineRule="auto"/>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支持虚拟机无代理备份功能，提供至少150个虚拟机的备份功能授权，支持至少80T的备份数据容量的许可。</w:t>
      </w:r>
    </w:p>
    <w:p>
      <w:pPr>
        <w:spacing w:line="360" w:lineRule="auto"/>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※需提供本次项目原厂工程师实施证明。</w:t>
      </w:r>
    </w:p>
    <w:p>
      <w:pPr>
        <w:pStyle w:val="5"/>
        <w:keepNext/>
        <w:keepLines/>
        <w:pageBreakBefore w:val="0"/>
        <w:widowControl w:val="0"/>
        <w:kinsoku/>
        <w:wordWrap/>
        <w:overflowPunct/>
        <w:topLinePunct w:val="0"/>
        <w:autoSpaceDE/>
        <w:autoSpaceDN/>
        <w:bidi w:val="0"/>
        <w:adjustRightInd/>
        <w:snapToGrid/>
        <w:ind w:firstLine="0"/>
        <w:jc w:val="left"/>
        <w:textAlignment w:val="auto"/>
        <w:rPr>
          <w:rFonts w:hint="eastAsia" w:ascii="宋体" w:hAnsi="宋体" w:eastAsia="宋体" w:cs="宋体"/>
          <w:color w:val="auto"/>
          <w:sz w:val="28"/>
          <w:szCs w:val="28"/>
          <w:highlight w:val="none"/>
        </w:rPr>
      </w:pPr>
      <w:bookmarkStart w:id="87" w:name="_Toc44340028"/>
      <w:bookmarkStart w:id="88" w:name="_Toc16923"/>
      <w:bookmarkStart w:id="89" w:name="_Toc44339570"/>
      <w:bookmarkStart w:id="90" w:name="_Toc404"/>
      <w:r>
        <w:rPr>
          <w:rFonts w:hint="eastAsia" w:ascii="宋体" w:hAnsi="宋体" w:eastAsia="宋体" w:cs="宋体"/>
          <w:color w:val="auto"/>
          <w:sz w:val="28"/>
          <w:szCs w:val="28"/>
          <w:highlight w:val="none"/>
        </w:rPr>
        <w:t>3.2内网云扩容</w:t>
      </w:r>
      <w:bookmarkEnd w:id="87"/>
      <w:bookmarkEnd w:id="88"/>
      <w:bookmarkEnd w:id="89"/>
      <w:bookmarkEnd w:id="90"/>
    </w:p>
    <w:p>
      <w:pPr>
        <w:pStyle w:val="6"/>
        <w:rPr>
          <w:color w:val="auto"/>
          <w:highlight w:val="none"/>
        </w:rPr>
      </w:pPr>
      <w:bookmarkStart w:id="91" w:name="_Toc44339571"/>
      <w:bookmarkStart w:id="92" w:name="_Toc44340029"/>
      <w:r>
        <w:rPr>
          <w:rFonts w:hint="eastAsia"/>
          <w:color w:val="auto"/>
          <w:highlight w:val="none"/>
        </w:rPr>
        <w:t>3</w:t>
      </w:r>
      <w:r>
        <w:rPr>
          <w:color w:val="auto"/>
          <w:highlight w:val="none"/>
        </w:rPr>
        <w:t>.2.1</w:t>
      </w:r>
      <w:r>
        <w:rPr>
          <w:rFonts w:hint="eastAsia"/>
          <w:color w:val="auto"/>
          <w:highlight w:val="none"/>
        </w:rPr>
        <w:t>产品数量</w:t>
      </w:r>
      <w:bookmarkEnd w:id="91"/>
      <w:bookmarkEnd w:id="92"/>
    </w:p>
    <w:tbl>
      <w:tblPr>
        <w:tblStyle w:val="23"/>
        <w:tblW w:w="85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8"/>
        <w:gridCol w:w="5103"/>
        <w:gridCol w:w="1134"/>
        <w:gridCol w:w="12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88" w:type="dxa"/>
            <w:shd w:val="clear" w:color="auto" w:fill="auto"/>
            <w:vAlign w:val="center"/>
          </w:tcPr>
          <w:p>
            <w:pPr>
              <w:widowControl/>
              <w:jc w:val="center"/>
              <w:rPr>
                <w:rFonts w:ascii="宋体" w:hAnsi="宋体" w:eastAsia="宋体" w:cs="宋体"/>
                <w:color w:val="auto"/>
                <w:kern w:val="0"/>
                <w:sz w:val="21"/>
                <w:szCs w:val="21"/>
                <w:highlight w:val="none"/>
              </w:rPr>
            </w:pPr>
            <w:r>
              <w:rPr>
                <w:rFonts w:hint="eastAsia" w:ascii="宋体" w:hAnsi="宋体" w:eastAsia="宋体" w:cs="宋体"/>
                <w:b/>
                <w:bCs/>
                <w:color w:val="auto"/>
                <w:kern w:val="0"/>
                <w:sz w:val="21"/>
                <w:szCs w:val="21"/>
                <w:highlight w:val="none"/>
              </w:rPr>
              <w:t>序号</w:t>
            </w:r>
          </w:p>
        </w:tc>
        <w:tc>
          <w:tcPr>
            <w:tcW w:w="5103" w:type="dxa"/>
            <w:shd w:val="clear" w:color="auto" w:fill="auto"/>
            <w:vAlign w:val="center"/>
          </w:tcPr>
          <w:p>
            <w:pPr>
              <w:widowControl/>
              <w:jc w:val="center"/>
              <w:rPr>
                <w:rFonts w:ascii="宋体" w:hAnsi="宋体" w:eastAsia="宋体" w:cs="宋体"/>
                <w:color w:val="auto"/>
                <w:kern w:val="0"/>
                <w:sz w:val="21"/>
                <w:szCs w:val="21"/>
                <w:highlight w:val="none"/>
              </w:rPr>
            </w:pPr>
            <w:r>
              <w:rPr>
                <w:rFonts w:hint="eastAsia" w:ascii="宋体" w:hAnsi="宋体" w:eastAsia="宋体" w:cs="宋体"/>
                <w:b/>
                <w:bCs/>
                <w:color w:val="auto"/>
                <w:kern w:val="0"/>
                <w:sz w:val="21"/>
                <w:szCs w:val="21"/>
                <w:highlight w:val="none"/>
              </w:rPr>
              <w:t>名称</w:t>
            </w:r>
          </w:p>
        </w:tc>
        <w:tc>
          <w:tcPr>
            <w:tcW w:w="1134" w:type="dxa"/>
            <w:shd w:val="clear" w:color="auto" w:fill="auto"/>
            <w:vAlign w:val="center"/>
          </w:tcPr>
          <w:p>
            <w:pPr>
              <w:widowControl/>
              <w:jc w:val="center"/>
              <w:rPr>
                <w:rFonts w:ascii="宋体" w:hAnsi="宋体" w:eastAsia="宋体" w:cs="宋体"/>
                <w:color w:val="auto"/>
                <w:kern w:val="0"/>
                <w:sz w:val="21"/>
                <w:szCs w:val="21"/>
                <w:highlight w:val="none"/>
              </w:rPr>
            </w:pPr>
            <w:r>
              <w:rPr>
                <w:rFonts w:hint="eastAsia" w:ascii="宋体" w:hAnsi="宋体" w:eastAsia="宋体" w:cs="宋体"/>
                <w:b/>
                <w:bCs/>
                <w:color w:val="auto"/>
                <w:kern w:val="0"/>
                <w:sz w:val="21"/>
                <w:szCs w:val="21"/>
                <w:highlight w:val="none"/>
              </w:rPr>
              <w:t>单位</w:t>
            </w:r>
          </w:p>
        </w:tc>
        <w:tc>
          <w:tcPr>
            <w:tcW w:w="1275" w:type="dxa"/>
            <w:shd w:val="clear" w:color="auto" w:fill="auto"/>
            <w:vAlign w:val="center"/>
          </w:tcPr>
          <w:p>
            <w:pPr>
              <w:widowControl/>
              <w:jc w:val="center"/>
              <w:rPr>
                <w:rFonts w:ascii="宋体" w:hAnsi="宋体" w:eastAsia="宋体" w:cs="宋体"/>
                <w:color w:val="auto"/>
                <w:kern w:val="0"/>
                <w:sz w:val="21"/>
                <w:szCs w:val="21"/>
                <w:highlight w:val="none"/>
              </w:rPr>
            </w:pPr>
            <w:r>
              <w:rPr>
                <w:rFonts w:hint="eastAsia" w:ascii="宋体" w:hAnsi="宋体" w:eastAsia="宋体" w:cs="宋体"/>
                <w:b/>
                <w:bCs/>
                <w:color w:val="auto"/>
                <w:kern w:val="0"/>
                <w:sz w:val="21"/>
                <w:szCs w:val="21"/>
                <w:highlight w:val="none"/>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88" w:type="dxa"/>
            <w:shd w:val="clear" w:color="auto" w:fill="auto"/>
            <w:vAlign w:val="center"/>
          </w:tcPr>
          <w:p>
            <w:pPr>
              <w:widowControl/>
              <w:jc w:val="center"/>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p>
        </w:tc>
        <w:tc>
          <w:tcPr>
            <w:tcW w:w="5103" w:type="dxa"/>
            <w:shd w:val="clear" w:color="auto" w:fill="auto"/>
            <w:vAlign w:val="center"/>
          </w:tcPr>
          <w:p>
            <w:pPr>
              <w:widowControl/>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计算资源</w:t>
            </w:r>
          </w:p>
        </w:tc>
        <w:tc>
          <w:tcPr>
            <w:tcW w:w="1134" w:type="dxa"/>
            <w:shd w:val="clear" w:color="auto" w:fill="auto"/>
            <w:vAlign w:val="center"/>
          </w:tcPr>
          <w:p>
            <w:pPr>
              <w:widowControl/>
              <w:jc w:val="center"/>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台</w:t>
            </w:r>
          </w:p>
        </w:tc>
        <w:tc>
          <w:tcPr>
            <w:tcW w:w="1275" w:type="dxa"/>
            <w:shd w:val="clear" w:color="auto" w:fill="auto"/>
            <w:vAlign w:val="center"/>
          </w:tcPr>
          <w:p>
            <w:pPr>
              <w:widowControl/>
              <w:jc w:val="center"/>
              <w:rPr>
                <w:rFonts w:ascii="宋体" w:hAnsi="宋体" w:eastAsia="宋体" w:cs="宋体"/>
                <w:color w:val="auto"/>
                <w:kern w:val="0"/>
                <w:sz w:val="21"/>
                <w:szCs w:val="21"/>
                <w:highlight w:val="none"/>
              </w:rPr>
            </w:pPr>
            <w:r>
              <w:rPr>
                <w:rFonts w:ascii="宋体" w:hAnsi="宋体" w:eastAsia="宋体" w:cs="宋体"/>
                <w:color w:val="auto"/>
                <w:kern w:val="0"/>
                <w:sz w:val="21"/>
                <w:szCs w:val="21"/>
                <w:highlight w:val="none"/>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88" w:type="dxa"/>
            <w:shd w:val="clear" w:color="auto" w:fill="auto"/>
            <w:vAlign w:val="center"/>
          </w:tcPr>
          <w:p>
            <w:pPr>
              <w:widowControl/>
              <w:jc w:val="center"/>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w:t>
            </w:r>
          </w:p>
        </w:tc>
        <w:tc>
          <w:tcPr>
            <w:tcW w:w="5103" w:type="dxa"/>
            <w:shd w:val="clear" w:color="auto" w:fill="auto"/>
            <w:vAlign w:val="center"/>
          </w:tcPr>
          <w:p>
            <w:pPr>
              <w:widowControl/>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云平台授权</w:t>
            </w:r>
          </w:p>
        </w:tc>
        <w:tc>
          <w:tcPr>
            <w:tcW w:w="1134" w:type="dxa"/>
            <w:shd w:val="clear" w:color="auto" w:fill="auto"/>
            <w:vAlign w:val="center"/>
          </w:tcPr>
          <w:p>
            <w:pPr>
              <w:widowControl/>
              <w:jc w:val="center"/>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个</w:t>
            </w:r>
          </w:p>
        </w:tc>
        <w:tc>
          <w:tcPr>
            <w:tcW w:w="1275" w:type="dxa"/>
            <w:shd w:val="clear" w:color="auto" w:fill="auto"/>
            <w:vAlign w:val="center"/>
          </w:tcPr>
          <w:p>
            <w:pPr>
              <w:widowControl/>
              <w:jc w:val="center"/>
              <w:rPr>
                <w:rFonts w:ascii="宋体" w:hAnsi="宋体" w:eastAsia="宋体" w:cs="宋体"/>
                <w:color w:val="auto"/>
                <w:kern w:val="0"/>
                <w:sz w:val="21"/>
                <w:szCs w:val="21"/>
                <w:highlight w:val="none"/>
              </w:rPr>
            </w:pPr>
            <w:r>
              <w:rPr>
                <w:rFonts w:ascii="宋体" w:hAnsi="宋体" w:eastAsia="宋体" w:cs="宋体"/>
                <w:color w:val="auto"/>
                <w:kern w:val="0"/>
                <w:sz w:val="21"/>
                <w:szCs w:val="21"/>
                <w:highlight w:val="none"/>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88" w:type="dxa"/>
            <w:shd w:val="clear" w:color="auto" w:fill="auto"/>
            <w:vAlign w:val="center"/>
          </w:tcPr>
          <w:p>
            <w:pPr>
              <w:widowControl/>
              <w:jc w:val="center"/>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w:t>
            </w:r>
          </w:p>
        </w:tc>
        <w:tc>
          <w:tcPr>
            <w:tcW w:w="5103" w:type="dxa"/>
            <w:shd w:val="clear" w:color="auto" w:fill="auto"/>
            <w:vAlign w:val="center"/>
          </w:tcPr>
          <w:p>
            <w:pPr>
              <w:widowControl/>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FC交换机端口激活</w:t>
            </w:r>
          </w:p>
        </w:tc>
        <w:tc>
          <w:tcPr>
            <w:tcW w:w="1134" w:type="dxa"/>
            <w:shd w:val="clear" w:color="auto" w:fill="auto"/>
            <w:vAlign w:val="center"/>
          </w:tcPr>
          <w:p>
            <w:pPr>
              <w:widowControl/>
              <w:jc w:val="center"/>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项</w:t>
            </w:r>
          </w:p>
        </w:tc>
        <w:tc>
          <w:tcPr>
            <w:tcW w:w="1275" w:type="dxa"/>
            <w:shd w:val="clear" w:color="auto" w:fill="auto"/>
            <w:vAlign w:val="center"/>
          </w:tcPr>
          <w:p>
            <w:pPr>
              <w:widowControl/>
              <w:jc w:val="center"/>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p>
        </w:tc>
      </w:tr>
    </w:tbl>
    <w:p>
      <w:pPr>
        <w:rPr>
          <w:color w:val="auto"/>
          <w:highlight w:val="none"/>
        </w:rPr>
      </w:pPr>
    </w:p>
    <w:p>
      <w:pPr>
        <w:pStyle w:val="6"/>
        <w:rPr>
          <w:color w:val="auto"/>
          <w:highlight w:val="none"/>
        </w:rPr>
      </w:pPr>
      <w:bookmarkStart w:id="93" w:name="_Toc44339572"/>
      <w:bookmarkStart w:id="94" w:name="_Toc44340030"/>
      <w:r>
        <w:rPr>
          <w:rFonts w:hint="eastAsia"/>
          <w:color w:val="auto"/>
          <w:highlight w:val="none"/>
        </w:rPr>
        <w:t>3</w:t>
      </w:r>
      <w:r>
        <w:rPr>
          <w:color w:val="auto"/>
          <w:highlight w:val="none"/>
        </w:rPr>
        <w:t>.2.2</w:t>
      </w:r>
      <w:r>
        <w:rPr>
          <w:rFonts w:hint="eastAsia"/>
          <w:color w:val="auto"/>
          <w:highlight w:val="none"/>
        </w:rPr>
        <w:t>技术要求</w:t>
      </w:r>
      <w:bookmarkEnd w:id="93"/>
      <w:bookmarkEnd w:id="94"/>
    </w:p>
    <w:p>
      <w:pPr>
        <w:pStyle w:val="32"/>
        <w:numPr>
          <w:ilvl w:val="0"/>
          <w:numId w:val="7"/>
        </w:numPr>
        <w:spacing w:line="360" w:lineRule="auto"/>
        <w:ind w:firstLineChars="0"/>
        <w:rPr>
          <w:rFonts w:ascii="宋体" w:hAnsi="宋体" w:eastAsia="宋体"/>
          <w:b/>
          <w:color w:val="auto"/>
          <w:sz w:val="24"/>
          <w:szCs w:val="24"/>
          <w:highlight w:val="none"/>
        </w:rPr>
      </w:pPr>
      <w:r>
        <w:rPr>
          <w:rFonts w:hint="eastAsia" w:ascii="宋体" w:hAnsi="宋体" w:eastAsia="宋体"/>
          <w:b/>
          <w:color w:val="auto"/>
          <w:sz w:val="24"/>
          <w:szCs w:val="24"/>
          <w:highlight w:val="none"/>
        </w:rPr>
        <w:t>计算资源</w:t>
      </w:r>
    </w:p>
    <w:p>
      <w:pPr>
        <w:spacing w:line="360" w:lineRule="auto"/>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规格：4U机架式服务器，标准机箱；</w:t>
      </w:r>
    </w:p>
    <w:p>
      <w:pPr>
        <w:spacing w:line="360" w:lineRule="auto"/>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处理器：≥四个Intel至强可扩展处理器 主频≥2.3GHz ≥16核，L3缓存≥22MB，可选最大可支持至28核处理器；</w:t>
      </w:r>
    </w:p>
    <w:p>
      <w:pPr>
        <w:spacing w:line="360" w:lineRule="auto"/>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内存：≥</w:t>
      </w:r>
      <w:r>
        <w:rPr>
          <w:rFonts w:ascii="宋体" w:hAnsi="宋体" w:eastAsia="宋体"/>
          <w:color w:val="auto"/>
          <w:sz w:val="21"/>
          <w:szCs w:val="21"/>
          <w:highlight w:val="none"/>
        </w:rPr>
        <w:t>48</w:t>
      </w:r>
      <w:r>
        <w:rPr>
          <w:rFonts w:hint="eastAsia" w:ascii="宋体" w:hAnsi="宋体" w:eastAsia="宋体"/>
          <w:color w:val="auto"/>
          <w:sz w:val="21"/>
          <w:szCs w:val="21"/>
          <w:highlight w:val="none"/>
        </w:rPr>
        <w:t>根32GB DDR4，支持≥3TB内存扩展或支持48根内存插槽，支持单条64GB)；</w:t>
      </w:r>
    </w:p>
    <w:p>
      <w:pPr>
        <w:spacing w:line="360" w:lineRule="auto"/>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系统盘：配置≥2块400GB SAS SSD(独立阵列，配置RAID1）；</w:t>
      </w:r>
    </w:p>
    <w:p>
      <w:pPr>
        <w:spacing w:line="360" w:lineRule="auto"/>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数据盘：配置≥4块3.2TB Mainstream NVMe 热插拔 SSD（企业级）；配置≥4块</w:t>
      </w:r>
      <w:r>
        <w:rPr>
          <w:rFonts w:ascii="宋体" w:hAnsi="宋体" w:eastAsia="宋体"/>
          <w:color w:val="auto"/>
          <w:sz w:val="21"/>
          <w:szCs w:val="21"/>
          <w:highlight w:val="none"/>
        </w:rPr>
        <w:t>7.68TB SSD数据中心企业级固态硬盘</w:t>
      </w:r>
      <w:r>
        <w:rPr>
          <w:rFonts w:hint="eastAsia" w:ascii="宋体" w:hAnsi="宋体" w:eastAsia="宋体"/>
          <w:color w:val="auto"/>
          <w:sz w:val="21"/>
          <w:szCs w:val="21"/>
          <w:highlight w:val="none"/>
        </w:rPr>
        <w:t>；</w:t>
      </w:r>
    </w:p>
    <w:p>
      <w:pPr>
        <w:spacing w:line="360" w:lineRule="auto"/>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硬盘扩展：热插拔硬盘插槽,支持≥16个2.5英寸硬盘扩展；硬盘背板需支持直连NVMe PCIe SSD硬盘，并配置NVMe交换机适配器；</w:t>
      </w:r>
    </w:p>
    <w:p>
      <w:pPr>
        <w:spacing w:line="360" w:lineRule="auto"/>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阵列卡：配置≥1块独立12Gb阵列卡，配</w:t>
      </w:r>
      <w:r>
        <w:rPr>
          <w:rFonts w:ascii="宋体" w:hAnsi="宋体" w:eastAsia="宋体"/>
          <w:color w:val="auto"/>
          <w:sz w:val="21"/>
          <w:szCs w:val="21"/>
          <w:highlight w:val="none"/>
        </w:rPr>
        <w:t>4</w:t>
      </w:r>
      <w:r>
        <w:rPr>
          <w:rFonts w:hint="eastAsia" w:ascii="宋体" w:hAnsi="宋体" w:eastAsia="宋体"/>
          <w:color w:val="auto"/>
          <w:sz w:val="21"/>
          <w:szCs w:val="21"/>
          <w:highlight w:val="none"/>
        </w:rPr>
        <w:t>GB缓存，支持0/1/10/5/50/6/60 RAID级别，带电池保护，支持8GB闪存；</w:t>
      </w:r>
    </w:p>
    <w:p>
      <w:pPr>
        <w:spacing w:line="360" w:lineRule="auto"/>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网卡：配置≥</w:t>
      </w:r>
      <w:r>
        <w:rPr>
          <w:rFonts w:ascii="宋体" w:hAnsi="宋体" w:eastAsia="宋体"/>
          <w:color w:val="auto"/>
          <w:sz w:val="21"/>
          <w:szCs w:val="21"/>
          <w:highlight w:val="none"/>
        </w:rPr>
        <w:t>4</w:t>
      </w:r>
      <w:r>
        <w:rPr>
          <w:rFonts w:hint="eastAsia" w:ascii="宋体" w:hAnsi="宋体" w:eastAsia="宋体"/>
          <w:color w:val="auto"/>
          <w:sz w:val="21"/>
          <w:szCs w:val="21"/>
          <w:highlight w:val="none"/>
        </w:rPr>
        <w:t>块双口万兆光纤网卡（含模块），≥标配4个千兆以太网控制器，≥1个专用的管理端口；</w:t>
      </w:r>
    </w:p>
    <w:p>
      <w:pPr>
        <w:spacing w:line="360" w:lineRule="auto"/>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 xml:space="preserve">电源：实配电源输出功率≥1100W 电源，≥1+1热插拔冗余电源。服务器管理软件：提供硬件集中式资源管理系统，可简化基础结构管理、加快响应和提高硬件系统可用性，可自动发现、清点、跟踪、监控和配置服务器、网络和存储硬件，提供如下功能： </w:t>
      </w:r>
    </w:p>
    <w:p>
      <w:pPr>
        <w:spacing w:line="360" w:lineRule="auto"/>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1）硬件管理：可免代理进行硬件管理，可自动发现可管理的设备（包括服务器、网络和存储硬件）。</w:t>
      </w:r>
    </w:p>
    <w:p>
      <w:pPr>
        <w:spacing w:line="360" w:lineRule="auto"/>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2）硬件监控：可集中查看从受管设备生成的所有事件和警报，事件或警报将传递到集中管理平台，显示在事件或警报日志中，可从仪表板和状态栏中查看所有事件和警报的摘要，同时可查看特定设备的警报和事件详细信息。</w:t>
      </w:r>
    </w:p>
    <w:p>
      <w:pPr>
        <w:spacing w:line="360" w:lineRule="auto"/>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3）操作系统批量部署：可管理操作系统映像的存储库以及可同时将操作系统映像部署到≥20 台受管服务器。</w:t>
      </w:r>
    </w:p>
    <w:p>
      <w:pPr>
        <w:spacing w:line="360" w:lineRule="auto"/>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 xml:space="preserve">4）配置管理：可使用一致的配置快速配置和预先配置所有服务器。 </w:t>
      </w:r>
    </w:p>
    <w:p>
      <w:pPr>
        <w:spacing w:line="360" w:lineRule="auto"/>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5）固件合规性和更新：可集中将固件合规性策略分配给受管设备。</w:t>
      </w:r>
    </w:p>
    <w:p>
      <w:pPr>
        <w:spacing w:line="360" w:lineRule="auto"/>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6）用户管理：支持集中认证服务器管理用户帐户和认证用户凭证。</w:t>
      </w:r>
    </w:p>
    <w:p>
      <w:pPr>
        <w:spacing w:line="360" w:lineRule="auto"/>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7）主流管理平台集成：提供Microsoft Systems Center 和Vmware vCenter 集成的插件模块（须提供插件下载网址）。</w:t>
      </w:r>
    </w:p>
    <w:p>
      <w:pPr>
        <w:spacing w:line="360" w:lineRule="auto"/>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8）移动APP 管理功能：提供支持Android 和 iOS 的移动APP，通过APP 可以集中监控查看设备的状态、审计日志和报警信息。（须提供移动APP 下载网址）。</w:t>
      </w:r>
    </w:p>
    <w:p>
      <w:pPr>
        <w:spacing w:line="360" w:lineRule="auto"/>
        <w:ind w:left="479" w:leftChars="228"/>
        <w:rPr>
          <w:rFonts w:ascii="宋体" w:hAnsi="宋体" w:eastAsia="宋体"/>
          <w:color w:val="auto"/>
          <w:sz w:val="21"/>
          <w:szCs w:val="21"/>
          <w:highlight w:val="none"/>
        </w:rPr>
      </w:pPr>
      <w:r>
        <w:rPr>
          <w:rFonts w:hint="eastAsia" w:ascii="宋体" w:hAnsi="宋体" w:eastAsia="宋体"/>
          <w:color w:val="auto"/>
          <w:sz w:val="21"/>
          <w:szCs w:val="21"/>
          <w:highlight w:val="none"/>
        </w:rPr>
        <w:t>服务要求：3 年7x24小时保修服务，全国部分城市宕机4 小时上门服务。可靠性：提供平均无故障时间不低于150000小时产品检验合格证书。</w:t>
      </w:r>
    </w:p>
    <w:p>
      <w:pPr>
        <w:pStyle w:val="32"/>
        <w:numPr>
          <w:ilvl w:val="0"/>
          <w:numId w:val="7"/>
        </w:numPr>
        <w:spacing w:line="360" w:lineRule="auto"/>
        <w:ind w:firstLineChars="0"/>
        <w:rPr>
          <w:rFonts w:ascii="宋体" w:hAnsi="宋体" w:eastAsia="宋体"/>
          <w:b/>
          <w:color w:val="auto"/>
          <w:sz w:val="24"/>
          <w:szCs w:val="24"/>
          <w:highlight w:val="none"/>
        </w:rPr>
      </w:pPr>
      <w:r>
        <w:rPr>
          <w:rFonts w:hint="eastAsia" w:ascii="宋体" w:hAnsi="宋体" w:eastAsia="宋体"/>
          <w:b/>
          <w:color w:val="auto"/>
          <w:sz w:val="24"/>
          <w:szCs w:val="24"/>
          <w:highlight w:val="none"/>
        </w:rPr>
        <w:t>云平台授权</w:t>
      </w:r>
    </w:p>
    <w:p>
      <w:pPr>
        <w:spacing w:line="360" w:lineRule="auto"/>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虚拟化软件非OEM或贴牌产品，禁止借用第三方软件的整合，以保证功能的可靠性和安全性（提供软件著作权证书并加盖制造商公章作为证明材料）</w:t>
      </w:r>
    </w:p>
    <w:p>
      <w:pPr>
        <w:spacing w:line="360" w:lineRule="auto"/>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兼容性要求：虚拟机支持市场上主流的国内外操作系统，包括Windows、RedHat、CentOS、Ubuntu、SUSE、Fedora、FreeBSD、统信、银河麒麟、中标麒麟、普华、深度、一铭、凝思等。</w:t>
      </w:r>
    </w:p>
    <w:p>
      <w:pPr>
        <w:spacing w:line="360" w:lineRule="auto"/>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虚拟机可以实现物理机的全部功能，如具有自己的资源（内存、CPU、网卡、存储），可以指定单独的IP地址、MAC地址等。</w:t>
      </w:r>
    </w:p>
    <w:p>
      <w:pPr>
        <w:spacing w:line="360" w:lineRule="auto"/>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平台应提供虚拟交换机的图形化展示，集中化展示虚拟交换机端口使用情况，通过点击虚拟交换机端口，可以快速查看端口详细信息和端口流量实时监控，提供可视化的监控界面降低运维难度，快速掌握网络流量情况。</w:t>
      </w:r>
    </w:p>
    <w:p>
      <w:pPr>
        <w:spacing w:line="360" w:lineRule="auto"/>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虚拟化管理平台内置在线p2v、v2v迁移工具，支持对医院现有平台的迁移功能，提升被迁移业务平台的普适性、降低业务上云的难度，降低运维工作量。（要求提供CNAS认可的检测机构出具的检测报告及检测结果截图页加盖制造商公章作为证明材料）</w:t>
      </w:r>
    </w:p>
    <w:p>
      <w:pPr>
        <w:spacing w:line="360" w:lineRule="auto"/>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平台支持集群动态资源调度功能，可基于主机的算力（CPU利用率、内存利用率）、存储（磁盘I/O、磁盘容量利用率、磁盘请求）、网络（网络流量）等资源对虚拟机进行动态资源调度，实现自动化的计算、存储、网络等资源分配和负载均衡功能，使虚拟机获得良好的性能资源，避免将虚拟机放置或迁移到已经网络饱和的主机上，确保云环境的服务水平，为业务系统提供健康可用的资源环境。（提供功能截图证明并加盖制造商公章作为证明材料）</w:t>
      </w:r>
    </w:p>
    <w:p>
      <w:pPr>
        <w:spacing w:line="360" w:lineRule="auto"/>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平台提供统一的虚拟化管理界面和单独的计算节点管理界面，在虚拟化管理界面故障时，可以通过计算节点管理界面对所在宿主机和虚拟机进行管理运维，提供虚拟机启动、配置、关闭、重启、休眠、删除等生命周期管理，提供虚拟机及主机性能监控、告警管理等，保障业务稳定运行。（提供功能截图证明并加盖制造商公章作为证明材料）</w:t>
      </w:r>
    </w:p>
    <w:p>
      <w:pPr>
        <w:spacing w:line="360" w:lineRule="auto"/>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支持当虚拟机的CPU、内存利用率超过设置的阈值时，在虚拟机操作系统本身支持资源热添加的前提下，系统将自动为该虚拟机增加相应的CPU和内存资源，无需人工干预。（提供功能截图证明并加盖制造商公章作为证明材料）</w:t>
      </w:r>
    </w:p>
    <w:p>
      <w:pPr>
        <w:spacing w:line="360" w:lineRule="auto"/>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支持监控虚拟机应用进程的运行状态，在虚拟机应用进程故障时，重启应用或重启虚拟机，最小化业务宕机时间，支持Tomcat、IIS、HTTP Server、SharePoint等应用。（提供功能截图证明并加盖制造商公章作为证明材料）</w:t>
      </w:r>
    </w:p>
    <w:p>
      <w:pPr>
        <w:spacing w:line="360" w:lineRule="auto"/>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提供虚拟机回收站功能，防止因虚拟机误删除导致数据丢失，支持设置回收站文件保存周期，超期的文件将被自动删除，支持批量销毁或还原虚拟机。</w:t>
      </w:r>
    </w:p>
    <w:p>
      <w:pPr>
        <w:spacing w:line="360" w:lineRule="auto"/>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支持批量修改虚拟机的配置参数，包括：CPU调度优先级、CPU个数、内存优先级、内存大小、I/O优先级、启动优先级、是否自动迁移、tools自动升级等。</w:t>
      </w:r>
    </w:p>
    <w:p>
      <w:pPr>
        <w:spacing w:line="360" w:lineRule="auto"/>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本次扩容，需同时完成现有云平台的版本升级服务。</w:t>
      </w:r>
    </w:p>
    <w:p>
      <w:pPr>
        <w:spacing w:line="360" w:lineRule="auto"/>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要求与用户现有虚拟化资源池融合构建统一融合计算资源池，业务虚拟机可以自动在线迁移。（提供原厂证明并同时提供本次项目原厂工程师实施证明）。</w:t>
      </w:r>
    </w:p>
    <w:p>
      <w:pPr>
        <w:pStyle w:val="32"/>
        <w:numPr>
          <w:ilvl w:val="0"/>
          <w:numId w:val="7"/>
        </w:numPr>
        <w:spacing w:line="360" w:lineRule="auto"/>
        <w:ind w:firstLineChars="0"/>
        <w:rPr>
          <w:rFonts w:ascii="宋体" w:hAnsi="宋体" w:eastAsia="宋体"/>
          <w:b/>
          <w:color w:val="auto"/>
          <w:sz w:val="24"/>
          <w:szCs w:val="24"/>
          <w:highlight w:val="none"/>
        </w:rPr>
      </w:pPr>
      <w:r>
        <w:rPr>
          <w:rFonts w:hint="eastAsia" w:ascii="宋体" w:hAnsi="宋体" w:eastAsia="宋体"/>
          <w:b/>
          <w:color w:val="auto"/>
          <w:sz w:val="24"/>
          <w:szCs w:val="24"/>
          <w:highlight w:val="none"/>
        </w:rPr>
        <w:t>FC交换机端口激活</w:t>
      </w:r>
    </w:p>
    <w:p>
      <w:pPr>
        <w:pStyle w:val="54"/>
        <w:spacing w:line="360" w:lineRule="auto"/>
        <w:ind w:firstLine="480"/>
        <w:rPr>
          <w:rFonts w:ascii="宋体" w:hAnsi="宋体"/>
          <w:color w:val="auto"/>
          <w:sz w:val="21"/>
          <w:szCs w:val="21"/>
          <w:highlight w:val="none"/>
        </w:rPr>
      </w:pPr>
      <w:r>
        <w:rPr>
          <w:rFonts w:hint="eastAsia" w:ascii="宋体" w:hAnsi="宋体" w:cs="宋体"/>
          <w:color w:val="auto"/>
          <w:sz w:val="21"/>
          <w:szCs w:val="21"/>
          <w:highlight w:val="none"/>
        </w:rPr>
        <w:t>对原有存储交换机端口新增扩容激活≥16个16GB FC端口授权，含≥16个16GB多模光模块，并含所需多模光纤跳线等附件；负责3年的维保工作。</w:t>
      </w:r>
    </w:p>
    <w:p>
      <w:pPr>
        <w:pStyle w:val="5"/>
        <w:keepNext/>
        <w:keepLines/>
        <w:pageBreakBefore w:val="0"/>
        <w:widowControl w:val="0"/>
        <w:kinsoku/>
        <w:wordWrap/>
        <w:overflowPunct/>
        <w:topLinePunct w:val="0"/>
        <w:autoSpaceDE/>
        <w:autoSpaceDN/>
        <w:bidi w:val="0"/>
        <w:adjustRightInd/>
        <w:snapToGrid/>
        <w:ind w:firstLine="0"/>
        <w:jc w:val="left"/>
        <w:textAlignment w:val="auto"/>
        <w:rPr>
          <w:rFonts w:hint="eastAsia" w:ascii="宋体" w:hAnsi="宋体" w:eastAsia="宋体" w:cs="宋体"/>
          <w:color w:val="auto"/>
          <w:sz w:val="28"/>
          <w:szCs w:val="28"/>
          <w:highlight w:val="none"/>
        </w:rPr>
      </w:pPr>
      <w:bookmarkStart w:id="95" w:name="_Toc19796"/>
      <w:bookmarkStart w:id="96" w:name="_Toc25503"/>
      <w:r>
        <w:rPr>
          <w:rFonts w:hint="eastAsia" w:ascii="宋体" w:hAnsi="宋体" w:eastAsia="宋体" w:cs="宋体"/>
          <w:color w:val="auto"/>
          <w:sz w:val="28"/>
          <w:szCs w:val="28"/>
          <w:highlight w:val="none"/>
        </w:rPr>
        <w:t>3.3外网云扩容</w:t>
      </w:r>
      <w:bookmarkEnd w:id="95"/>
      <w:bookmarkEnd w:id="96"/>
    </w:p>
    <w:p>
      <w:pPr>
        <w:pStyle w:val="6"/>
        <w:rPr>
          <w:color w:val="auto"/>
          <w:highlight w:val="none"/>
        </w:rPr>
      </w:pPr>
      <w:r>
        <w:rPr>
          <w:rFonts w:hint="eastAsia"/>
          <w:color w:val="auto"/>
          <w:highlight w:val="none"/>
        </w:rPr>
        <w:t>3</w:t>
      </w:r>
      <w:r>
        <w:rPr>
          <w:color w:val="auto"/>
          <w:highlight w:val="none"/>
        </w:rPr>
        <w:t>.3.1</w:t>
      </w:r>
      <w:r>
        <w:rPr>
          <w:rFonts w:hint="eastAsia"/>
          <w:color w:val="auto"/>
          <w:highlight w:val="none"/>
        </w:rPr>
        <w:t>产品数量</w:t>
      </w:r>
    </w:p>
    <w:tbl>
      <w:tblPr>
        <w:tblStyle w:val="23"/>
        <w:tblW w:w="8359" w:type="dxa"/>
        <w:tblInd w:w="0" w:type="dxa"/>
        <w:tblLayout w:type="autofit"/>
        <w:tblCellMar>
          <w:top w:w="0" w:type="dxa"/>
          <w:left w:w="108" w:type="dxa"/>
          <w:bottom w:w="0" w:type="dxa"/>
          <w:right w:w="108" w:type="dxa"/>
        </w:tblCellMar>
      </w:tblPr>
      <w:tblGrid>
        <w:gridCol w:w="803"/>
        <w:gridCol w:w="5288"/>
        <w:gridCol w:w="1134"/>
        <w:gridCol w:w="1134"/>
      </w:tblGrid>
      <w:tr>
        <w:tblPrEx>
          <w:tblCellMar>
            <w:top w:w="0" w:type="dxa"/>
            <w:left w:w="108" w:type="dxa"/>
            <w:bottom w:w="0" w:type="dxa"/>
            <w:right w:w="108" w:type="dxa"/>
          </w:tblCellMar>
        </w:tblPrEx>
        <w:trPr>
          <w:trHeight w:val="454" w:hRule="atLeast"/>
        </w:trPr>
        <w:tc>
          <w:tcPr>
            <w:tcW w:w="80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1"/>
                <w:szCs w:val="21"/>
                <w:highlight w:val="none"/>
              </w:rPr>
            </w:pPr>
            <w:r>
              <w:rPr>
                <w:rFonts w:hint="eastAsia" w:ascii="宋体" w:hAnsi="宋体" w:eastAsia="宋体" w:cs="宋体"/>
                <w:b/>
                <w:bCs/>
                <w:color w:val="auto"/>
                <w:kern w:val="0"/>
                <w:sz w:val="21"/>
                <w:szCs w:val="21"/>
                <w:highlight w:val="none"/>
              </w:rPr>
              <w:t>序号</w:t>
            </w:r>
          </w:p>
        </w:tc>
        <w:tc>
          <w:tcPr>
            <w:tcW w:w="528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1"/>
                <w:szCs w:val="21"/>
                <w:highlight w:val="none"/>
              </w:rPr>
            </w:pPr>
            <w:r>
              <w:rPr>
                <w:rFonts w:hint="eastAsia" w:ascii="宋体" w:hAnsi="宋体" w:eastAsia="宋体" w:cs="宋体"/>
                <w:b/>
                <w:bCs/>
                <w:color w:val="auto"/>
                <w:kern w:val="0"/>
                <w:sz w:val="21"/>
                <w:szCs w:val="21"/>
                <w:highlight w:val="none"/>
              </w:rPr>
              <w:t>名称</w:t>
            </w:r>
          </w:p>
        </w:tc>
        <w:tc>
          <w:tcPr>
            <w:tcW w:w="1134"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单位</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1"/>
                <w:szCs w:val="21"/>
                <w:highlight w:val="none"/>
              </w:rPr>
            </w:pPr>
            <w:r>
              <w:rPr>
                <w:rFonts w:hint="eastAsia" w:ascii="宋体" w:hAnsi="宋体" w:eastAsia="宋体" w:cs="宋体"/>
                <w:b/>
                <w:bCs/>
                <w:color w:val="auto"/>
                <w:kern w:val="0"/>
                <w:sz w:val="21"/>
                <w:szCs w:val="21"/>
                <w:highlight w:val="none"/>
              </w:rPr>
              <w:t>数量</w:t>
            </w:r>
          </w:p>
        </w:tc>
      </w:tr>
      <w:tr>
        <w:tblPrEx>
          <w:tblCellMar>
            <w:top w:w="0" w:type="dxa"/>
            <w:left w:w="108" w:type="dxa"/>
            <w:bottom w:w="0" w:type="dxa"/>
            <w:right w:w="108" w:type="dxa"/>
          </w:tblCellMar>
        </w:tblPrEx>
        <w:trPr>
          <w:trHeight w:val="454" w:hRule="atLeast"/>
        </w:trPr>
        <w:tc>
          <w:tcPr>
            <w:tcW w:w="80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p>
        </w:tc>
        <w:tc>
          <w:tcPr>
            <w:tcW w:w="5288" w:type="dxa"/>
            <w:tcBorders>
              <w:top w:val="single" w:color="auto" w:sz="4" w:space="0"/>
              <w:left w:val="nil"/>
              <w:bottom w:val="single" w:color="auto" w:sz="4" w:space="0"/>
              <w:right w:val="single" w:color="auto" w:sz="4" w:space="0"/>
            </w:tcBorders>
            <w:shd w:val="clear" w:color="auto" w:fill="auto"/>
            <w:vAlign w:val="center"/>
          </w:tcPr>
          <w:p>
            <w:pPr>
              <w:widowControl/>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计算资源</w:t>
            </w:r>
          </w:p>
        </w:tc>
        <w:tc>
          <w:tcPr>
            <w:tcW w:w="1134"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auto"/>
                <w:kern w:val="0"/>
                <w:sz w:val="21"/>
                <w:szCs w:val="21"/>
                <w:highlight w:val="none"/>
              </w:rPr>
            </w:pPr>
            <w:r>
              <w:rPr>
                <w:rFonts w:ascii="宋体" w:hAnsi="宋体" w:eastAsia="宋体" w:cs="宋体"/>
                <w:color w:val="auto"/>
                <w:kern w:val="0"/>
                <w:sz w:val="21"/>
                <w:szCs w:val="21"/>
                <w:highlight w:val="none"/>
              </w:rPr>
              <w:t>5</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台</w:t>
            </w:r>
          </w:p>
        </w:tc>
      </w:tr>
      <w:tr>
        <w:tblPrEx>
          <w:tblCellMar>
            <w:top w:w="0" w:type="dxa"/>
            <w:left w:w="108" w:type="dxa"/>
            <w:bottom w:w="0" w:type="dxa"/>
            <w:right w:w="108" w:type="dxa"/>
          </w:tblCellMar>
        </w:tblPrEx>
        <w:trPr>
          <w:trHeight w:val="454" w:hRule="atLeast"/>
        </w:trPr>
        <w:tc>
          <w:tcPr>
            <w:tcW w:w="80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w:t>
            </w:r>
          </w:p>
        </w:tc>
        <w:tc>
          <w:tcPr>
            <w:tcW w:w="5288"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云平台授权</w:t>
            </w:r>
          </w:p>
        </w:tc>
        <w:tc>
          <w:tcPr>
            <w:tcW w:w="1134"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auto"/>
                <w:kern w:val="0"/>
                <w:sz w:val="21"/>
                <w:szCs w:val="21"/>
                <w:highlight w:val="none"/>
              </w:rPr>
            </w:pPr>
            <w:r>
              <w:rPr>
                <w:rFonts w:ascii="宋体" w:hAnsi="宋体" w:eastAsia="宋体" w:cs="宋体"/>
                <w:color w:val="auto"/>
                <w:kern w:val="0"/>
                <w:sz w:val="21"/>
                <w:szCs w:val="21"/>
                <w:highlight w:val="none"/>
              </w:rPr>
              <w:t>20</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个</w:t>
            </w:r>
          </w:p>
        </w:tc>
      </w:tr>
    </w:tbl>
    <w:p>
      <w:pPr>
        <w:pStyle w:val="6"/>
        <w:rPr>
          <w:color w:val="auto"/>
          <w:highlight w:val="none"/>
        </w:rPr>
      </w:pPr>
      <w:r>
        <w:rPr>
          <w:rFonts w:hint="eastAsia"/>
          <w:color w:val="auto"/>
          <w:highlight w:val="none"/>
        </w:rPr>
        <w:t>3</w:t>
      </w:r>
      <w:r>
        <w:rPr>
          <w:color w:val="auto"/>
          <w:highlight w:val="none"/>
        </w:rPr>
        <w:t>.3.2</w:t>
      </w:r>
      <w:r>
        <w:rPr>
          <w:rFonts w:hint="eastAsia"/>
          <w:color w:val="auto"/>
          <w:highlight w:val="none"/>
        </w:rPr>
        <w:t>技术要求</w:t>
      </w:r>
    </w:p>
    <w:p>
      <w:pPr>
        <w:spacing w:line="360" w:lineRule="auto"/>
        <w:rPr>
          <w:rFonts w:ascii="宋体" w:hAnsi="宋体" w:eastAsia="宋体"/>
          <w:b/>
          <w:bCs/>
          <w:color w:val="auto"/>
          <w:sz w:val="24"/>
          <w:szCs w:val="24"/>
          <w:highlight w:val="none"/>
        </w:rPr>
      </w:pPr>
      <w:r>
        <w:rPr>
          <w:rFonts w:hint="eastAsia" w:ascii="宋体" w:hAnsi="宋体" w:eastAsia="宋体"/>
          <w:b/>
          <w:bCs/>
          <w:color w:val="auto"/>
          <w:sz w:val="24"/>
          <w:szCs w:val="24"/>
          <w:highlight w:val="none"/>
        </w:rPr>
        <w:t>（1）计算资源</w:t>
      </w:r>
    </w:p>
    <w:p>
      <w:pPr>
        <w:spacing w:line="360" w:lineRule="auto"/>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规格：4U机架式服务器，标准机箱；</w:t>
      </w:r>
    </w:p>
    <w:p>
      <w:pPr>
        <w:spacing w:line="360" w:lineRule="auto"/>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处理器：≥四个Intel至强可扩展处理器 主频≥2.3GHz ≥16核，L3缓存≥22MB，可选最大可支持至28核处理器；</w:t>
      </w:r>
    </w:p>
    <w:p>
      <w:pPr>
        <w:spacing w:line="360" w:lineRule="auto"/>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内存：≥</w:t>
      </w:r>
      <w:r>
        <w:rPr>
          <w:rFonts w:ascii="宋体" w:hAnsi="宋体" w:eastAsia="宋体"/>
          <w:color w:val="auto"/>
          <w:sz w:val="21"/>
          <w:szCs w:val="21"/>
          <w:highlight w:val="none"/>
        </w:rPr>
        <w:t>48</w:t>
      </w:r>
      <w:r>
        <w:rPr>
          <w:rFonts w:hint="eastAsia" w:ascii="宋体" w:hAnsi="宋体" w:eastAsia="宋体"/>
          <w:color w:val="auto"/>
          <w:sz w:val="21"/>
          <w:szCs w:val="21"/>
          <w:highlight w:val="none"/>
        </w:rPr>
        <w:t>根32GB DDR4，支持≥3TB内存扩展或支持48根内存插槽，支持单条64GB)；</w:t>
      </w:r>
    </w:p>
    <w:p>
      <w:pPr>
        <w:spacing w:line="360" w:lineRule="auto"/>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系统盘：配置≥2块400GB SAS SSD(独立阵列，配置RAID1）；</w:t>
      </w:r>
    </w:p>
    <w:p>
      <w:pPr>
        <w:spacing w:line="360" w:lineRule="auto"/>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数据盘：配置≥4块3.2TB Mainstream NVMe 热插拔 SSD（企业级）；配置≥4块</w:t>
      </w:r>
      <w:r>
        <w:rPr>
          <w:rFonts w:ascii="宋体" w:hAnsi="宋体" w:eastAsia="宋体"/>
          <w:color w:val="auto"/>
          <w:sz w:val="21"/>
          <w:szCs w:val="21"/>
          <w:highlight w:val="none"/>
        </w:rPr>
        <w:t>7.68TB SSD数据中心企业级固态硬盘</w:t>
      </w:r>
      <w:r>
        <w:rPr>
          <w:rFonts w:hint="eastAsia" w:ascii="宋体" w:hAnsi="宋体" w:eastAsia="宋体"/>
          <w:color w:val="auto"/>
          <w:sz w:val="21"/>
          <w:szCs w:val="21"/>
          <w:highlight w:val="none"/>
        </w:rPr>
        <w:t>；</w:t>
      </w:r>
    </w:p>
    <w:p>
      <w:pPr>
        <w:spacing w:line="360" w:lineRule="auto"/>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硬盘扩展：热插拔硬盘插槽,支持≥16个2.5英寸硬盘扩展；硬盘背板需支持直连NVMe PCIe SSD硬盘，并配置NVMe交换机适配器；</w:t>
      </w:r>
    </w:p>
    <w:p>
      <w:pPr>
        <w:spacing w:line="360" w:lineRule="auto"/>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阵列卡：配置≥1块独立12Gb阵列卡，配</w:t>
      </w:r>
      <w:r>
        <w:rPr>
          <w:rFonts w:ascii="宋体" w:hAnsi="宋体" w:eastAsia="宋体"/>
          <w:color w:val="auto"/>
          <w:sz w:val="21"/>
          <w:szCs w:val="21"/>
          <w:highlight w:val="none"/>
        </w:rPr>
        <w:t>4</w:t>
      </w:r>
      <w:r>
        <w:rPr>
          <w:rFonts w:hint="eastAsia" w:ascii="宋体" w:hAnsi="宋体" w:eastAsia="宋体"/>
          <w:color w:val="auto"/>
          <w:sz w:val="21"/>
          <w:szCs w:val="21"/>
          <w:highlight w:val="none"/>
        </w:rPr>
        <w:t>GB缓存，支持0/1/10/5/50/6/60 RAID级别，带电池保护，支持8GB闪存；</w:t>
      </w:r>
    </w:p>
    <w:p>
      <w:pPr>
        <w:spacing w:line="360" w:lineRule="auto"/>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网卡：配置≥</w:t>
      </w:r>
      <w:r>
        <w:rPr>
          <w:rFonts w:ascii="宋体" w:hAnsi="宋体" w:eastAsia="宋体"/>
          <w:color w:val="auto"/>
          <w:sz w:val="21"/>
          <w:szCs w:val="21"/>
          <w:highlight w:val="none"/>
        </w:rPr>
        <w:t>4</w:t>
      </w:r>
      <w:r>
        <w:rPr>
          <w:rFonts w:hint="eastAsia" w:ascii="宋体" w:hAnsi="宋体" w:eastAsia="宋体"/>
          <w:color w:val="auto"/>
          <w:sz w:val="21"/>
          <w:szCs w:val="21"/>
          <w:highlight w:val="none"/>
        </w:rPr>
        <w:t>块双口万兆光纤网卡（含模块），≥标配4个千兆以太网控制器，≥1个专用的管理端口；</w:t>
      </w:r>
    </w:p>
    <w:p>
      <w:pPr>
        <w:spacing w:line="360" w:lineRule="auto"/>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 xml:space="preserve">电源：实配电源输出功率≥1100W 电源，≥1+1热插拔冗余电源。服务器管理软件：提供硬件集中式资源管理系统，可简化基础结构管理、加快响应和提高硬件系统可用性，可自动发现、清点、跟踪、监控和配置服务器、网络和存储硬件，提供如下功能： </w:t>
      </w:r>
    </w:p>
    <w:p>
      <w:pPr>
        <w:spacing w:line="360" w:lineRule="auto"/>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1）硬件管理：可免代理进行硬件管理，可自动发现可管理的设备（包括服务器、网络和存储硬件）。</w:t>
      </w:r>
    </w:p>
    <w:p>
      <w:pPr>
        <w:spacing w:line="360" w:lineRule="auto"/>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2）硬件监控：可集中查看从受管设备生成的所有事件和警报，事件或警报将传递到集中管理平台，显示在事件或警报日志中，可从仪表板和状态栏中查看所有事件和警报的摘要，同时可查看特定设备的警报和事件详细信息。</w:t>
      </w:r>
    </w:p>
    <w:p>
      <w:pPr>
        <w:spacing w:line="360" w:lineRule="auto"/>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3）操作系统批量部署：可管理操作系统映像的存储库以及可同时将操作系统映像部署到≥20 台受管服务器。</w:t>
      </w:r>
    </w:p>
    <w:p>
      <w:pPr>
        <w:spacing w:line="360" w:lineRule="auto"/>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 xml:space="preserve">4）配置管理：可使用一致的配置快速配置和预先配置所有服务器。 </w:t>
      </w:r>
    </w:p>
    <w:p>
      <w:pPr>
        <w:spacing w:line="360" w:lineRule="auto"/>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5）固件合规性和更新：可集中将固件合规性策略分配给受管设备。</w:t>
      </w:r>
    </w:p>
    <w:p>
      <w:pPr>
        <w:spacing w:line="360" w:lineRule="auto"/>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6）用户管理：支持集中认证服务器管理用户帐户和认证用户凭证。</w:t>
      </w:r>
    </w:p>
    <w:p>
      <w:pPr>
        <w:spacing w:line="360" w:lineRule="auto"/>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7）主流管理平台集成：提供Microsoft Systems Center 和Vmware vCenter 集成的插件模块（须提供插件下载网址）。</w:t>
      </w:r>
    </w:p>
    <w:p>
      <w:pPr>
        <w:spacing w:line="360" w:lineRule="auto"/>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8）移动APP 管理功能：提供支持Android 和 iOS 的移动APP，通过APP 可以集中监控查看设备的状态、审计日志和报警信息。（须提供移动APP 下载网址）。</w:t>
      </w:r>
    </w:p>
    <w:p>
      <w:pPr>
        <w:spacing w:line="360" w:lineRule="auto"/>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服务要求：3 年7x24小时保修服务，全国部分城市宕机4 小时上门服务。可靠性：提供平均无故障时间不低于150000小时产品检验合格证书。</w:t>
      </w:r>
    </w:p>
    <w:p>
      <w:pPr>
        <w:spacing w:line="360" w:lineRule="auto"/>
        <w:ind w:firstLine="482" w:firstLineChars="200"/>
        <w:rPr>
          <w:rFonts w:ascii="宋体" w:hAnsi="宋体" w:eastAsia="宋体"/>
          <w:b/>
          <w:bCs/>
          <w:color w:val="auto"/>
          <w:sz w:val="24"/>
          <w:szCs w:val="24"/>
          <w:highlight w:val="none"/>
        </w:rPr>
      </w:pPr>
      <w:r>
        <w:rPr>
          <w:rFonts w:hint="eastAsia" w:ascii="宋体" w:hAnsi="宋体" w:eastAsia="宋体"/>
          <w:b/>
          <w:bCs/>
          <w:color w:val="auto"/>
          <w:sz w:val="24"/>
          <w:szCs w:val="24"/>
          <w:highlight w:val="none"/>
        </w:rPr>
        <w:t>（2）云平台授权</w:t>
      </w:r>
    </w:p>
    <w:p>
      <w:pPr>
        <w:spacing w:line="360" w:lineRule="auto"/>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虚拟化软件非OEM或贴牌产品，禁止借用第三方软件的整合，以保证功能的可靠性和安全性（提供软件著作权证书并加盖制造商公章作为证明材料）</w:t>
      </w:r>
    </w:p>
    <w:p>
      <w:pPr>
        <w:spacing w:line="360" w:lineRule="auto"/>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兼容性要求：虚拟机支持市场上主流的国内外操作系统，包括Windows、RedHat、CentOS、Ubuntu、SUSE、Fedora、FreeBSD、统信、银河麒麟、中标麒麟、普华、深度、一铭、凝思等。</w:t>
      </w:r>
    </w:p>
    <w:p>
      <w:pPr>
        <w:spacing w:line="360" w:lineRule="auto"/>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虚拟机可以实现物理机的全部功能，如具有自己的资源（内存、CPU、网卡、存储），可以指定单独的IP地址、MAC地址等。</w:t>
      </w:r>
    </w:p>
    <w:p>
      <w:pPr>
        <w:spacing w:line="360" w:lineRule="auto"/>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平台应提供虚拟交换机的图形化展示，集中化展示虚拟交换机端口使用情况，通过点击虚拟交换机端口，可以快速查看端口详细信息和端口流量实时监控，提供可视化的监控界面降低运维难度，快速掌握网络流量情况。</w:t>
      </w:r>
    </w:p>
    <w:p>
      <w:pPr>
        <w:spacing w:line="360" w:lineRule="auto"/>
        <w:ind w:firstLine="420" w:firstLineChars="200"/>
        <w:rPr>
          <w:rFonts w:ascii="宋体" w:hAnsi="宋体" w:eastAsia="宋体"/>
          <w:b/>
          <w:bCs/>
          <w:color w:val="auto"/>
          <w:sz w:val="21"/>
          <w:szCs w:val="21"/>
          <w:highlight w:val="none"/>
        </w:rPr>
      </w:pPr>
      <w:r>
        <w:rPr>
          <w:rFonts w:hint="eastAsia" w:ascii="宋体" w:hAnsi="宋体" w:eastAsia="宋体"/>
          <w:color w:val="auto"/>
          <w:sz w:val="21"/>
          <w:szCs w:val="21"/>
          <w:highlight w:val="none"/>
        </w:rPr>
        <w:t>虚拟化管理平台内置在线p2v、v2v迁移工具，支持对医院现有平台的迁移功能，提升被迁移业务平台的普适性、降低业务上云的难度，降低运维工作量。</w:t>
      </w:r>
      <w:r>
        <w:rPr>
          <w:rFonts w:hint="eastAsia" w:ascii="宋体" w:hAnsi="宋体" w:eastAsia="宋体"/>
          <w:b/>
          <w:bCs/>
          <w:color w:val="auto"/>
          <w:sz w:val="21"/>
          <w:szCs w:val="21"/>
          <w:highlight w:val="none"/>
        </w:rPr>
        <w:t>（要求提供CNAS认可的检测机构出具的检测报告及检测结果截图页加盖制造商公章作为证明材料）</w:t>
      </w:r>
    </w:p>
    <w:p>
      <w:pPr>
        <w:spacing w:line="360" w:lineRule="auto"/>
        <w:ind w:firstLine="420" w:firstLineChars="200"/>
        <w:rPr>
          <w:rFonts w:ascii="宋体" w:hAnsi="宋体" w:eastAsia="宋体"/>
          <w:b/>
          <w:bCs/>
          <w:color w:val="auto"/>
          <w:sz w:val="21"/>
          <w:szCs w:val="21"/>
          <w:highlight w:val="none"/>
        </w:rPr>
      </w:pPr>
      <w:r>
        <w:rPr>
          <w:rFonts w:hint="eastAsia" w:ascii="宋体" w:hAnsi="宋体" w:eastAsia="宋体"/>
          <w:color w:val="auto"/>
          <w:sz w:val="21"/>
          <w:szCs w:val="21"/>
          <w:highlight w:val="none"/>
        </w:rPr>
        <w:t>平台支持集群动态资源调度功能，可基于主机的算力（CPU利用率、内存利用率）、存储（磁盘I/O、磁盘容量利用率、磁盘请求）、网络（网络流量）等资源对虚拟机进行动态资源调度，实现自动化的计算、存储、网络等资源分配和负载均衡功能，使虚拟机获得良好的性能资源，避免将虚拟机放置或迁移到已经网络饱和的主机上，确保云环境的服务水平，为业务系统提供健康可用的资源环境。</w:t>
      </w:r>
      <w:r>
        <w:rPr>
          <w:rFonts w:hint="eastAsia" w:ascii="宋体" w:hAnsi="宋体" w:eastAsia="宋体"/>
          <w:b/>
          <w:bCs/>
          <w:color w:val="auto"/>
          <w:sz w:val="21"/>
          <w:szCs w:val="21"/>
          <w:highlight w:val="none"/>
        </w:rPr>
        <w:t>（提供功能截图证明并加盖制造商公章作为证明材料）</w:t>
      </w:r>
    </w:p>
    <w:p>
      <w:pPr>
        <w:spacing w:line="360" w:lineRule="auto"/>
        <w:ind w:firstLine="420" w:firstLineChars="200"/>
        <w:rPr>
          <w:rFonts w:ascii="宋体" w:hAnsi="宋体" w:eastAsia="宋体"/>
          <w:b/>
          <w:bCs/>
          <w:color w:val="auto"/>
          <w:sz w:val="21"/>
          <w:szCs w:val="21"/>
          <w:highlight w:val="none"/>
        </w:rPr>
      </w:pPr>
      <w:r>
        <w:rPr>
          <w:rFonts w:hint="eastAsia" w:ascii="宋体" w:hAnsi="宋体" w:eastAsia="宋体"/>
          <w:color w:val="auto"/>
          <w:sz w:val="21"/>
          <w:szCs w:val="21"/>
          <w:highlight w:val="none"/>
        </w:rPr>
        <w:t>平台提供统一的虚拟化管理界面和单独的计算节点管理界面，在虚拟化管理界面故障时，可以通过计算节点管理界面对所在宿主机和虚拟机进行管理运维，提供虚拟机启动、配置、关闭、重启、休眠、删除等生命周期管理，提供虚拟机及主机性能监控、告警管理等，保障业务稳定运行。</w:t>
      </w:r>
      <w:r>
        <w:rPr>
          <w:rFonts w:hint="eastAsia" w:ascii="宋体" w:hAnsi="宋体" w:eastAsia="宋体"/>
          <w:b/>
          <w:bCs/>
          <w:color w:val="auto"/>
          <w:sz w:val="21"/>
          <w:szCs w:val="21"/>
          <w:highlight w:val="none"/>
        </w:rPr>
        <w:t>（提供功能截图证明并加盖制造商公章作为证明材料）</w:t>
      </w:r>
    </w:p>
    <w:p>
      <w:pPr>
        <w:spacing w:line="360" w:lineRule="auto"/>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支持当虚拟机的CPU、内存利用率超过设置的阈值时，在虚拟机操作系统本身支持资源热添加的前提下，系统将自动为该虚拟机增加相应的CPU和内存资源，无需人工干预。</w:t>
      </w:r>
      <w:r>
        <w:rPr>
          <w:rFonts w:hint="eastAsia" w:ascii="宋体" w:hAnsi="宋体" w:eastAsia="宋体"/>
          <w:b/>
          <w:bCs/>
          <w:color w:val="auto"/>
          <w:sz w:val="21"/>
          <w:szCs w:val="21"/>
          <w:highlight w:val="none"/>
        </w:rPr>
        <w:t>（提供功能截图证明并加盖制造商公章作为证明材料）</w:t>
      </w:r>
    </w:p>
    <w:p>
      <w:pPr>
        <w:spacing w:line="360" w:lineRule="auto"/>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支持监控虚拟机应用进程的运行状态，在虚拟机应用进程故障时，重启应用或重启虚拟机，最小化业务宕机时间，支持Tomcat、IIS、HTTP Server、SharePoint等应用。</w:t>
      </w:r>
      <w:r>
        <w:rPr>
          <w:rFonts w:hint="eastAsia" w:ascii="宋体" w:hAnsi="宋体" w:eastAsia="宋体"/>
          <w:b/>
          <w:bCs/>
          <w:color w:val="auto"/>
          <w:sz w:val="21"/>
          <w:szCs w:val="21"/>
          <w:highlight w:val="none"/>
        </w:rPr>
        <w:t>（提供功能截图证明并加盖制造商公章作为证明材料）</w:t>
      </w:r>
    </w:p>
    <w:p>
      <w:pPr>
        <w:spacing w:line="360" w:lineRule="auto"/>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提供虚拟机回收站功能，防止因虚拟机误删除导致数据丢失，支持设置回收站文件保存周期，超期的文件将被自动删除，支持批量销毁或还原虚拟机。</w:t>
      </w:r>
    </w:p>
    <w:p>
      <w:pPr>
        <w:spacing w:line="360" w:lineRule="auto"/>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支持批量修改虚拟机的配置参数，包括：CPU调度优先级、CPU个数、内存优先级、内存大小、I/O优先级、启动优先级、是否自动迁移、tools自动升级等。</w:t>
      </w:r>
    </w:p>
    <w:p>
      <w:pPr>
        <w:spacing w:line="360" w:lineRule="auto"/>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本次扩容，需同时完成现有云平台的版本升级服务。</w:t>
      </w:r>
    </w:p>
    <w:p>
      <w:pPr>
        <w:spacing w:line="360" w:lineRule="auto"/>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要求与用户现有虚拟化资源池融合构建统一融合计算资源池，业务虚拟机可以自动在线迁移。</w:t>
      </w:r>
      <w:r>
        <w:rPr>
          <w:rFonts w:hint="eastAsia" w:ascii="宋体" w:hAnsi="宋体" w:eastAsia="宋体"/>
          <w:b/>
          <w:bCs/>
          <w:color w:val="auto"/>
          <w:sz w:val="21"/>
          <w:szCs w:val="21"/>
          <w:highlight w:val="none"/>
        </w:rPr>
        <w:t>（提供原厂证明并同时提供本次项目原厂工程师实施证明）。</w:t>
      </w:r>
    </w:p>
    <w:p>
      <w:pPr>
        <w:pStyle w:val="5"/>
        <w:keepNext/>
        <w:keepLines/>
        <w:pageBreakBefore w:val="0"/>
        <w:widowControl w:val="0"/>
        <w:kinsoku/>
        <w:wordWrap/>
        <w:overflowPunct/>
        <w:topLinePunct w:val="0"/>
        <w:autoSpaceDE/>
        <w:autoSpaceDN/>
        <w:bidi w:val="0"/>
        <w:adjustRightInd/>
        <w:snapToGrid/>
        <w:ind w:firstLine="0"/>
        <w:jc w:val="left"/>
        <w:textAlignment w:val="auto"/>
        <w:rPr>
          <w:rFonts w:hint="eastAsia" w:ascii="宋体" w:hAnsi="宋体" w:eastAsia="宋体" w:cs="宋体"/>
          <w:color w:val="auto"/>
          <w:sz w:val="28"/>
          <w:szCs w:val="28"/>
          <w:highlight w:val="none"/>
        </w:rPr>
      </w:pPr>
      <w:bookmarkStart w:id="97" w:name="_Toc44340031"/>
      <w:bookmarkStart w:id="98" w:name="_Toc44339573"/>
      <w:bookmarkStart w:id="99" w:name="_Toc26176"/>
      <w:bookmarkStart w:id="100" w:name="_Toc20507"/>
      <w:r>
        <w:rPr>
          <w:rFonts w:hint="eastAsia" w:ascii="宋体" w:hAnsi="宋体" w:eastAsia="宋体" w:cs="宋体"/>
          <w:color w:val="auto"/>
          <w:sz w:val="28"/>
          <w:szCs w:val="28"/>
          <w:highlight w:val="none"/>
        </w:rPr>
        <w:t>3.</w:t>
      </w:r>
      <w:bookmarkEnd w:id="97"/>
      <w:bookmarkEnd w:id="98"/>
      <w:r>
        <w:rPr>
          <w:rFonts w:hint="eastAsia" w:ascii="宋体" w:hAnsi="宋体" w:eastAsia="宋体" w:cs="宋体"/>
          <w:color w:val="auto"/>
          <w:sz w:val="28"/>
          <w:szCs w:val="28"/>
          <w:highlight w:val="none"/>
        </w:rPr>
        <w:t>4新集成平台部署</w:t>
      </w:r>
      <w:bookmarkEnd w:id="99"/>
      <w:bookmarkEnd w:id="100"/>
    </w:p>
    <w:p>
      <w:pPr>
        <w:pStyle w:val="6"/>
        <w:rPr>
          <w:color w:val="auto"/>
          <w:highlight w:val="none"/>
        </w:rPr>
      </w:pPr>
      <w:bookmarkStart w:id="101" w:name="_Toc44339574"/>
      <w:bookmarkStart w:id="102" w:name="_Toc44340032"/>
      <w:r>
        <w:rPr>
          <w:rFonts w:hint="eastAsia"/>
          <w:color w:val="auto"/>
          <w:highlight w:val="none"/>
        </w:rPr>
        <w:t>3.4</w:t>
      </w:r>
      <w:r>
        <w:rPr>
          <w:color w:val="auto"/>
          <w:highlight w:val="none"/>
        </w:rPr>
        <w:t>.1</w:t>
      </w:r>
      <w:bookmarkEnd w:id="101"/>
      <w:bookmarkEnd w:id="102"/>
      <w:r>
        <w:rPr>
          <w:rFonts w:hint="eastAsia"/>
          <w:color w:val="auto"/>
          <w:highlight w:val="none"/>
        </w:rPr>
        <w:t>产品数量</w:t>
      </w:r>
    </w:p>
    <w:tbl>
      <w:tblPr>
        <w:tblStyle w:val="23"/>
        <w:tblW w:w="7938" w:type="dxa"/>
        <w:tblInd w:w="-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3"/>
        <w:gridCol w:w="3969"/>
        <w:gridCol w:w="1417"/>
        <w:gridCol w:w="15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993" w:type="dxa"/>
            <w:shd w:val="clear" w:color="auto" w:fill="auto"/>
            <w:noWrap/>
            <w:vAlign w:val="center"/>
          </w:tcPr>
          <w:p>
            <w:pPr>
              <w:widowControl/>
              <w:jc w:val="center"/>
              <w:rPr>
                <w:rFonts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序号</w:t>
            </w:r>
          </w:p>
        </w:tc>
        <w:tc>
          <w:tcPr>
            <w:tcW w:w="3969" w:type="dxa"/>
            <w:shd w:val="clear" w:color="auto" w:fill="auto"/>
            <w:noWrap/>
            <w:vAlign w:val="center"/>
          </w:tcPr>
          <w:p>
            <w:pPr>
              <w:widowControl/>
              <w:jc w:val="center"/>
              <w:rPr>
                <w:rFonts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名称</w:t>
            </w:r>
          </w:p>
        </w:tc>
        <w:tc>
          <w:tcPr>
            <w:tcW w:w="1417" w:type="dxa"/>
            <w:shd w:val="clear" w:color="auto" w:fill="auto"/>
            <w:noWrap/>
            <w:vAlign w:val="center"/>
          </w:tcPr>
          <w:p>
            <w:pPr>
              <w:widowControl/>
              <w:jc w:val="center"/>
              <w:rPr>
                <w:rFonts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数量</w:t>
            </w:r>
          </w:p>
        </w:tc>
        <w:tc>
          <w:tcPr>
            <w:tcW w:w="1559" w:type="dxa"/>
            <w:shd w:val="clear" w:color="auto" w:fill="auto"/>
            <w:noWrap/>
            <w:vAlign w:val="center"/>
          </w:tcPr>
          <w:p>
            <w:pPr>
              <w:widowControl/>
              <w:jc w:val="center"/>
              <w:rPr>
                <w:rFonts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93" w:type="dxa"/>
            <w:shd w:val="clear" w:color="auto" w:fill="auto"/>
            <w:noWrap/>
            <w:vAlign w:val="center"/>
          </w:tcPr>
          <w:p>
            <w:pPr>
              <w:widowControl/>
              <w:jc w:val="center"/>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p>
        </w:tc>
        <w:tc>
          <w:tcPr>
            <w:tcW w:w="3969" w:type="dxa"/>
            <w:shd w:val="clear" w:color="auto" w:fill="auto"/>
            <w:noWrap/>
            <w:vAlign w:val="center"/>
          </w:tcPr>
          <w:p>
            <w:pPr>
              <w:widowControl/>
              <w:jc w:val="left"/>
              <w:rPr>
                <w:rFonts w:ascii="宋体" w:hAnsi="宋体" w:eastAsia="宋体" w:cs="宋体"/>
                <w:color w:val="auto"/>
                <w:kern w:val="0"/>
                <w:sz w:val="21"/>
                <w:szCs w:val="21"/>
                <w:highlight w:val="none"/>
              </w:rPr>
            </w:pPr>
            <w:r>
              <w:rPr>
                <w:rFonts w:hint="eastAsia" w:ascii="宋体" w:hAnsi="宋体" w:eastAsia="宋体"/>
                <w:color w:val="auto"/>
                <w:sz w:val="21"/>
                <w:szCs w:val="21"/>
                <w:highlight w:val="none"/>
              </w:rPr>
              <w:t>应用服务器</w:t>
            </w:r>
          </w:p>
        </w:tc>
        <w:tc>
          <w:tcPr>
            <w:tcW w:w="1417" w:type="dxa"/>
            <w:shd w:val="clear" w:color="auto" w:fill="auto"/>
            <w:noWrap/>
            <w:vAlign w:val="center"/>
          </w:tcPr>
          <w:p>
            <w:pPr>
              <w:widowControl/>
              <w:jc w:val="center"/>
              <w:rPr>
                <w:rFonts w:ascii="宋体" w:hAnsi="宋体" w:eastAsia="宋体" w:cs="宋体"/>
                <w:color w:val="auto"/>
                <w:kern w:val="0"/>
                <w:sz w:val="21"/>
                <w:szCs w:val="21"/>
                <w:highlight w:val="none"/>
              </w:rPr>
            </w:pPr>
            <w:r>
              <w:rPr>
                <w:rFonts w:hint="eastAsia" w:ascii="宋体" w:hAnsi="宋体" w:eastAsia="宋体"/>
                <w:color w:val="auto"/>
                <w:sz w:val="21"/>
                <w:szCs w:val="21"/>
                <w:highlight w:val="none"/>
              </w:rPr>
              <w:t>4</w:t>
            </w:r>
          </w:p>
        </w:tc>
        <w:tc>
          <w:tcPr>
            <w:tcW w:w="1559" w:type="dxa"/>
            <w:shd w:val="clear" w:color="auto" w:fill="auto"/>
            <w:noWrap/>
            <w:vAlign w:val="center"/>
          </w:tcPr>
          <w:p>
            <w:pPr>
              <w:widowControl/>
              <w:jc w:val="center"/>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93" w:type="dxa"/>
            <w:shd w:val="clear" w:color="auto" w:fill="auto"/>
            <w:noWrap/>
            <w:vAlign w:val="center"/>
          </w:tcPr>
          <w:p>
            <w:pPr>
              <w:widowControl/>
              <w:jc w:val="center"/>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w:t>
            </w:r>
          </w:p>
        </w:tc>
        <w:tc>
          <w:tcPr>
            <w:tcW w:w="3969" w:type="dxa"/>
            <w:shd w:val="clear" w:color="auto" w:fill="auto"/>
            <w:noWrap/>
            <w:vAlign w:val="center"/>
          </w:tcPr>
          <w:p>
            <w:pPr>
              <w:widowControl/>
              <w:jc w:val="left"/>
              <w:rPr>
                <w:rFonts w:ascii="宋体" w:hAnsi="宋体" w:eastAsia="宋体" w:cs="宋体"/>
                <w:color w:val="auto"/>
                <w:kern w:val="0"/>
                <w:sz w:val="21"/>
                <w:szCs w:val="21"/>
                <w:highlight w:val="none"/>
              </w:rPr>
            </w:pPr>
            <w:r>
              <w:rPr>
                <w:rFonts w:hint="eastAsia" w:ascii="宋体" w:hAnsi="宋体" w:eastAsia="宋体"/>
                <w:color w:val="auto"/>
                <w:sz w:val="21"/>
                <w:szCs w:val="21"/>
                <w:highlight w:val="none"/>
              </w:rPr>
              <w:t>光纤网卡</w:t>
            </w:r>
          </w:p>
        </w:tc>
        <w:tc>
          <w:tcPr>
            <w:tcW w:w="1417" w:type="dxa"/>
            <w:shd w:val="clear" w:color="auto" w:fill="auto"/>
            <w:noWrap/>
            <w:vAlign w:val="center"/>
          </w:tcPr>
          <w:p>
            <w:pPr>
              <w:widowControl/>
              <w:jc w:val="center"/>
              <w:rPr>
                <w:rFonts w:ascii="宋体" w:hAnsi="宋体" w:eastAsia="宋体" w:cs="宋体"/>
                <w:color w:val="auto"/>
                <w:kern w:val="0"/>
                <w:sz w:val="21"/>
                <w:szCs w:val="21"/>
                <w:highlight w:val="none"/>
              </w:rPr>
            </w:pPr>
            <w:r>
              <w:rPr>
                <w:rFonts w:hint="eastAsia" w:ascii="宋体" w:hAnsi="宋体" w:eastAsia="宋体"/>
                <w:color w:val="auto"/>
                <w:sz w:val="21"/>
                <w:szCs w:val="21"/>
                <w:highlight w:val="none"/>
              </w:rPr>
              <w:t>6</w:t>
            </w:r>
          </w:p>
        </w:tc>
        <w:tc>
          <w:tcPr>
            <w:tcW w:w="1559" w:type="dxa"/>
            <w:shd w:val="clear" w:color="auto" w:fill="auto"/>
            <w:noWrap/>
            <w:vAlign w:val="center"/>
          </w:tcPr>
          <w:p>
            <w:pPr>
              <w:widowControl/>
              <w:jc w:val="center"/>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93" w:type="dxa"/>
            <w:shd w:val="clear" w:color="auto" w:fill="auto"/>
            <w:noWrap/>
            <w:vAlign w:val="center"/>
          </w:tcPr>
          <w:p>
            <w:pPr>
              <w:widowControl/>
              <w:jc w:val="center"/>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w:t>
            </w:r>
          </w:p>
        </w:tc>
        <w:tc>
          <w:tcPr>
            <w:tcW w:w="3969" w:type="dxa"/>
            <w:shd w:val="clear" w:color="auto" w:fill="auto"/>
            <w:noWrap/>
            <w:vAlign w:val="center"/>
          </w:tcPr>
          <w:p>
            <w:pPr>
              <w:widowControl/>
              <w:jc w:val="left"/>
              <w:rPr>
                <w:rFonts w:ascii="宋体" w:hAnsi="宋体" w:eastAsia="宋体" w:cs="宋体"/>
                <w:color w:val="auto"/>
                <w:kern w:val="0"/>
                <w:sz w:val="21"/>
                <w:szCs w:val="21"/>
                <w:highlight w:val="none"/>
              </w:rPr>
            </w:pPr>
            <w:r>
              <w:rPr>
                <w:rFonts w:hint="eastAsia" w:ascii="宋体" w:hAnsi="宋体" w:eastAsia="宋体"/>
                <w:color w:val="auto"/>
                <w:sz w:val="21"/>
                <w:szCs w:val="21"/>
                <w:highlight w:val="none"/>
              </w:rPr>
              <w:t>16G HBA卡</w:t>
            </w:r>
          </w:p>
        </w:tc>
        <w:tc>
          <w:tcPr>
            <w:tcW w:w="1417" w:type="dxa"/>
            <w:shd w:val="clear" w:color="auto" w:fill="auto"/>
            <w:noWrap/>
            <w:vAlign w:val="center"/>
          </w:tcPr>
          <w:p>
            <w:pPr>
              <w:widowControl/>
              <w:jc w:val="center"/>
              <w:rPr>
                <w:rFonts w:ascii="宋体" w:hAnsi="宋体" w:eastAsia="宋体" w:cs="宋体"/>
                <w:color w:val="auto"/>
                <w:kern w:val="0"/>
                <w:sz w:val="21"/>
                <w:szCs w:val="21"/>
                <w:highlight w:val="none"/>
              </w:rPr>
            </w:pPr>
            <w:r>
              <w:rPr>
                <w:rFonts w:hint="eastAsia" w:ascii="宋体" w:hAnsi="宋体" w:eastAsia="宋体"/>
                <w:color w:val="auto"/>
                <w:sz w:val="21"/>
                <w:szCs w:val="21"/>
                <w:highlight w:val="none"/>
              </w:rPr>
              <w:t>2</w:t>
            </w:r>
          </w:p>
        </w:tc>
        <w:tc>
          <w:tcPr>
            <w:tcW w:w="1559" w:type="dxa"/>
            <w:shd w:val="clear" w:color="auto" w:fill="auto"/>
            <w:noWrap/>
            <w:vAlign w:val="center"/>
          </w:tcPr>
          <w:p>
            <w:pPr>
              <w:widowControl/>
              <w:jc w:val="center"/>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93" w:type="dxa"/>
            <w:shd w:val="clear" w:color="auto" w:fill="auto"/>
            <w:noWrap/>
            <w:vAlign w:val="center"/>
          </w:tcPr>
          <w:p>
            <w:pPr>
              <w:widowControl/>
              <w:jc w:val="center"/>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w:t>
            </w:r>
          </w:p>
        </w:tc>
        <w:tc>
          <w:tcPr>
            <w:tcW w:w="3969" w:type="dxa"/>
            <w:shd w:val="clear" w:color="auto" w:fill="auto"/>
            <w:noWrap/>
            <w:vAlign w:val="center"/>
          </w:tcPr>
          <w:p>
            <w:pPr>
              <w:widowControl/>
              <w:jc w:val="left"/>
              <w:rPr>
                <w:rFonts w:ascii="宋体" w:hAnsi="宋体" w:eastAsia="宋体" w:cs="宋体"/>
                <w:color w:val="auto"/>
                <w:kern w:val="0"/>
                <w:sz w:val="21"/>
                <w:szCs w:val="21"/>
                <w:highlight w:val="none"/>
              </w:rPr>
            </w:pPr>
            <w:r>
              <w:rPr>
                <w:rFonts w:hint="eastAsia" w:ascii="宋体" w:hAnsi="宋体" w:eastAsia="宋体"/>
                <w:color w:val="auto"/>
                <w:sz w:val="21"/>
                <w:szCs w:val="21"/>
                <w:highlight w:val="none"/>
              </w:rPr>
              <w:t>2.4T存储专用系统硬盘</w:t>
            </w:r>
          </w:p>
        </w:tc>
        <w:tc>
          <w:tcPr>
            <w:tcW w:w="1417" w:type="dxa"/>
            <w:shd w:val="clear" w:color="auto" w:fill="auto"/>
            <w:noWrap/>
            <w:vAlign w:val="center"/>
          </w:tcPr>
          <w:p>
            <w:pPr>
              <w:widowControl/>
              <w:jc w:val="center"/>
              <w:rPr>
                <w:rFonts w:ascii="宋体" w:hAnsi="宋体" w:eastAsia="宋体" w:cs="宋体"/>
                <w:color w:val="auto"/>
                <w:kern w:val="0"/>
                <w:sz w:val="21"/>
                <w:szCs w:val="21"/>
                <w:highlight w:val="none"/>
              </w:rPr>
            </w:pPr>
            <w:r>
              <w:rPr>
                <w:rFonts w:hint="eastAsia" w:ascii="宋体" w:hAnsi="宋体" w:eastAsia="宋体"/>
                <w:color w:val="auto"/>
                <w:sz w:val="21"/>
                <w:szCs w:val="21"/>
                <w:highlight w:val="none"/>
              </w:rPr>
              <w:t>10</w:t>
            </w:r>
          </w:p>
        </w:tc>
        <w:tc>
          <w:tcPr>
            <w:tcW w:w="1559" w:type="dxa"/>
            <w:shd w:val="clear" w:color="auto" w:fill="auto"/>
            <w:noWrap/>
            <w:vAlign w:val="center"/>
          </w:tcPr>
          <w:p>
            <w:pPr>
              <w:widowControl/>
              <w:jc w:val="center"/>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93" w:type="dxa"/>
            <w:shd w:val="clear" w:color="auto" w:fill="auto"/>
            <w:noWrap/>
            <w:vAlign w:val="center"/>
          </w:tcPr>
          <w:p>
            <w:pPr>
              <w:widowControl/>
              <w:jc w:val="center"/>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w:t>
            </w:r>
          </w:p>
        </w:tc>
        <w:tc>
          <w:tcPr>
            <w:tcW w:w="3969" w:type="dxa"/>
            <w:shd w:val="clear" w:color="auto" w:fill="auto"/>
            <w:noWrap/>
            <w:vAlign w:val="center"/>
          </w:tcPr>
          <w:p>
            <w:pPr>
              <w:widowControl/>
              <w:jc w:val="left"/>
              <w:rPr>
                <w:rFonts w:ascii="宋体" w:hAnsi="宋体" w:eastAsia="宋体" w:cs="宋体"/>
                <w:color w:val="auto"/>
                <w:kern w:val="0"/>
                <w:sz w:val="21"/>
                <w:szCs w:val="21"/>
                <w:highlight w:val="none"/>
              </w:rPr>
            </w:pPr>
            <w:r>
              <w:rPr>
                <w:rFonts w:hint="eastAsia" w:ascii="宋体" w:hAnsi="宋体" w:eastAsia="宋体"/>
                <w:color w:val="auto"/>
                <w:sz w:val="21"/>
                <w:szCs w:val="21"/>
                <w:highlight w:val="none"/>
              </w:rPr>
              <w:t>双机软件</w:t>
            </w:r>
          </w:p>
        </w:tc>
        <w:tc>
          <w:tcPr>
            <w:tcW w:w="1417" w:type="dxa"/>
            <w:shd w:val="clear" w:color="auto" w:fill="auto"/>
            <w:noWrap/>
            <w:vAlign w:val="center"/>
          </w:tcPr>
          <w:p>
            <w:pPr>
              <w:widowControl/>
              <w:jc w:val="center"/>
              <w:rPr>
                <w:rFonts w:ascii="宋体" w:hAnsi="宋体" w:eastAsia="宋体" w:cs="宋体"/>
                <w:color w:val="auto"/>
                <w:kern w:val="0"/>
                <w:sz w:val="21"/>
                <w:szCs w:val="21"/>
                <w:highlight w:val="none"/>
              </w:rPr>
            </w:pPr>
            <w:r>
              <w:rPr>
                <w:rFonts w:hint="eastAsia" w:ascii="宋体" w:hAnsi="宋体" w:eastAsia="宋体"/>
                <w:color w:val="auto"/>
                <w:sz w:val="21"/>
                <w:szCs w:val="21"/>
                <w:highlight w:val="none"/>
              </w:rPr>
              <w:t>1</w:t>
            </w:r>
          </w:p>
        </w:tc>
        <w:tc>
          <w:tcPr>
            <w:tcW w:w="1559" w:type="dxa"/>
            <w:shd w:val="clear" w:color="auto" w:fill="auto"/>
            <w:noWrap/>
            <w:vAlign w:val="center"/>
          </w:tcPr>
          <w:p>
            <w:pPr>
              <w:widowControl/>
              <w:jc w:val="center"/>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套</w:t>
            </w:r>
          </w:p>
        </w:tc>
      </w:tr>
    </w:tbl>
    <w:p>
      <w:pPr>
        <w:pStyle w:val="6"/>
        <w:rPr>
          <w:color w:val="auto"/>
          <w:highlight w:val="none"/>
        </w:rPr>
      </w:pPr>
      <w:bookmarkStart w:id="103" w:name="_Toc44340034"/>
      <w:bookmarkStart w:id="104" w:name="_Toc44339576"/>
      <w:r>
        <w:rPr>
          <w:rFonts w:hint="eastAsia"/>
          <w:color w:val="auto"/>
          <w:highlight w:val="none"/>
        </w:rPr>
        <w:t>3.4</w:t>
      </w:r>
      <w:r>
        <w:rPr>
          <w:color w:val="auto"/>
          <w:highlight w:val="none"/>
        </w:rPr>
        <w:t>.2</w:t>
      </w:r>
      <w:r>
        <w:rPr>
          <w:rFonts w:hint="eastAsia"/>
          <w:color w:val="auto"/>
          <w:highlight w:val="none"/>
        </w:rPr>
        <w:t>技术要求</w:t>
      </w:r>
      <w:bookmarkEnd w:id="103"/>
      <w:bookmarkEnd w:id="104"/>
    </w:p>
    <w:p>
      <w:pPr>
        <w:spacing w:line="360" w:lineRule="auto"/>
        <w:rPr>
          <w:color w:val="auto"/>
          <w:highlight w:val="none"/>
        </w:rPr>
      </w:pPr>
      <w:r>
        <w:rPr>
          <w:rFonts w:hint="eastAsia" w:ascii="宋体" w:hAnsi="宋体" w:eastAsia="宋体"/>
          <w:b/>
          <w:bCs/>
          <w:color w:val="auto"/>
          <w:sz w:val="24"/>
          <w:szCs w:val="24"/>
          <w:highlight w:val="none"/>
        </w:rPr>
        <w:t>（1）应用服务器</w:t>
      </w:r>
    </w:p>
    <w:p>
      <w:pPr>
        <w:spacing w:line="360" w:lineRule="auto"/>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 xml:space="preserve">规格：4U机架式服务器，国产品牌，国内生产和制造。 </w:t>
      </w:r>
    </w:p>
    <w:p>
      <w:pPr>
        <w:spacing w:line="360" w:lineRule="auto"/>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 xml:space="preserve">处理器：≥2个Intel至强可扩展处理器 主频≥2.3GHz ≥16核，L3缓存≥22MB，可选最大可支持至28核处理器。 </w:t>
      </w:r>
    </w:p>
    <w:p>
      <w:pPr>
        <w:spacing w:line="360" w:lineRule="auto"/>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 xml:space="preserve">内存：≥16根32GB DDR4 2933 MHz (1Rx4 1.2V) RDIMM，最大支持≥3TB内存扩展或最大支持48根内存插槽，支持单条64GB </w:t>
      </w:r>
    </w:p>
    <w:p>
      <w:pPr>
        <w:spacing w:line="360" w:lineRule="auto"/>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硬盘：配置≥4块400GB NVMe SSD硬盘， 最大支持16个2.5英寸硬盘扩展，硬盘背板需支持直连NVMe PCIe SSD硬盘，并配置NVMe交换机适配器；</w:t>
      </w:r>
    </w:p>
    <w:p>
      <w:pPr>
        <w:spacing w:line="360" w:lineRule="auto"/>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阵列卡：配置≥1块独立12Gb阵列卡，配2GB缓存，支持0/1/10/5/50/6/60 RAID级别，带电池保护，最大支持8GB闪存；</w:t>
      </w:r>
    </w:p>
    <w:p>
      <w:pPr>
        <w:spacing w:line="360" w:lineRule="auto"/>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网卡：标配≥4个千兆以太网控制器，≥1个专用的管理端口，≥2块双口万兆光纤网卡（含模块）；</w:t>
      </w:r>
    </w:p>
    <w:p>
      <w:pPr>
        <w:spacing w:line="360" w:lineRule="auto"/>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HBA：≥1块双口16GB FC HBA卡（含模块）；</w:t>
      </w:r>
    </w:p>
    <w:p>
      <w:pPr>
        <w:spacing w:line="360" w:lineRule="auto"/>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电源：实配电源输出功率≥1100W电源，1+1热插拔冗余电源。</w:t>
      </w:r>
    </w:p>
    <w:p>
      <w:pPr>
        <w:spacing w:line="360" w:lineRule="auto"/>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服务要求：3 年7x24 小时保修服务，全国部分城市宕机4 小时上门服务。</w:t>
      </w:r>
    </w:p>
    <w:p>
      <w:pPr>
        <w:spacing w:line="360" w:lineRule="auto"/>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可靠性：提供平均无故障时间不低于150000小时产品检验合格证书。</w:t>
      </w:r>
    </w:p>
    <w:p>
      <w:pPr>
        <w:spacing w:line="360" w:lineRule="auto"/>
        <w:rPr>
          <w:rFonts w:ascii="宋体" w:hAnsi="宋体" w:eastAsia="宋体"/>
          <w:b/>
          <w:bCs/>
          <w:color w:val="auto"/>
          <w:sz w:val="24"/>
          <w:szCs w:val="24"/>
          <w:highlight w:val="none"/>
        </w:rPr>
      </w:pPr>
      <w:r>
        <w:rPr>
          <w:rFonts w:hint="eastAsia" w:ascii="宋体" w:hAnsi="宋体" w:eastAsia="宋体"/>
          <w:b/>
          <w:bCs/>
          <w:color w:val="auto"/>
          <w:sz w:val="24"/>
          <w:szCs w:val="24"/>
          <w:highlight w:val="none"/>
        </w:rPr>
        <w:t>（2）光纤网卡</w:t>
      </w:r>
    </w:p>
    <w:p>
      <w:pPr>
        <w:spacing w:line="360" w:lineRule="auto"/>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w:t>
      </w:r>
      <w:r>
        <w:rPr>
          <w:rFonts w:ascii="宋体" w:hAnsi="宋体" w:eastAsia="宋体"/>
          <w:color w:val="auto"/>
          <w:sz w:val="21"/>
          <w:szCs w:val="21"/>
          <w:highlight w:val="none"/>
        </w:rPr>
        <w:t>10Gb SFP+双端口万兆网卡，配置2个SFP+万兆多模光模块</w:t>
      </w:r>
      <w:r>
        <w:rPr>
          <w:rFonts w:hint="eastAsia" w:ascii="宋体" w:hAnsi="宋体" w:eastAsia="宋体"/>
          <w:color w:val="auto"/>
          <w:sz w:val="21"/>
          <w:szCs w:val="21"/>
          <w:highlight w:val="none"/>
        </w:rPr>
        <w:t>。</w:t>
      </w:r>
    </w:p>
    <w:p>
      <w:pPr>
        <w:spacing w:line="360" w:lineRule="auto"/>
        <w:rPr>
          <w:rFonts w:ascii="宋体" w:hAnsi="宋体" w:eastAsia="宋体"/>
          <w:b/>
          <w:bCs/>
          <w:color w:val="auto"/>
          <w:sz w:val="24"/>
          <w:szCs w:val="24"/>
          <w:highlight w:val="none"/>
        </w:rPr>
      </w:pPr>
      <w:r>
        <w:rPr>
          <w:rFonts w:hint="eastAsia" w:ascii="宋体" w:hAnsi="宋体" w:eastAsia="宋体"/>
          <w:b/>
          <w:bCs/>
          <w:color w:val="auto"/>
          <w:sz w:val="24"/>
          <w:szCs w:val="24"/>
          <w:highlight w:val="none"/>
        </w:rPr>
        <w:t>（3）1</w:t>
      </w:r>
      <w:r>
        <w:rPr>
          <w:rFonts w:ascii="宋体" w:hAnsi="宋体" w:eastAsia="宋体"/>
          <w:b/>
          <w:bCs/>
          <w:color w:val="auto"/>
          <w:sz w:val="24"/>
          <w:szCs w:val="24"/>
          <w:highlight w:val="none"/>
        </w:rPr>
        <w:t>6G HBA</w:t>
      </w:r>
      <w:r>
        <w:rPr>
          <w:rFonts w:hint="eastAsia" w:ascii="宋体" w:hAnsi="宋体" w:eastAsia="宋体"/>
          <w:b/>
          <w:bCs/>
          <w:color w:val="auto"/>
          <w:sz w:val="24"/>
          <w:szCs w:val="24"/>
          <w:highlight w:val="none"/>
        </w:rPr>
        <w:t>卡</w:t>
      </w:r>
    </w:p>
    <w:p>
      <w:pPr>
        <w:spacing w:line="360" w:lineRule="auto"/>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w:t>
      </w:r>
      <w:r>
        <w:rPr>
          <w:rFonts w:ascii="宋体" w:hAnsi="宋体" w:eastAsia="宋体"/>
          <w:color w:val="auto"/>
          <w:sz w:val="21"/>
          <w:szCs w:val="21"/>
          <w:highlight w:val="none"/>
        </w:rPr>
        <w:t>双端口16GB FC HBA卡</w:t>
      </w:r>
      <w:r>
        <w:rPr>
          <w:rFonts w:hint="eastAsia" w:ascii="宋体" w:hAnsi="宋体" w:eastAsia="宋体"/>
          <w:color w:val="auto"/>
          <w:sz w:val="21"/>
          <w:szCs w:val="21"/>
          <w:highlight w:val="none"/>
        </w:rPr>
        <w:t>。</w:t>
      </w:r>
    </w:p>
    <w:p>
      <w:pPr>
        <w:spacing w:line="360" w:lineRule="auto"/>
        <w:rPr>
          <w:rFonts w:ascii="宋体" w:hAnsi="宋体" w:eastAsia="宋体"/>
          <w:b/>
          <w:bCs/>
          <w:color w:val="auto"/>
          <w:sz w:val="24"/>
          <w:szCs w:val="24"/>
          <w:highlight w:val="none"/>
        </w:rPr>
      </w:pPr>
      <w:r>
        <w:rPr>
          <w:rFonts w:hint="eastAsia" w:ascii="宋体" w:hAnsi="宋体" w:eastAsia="宋体"/>
          <w:b/>
          <w:bCs/>
          <w:color w:val="auto"/>
          <w:sz w:val="24"/>
          <w:szCs w:val="24"/>
          <w:highlight w:val="none"/>
        </w:rPr>
        <w:t>（4）</w:t>
      </w:r>
      <w:r>
        <w:rPr>
          <w:rFonts w:ascii="宋体" w:hAnsi="宋体" w:eastAsia="宋体"/>
          <w:b/>
          <w:bCs/>
          <w:color w:val="auto"/>
          <w:sz w:val="24"/>
          <w:szCs w:val="24"/>
          <w:highlight w:val="none"/>
        </w:rPr>
        <w:t>2.4T存储专用系统硬盘</w:t>
      </w:r>
    </w:p>
    <w:p>
      <w:pPr>
        <w:spacing w:line="360" w:lineRule="auto"/>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w:t>
      </w:r>
      <w:r>
        <w:rPr>
          <w:rFonts w:ascii="宋体" w:hAnsi="宋体" w:eastAsia="宋体"/>
          <w:color w:val="auto"/>
          <w:sz w:val="21"/>
          <w:szCs w:val="21"/>
          <w:highlight w:val="none"/>
        </w:rPr>
        <w:t>2.4TB 10K SAS 热插拔硬盘，需保证适用于原存储系统</w:t>
      </w:r>
      <w:r>
        <w:rPr>
          <w:rFonts w:hint="eastAsia" w:ascii="宋体" w:hAnsi="宋体" w:eastAsia="宋体"/>
          <w:color w:val="auto"/>
          <w:sz w:val="21"/>
          <w:szCs w:val="21"/>
          <w:highlight w:val="none"/>
        </w:rPr>
        <w:t>。</w:t>
      </w:r>
    </w:p>
    <w:p>
      <w:pPr>
        <w:spacing w:line="360" w:lineRule="auto"/>
        <w:rPr>
          <w:rFonts w:ascii="宋体" w:hAnsi="宋体" w:eastAsia="宋体"/>
          <w:color w:val="auto"/>
          <w:sz w:val="24"/>
          <w:szCs w:val="24"/>
          <w:highlight w:val="none"/>
        </w:rPr>
      </w:pPr>
      <w:r>
        <w:rPr>
          <w:rFonts w:hint="eastAsia" w:ascii="宋体" w:hAnsi="宋体" w:eastAsia="宋体"/>
          <w:b/>
          <w:bCs/>
          <w:color w:val="auto"/>
          <w:sz w:val="24"/>
          <w:szCs w:val="24"/>
          <w:highlight w:val="none"/>
        </w:rPr>
        <w:t>（5）双机软件</w:t>
      </w:r>
    </w:p>
    <w:p>
      <w:pPr>
        <w:spacing w:line="360" w:lineRule="auto"/>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系统平台支持：Windows Server 2008/2012，RedHat Enterprise Linux 6/7，SUSE Linux Enterprise Server 11/12，CentOS 6/7</w:t>
      </w:r>
    </w:p>
    <w:p>
      <w:pPr>
        <w:spacing w:line="360" w:lineRule="auto"/>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应用支持：数据库：PostgreSQL、Oracle、MSSQL、Sybase、DB2、Mysql、MongoDB、达梦、人大金仓等；邮件服务器：CoreMail、Sendmail、Postfix、Domino等；Web服务器：IIS、Tomcat、Apache等；文件服务器：Samba、FTP、NFS等；中间件应用：WebLogic、WebSphere等；用户自开发应用</w:t>
      </w:r>
    </w:p>
    <w:p>
      <w:pPr>
        <w:spacing w:line="360" w:lineRule="auto"/>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集群结构：数据镜像模式</w:t>
      </w:r>
    </w:p>
    <w:p>
      <w:pPr>
        <w:spacing w:line="360" w:lineRule="auto"/>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虚拟化支持：支持VMware，MS Hyper-V、KVM、XEN等虚拟化平台</w:t>
      </w:r>
    </w:p>
    <w:p>
      <w:pPr>
        <w:spacing w:line="360" w:lineRule="auto"/>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授权方式：支持集中授权管理方式，可按需扩展节点授权</w:t>
      </w:r>
    </w:p>
    <w:p>
      <w:pPr>
        <w:spacing w:line="360" w:lineRule="auto"/>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语言：中英文双语的配置管理界面和配置手册</w:t>
      </w:r>
    </w:p>
    <w:p>
      <w:pPr>
        <w:spacing w:line="360" w:lineRule="auto"/>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网络通信</w:t>
      </w:r>
      <w:r>
        <w:rPr>
          <w:rFonts w:hint="eastAsia" w:ascii="宋体" w:hAnsi="宋体" w:eastAsia="宋体"/>
          <w:color w:val="auto"/>
          <w:sz w:val="21"/>
          <w:szCs w:val="21"/>
          <w:highlight w:val="none"/>
        </w:rPr>
        <w:tab/>
      </w:r>
      <w:r>
        <w:rPr>
          <w:rFonts w:hint="eastAsia" w:ascii="宋体" w:hAnsi="宋体" w:eastAsia="宋体"/>
          <w:color w:val="auto"/>
          <w:sz w:val="21"/>
          <w:szCs w:val="21"/>
          <w:highlight w:val="none"/>
        </w:rPr>
        <w:t>支持：IPV4/IPV6网络通信协议，支持替换IP和虚拟MAC地址以适应复杂网络环境应用，支持网络探测功能，可动态探测网络通信稳定性，根据预设阈值进行切换，支持自动发送免费ARP数据包，支持指定IP发送ARP数据包，支持业务网卡指定活动IP发送数据包</w:t>
      </w:r>
    </w:p>
    <w:p>
      <w:pPr>
        <w:spacing w:line="360" w:lineRule="auto"/>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管理便捷性：无需域环境，支持中/英文向导式操作界面，安装配置过程简单，一键分离集群保护，一键关机功能，支持GUI跨平台、远程、统一集中管理环境中所有集群</w:t>
      </w:r>
    </w:p>
    <w:p>
      <w:pPr>
        <w:spacing w:line="360" w:lineRule="auto"/>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报警方式：支持在线日志、邮件、SNMP等多样化事件通知/告警机制</w:t>
      </w:r>
    </w:p>
    <w:p>
      <w:pPr>
        <w:spacing w:line="360" w:lineRule="auto"/>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灵活、扩展性：应用资源动态扩展，动态增减、动态起停、动态切换、动态监控用户应用</w:t>
      </w:r>
    </w:p>
    <w:p>
      <w:pPr>
        <w:spacing w:line="360" w:lineRule="auto"/>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高可用:支持冗余心跳:网络冗余心跳</w:t>
      </w:r>
    </w:p>
    <w:p>
      <w:pPr>
        <w:spacing w:line="360" w:lineRule="auto"/>
        <w:ind w:firstLine="420" w:firstLineChars="200"/>
        <w:rPr>
          <w:rFonts w:hint="eastAsia" w:ascii="宋体" w:hAnsi="宋体" w:eastAsia="宋体"/>
          <w:color w:val="auto"/>
          <w:sz w:val="21"/>
          <w:szCs w:val="21"/>
          <w:highlight w:val="none"/>
          <w:lang w:eastAsia="zh-CN"/>
        </w:rPr>
      </w:pPr>
      <w:r>
        <w:rPr>
          <w:rFonts w:hint="eastAsia" w:ascii="宋体" w:hAnsi="宋体" w:eastAsia="宋体"/>
          <w:color w:val="auto"/>
          <w:sz w:val="21"/>
          <w:szCs w:val="21"/>
          <w:highlight w:val="none"/>
        </w:rPr>
        <w:t>单机模式:支持单机应用监控模式,支持单机启动应用模式</w:t>
      </w:r>
      <w:r>
        <w:rPr>
          <w:rFonts w:hint="eastAsia" w:ascii="宋体" w:hAnsi="宋体" w:eastAsia="宋体"/>
          <w:color w:val="auto"/>
          <w:sz w:val="21"/>
          <w:szCs w:val="21"/>
          <w:highlight w:val="none"/>
          <w:lang w:eastAsia="zh-CN"/>
        </w:rPr>
        <w:t>；</w:t>
      </w:r>
    </w:p>
    <w:p>
      <w:pPr>
        <w:spacing w:line="360" w:lineRule="auto"/>
        <w:ind w:firstLine="420" w:firstLineChars="200"/>
        <w:rPr>
          <w:rFonts w:hint="eastAsia" w:ascii="宋体" w:hAnsi="宋体" w:eastAsia="宋体"/>
          <w:color w:val="auto"/>
          <w:sz w:val="21"/>
          <w:szCs w:val="21"/>
          <w:highlight w:val="none"/>
          <w:lang w:eastAsia="zh-CN"/>
        </w:rPr>
      </w:pPr>
      <w:r>
        <w:rPr>
          <w:rFonts w:hint="eastAsia" w:ascii="宋体" w:hAnsi="宋体" w:eastAsia="宋体"/>
          <w:color w:val="auto"/>
          <w:sz w:val="21"/>
          <w:szCs w:val="21"/>
          <w:highlight w:val="none"/>
        </w:rPr>
        <w:t>第三方IP仲裁:支持第三方IP仲裁功能</w:t>
      </w:r>
      <w:r>
        <w:rPr>
          <w:rFonts w:hint="eastAsia" w:ascii="宋体" w:hAnsi="宋体" w:eastAsia="宋体"/>
          <w:color w:val="auto"/>
          <w:sz w:val="21"/>
          <w:szCs w:val="21"/>
          <w:highlight w:val="none"/>
          <w:lang w:eastAsia="zh-CN"/>
        </w:rPr>
        <w:t>；</w:t>
      </w:r>
    </w:p>
    <w:p>
      <w:pPr>
        <w:spacing w:line="360" w:lineRule="auto"/>
        <w:ind w:firstLine="420" w:firstLineChars="200"/>
        <w:rPr>
          <w:rFonts w:hint="eastAsia" w:ascii="宋体" w:hAnsi="宋体" w:eastAsia="宋体"/>
          <w:color w:val="auto"/>
          <w:sz w:val="21"/>
          <w:szCs w:val="21"/>
          <w:highlight w:val="none"/>
          <w:lang w:eastAsia="zh-CN"/>
        </w:rPr>
      </w:pPr>
      <w:r>
        <w:rPr>
          <w:rFonts w:hint="eastAsia" w:ascii="宋体" w:hAnsi="宋体" w:eastAsia="宋体"/>
          <w:color w:val="auto"/>
          <w:sz w:val="21"/>
          <w:szCs w:val="21"/>
          <w:highlight w:val="none"/>
        </w:rPr>
        <w:t>并发启停:</w:t>
      </w:r>
      <w:r>
        <w:rPr>
          <w:rFonts w:hint="eastAsia" w:ascii="宋体" w:hAnsi="宋体" w:eastAsia="宋体"/>
          <w:color w:val="auto"/>
          <w:sz w:val="21"/>
          <w:szCs w:val="21"/>
          <w:highlight w:val="none"/>
        </w:rPr>
        <w:tab/>
      </w:r>
      <w:r>
        <w:rPr>
          <w:rFonts w:hint="eastAsia" w:ascii="宋体" w:hAnsi="宋体" w:eastAsia="宋体"/>
          <w:color w:val="auto"/>
          <w:sz w:val="21"/>
          <w:szCs w:val="21"/>
          <w:highlight w:val="none"/>
        </w:rPr>
        <w:t>支持NT服务资源并发启动/停止，提升切换效率</w:t>
      </w:r>
      <w:r>
        <w:rPr>
          <w:rFonts w:hint="eastAsia" w:ascii="宋体" w:hAnsi="宋体" w:eastAsia="宋体"/>
          <w:color w:val="auto"/>
          <w:sz w:val="21"/>
          <w:szCs w:val="21"/>
          <w:highlight w:val="none"/>
          <w:lang w:eastAsia="zh-CN"/>
        </w:rPr>
        <w:t>；</w:t>
      </w:r>
    </w:p>
    <w:p>
      <w:pPr>
        <w:spacing w:line="360" w:lineRule="auto"/>
        <w:ind w:firstLine="420" w:firstLineChars="200"/>
        <w:rPr>
          <w:rFonts w:hint="eastAsia" w:ascii="宋体" w:hAnsi="宋体" w:eastAsia="宋体"/>
          <w:color w:val="auto"/>
          <w:sz w:val="21"/>
          <w:szCs w:val="21"/>
          <w:highlight w:val="none"/>
          <w:lang w:eastAsia="zh-CN"/>
        </w:rPr>
      </w:pPr>
      <w:r>
        <w:rPr>
          <w:rFonts w:hint="eastAsia" w:ascii="宋体" w:hAnsi="宋体" w:eastAsia="宋体"/>
          <w:color w:val="auto"/>
          <w:sz w:val="21"/>
          <w:szCs w:val="21"/>
          <w:highlight w:val="none"/>
        </w:rPr>
        <w:t>资源监控:支持CPU、内存、磁盘、IOPS等资源智能监控和预警、智能切换</w:t>
      </w:r>
      <w:r>
        <w:rPr>
          <w:rFonts w:hint="eastAsia" w:ascii="宋体" w:hAnsi="宋体" w:eastAsia="宋体"/>
          <w:color w:val="auto"/>
          <w:sz w:val="21"/>
          <w:szCs w:val="21"/>
          <w:highlight w:val="none"/>
          <w:lang w:eastAsia="zh-CN"/>
        </w:rPr>
        <w:t>；</w:t>
      </w:r>
    </w:p>
    <w:p>
      <w:pPr>
        <w:spacing w:line="360" w:lineRule="auto"/>
        <w:ind w:firstLine="420" w:firstLineChars="200"/>
        <w:rPr>
          <w:rFonts w:hint="eastAsia" w:ascii="宋体" w:hAnsi="宋体" w:eastAsia="宋体"/>
          <w:color w:val="auto"/>
          <w:sz w:val="21"/>
          <w:szCs w:val="21"/>
          <w:highlight w:val="none"/>
          <w:lang w:eastAsia="zh-CN"/>
        </w:rPr>
      </w:pPr>
      <w:r>
        <w:rPr>
          <w:rFonts w:hint="eastAsia" w:ascii="宋体" w:hAnsi="宋体" w:eastAsia="宋体"/>
          <w:color w:val="auto"/>
          <w:sz w:val="21"/>
          <w:szCs w:val="21"/>
          <w:highlight w:val="none"/>
        </w:rPr>
        <w:t>深层次监控:支持TCP、UDP端口监控,支持自定义应用程序相同进程名监控</w:t>
      </w:r>
      <w:r>
        <w:rPr>
          <w:rFonts w:hint="eastAsia" w:ascii="宋体" w:hAnsi="宋体" w:eastAsia="宋体"/>
          <w:color w:val="auto"/>
          <w:sz w:val="21"/>
          <w:szCs w:val="21"/>
          <w:highlight w:val="none"/>
          <w:lang w:eastAsia="zh-CN"/>
        </w:rPr>
        <w:t>；</w:t>
      </w:r>
    </w:p>
    <w:p>
      <w:pPr>
        <w:spacing w:line="360" w:lineRule="auto"/>
        <w:ind w:firstLine="420" w:firstLineChars="200"/>
        <w:rPr>
          <w:rFonts w:hint="eastAsia" w:ascii="宋体" w:hAnsi="宋体" w:eastAsia="宋体"/>
          <w:color w:val="auto"/>
          <w:sz w:val="21"/>
          <w:szCs w:val="21"/>
          <w:highlight w:val="none"/>
          <w:lang w:eastAsia="zh-CN"/>
        </w:rPr>
      </w:pPr>
      <w:r>
        <w:rPr>
          <w:rFonts w:hint="eastAsia" w:ascii="宋体" w:hAnsi="宋体" w:eastAsia="宋体"/>
          <w:color w:val="auto"/>
          <w:sz w:val="21"/>
          <w:szCs w:val="21"/>
          <w:highlight w:val="none"/>
        </w:rPr>
        <w:t>系统时间同步:支持集群主机系统时间同步功能</w:t>
      </w:r>
      <w:r>
        <w:rPr>
          <w:rFonts w:hint="eastAsia" w:ascii="宋体" w:hAnsi="宋体" w:eastAsia="宋体"/>
          <w:color w:val="auto"/>
          <w:sz w:val="21"/>
          <w:szCs w:val="21"/>
          <w:highlight w:val="none"/>
          <w:lang w:eastAsia="zh-CN"/>
        </w:rPr>
        <w:t>；</w:t>
      </w:r>
    </w:p>
    <w:p>
      <w:pPr>
        <w:spacing w:line="360" w:lineRule="auto"/>
        <w:ind w:firstLine="420" w:firstLineChars="200"/>
        <w:rPr>
          <w:rFonts w:hint="eastAsia" w:ascii="宋体" w:hAnsi="宋体" w:eastAsia="宋体"/>
          <w:color w:val="auto"/>
          <w:sz w:val="21"/>
          <w:szCs w:val="21"/>
          <w:highlight w:val="none"/>
          <w:lang w:eastAsia="zh-CN"/>
        </w:rPr>
      </w:pPr>
      <w:r>
        <w:rPr>
          <w:rFonts w:hint="eastAsia" w:ascii="宋体" w:hAnsi="宋体" w:eastAsia="宋体"/>
          <w:color w:val="auto"/>
          <w:sz w:val="21"/>
          <w:szCs w:val="21"/>
          <w:highlight w:val="none"/>
        </w:rPr>
        <w:t>应用系统在线升级:支持应用系统在线升级功能</w:t>
      </w:r>
      <w:r>
        <w:rPr>
          <w:rFonts w:hint="eastAsia" w:ascii="宋体" w:hAnsi="宋体" w:eastAsia="宋体"/>
          <w:color w:val="auto"/>
          <w:sz w:val="21"/>
          <w:szCs w:val="21"/>
          <w:highlight w:val="none"/>
          <w:lang w:eastAsia="zh-CN"/>
        </w:rPr>
        <w:t>；</w:t>
      </w:r>
    </w:p>
    <w:p>
      <w:pPr>
        <w:spacing w:line="360" w:lineRule="auto"/>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数据镜像:</w:t>
      </w:r>
    </w:p>
    <w:p>
      <w:pPr>
        <w:spacing w:line="360" w:lineRule="auto"/>
        <w:ind w:firstLine="420" w:firstLineChars="200"/>
        <w:rPr>
          <w:rFonts w:hint="eastAsia" w:ascii="宋体" w:hAnsi="宋体" w:eastAsia="宋体"/>
          <w:color w:val="auto"/>
          <w:sz w:val="21"/>
          <w:szCs w:val="21"/>
          <w:highlight w:val="none"/>
          <w:lang w:eastAsia="zh-CN"/>
        </w:rPr>
      </w:pPr>
      <w:r>
        <w:rPr>
          <w:rFonts w:hint="eastAsia" w:ascii="宋体" w:hAnsi="宋体" w:eastAsia="宋体"/>
          <w:color w:val="auto"/>
          <w:sz w:val="21"/>
          <w:szCs w:val="21"/>
          <w:highlight w:val="none"/>
        </w:rPr>
        <w:t>选择性按需复制:可按需选择实际需要复制的目录和文件，不需要复制的无用数据可排除掉，提高复制效率和减少网络带宽占用</w:t>
      </w:r>
      <w:r>
        <w:rPr>
          <w:rFonts w:hint="eastAsia" w:ascii="宋体" w:hAnsi="宋体" w:eastAsia="宋体"/>
          <w:color w:val="auto"/>
          <w:sz w:val="21"/>
          <w:szCs w:val="21"/>
          <w:highlight w:val="none"/>
          <w:lang w:eastAsia="zh-CN"/>
        </w:rPr>
        <w:t>；</w:t>
      </w:r>
    </w:p>
    <w:p>
      <w:pPr>
        <w:spacing w:line="360" w:lineRule="auto"/>
        <w:ind w:firstLine="420" w:firstLineChars="200"/>
        <w:rPr>
          <w:rFonts w:hint="eastAsia" w:ascii="宋体" w:hAnsi="宋体" w:eastAsia="宋体"/>
          <w:color w:val="auto"/>
          <w:sz w:val="21"/>
          <w:szCs w:val="21"/>
          <w:highlight w:val="none"/>
          <w:lang w:eastAsia="zh-CN"/>
        </w:rPr>
      </w:pPr>
      <w:r>
        <w:rPr>
          <w:rFonts w:hint="eastAsia" w:ascii="宋体" w:hAnsi="宋体" w:eastAsia="宋体"/>
          <w:color w:val="auto"/>
          <w:sz w:val="21"/>
          <w:szCs w:val="21"/>
          <w:highlight w:val="none"/>
        </w:rPr>
        <w:t>字节级实时复制:采用字节级复制粒度进行实时复制，只复制变化的有效数据字节，复制效率高</w:t>
      </w:r>
      <w:r>
        <w:rPr>
          <w:rFonts w:hint="eastAsia" w:ascii="宋体" w:hAnsi="宋体" w:eastAsia="宋体"/>
          <w:color w:val="auto"/>
          <w:sz w:val="21"/>
          <w:szCs w:val="21"/>
          <w:highlight w:val="none"/>
          <w:lang w:eastAsia="zh-CN"/>
        </w:rPr>
        <w:t>；</w:t>
      </w:r>
    </w:p>
    <w:p>
      <w:pPr>
        <w:spacing w:line="360" w:lineRule="auto"/>
        <w:ind w:firstLine="420" w:firstLineChars="200"/>
        <w:rPr>
          <w:rFonts w:hint="eastAsia" w:ascii="宋体" w:hAnsi="宋体" w:eastAsia="宋体"/>
          <w:color w:val="auto"/>
          <w:sz w:val="21"/>
          <w:szCs w:val="21"/>
          <w:highlight w:val="none"/>
          <w:lang w:eastAsia="zh-CN"/>
        </w:rPr>
      </w:pPr>
      <w:r>
        <w:rPr>
          <w:rFonts w:hint="eastAsia" w:ascii="宋体" w:hAnsi="宋体" w:eastAsia="宋体"/>
          <w:color w:val="auto"/>
          <w:sz w:val="21"/>
          <w:szCs w:val="21"/>
          <w:highlight w:val="none"/>
        </w:rPr>
        <w:t>数据链路冗余:支持数据复制链路冗余传输</w:t>
      </w:r>
      <w:r>
        <w:rPr>
          <w:rFonts w:hint="eastAsia" w:ascii="宋体" w:hAnsi="宋体" w:eastAsia="宋体"/>
          <w:color w:val="auto"/>
          <w:sz w:val="21"/>
          <w:szCs w:val="21"/>
          <w:highlight w:val="none"/>
          <w:lang w:eastAsia="zh-CN"/>
        </w:rPr>
        <w:t>；</w:t>
      </w:r>
    </w:p>
    <w:p>
      <w:pPr>
        <w:spacing w:line="360" w:lineRule="auto"/>
        <w:ind w:firstLine="420" w:firstLineChars="200"/>
        <w:rPr>
          <w:rFonts w:hint="eastAsia" w:ascii="宋体" w:hAnsi="宋体" w:eastAsia="宋体"/>
          <w:color w:val="auto"/>
          <w:sz w:val="21"/>
          <w:szCs w:val="21"/>
          <w:highlight w:val="none"/>
          <w:lang w:eastAsia="zh-CN"/>
        </w:rPr>
      </w:pPr>
      <w:r>
        <w:rPr>
          <w:rFonts w:hint="eastAsia" w:ascii="宋体" w:hAnsi="宋体" w:eastAsia="宋体"/>
          <w:color w:val="auto"/>
          <w:sz w:val="21"/>
          <w:szCs w:val="21"/>
          <w:highlight w:val="none"/>
        </w:rPr>
        <w:t>备机锁功能:支持备机数据锁功能，保护数据不受第三方改动</w:t>
      </w:r>
      <w:r>
        <w:rPr>
          <w:rFonts w:hint="eastAsia" w:ascii="宋体" w:hAnsi="宋体" w:eastAsia="宋体"/>
          <w:color w:val="auto"/>
          <w:sz w:val="21"/>
          <w:szCs w:val="21"/>
          <w:highlight w:val="none"/>
          <w:lang w:eastAsia="zh-CN"/>
        </w:rPr>
        <w:t>；</w:t>
      </w:r>
    </w:p>
    <w:p>
      <w:pPr>
        <w:spacing w:line="360" w:lineRule="auto"/>
        <w:ind w:firstLine="420" w:firstLineChars="200"/>
        <w:rPr>
          <w:rFonts w:hint="eastAsia" w:ascii="宋体" w:hAnsi="宋体" w:eastAsia="宋体"/>
          <w:color w:val="auto"/>
          <w:sz w:val="21"/>
          <w:szCs w:val="21"/>
          <w:highlight w:val="none"/>
          <w:lang w:eastAsia="zh-CN"/>
        </w:rPr>
      </w:pPr>
      <w:r>
        <w:rPr>
          <w:rFonts w:hint="eastAsia" w:ascii="宋体" w:hAnsi="宋体" w:eastAsia="宋体"/>
          <w:color w:val="auto"/>
          <w:sz w:val="21"/>
          <w:szCs w:val="21"/>
          <w:highlight w:val="none"/>
        </w:rPr>
        <w:t>数据校验:支持文件属性、校验和、智能校验、数据差异校验等多种高效的数据校验模式</w:t>
      </w:r>
      <w:r>
        <w:rPr>
          <w:rFonts w:hint="eastAsia" w:ascii="宋体" w:hAnsi="宋体" w:eastAsia="宋体"/>
          <w:color w:val="auto"/>
          <w:sz w:val="21"/>
          <w:szCs w:val="21"/>
          <w:highlight w:val="none"/>
          <w:lang w:eastAsia="zh-CN"/>
        </w:rPr>
        <w:t>；</w:t>
      </w:r>
    </w:p>
    <w:p>
      <w:pPr>
        <w:spacing w:line="360" w:lineRule="auto"/>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快照功能:灵活支持计划快照功能，规避数据逻辑错误和误删除，集成快照恢复向导</w:t>
      </w:r>
    </w:p>
    <w:p>
      <w:pPr>
        <w:spacing w:line="360" w:lineRule="auto"/>
        <w:ind w:firstLine="422" w:firstLineChars="200"/>
        <w:rPr>
          <w:rFonts w:ascii="宋体" w:hAnsi="宋体" w:eastAsia="宋体"/>
          <w:b/>
          <w:bCs/>
          <w:color w:val="auto"/>
          <w:sz w:val="21"/>
          <w:szCs w:val="21"/>
          <w:highlight w:val="none"/>
        </w:rPr>
      </w:pPr>
      <w:r>
        <w:rPr>
          <w:rFonts w:hint="eastAsia" w:ascii="宋体" w:hAnsi="宋体" w:eastAsia="宋体"/>
          <w:b/>
          <w:bCs/>
          <w:color w:val="auto"/>
          <w:sz w:val="21"/>
          <w:szCs w:val="21"/>
          <w:highlight w:val="none"/>
        </w:rPr>
        <w:t>需提供该软件国内软件著作权文件。</w:t>
      </w:r>
    </w:p>
    <w:p>
      <w:pPr>
        <w:pStyle w:val="5"/>
        <w:keepNext/>
        <w:keepLines/>
        <w:pageBreakBefore w:val="0"/>
        <w:widowControl w:val="0"/>
        <w:kinsoku/>
        <w:wordWrap/>
        <w:overflowPunct/>
        <w:topLinePunct w:val="0"/>
        <w:autoSpaceDE/>
        <w:autoSpaceDN/>
        <w:bidi w:val="0"/>
        <w:adjustRightInd/>
        <w:snapToGrid/>
        <w:ind w:firstLine="0"/>
        <w:jc w:val="left"/>
        <w:textAlignment w:val="auto"/>
        <w:rPr>
          <w:rFonts w:hint="eastAsia" w:ascii="宋体" w:hAnsi="宋体" w:eastAsia="宋体" w:cs="宋体"/>
          <w:color w:val="auto"/>
          <w:sz w:val="28"/>
          <w:szCs w:val="28"/>
          <w:highlight w:val="none"/>
        </w:rPr>
      </w:pPr>
      <w:bookmarkStart w:id="105" w:name="_Toc6849"/>
      <w:bookmarkStart w:id="106" w:name="_Toc31652"/>
      <w:r>
        <w:rPr>
          <w:rFonts w:hint="eastAsia" w:ascii="宋体" w:hAnsi="宋体" w:eastAsia="宋体" w:cs="宋体"/>
          <w:color w:val="auto"/>
          <w:sz w:val="28"/>
          <w:szCs w:val="28"/>
          <w:highlight w:val="none"/>
        </w:rPr>
        <w:t>3.5官网服务器更新</w:t>
      </w:r>
      <w:bookmarkEnd w:id="105"/>
      <w:bookmarkEnd w:id="106"/>
    </w:p>
    <w:p>
      <w:pPr>
        <w:pStyle w:val="6"/>
        <w:rPr>
          <w:color w:val="auto"/>
          <w:highlight w:val="none"/>
        </w:rPr>
      </w:pPr>
      <w:r>
        <w:rPr>
          <w:rFonts w:hint="eastAsia"/>
          <w:color w:val="auto"/>
          <w:highlight w:val="none"/>
        </w:rPr>
        <w:t>3</w:t>
      </w:r>
      <w:r>
        <w:rPr>
          <w:color w:val="auto"/>
          <w:highlight w:val="none"/>
        </w:rPr>
        <w:t>.</w:t>
      </w:r>
      <w:r>
        <w:rPr>
          <w:rFonts w:hint="eastAsia"/>
          <w:color w:val="auto"/>
          <w:highlight w:val="none"/>
        </w:rPr>
        <w:t>5</w:t>
      </w:r>
      <w:r>
        <w:rPr>
          <w:color w:val="auto"/>
          <w:highlight w:val="none"/>
        </w:rPr>
        <w:t>.1</w:t>
      </w:r>
      <w:r>
        <w:rPr>
          <w:rFonts w:hint="eastAsia"/>
          <w:color w:val="auto"/>
          <w:highlight w:val="none"/>
        </w:rPr>
        <w:t>产品数量</w:t>
      </w:r>
    </w:p>
    <w:tbl>
      <w:tblPr>
        <w:tblStyle w:val="23"/>
        <w:tblW w:w="8217" w:type="dxa"/>
        <w:tblInd w:w="0" w:type="dxa"/>
        <w:tblLayout w:type="autofit"/>
        <w:tblCellMar>
          <w:top w:w="0" w:type="dxa"/>
          <w:left w:w="108" w:type="dxa"/>
          <w:bottom w:w="0" w:type="dxa"/>
          <w:right w:w="108" w:type="dxa"/>
        </w:tblCellMar>
      </w:tblPr>
      <w:tblGrid>
        <w:gridCol w:w="1271"/>
        <w:gridCol w:w="4394"/>
        <w:gridCol w:w="1276"/>
        <w:gridCol w:w="1276"/>
      </w:tblGrid>
      <w:tr>
        <w:tblPrEx>
          <w:tblCellMar>
            <w:top w:w="0" w:type="dxa"/>
            <w:left w:w="108" w:type="dxa"/>
            <w:bottom w:w="0" w:type="dxa"/>
            <w:right w:w="108" w:type="dxa"/>
          </w:tblCellMar>
        </w:tblPrEx>
        <w:trPr>
          <w:trHeight w:val="454" w:hRule="atLeast"/>
        </w:trPr>
        <w:tc>
          <w:tcPr>
            <w:tcW w:w="127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1"/>
                <w:szCs w:val="21"/>
                <w:highlight w:val="none"/>
              </w:rPr>
            </w:pPr>
            <w:r>
              <w:rPr>
                <w:rFonts w:hint="eastAsia" w:ascii="宋体" w:hAnsi="宋体" w:eastAsia="宋体" w:cs="宋体"/>
                <w:b/>
                <w:bCs/>
                <w:color w:val="auto"/>
                <w:kern w:val="0"/>
                <w:sz w:val="21"/>
                <w:szCs w:val="21"/>
                <w:highlight w:val="none"/>
              </w:rPr>
              <w:t>序号</w:t>
            </w:r>
          </w:p>
        </w:tc>
        <w:tc>
          <w:tcPr>
            <w:tcW w:w="4394" w:type="dxa"/>
            <w:tcBorders>
              <w:top w:val="single" w:color="auto" w:sz="4" w:space="0"/>
              <w:left w:val="nil"/>
              <w:bottom w:val="single" w:color="auto" w:sz="4" w:space="0"/>
              <w:right w:val="single" w:color="auto" w:sz="4" w:space="0"/>
            </w:tcBorders>
            <w:shd w:val="clear" w:color="auto" w:fill="auto"/>
            <w:vAlign w:val="center"/>
          </w:tcPr>
          <w:p>
            <w:pPr>
              <w:widowControl/>
              <w:rPr>
                <w:rFonts w:ascii="宋体" w:hAnsi="宋体" w:eastAsia="宋体" w:cs="宋体"/>
                <w:color w:val="auto"/>
                <w:kern w:val="0"/>
                <w:sz w:val="21"/>
                <w:szCs w:val="21"/>
                <w:highlight w:val="none"/>
              </w:rPr>
            </w:pPr>
            <w:r>
              <w:rPr>
                <w:rFonts w:hint="eastAsia" w:ascii="宋体" w:hAnsi="宋体" w:eastAsia="宋体" w:cs="宋体"/>
                <w:b/>
                <w:bCs/>
                <w:color w:val="auto"/>
                <w:kern w:val="0"/>
                <w:sz w:val="21"/>
                <w:szCs w:val="21"/>
                <w:highlight w:val="none"/>
              </w:rPr>
              <w:t>名称</w:t>
            </w:r>
          </w:p>
        </w:tc>
        <w:tc>
          <w:tcPr>
            <w:tcW w:w="127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1"/>
                <w:szCs w:val="21"/>
                <w:highlight w:val="none"/>
              </w:rPr>
            </w:pPr>
            <w:r>
              <w:rPr>
                <w:rFonts w:hint="eastAsia" w:ascii="宋体" w:hAnsi="宋体" w:eastAsia="宋体" w:cs="宋体"/>
                <w:b/>
                <w:bCs/>
                <w:color w:val="auto"/>
                <w:kern w:val="0"/>
                <w:sz w:val="21"/>
                <w:szCs w:val="21"/>
                <w:highlight w:val="none"/>
              </w:rPr>
              <w:t>数量</w:t>
            </w:r>
          </w:p>
        </w:tc>
        <w:tc>
          <w:tcPr>
            <w:tcW w:w="127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1"/>
                <w:szCs w:val="21"/>
                <w:highlight w:val="none"/>
              </w:rPr>
            </w:pPr>
            <w:r>
              <w:rPr>
                <w:rFonts w:hint="eastAsia" w:ascii="宋体" w:hAnsi="宋体" w:eastAsia="宋体" w:cs="宋体"/>
                <w:b/>
                <w:bCs/>
                <w:color w:val="auto"/>
                <w:kern w:val="0"/>
                <w:sz w:val="21"/>
                <w:szCs w:val="21"/>
                <w:highlight w:val="none"/>
              </w:rPr>
              <w:t>单位</w:t>
            </w:r>
          </w:p>
        </w:tc>
      </w:tr>
      <w:tr>
        <w:tblPrEx>
          <w:tblCellMar>
            <w:top w:w="0" w:type="dxa"/>
            <w:left w:w="108" w:type="dxa"/>
            <w:bottom w:w="0" w:type="dxa"/>
            <w:right w:w="108" w:type="dxa"/>
          </w:tblCellMar>
        </w:tblPrEx>
        <w:trPr>
          <w:trHeight w:val="454" w:hRule="atLeast"/>
        </w:trPr>
        <w:tc>
          <w:tcPr>
            <w:tcW w:w="127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p>
        </w:tc>
        <w:tc>
          <w:tcPr>
            <w:tcW w:w="4394" w:type="dxa"/>
            <w:tcBorders>
              <w:top w:val="single" w:color="auto" w:sz="4" w:space="0"/>
              <w:left w:val="nil"/>
              <w:bottom w:val="single" w:color="auto" w:sz="4" w:space="0"/>
              <w:right w:val="single" w:color="auto" w:sz="4" w:space="0"/>
            </w:tcBorders>
            <w:shd w:val="clear" w:color="auto" w:fill="auto"/>
            <w:vAlign w:val="center"/>
          </w:tcPr>
          <w:p>
            <w:pPr>
              <w:widowControl/>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官网应用服务器</w:t>
            </w:r>
          </w:p>
        </w:tc>
        <w:tc>
          <w:tcPr>
            <w:tcW w:w="127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w:t>
            </w:r>
          </w:p>
        </w:tc>
        <w:tc>
          <w:tcPr>
            <w:tcW w:w="127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台</w:t>
            </w:r>
          </w:p>
        </w:tc>
      </w:tr>
    </w:tbl>
    <w:p>
      <w:pPr>
        <w:pStyle w:val="6"/>
        <w:rPr>
          <w:color w:val="auto"/>
          <w:highlight w:val="none"/>
        </w:rPr>
      </w:pPr>
      <w:r>
        <w:rPr>
          <w:rFonts w:hint="eastAsia"/>
          <w:color w:val="auto"/>
          <w:highlight w:val="none"/>
        </w:rPr>
        <w:t>3.5</w:t>
      </w:r>
      <w:r>
        <w:rPr>
          <w:color w:val="auto"/>
          <w:highlight w:val="none"/>
        </w:rPr>
        <w:t>.2</w:t>
      </w:r>
      <w:r>
        <w:rPr>
          <w:rFonts w:hint="eastAsia"/>
          <w:color w:val="auto"/>
          <w:highlight w:val="none"/>
        </w:rPr>
        <w:t>技术要求</w:t>
      </w:r>
    </w:p>
    <w:p>
      <w:pPr>
        <w:spacing w:line="360" w:lineRule="auto"/>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规格：2U机架式服务器，国产品牌，国内生产和制造；</w:t>
      </w:r>
    </w:p>
    <w:p>
      <w:pPr>
        <w:spacing w:line="360" w:lineRule="auto"/>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处理器：本次配置≥1颗Intel Xeon Silver 4208 8C 85W 2.1GHz 处理器，可选最大可支持至2颗26核处理器；</w:t>
      </w:r>
    </w:p>
    <w:p>
      <w:pPr>
        <w:spacing w:line="360" w:lineRule="auto"/>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内存：配置≥4*32GB TruDDR4 2933MHz内存，最大支持16根内存插槽；</w:t>
      </w:r>
    </w:p>
    <w:p>
      <w:pPr>
        <w:spacing w:line="360" w:lineRule="auto"/>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硬盘：配置≥4块600GB 10K SAS 2.5” SAS 热插拔硬盘；最大支持16个SFF或者14个LFF热插拔硬盘扩展，支持前置直连四个U.2 NVMe SSD硬盘。支持内置两个M.2 且支持RAID 0/1提供ANYBAY技术可切换SAS/SATA/U.2硬盘不用更换背板；</w:t>
      </w:r>
    </w:p>
    <w:p>
      <w:pPr>
        <w:spacing w:line="360" w:lineRule="auto"/>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RAID功能：配置≥1块独立8端口12Gbps SAS/SATA阵列卡,1GB缓存，支持RAID0,1，5,10；</w:t>
      </w:r>
    </w:p>
    <w:p>
      <w:pPr>
        <w:spacing w:line="360" w:lineRule="auto"/>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网卡和HBA卡：主板集成2端口千兆网卡（可通过LOM插槽支持扩展至4个千兆网口，不占用PCI插槽），1个独享的管理端口；</w:t>
      </w:r>
    </w:p>
    <w:p>
      <w:pPr>
        <w:spacing w:line="360" w:lineRule="auto"/>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配件：免工具滑动导轨套件；</w:t>
      </w:r>
    </w:p>
    <w:p>
      <w:pPr>
        <w:spacing w:line="360" w:lineRule="auto"/>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电源：电源输出功率≥750W 热插拔电源模块，单电源，支持1+1冗余；</w:t>
      </w:r>
    </w:p>
    <w:p>
      <w:pPr>
        <w:spacing w:line="360" w:lineRule="auto"/>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冷却系统：最大4个冗余（N+1）热插拔系统风扇，风扇具有优化控制系统控制散热风扇转速，降低噪音， 提高散热效率；</w:t>
      </w:r>
    </w:p>
    <w:p>
      <w:pPr>
        <w:spacing w:line="360" w:lineRule="auto"/>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I/O扩展：最大支持≥6个PCIe 3.0插槽，配置前置USB口用以连接手机管理服务器（可提供移动应用中的与操作面板类似的功能），配置≥2个后置USB 3.0接口；</w:t>
      </w:r>
    </w:p>
    <w:p>
      <w:pPr>
        <w:spacing w:line="360" w:lineRule="auto"/>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服务要求：提供原厂3年7x24 售后支持服务，提供原厂基础安装服务；可靠性：</w:t>
      </w:r>
      <w:r>
        <w:rPr>
          <w:rFonts w:hint="eastAsia" w:ascii="宋体" w:hAnsi="宋体" w:eastAsia="宋体"/>
          <w:b/>
          <w:bCs/>
          <w:color w:val="auto"/>
          <w:sz w:val="21"/>
          <w:szCs w:val="21"/>
          <w:highlight w:val="none"/>
        </w:rPr>
        <w:t>提供样品平均无故障时间不低于150000小时产品检验合格证书。</w:t>
      </w:r>
    </w:p>
    <w:p>
      <w:pPr>
        <w:pStyle w:val="5"/>
        <w:keepNext/>
        <w:keepLines/>
        <w:pageBreakBefore w:val="0"/>
        <w:widowControl w:val="0"/>
        <w:kinsoku/>
        <w:wordWrap/>
        <w:overflowPunct/>
        <w:topLinePunct w:val="0"/>
        <w:autoSpaceDE/>
        <w:autoSpaceDN/>
        <w:bidi w:val="0"/>
        <w:adjustRightInd/>
        <w:snapToGrid/>
        <w:ind w:firstLine="0"/>
        <w:jc w:val="left"/>
        <w:textAlignment w:val="auto"/>
        <w:rPr>
          <w:rFonts w:hint="eastAsia" w:ascii="宋体" w:hAnsi="宋体" w:eastAsia="宋体" w:cs="宋体"/>
          <w:color w:val="auto"/>
          <w:sz w:val="28"/>
          <w:szCs w:val="28"/>
          <w:highlight w:val="none"/>
        </w:rPr>
      </w:pPr>
      <w:bookmarkStart w:id="107" w:name="_Toc23794"/>
      <w:bookmarkStart w:id="108" w:name="_Toc16622"/>
      <w:r>
        <w:rPr>
          <w:rFonts w:hint="eastAsia" w:ascii="宋体" w:hAnsi="宋体" w:eastAsia="宋体" w:cs="宋体"/>
          <w:color w:val="auto"/>
          <w:sz w:val="28"/>
          <w:szCs w:val="28"/>
          <w:highlight w:val="none"/>
        </w:rPr>
        <w:t>3.6信息配套</w:t>
      </w:r>
      <w:bookmarkEnd w:id="107"/>
      <w:bookmarkEnd w:id="108"/>
    </w:p>
    <w:p>
      <w:pPr>
        <w:pStyle w:val="6"/>
        <w:rPr>
          <w:color w:val="auto"/>
          <w:highlight w:val="none"/>
        </w:rPr>
      </w:pPr>
      <w:r>
        <w:rPr>
          <w:rFonts w:hint="eastAsia"/>
          <w:color w:val="auto"/>
          <w:highlight w:val="none"/>
        </w:rPr>
        <w:t>3.6</w:t>
      </w:r>
      <w:r>
        <w:rPr>
          <w:color w:val="auto"/>
          <w:highlight w:val="none"/>
        </w:rPr>
        <w:t>.1</w:t>
      </w:r>
      <w:r>
        <w:rPr>
          <w:rFonts w:hint="eastAsia"/>
          <w:color w:val="auto"/>
          <w:highlight w:val="none"/>
        </w:rPr>
        <w:t>产品数量</w:t>
      </w:r>
    </w:p>
    <w:tbl>
      <w:tblPr>
        <w:tblStyle w:val="23"/>
        <w:tblW w:w="87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1"/>
        <w:gridCol w:w="5245"/>
        <w:gridCol w:w="1134"/>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71" w:type="dxa"/>
            <w:shd w:val="clear" w:color="auto" w:fill="auto"/>
            <w:vAlign w:val="center"/>
          </w:tcPr>
          <w:p>
            <w:pPr>
              <w:widowControl/>
              <w:jc w:val="center"/>
              <w:rPr>
                <w:rFonts w:ascii="宋体" w:hAnsi="宋体" w:eastAsia="宋体" w:cs="宋体"/>
                <w:color w:val="auto"/>
                <w:kern w:val="0"/>
                <w:sz w:val="21"/>
                <w:szCs w:val="21"/>
                <w:highlight w:val="none"/>
              </w:rPr>
            </w:pPr>
            <w:r>
              <w:rPr>
                <w:rFonts w:hint="eastAsia" w:ascii="宋体" w:hAnsi="宋体" w:eastAsia="宋体" w:cs="宋体"/>
                <w:b/>
                <w:bCs/>
                <w:color w:val="auto"/>
                <w:kern w:val="0"/>
                <w:sz w:val="21"/>
                <w:szCs w:val="21"/>
                <w:highlight w:val="none"/>
              </w:rPr>
              <w:t>序号</w:t>
            </w:r>
          </w:p>
        </w:tc>
        <w:tc>
          <w:tcPr>
            <w:tcW w:w="5245" w:type="dxa"/>
            <w:shd w:val="clear" w:color="auto" w:fill="auto"/>
            <w:vAlign w:val="center"/>
          </w:tcPr>
          <w:p>
            <w:pPr>
              <w:widowControl/>
              <w:rPr>
                <w:rFonts w:ascii="宋体" w:hAnsi="宋体" w:eastAsia="宋体" w:cs="宋体"/>
                <w:color w:val="auto"/>
                <w:kern w:val="0"/>
                <w:sz w:val="21"/>
                <w:szCs w:val="21"/>
                <w:highlight w:val="none"/>
              </w:rPr>
            </w:pPr>
            <w:r>
              <w:rPr>
                <w:rFonts w:hint="eastAsia" w:ascii="宋体" w:hAnsi="宋体" w:eastAsia="宋体" w:cs="宋体"/>
                <w:b/>
                <w:bCs/>
                <w:color w:val="auto"/>
                <w:kern w:val="0"/>
                <w:sz w:val="21"/>
                <w:szCs w:val="21"/>
                <w:highlight w:val="none"/>
              </w:rPr>
              <w:t>名称</w:t>
            </w:r>
          </w:p>
        </w:tc>
        <w:tc>
          <w:tcPr>
            <w:tcW w:w="1134" w:type="dxa"/>
            <w:shd w:val="clear" w:color="auto" w:fill="auto"/>
            <w:vAlign w:val="center"/>
          </w:tcPr>
          <w:p>
            <w:pPr>
              <w:widowControl/>
              <w:jc w:val="center"/>
              <w:rPr>
                <w:rFonts w:ascii="宋体" w:hAnsi="宋体" w:eastAsia="宋体" w:cs="宋体"/>
                <w:color w:val="auto"/>
                <w:kern w:val="0"/>
                <w:sz w:val="21"/>
                <w:szCs w:val="21"/>
                <w:highlight w:val="none"/>
              </w:rPr>
            </w:pPr>
            <w:r>
              <w:rPr>
                <w:rFonts w:hint="eastAsia" w:ascii="宋体" w:hAnsi="宋体" w:eastAsia="宋体" w:cs="宋体"/>
                <w:b/>
                <w:bCs/>
                <w:color w:val="auto"/>
                <w:kern w:val="0"/>
                <w:sz w:val="21"/>
                <w:szCs w:val="21"/>
                <w:highlight w:val="none"/>
              </w:rPr>
              <w:t>数量</w:t>
            </w:r>
          </w:p>
        </w:tc>
        <w:tc>
          <w:tcPr>
            <w:tcW w:w="1134" w:type="dxa"/>
            <w:shd w:val="clear" w:color="auto" w:fill="auto"/>
            <w:vAlign w:val="center"/>
          </w:tcPr>
          <w:p>
            <w:pPr>
              <w:widowControl/>
              <w:jc w:val="center"/>
              <w:rPr>
                <w:rFonts w:ascii="宋体" w:hAnsi="宋体" w:eastAsia="宋体" w:cs="宋体"/>
                <w:color w:val="auto"/>
                <w:kern w:val="0"/>
                <w:sz w:val="21"/>
                <w:szCs w:val="21"/>
                <w:highlight w:val="none"/>
              </w:rPr>
            </w:pPr>
            <w:r>
              <w:rPr>
                <w:rFonts w:hint="eastAsia" w:ascii="宋体" w:hAnsi="宋体" w:eastAsia="宋体" w:cs="宋体"/>
                <w:b/>
                <w:bCs/>
                <w:color w:val="auto"/>
                <w:kern w:val="0"/>
                <w:sz w:val="21"/>
                <w:szCs w:val="21"/>
                <w:highlight w:val="none"/>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71" w:type="dxa"/>
            <w:shd w:val="clear" w:color="auto" w:fill="auto"/>
            <w:vAlign w:val="center"/>
          </w:tcPr>
          <w:p>
            <w:pPr>
              <w:widowControl/>
              <w:jc w:val="center"/>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p>
        </w:tc>
        <w:tc>
          <w:tcPr>
            <w:tcW w:w="5245" w:type="dxa"/>
            <w:shd w:val="clear" w:color="auto" w:fill="auto"/>
            <w:vAlign w:val="center"/>
          </w:tcPr>
          <w:p>
            <w:pPr>
              <w:widowControl/>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核心交换机</w:t>
            </w:r>
          </w:p>
        </w:tc>
        <w:tc>
          <w:tcPr>
            <w:tcW w:w="1134" w:type="dxa"/>
            <w:shd w:val="clear" w:color="auto" w:fill="auto"/>
            <w:vAlign w:val="center"/>
          </w:tcPr>
          <w:p>
            <w:pPr>
              <w:widowControl/>
              <w:jc w:val="center"/>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p>
        </w:tc>
        <w:tc>
          <w:tcPr>
            <w:tcW w:w="1134" w:type="dxa"/>
            <w:shd w:val="clear" w:color="auto" w:fill="auto"/>
            <w:vAlign w:val="center"/>
          </w:tcPr>
          <w:p>
            <w:pPr>
              <w:widowControl/>
              <w:jc w:val="center"/>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71" w:type="dxa"/>
            <w:shd w:val="clear" w:color="auto" w:fill="auto"/>
            <w:vAlign w:val="center"/>
          </w:tcPr>
          <w:p>
            <w:pPr>
              <w:widowControl/>
              <w:jc w:val="center"/>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w:t>
            </w:r>
          </w:p>
        </w:tc>
        <w:tc>
          <w:tcPr>
            <w:tcW w:w="5245" w:type="dxa"/>
            <w:shd w:val="clear" w:color="auto" w:fill="auto"/>
            <w:vAlign w:val="center"/>
          </w:tcPr>
          <w:p>
            <w:pPr>
              <w:widowControl/>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汇聚交换机</w:t>
            </w:r>
          </w:p>
        </w:tc>
        <w:tc>
          <w:tcPr>
            <w:tcW w:w="1134" w:type="dxa"/>
            <w:shd w:val="clear" w:color="auto" w:fill="auto"/>
            <w:vAlign w:val="center"/>
          </w:tcPr>
          <w:p>
            <w:pPr>
              <w:widowControl/>
              <w:jc w:val="center"/>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p>
        </w:tc>
        <w:tc>
          <w:tcPr>
            <w:tcW w:w="1134" w:type="dxa"/>
            <w:shd w:val="clear" w:color="auto" w:fill="auto"/>
            <w:vAlign w:val="center"/>
          </w:tcPr>
          <w:p>
            <w:pPr>
              <w:widowControl/>
              <w:jc w:val="center"/>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71" w:type="dxa"/>
            <w:shd w:val="clear" w:color="auto" w:fill="auto"/>
            <w:vAlign w:val="center"/>
          </w:tcPr>
          <w:p>
            <w:pPr>
              <w:widowControl/>
              <w:jc w:val="center"/>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w:t>
            </w:r>
          </w:p>
        </w:tc>
        <w:tc>
          <w:tcPr>
            <w:tcW w:w="5245" w:type="dxa"/>
            <w:shd w:val="clear" w:color="auto" w:fill="auto"/>
            <w:vAlign w:val="center"/>
          </w:tcPr>
          <w:p>
            <w:pPr>
              <w:widowControl/>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接入交换机</w:t>
            </w:r>
          </w:p>
        </w:tc>
        <w:tc>
          <w:tcPr>
            <w:tcW w:w="1134" w:type="dxa"/>
            <w:shd w:val="clear" w:color="auto" w:fill="auto"/>
            <w:vAlign w:val="center"/>
          </w:tcPr>
          <w:p>
            <w:pPr>
              <w:widowControl/>
              <w:jc w:val="center"/>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w:t>
            </w:r>
          </w:p>
        </w:tc>
        <w:tc>
          <w:tcPr>
            <w:tcW w:w="1134" w:type="dxa"/>
            <w:shd w:val="clear" w:color="auto" w:fill="auto"/>
            <w:vAlign w:val="center"/>
          </w:tcPr>
          <w:p>
            <w:pPr>
              <w:widowControl/>
              <w:jc w:val="center"/>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71" w:type="dxa"/>
            <w:shd w:val="clear" w:color="auto" w:fill="auto"/>
            <w:vAlign w:val="center"/>
          </w:tcPr>
          <w:p>
            <w:pPr>
              <w:widowControl/>
              <w:jc w:val="center"/>
              <w:rPr>
                <w:rFonts w:ascii="宋体" w:hAnsi="宋体" w:eastAsia="宋体" w:cs="宋体"/>
                <w:color w:val="auto"/>
                <w:kern w:val="0"/>
                <w:sz w:val="21"/>
                <w:szCs w:val="21"/>
                <w:highlight w:val="none"/>
              </w:rPr>
            </w:pPr>
            <w:r>
              <w:rPr>
                <w:rFonts w:ascii="宋体" w:hAnsi="宋体" w:eastAsia="宋体" w:cs="宋体"/>
                <w:color w:val="auto"/>
                <w:kern w:val="0"/>
                <w:sz w:val="21"/>
                <w:szCs w:val="21"/>
                <w:highlight w:val="none"/>
              </w:rPr>
              <w:t>4</w:t>
            </w:r>
          </w:p>
        </w:tc>
        <w:tc>
          <w:tcPr>
            <w:tcW w:w="5245" w:type="dxa"/>
            <w:shd w:val="clear" w:color="auto" w:fill="auto"/>
            <w:vAlign w:val="center"/>
          </w:tcPr>
          <w:p>
            <w:pPr>
              <w:widowControl/>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存储硬盘框</w:t>
            </w:r>
          </w:p>
        </w:tc>
        <w:tc>
          <w:tcPr>
            <w:tcW w:w="1134" w:type="dxa"/>
            <w:shd w:val="clear" w:color="auto" w:fill="auto"/>
            <w:vAlign w:val="center"/>
          </w:tcPr>
          <w:p>
            <w:pPr>
              <w:widowControl/>
              <w:jc w:val="center"/>
              <w:rPr>
                <w:rFonts w:ascii="宋体" w:hAnsi="宋体" w:eastAsia="宋体" w:cs="宋体"/>
                <w:color w:val="auto"/>
                <w:kern w:val="0"/>
                <w:sz w:val="21"/>
                <w:szCs w:val="21"/>
                <w:highlight w:val="none"/>
              </w:rPr>
            </w:pPr>
            <w:r>
              <w:rPr>
                <w:rFonts w:ascii="宋体" w:hAnsi="宋体" w:eastAsia="宋体" w:cs="宋体"/>
                <w:color w:val="auto"/>
                <w:kern w:val="0"/>
                <w:sz w:val="21"/>
                <w:szCs w:val="21"/>
                <w:highlight w:val="none"/>
              </w:rPr>
              <w:t>1</w:t>
            </w:r>
          </w:p>
        </w:tc>
        <w:tc>
          <w:tcPr>
            <w:tcW w:w="1134" w:type="dxa"/>
            <w:shd w:val="clear" w:color="auto" w:fill="auto"/>
            <w:vAlign w:val="center"/>
          </w:tcPr>
          <w:p>
            <w:pPr>
              <w:widowControl/>
              <w:jc w:val="center"/>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71" w:type="dxa"/>
            <w:shd w:val="clear" w:color="auto" w:fill="auto"/>
            <w:vAlign w:val="center"/>
          </w:tcPr>
          <w:p>
            <w:pPr>
              <w:widowControl/>
              <w:jc w:val="center"/>
              <w:rPr>
                <w:rFonts w:ascii="宋体" w:hAnsi="宋体" w:eastAsia="宋体" w:cs="宋体"/>
                <w:color w:val="auto"/>
                <w:kern w:val="0"/>
                <w:sz w:val="21"/>
                <w:szCs w:val="21"/>
                <w:highlight w:val="none"/>
              </w:rPr>
            </w:pPr>
            <w:r>
              <w:rPr>
                <w:rFonts w:ascii="宋体" w:hAnsi="宋体" w:eastAsia="宋体" w:cs="宋体"/>
                <w:color w:val="auto"/>
                <w:kern w:val="0"/>
                <w:sz w:val="21"/>
                <w:szCs w:val="21"/>
                <w:highlight w:val="none"/>
              </w:rPr>
              <w:t>5</w:t>
            </w:r>
          </w:p>
        </w:tc>
        <w:tc>
          <w:tcPr>
            <w:tcW w:w="5245" w:type="dxa"/>
            <w:shd w:val="clear" w:color="auto" w:fill="auto"/>
            <w:vAlign w:val="center"/>
          </w:tcPr>
          <w:p>
            <w:pPr>
              <w:widowControl/>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存储硬盘 </w:t>
            </w:r>
            <w:r>
              <w:rPr>
                <w:rFonts w:ascii="宋体" w:hAnsi="宋体" w:eastAsia="宋体" w:cs="宋体"/>
                <w:color w:val="auto"/>
                <w:kern w:val="0"/>
                <w:sz w:val="21"/>
                <w:szCs w:val="21"/>
                <w:highlight w:val="none"/>
              </w:rPr>
              <w:t>10T</w:t>
            </w:r>
          </w:p>
        </w:tc>
        <w:tc>
          <w:tcPr>
            <w:tcW w:w="1134" w:type="dxa"/>
            <w:shd w:val="clear" w:color="auto" w:fill="auto"/>
            <w:vAlign w:val="center"/>
          </w:tcPr>
          <w:p>
            <w:pPr>
              <w:widowControl/>
              <w:jc w:val="center"/>
              <w:rPr>
                <w:rFonts w:ascii="宋体" w:hAnsi="宋体" w:eastAsia="宋体" w:cs="宋体"/>
                <w:color w:val="auto"/>
                <w:kern w:val="0"/>
                <w:sz w:val="21"/>
                <w:szCs w:val="21"/>
                <w:highlight w:val="none"/>
              </w:rPr>
            </w:pPr>
            <w:r>
              <w:rPr>
                <w:rFonts w:ascii="宋体" w:hAnsi="宋体" w:eastAsia="宋体" w:cs="宋体"/>
                <w:color w:val="auto"/>
                <w:kern w:val="0"/>
                <w:sz w:val="21"/>
                <w:szCs w:val="21"/>
                <w:highlight w:val="none"/>
              </w:rPr>
              <w:t>2</w:t>
            </w:r>
          </w:p>
        </w:tc>
        <w:tc>
          <w:tcPr>
            <w:tcW w:w="1134" w:type="dxa"/>
            <w:shd w:val="clear" w:color="auto" w:fill="auto"/>
            <w:vAlign w:val="center"/>
          </w:tcPr>
          <w:p>
            <w:pPr>
              <w:widowControl/>
              <w:jc w:val="center"/>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71" w:type="dxa"/>
            <w:shd w:val="clear" w:color="auto" w:fill="auto"/>
            <w:vAlign w:val="center"/>
          </w:tcPr>
          <w:p>
            <w:pPr>
              <w:widowControl/>
              <w:jc w:val="center"/>
              <w:rPr>
                <w:rFonts w:ascii="宋体" w:hAnsi="宋体" w:eastAsia="宋体" w:cs="宋体"/>
                <w:color w:val="auto"/>
                <w:kern w:val="0"/>
                <w:sz w:val="21"/>
                <w:szCs w:val="21"/>
                <w:highlight w:val="none"/>
              </w:rPr>
            </w:pPr>
            <w:r>
              <w:rPr>
                <w:rFonts w:ascii="宋体" w:hAnsi="宋体" w:eastAsia="宋体" w:cs="宋体"/>
                <w:color w:val="auto"/>
                <w:kern w:val="0"/>
                <w:sz w:val="21"/>
                <w:szCs w:val="21"/>
                <w:highlight w:val="none"/>
              </w:rPr>
              <w:t>6</w:t>
            </w:r>
          </w:p>
        </w:tc>
        <w:tc>
          <w:tcPr>
            <w:tcW w:w="5245" w:type="dxa"/>
            <w:shd w:val="clear" w:color="auto" w:fill="auto"/>
            <w:vAlign w:val="center"/>
          </w:tcPr>
          <w:p>
            <w:pPr>
              <w:widowControl/>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UPS不间断电源</w:t>
            </w:r>
          </w:p>
        </w:tc>
        <w:tc>
          <w:tcPr>
            <w:tcW w:w="1134" w:type="dxa"/>
            <w:shd w:val="clear" w:color="auto" w:fill="auto"/>
            <w:vAlign w:val="center"/>
          </w:tcPr>
          <w:p>
            <w:pPr>
              <w:widowControl/>
              <w:jc w:val="center"/>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p>
        </w:tc>
        <w:tc>
          <w:tcPr>
            <w:tcW w:w="1134" w:type="dxa"/>
            <w:shd w:val="clear" w:color="auto" w:fill="auto"/>
            <w:vAlign w:val="center"/>
          </w:tcPr>
          <w:p>
            <w:pPr>
              <w:widowControl/>
              <w:jc w:val="center"/>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71" w:type="dxa"/>
            <w:shd w:val="clear" w:color="auto" w:fill="auto"/>
            <w:vAlign w:val="center"/>
          </w:tcPr>
          <w:p>
            <w:pPr>
              <w:widowControl/>
              <w:jc w:val="center"/>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7</w:t>
            </w:r>
          </w:p>
        </w:tc>
        <w:tc>
          <w:tcPr>
            <w:tcW w:w="5245" w:type="dxa"/>
            <w:shd w:val="clear" w:color="auto" w:fill="auto"/>
            <w:vAlign w:val="center"/>
          </w:tcPr>
          <w:p>
            <w:pPr>
              <w:widowControl/>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数据库维护</w:t>
            </w:r>
          </w:p>
        </w:tc>
        <w:tc>
          <w:tcPr>
            <w:tcW w:w="1134" w:type="dxa"/>
            <w:shd w:val="clear" w:color="auto" w:fill="auto"/>
            <w:vAlign w:val="center"/>
          </w:tcPr>
          <w:p>
            <w:pPr>
              <w:widowControl/>
              <w:jc w:val="center"/>
              <w:rPr>
                <w:rFonts w:ascii="宋体" w:hAnsi="宋体" w:eastAsia="宋体" w:cs="宋体"/>
                <w:color w:val="auto"/>
                <w:kern w:val="0"/>
                <w:sz w:val="21"/>
                <w:szCs w:val="21"/>
                <w:highlight w:val="none"/>
              </w:rPr>
            </w:pPr>
            <w:r>
              <w:rPr>
                <w:rFonts w:ascii="宋体" w:hAnsi="宋体" w:eastAsia="宋体" w:cs="宋体"/>
                <w:color w:val="auto"/>
                <w:kern w:val="0"/>
                <w:sz w:val="21"/>
                <w:szCs w:val="21"/>
                <w:highlight w:val="none"/>
              </w:rPr>
              <w:t>3</w:t>
            </w:r>
          </w:p>
        </w:tc>
        <w:tc>
          <w:tcPr>
            <w:tcW w:w="1134" w:type="dxa"/>
            <w:shd w:val="clear" w:color="auto" w:fill="auto"/>
            <w:vAlign w:val="center"/>
          </w:tcPr>
          <w:p>
            <w:pPr>
              <w:widowControl/>
              <w:jc w:val="center"/>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年</w:t>
            </w:r>
          </w:p>
        </w:tc>
      </w:tr>
    </w:tbl>
    <w:p>
      <w:pPr>
        <w:pStyle w:val="6"/>
        <w:rPr>
          <w:color w:val="auto"/>
          <w:highlight w:val="none"/>
        </w:rPr>
      </w:pPr>
      <w:r>
        <w:rPr>
          <w:rFonts w:hint="eastAsia"/>
          <w:color w:val="auto"/>
          <w:highlight w:val="none"/>
        </w:rPr>
        <w:t>3.6</w:t>
      </w:r>
      <w:r>
        <w:rPr>
          <w:color w:val="auto"/>
          <w:highlight w:val="none"/>
        </w:rPr>
        <w:t>.2</w:t>
      </w:r>
      <w:r>
        <w:rPr>
          <w:rFonts w:hint="eastAsia"/>
          <w:color w:val="auto"/>
          <w:highlight w:val="none"/>
        </w:rPr>
        <w:t>技术要求</w:t>
      </w:r>
    </w:p>
    <w:p>
      <w:pPr>
        <w:spacing w:line="360" w:lineRule="auto"/>
        <w:rPr>
          <w:rFonts w:ascii="宋体" w:hAnsi="宋体" w:eastAsia="宋体"/>
          <w:b/>
          <w:bCs/>
          <w:color w:val="auto"/>
          <w:sz w:val="24"/>
          <w:szCs w:val="24"/>
          <w:highlight w:val="none"/>
        </w:rPr>
      </w:pPr>
      <w:r>
        <w:rPr>
          <w:rFonts w:hint="eastAsia" w:ascii="宋体" w:hAnsi="宋体" w:eastAsia="宋体"/>
          <w:b/>
          <w:bCs/>
          <w:color w:val="auto"/>
          <w:sz w:val="24"/>
          <w:szCs w:val="24"/>
          <w:highlight w:val="none"/>
        </w:rPr>
        <w:t>（1）核心交换机</w:t>
      </w:r>
    </w:p>
    <w:p>
      <w:pPr>
        <w:spacing w:line="360" w:lineRule="auto"/>
        <w:ind w:firstLine="420" w:firstLineChars="200"/>
        <w:rPr>
          <w:rFonts w:ascii="宋体" w:hAnsi="宋体" w:eastAsia="宋体" w:cs="仿宋"/>
          <w:color w:val="auto"/>
          <w:sz w:val="21"/>
          <w:szCs w:val="21"/>
          <w:highlight w:val="none"/>
        </w:rPr>
      </w:pPr>
      <w:r>
        <w:rPr>
          <w:rFonts w:hint="eastAsia" w:ascii="宋体" w:hAnsi="宋体" w:eastAsia="宋体" w:cs="仿宋"/>
          <w:color w:val="auto"/>
          <w:sz w:val="21"/>
          <w:szCs w:val="21"/>
          <w:highlight w:val="none"/>
        </w:rPr>
        <w:t>交换容量≥ 384Tbps（以官网最小值为准）；</w:t>
      </w:r>
    </w:p>
    <w:p>
      <w:pPr>
        <w:spacing w:line="360" w:lineRule="auto"/>
        <w:ind w:firstLine="420" w:firstLineChars="200"/>
        <w:rPr>
          <w:rFonts w:ascii="宋体" w:hAnsi="宋体" w:eastAsia="宋体" w:cs="仿宋"/>
          <w:color w:val="auto"/>
          <w:sz w:val="21"/>
          <w:szCs w:val="21"/>
          <w:highlight w:val="none"/>
        </w:rPr>
      </w:pPr>
      <w:r>
        <w:rPr>
          <w:rFonts w:hint="eastAsia" w:ascii="宋体" w:hAnsi="宋体" w:eastAsia="宋体" w:cs="仿宋"/>
          <w:color w:val="auto"/>
          <w:sz w:val="21"/>
          <w:szCs w:val="21"/>
          <w:highlight w:val="none"/>
        </w:rPr>
        <w:t>包转发率≥ 72000Mpps（以官网最小值为准）；</w:t>
      </w:r>
    </w:p>
    <w:p>
      <w:pPr>
        <w:spacing w:line="360" w:lineRule="auto"/>
        <w:ind w:firstLine="420" w:firstLineChars="200"/>
        <w:rPr>
          <w:rFonts w:ascii="宋体" w:hAnsi="宋体" w:eastAsia="宋体" w:cs="仿宋"/>
          <w:color w:val="auto"/>
          <w:sz w:val="21"/>
          <w:szCs w:val="21"/>
          <w:highlight w:val="none"/>
        </w:rPr>
      </w:pPr>
      <w:r>
        <w:rPr>
          <w:rFonts w:hint="eastAsia" w:ascii="宋体" w:hAnsi="宋体" w:eastAsia="宋体" w:cs="仿宋"/>
          <w:color w:val="auto"/>
          <w:sz w:val="21"/>
          <w:szCs w:val="21"/>
          <w:highlight w:val="none"/>
        </w:rPr>
        <w:t>正交CLOS架构，双主控；（要求提供官网彩页并加盖公章作为证明材料）</w:t>
      </w:r>
    </w:p>
    <w:p>
      <w:pPr>
        <w:spacing w:line="360" w:lineRule="auto"/>
        <w:ind w:firstLine="420" w:firstLineChars="200"/>
        <w:rPr>
          <w:rFonts w:ascii="宋体" w:hAnsi="宋体" w:eastAsia="宋体" w:cs="仿宋"/>
          <w:color w:val="auto"/>
          <w:sz w:val="21"/>
          <w:szCs w:val="21"/>
          <w:highlight w:val="none"/>
        </w:rPr>
      </w:pPr>
      <w:r>
        <w:rPr>
          <w:rFonts w:hint="eastAsia" w:ascii="宋体" w:hAnsi="宋体" w:eastAsia="宋体" w:cs="仿宋"/>
          <w:color w:val="auto"/>
          <w:sz w:val="21"/>
          <w:szCs w:val="21"/>
          <w:highlight w:val="none"/>
        </w:rPr>
        <w:t>业务板槽位数≥</w:t>
      </w:r>
      <w:r>
        <w:rPr>
          <w:rFonts w:ascii="宋体" w:hAnsi="宋体" w:eastAsia="宋体" w:cs="仿宋"/>
          <w:color w:val="auto"/>
          <w:sz w:val="21"/>
          <w:szCs w:val="21"/>
          <w:highlight w:val="none"/>
        </w:rPr>
        <w:t>6，</w:t>
      </w:r>
      <w:r>
        <w:rPr>
          <w:rFonts w:hint="eastAsia" w:ascii="宋体" w:hAnsi="宋体" w:eastAsia="宋体" w:cs="仿宋"/>
          <w:color w:val="auto"/>
          <w:sz w:val="21"/>
          <w:szCs w:val="21"/>
          <w:highlight w:val="none"/>
        </w:rPr>
        <w:t>交换网板槽位数≥5（其中独立交换网模块槽位数≥3）；（提供不限于官网彩页或检测报告等证明材料）</w:t>
      </w:r>
    </w:p>
    <w:p>
      <w:pPr>
        <w:spacing w:line="360" w:lineRule="auto"/>
        <w:ind w:firstLine="420" w:firstLineChars="200"/>
        <w:rPr>
          <w:rFonts w:ascii="宋体" w:hAnsi="宋体" w:eastAsia="宋体" w:cs="仿宋"/>
          <w:color w:val="auto"/>
          <w:sz w:val="21"/>
          <w:szCs w:val="21"/>
          <w:highlight w:val="none"/>
        </w:rPr>
      </w:pPr>
      <w:r>
        <w:rPr>
          <w:rFonts w:hint="eastAsia" w:ascii="宋体" w:hAnsi="宋体" w:eastAsia="宋体" w:cs="仿宋"/>
          <w:color w:val="auto"/>
          <w:sz w:val="21"/>
          <w:szCs w:val="21"/>
          <w:highlight w:val="none"/>
        </w:rPr>
        <w:t>提供≥1块48端口千兆以太网电接口模块，≥1块48端口万兆以太网光接口模块（提供≥</w:t>
      </w:r>
      <w:r>
        <w:rPr>
          <w:rFonts w:ascii="宋体" w:hAnsi="宋体" w:eastAsia="宋体" w:cs="仿宋"/>
          <w:color w:val="auto"/>
          <w:sz w:val="21"/>
          <w:szCs w:val="21"/>
          <w:highlight w:val="none"/>
        </w:rPr>
        <w:t>24</w:t>
      </w:r>
      <w:r>
        <w:rPr>
          <w:rFonts w:hint="eastAsia" w:ascii="宋体" w:hAnsi="宋体" w:eastAsia="宋体" w:cs="仿宋"/>
          <w:color w:val="auto"/>
          <w:sz w:val="21"/>
          <w:szCs w:val="21"/>
          <w:highlight w:val="none"/>
        </w:rPr>
        <w:t>个万兆多模光模块、≥</w:t>
      </w:r>
      <w:r>
        <w:rPr>
          <w:rFonts w:ascii="宋体" w:hAnsi="宋体" w:eastAsia="宋体" w:cs="仿宋"/>
          <w:color w:val="auto"/>
          <w:sz w:val="21"/>
          <w:szCs w:val="21"/>
          <w:highlight w:val="none"/>
        </w:rPr>
        <w:t>24</w:t>
      </w:r>
      <w:r>
        <w:rPr>
          <w:rFonts w:hint="eastAsia" w:ascii="宋体" w:hAnsi="宋体" w:eastAsia="宋体" w:cs="仿宋"/>
          <w:color w:val="auto"/>
          <w:sz w:val="21"/>
          <w:szCs w:val="21"/>
          <w:highlight w:val="none"/>
        </w:rPr>
        <w:t>个万兆单模光模块）；</w:t>
      </w:r>
    </w:p>
    <w:p>
      <w:pPr>
        <w:pStyle w:val="22"/>
        <w:ind w:firstLine="480"/>
        <w:rPr>
          <w:rFonts w:hint="eastAsia"/>
          <w:color w:val="auto"/>
          <w:sz w:val="21"/>
          <w:szCs w:val="21"/>
          <w:highlight w:val="none"/>
        </w:rPr>
      </w:pPr>
      <w:r>
        <w:rPr>
          <w:rFonts w:hint="eastAsia"/>
          <w:color w:val="auto"/>
          <w:sz w:val="21"/>
          <w:szCs w:val="21"/>
          <w:highlight w:val="none"/>
        </w:rPr>
        <w:t>支持上网</w:t>
      </w:r>
      <w:r>
        <w:rPr>
          <w:color w:val="auto"/>
          <w:sz w:val="21"/>
          <w:szCs w:val="21"/>
          <w:highlight w:val="none"/>
        </w:rPr>
        <w:t>行为管理、流量控制等应用硬件插卡（</w:t>
      </w:r>
      <w:r>
        <w:rPr>
          <w:rFonts w:hint="eastAsia" w:ascii="宋体" w:hAnsi="宋体" w:eastAsia="宋体" w:cs="仿宋"/>
          <w:color w:val="auto"/>
          <w:sz w:val="21"/>
          <w:szCs w:val="21"/>
          <w:highlight w:val="none"/>
        </w:rPr>
        <w:t>提供不限于官网彩页或检测报告等证明材料</w:t>
      </w:r>
      <w:r>
        <w:rPr>
          <w:color w:val="auto"/>
          <w:sz w:val="21"/>
          <w:szCs w:val="21"/>
          <w:highlight w:val="none"/>
        </w:rPr>
        <w:t>）</w:t>
      </w:r>
    </w:p>
    <w:p>
      <w:pPr>
        <w:spacing w:line="360" w:lineRule="auto"/>
        <w:ind w:firstLine="420" w:firstLineChars="200"/>
        <w:rPr>
          <w:rFonts w:ascii="宋体" w:hAnsi="宋体" w:eastAsia="宋体" w:cs="仿宋"/>
          <w:color w:val="auto"/>
          <w:sz w:val="21"/>
          <w:szCs w:val="21"/>
          <w:highlight w:val="none"/>
        </w:rPr>
      </w:pPr>
      <w:r>
        <w:rPr>
          <w:rFonts w:hint="eastAsia" w:ascii="宋体" w:hAnsi="宋体" w:eastAsia="宋体" w:cs="仿宋"/>
          <w:color w:val="auto"/>
          <w:sz w:val="21"/>
          <w:szCs w:val="21"/>
          <w:highlight w:val="none"/>
        </w:rPr>
        <w:t>支持VxLAN 网关，支持基于IPv4/IPv6的VxLAN二三层互通；</w:t>
      </w:r>
    </w:p>
    <w:p>
      <w:pPr>
        <w:spacing w:line="360" w:lineRule="auto"/>
        <w:ind w:firstLine="420" w:firstLineChars="200"/>
        <w:rPr>
          <w:rFonts w:ascii="宋体" w:hAnsi="宋体" w:eastAsia="宋体" w:cs="仿宋"/>
          <w:color w:val="auto"/>
          <w:sz w:val="21"/>
          <w:szCs w:val="21"/>
          <w:highlight w:val="none"/>
        </w:rPr>
      </w:pPr>
      <w:r>
        <w:rPr>
          <w:rFonts w:hint="eastAsia" w:ascii="宋体" w:hAnsi="宋体" w:eastAsia="宋体" w:cs="仿宋"/>
          <w:color w:val="auto"/>
          <w:sz w:val="21"/>
          <w:szCs w:val="21"/>
          <w:highlight w:val="none"/>
        </w:rPr>
        <w:t>支持静态路由、RIP、OSPF、IS-IS、BGP4等、支持等价路由、策略路由、路由策略；</w:t>
      </w:r>
    </w:p>
    <w:p>
      <w:pPr>
        <w:spacing w:line="360" w:lineRule="auto"/>
        <w:ind w:firstLine="420" w:firstLineChars="200"/>
        <w:rPr>
          <w:rFonts w:ascii="宋体"/>
          <w:color w:val="auto"/>
          <w:sz w:val="21"/>
          <w:szCs w:val="21"/>
          <w:highlight w:val="none"/>
        </w:rPr>
      </w:pPr>
      <w:r>
        <w:rPr>
          <w:rFonts w:hint="eastAsia" w:ascii="宋体" w:hAnsi="宋体" w:eastAsia="宋体" w:cs="仿宋"/>
          <w:color w:val="auto"/>
          <w:sz w:val="21"/>
          <w:szCs w:val="21"/>
          <w:highlight w:val="none"/>
        </w:rPr>
        <w:t>支持融合无线控制器功能，无需额外配置单独硬件，在交换机上实现对AP 的接入控制和管理，有线无线用户的统一认证管理；</w:t>
      </w:r>
      <w:r>
        <w:rPr>
          <w:rFonts w:hint="eastAsia" w:ascii="宋体"/>
          <w:color w:val="auto"/>
          <w:sz w:val="21"/>
          <w:szCs w:val="21"/>
          <w:highlight w:val="none"/>
        </w:rPr>
        <w:t>（提供不限于官网彩页或检测报告等证明材料）</w:t>
      </w:r>
    </w:p>
    <w:p>
      <w:pPr>
        <w:spacing w:line="360" w:lineRule="auto"/>
        <w:ind w:firstLine="420" w:firstLineChars="200"/>
        <w:rPr>
          <w:rFonts w:hint="eastAsia" w:ascii="宋体" w:hAnsi="宋体" w:eastAsia="宋体" w:cs="仿宋"/>
          <w:color w:val="auto"/>
          <w:sz w:val="21"/>
          <w:szCs w:val="21"/>
          <w:highlight w:val="none"/>
        </w:rPr>
      </w:pPr>
      <w:r>
        <w:rPr>
          <w:rFonts w:hint="eastAsia" w:ascii="宋体" w:hAnsi="宋体" w:eastAsia="宋体" w:cs="仿宋"/>
          <w:color w:val="auto"/>
          <w:sz w:val="21"/>
          <w:szCs w:val="21"/>
          <w:highlight w:val="none"/>
        </w:rPr>
        <w:t>内置智能管理功能，支持通过图形化界面设备配置及命令一键下发和版本智能升级（提供不限于官网彩页或检测报告等证明材料）</w:t>
      </w:r>
    </w:p>
    <w:p>
      <w:pPr>
        <w:spacing w:line="360" w:lineRule="auto"/>
        <w:ind w:firstLine="420" w:firstLineChars="200"/>
        <w:rPr>
          <w:rFonts w:ascii="宋体" w:hAnsi="宋体" w:eastAsia="宋体" w:cs="仿宋"/>
          <w:color w:val="auto"/>
          <w:sz w:val="21"/>
          <w:szCs w:val="21"/>
          <w:highlight w:val="none"/>
        </w:rPr>
      </w:pPr>
      <w:r>
        <w:rPr>
          <w:rFonts w:hint="eastAsia" w:ascii="宋体" w:hAnsi="宋体" w:eastAsia="宋体" w:cs="仿宋"/>
          <w:color w:val="auto"/>
          <w:sz w:val="21"/>
          <w:szCs w:val="21"/>
          <w:highlight w:val="none"/>
        </w:rPr>
        <w:t>支持4框虚拟化技术；</w:t>
      </w:r>
    </w:p>
    <w:p>
      <w:pPr>
        <w:spacing w:line="360" w:lineRule="auto"/>
        <w:ind w:firstLine="420" w:firstLineChars="200"/>
        <w:rPr>
          <w:rFonts w:ascii="宋体" w:hAnsi="宋体" w:eastAsia="宋体" w:cs="仿宋"/>
          <w:color w:val="auto"/>
          <w:sz w:val="21"/>
          <w:szCs w:val="21"/>
          <w:highlight w:val="none"/>
        </w:rPr>
      </w:pPr>
      <w:r>
        <w:rPr>
          <w:rFonts w:hint="eastAsia" w:ascii="宋体" w:hAnsi="宋体" w:eastAsia="宋体" w:cs="仿宋"/>
          <w:color w:val="auto"/>
          <w:sz w:val="21"/>
          <w:szCs w:val="21"/>
          <w:highlight w:val="none"/>
        </w:rPr>
        <w:t>支持流量可视化功能；</w:t>
      </w:r>
    </w:p>
    <w:p>
      <w:pPr>
        <w:spacing w:line="360" w:lineRule="auto"/>
        <w:ind w:firstLine="420" w:firstLineChars="200"/>
        <w:rPr>
          <w:rFonts w:ascii="宋体" w:hAnsi="宋体" w:eastAsia="宋体" w:cs="仿宋"/>
          <w:color w:val="auto"/>
          <w:sz w:val="21"/>
          <w:szCs w:val="21"/>
          <w:highlight w:val="none"/>
        </w:rPr>
      </w:pPr>
      <w:r>
        <w:rPr>
          <w:rFonts w:hint="eastAsia" w:ascii="宋体" w:hAnsi="宋体" w:eastAsia="宋体" w:cs="仿宋"/>
          <w:color w:val="auto"/>
          <w:sz w:val="21"/>
          <w:szCs w:val="21"/>
          <w:highlight w:val="none"/>
        </w:rPr>
        <w:t>提供冗余电源，≥4个1200</w:t>
      </w:r>
      <w:r>
        <w:rPr>
          <w:rFonts w:ascii="宋体" w:hAnsi="宋体" w:eastAsia="宋体" w:cs="仿宋"/>
          <w:color w:val="auto"/>
          <w:sz w:val="21"/>
          <w:szCs w:val="21"/>
          <w:highlight w:val="none"/>
        </w:rPr>
        <w:t>W</w:t>
      </w:r>
      <w:r>
        <w:rPr>
          <w:rFonts w:hint="eastAsia" w:ascii="宋体" w:hAnsi="宋体" w:eastAsia="宋体" w:cs="仿宋"/>
          <w:color w:val="auto"/>
          <w:sz w:val="21"/>
          <w:szCs w:val="21"/>
          <w:highlight w:val="none"/>
        </w:rPr>
        <w:t>交流电源模块；</w:t>
      </w:r>
    </w:p>
    <w:p>
      <w:pPr>
        <w:spacing w:line="360" w:lineRule="auto"/>
        <w:ind w:firstLine="420" w:firstLineChars="200"/>
        <w:rPr>
          <w:rFonts w:ascii="宋体" w:hAnsi="宋体" w:eastAsia="宋体" w:cs="仿宋"/>
          <w:color w:val="auto"/>
          <w:sz w:val="21"/>
          <w:szCs w:val="21"/>
          <w:highlight w:val="none"/>
        </w:rPr>
      </w:pPr>
      <w:r>
        <w:rPr>
          <w:rFonts w:hint="eastAsia" w:ascii="宋体" w:hAnsi="宋体" w:eastAsia="宋体" w:cs="仿宋"/>
          <w:color w:val="auto"/>
          <w:sz w:val="21"/>
          <w:szCs w:val="21"/>
          <w:highlight w:val="none"/>
        </w:rPr>
        <w:t>提供冗余风扇，拔出一块风扇，系统温度保持正常。</w:t>
      </w:r>
    </w:p>
    <w:p>
      <w:pPr>
        <w:spacing w:line="360" w:lineRule="auto"/>
        <w:rPr>
          <w:rFonts w:ascii="宋体" w:hAnsi="宋体" w:eastAsia="宋体"/>
          <w:b/>
          <w:bCs/>
          <w:color w:val="auto"/>
          <w:sz w:val="24"/>
          <w:szCs w:val="24"/>
          <w:highlight w:val="none"/>
        </w:rPr>
      </w:pPr>
      <w:r>
        <w:rPr>
          <w:rFonts w:hint="eastAsia" w:ascii="宋体" w:hAnsi="宋体" w:eastAsia="宋体"/>
          <w:b/>
          <w:bCs/>
          <w:color w:val="auto"/>
          <w:sz w:val="24"/>
          <w:szCs w:val="24"/>
          <w:highlight w:val="none"/>
        </w:rPr>
        <w:t>（2）汇聚交换机</w:t>
      </w:r>
    </w:p>
    <w:p>
      <w:pPr>
        <w:spacing w:line="360" w:lineRule="auto"/>
        <w:ind w:firstLine="420" w:firstLineChars="200"/>
        <w:rPr>
          <w:rFonts w:ascii="宋体" w:hAnsi="宋体" w:eastAsia="宋体" w:cs="仿宋"/>
          <w:color w:val="auto"/>
          <w:sz w:val="21"/>
          <w:szCs w:val="21"/>
          <w:highlight w:val="none"/>
        </w:rPr>
      </w:pPr>
      <w:r>
        <w:rPr>
          <w:rFonts w:hint="eastAsia" w:ascii="宋体" w:hAnsi="宋体" w:eastAsia="宋体" w:cs="仿宋"/>
          <w:color w:val="auto"/>
          <w:sz w:val="21"/>
          <w:szCs w:val="21"/>
          <w:highlight w:val="none"/>
        </w:rPr>
        <w:t>高度1U，固定接口交换机</w:t>
      </w:r>
    </w:p>
    <w:p>
      <w:pPr>
        <w:spacing w:line="360" w:lineRule="auto"/>
        <w:ind w:firstLine="420" w:firstLineChars="200"/>
        <w:rPr>
          <w:rFonts w:ascii="宋体" w:hAnsi="宋体" w:eastAsia="宋体" w:cs="仿宋"/>
          <w:color w:val="auto"/>
          <w:sz w:val="21"/>
          <w:szCs w:val="21"/>
          <w:highlight w:val="none"/>
        </w:rPr>
      </w:pPr>
      <w:r>
        <w:rPr>
          <w:rFonts w:hint="eastAsia" w:ascii="宋体" w:hAnsi="宋体" w:eastAsia="宋体" w:cs="仿宋"/>
          <w:color w:val="auto"/>
          <w:sz w:val="21"/>
          <w:szCs w:val="21"/>
          <w:highlight w:val="none"/>
        </w:rPr>
        <w:t>交换容量≥2.56Tbps（以官网最小值为准）</w:t>
      </w:r>
    </w:p>
    <w:p>
      <w:pPr>
        <w:spacing w:line="360" w:lineRule="auto"/>
        <w:ind w:firstLine="420" w:firstLineChars="200"/>
        <w:rPr>
          <w:rFonts w:ascii="宋体" w:hAnsi="宋体" w:eastAsia="宋体" w:cs="仿宋"/>
          <w:color w:val="auto"/>
          <w:sz w:val="21"/>
          <w:szCs w:val="21"/>
          <w:highlight w:val="none"/>
        </w:rPr>
      </w:pPr>
      <w:r>
        <w:rPr>
          <w:rFonts w:hint="eastAsia" w:ascii="宋体" w:hAnsi="宋体" w:eastAsia="宋体" w:cs="仿宋"/>
          <w:color w:val="auto"/>
          <w:sz w:val="21"/>
          <w:szCs w:val="21"/>
          <w:highlight w:val="none"/>
        </w:rPr>
        <w:t>包转发率≥1080Mpps（以官网最小值为准）</w:t>
      </w:r>
    </w:p>
    <w:p>
      <w:pPr>
        <w:spacing w:line="360" w:lineRule="auto"/>
        <w:ind w:firstLine="420" w:firstLineChars="200"/>
        <w:rPr>
          <w:rFonts w:ascii="宋体" w:hAnsi="宋体" w:eastAsia="宋体" w:cs="仿宋"/>
          <w:color w:val="auto"/>
          <w:sz w:val="21"/>
          <w:szCs w:val="21"/>
          <w:highlight w:val="none"/>
        </w:rPr>
      </w:pPr>
      <w:r>
        <w:rPr>
          <w:rFonts w:hint="eastAsia" w:ascii="宋体" w:hAnsi="宋体" w:eastAsia="宋体" w:cs="仿宋"/>
          <w:color w:val="auto"/>
          <w:sz w:val="21"/>
          <w:szCs w:val="21"/>
          <w:highlight w:val="none"/>
        </w:rPr>
        <w:t>实配10 GE 光接口≥48个（提供≥</w:t>
      </w:r>
      <w:r>
        <w:rPr>
          <w:rFonts w:ascii="宋体" w:hAnsi="宋体" w:eastAsia="宋体" w:cs="仿宋"/>
          <w:color w:val="auto"/>
          <w:sz w:val="21"/>
          <w:szCs w:val="21"/>
          <w:highlight w:val="none"/>
        </w:rPr>
        <w:t>24</w:t>
      </w:r>
      <w:r>
        <w:rPr>
          <w:rFonts w:hint="eastAsia" w:ascii="宋体" w:hAnsi="宋体" w:eastAsia="宋体" w:cs="仿宋"/>
          <w:color w:val="auto"/>
          <w:sz w:val="21"/>
          <w:szCs w:val="21"/>
          <w:highlight w:val="none"/>
        </w:rPr>
        <w:t>个万兆多模光模块），40 GE光接口≥2个，扩展插槽≥2个，要求设备支持防火墙插卡支持IPv4静态路由、RIP、OSPF、ISIS、BGP</w:t>
      </w:r>
    </w:p>
    <w:p>
      <w:pPr>
        <w:spacing w:line="360" w:lineRule="auto"/>
        <w:ind w:firstLine="420" w:firstLineChars="200"/>
        <w:rPr>
          <w:rFonts w:ascii="宋体" w:hAnsi="宋体" w:eastAsia="宋体" w:cs="仿宋"/>
          <w:color w:val="auto"/>
          <w:sz w:val="21"/>
          <w:szCs w:val="21"/>
          <w:highlight w:val="none"/>
        </w:rPr>
      </w:pPr>
      <w:r>
        <w:rPr>
          <w:rFonts w:hint="eastAsia" w:ascii="宋体" w:hAnsi="宋体" w:eastAsia="宋体" w:cs="仿宋"/>
          <w:color w:val="auto"/>
          <w:sz w:val="21"/>
          <w:szCs w:val="21"/>
          <w:highlight w:val="none"/>
        </w:rPr>
        <w:t>支持CPU保护功能</w:t>
      </w:r>
    </w:p>
    <w:p>
      <w:pPr>
        <w:spacing w:line="360" w:lineRule="auto"/>
        <w:ind w:firstLine="420" w:firstLineChars="200"/>
        <w:rPr>
          <w:rFonts w:ascii="宋体" w:hAnsi="宋体" w:eastAsia="宋体" w:cs="仿宋"/>
          <w:color w:val="auto"/>
          <w:sz w:val="21"/>
          <w:szCs w:val="21"/>
          <w:highlight w:val="none"/>
        </w:rPr>
      </w:pPr>
      <w:r>
        <w:rPr>
          <w:rFonts w:hint="eastAsia" w:ascii="宋体" w:hAnsi="宋体" w:eastAsia="宋体" w:cs="仿宋"/>
          <w:color w:val="auto"/>
          <w:sz w:val="21"/>
          <w:szCs w:val="21"/>
          <w:highlight w:val="none"/>
        </w:rPr>
        <w:t>支持基于端口的VLAN，支持基于协议的VLAN；支持基于MAC的VLAN</w:t>
      </w:r>
    </w:p>
    <w:p>
      <w:pPr>
        <w:spacing w:line="360" w:lineRule="auto"/>
        <w:ind w:firstLine="420" w:firstLineChars="200"/>
        <w:rPr>
          <w:rFonts w:ascii="宋体" w:hAnsi="宋体" w:eastAsia="宋体" w:cs="仿宋"/>
          <w:color w:val="auto"/>
          <w:sz w:val="21"/>
          <w:szCs w:val="21"/>
          <w:highlight w:val="none"/>
        </w:rPr>
      </w:pPr>
      <w:r>
        <w:rPr>
          <w:rFonts w:hint="eastAsia" w:ascii="宋体" w:hAnsi="宋体" w:eastAsia="宋体" w:cs="仿宋"/>
          <w:color w:val="auto"/>
          <w:sz w:val="21"/>
          <w:szCs w:val="21"/>
          <w:highlight w:val="none"/>
        </w:rPr>
        <w:t>冗余电源、风扇。</w:t>
      </w:r>
    </w:p>
    <w:p>
      <w:pPr>
        <w:spacing w:line="360" w:lineRule="auto"/>
        <w:rPr>
          <w:rFonts w:ascii="宋体" w:hAnsi="宋体" w:eastAsia="宋体"/>
          <w:b/>
          <w:bCs/>
          <w:color w:val="auto"/>
          <w:sz w:val="24"/>
          <w:szCs w:val="24"/>
          <w:highlight w:val="none"/>
        </w:rPr>
      </w:pPr>
      <w:r>
        <w:rPr>
          <w:rFonts w:hint="eastAsia" w:ascii="宋体" w:hAnsi="宋体" w:eastAsia="宋体"/>
          <w:b/>
          <w:bCs/>
          <w:color w:val="auto"/>
          <w:sz w:val="24"/>
          <w:szCs w:val="24"/>
          <w:highlight w:val="none"/>
        </w:rPr>
        <w:t>（3）接入交换机</w:t>
      </w:r>
    </w:p>
    <w:p>
      <w:pPr>
        <w:spacing w:line="360" w:lineRule="auto"/>
        <w:ind w:firstLine="420" w:firstLineChars="200"/>
        <w:rPr>
          <w:rFonts w:ascii="宋体" w:hAnsi="宋体" w:eastAsia="宋体" w:cs="仿宋"/>
          <w:color w:val="auto"/>
          <w:sz w:val="21"/>
          <w:szCs w:val="21"/>
          <w:highlight w:val="none"/>
        </w:rPr>
      </w:pPr>
      <w:r>
        <w:rPr>
          <w:rFonts w:hint="eastAsia" w:ascii="宋体" w:hAnsi="宋体" w:eastAsia="宋体" w:cs="仿宋"/>
          <w:color w:val="auto"/>
          <w:sz w:val="21"/>
          <w:szCs w:val="21"/>
          <w:highlight w:val="none"/>
        </w:rPr>
        <w:t>高度1U，固定接口交换机</w:t>
      </w:r>
    </w:p>
    <w:p>
      <w:pPr>
        <w:spacing w:line="360" w:lineRule="auto"/>
        <w:ind w:firstLine="420" w:firstLineChars="200"/>
        <w:rPr>
          <w:rFonts w:ascii="宋体" w:hAnsi="宋体" w:eastAsia="宋体" w:cs="仿宋"/>
          <w:color w:val="auto"/>
          <w:sz w:val="21"/>
          <w:szCs w:val="21"/>
          <w:highlight w:val="none"/>
        </w:rPr>
      </w:pPr>
      <w:r>
        <w:rPr>
          <w:rFonts w:hint="eastAsia" w:ascii="宋体" w:hAnsi="宋体" w:eastAsia="宋体" w:cs="仿宋"/>
          <w:color w:val="auto"/>
          <w:sz w:val="21"/>
          <w:szCs w:val="21"/>
          <w:highlight w:val="none"/>
        </w:rPr>
        <w:t>交换容量≥</w:t>
      </w:r>
      <w:r>
        <w:rPr>
          <w:rFonts w:ascii="宋体" w:hAnsi="宋体" w:eastAsia="宋体" w:cs="仿宋"/>
          <w:color w:val="auto"/>
          <w:sz w:val="21"/>
          <w:szCs w:val="21"/>
          <w:highlight w:val="none"/>
        </w:rPr>
        <w:t>1.28Tbps</w:t>
      </w:r>
      <w:r>
        <w:rPr>
          <w:rFonts w:hint="eastAsia" w:ascii="宋体" w:hAnsi="宋体" w:eastAsia="宋体" w:cs="仿宋"/>
          <w:color w:val="auto"/>
          <w:sz w:val="21"/>
          <w:szCs w:val="21"/>
          <w:highlight w:val="none"/>
        </w:rPr>
        <w:t>（以官网最小值为准）</w:t>
      </w:r>
    </w:p>
    <w:p>
      <w:pPr>
        <w:spacing w:line="360" w:lineRule="auto"/>
        <w:ind w:firstLine="420" w:firstLineChars="200"/>
        <w:rPr>
          <w:rFonts w:ascii="宋体" w:hAnsi="宋体" w:eastAsia="宋体" w:cs="仿宋"/>
          <w:color w:val="auto"/>
          <w:sz w:val="21"/>
          <w:szCs w:val="21"/>
          <w:highlight w:val="none"/>
        </w:rPr>
      </w:pPr>
      <w:r>
        <w:rPr>
          <w:rFonts w:hint="eastAsia" w:ascii="宋体" w:hAnsi="宋体" w:eastAsia="宋体" w:cs="仿宋"/>
          <w:color w:val="auto"/>
          <w:sz w:val="21"/>
          <w:szCs w:val="21"/>
          <w:highlight w:val="none"/>
        </w:rPr>
        <w:t>包转发率≥</w:t>
      </w:r>
      <w:r>
        <w:rPr>
          <w:rFonts w:ascii="宋体" w:hAnsi="宋体" w:eastAsia="宋体" w:cs="仿宋"/>
          <w:color w:val="auto"/>
          <w:sz w:val="21"/>
          <w:szCs w:val="21"/>
          <w:highlight w:val="none"/>
        </w:rPr>
        <w:t>252Mpps</w:t>
      </w:r>
      <w:r>
        <w:rPr>
          <w:rFonts w:hint="eastAsia" w:ascii="宋体" w:hAnsi="宋体" w:eastAsia="宋体" w:cs="仿宋"/>
          <w:color w:val="auto"/>
          <w:sz w:val="21"/>
          <w:szCs w:val="21"/>
          <w:highlight w:val="none"/>
        </w:rPr>
        <w:t>（以官网最小值为准）</w:t>
      </w:r>
    </w:p>
    <w:p>
      <w:pPr>
        <w:spacing w:line="360" w:lineRule="auto"/>
        <w:ind w:firstLine="420" w:firstLineChars="200"/>
        <w:rPr>
          <w:rFonts w:ascii="宋体" w:hAnsi="宋体" w:eastAsia="宋体" w:cs="仿宋"/>
          <w:color w:val="auto"/>
          <w:sz w:val="21"/>
          <w:szCs w:val="21"/>
          <w:highlight w:val="none"/>
        </w:rPr>
      </w:pPr>
      <w:r>
        <w:rPr>
          <w:rFonts w:hint="eastAsia" w:ascii="宋体" w:hAnsi="宋体" w:eastAsia="宋体" w:cs="仿宋"/>
          <w:color w:val="auto"/>
          <w:sz w:val="21"/>
          <w:szCs w:val="21"/>
          <w:highlight w:val="none"/>
        </w:rPr>
        <w:t>提供≥48个1000BASE-T口，≥4个10GE光接口（提供≥4个万兆单模光模块），≥2个40GE 光接口</w:t>
      </w:r>
    </w:p>
    <w:p>
      <w:pPr>
        <w:spacing w:line="360" w:lineRule="auto"/>
        <w:rPr>
          <w:rFonts w:ascii="宋体" w:hAnsi="宋体" w:eastAsia="宋体"/>
          <w:b/>
          <w:bCs/>
          <w:color w:val="auto"/>
          <w:sz w:val="24"/>
          <w:szCs w:val="24"/>
          <w:highlight w:val="none"/>
        </w:rPr>
      </w:pPr>
      <w:r>
        <w:rPr>
          <w:rFonts w:hint="eastAsia" w:ascii="宋体" w:hAnsi="宋体" w:eastAsia="宋体"/>
          <w:b/>
          <w:bCs/>
          <w:color w:val="auto"/>
          <w:sz w:val="24"/>
          <w:szCs w:val="24"/>
          <w:highlight w:val="none"/>
        </w:rPr>
        <w:t>（4）存储硬盘框</w:t>
      </w:r>
    </w:p>
    <w:p>
      <w:pPr>
        <w:spacing w:line="360" w:lineRule="auto"/>
        <w:ind w:firstLine="420" w:firstLineChars="200"/>
        <w:rPr>
          <w:rFonts w:ascii="宋体" w:hAnsi="宋体" w:eastAsia="宋体"/>
          <w:color w:val="auto"/>
          <w:sz w:val="21"/>
          <w:szCs w:val="21"/>
          <w:highlight w:val="none"/>
        </w:rPr>
      </w:pPr>
      <w:r>
        <w:rPr>
          <w:rFonts w:ascii="宋体" w:hAnsi="宋体" w:eastAsia="宋体"/>
          <w:color w:val="auto"/>
          <w:sz w:val="21"/>
          <w:szCs w:val="21"/>
          <w:highlight w:val="none"/>
        </w:rPr>
        <w:t>SAS硬盘框（4U，交流\240V高压直流，3.5英寸，级联模块，24盘位</w:t>
      </w:r>
      <w:r>
        <w:rPr>
          <w:rFonts w:hint="eastAsia" w:ascii="宋体" w:hAnsi="宋体" w:eastAsia="宋体"/>
          <w:color w:val="auto"/>
          <w:sz w:val="21"/>
          <w:szCs w:val="21"/>
          <w:highlight w:val="none"/>
        </w:rPr>
        <w:t>）</w:t>
      </w:r>
    </w:p>
    <w:p>
      <w:pPr>
        <w:spacing w:line="360" w:lineRule="auto"/>
        <w:rPr>
          <w:rFonts w:ascii="宋体" w:hAnsi="宋体" w:eastAsia="宋体"/>
          <w:b/>
          <w:bCs/>
          <w:color w:val="auto"/>
          <w:sz w:val="24"/>
          <w:szCs w:val="24"/>
          <w:highlight w:val="none"/>
        </w:rPr>
      </w:pPr>
      <w:r>
        <w:rPr>
          <w:rFonts w:hint="eastAsia" w:ascii="宋体" w:hAnsi="宋体" w:eastAsia="宋体"/>
          <w:b/>
          <w:bCs/>
          <w:color w:val="auto"/>
          <w:sz w:val="24"/>
          <w:szCs w:val="24"/>
          <w:highlight w:val="none"/>
        </w:rPr>
        <w:t>（5）存储硬盘</w:t>
      </w:r>
    </w:p>
    <w:p>
      <w:pPr>
        <w:spacing w:line="360" w:lineRule="auto"/>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w:t>
      </w:r>
      <w:r>
        <w:rPr>
          <w:rFonts w:ascii="宋体" w:hAnsi="宋体" w:eastAsia="宋体"/>
          <w:color w:val="auto"/>
          <w:sz w:val="21"/>
          <w:szCs w:val="21"/>
          <w:highlight w:val="none"/>
        </w:rPr>
        <w:t>10TB 7.2K RPM NL SAS硬盘单元（3.5")</w:t>
      </w:r>
    </w:p>
    <w:p>
      <w:pPr>
        <w:spacing w:line="360" w:lineRule="auto"/>
        <w:rPr>
          <w:rFonts w:ascii="宋体" w:hAnsi="宋体" w:eastAsia="宋体"/>
          <w:b/>
          <w:bCs/>
          <w:color w:val="auto"/>
          <w:sz w:val="24"/>
          <w:szCs w:val="24"/>
          <w:highlight w:val="none"/>
        </w:rPr>
      </w:pPr>
      <w:r>
        <w:rPr>
          <w:rFonts w:hint="eastAsia" w:ascii="宋体" w:hAnsi="宋体" w:eastAsia="宋体"/>
          <w:b/>
          <w:bCs/>
          <w:color w:val="auto"/>
          <w:sz w:val="24"/>
          <w:szCs w:val="24"/>
          <w:highlight w:val="none"/>
        </w:rPr>
        <w:t>（</w:t>
      </w:r>
      <w:r>
        <w:rPr>
          <w:rFonts w:ascii="宋体" w:hAnsi="宋体" w:eastAsia="宋体"/>
          <w:b/>
          <w:bCs/>
          <w:color w:val="auto"/>
          <w:sz w:val="24"/>
          <w:szCs w:val="24"/>
          <w:highlight w:val="none"/>
        </w:rPr>
        <w:t>6</w:t>
      </w:r>
      <w:r>
        <w:rPr>
          <w:rFonts w:hint="eastAsia" w:ascii="宋体" w:hAnsi="宋体" w:eastAsia="宋体"/>
          <w:b/>
          <w:bCs/>
          <w:color w:val="auto"/>
          <w:sz w:val="24"/>
          <w:szCs w:val="24"/>
          <w:highlight w:val="none"/>
        </w:rPr>
        <w:t>）U</w:t>
      </w:r>
      <w:r>
        <w:rPr>
          <w:rFonts w:ascii="宋体" w:hAnsi="宋体" w:eastAsia="宋体"/>
          <w:b/>
          <w:bCs/>
          <w:color w:val="auto"/>
          <w:sz w:val="24"/>
          <w:szCs w:val="24"/>
          <w:highlight w:val="none"/>
        </w:rPr>
        <w:t>PS</w:t>
      </w:r>
      <w:r>
        <w:rPr>
          <w:rFonts w:hint="eastAsia" w:ascii="宋体" w:hAnsi="宋体" w:eastAsia="宋体"/>
          <w:b/>
          <w:bCs/>
          <w:color w:val="auto"/>
          <w:sz w:val="24"/>
          <w:szCs w:val="24"/>
          <w:highlight w:val="none"/>
        </w:rPr>
        <w:t>不间断电源</w:t>
      </w:r>
    </w:p>
    <w:p>
      <w:pPr>
        <w:spacing w:line="360" w:lineRule="auto"/>
        <w:ind w:firstLine="420" w:firstLineChars="200"/>
        <w:rPr>
          <w:rFonts w:ascii="宋体" w:hAnsi="宋体" w:eastAsia="宋体"/>
          <w:color w:val="auto"/>
          <w:sz w:val="21"/>
          <w:szCs w:val="21"/>
          <w:highlight w:val="none"/>
        </w:rPr>
      </w:pPr>
      <w:r>
        <w:rPr>
          <w:rFonts w:ascii="宋体" w:hAnsi="宋体" w:eastAsia="宋体"/>
          <w:color w:val="auto"/>
          <w:sz w:val="21"/>
          <w:szCs w:val="21"/>
          <w:highlight w:val="none"/>
        </w:rPr>
        <w:t>要求UPS为三进三出模块化UPS，支持三进单出和单进单出制式</w:t>
      </w:r>
      <w:r>
        <w:rPr>
          <w:rFonts w:hint="eastAsia" w:ascii="宋体" w:hAnsi="宋体" w:eastAsia="宋体"/>
          <w:color w:val="auto"/>
          <w:sz w:val="21"/>
          <w:szCs w:val="21"/>
          <w:highlight w:val="none"/>
        </w:rPr>
        <w:t>，</w:t>
      </w:r>
      <w:r>
        <w:rPr>
          <w:rFonts w:ascii="宋体" w:hAnsi="宋体" w:eastAsia="宋体"/>
          <w:color w:val="auto"/>
          <w:sz w:val="21"/>
          <w:szCs w:val="21"/>
          <w:highlight w:val="none"/>
        </w:rPr>
        <w:t>模块化机柜满配容量应不小于</w:t>
      </w:r>
      <w:r>
        <w:rPr>
          <w:rFonts w:hint="eastAsia" w:ascii="宋体" w:hAnsi="宋体" w:eastAsia="宋体"/>
          <w:color w:val="auto"/>
          <w:sz w:val="21"/>
          <w:szCs w:val="21"/>
          <w:highlight w:val="none"/>
        </w:rPr>
        <w:t>6</w:t>
      </w:r>
      <w:r>
        <w:rPr>
          <w:rFonts w:ascii="宋体" w:hAnsi="宋体" w:eastAsia="宋体"/>
          <w:color w:val="auto"/>
          <w:sz w:val="21"/>
          <w:szCs w:val="21"/>
          <w:highlight w:val="none"/>
        </w:rPr>
        <w:t>0kVA；功率模块容量要求应</w:t>
      </w:r>
      <w:r>
        <w:rPr>
          <w:rFonts w:hint="eastAsia" w:ascii="宋体" w:hAnsi="宋体" w:eastAsia="宋体"/>
          <w:color w:val="auto"/>
          <w:sz w:val="21"/>
          <w:szCs w:val="21"/>
          <w:highlight w:val="none"/>
        </w:rPr>
        <w:t>不</w:t>
      </w:r>
      <w:r>
        <w:rPr>
          <w:rFonts w:ascii="宋体" w:hAnsi="宋体" w:eastAsia="宋体"/>
          <w:color w:val="auto"/>
          <w:sz w:val="21"/>
          <w:szCs w:val="21"/>
          <w:highlight w:val="none"/>
        </w:rPr>
        <w:t>低于1</w:t>
      </w:r>
      <w:r>
        <w:rPr>
          <w:rFonts w:hint="eastAsia" w:ascii="宋体" w:hAnsi="宋体" w:eastAsia="宋体"/>
          <w:color w:val="auto"/>
          <w:sz w:val="21"/>
          <w:szCs w:val="21"/>
          <w:highlight w:val="none"/>
        </w:rPr>
        <w:t>0</w:t>
      </w:r>
      <w:r>
        <w:rPr>
          <w:rFonts w:ascii="宋体" w:hAnsi="宋体" w:eastAsia="宋体"/>
          <w:color w:val="auto"/>
          <w:sz w:val="21"/>
          <w:szCs w:val="21"/>
          <w:highlight w:val="none"/>
        </w:rPr>
        <w:t>kVA；本次</w:t>
      </w:r>
      <w:r>
        <w:rPr>
          <w:rFonts w:hint="eastAsia" w:ascii="宋体" w:hAnsi="宋体" w:eastAsia="宋体"/>
          <w:color w:val="auto"/>
          <w:sz w:val="21"/>
          <w:szCs w:val="21"/>
          <w:highlight w:val="none"/>
        </w:rPr>
        <w:t>UPS实际</w:t>
      </w:r>
      <w:r>
        <w:rPr>
          <w:rFonts w:ascii="宋体" w:hAnsi="宋体" w:eastAsia="宋体"/>
          <w:color w:val="auto"/>
          <w:sz w:val="21"/>
          <w:szCs w:val="21"/>
          <w:highlight w:val="none"/>
        </w:rPr>
        <w:t>配置</w:t>
      </w:r>
      <w:r>
        <w:rPr>
          <w:rFonts w:hint="eastAsia" w:ascii="宋体" w:hAnsi="宋体" w:eastAsia="宋体"/>
          <w:color w:val="auto"/>
          <w:sz w:val="21"/>
          <w:szCs w:val="21"/>
          <w:highlight w:val="none"/>
        </w:rPr>
        <w:t>6</w:t>
      </w:r>
      <w:r>
        <w:rPr>
          <w:rFonts w:ascii="宋体" w:hAnsi="宋体" w:eastAsia="宋体"/>
          <w:color w:val="auto"/>
          <w:sz w:val="21"/>
          <w:szCs w:val="21"/>
          <w:highlight w:val="none"/>
        </w:rPr>
        <w:t>0kVA</w:t>
      </w:r>
      <w:r>
        <w:rPr>
          <w:rFonts w:hint="eastAsia" w:ascii="宋体" w:hAnsi="宋体" w:eastAsia="宋体"/>
          <w:color w:val="auto"/>
          <w:sz w:val="21"/>
          <w:szCs w:val="21"/>
          <w:highlight w:val="none"/>
        </w:rPr>
        <w:t>。</w:t>
      </w:r>
    </w:p>
    <w:p>
      <w:pPr>
        <w:spacing w:line="360" w:lineRule="auto"/>
        <w:ind w:firstLine="420" w:firstLineChars="200"/>
        <w:rPr>
          <w:rFonts w:ascii="宋体" w:hAnsi="宋体" w:eastAsia="宋体"/>
          <w:color w:val="auto"/>
          <w:sz w:val="21"/>
          <w:szCs w:val="21"/>
          <w:highlight w:val="none"/>
        </w:rPr>
      </w:pPr>
      <w:r>
        <w:rPr>
          <w:rFonts w:ascii="宋体" w:hAnsi="宋体" w:eastAsia="宋体"/>
          <w:color w:val="auto"/>
          <w:sz w:val="21"/>
          <w:szCs w:val="21"/>
          <w:highlight w:val="none"/>
        </w:rPr>
        <w:t>UPS应是智能容错模块化机架式UPS电源，模块化设计，实现模块化冗余，支持内置于标准服务器机柜安装，或单独落地安装</w:t>
      </w:r>
      <w:r>
        <w:rPr>
          <w:rFonts w:hint="eastAsia" w:ascii="宋体" w:hAnsi="宋体" w:eastAsia="宋体"/>
          <w:color w:val="auto"/>
          <w:sz w:val="21"/>
          <w:szCs w:val="21"/>
          <w:highlight w:val="none"/>
        </w:rPr>
        <w:t>。</w:t>
      </w:r>
    </w:p>
    <w:p>
      <w:pPr>
        <w:spacing w:line="360" w:lineRule="auto"/>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UPS系统采用分散非主从控制方式，每个功率模块采用独立的双</w:t>
      </w:r>
      <w:r>
        <w:rPr>
          <w:rFonts w:ascii="宋体" w:hAnsi="宋体" w:eastAsia="宋体"/>
          <w:color w:val="auto"/>
          <w:sz w:val="21"/>
          <w:szCs w:val="21"/>
          <w:highlight w:val="none"/>
        </w:rPr>
        <w:t>DSP控制技术，单个模块可独立运行，不依赖集中控制器控制，具备不转旁路热插拔功能，使整个系统独立性增强，互不干扰。</w:t>
      </w:r>
    </w:p>
    <w:p>
      <w:pPr>
        <w:spacing w:line="360" w:lineRule="auto"/>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为保证U</w:t>
      </w:r>
      <w:r>
        <w:rPr>
          <w:rFonts w:ascii="宋体" w:hAnsi="宋体" w:eastAsia="宋体"/>
          <w:color w:val="auto"/>
          <w:sz w:val="21"/>
          <w:szCs w:val="21"/>
          <w:highlight w:val="none"/>
        </w:rPr>
        <w:t>PS</w:t>
      </w:r>
      <w:r>
        <w:rPr>
          <w:rFonts w:hint="eastAsia" w:ascii="宋体" w:hAnsi="宋体" w:eastAsia="宋体"/>
          <w:color w:val="auto"/>
          <w:sz w:val="21"/>
          <w:szCs w:val="21"/>
          <w:highlight w:val="none"/>
        </w:rPr>
        <w:t>产品的高效节能、绿色环保，功率模块效率≥96%（50%负载），以第三方权威机构检测报告为准并加盖公章。</w:t>
      </w:r>
    </w:p>
    <w:p>
      <w:pPr>
        <w:spacing w:line="360" w:lineRule="auto"/>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为避免分散旁路造成旁路环流问题而引发故障，整机采用集中旁路设计。</w:t>
      </w:r>
    </w:p>
    <w:p>
      <w:pPr>
        <w:spacing w:line="360" w:lineRule="auto"/>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模块化U</w:t>
      </w:r>
      <w:r>
        <w:rPr>
          <w:rFonts w:ascii="宋体" w:hAnsi="宋体" w:eastAsia="宋体"/>
          <w:color w:val="auto"/>
          <w:sz w:val="21"/>
          <w:szCs w:val="21"/>
          <w:highlight w:val="none"/>
        </w:rPr>
        <w:t>PS</w:t>
      </w:r>
      <w:r>
        <w:rPr>
          <w:rFonts w:hint="eastAsia" w:ascii="宋体" w:hAnsi="宋体" w:eastAsia="宋体"/>
          <w:color w:val="auto"/>
          <w:sz w:val="21"/>
          <w:szCs w:val="21"/>
          <w:highlight w:val="none"/>
        </w:rPr>
        <w:t>的所有模块包括旁路单元、控制单元、功率单元、充电单元等均须支持在线热插拔，达到所有模块全冗余方式，提升系统高可靠性及高可用性。</w:t>
      </w:r>
    </w:p>
    <w:p>
      <w:pPr>
        <w:spacing w:line="360" w:lineRule="auto"/>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为便于操作和维护，系统显示须采用7英寸及以上LCD大屏幕触摸屏+LED+按键方式。</w:t>
      </w:r>
    </w:p>
    <w:p>
      <w:pPr>
        <w:spacing w:line="360" w:lineRule="auto"/>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系统应采用分散充电设计，每个功率模块应具有独立的充电功能，避免充电器单点故障，提高系统的可靠性；充电功率可进行1～20%的设置。</w:t>
      </w:r>
      <w:r>
        <w:rPr>
          <w:rFonts w:ascii="宋体" w:hAnsi="宋体" w:eastAsia="宋体"/>
          <w:color w:val="auto"/>
          <w:sz w:val="21"/>
          <w:szCs w:val="21"/>
          <w:highlight w:val="none"/>
        </w:rPr>
        <w:t xml:space="preserve"> </w:t>
      </w:r>
    </w:p>
    <w:p>
      <w:pPr>
        <w:spacing w:line="360" w:lineRule="auto"/>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输出电流不均衡度≤0.5%（50%负载）</w:t>
      </w:r>
      <w:r>
        <w:rPr>
          <w:rFonts w:ascii="宋体" w:hAnsi="宋体" w:eastAsia="宋体"/>
          <w:color w:val="auto"/>
          <w:sz w:val="21"/>
          <w:szCs w:val="21"/>
          <w:highlight w:val="none"/>
        </w:rPr>
        <w:t>。</w:t>
      </w:r>
    </w:p>
    <w:p>
      <w:pPr>
        <w:spacing w:line="360" w:lineRule="auto"/>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UPS输出功率因数必须为1（1kVA=1kW），以便与负载完美匹配。</w:t>
      </w:r>
    </w:p>
    <w:p>
      <w:pPr>
        <w:spacing w:line="360" w:lineRule="auto"/>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系统须满足下述过载能力： 125%额定阻性负载＞10分钟后转旁路输出。</w:t>
      </w:r>
    </w:p>
    <w:p>
      <w:pPr>
        <w:spacing w:line="360" w:lineRule="auto"/>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电池组节数可进行±16</w:t>
      </w:r>
      <w:r>
        <w:rPr>
          <w:rFonts w:ascii="宋体" w:hAnsi="宋体" w:eastAsia="宋体"/>
          <w:color w:val="auto"/>
          <w:sz w:val="21"/>
          <w:szCs w:val="21"/>
          <w:highlight w:val="none"/>
        </w:rPr>
        <w:t>～</w:t>
      </w:r>
      <w:r>
        <w:rPr>
          <w:rFonts w:hint="eastAsia" w:ascii="宋体" w:hAnsi="宋体" w:eastAsia="宋体"/>
          <w:color w:val="auto"/>
          <w:sz w:val="21"/>
          <w:szCs w:val="21"/>
          <w:highlight w:val="none"/>
        </w:rPr>
        <w:t>±22节设置，便于未来遭遇个别电池故障需要维护、更换时, 可灵活调节电池节数的需要。</w:t>
      </w:r>
    </w:p>
    <w:p>
      <w:pPr>
        <w:spacing w:line="360" w:lineRule="auto"/>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UPS系统需具有黑匣子功能，全面监控功率模块关键部分参数，实现故障可控可管 ：记录和预警关键部位器件的数据，可设置风扇更换时间到期提示功能，每个模块提供不少于</w:t>
      </w:r>
      <w:r>
        <w:rPr>
          <w:rFonts w:ascii="宋体" w:hAnsi="宋体" w:eastAsia="宋体"/>
          <w:color w:val="auto"/>
          <w:sz w:val="21"/>
          <w:szCs w:val="21"/>
          <w:highlight w:val="none"/>
        </w:rPr>
        <w:t>8</w:t>
      </w:r>
      <w:r>
        <w:rPr>
          <w:rFonts w:hint="eastAsia" w:ascii="宋体" w:hAnsi="宋体" w:eastAsia="宋体"/>
          <w:color w:val="auto"/>
          <w:sz w:val="21"/>
          <w:szCs w:val="21"/>
          <w:highlight w:val="none"/>
        </w:rPr>
        <w:t>个温度监控点，包含</w:t>
      </w:r>
      <w:r>
        <w:rPr>
          <w:rFonts w:ascii="宋体" w:hAnsi="宋体" w:eastAsia="宋体"/>
          <w:color w:val="auto"/>
          <w:sz w:val="21"/>
          <w:szCs w:val="21"/>
          <w:highlight w:val="none"/>
        </w:rPr>
        <w:t>IGBT</w:t>
      </w:r>
      <w:r>
        <w:rPr>
          <w:rFonts w:hint="eastAsia" w:ascii="宋体" w:hAnsi="宋体" w:eastAsia="宋体"/>
          <w:color w:val="auto"/>
          <w:sz w:val="21"/>
          <w:szCs w:val="21"/>
          <w:highlight w:val="none"/>
        </w:rPr>
        <w:t>温度、进风口温度、出风口温度或SCR温度。有故障发生时，能够自动记录该时刻前后一段时间的整流\逆变的波形数据，并可以导出至电脑端生成波形图。</w:t>
      </w:r>
    </w:p>
    <w:p>
      <w:pPr>
        <w:spacing w:line="360" w:lineRule="auto"/>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功率模块采用人性化的编号方法和编号装置，UPS系统可智能识别，无需通过拨码或软件设置。</w:t>
      </w:r>
      <w:r>
        <w:rPr>
          <w:rFonts w:ascii="宋体" w:hAnsi="宋体" w:eastAsia="宋体"/>
          <w:color w:val="auto"/>
          <w:sz w:val="21"/>
          <w:szCs w:val="21"/>
          <w:highlight w:val="none"/>
        </w:rPr>
        <w:t xml:space="preserve"> </w:t>
      </w:r>
    </w:p>
    <w:p>
      <w:pPr>
        <w:spacing w:line="360" w:lineRule="auto"/>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具备智能休眠模式，当模块的负载率小于休眠负载级别时，控制器根据当前负载量来决定进入休眠模式的模块数量，并在根据所设置的轮休时间来进行休眠轮换，以节省能耗真正实现绿色节能，同时提高系统综合使用寿命。</w:t>
      </w:r>
    </w:p>
    <w:p>
      <w:pPr>
        <w:spacing w:line="360" w:lineRule="auto"/>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具备自主老化模式即可进行系统满载测试，省去租用超大负载箱、负载箱工程施工等工作量。</w:t>
      </w:r>
    </w:p>
    <w:p>
      <w:pPr>
        <w:spacing w:line="360" w:lineRule="auto"/>
        <w:rPr>
          <w:rFonts w:ascii="宋体" w:hAnsi="宋体" w:eastAsia="宋体"/>
          <w:b/>
          <w:bCs/>
          <w:color w:val="auto"/>
          <w:sz w:val="24"/>
          <w:szCs w:val="24"/>
          <w:highlight w:val="none"/>
        </w:rPr>
      </w:pPr>
      <w:r>
        <w:rPr>
          <w:rFonts w:hint="eastAsia" w:ascii="宋体" w:hAnsi="宋体" w:eastAsia="宋体"/>
          <w:b/>
          <w:bCs/>
          <w:color w:val="auto"/>
          <w:sz w:val="24"/>
          <w:szCs w:val="24"/>
          <w:highlight w:val="none"/>
        </w:rPr>
        <w:t>蓄电池技术要求：</w:t>
      </w:r>
    </w:p>
    <w:p>
      <w:pPr>
        <w:spacing w:line="360" w:lineRule="auto"/>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蓄电池要求满足UPS后备运行不小于1小时， 蓄电池采用≥2组12V100AH、每组≥32节，为了施工安装及后期维护方便，要求蓄电池与UPS统一品牌，并提供投标蓄电池产品的 “泰尔产品认证证书”复印件并</w:t>
      </w:r>
      <w:r>
        <w:rPr>
          <w:rFonts w:ascii="宋体" w:hAnsi="宋体" w:eastAsia="宋体"/>
          <w:color w:val="auto"/>
          <w:sz w:val="21"/>
          <w:szCs w:val="21"/>
          <w:highlight w:val="none"/>
        </w:rPr>
        <w:t xml:space="preserve">加盖公章。 </w:t>
      </w:r>
    </w:p>
    <w:p>
      <w:pPr>
        <w:spacing w:line="360" w:lineRule="auto"/>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每组蓄电池必须配备1个直流开关、规格不低于160A/3P，并配置总直流开关、规格不低于200A/3P。</w:t>
      </w:r>
    </w:p>
    <w:p>
      <w:pPr>
        <w:spacing w:line="360" w:lineRule="auto"/>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蓄电池外观应无变形、无漏液、裂纹及污迹；标识应清晰；正负端子有明显标志，便于连接。</w:t>
      </w:r>
    </w:p>
    <w:p>
      <w:pPr>
        <w:spacing w:line="360" w:lineRule="auto"/>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采用板栅和合金设计，有效抵抗极板腐蚀；卓越的大电流放电特性，可靠的快速充电性能，优越的深度放电恢复能力，确保电池的使用寿命。</w:t>
      </w:r>
    </w:p>
    <w:p>
      <w:pPr>
        <w:spacing w:line="360" w:lineRule="auto"/>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蓄电池密封反应效率：密封反应效率＞</w:t>
      </w:r>
      <w:r>
        <w:rPr>
          <w:rFonts w:ascii="宋体" w:hAnsi="宋体" w:eastAsia="宋体"/>
          <w:color w:val="auto"/>
          <w:sz w:val="21"/>
          <w:szCs w:val="21"/>
          <w:highlight w:val="none"/>
        </w:rPr>
        <w:t>97%，需</w:t>
      </w:r>
      <w:r>
        <w:rPr>
          <w:rFonts w:hint="eastAsia" w:ascii="宋体" w:hAnsi="宋体" w:eastAsia="宋体"/>
          <w:color w:val="auto"/>
          <w:sz w:val="21"/>
          <w:szCs w:val="21"/>
          <w:highlight w:val="none"/>
        </w:rPr>
        <w:t>提供泰尔检测报告并</w:t>
      </w:r>
      <w:r>
        <w:rPr>
          <w:rFonts w:ascii="宋体" w:hAnsi="宋体" w:eastAsia="宋体"/>
          <w:color w:val="auto"/>
          <w:sz w:val="21"/>
          <w:szCs w:val="21"/>
          <w:highlight w:val="none"/>
        </w:rPr>
        <w:t>加盖公章。</w:t>
      </w:r>
    </w:p>
    <w:p>
      <w:pPr>
        <w:spacing w:line="360" w:lineRule="auto"/>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免维护的专业设计，采用高可靠的专业阀控密封式设计，确保电池不漏（渗）液、无酸雾、不腐蚀，并在充电时产生的气体基本被吸收还原成电解液，在使用时无需加水、补液和测量电解液比重。</w:t>
      </w:r>
    </w:p>
    <w:p>
      <w:pPr>
        <w:spacing w:line="360" w:lineRule="auto"/>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安全阀应具有自动开启和自动关闭的功能，其开阀压力应在</w:t>
      </w:r>
      <w:r>
        <w:rPr>
          <w:rFonts w:ascii="宋体" w:hAnsi="宋体" w:eastAsia="宋体"/>
          <w:color w:val="auto"/>
          <w:sz w:val="21"/>
          <w:szCs w:val="21"/>
          <w:highlight w:val="none"/>
        </w:rPr>
        <w:t xml:space="preserve"> 10kPa～35kPa 范围内，闭阀压力应在3kPa～30kPa 范围内，需</w:t>
      </w:r>
      <w:r>
        <w:rPr>
          <w:rFonts w:hint="eastAsia" w:ascii="宋体" w:hAnsi="宋体" w:eastAsia="宋体"/>
          <w:color w:val="auto"/>
          <w:sz w:val="21"/>
          <w:szCs w:val="21"/>
          <w:highlight w:val="none"/>
        </w:rPr>
        <w:t>提供泰尔检测报告并</w:t>
      </w:r>
      <w:r>
        <w:rPr>
          <w:rFonts w:ascii="宋体" w:hAnsi="宋体" w:eastAsia="宋体"/>
          <w:color w:val="auto"/>
          <w:sz w:val="21"/>
          <w:szCs w:val="21"/>
          <w:highlight w:val="none"/>
        </w:rPr>
        <w:t>加盖公章。</w:t>
      </w:r>
    </w:p>
    <w:p>
      <w:pPr>
        <w:spacing w:line="360" w:lineRule="auto"/>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极宽的工作温度范围，电池可以在-20℃～+50℃甚至更宽范围的温度条件下工作，电池的内阻比常规电池小，在-20℃～+50℃的温度范围内进行大电流放电，其输出功率比同规格的传统式开口电池高。</w:t>
      </w:r>
    </w:p>
    <w:p>
      <w:pPr>
        <w:spacing w:line="360" w:lineRule="auto"/>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良好的批量一致性，领先的设计技术和绝佳</w:t>
      </w:r>
      <w:r>
        <w:rPr>
          <w:rFonts w:ascii="宋体" w:hAnsi="宋体" w:eastAsia="宋体"/>
          <w:color w:val="auto"/>
          <w:sz w:val="21"/>
          <w:szCs w:val="21"/>
          <w:highlight w:val="none"/>
        </w:rPr>
        <w:t>的气密性、电压、容量和安全性能检验，保证了大批量生产的电池具有良好的一致性，特别适合于需要多节电池串联使用的场合。</w:t>
      </w:r>
    </w:p>
    <w:p>
      <w:pPr>
        <w:spacing w:line="360" w:lineRule="auto"/>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蓄电池应能承受</w:t>
      </w:r>
      <w:r>
        <w:rPr>
          <w:rFonts w:ascii="宋体" w:hAnsi="宋体" w:eastAsia="宋体"/>
          <w:color w:val="auto"/>
          <w:sz w:val="21"/>
          <w:szCs w:val="21"/>
          <w:highlight w:val="none"/>
        </w:rPr>
        <w:t>50kpa的正压或负压而不开裂、不开胶，压力释放后壳体无残余变形。</w:t>
      </w:r>
    </w:p>
    <w:p>
      <w:pPr>
        <w:spacing w:line="360" w:lineRule="auto"/>
        <w:rPr>
          <w:rFonts w:ascii="宋体" w:hAnsi="宋体" w:eastAsia="宋体"/>
          <w:b/>
          <w:bCs/>
          <w:color w:val="auto"/>
          <w:sz w:val="24"/>
          <w:szCs w:val="24"/>
          <w:highlight w:val="none"/>
        </w:rPr>
      </w:pPr>
      <w:r>
        <w:rPr>
          <w:rFonts w:hint="eastAsia" w:ascii="宋体" w:hAnsi="宋体" w:eastAsia="宋体"/>
          <w:b/>
          <w:bCs/>
          <w:color w:val="auto"/>
          <w:sz w:val="24"/>
          <w:szCs w:val="24"/>
          <w:highlight w:val="none"/>
        </w:rPr>
        <w:t>（7）数据库维护</w:t>
      </w:r>
    </w:p>
    <w:p>
      <w:pPr>
        <w:spacing w:line="360" w:lineRule="auto"/>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数据库规划：根据用户目前现状，在充分保护用户已有投资的情况下，对现有系统做全面、整体的规划，提高系统的安全性和可用性，制定出符合实际的数据库实施及运行维护方案，保证用户业务系统正常稳定的运行。</w:t>
      </w:r>
    </w:p>
    <w:p>
      <w:pPr>
        <w:spacing w:line="360" w:lineRule="auto"/>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数据库架构及参数标准化改造：根据官方最佳实践指导及监管要求，进行数据库架构及参数标准化改造，保证院内数据库系统正常，高效稳定的运行。</w:t>
      </w:r>
    </w:p>
    <w:p>
      <w:pPr>
        <w:spacing w:line="360" w:lineRule="auto"/>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数据库漏洞，B</w:t>
      </w:r>
      <w:r>
        <w:rPr>
          <w:rFonts w:ascii="宋体" w:hAnsi="宋体" w:eastAsia="宋体"/>
          <w:color w:val="auto"/>
          <w:sz w:val="21"/>
          <w:szCs w:val="21"/>
          <w:highlight w:val="none"/>
        </w:rPr>
        <w:t xml:space="preserve">UG </w:t>
      </w:r>
      <w:r>
        <w:rPr>
          <w:rFonts w:hint="eastAsia" w:ascii="宋体" w:hAnsi="宋体" w:eastAsia="宋体"/>
          <w:color w:val="auto"/>
          <w:sz w:val="21"/>
          <w:szCs w:val="21"/>
          <w:highlight w:val="none"/>
        </w:rPr>
        <w:t>补丁升级服务：当确认用户需要对数据库进行补丁，升级时，中标方将无偿提供原厂补丁及技术实施服务，解决当前数据库系统存在的错误告警、bug等。</w:t>
      </w:r>
    </w:p>
    <w:p>
      <w:pPr>
        <w:spacing w:line="360" w:lineRule="auto"/>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数据库版本升级服务：目前，随着应用系统优化和系统规模的扩大，中标方根据甲方需求，提供安全、可靠和可行的原厂小版本数据库升级服务。</w:t>
      </w:r>
    </w:p>
    <w:p>
      <w:pPr>
        <w:spacing w:line="360" w:lineRule="auto"/>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定期数据库优化服务：根据采购人实际情况对数据库服务器可能存在的性能问题进行全面的分析、评估和调整，以确定在系统软件层面上存在的主要性能瓶颈和隐患，在性能诊断基础上，对数据库进行性能调优，以提高应用系统的整体性能，优化完成后及时进行跟踪验证，每年的优化频率由甲方根据数据库的运行情况提出，每次的优化效果需得到甲方认可。</w:t>
      </w:r>
    </w:p>
    <w:p>
      <w:pPr>
        <w:spacing w:line="360" w:lineRule="auto"/>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日常维保巡检服务：日常数据库维保由具备OCM认证的工程师完成（服务商中标后实施工程师须得到甲方认可）；针对业务数据库每周1次远程巡检服务；每月</w:t>
      </w:r>
      <w:r>
        <w:rPr>
          <w:rFonts w:ascii="宋体" w:hAnsi="宋体" w:eastAsia="宋体"/>
          <w:color w:val="auto"/>
          <w:sz w:val="21"/>
          <w:szCs w:val="21"/>
          <w:highlight w:val="none"/>
        </w:rPr>
        <w:t>2</w:t>
      </w:r>
      <w:r>
        <w:rPr>
          <w:rFonts w:hint="eastAsia" w:ascii="宋体" w:hAnsi="宋体" w:eastAsia="宋体"/>
          <w:color w:val="auto"/>
          <w:sz w:val="21"/>
          <w:szCs w:val="21"/>
          <w:highlight w:val="none"/>
        </w:rPr>
        <w:t>次现场巡检服务，进行现场指导、解答技术问题；对数据库的运行状态及环境进行检测，解决故障隐患。巡检完毕应出具详细的巡检报告，巡检中除例行巡检外，应检查系统漏洞、隐患及缺陷并予以改正，检查其他可能导致系统正常运行的问题并提出改正指施，必要时协助用户完成。</w:t>
      </w:r>
    </w:p>
    <w:p>
      <w:pPr>
        <w:spacing w:line="360" w:lineRule="auto"/>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故障按照影响程度不同而分为重大故障、紧急故障和一般故障，对于数据库软件出现故障时都应按照相应等级进行响应；重大故障指软件出现报错，日常业务受到影响情况。对于重大故障，一线技术人员在故障发生后的5分钟内向用户报告，并通知二线技术人员立即赶赴事故现场响应，半小时内定位故障，</w:t>
      </w:r>
      <w:r>
        <w:rPr>
          <w:rFonts w:ascii="宋体" w:hAnsi="宋体" w:eastAsia="宋体"/>
          <w:color w:val="auto"/>
          <w:sz w:val="21"/>
          <w:szCs w:val="21"/>
          <w:highlight w:val="none"/>
        </w:rPr>
        <w:t>2</w:t>
      </w:r>
      <w:r>
        <w:rPr>
          <w:rFonts w:hint="eastAsia" w:ascii="宋体" w:hAnsi="宋体" w:eastAsia="宋体"/>
          <w:color w:val="auto"/>
          <w:sz w:val="21"/>
          <w:szCs w:val="21"/>
          <w:highlight w:val="none"/>
        </w:rPr>
        <w:t xml:space="preserve"> 小时内排除故障；紧急故障指软件出现告警，业务可以正常运行，但是性能下降的情况。对于紧急故障，一线技术人员在故障发生后的30 分钟内向用户报告，并立即响应，</w:t>
      </w:r>
      <w:r>
        <w:rPr>
          <w:rFonts w:ascii="宋体" w:hAnsi="宋体" w:eastAsia="宋体"/>
          <w:color w:val="auto"/>
          <w:sz w:val="21"/>
          <w:szCs w:val="21"/>
          <w:highlight w:val="none"/>
        </w:rPr>
        <w:t>1</w:t>
      </w:r>
      <w:r>
        <w:rPr>
          <w:rFonts w:hint="eastAsia" w:ascii="宋体" w:hAnsi="宋体" w:eastAsia="宋体"/>
          <w:color w:val="auto"/>
          <w:sz w:val="21"/>
          <w:szCs w:val="21"/>
          <w:highlight w:val="none"/>
        </w:rPr>
        <w:t xml:space="preserve"> 小时内定位故障，</w:t>
      </w:r>
      <w:r>
        <w:rPr>
          <w:rFonts w:ascii="宋体" w:hAnsi="宋体" w:eastAsia="宋体"/>
          <w:color w:val="auto"/>
          <w:sz w:val="21"/>
          <w:szCs w:val="21"/>
          <w:highlight w:val="none"/>
        </w:rPr>
        <w:t>4</w:t>
      </w:r>
      <w:r>
        <w:rPr>
          <w:rFonts w:hint="eastAsia" w:ascii="宋体" w:hAnsi="宋体" w:eastAsia="宋体"/>
          <w:color w:val="auto"/>
          <w:sz w:val="21"/>
          <w:szCs w:val="21"/>
          <w:highlight w:val="none"/>
        </w:rPr>
        <w:t>小时内排除故障；一般性故障指除重大故障和紧急故障之外的其他故障。对于一般故障，一线技术人员在故障发生后的1 小时内向用户报告，并立即响应，4 小时内定位故障，8小时内解决故障</w:t>
      </w:r>
    </w:p>
    <w:p>
      <w:pPr>
        <w:spacing w:line="360" w:lineRule="auto"/>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数据迁移服务：目前，随着应用系统优化和系统规模的扩大，数据迁移变得越来越复杂，中标方需提供安全、可靠和可行的同版本数据迁移服务。</w:t>
      </w:r>
    </w:p>
    <w:p>
      <w:pPr>
        <w:spacing w:line="360" w:lineRule="auto"/>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数据备份服务：根据所制订的备份策略，提供现场备份指导，并定期检查备份的完整性及可用性。</w:t>
      </w:r>
    </w:p>
    <w:p>
      <w:pPr>
        <w:spacing w:line="360" w:lineRule="auto"/>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备份恢复演练：搭建RMAN备份恢复测试环境，根据生产需求，保证数据库数据的安全，并能在最短时间内恢复故障数据。</w:t>
      </w:r>
    </w:p>
    <w:p>
      <w:pPr>
        <w:spacing w:line="360" w:lineRule="auto"/>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数据库灾备恢复演练服务；配合甲方每年进行灾备切换演练，同时协助甲方每年进行数据恢复演练，演练和恢复的时间与次数遵照甲方安排。</w:t>
      </w:r>
    </w:p>
    <w:p>
      <w:pPr>
        <w:spacing w:line="360" w:lineRule="auto"/>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7</w:t>
      </w:r>
      <w:r>
        <w:rPr>
          <w:rFonts w:ascii="宋体" w:hAnsi="宋体" w:eastAsia="宋体"/>
          <w:color w:val="auto"/>
          <w:sz w:val="21"/>
          <w:szCs w:val="21"/>
          <w:highlight w:val="none"/>
        </w:rPr>
        <w:t>*24</w:t>
      </w:r>
      <w:r>
        <w:rPr>
          <w:rFonts w:hint="eastAsia" w:ascii="宋体" w:hAnsi="宋体" w:eastAsia="宋体"/>
          <w:color w:val="auto"/>
          <w:sz w:val="21"/>
          <w:szCs w:val="21"/>
          <w:highlight w:val="none"/>
        </w:rPr>
        <w:t>小时数据库热线支持服务：为保证对服务需求的响应时间，服务商一年365 天全天候安排至少2-3名资深DBA工程师7 x 24 小时电话值班，解决用户数据库技术问题。特殊时期的现场支持服务：根据实际情况，如新系统上线，系统迁移，重大事件，操作系统变更等，由具有O</w:t>
      </w:r>
      <w:r>
        <w:rPr>
          <w:rFonts w:ascii="宋体" w:hAnsi="宋体" w:eastAsia="宋体"/>
          <w:color w:val="auto"/>
          <w:sz w:val="21"/>
          <w:szCs w:val="21"/>
          <w:highlight w:val="none"/>
        </w:rPr>
        <w:t xml:space="preserve">CM </w:t>
      </w:r>
      <w:r>
        <w:rPr>
          <w:rFonts w:hint="eastAsia" w:ascii="宋体" w:hAnsi="宋体" w:eastAsia="宋体"/>
          <w:color w:val="auto"/>
          <w:sz w:val="21"/>
          <w:szCs w:val="21"/>
          <w:highlight w:val="none"/>
        </w:rPr>
        <w:t>认证的DBA工程师提供专门的事前隐患检查和现场保障支持服务，以保证数据库在重要时期内不出现严重的故障，全年现场保障的时间完全遵守甲方时间安排。</w:t>
      </w:r>
    </w:p>
    <w:p>
      <w:pPr>
        <w:spacing w:line="360" w:lineRule="auto"/>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高可用验收方案：新增存储、服务器等硬件设备，进行数据规划时，可提供完善的存储验收方案及数据库高可用验收方案。</w:t>
      </w:r>
    </w:p>
    <w:p>
      <w:pPr>
        <w:spacing w:line="360" w:lineRule="auto"/>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数据库咨询与方案建议：结合实际生产情况，提供数据库项目规划、技术支持、风险预警、工程实施、产品咨询等方案。</w:t>
      </w:r>
    </w:p>
    <w:p>
      <w:pPr>
        <w:spacing w:line="360" w:lineRule="auto"/>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数据库培训：每年根据甲方的培训需求，为用户提供全套O</w:t>
      </w:r>
      <w:r>
        <w:rPr>
          <w:rFonts w:ascii="宋体" w:hAnsi="宋体" w:eastAsia="宋体"/>
          <w:color w:val="auto"/>
          <w:sz w:val="21"/>
          <w:szCs w:val="21"/>
          <w:highlight w:val="none"/>
        </w:rPr>
        <w:t xml:space="preserve">RACLE </w:t>
      </w:r>
      <w:r>
        <w:rPr>
          <w:rFonts w:hint="eastAsia" w:ascii="宋体" w:hAnsi="宋体" w:eastAsia="宋体"/>
          <w:color w:val="auto"/>
          <w:sz w:val="21"/>
          <w:szCs w:val="21"/>
          <w:highlight w:val="none"/>
        </w:rPr>
        <w:t>数据库体系化培训课程（现场或网课），共享技术知识积累资料。</w:t>
      </w:r>
    </w:p>
    <w:p>
      <w:pPr>
        <w:spacing w:line="360" w:lineRule="auto"/>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服务响应：对需要支持人员到达现场的情况，后台支持人员必须在1小时内到达。工程师到达现场后，要及时解决问题（在4 小时内），对于一些重大故障，如由于中标人能力有限不能在采购人要求的时间内修复故障时，采购人有权请其它专业服务公司进行紧急处理，所发生费用由中标人承担。</w:t>
      </w:r>
    </w:p>
    <w:p>
      <w:pPr>
        <w:pStyle w:val="5"/>
        <w:keepNext/>
        <w:keepLines/>
        <w:pageBreakBefore w:val="0"/>
        <w:widowControl w:val="0"/>
        <w:kinsoku/>
        <w:wordWrap/>
        <w:overflowPunct/>
        <w:topLinePunct w:val="0"/>
        <w:autoSpaceDE/>
        <w:autoSpaceDN/>
        <w:bidi w:val="0"/>
        <w:adjustRightInd/>
        <w:snapToGrid/>
        <w:ind w:firstLine="0"/>
        <w:jc w:val="left"/>
        <w:textAlignment w:val="auto"/>
        <w:rPr>
          <w:rFonts w:hint="eastAsia" w:ascii="宋体" w:hAnsi="宋体" w:eastAsia="宋体" w:cs="宋体"/>
          <w:color w:val="auto"/>
          <w:sz w:val="28"/>
          <w:szCs w:val="28"/>
          <w:highlight w:val="none"/>
        </w:rPr>
      </w:pPr>
      <w:bookmarkStart w:id="109" w:name="_Toc22714"/>
      <w:bookmarkStart w:id="110" w:name="_Toc20173"/>
      <w:r>
        <w:rPr>
          <w:rFonts w:hint="eastAsia" w:ascii="宋体" w:hAnsi="宋体" w:eastAsia="宋体" w:cs="宋体"/>
          <w:color w:val="auto"/>
          <w:sz w:val="28"/>
          <w:szCs w:val="28"/>
          <w:highlight w:val="none"/>
        </w:rPr>
        <w:t>3.7安全设备加固</w:t>
      </w:r>
      <w:bookmarkEnd w:id="109"/>
      <w:bookmarkEnd w:id="110"/>
    </w:p>
    <w:p>
      <w:pPr>
        <w:pStyle w:val="6"/>
        <w:rPr>
          <w:color w:val="auto"/>
          <w:highlight w:val="none"/>
        </w:rPr>
      </w:pPr>
      <w:r>
        <w:rPr>
          <w:rFonts w:hint="eastAsia"/>
          <w:color w:val="auto"/>
          <w:highlight w:val="none"/>
        </w:rPr>
        <w:t>3.7.1产品数量</w:t>
      </w:r>
    </w:p>
    <w:tbl>
      <w:tblPr>
        <w:tblStyle w:val="23"/>
        <w:tblW w:w="82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9"/>
        <w:gridCol w:w="5103"/>
        <w:gridCol w:w="993"/>
        <w:gridCol w:w="9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29" w:type="dxa"/>
            <w:shd w:val="clear" w:color="auto" w:fill="auto"/>
            <w:vAlign w:val="center"/>
          </w:tcPr>
          <w:p>
            <w:pPr>
              <w:widowControl/>
              <w:jc w:val="center"/>
              <w:rPr>
                <w:rFonts w:ascii="宋体" w:hAnsi="宋体" w:eastAsia="宋体" w:cs="宋体"/>
                <w:color w:val="auto"/>
                <w:kern w:val="0"/>
                <w:sz w:val="21"/>
                <w:szCs w:val="21"/>
                <w:highlight w:val="none"/>
              </w:rPr>
            </w:pPr>
            <w:r>
              <w:rPr>
                <w:rFonts w:hint="eastAsia" w:ascii="宋体" w:hAnsi="宋体" w:eastAsia="宋体" w:cs="宋体"/>
                <w:b/>
                <w:bCs/>
                <w:color w:val="auto"/>
                <w:kern w:val="0"/>
                <w:sz w:val="21"/>
                <w:szCs w:val="21"/>
                <w:highlight w:val="none"/>
              </w:rPr>
              <w:t>序号</w:t>
            </w:r>
          </w:p>
        </w:tc>
        <w:tc>
          <w:tcPr>
            <w:tcW w:w="5103" w:type="dxa"/>
            <w:shd w:val="clear" w:color="auto" w:fill="auto"/>
            <w:vAlign w:val="center"/>
          </w:tcPr>
          <w:p>
            <w:pPr>
              <w:widowControl/>
              <w:jc w:val="center"/>
              <w:rPr>
                <w:rFonts w:ascii="宋体" w:hAnsi="宋体" w:eastAsia="宋体" w:cs="宋体"/>
                <w:color w:val="auto"/>
                <w:kern w:val="0"/>
                <w:sz w:val="21"/>
                <w:szCs w:val="21"/>
                <w:highlight w:val="none"/>
              </w:rPr>
            </w:pPr>
            <w:r>
              <w:rPr>
                <w:rFonts w:hint="eastAsia" w:ascii="宋体" w:hAnsi="宋体" w:eastAsia="宋体" w:cs="宋体"/>
                <w:b/>
                <w:bCs/>
                <w:color w:val="auto"/>
                <w:kern w:val="0"/>
                <w:sz w:val="21"/>
                <w:szCs w:val="21"/>
                <w:highlight w:val="none"/>
              </w:rPr>
              <w:t>名称</w:t>
            </w:r>
          </w:p>
        </w:tc>
        <w:tc>
          <w:tcPr>
            <w:tcW w:w="993" w:type="dxa"/>
            <w:vAlign w:val="center"/>
          </w:tcPr>
          <w:p>
            <w:pPr>
              <w:widowControl/>
              <w:jc w:val="center"/>
              <w:rPr>
                <w:rFonts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数量</w:t>
            </w:r>
          </w:p>
        </w:tc>
        <w:tc>
          <w:tcPr>
            <w:tcW w:w="993" w:type="dxa"/>
            <w:shd w:val="clear" w:color="auto" w:fill="auto"/>
            <w:vAlign w:val="center"/>
          </w:tcPr>
          <w:p>
            <w:pPr>
              <w:widowControl/>
              <w:jc w:val="center"/>
              <w:rPr>
                <w:rFonts w:ascii="宋体" w:hAnsi="宋体" w:eastAsia="宋体" w:cs="宋体"/>
                <w:color w:val="auto"/>
                <w:kern w:val="0"/>
                <w:sz w:val="21"/>
                <w:szCs w:val="21"/>
                <w:highlight w:val="none"/>
              </w:rPr>
            </w:pPr>
            <w:r>
              <w:rPr>
                <w:rFonts w:hint="eastAsia" w:ascii="宋体" w:hAnsi="宋体" w:eastAsia="宋体" w:cs="宋体"/>
                <w:b/>
                <w:bCs/>
                <w:color w:val="auto"/>
                <w:kern w:val="0"/>
                <w:sz w:val="21"/>
                <w:szCs w:val="21"/>
                <w:highlight w:val="none"/>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29" w:type="dxa"/>
            <w:shd w:val="clear" w:color="auto" w:fill="auto"/>
            <w:vAlign w:val="center"/>
          </w:tcPr>
          <w:p>
            <w:pPr>
              <w:widowControl/>
              <w:jc w:val="center"/>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p>
        </w:tc>
        <w:tc>
          <w:tcPr>
            <w:tcW w:w="5103" w:type="dxa"/>
            <w:shd w:val="clear" w:color="auto" w:fill="auto"/>
            <w:vAlign w:val="center"/>
          </w:tcPr>
          <w:p>
            <w:pPr>
              <w:widowControl/>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防火墙</w:t>
            </w:r>
          </w:p>
        </w:tc>
        <w:tc>
          <w:tcPr>
            <w:tcW w:w="993" w:type="dxa"/>
            <w:vAlign w:val="center"/>
          </w:tcPr>
          <w:p>
            <w:pPr>
              <w:widowControl/>
              <w:jc w:val="center"/>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w:t>
            </w:r>
          </w:p>
        </w:tc>
        <w:tc>
          <w:tcPr>
            <w:tcW w:w="993" w:type="dxa"/>
            <w:shd w:val="clear" w:color="auto" w:fill="auto"/>
            <w:vAlign w:val="center"/>
          </w:tcPr>
          <w:p>
            <w:pPr>
              <w:widowControl/>
              <w:jc w:val="center"/>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29" w:type="dxa"/>
            <w:shd w:val="clear" w:color="auto" w:fill="auto"/>
            <w:vAlign w:val="center"/>
          </w:tcPr>
          <w:p>
            <w:pPr>
              <w:widowControl/>
              <w:jc w:val="center"/>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w:t>
            </w:r>
          </w:p>
        </w:tc>
        <w:tc>
          <w:tcPr>
            <w:tcW w:w="5103" w:type="dxa"/>
            <w:shd w:val="clear" w:color="auto" w:fill="auto"/>
            <w:vAlign w:val="center"/>
          </w:tcPr>
          <w:p>
            <w:pPr>
              <w:widowControl/>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入侵防御（IPS）</w:t>
            </w:r>
          </w:p>
        </w:tc>
        <w:tc>
          <w:tcPr>
            <w:tcW w:w="993" w:type="dxa"/>
            <w:vAlign w:val="center"/>
          </w:tcPr>
          <w:p>
            <w:pPr>
              <w:widowControl/>
              <w:jc w:val="center"/>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w:t>
            </w:r>
          </w:p>
        </w:tc>
        <w:tc>
          <w:tcPr>
            <w:tcW w:w="993" w:type="dxa"/>
            <w:shd w:val="clear" w:color="auto" w:fill="auto"/>
            <w:vAlign w:val="center"/>
          </w:tcPr>
          <w:p>
            <w:pPr>
              <w:widowControl/>
              <w:jc w:val="center"/>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29" w:type="dxa"/>
            <w:shd w:val="clear" w:color="auto" w:fill="auto"/>
            <w:vAlign w:val="center"/>
          </w:tcPr>
          <w:p>
            <w:pPr>
              <w:widowControl/>
              <w:jc w:val="center"/>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w:t>
            </w:r>
          </w:p>
        </w:tc>
        <w:tc>
          <w:tcPr>
            <w:tcW w:w="5103" w:type="dxa"/>
            <w:shd w:val="clear" w:color="auto" w:fill="auto"/>
            <w:vAlign w:val="center"/>
          </w:tcPr>
          <w:p>
            <w:pPr>
              <w:widowControl/>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防毒墙</w:t>
            </w:r>
          </w:p>
        </w:tc>
        <w:tc>
          <w:tcPr>
            <w:tcW w:w="993" w:type="dxa"/>
            <w:vAlign w:val="center"/>
          </w:tcPr>
          <w:p>
            <w:pPr>
              <w:widowControl/>
              <w:jc w:val="center"/>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p>
        </w:tc>
        <w:tc>
          <w:tcPr>
            <w:tcW w:w="993" w:type="dxa"/>
            <w:shd w:val="clear" w:color="auto" w:fill="auto"/>
            <w:vAlign w:val="center"/>
          </w:tcPr>
          <w:p>
            <w:pPr>
              <w:widowControl/>
              <w:jc w:val="center"/>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29" w:type="dxa"/>
            <w:shd w:val="clear" w:color="auto" w:fill="auto"/>
            <w:vAlign w:val="center"/>
          </w:tcPr>
          <w:p>
            <w:pPr>
              <w:widowControl/>
              <w:jc w:val="center"/>
              <w:rPr>
                <w:rFonts w:ascii="宋体" w:hAnsi="宋体" w:eastAsia="宋体" w:cs="宋体"/>
                <w:color w:val="auto"/>
                <w:kern w:val="0"/>
                <w:sz w:val="21"/>
                <w:szCs w:val="21"/>
                <w:highlight w:val="none"/>
              </w:rPr>
            </w:pPr>
            <w:r>
              <w:rPr>
                <w:rFonts w:ascii="宋体" w:hAnsi="宋体" w:eastAsia="宋体" w:cs="宋体"/>
                <w:color w:val="auto"/>
                <w:kern w:val="0"/>
                <w:sz w:val="21"/>
                <w:szCs w:val="21"/>
                <w:highlight w:val="none"/>
              </w:rPr>
              <w:t>4</w:t>
            </w:r>
          </w:p>
        </w:tc>
        <w:tc>
          <w:tcPr>
            <w:tcW w:w="5103" w:type="dxa"/>
            <w:shd w:val="clear" w:color="auto" w:fill="auto"/>
            <w:vAlign w:val="center"/>
          </w:tcPr>
          <w:p>
            <w:pPr>
              <w:widowControl/>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数据交换系统（网闸）</w:t>
            </w:r>
          </w:p>
        </w:tc>
        <w:tc>
          <w:tcPr>
            <w:tcW w:w="993" w:type="dxa"/>
            <w:vAlign w:val="center"/>
          </w:tcPr>
          <w:p>
            <w:pPr>
              <w:widowControl/>
              <w:jc w:val="center"/>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p>
        </w:tc>
        <w:tc>
          <w:tcPr>
            <w:tcW w:w="993" w:type="dxa"/>
            <w:shd w:val="clear" w:color="auto" w:fill="auto"/>
            <w:vAlign w:val="center"/>
          </w:tcPr>
          <w:p>
            <w:pPr>
              <w:widowControl/>
              <w:jc w:val="center"/>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29" w:type="dxa"/>
            <w:shd w:val="clear" w:color="auto" w:fill="auto"/>
            <w:vAlign w:val="center"/>
          </w:tcPr>
          <w:p>
            <w:pPr>
              <w:widowControl/>
              <w:jc w:val="center"/>
              <w:rPr>
                <w:rFonts w:ascii="宋体" w:hAnsi="宋体" w:eastAsia="宋体" w:cs="宋体"/>
                <w:color w:val="auto"/>
                <w:kern w:val="0"/>
                <w:sz w:val="21"/>
                <w:szCs w:val="21"/>
                <w:highlight w:val="none"/>
              </w:rPr>
            </w:pPr>
            <w:r>
              <w:rPr>
                <w:rFonts w:ascii="宋体" w:hAnsi="宋体" w:eastAsia="宋体" w:cs="宋体"/>
                <w:color w:val="auto"/>
                <w:kern w:val="0"/>
                <w:sz w:val="21"/>
                <w:szCs w:val="21"/>
                <w:highlight w:val="none"/>
              </w:rPr>
              <w:t>5</w:t>
            </w:r>
          </w:p>
        </w:tc>
        <w:tc>
          <w:tcPr>
            <w:tcW w:w="5103" w:type="dxa"/>
            <w:shd w:val="clear" w:color="auto" w:fill="auto"/>
            <w:vAlign w:val="center"/>
          </w:tcPr>
          <w:p>
            <w:pPr>
              <w:widowControl/>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外网杀毒软件</w:t>
            </w:r>
          </w:p>
        </w:tc>
        <w:tc>
          <w:tcPr>
            <w:tcW w:w="993" w:type="dxa"/>
            <w:vAlign w:val="center"/>
          </w:tcPr>
          <w:p>
            <w:pPr>
              <w:widowControl/>
              <w:jc w:val="center"/>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700</w:t>
            </w:r>
          </w:p>
        </w:tc>
        <w:tc>
          <w:tcPr>
            <w:tcW w:w="993" w:type="dxa"/>
            <w:shd w:val="clear" w:color="auto" w:fill="auto"/>
            <w:vAlign w:val="center"/>
          </w:tcPr>
          <w:p>
            <w:pPr>
              <w:widowControl/>
              <w:jc w:val="center"/>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29" w:type="dxa"/>
            <w:shd w:val="clear" w:color="auto" w:fill="auto"/>
            <w:vAlign w:val="center"/>
          </w:tcPr>
          <w:p>
            <w:pPr>
              <w:widowControl/>
              <w:jc w:val="center"/>
              <w:rPr>
                <w:rFonts w:ascii="宋体" w:hAnsi="宋体" w:eastAsia="宋体" w:cs="宋体"/>
                <w:color w:val="auto"/>
                <w:kern w:val="0"/>
                <w:sz w:val="21"/>
                <w:szCs w:val="21"/>
                <w:highlight w:val="none"/>
              </w:rPr>
            </w:pPr>
            <w:r>
              <w:rPr>
                <w:rFonts w:ascii="宋体" w:hAnsi="宋体" w:eastAsia="宋体" w:cs="宋体"/>
                <w:color w:val="auto"/>
                <w:kern w:val="0"/>
                <w:sz w:val="21"/>
                <w:szCs w:val="21"/>
                <w:highlight w:val="none"/>
              </w:rPr>
              <w:t>6</w:t>
            </w:r>
          </w:p>
        </w:tc>
        <w:tc>
          <w:tcPr>
            <w:tcW w:w="5103" w:type="dxa"/>
            <w:shd w:val="clear" w:color="auto" w:fill="auto"/>
            <w:vAlign w:val="center"/>
          </w:tcPr>
          <w:p>
            <w:pPr>
              <w:widowControl/>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上网行为管理</w:t>
            </w:r>
          </w:p>
        </w:tc>
        <w:tc>
          <w:tcPr>
            <w:tcW w:w="993" w:type="dxa"/>
            <w:vAlign w:val="center"/>
          </w:tcPr>
          <w:p>
            <w:pPr>
              <w:widowControl/>
              <w:jc w:val="center"/>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p>
        </w:tc>
        <w:tc>
          <w:tcPr>
            <w:tcW w:w="993" w:type="dxa"/>
            <w:shd w:val="clear" w:color="auto" w:fill="auto"/>
            <w:vAlign w:val="center"/>
          </w:tcPr>
          <w:p>
            <w:pPr>
              <w:widowControl/>
              <w:jc w:val="center"/>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29" w:type="dxa"/>
            <w:shd w:val="clear" w:color="auto" w:fill="auto"/>
            <w:vAlign w:val="center"/>
          </w:tcPr>
          <w:p>
            <w:pPr>
              <w:widowControl/>
              <w:jc w:val="center"/>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7</w:t>
            </w:r>
          </w:p>
        </w:tc>
        <w:tc>
          <w:tcPr>
            <w:tcW w:w="5103" w:type="dxa"/>
            <w:shd w:val="clear" w:color="auto" w:fill="auto"/>
            <w:vAlign w:val="center"/>
          </w:tcPr>
          <w:p>
            <w:pPr>
              <w:widowControl/>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堡垒机授权</w:t>
            </w:r>
          </w:p>
        </w:tc>
        <w:tc>
          <w:tcPr>
            <w:tcW w:w="993" w:type="dxa"/>
            <w:vAlign w:val="center"/>
          </w:tcPr>
          <w:p>
            <w:pPr>
              <w:widowControl/>
              <w:jc w:val="center"/>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22</w:t>
            </w:r>
            <w:r>
              <w:rPr>
                <w:rFonts w:ascii="宋体" w:hAnsi="宋体" w:eastAsia="宋体" w:cs="宋体"/>
                <w:color w:val="auto"/>
                <w:kern w:val="0"/>
                <w:sz w:val="21"/>
                <w:szCs w:val="21"/>
                <w:highlight w:val="none"/>
              </w:rPr>
              <w:t>0</w:t>
            </w:r>
          </w:p>
        </w:tc>
        <w:tc>
          <w:tcPr>
            <w:tcW w:w="993" w:type="dxa"/>
            <w:shd w:val="clear" w:color="auto" w:fill="auto"/>
            <w:vAlign w:val="center"/>
          </w:tcPr>
          <w:p>
            <w:pPr>
              <w:widowControl/>
              <w:jc w:val="center"/>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29" w:type="dxa"/>
            <w:shd w:val="clear" w:color="auto" w:fill="auto"/>
            <w:vAlign w:val="center"/>
          </w:tcPr>
          <w:p>
            <w:pPr>
              <w:widowControl/>
              <w:jc w:val="center"/>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8</w:t>
            </w:r>
          </w:p>
        </w:tc>
        <w:tc>
          <w:tcPr>
            <w:tcW w:w="5103" w:type="dxa"/>
            <w:shd w:val="clear" w:color="auto" w:fill="auto"/>
            <w:vAlign w:val="center"/>
          </w:tcPr>
          <w:p>
            <w:pPr>
              <w:widowControl/>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动态应用防护系统</w:t>
            </w:r>
          </w:p>
        </w:tc>
        <w:tc>
          <w:tcPr>
            <w:tcW w:w="993" w:type="dxa"/>
            <w:vAlign w:val="center"/>
          </w:tcPr>
          <w:p>
            <w:pPr>
              <w:widowControl/>
              <w:jc w:val="center"/>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p>
        </w:tc>
        <w:tc>
          <w:tcPr>
            <w:tcW w:w="993" w:type="dxa"/>
            <w:shd w:val="clear" w:color="auto" w:fill="auto"/>
            <w:vAlign w:val="center"/>
          </w:tcPr>
          <w:p>
            <w:pPr>
              <w:widowControl/>
              <w:jc w:val="center"/>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29" w:type="dxa"/>
            <w:shd w:val="clear" w:color="auto" w:fill="auto"/>
            <w:vAlign w:val="center"/>
          </w:tcPr>
          <w:p>
            <w:pPr>
              <w:widowControl/>
              <w:jc w:val="center"/>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9</w:t>
            </w:r>
          </w:p>
        </w:tc>
        <w:tc>
          <w:tcPr>
            <w:tcW w:w="5103" w:type="dxa"/>
            <w:shd w:val="clear" w:color="auto" w:fill="auto"/>
            <w:vAlign w:val="center"/>
          </w:tcPr>
          <w:p>
            <w:pPr>
              <w:widowControl/>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虚拟化防护</w:t>
            </w:r>
          </w:p>
        </w:tc>
        <w:tc>
          <w:tcPr>
            <w:tcW w:w="993" w:type="dxa"/>
            <w:vAlign w:val="center"/>
          </w:tcPr>
          <w:p>
            <w:pPr>
              <w:widowControl/>
              <w:jc w:val="center"/>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48</w:t>
            </w:r>
          </w:p>
        </w:tc>
        <w:tc>
          <w:tcPr>
            <w:tcW w:w="993" w:type="dxa"/>
            <w:shd w:val="clear" w:color="auto" w:fill="auto"/>
            <w:vAlign w:val="center"/>
          </w:tcPr>
          <w:p>
            <w:pPr>
              <w:widowControl/>
              <w:jc w:val="center"/>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个</w:t>
            </w:r>
          </w:p>
        </w:tc>
      </w:tr>
    </w:tbl>
    <w:p>
      <w:pPr>
        <w:rPr>
          <w:color w:val="auto"/>
          <w:highlight w:val="none"/>
        </w:rPr>
      </w:pPr>
    </w:p>
    <w:p>
      <w:pPr>
        <w:pStyle w:val="6"/>
        <w:rPr>
          <w:color w:val="auto"/>
          <w:highlight w:val="none"/>
        </w:rPr>
      </w:pPr>
      <w:r>
        <w:rPr>
          <w:rFonts w:hint="eastAsia"/>
          <w:color w:val="auto"/>
          <w:highlight w:val="none"/>
        </w:rPr>
        <w:t>3.7.2技术要求</w:t>
      </w:r>
    </w:p>
    <w:p>
      <w:pPr>
        <w:spacing w:line="360" w:lineRule="auto"/>
        <w:rPr>
          <w:rFonts w:ascii="宋体" w:hAnsi="宋体" w:eastAsia="宋体"/>
          <w:b/>
          <w:bCs/>
          <w:color w:val="auto"/>
          <w:sz w:val="24"/>
          <w:szCs w:val="24"/>
          <w:highlight w:val="none"/>
        </w:rPr>
      </w:pPr>
      <w:r>
        <w:rPr>
          <w:rFonts w:hint="eastAsia" w:ascii="宋体" w:hAnsi="宋体" w:eastAsia="宋体"/>
          <w:b/>
          <w:bCs/>
          <w:color w:val="auto"/>
          <w:sz w:val="24"/>
          <w:szCs w:val="24"/>
          <w:highlight w:val="none"/>
        </w:rPr>
        <w:t>（一）分院安全加固</w:t>
      </w:r>
    </w:p>
    <w:p>
      <w:pPr>
        <w:spacing w:line="360" w:lineRule="auto"/>
        <w:rPr>
          <w:rFonts w:ascii="宋体" w:hAnsi="宋体" w:eastAsia="宋体"/>
          <w:b/>
          <w:bCs/>
          <w:color w:val="auto"/>
          <w:sz w:val="24"/>
          <w:szCs w:val="24"/>
          <w:highlight w:val="none"/>
        </w:rPr>
      </w:pPr>
      <w:r>
        <w:rPr>
          <w:rFonts w:hint="eastAsia" w:ascii="宋体" w:hAnsi="宋体" w:eastAsia="宋体"/>
          <w:b/>
          <w:bCs/>
          <w:color w:val="auto"/>
          <w:sz w:val="24"/>
          <w:szCs w:val="24"/>
          <w:highlight w:val="none"/>
        </w:rPr>
        <w:t>（1）分院防火墙</w:t>
      </w:r>
    </w:p>
    <w:p>
      <w:pPr>
        <w:spacing w:line="360" w:lineRule="auto"/>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2U,内存≥16G，机械硬盘≥1T，≥6个千兆电口，≥4个千兆光口, ≥2个万兆光口，冗余电源, ≥1个扩展槽位,防火墙吞吐≥20G，并发连接≥500万，每秒新建连接≥16万，应用层吞吐量≥16G，含3年硬件质保、软件版本升级和技术支持服务。</w:t>
      </w:r>
    </w:p>
    <w:p>
      <w:pPr>
        <w:spacing w:line="360" w:lineRule="auto"/>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产品由专用的硬件平台、安全操作系统及功能软件构成。设备采用自主知识产权的专用安全操作系统，采用多核多平台并行处理机制；</w:t>
      </w:r>
      <w:r>
        <w:rPr>
          <w:rFonts w:ascii="宋体" w:hAnsi="宋体" w:eastAsia="宋体"/>
          <w:color w:val="auto"/>
          <w:sz w:val="21"/>
          <w:szCs w:val="21"/>
          <w:highlight w:val="none"/>
        </w:rPr>
        <w:t xml:space="preserve"> </w:t>
      </w:r>
    </w:p>
    <w:p>
      <w:pPr>
        <w:spacing w:line="360" w:lineRule="auto"/>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支持路由、交换、虚拟线、Listening、混合工作模式；</w:t>
      </w:r>
    </w:p>
    <w:p>
      <w:pPr>
        <w:spacing w:line="360" w:lineRule="auto"/>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支持策略路由，支持根据入接口、源/目的IP地址、协议、用户、应用、选路算法、探测等多种条件设置策略路由；</w:t>
      </w:r>
      <w:r>
        <w:rPr>
          <w:rFonts w:ascii="宋体" w:hAnsi="宋体" w:eastAsia="宋体"/>
          <w:color w:val="auto"/>
          <w:sz w:val="21"/>
          <w:szCs w:val="21"/>
          <w:highlight w:val="none"/>
        </w:rPr>
        <w:t xml:space="preserve"> </w:t>
      </w:r>
    </w:p>
    <w:p>
      <w:pPr>
        <w:spacing w:line="360" w:lineRule="auto"/>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支持手动和LACP链路聚合，可根据源/目的MAC、源/目的IP、源/目的端口、五元组、端口轮询等条件提供不少于10种链路负载算法。</w:t>
      </w:r>
    </w:p>
    <w:p>
      <w:pPr>
        <w:spacing w:line="360" w:lineRule="auto"/>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支持多种地址转换，支持源/目的NAT、双向NAT、NoNAT转换方式；支持源IP转换同一性；</w:t>
      </w:r>
    </w:p>
    <w:p>
      <w:pPr>
        <w:spacing w:line="360" w:lineRule="auto"/>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支持域名控制，支持对多级域名进行控制，域名对象支持通配符；</w:t>
      </w:r>
    </w:p>
    <w:p>
      <w:pPr>
        <w:spacing w:line="360" w:lineRule="auto"/>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支持针对IP、ICMP、TCP、UDP、DNS、HTTP、HTTPS、SIP、NTP等协议进行DDOS防护；</w:t>
      </w:r>
    </w:p>
    <w:p>
      <w:pPr>
        <w:spacing w:line="360" w:lineRule="auto"/>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内置数据过滤功能，支持HTTP、FTP、POP3、SMTP等协议；</w:t>
      </w:r>
    </w:p>
    <w:p>
      <w:pPr>
        <w:spacing w:line="360" w:lineRule="auto"/>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支持资产上报等多种资产信息获取方式，支持基于访问流量自动识别发现资产；</w:t>
      </w:r>
    </w:p>
    <w:p>
      <w:pPr>
        <w:spacing w:line="360" w:lineRule="auto"/>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支持对资产进行统计、展示和管理；</w:t>
      </w:r>
    </w:p>
    <w:p>
      <w:pPr>
        <w:spacing w:line="360" w:lineRule="auto"/>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支持对网络资产进行一键检查，获取网络中资产信息、分析资产安全状态，一键完成风险资产安全防护；</w:t>
      </w:r>
    </w:p>
    <w:p>
      <w:pPr>
        <w:spacing w:line="360" w:lineRule="auto"/>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支持将未命中安全防护模块的域名、IP、MD5值上传至云服务器进行检测，如果云服务器命中，将结果保存到本地缓存；</w:t>
      </w:r>
    </w:p>
    <w:p>
      <w:pPr>
        <w:spacing w:line="360" w:lineRule="auto"/>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支持配置文件本地备份和回滚；</w:t>
      </w:r>
    </w:p>
    <w:p>
      <w:pPr>
        <w:spacing w:line="360" w:lineRule="auto"/>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支持软件版本本地备份；</w:t>
      </w:r>
    </w:p>
    <w:p>
      <w:pPr>
        <w:spacing w:line="360" w:lineRule="auto"/>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支持在WEB界面进行网络诊断；</w:t>
      </w:r>
    </w:p>
    <w:p>
      <w:pPr>
        <w:spacing w:line="360" w:lineRule="auto"/>
        <w:rPr>
          <w:rFonts w:ascii="宋体" w:hAnsi="宋体" w:eastAsia="宋体"/>
          <w:color w:val="auto"/>
          <w:sz w:val="24"/>
          <w:szCs w:val="24"/>
          <w:highlight w:val="none"/>
        </w:rPr>
      </w:pPr>
      <w:r>
        <w:rPr>
          <w:rFonts w:hint="eastAsia" w:ascii="宋体" w:hAnsi="宋体" w:eastAsia="宋体"/>
          <w:b/>
          <w:bCs/>
          <w:color w:val="auto"/>
          <w:sz w:val="24"/>
          <w:szCs w:val="24"/>
          <w:highlight w:val="none"/>
        </w:rPr>
        <w:t>（2）分院入侵防御</w:t>
      </w:r>
    </w:p>
    <w:p>
      <w:pPr>
        <w:spacing w:line="360" w:lineRule="auto"/>
        <w:ind w:firstLine="420" w:firstLineChars="200"/>
        <w:rPr>
          <w:rFonts w:ascii="宋体" w:hAnsi="宋体" w:eastAsia="宋体" w:cs="仿宋"/>
          <w:color w:val="auto"/>
          <w:sz w:val="21"/>
          <w:szCs w:val="21"/>
          <w:highlight w:val="none"/>
        </w:rPr>
      </w:pPr>
      <w:r>
        <w:rPr>
          <w:rFonts w:hint="eastAsia" w:ascii="宋体" w:hAnsi="宋体" w:eastAsia="宋体" w:cs="仿宋"/>
          <w:color w:val="auto"/>
          <w:sz w:val="21"/>
          <w:szCs w:val="21"/>
          <w:highlight w:val="none"/>
        </w:rPr>
        <w:t>2U,内存</w:t>
      </w:r>
      <w:r>
        <w:rPr>
          <w:rFonts w:hint="eastAsia" w:ascii="宋体" w:hAnsi="宋体" w:eastAsia="宋体"/>
          <w:color w:val="auto"/>
          <w:sz w:val="21"/>
          <w:szCs w:val="21"/>
          <w:highlight w:val="none"/>
        </w:rPr>
        <w:t>≥</w:t>
      </w:r>
      <w:r>
        <w:rPr>
          <w:rFonts w:hint="eastAsia" w:ascii="宋体" w:hAnsi="宋体" w:eastAsia="宋体" w:cs="仿宋"/>
          <w:color w:val="auto"/>
          <w:sz w:val="21"/>
          <w:szCs w:val="21"/>
          <w:highlight w:val="none"/>
        </w:rPr>
        <w:t>64G,机械硬盘</w:t>
      </w:r>
      <w:r>
        <w:rPr>
          <w:rFonts w:hint="eastAsia" w:ascii="宋体" w:hAnsi="宋体" w:eastAsia="宋体"/>
          <w:color w:val="auto"/>
          <w:sz w:val="21"/>
          <w:szCs w:val="21"/>
          <w:highlight w:val="none"/>
        </w:rPr>
        <w:t>≥</w:t>
      </w:r>
      <w:r>
        <w:rPr>
          <w:rFonts w:hint="eastAsia" w:ascii="宋体" w:hAnsi="宋体" w:eastAsia="宋体" w:cs="仿宋"/>
          <w:color w:val="auto"/>
          <w:sz w:val="21"/>
          <w:szCs w:val="21"/>
          <w:highlight w:val="none"/>
        </w:rPr>
        <w:t>1TB,</w:t>
      </w:r>
      <w:r>
        <w:rPr>
          <w:rFonts w:hint="eastAsia" w:ascii="宋体" w:hAnsi="宋体" w:eastAsia="宋体"/>
          <w:color w:val="auto"/>
          <w:sz w:val="21"/>
          <w:szCs w:val="21"/>
          <w:highlight w:val="none"/>
        </w:rPr>
        <w:t xml:space="preserve"> ≥</w:t>
      </w:r>
      <w:r>
        <w:rPr>
          <w:rFonts w:hint="eastAsia" w:ascii="宋体" w:hAnsi="宋体" w:eastAsia="宋体" w:cs="仿宋"/>
          <w:color w:val="auto"/>
          <w:sz w:val="21"/>
          <w:szCs w:val="21"/>
          <w:highlight w:val="none"/>
        </w:rPr>
        <w:t>6个千兆电口（含1个HA口和1个管理口），</w:t>
      </w:r>
      <w:r>
        <w:rPr>
          <w:rFonts w:hint="eastAsia" w:ascii="宋体" w:hAnsi="宋体" w:eastAsia="宋体"/>
          <w:color w:val="auto"/>
          <w:sz w:val="21"/>
          <w:szCs w:val="21"/>
          <w:highlight w:val="none"/>
        </w:rPr>
        <w:t>≥</w:t>
      </w:r>
      <w:r>
        <w:rPr>
          <w:rFonts w:hint="eastAsia" w:ascii="宋体" w:hAnsi="宋体" w:eastAsia="宋体" w:cs="仿宋"/>
          <w:color w:val="auto"/>
          <w:sz w:val="21"/>
          <w:szCs w:val="21"/>
          <w:highlight w:val="none"/>
        </w:rPr>
        <w:t>4个千兆光口，</w:t>
      </w:r>
      <w:r>
        <w:rPr>
          <w:rFonts w:hint="eastAsia" w:ascii="宋体" w:hAnsi="宋体" w:eastAsia="宋体"/>
          <w:color w:val="auto"/>
          <w:sz w:val="21"/>
          <w:szCs w:val="21"/>
          <w:highlight w:val="none"/>
        </w:rPr>
        <w:t>≥</w:t>
      </w:r>
      <w:r>
        <w:rPr>
          <w:rFonts w:hint="eastAsia" w:ascii="宋体" w:hAnsi="宋体" w:eastAsia="宋体" w:cs="仿宋"/>
          <w:color w:val="auto"/>
          <w:sz w:val="21"/>
          <w:szCs w:val="21"/>
          <w:highlight w:val="none"/>
        </w:rPr>
        <w:t>2个万兆光口，</w:t>
      </w:r>
      <w:r>
        <w:rPr>
          <w:rFonts w:hint="eastAsia" w:ascii="宋体" w:hAnsi="宋体" w:eastAsia="宋体"/>
          <w:color w:val="auto"/>
          <w:sz w:val="21"/>
          <w:szCs w:val="21"/>
          <w:highlight w:val="none"/>
        </w:rPr>
        <w:t>≥</w:t>
      </w:r>
      <w:r>
        <w:rPr>
          <w:rFonts w:hint="eastAsia" w:ascii="宋体" w:hAnsi="宋体" w:eastAsia="宋体" w:cs="仿宋"/>
          <w:color w:val="auto"/>
          <w:sz w:val="21"/>
          <w:szCs w:val="21"/>
          <w:highlight w:val="none"/>
        </w:rPr>
        <w:t>1个CONSOLE口,冗余电源,</w:t>
      </w:r>
      <w:r>
        <w:rPr>
          <w:rFonts w:hint="eastAsia" w:ascii="宋体" w:hAnsi="宋体" w:eastAsia="宋体"/>
          <w:color w:val="auto"/>
          <w:sz w:val="21"/>
          <w:szCs w:val="21"/>
          <w:highlight w:val="none"/>
        </w:rPr>
        <w:t xml:space="preserve"> ≥</w:t>
      </w:r>
      <w:r>
        <w:rPr>
          <w:rFonts w:hint="eastAsia" w:ascii="宋体" w:hAnsi="宋体" w:eastAsia="宋体" w:cs="仿宋"/>
          <w:color w:val="auto"/>
          <w:sz w:val="21"/>
          <w:szCs w:val="21"/>
          <w:highlight w:val="none"/>
        </w:rPr>
        <w:t>5个扩展槽位,整机吞吐率：</w:t>
      </w:r>
      <w:r>
        <w:rPr>
          <w:rFonts w:hint="eastAsia" w:ascii="宋体" w:hAnsi="宋体" w:eastAsia="宋体"/>
          <w:color w:val="auto"/>
          <w:sz w:val="21"/>
          <w:szCs w:val="21"/>
          <w:highlight w:val="none"/>
        </w:rPr>
        <w:t>≥</w:t>
      </w:r>
      <w:r>
        <w:rPr>
          <w:rFonts w:hint="eastAsia" w:ascii="宋体" w:hAnsi="宋体" w:eastAsia="宋体" w:cs="仿宋"/>
          <w:color w:val="auto"/>
          <w:sz w:val="21"/>
          <w:szCs w:val="21"/>
          <w:highlight w:val="none"/>
        </w:rPr>
        <w:t>20Gbps，最大并发连接数：</w:t>
      </w:r>
      <w:r>
        <w:rPr>
          <w:rFonts w:hint="eastAsia" w:ascii="宋体" w:hAnsi="宋体" w:eastAsia="宋体"/>
          <w:color w:val="auto"/>
          <w:sz w:val="21"/>
          <w:szCs w:val="21"/>
          <w:highlight w:val="none"/>
        </w:rPr>
        <w:t>≥</w:t>
      </w:r>
      <w:r>
        <w:rPr>
          <w:rFonts w:hint="eastAsia" w:ascii="宋体" w:hAnsi="宋体" w:eastAsia="宋体" w:cs="仿宋"/>
          <w:color w:val="auto"/>
          <w:sz w:val="21"/>
          <w:szCs w:val="21"/>
          <w:highlight w:val="none"/>
        </w:rPr>
        <w:t>1000万，IPS吞吐率：</w:t>
      </w:r>
      <w:r>
        <w:rPr>
          <w:rFonts w:hint="eastAsia" w:ascii="宋体" w:hAnsi="宋体" w:eastAsia="宋体"/>
          <w:color w:val="auto"/>
          <w:sz w:val="21"/>
          <w:szCs w:val="21"/>
          <w:highlight w:val="none"/>
        </w:rPr>
        <w:t>≥</w:t>
      </w:r>
      <w:r>
        <w:rPr>
          <w:rFonts w:hint="eastAsia" w:ascii="宋体" w:hAnsi="宋体" w:eastAsia="宋体" w:cs="仿宋"/>
          <w:color w:val="auto"/>
          <w:sz w:val="21"/>
          <w:szCs w:val="21"/>
          <w:highlight w:val="none"/>
        </w:rPr>
        <w:t>10Gbps；含3年攻击检测规则库、应用识别库、地理信息库升级许可；3年僵尸主机规则库升级许可；含3年硬件质保、软件版本升级和技术支持服务。</w:t>
      </w:r>
    </w:p>
    <w:p>
      <w:pPr>
        <w:spacing w:line="360" w:lineRule="auto"/>
        <w:ind w:firstLine="420" w:firstLineChars="200"/>
        <w:rPr>
          <w:rFonts w:ascii="宋体" w:hAnsi="宋体" w:eastAsia="宋体" w:cs="仿宋"/>
          <w:color w:val="auto"/>
          <w:sz w:val="21"/>
          <w:szCs w:val="21"/>
          <w:highlight w:val="none"/>
        </w:rPr>
      </w:pPr>
      <w:r>
        <w:rPr>
          <w:rFonts w:hint="eastAsia" w:ascii="宋体" w:hAnsi="宋体" w:eastAsia="宋体" w:cs="仿宋"/>
          <w:color w:val="auto"/>
          <w:sz w:val="21"/>
          <w:szCs w:val="21"/>
          <w:highlight w:val="none"/>
        </w:rPr>
        <w:t>支持路由、交换、虚拟线、聚合、监听以及混合部署等多种接入模式。</w:t>
      </w:r>
    </w:p>
    <w:p>
      <w:pPr>
        <w:spacing w:line="360" w:lineRule="auto"/>
        <w:ind w:firstLine="420" w:firstLineChars="200"/>
        <w:rPr>
          <w:rFonts w:ascii="宋体" w:hAnsi="宋体" w:eastAsia="宋体" w:cs="仿宋"/>
          <w:color w:val="auto"/>
          <w:sz w:val="21"/>
          <w:szCs w:val="21"/>
          <w:highlight w:val="none"/>
        </w:rPr>
      </w:pPr>
      <w:bookmarkStart w:id="111" w:name="_Hlk40199865"/>
      <w:r>
        <w:rPr>
          <w:rFonts w:ascii="宋体" w:hAnsi="宋体" w:eastAsia="宋体" w:cs="仿宋"/>
          <w:color w:val="auto"/>
          <w:sz w:val="21"/>
          <w:szCs w:val="21"/>
          <w:highlight w:val="none"/>
        </w:rPr>
        <w:t>支持独立的攻击检测引擎，涵盖</w:t>
      </w:r>
      <w:r>
        <w:rPr>
          <w:rFonts w:hint="eastAsia" w:ascii="宋体" w:hAnsi="宋体" w:eastAsia="宋体"/>
          <w:color w:val="auto"/>
          <w:sz w:val="21"/>
          <w:szCs w:val="21"/>
          <w:highlight w:val="none"/>
        </w:rPr>
        <w:t>≥</w:t>
      </w:r>
      <w:r>
        <w:rPr>
          <w:rFonts w:ascii="宋体" w:hAnsi="宋体" w:eastAsia="宋体" w:cs="仿宋"/>
          <w:color w:val="auto"/>
          <w:sz w:val="21"/>
          <w:szCs w:val="21"/>
          <w:highlight w:val="none"/>
        </w:rPr>
        <w:t>12000种以上的攻击检测规则库。</w:t>
      </w:r>
      <w:bookmarkEnd w:id="111"/>
      <w:r>
        <w:rPr>
          <w:rFonts w:ascii="宋体" w:hAnsi="宋体" w:eastAsia="宋体" w:cs="仿宋"/>
          <w:color w:val="auto"/>
          <w:sz w:val="21"/>
          <w:szCs w:val="21"/>
          <w:highlight w:val="none"/>
        </w:rPr>
        <w:t>规则库支持按照攻击类型、操作系统、风险等级、应用类型、流行程度等方式进行分类。</w:t>
      </w:r>
    </w:p>
    <w:p>
      <w:pPr>
        <w:spacing w:line="360" w:lineRule="auto"/>
        <w:ind w:firstLine="420" w:firstLineChars="200"/>
        <w:rPr>
          <w:rFonts w:ascii="宋体" w:hAnsi="宋体" w:eastAsia="宋体" w:cs="仿宋"/>
          <w:color w:val="auto"/>
          <w:sz w:val="21"/>
          <w:szCs w:val="21"/>
          <w:highlight w:val="none"/>
        </w:rPr>
      </w:pPr>
      <w:bookmarkStart w:id="112" w:name="_Hlk40199921"/>
      <w:bookmarkStart w:id="113" w:name="_Hlk41988829"/>
      <w:r>
        <w:rPr>
          <w:rFonts w:ascii="宋体" w:hAnsi="宋体" w:eastAsia="宋体" w:cs="仿宋"/>
          <w:color w:val="auto"/>
          <w:sz w:val="21"/>
          <w:szCs w:val="21"/>
          <w:highlight w:val="none"/>
        </w:rPr>
        <w:t>支持对多种应用类型进行攻击检测</w:t>
      </w:r>
      <w:r>
        <w:rPr>
          <w:rFonts w:hint="eastAsia" w:ascii="宋体" w:hAnsi="宋体" w:eastAsia="宋体" w:cs="仿宋"/>
          <w:color w:val="auto"/>
          <w:sz w:val="21"/>
          <w:szCs w:val="21"/>
          <w:highlight w:val="none"/>
        </w:rPr>
        <w:t>防御</w:t>
      </w:r>
      <w:r>
        <w:rPr>
          <w:rFonts w:ascii="宋体" w:hAnsi="宋体" w:eastAsia="宋体" w:cs="仿宋"/>
          <w:color w:val="auto"/>
          <w:sz w:val="21"/>
          <w:szCs w:val="21"/>
          <w:highlight w:val="none"/>
        </w:rPr>
        <w:t>，包括WEB应用、文件传输、邮件、数据库、远程访问、远程过程调用、工控、路由、基础服务、加密等多种业务。</w:t>
      </w:r>
      <w:bookmarkEnd w:id="112"/>
      <w:r>
        <w:rPr>
          <w:rFonts w:ascii="宋体" w:hAnsi="宋体" w:eastAsia="宋体" w:cs="仿宋"/>
          <w:color w:val="auto"/>
          <w:sz w:val="21"/>
          <w:szCs w:val="21"/>
          <w:highlight w:val="none"/>
        </w:rPr>
        <w:t>并对规则可设置相应警告、阻断动作。</w:t>
      </w:r>
      <w:bookmarkEnd w:id="113"/>
    </w:p>
    <w:p>
      <w:pPr>
        <w:spacing w:line="360" w:lineRule="auto"/>
        <w:ind w:firstLine="420" w:firstLineChars="200"/>
        <w:rPr>
          <w:rFonts w:ascii="宋体" w:hAnsi="宋体" w:eastAsia="宋体" w:cs="仿宋"/>
          <w:color w:val="auto"/>
          <w:sz w:val="21"/>
          <w:szCs w:val="21"/>
          <w:highlight w:val="none"/>
        </w:rPr>
      </w:pPr>
      <w:r>
        <w:rPr>
          <w:rFonts w:ascii="宋体" w:hAnsi="宋体" w:eastAsia="宋体" w:cs="仿宋"/>
          <w:color w:val="auto"/>
          <w:sz w:val="21"/>
          <w:szCs w:val="21"/>
          <w:highlight w:val="none"/>
        </w:rPr>
        <w:t>支持统计攻击事件次数；</w:t>
      </w:r>
    </w:p>
    <w:p>
      <w:pPr>
        <w:spacing w:line="360" w:lineRule="auto"/>
        <w:ind w:firstLine="420" w:firstLineChars="200"/>
        <w:rPr>
          <w:rFonts w:ascii="宋体" w:hAnsi="宋体" w:eastAsia="宋体" w:cs="仿宋"/>
          <w:color w:val="auto"/>
          <w:sz w:val="21"/>
          <w:szCs w:val="21"/>
          <w:highlight w:val="none"/>
        </w:rPr>
      </w:pPr>
      <w:r>
        <w:rPr>
          <w:rFonts w:ascii="宋体" w:hAnsi="宋体" w:eastAsia="宋体" w:cs="仿宋"/>
          <w:color w:val="auto"/>
          <w:sz w:val="21"/>
          <w:szCs w:val="21"/>
          <w:highlight w:val="none"/>
        </w:rPr>
        <w:t>支持DNS投毒检测</w:t>
      </w:r>
      <w:r>
        <w:rPr>
          <w:rFonts w:hint="eastAsia" w:ascii="宋体" w:hAnsi="宋体" w:eastAsia="宋体" w:cs="仿宋"/>
          <w:color w:val="auto"/>
          <w:sz w:val="21"/>
          <w:szCs w:val="21"/>
          <w:highlight w:val="none"/>
        </w:rPr>
        <w:t>；</w:t>
      </w:r>
    </w:p>
    <w:p>
      <w:pPr>
        <w:spacing w:line="360" w:lineRule="auto"/>
        <w:ind w:firstLine="420" w:firstLineChars="200"/>
        <w:rPr>
          <w:rFonts w:ascii="宋体" w:hAnsi="宋体" w:eastAsia="宋体" w:cs="仿宋"/>
          <w:color w:val="auto"/>
          <w:sz w:val="21"/>
          <w:szCs w:val="21"/>
          <w:highlight w:val="none"/>
        </w:rPr>
      </w:pPr>
      <w:r>
        <w:rPr>
          <w:rFonts w:ascii="宋体" w:hAnsi="宋体" w:eastAsia="宋体" w:cs="仿宋"/>
          <w:color w:val="auto"/>
          <w:sz w:val="21"/>
          <w:szCs w:val="21"/>
          <w:highlight w:val="none"/>
        </w:rPr>
        <w:t>支持通过手动导入PCAP包的方式回放攻击包，可展现回放状态，检测结果可在安全日志中查看。</w:t>
      </w:r>
    </w:p>
    <w:p>
      <w:pPr>
        <w:spacing w:line="360" w:lineRule="auto"/>
        <w:rPr>
          <w:rFonts w:ascii="宋体" w:hAnsi="宋体" w:eastAsia="宋体"/>
          <w:b/>
          <w:bCs/>
          <w:color w:val="auto"/>
          <w:sz w:val="24"/>
          <w:szCs w:val="24"/>
          <w:highlight w:val="none"/>
        </w:rPr>
      </w:pPr>
      <w:r>
        <w:rPr>
          <w:rFonts w:hint="eastAsia" w:ascii="宋体" w:hAnsi="宋体" w:eastAsia="宋体"/>
          <w:b/>
          <w:bCs/>
          <w:color w:val="auto"/>
          <w:sz w:val="24"/>
          <w:szCs w:val="24"/>
          <w:highlight w:val="none"/>
        </w:rPr>
        <w:t>（二）数据中心安全加固</w:t>
      </w:r>
    </w:p>
    <w:p>
      <w:pPr>
        <w:spacing w:line="360" w:lineRule="auto"/>
        <w:rPr>
          <w:rFonts w:ascii="宋体" w:hAnsi="宋体" w:eastAsia="宋体"/>
          <w:b/>
          <w:bCs/>
          <w:color w:val="auto"/>
          <w:sz w:val="24"/>
          <w:szCs w:val="24"/>
          <w:highlight w:val="none"/>
        </w:rPr>
      </w:pPr>
      <w:r>
        <w:rPr>
          <w:rFonts w:hint="eastAsia" w:ascii="宋体" w:hAnsi="宋体" w:eastAsia="宋体"/>
          <w:b/>
          <w:bCs/>
          <w:color w:val="auto"/>
          <w:sz w:val="24"/>
          <w:szCs w:val="24"/>
          <w:highlight w:val="none"/>
        </w:rPr>
        <w:t>（</w:t>
      </w:r>
      <w:r>
        <w:rPr>
          <w:rFonts w:ascii="宋体" w:hAnsi="宋体" w:eastAsia="宋体"/>
          <w:b/>
          <w:bCs/>
          <w:color w:val="auto"/>
          <w:sz w:val="24"/>
          <w:szCs w:val="24"/>
          <w:highlight w:val="none"/>
        </w:rPr>
        <w:t>1</w:t>
      </w:r>
      <w:r>
        <w:rPr>
          <w:rFonts w:hint="eastAsia" w:ascii="宋体" w:hAnsi="宋体" w:eastAsia="宋体"/>
          <w:b/>
          <w:bCs/>
          <w:color w:val="auto"/>
          <w:sz w:val="24"/>
          <w:szCs w:val="24"/>
          <w:highlight w:val="none"/>
        </w:rPr>
        <w:t>）银医防火墙</w:t>
      </w:r>
    </w:p>
    <w:p>
      <w:pPr>
        <w:spacing w:line="360" w:lineRule="auto"/>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性能参数：网络层吞吐量≥20G，应用层吞吐量≥10G，防病毒吞吐量：1.5G，最大并发连接数≥210万，每秒新建连接数≥12万，IPSec VPN 最大接入数≥2000，IPSec VPN吞吐量≥850M。</w:t>
      </w:r>
    </w:p>
    <w:p>
      <w:pPr>
        <w:spacing w:line="360" w:lineRule="auto"/>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硬件参数：标准机架2U设备，硬盘容量≥128G SSD+480G SSD，千兆电口≥16个，千兆光口SFP≥2个，万兆光口SFP≥4个，电源：冗余电源。</w:t>
      </w:r>
    </w:p>
    <w:p>
      <w:pPr>
        <w:spacing w:line="360" w:lineRule="auto"/>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产品支持路由、透明、交换以及混合模式接入，满足复杂应用环境的接入需求，支持旁路模式。</w:t>
      </w:r>
    </w:p>
    <w:p>
      <w:pPr>
        <w:spacing w:line="360" w:lineRule="auto"/>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支持源 NAT、目的 NAT、静态 NAT，支持一对一、一对多和多对多等形式的 NAT。</w:t>
      </w:r>
    </w:p>
    <w:p>
      <w:pPr>
        <w:spacing w:line="360" w:lineRule="auto"/>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产品支持链路聚合功能，将多个物理线路组合成性能较高的逻辑链路接口，提高链接带宽和链路的可靠性。</w:t>
      </w:r>
    </w:p>
    <w:p>
      <w:pPr>
        <w:spacing w:line="360" w:lineRule="auto"/>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产品支持用户账户的保护功能。</w:t>
      </w:r>
    </w:p>
    <w:p>
      <w:pPr>
        <w:spacing w:line="360" w:lineRule="auto"/>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产品支持策略生命周期管理功能。</w:t>
      </w:r>
    </w:p>
    <w:p>
      <w:pPr>
        <w:spacing w:line="360" w:lineRule="auto"/>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支持IPSec VPN功能。</w:t>
      </w:r>
    </w:p>
    <w:p>
      <w:pPr>
        <w:spacing w:line="360" w:lineRule="auto"/>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包含规则库升级3年、产品质保3年、软件升级3年。</w:t>
      </w:r>
    </w:p>
    <w:p>
      <w:pPr>
        <w:spacing w:line="360" w:lineRule="auto"/>
        <w:rPr>
          <w:rFonts w:ascii="宋体" w:hAnsi="宋体" w:eastAsia="宋体"/>
          <w:b/>
          <w:bCs/>
          <w:color w:val="auto"/>
          <w:sz w:val="24"/>
          <w:szCs w:val="24"/>
          <w:highlight w:val="none"/>
        </w:rPr>
      </w:pPr>
      <w:r>
        <w:rPr>
          <w:rFonts w:hint="eastAsia" w:ascii="宋体" w:hAnsi="宋体" w:eastAsia="宋体"/>
          <w:b/>
          <w:bCs/>
          <w:color w:val="auto"/>
          <w:sz w:val="24"/>
          <w:szCs w:val="24"/>
          <w:highlight w:val="none"/>
        </w:rPr>
        <w:t>（</w:t>
      </w:r>
      <w:r>
        <w:rPr>
          <w:rFonts w:ascii="宋体" w:hAnsi="宋体" w:eastAsia="宋体"/>
          <w:b/>
          <w:bCs/>
          <w:color w:val="auto"/>
          <w:sz w:val="24"/>
          <w:szCs w:val="24"/>
          <w:highlight w:val="none"/>
        </w:rPr>
        <w:t>2</w:t>
      </w:r>
      <w:r>
        <w:rPr>
          <w:rFonts w:hint="eastAsia" w:ascii="宋体" w:hAnsi="宋体" w:eastAsia="宋体"/>
          <w:b/>
          <w:bCs/>
          <w:color w:val="auto"/>
          <w:sz w:val="24"/>
          <w:szCs w:val="24"/>
          <w:highlight w:val="none"/>
        </w:rPr>
        <w:t>）银医入侵防御</w:t>
      </w:r>
    </w:p>
    <w:p>
      <w:pPr>
        <w:spacing w:line="360" w:lineRule="auto"/>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性能参数：网络层吞吐量≥20Gbps；入侵防御专用吞吐量≥1.5Gbps；最大并发连接数：≥220万；每秒新建连接数≥14万；</w:t>
      </w:r>
    </w:p>
    <w:p>
      <w:pPr>
        <w:spacing w:line="360" w:lineRule="auto"/>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硬件参数：接口：千兆电口≥6个，万兆光口≥2个。</w:t>
      </w:r>
    </w:p>
    <w:p>
      <w:pPr>
        <w:spacing w:line="360" w:lineRule="auto"/>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支持路由部署、旁路镜像、透明部署、虚拟网线部署等多种部署方式，适应复杂使用环境的接入要求。</w:t>
      </w:r>
    </w:p>
    <w:p>
      <w:pPr>
        <w:spacing w:line="360" w:lineRule="auto"/>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支持连接会话展示；</w:t>
      </w:r>
    </w:p>
    <w:p>
      <w:pPr>
        <w:spacing w:line="360" w:lineRule="auto"/>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支持IP地址扫描和端口扫描防护；</w:t>
      </w:r>
    </w:p>
    <w:p>
      <w:pPr>
        <w:spacing w:line="360" w:lineRule="auto"/>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支持安全设备的集中管理、更新，安全日志实时上报与展示等功能。</w:t>
      </w:r>
    </w:p>
    <w:p>
      <w:pPr>
        <w:spacing w:line="360" w:lineRule="auto"/>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支持对服务器和客户端的漏洞攻击防护；</w:t>
      </w:r>
    </w:p>
    <w:p>
      <w:pPr>
        <w:spacing w:line="360" w:lineRule="auto"/>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支持针对SMTP、POP3、IMAP邮件协议的内容检测；</w:t>
      </w:r>
      <w:r>
        <w:rPr>
          <w:rFonts w:ascii="宋体" w:hAnsi="宋体" w:eastAsia="宋体"/>
          <w:color w:val="auto"/>
          <w:sz w:val="21"/>
          <w:szCs w:val="21"/>
          <w:highlight w:val="none"/>
        </w:rPr>
        <w:t xml:space="preserve"> </w:t>
      </w:r>
    </w:p>
    <w:p>
      <w:pPr>
        <w:spacing w:line="360" w:lineRule="auto"/>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包含规则库升级3年、产品质保3年、软件升级3年。</w:t>
      </w:r>
    </w:p>
    <w:p>
      <w:pPr>
        <w:spacing w:line="360" w:lineRule="auto"/>
        <w:rPr>
          <w:rFonts w:ascii="宋体" w:hAnsi="宋体" w:eastAsia="宋体"/>
          <w:b/>
          <w:bCs/>
          <w:color w:val="auto"/>
          <w:sz w:val="24"/>
          <w:szCs w:val="24"/>
          <w:highlight w:val="none"/>
        </w:rPr>
      </w:pPr>
      <w:r>
        <w:rPr>
          <w:rFonts w:hint="eastAsia" w:ascii="宋体" w:hAnsi="宋体" w:eastAsia="宋体"/>
          <w:b/>
          <w:bCs/>
          <w:color w:val="auto"/>
          <w:sz w:val="24"/>
          <w:szCs w:val="24"/>
          <w:highlight w:val="none"/>
        </w:rPr>
        <w:t>（</w:t>
      </w:r>
      <w:r>
        <w:rPr>
          <w:rFonts w:ascii="宋体" w:hAnsi="宋体" w:eastAsia="宋体"/>
          <w:b/>
          <w:bCs/>
          <w:color w:val="auto"/>
          <w:sz w:val="24"/>
          <w:szCs w:val="24"/>
          <w:highlight w:val="none"/>
        </w:rPr>
        <w:t>3</w:t>
      </w:r>
      <w:r>
        <w:rPr>
          <w:rFonts w:hint="eastAsia" w:ascii="宋体" w:hAnsi="宋体" w:eastAsia="宋体"/>
          <w:b/>
          <w:bCs/>
          <w:color w:val="auto"/>
          <w:sz w:val="24"/>
          <w:szCs w:val="24"/>
          <w:highlight w:val="none"/>
        </w:rPr>
        <w:t>）</w:t>
      </w:r>
      <w:bookmarkStart w:id="114" w:name="_Hlk147931509"/>
      <w:r>
        <w:rPr>
          <w:rFonts w:hint="eastAsia" w:ascii="宋体" w:hAnsi="宋体" w:eastAsia="宋体"/>
          <w:b/>
          <w:bCs/>
          <w:color w:val="auto"/>
          <w:sz w:val="24"/>
          <w:szCs w:val="24"/>
          <w:highlight w:val="none"/>
        </w:rPr>
        <w:t>防毒墙</w:t>
      </w:r>
    </w:p>
    <w:p>
      <w:pPr>
        <w:spacing w:line="360" w:lineRule="auto"/>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设备必须为专业的防病毒网关产品，非防火墙/下一代防火墙、UTM、IPS等具有防病毒功能模块的产品。</w:t>
      </w:r>
    </w:p>
    <w:p>
      <w:pPr>
        <w:spacing w:line="360" w:lineRule="auto"/>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支持双库双引擎，可选择使用不同的扫描引擎和不同的病毒特征库；</w:t>
      </w:r>
      <w:r>
        <w:rPr>
          <w:rFonts w:ascii="宋体" w:hAnsi="宋体" w:eastAsia="宋体"/>
          <w:color w:val="auto"/>
          <w:sz w:val="21"/>
          <w:szCs w:val="21"/>
          <w:highlight w:val="none"/>
        </w:rPr>
        <w:t xml:space="preserve"> </w:t>
      </w:r>
    </w:p>
    <w:p>
      <w:pPr>
        <w:spacing w:line="360" w:lineRule="auto"/>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能够防御病毒、木马、蠕虫、间谍软件等恶意软件，且支持对压缩数据、加壳病毒的检测与处理；</w:t>
      </w:r>
    </w:p>
    <w:p>
      <w:pPr>
        <w:spacing w:line="360" w:lineRule="auto"/>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支持对常用应用协议进行病毒检测与过滤；</w:t>
      </w:r>
    </w:p>
    <w:p>
      <w:pPr>
        <w:spacing w:line="360" w:lineRule="auto"/>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病毒引擎具备自动化的数据解压缩能力，无需手动配置，具备</w:t>
      </w:r>
      <w:r>
        <w:rPr>
          <w:rFonts w:ascii="宋体" w:hAnsi="宋体" w:eastAsia="宋体"/>
          <w:color w:val="auto"/>
          <w:sz w:val="21"/>
          <w:szCs w:val="21"/>
          <w:highlight w:val="none"/>
        </w:rPr>
        <w:t>64</w:t>
      </w:r>
      <w:r>
        <w:rPr>
          <w:rFonts w:hint="eastAsia" w:ascii="宋体" w:hAnsi="宋体" w:eastAsia="宋体"/>
          <w:color w:val="auto"/>
          <w:sz w:val="21"/>
          <w:szCs w:val="21"/>
          <w:highlight w:val="none"/>
        </w:rPr>
        <w:t>层的数据解压缩病毒检测能力；</w:t>
      </w:r>
    </w:p>
    <w:p>
      <w:pPr>
        <w:spacing w:line="360" w:lineRule="auto"/>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要求流行病毒检测率不低于</w:t>
      </w:r>
      <w:r>
        <w:rPr>
          <w:rFonts w:ascii="宋体" w:hAnsi="宋体" w:eastAsia="宋体"/>
          <w:color w:val="auto"/>
          <w:sz w:val="21"/>
          <w:szCs w:val="21"/>
          <w:highlight w:val="none"/>
        </w:rPr>
        <w:t>95%</w:t>
      </w:r>
      <w:r>
        <w:rPr>
          <w:rFonts w:hint="eastAsia" w:ascii="宋体" w:hAnsi="宋体" w:eastAsia="宋体"/>
          <w:color w:val="auto"/>
          <w:sz w:val="21"/>
          <w:szCs w:val="21"/>
          <w:highlight w:val="none"/>
        </w:rPr>
        <w:t>；</w:t>
      </w:r>
    </w:p>
    <w:p>
      <w:pPr>
        <w:spacing w:line="360" w:lineRule="auto"/>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可本地化完成病毒地检测过滤与处理，无需发送到云端检测；</w:t>
      </w:r>
      <w:r>
        <w:rPr>
          <w:rFonts w:ascii="宋体" w:hAnsi="宋体" w:eastAsia="宋体"/>
          <w:color w:val="auto"/>
          <w:sz w:val="21"/>
          <w:szCs w:val="21"/>
          <w:highlight w:val="none"/>
        </w:rPr>
        <w:t xml:space="preserve"> </w:t>
      </w:r>
    </w:p>
    <w:p>
      <w:pPr>
        <w:spacing w:line="360" w:lineRule="auto"/>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厂商提供专门的病毒特征库升级服务；</w:t>
      </w:r>
    </w:p>
    <w:p>
      <w:pPr>
        <w:spacing w:line="360" w:lineRule="auto"/>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可针对不同的IP地址、IP地址段设置不同的DDoS防御策略。</w:t>
      </w:r>
    </w:p>
    <w:p>
      <w:pPr>
        <w:spacing w:line="360" w:lineRule="auto"/>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支持多种接入模式；</w:t>
      </w:r>
    </w:p>
    <w:p>
      <w:pPr>
        <w:spacing w:line="360" w:lineRule="auto"/>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提供完整的病毒日志、管理日志、管理员登录日志、接口日志等；</w:t>
      </w:r>
    </w:p>
    <w:p>
      <w:pPr>
        <w:spacing w:line="360" w:lineRule="auto"/>
        <w:ind w:firstLine="420" w:firstLineChars="200"/>
        <w:rPr>
          <w:rFonts w:ascii="宋体" w:hAnsi="宋体" w:eastAsia="宋体"/>
          <w:color w:val="auto"/>
          <w:sz w:val="21"/>
          <w:szCs w:val="21"/>
          <w:highlight w:val="none"/>
        </w:rPr>
      </w:pPr>
      <w:bookmarkStart w:id="115" w:name="_Hlk121491542"/>
      <w:r>
        <w:rPr>
          <w:rFonts w:hint="eastAsia" w:ascii="宋体" w:hAnsi="宋体" w:eastAsia="宋体"/>
          <w:color w:val="auto"/>
          <w:sz w:val="21"/>
          <w:szCs w:val="21"/>
          <w:highlight w:val="none"/>
        </w:rPr>
        <w:t>支持按比例、按时间清除日志；</w:t>
      </w:r>
      <w:bookmarkEnd w:id="115"/>
    </w:p>
    <w:bookmarkEnd w:id="114"/>
    <w:p>
      <w:pPr>
        <w:spacing w:line="360" w:lineRule="auto"/>
        <w:rPr>
          <w:rFonts w:ascii="宋体" w:hAnsi="宋体" w:eastAsia="宋体"/>
          <w:b/>
          <w:bCs/>
          <w:color w:val="auto"/>
          <w:sz w:val="24"/>
          <w:szCs w:val="24"/>
          <w:highlight w:val="none"/>
        </w:rPr>
      </w:pPr>
      <w:r>
        <w:rPr>
          <w:rFonts w:hint="eastAsia" w:ascii="宋体" w:hAnsi="宋体" w:eastAsia="宋体"/>
          <w:b/>
          <w:bCs/>
          <w:color w:val="auto"/>
          <w:sz w:val="24"/>
          <w:szCs w:val="24"/>
          <w:highlight w:val="none"/>
        </w:rPr>
        <w:t>（</w:t>
      </w:r>
      <w:r>
        <w:rPr>
          <w:rFonts w:ascii="宋体" w:hAnsi="宋体" w:eastAsia="宋体"/>
          <w:b/>
          <w:bCs/>
          <w:color w:val="auto"/>
          <w:sz w:val="24"/>
          <w:szCs w:val="24"/>
          <w:highlight w:val="none"/>
        </w:rPr>
        <w:t>4</w:t>
      </w:r>
      <w:r>
        <w:rPr>
          <w:rFonts w:hint="eastAsia" w:ascii="宋体" w:hAnsi="宋体" w:eastAsia="宋体"/>
          <w:b/>
          <w:bCs/>
          <w:color w:val="auto"/>
          <w:sz w:val="24"/>
          <w:szCs w:val="24"/>
          <w:highlight w:val="none"/>
        </w:rPr>
        <w:t>）数据交换系统（网闸）</w:t>
      </w:r>
    </w:p>
    <w:p>
      <w:pPr>
        <w:spacing w:line="360" w:lineRule="auto"/>
        <w:ind w:firstLine="420" w:firstLineChars="200"/>
        <w:rPr>
          <w:rFonts w:ascii="宋体" w:hAnsi="宋体" w:eastAsia="宋体" w:cs="仿宋"/>
          <w:color w:val="auto"/>
          <w:sz w:val="21"/>
          <w:szCs w:val="21"/>
          <w:highlight w:val="none"/>
        </w:rPr>
      </w:pPr>
      <w:r>
        <w:rPr>
          <w:rFonts w:hint="eastAsia" w:ascii="宋体" w:hAnsi="宋体" w:eastAsia="宋体" w:cs="仿宋"/>
          <w:color w:val="auto"/>
          <w:sz w:val="21"/>
          <w:szCs w:val="21"/>
          <w:highlight w:val="none"/>
        </w:rPr>
        <w:t>2U,内端机</w:t>
      </w:r>
      <w:r>
        <w:rPr>
          <w:rFonts w:hint="eastAsia" w:ascii="宋体" w:hAnsi="宋体" w:eastAsia="宋体"/>
          <w:color w:val="auto"/>
          <w:sz w:val="21"/>
          <w:szCs w:val="21"/>
          <w:highlight w:val="none"/>
        </w:rPr>
        <w:t>≥</w:t>
      </w:r>
      <w:r>
        <w:rPr>
          <w:rFonts w:hint="eastAsia" w:ascii="宋体" w:hAnsi="宋体" w:eastAsia="宋体" w:cs="仿宋"/>
          <w:color w:val="auto"/>
          <w:sz w:val="21"/>
          <w:szCs w:val="21"/>
          <w:highlight w:val="none"/>
        </w:rPr>
        <w:t>6个10/100/1000Base-T接口（含1个管理口），</w:t>
      </w:r>
      <w:r>
        <w:rPr>
          <w:rFonts w:hint="eastAsia" w:ascii="宋体" w:hAnsi="宋体" w:eastAsia="宋体"/>
          <w:color w:val="auto"/>
          <w:sz w:val="21"/>
          <w:szCs w:val="21"/>
          <w:highlight w:val="none"/>
        </w:rPr>
        <w:t>≥</w:t>
      </w:r>
      <w:r>
        <w:rPr>
          <w:rFonts w:hint="eastAsia" w:ascii="宋体" w:hAnsi="宋体" w:eastAsia="宋体" w:cs="仿宋"/>
          <w:color w:val="auto"/>
          <w:sz w:val="21"/>
          <w:szCs w:val="21"/>
          <w:highlight w:val="none"/>
        </w:rPr>
        <w:t>4个千兆光口插槽，</w:t>
      </w:r>
      <w:r>
        <w:rPr>
          <w:rFonts w:hint="eastAsia" w:ascii="宋体" w:hAnsi="宋体" w:eastAsia="宋体"/>
          <w:color w:val="auto"/>
          <w:sz w:val="21"/>
          <w:szCs w:val="21"/>
          <w:highlight w:val="none"/>
        </w:rPr>
        <w:t>≥</w:t>
      </w:r>
      <w:r>
        <w:rPr>
          <w:rFonts w:hint="eastAsia" w:ascii="宋体" w:hAnsi="宋体" w:eastAsia="宋体" w:cs="仿宋"/>
          <w:color w:val="auto"/>
          <w:sz w:val="21"/>
          <w:szCs w:val="21"/>
          <w:highlight w:val="none"/>
        </w:rPr>
        <w:t>2个万兆光口插槽，</w:t>
      </w:r>
      <w:r>
        <w:rPr>
          <w:rFonts w:hint="eastAsia" w:ascii="宋体" w:hAnsi="宋体" w:eastAsia="宋体"/>
          <w:color w:val="auto"/>
          <w:sz w:val="21"/>
          <w:szCs w:val="21"/>
          <w:highlight w:val="none"/>
        </w:rPr>
        <w:t>≥</w:t>
      </w:r>
      <w:r>
        <w:rPr>
          <w:rFonts w:hint="eastAsia" w:ascii="宋体" w:hAnsi="宋体" w:eastAsia="宋体" w:cs="仿宋"/>
          <w:color w:val="auto"/>
          <w:sz w:val="21"/>
          <w:szCs w:val="21"/>
          <w:highlight w:val="none"/>
        </w:rPr>
        <w:t>1个扩展槽位；外端机</w:t>
      </w:r>
      <w:r>
        <w:rPr>
          <w:rFonts w:hint="eastAsia" w:ascii="宋体" w:hAnsi="宋体" w:eastAsia="宋体"/>
          <w:color w:val="auto"/>
          <w:sz w:val="21"/>
          <w:szCs w:val="21"/>
          <w:highlight w:val="none"/>
        </w:rPr>
        <w:t>≥</w:t>
      </w:r>
      <w:r>
        <w:rPr>
          <w:rFonts w:hint="eastAsia" w:ascii="宋体" w:hAnsi="宋体" w:eastAsia="宋体" w:cs="仿宋"/>
          <w:color w:val="auto"/>
          <w:sz w:val="21"/>
          <w:szCs w:val="21"/>
          <w:highlight w:val="none"/>
        </w:rPr>
        <w:t>6个10/100/1000Base-T接口（含1个HA口），</w:t>
      </w:r>
      <w:r>
        <w:rPr>
          <w:rFonts w:hint="eastAsia" w:ascii="宋体" w:hAnsi="宋体" w:eastAsia="宋体"/>
          <w:color w:val="auto"/>
          <w:sz w:val="21"/>
          <w:szCs w:val="21"/>
          <w:highlight w:val="none"/>
        </w:rPr>
        <w:t>≥</w:t>
      </w:r>
      <w:r>
        <w:rPr>
          <w:rFonts w:hint="eastAsia" w:ascii="宋体" w:hAnsi="宋体" w:eastAsia="宋体" w:cs="仿宋"/>
          <w:color w:val="auto"/>
          <w:sz w:val="21"/>
          <w:szCs w:val="21"/>
          <w:highlight w:val="none"/>
        </w:rPr>
        <w:t>4个千兆光口插槽，</w:t>
      </w:r>
      <w:r>
        <w:rPr>
          <w:rFonts w:hint="eastAsia" w:ascii="宋体" w:hAnsi="宋体" w:eastAsia="宋体"/>
          <w:color w:val="auto"/>
          <w:sz w:val="21"/>
          <w:szCs w:val="21"/>
          <w:highlight w:val="none"/>
        </w:rPr>
        <w:t>≥</w:t>
      </w:r>
      <w:r>
        <w:rPr>
          <w:rFonts w:hint="eastAsia" w:ascii="宋体" w:hAnsi="宋体" w:eastAsia="宋体" w:cs="仿宋"/>
          <w:color w:val="auto"/>
          <w:sz w:val="21"/>
          <w:szCs w:val="21"/>
          <w:highlight w:val="none"/>
        </w:rPr>
        <w:t>2个万兆光口插槽，</w:t>
      </w:r>
      <w:r>
        <w:rPr>
          <w:rFonts w:hint="eastAsia" w:ascii="宋体" w:hAnsi="宋体" w:eastAsia="宋体"/>
          <w:color w:val="auto"/>
          <w:sz w:val="21"/>
          <w:szCs w:val="21"/>
          <w:highlight w:val="none"/>
        </w:rPr>
        <w:t>≥</w:t>
      </w:r>
      <w:r>
        <w:rPr>
          <w:rFonts w:hint="eastAsia" w:ascii="宋体" w:hAnsi="宋体" w:eastAsia="宋体" w:cs="仿宋"/>
          <w:color w:val="auto"/>
          <w:sz w:val="21"/>
          <w:szCs w:val="21"/>
          <w:highlight w:val="none"/>
        </w:rPr>
        <w:t>1个扩展槽位,冗余电源,网络吞吐量</w:t>
      </w:r>
      <w:r>
        <w:rPr>
          <w:rFonts w:hint="eastAsia" w:ascii="宋体" w:hAnsi="宋体" w:eastAsia="宋体"/>
          <w:color w:val="auto"/>
          <w:sz w:val="21"/>
          <w:szCs w:val="21"/>
          <w:highlight w:val="none"/>
        </w:rPr>
        <w:t>≥</w:t>
      </w:r>
      <w:r>
        <w:rPr>
          <w:rFonts w:hint="eastAsia" w:ascii="宋体" w:hAnsi="宋体" w:eastAsia="宋体" w:cs="仿宋"/>
          <w:color w:val="auto"/>
          <w:sz w:val="21"/>
          <w:szCs w:val="21"/>
          <w:highlight w:val="none"/>
        </w:rPr>
        <w:t>7Gbps，并发连接数</w:t>
      </w:r>
      <w:r>
        <w:rPr>
          <w:rFonts w:hint="eastAsia" w:ascii="宋体" w:hAnsi="宋体" w:eastAsia="宋体"/>
          <w:color w:val="auto"/>
          <w:sz w:val="21"/>
          <w:szCs w:val="21"/>
          <w:highlight w:val="none"/>
        </w:rPr>
        <w:t>≥</w:t>
      </w:r>
      <w:r>
        <w:rPr>
          <w:rFonts w:hint="eastAsia" w:ascii="宋体" w:hAnsi="宋体" w:eastAsia="宋体" w:cs="仿宋"/>
          <w:color w:val="auto"/>
          <w:sz w:val="21"/>
          <w:szCs w:val="21"/>
          <w:highlight w:val="none"/>
        </w:rPr>
        <w:t>40万，延时1ms，内外端机各</w:t>
      </w:r>
      <w:r>
        <w:rPr>
          <w:rFonts w:hint="eastAsia" w:ascii="宋体" w:hAnsi="宋体" w:eastAsia="宋体"/>
          <w:color w:val="auto"/>
          <w:sz w:val="21"/>
          <w:szCs w:val="21"/>
          <w:highlight w:val="none"/>
        </w:rPr>
        <w:t>≥</w:t>
      </w:r>
      <w:r>
        <w:rPr>
          <w:rFonts w:hint="eastAsia" w:ascii="宋体" w:hAnsi="宋体" w:eastAsia="宋体" w:cs="仿宋"/>
          <w:color w:val="auto"/>
          <w:sz w:val="21"/>
          <w:szCs w:val="21"/>
          <w:highlight w:val="none"/>
        </w:rPr>
        <w:t>32G内存，内外端机各</w:t>
      </w:r>
      <w:r>
        <w:rPr>
          <w:rFonts w:hint="eastAsia" w:ascii="宋体" w:hAnsi="宋体" w:eastAsia="宋体"/>
          <w:color w:val="auto"/>
          <w:sz w:val="21"/>
          <w:szCs w:val="21"/>
          <w:highlight w:val="none"/>
        </w:rPr>
        <w:t>≥</w:t>
      </w:r>
      <w:r>
        <w:rPr>
          <w:rFonts w:hint="eastAsia" w:ascii="宋体" w:hAnsi="宋体" w:eastAsia="宋体" w:cs="仿宋"/>
          <w:color w:val="auto"/>
          <w:sz w:val="21"/>
          <w:szCs w:val="21"/>
          <w:highlight w:val="none"/>
        </w:rPr>
        <w:t>1T机械硬盘；含3年硬件质保、软件版本升级和技术支持服务。</w:t>
      </w:r>
    </w:p>
    <w:p>
      <w:pPr>
        <w:spacing w:line="360" w:lineRule="auto"/>
        <w:ind w:firstLine="420" w:firstLineChars="200"/>
        <w:rPr>
          <w:rFonts w:ascii="宋体" w:hAnsi="宋体" w:eastAsia="宋体" w:cs="仿宋"/>
          <w:color w:val="auto"/>
          <w:sz w:val="21"/>
          <w:szCs w:val="21"/>
          <w:highlight w:val="none"/>
        </w:rPr>
      </w:pPr>
      <w:r>
        <w:rPr>
          <w:rFonts w:hint="eastAsia" w:ascii="宋体" w:hAnsi="宋体" w:eastAsia="宋体" w:cs="仿宋"/>
          <w:color w:val="auto"/>
          <w:sz w:val="21"/>
          <w:szCs w:val="21"/>
          <w:highlight w:val="none"/>
        </w:rPr>
        <w:t>硬件架构由内端机、外端机、专有隔离硬件三部分组成；</w:t>
      </w:r>
    </w:p>
    <w:p>
      <w:pPr>
        <w:spacing w:line="360" w:lineRule="auto"/>
        <w:ind w:firstLine="420" w:firstLineChars="200"/>
        <w:rPr>
          <w:rFonts w:ascii="宋体" w:hAnsi="宋体" w:eastAsia="宋体" w:cs="仿宋"/>
          <w:color w:val="auto"/>
          <w:sz w:val="21"/>
          <w:szCs w:val="21"/>
          <w:highlight w:val="none"/>
        </w:rPr>
      </w:pPr>
      <w:r>
        <w:rPr>
          <w:rFonts w:hint="eastAsia" w:ascii="宋体" w:hAnsi="宋体" w:eastAsia="宋体" w:cs="仿宋"/>
          <w:color w:val="auto"/>
          <w:sz w:val="21"/>
          <w:szCs w:val="21"/>
          <w:highlight w:val="none"/>
        </w:rPr>
        <w:t>支持HTTP页面访问和WEB带上网功能；</w:t>
      </w:r>
    </w:p>
    <w:p>
      <w:pPr>
        <w:spacing w:line="360" w:lineRule="auto"/>
        <w:ind w:firstLine="420" w:firstLineChars="200"/>
        <w:rPr>
          <w:rFonts w:ascii="宋体" w:hAnsi="宋体" w:eastAsia="宋体" w:cs="仿宋"/>
          <w:color w:val="auto"/>
          <w:sz w:val="21"/>
          <w:szCs w:val="21"/>
          <w:highlight w:val="none"/>
        </w:rPr>
      </w:pPr>
      <w:r>
        <w:rPr>
          <w:rFonts w:hint="eastAsia" w:ascii="宋体" w:hAnsi="宋体" w:eastAsia="宋体" w:cs="仿宋"/>
          <w:color w:val="auto"/>
          <w:sz w:val="21"/>
          <w:szCs w:val="21"/>
          <w:highlight w:val="none"/>
        </w:rPr>
        <w:t>支持访问控制日志记录和告警功能；支持最大活动会话数统计，支持IPV</w:t>
      </w:r>
      <w:r>
        <w:rPr>
          <w:rFonts w:ascii="宋体" w:hAnsi="宋体" w:eastAsia="宋体" w:cs="仿宋"/>
          <w:color w:val="auto"/>
          <w:sz w:val="21"/>
          <w:szCs w:val="21"/>
          <w:highlight w:val="none"/>
        </w:rPr>
        <w:t>6</w:t>
      </w:r>
      <w:r>
        <w:rPr>
          <w:rFonts w:hint="eastAsia" w:ascii="宋体" w:hAnsi="宋体" w:eastAsia="宋体" w:cs="仿宋"/>
          <w:color w:val="auto"/>
          <w:sz w:val="21"/>
          <w:szCs w:val="21"/>
          <w:highlight w:val="none"/>
        </w:rPr>
        <w:t>扩展头的安全设置；</w:t>
      </w:r>
    </w:p>
    <w:p>
      <w:pPr>
        <w:spacing w:line="360" w:lineRule="auto"/>
        <w:ind w:firstLine="420" w:firstLineChars="200"/>
        <w:rPr>
          <w:rFonts w:ascii="宋体" w:hAnsi="宋体" w:eastAsia="宋体" w:cs="仿宋"/>
          <w:color w:val="auto"/>
          <w:sz w:val="21"/>
          <w:szCs w:val="21"/>
          <w:highlight w:val="none"/>
        </w:rPr>
      </w:pPr>
      <w:r>
        <w:rPr>
          <w:rFonts w:hint="eastAsia" w:ascii="宋体" w:hAnsi="宋体" w:eastAsia="宋体" w:cs="仿宋"/>
          <w:color w:val="auto"/>
          <w:sz w:val="21"/>
          <w:szCs w:val="21"/>
          <w:highlight w:val="none"/>
        </w:rPr>
        <w:t>提供基于FTP协议和NFS协议的文件传输功能。</w:t>
      </w:r>
    </w:p>
    <w:p>
      <w:pPr>
        <w:spacing w:line="360" w:lineRule="auto"/>
        <w:ind w:firstLine="420" w:firstLineChars="200"/>
        <w:rPr>
          <w:rFonts w:ascii="宋体" w:hAnsi="宋体" w:eastAsia="宋体" w:cs="仿宋"/>
          <w:color w:val="auto"/>
          <w:sz w:val="21"/>
          <w:szCs w:val="21"/>
          <w:highlight w:val="none"/>
        </w:rPr>
      </w:pPr>
      <w:r>
        <w:rPr>
          <w:rFonts w:hint="eastAsia" w:ascii="宋体" w:hAnsi="宋体" w:eastAsia="宋体" w:cs="仿宋"/>
          <w:color w:val="auto"/>
          <w:sz w:val="21"/>
          <w:szCs w:val="21"/>
          <w:highlight w:val="none"/>
        </w:rPr>
        <w:t>支持多种文件类型特征识别，支持上下行方向过滤单独控制；</w:t>
      </w:r>
    </w:p>
    <w:p>
      <w:pPr>
        <w:spacing w:line="360" w:lineRule="auto"/>
        <w:ind w:firstLine="420" w:firstLineChars="200"/>
        <w:rPr>
          <w:rFonts w:ascii="宋体" w:hAnsi="宋体" w:eastAsia="宋体" w:cs="仿宋"/>
          <w:color w:val="auto"/>
          <w:sz w:val="21"/>
          <w:szCs w:val="21"/>
          <w:highlight w:val="none"/>
        </w:rPr>
      </w:pPr>
      <w:r>
        <w:rPr>
          <w:rFonts w:hint="eastAsia" w:ascii="宋体" w:hAnsi="宋体" w:eastAsia="宋体" w:cs="仿宋"/>
          <w:color w:val="auto"/>
          <w:sz w:val="21"/>
          <w:szCs w:val="21"/>
          <w:highlight w:val="none"/>
        </w:rPr>
        <w:t>提供至少五种主流数据库的安全访问。</w:t>
      </w:r>
    </w:p>
    <w:p>
      <w:pPr>
        <w:spacing w:line="360" w:lineRule="auto"/>
        <w:ind w:firstLine="420" w:firstLineChars="200"/>
        <w:rPr>
          <w:rFonts w:ascii="宋体" w:hAnsi="宋体" w:eastAsia="宋体" w:cs="仿宋"/>
          <w:color w:val="auto"/>
          <w:sz w:val="21"/>
          <w:szCs w:val="21"/>
          <w:highlight w:val="none"/>
        </w:rPr>
      </w:pPr>
      <w:r>
        <w:rPr>
          <w:rFonts w:hint="eastAsia" w:ascii="宋体" w:hAnsi="宋体" w:eastAsia="宋体" w:cs="仿宋"/>
          <w:color w:val="auto"/>
          <w:sz w:val="21"/>
          <w:szCs w:val="21"/>
          <w:highlight w:val="none"/>
        </w:rPr>
        <w:t>提供安全的邮件访问功能。</w:t>
      </w:r>
    </w:p>
    <w:p>
      <w:pPr>
        <w:spacing w:line="360" w:lineRule="auto"/>
        <w:ind w:firstLine="420" w:firstLineChars="200"/>
        <w:rPr>
          <w:rFonts w:ascii="宋体" w:hAnsi="宋体" w:eastAsia="宋体" w:cs="仿宋"/>
          <w:color w:val="auto"/>
          <w:sz w:val="21"/>
          <w:szCs w:val="21"/>
          <w:highlight w:val="none"/>
        </w:rPr>
      </w:pPr>
      <w:r>
        <w:rPr>
          <w:rFonts w:hint="eastAsia" w:ascii="宋体" w:hAnsi="宋体" w:eastAsia="宋体" w:cs="仿宋"/>
          <w:color w:val="auto"/>
          <w:sz w:val="21"/>
          <w:szCs w:val="21"/>
          <w:highlight w:val="none"/>
        </w:rPr>
        <w:t>支持邮件附件等数据内容过滤。</w:t>
      </w:r>
    </w:p>
    <w:p>
      <w:pPr>
        <w:spacing w:line="360" w:lineRule="auto"/>
        <w:ind w:firstLine="420" w:firstLineChars="200"/>
        <w:rPr>
          <w:rFonts w:ascii="宋体" w:hAnsi="宋体" w:eastAsia="宋体" w:cs="仿宋"/>
          <w:color w:val="auto"/>
          <w:sz w:val="21"/>
          <w:szCs w:val="21"/>
          <w:highlight w:val="none"/>
        </w:rPr>
      </w:pPr>
      <w:r>
        <w:rPr>
          <w:rFonts w:hint="eastAsia" w:ascii="宋体" w:hAnsi="宋体" w:eastAsia="宋体" w:cs="仿宋"/>
          <w:color w:val="auto"/>
          <w:sz w:val="21"/>
          <w:szCs w:val="21"/>
          <w:highlight w:val="none"/>
        </w:rPr>
        <w:t>提供音视频通话访问功能。</w:t>
      </w:r>
    </w:p>
    <w:p>
      <w:pPr>
        <w:spacing w:line="360" w:lineRule="auto"/>
        <w:ind w:firstLine="420" w:firstLineChars="200"/>
        <w:rPr>
          <w:rFonts w:ascii="宋体" w:hAnsi="宋体" w:eastAsia="宋体" w:cs="仿宋"/>
          <w:color w:val="auto"/>
          <w:sz w:val="21"/>
          <w:szCs w:val="21"/>
          <w:highlight w:val="none"/>
        </w:rPr>
      </w:pPr>
      <w:r>
        <w:rPr>
          <w:rFonts w:hint="eastAsia" w:ascii="宋体" w:hAnsi="宋体" w:eastAsia="宋体" w:cs="仿宋"/>
          <w:color w:val="auto"/>
          <w:sz w:val="21"/>
          <w:szCs w:val="21"/>
          <w:highlight w:val="none"/>
        </w:rPr>
        <w:t>提供有客户端和无客户端两种文件同步方式；</w:t>
      </w:r>
    </w:p>
    <w:p>
      <w:pPr>
        <w:spacing w:line="360" w:lineRule="auto"/>
        <w:ind w:firstLine="420" w:firstLineChars="200"/>
        <w:rPr>
          <w:rFonts w:ascii="宋体" w:hAnsi="宋体" w:eastAsia="宋体" w:cs="仿宋"/>
          <w:color w:val="auto"/>
          <w:sz w:val="21"/>
          <w:szCs w:val="21"/>
          <w:highlight w:val="none"/>
        </w:rPr>
      </w:pPr>
      <w:r>
        <w:rPr>
          <w:rFonts w:hint="eastAsia" w:ascii="宋体" w:hAnsi="宋体" w:eastAsia="宋体" w:cs="仿宋"/>
          <w:color w:val="auto"/>
          <w:sz w:val="21"/>
          <w:szCs w:val="21"/>
          <w:highlight w:val="none"/>
        </w:rPr>
        <w:t>支持NFS、FTP等多种文件服务器类型，支持实时同步和周期性同步；</w:t>
      </w:r>
    </w:p>
    <w:p>
      <w:pPr>
        <w:spacing w:line="360" w:lineRule="auto"/>
        <w:ind w:firstLine="420" w:firstLineChars="200"/>
        <w:rPr>
          <w:rFonts w:ascii="宋体" w:hAnsi="宋体" w:eastAsia="宋体" w:cs="仿宋"/>
          <w:color w:val="auto"/>
          <w:sz w:val="21"/>
          <w:szCs w:val="21"/>
          <w:highlight w:val="none"/>
        </w:rPr>
      </w:pPr>
      <w:r>
        <w:rPr>
          <w:rFonts w:hint="eastAsia" w:ascii="宋体" w:hAnsi="宋体" w:eastAsia="宋体" w:cs="仿宋"/>
          <w:color w:val="auto"/>
          <w:sz w:val="21"/>
          <w:szCs w:val="21"/>
          <w:highlight w:val="none"/>
        </w:rPr>
        <w:t>支持文件同步重名策略处理，可选覆盖、不同步、重命名三种处理方式；</w:t>
      </w:r>
    </w:p>
    <w:p>
      <w:pPr>
        <w:spacing w:line="360" w:lineRule="auto"/>
        <w:ind w:firstLine="420" w:firstLineChars="200"/>
        <w:rPr>
          <w:rFonts w:ascii="宋体" w:hAnsi="宋体" w:eastAsia="宋体" w:cs="仿宋"/>
          <w:color w:val="auto"/>
          <w:sz w:val="21"/>
          <w:szCs w:val="21"/>
          <w:highlight w:val="none"/>
        </w:rPr>
      </w:pPr>
      <w:r>
        <w:rPr>
          <w:rFonts w:hint="eastAsia" w:ascii="宋体" w:hAnsi="宋体" w:eastAsia="宋体" w:cs="仿宋"/>
          <w:color w:val="auto"/>
          <w:sz w:val="21"/>
          <w:szCs w:val="21"/>
          <w:highlight w:val="none"/>
        </w:rPr>
        <w:t>支持日志审计功能。</w:t>
      </w:r>
    </w:p>
    <w:p>
      <w:pPr>
        <w:spacing w:line="360" w:lineRule="auto"/>
        <w:rPr>
          <w:rFonts w:ascii="宋体" w:hAnsi="宋体" w:eastAsia="宋体"/>
          <w:b/>
          <w:bCs/>
          <w:color w:val="auto"/>
          <w:sz w:val="24"/>
          <w:szCs w:val="24"/>
          <w:highlight w:val="none"/>
        </w:rPr>
      </w:pPr>
      <w:r>
        <w:rPr>
          <w:rFonts w:hint="eastAsia" w:ascii="宋体" w:hAnsi="宋体" w:eastAsia="宋体"/>
          <w:b/>
          <w:bCs/>
          <w:color w:val="auto"/>
          <w:sz w:val="24"/>
          <w:szCs w:val="24"/>
          <w:highlight w:val="none"/>
        </w:rPr>
        <w:t>（</w:t>
      </w:r>
      <w:r>
        <w:rPr>
          <w:rFonts w:ascii="宋体" w:hAnsi="宋体" w:eastAsia="宋体"/>
          <w:b/>
          <w:bCs/>
          <w:color w:val="auto"/>
          <w:sz w:val="24"/>
          <w:szCs w:val="24"/>
          <w:highlight w:val="none"/>
        </w:rPr>
        <w:t>5</w:t>
      </w:r>
      <w:r>
        <w:rPr>
          <w:rFonts w:hint="eastAsia" w:ascii="宋体" w:hAnsi="宋体" w:eastAsia="宋体"/>
          <w:b/>
          <w:bCs/>
          <w:color w:val="auto"/>
          <w:sz w:val="24"/>
          <w:szCs w:val="24"/>
          <w:highlight w:val="none"/>
        </w:rPr>
        <w:t>）外网杀毒软件</w:t>
      </w:r>
    </w:p>
    <w:p>
      <w:pPr>
        <w:spacing w:line="360" w:lineRule="auto"/>
        <w:ind w:firstLine="420" w:firstLineChars="200"/>
        <w:rPr>
          <w:rFonts w:ascii="宋体" w:hAnsi="宋体" w:eastAsia="宋体"/>
          <w:color w:val="auto"/>
          <w:sz w:val="21"/>
          <w:szCs w:val="21"/>
          <w:highlight w:val="none"/>
        </w:rPr>
      </w:pPr>
      <w:r>
        <w:rPr>
          <w:rFonts w:ascii="宋体" w:hAnsi="宋体" w:eastAsia="宋体"/>
          <w:color w:val="auto"/>
          <w:sz w:val="21"/>
          <w:szCs w:val="21"/>
          <w:highlight w:val="none"/>
        </w:rPr>
        <w:t>提供防病毒系统授权和3年软件版本及特征库免费升级服务，License授权可同时支持普通PC操作系统和服务器Server操作系统（含Linux及Linux Server系统）。</w:t>
      </w:r>
    </w:p>
    <w:p>
      <w:pPr>
        <w:spacing w:line="360" w:lineRule="auto"/>
        <w:ind w:firstLine="420" w:firstLineChars="200"/>
        <w:rPr>
          <w:rFonts w:ascii="宋体" w:hAnsi="宋体" w:eastAsia="宋体"/>
          <w:color w:val="auto"/>
          <w:sz w:val="21"/>
          <w:szCs w:val="21"/>
          <w:highlight w:val="none"/>
        </w:rPr>
      </w:pPr>
      <w:r>
        <w:rPr>
          <w:rFonts w:ascii="宋体" w:hAnsi="宋体" w:eastAsia="宋体"/>
          <w:color w:val="auto"/>
          <w:sz w:val="21"/>
          <w:szCs w:val="21"/>
          <w:highlight w:val="none"/>
        </w:rPr>
        <w:t>产品支持各类Windows 32/64位操作系统(Windows 7、Windows 8、Windows 10、Windows Server 2008、Windows Server 2012、Windows Server 2016、Windows Server 2019</w:t>
      </w:r>
      <w:r>
        <w:rPr>
          <w:rFonts w:hint="eastAsia" w:ascii="宋体" w:hAnsi="宋体" w:eastAsia="宋体"/>
          <w:color w:val="auto"/>
          <w:sz w:val="21"/>
          <w:szCs w:val="21"/>
          <w:highlight w:val="none"/>
        </w:rPr>
        <w:t>、WindowsServer</w:t>
      </w:r>
      <w:r>
        <w:rPr>
          <w:rFonts w:ascii="宋体" w:hAnsi="宋体" w:eastAsia="宋体"/>
          <w:color w:val="auto"/>
          <w:sz w:val="21"/>
          <w:szCs w:val="21"/>
          <w:highlight w:val="none"/>
        </w:rPr>
        <w:t xml:space="preserve"> 2022等），支持苹果Mac OS系统、支持各类32/64 Linux系统（Red Hat、SUSE、CentOS、Ubuntu、Debian等）</w:t>
      </w:r>
      <w:r>
        <w:rPr>
          <w:rFonts w:hint="eastAsia" w:ascii="宋体" w:hAnsi="宋体" w:eastAsia="宋体"/>
          <w:color w:val="auto"/>
          <w:sz w:val="21"/>
          <w:szCs w:val="21"/>
          <w:highlight w:val="none"/>
        </w:rPr>
        <w:t>。</w:t>
      </w:r>
    </w:p>
    <w:p>
      <w:pPr>
        <w:spacing w:line="360" w:lineRule="auto"/>
        <w:ind w:firstLine="420" w:firstLineChars="200"/>
        <w:rPr>
          <w:rFonts w:ascii="宋体" w:hAnsi="宋体" w:eastAsia="宋体"/>
          <w:color w:val="auto"/>
          <w:sz w:val="21"/>
          <w:szCs w:val="21"/>
          <w:highlight w:val="none"/>
        </w:rPr>
      </w:pPr>
      <w:r>
        <w:rPr>
          <w:rFonts w:ascii="宋体" w:hAnsi="宋体" w:eastAsia="宋体"/>
          <w:color w:val="auto"/>
          <w:sz w:val="21"/>
          <w:szCs w:val="21"/>
          <w:highlight w:val="none"/>
        </w:rPr>
        <w:t>支持文件、邮件和Web等反病毒功能模块。</w:t>
      </w:r>
    </w:p>
    <w:p>
      <w:pPr>
        <w:spacing w:line="360" w:lineRule="auto"/>
        <w:ind w:firstLine="420" w:firstLineChars="200"/>
        <w:rPr>
          <w:rFonts w:ascii="宋体" w:hAnsi="宋体" w:eastAsia="宋体"/>
          <w:color w:val="auto"/>
          <w:sz w:val="21"/>
          <w:szCs w:val="21"/>
          <w:highlight w:val="none"/>
        </w:rPr>
      </w:pPr>
      <w:r>
        <w:rPr>
          <w:rFonts w:ascii="宋体" w:hAnsi="宋体" w:eastAsia="宋体"/>
          <w:color w:val="auto"/>
          <w:sz w:val="21"/>
          <w:szCs w:val="21"/>
          <w:highlight w:val="none"/>
        </w:rPr>
        <w:t>具备本地主动防御技术，当恶意行为对系统文件、注册表等破坏或修改后，可回滚病毒在操作系统上执行的恶意操作，通过主动防御技术发现未知勒索病毒进行即刻拦截，同时能够立即还原被勒索病毒加密的文件。</w:t>
      </w:r>
    </w:p>
    <w:p>
      <w:pPr>
        <w:spacing w:line="360" w:lineRule="auto"/>
        <w:ind w:firstLine="420" w:firstLineChars="200"/>
        <w:rPr>
          <w:rFonts w:ascii="宋体" w:hAnsi="宋体" w:eastAsia="宋体"/>
          <w:color w:val="auto"/>
          <w:sz w:val="21"/>
          <w:szCs w:val="21"/>
          <w:highlight w:val="none"/>
        </w:rPr>
      </w:pPr>
      <w:r>
        <w:rPr>
          <w:rFonts w:ascii="宋体" w:hAnsi="宋体" w:eastAsia="宋体"/>
          <w:color w:val="auto"/>
          <w:sz w:val="21"/>
          <w:szCs w:val="21"/>
          <w:highlight w:val="none"/>
        </w:rPr>
        <w:t>支持使用受信任的系统证书，通过证书提高系统安全性，支持个人及企业信任证书、受信任根证书颁发机构、智能卡受信任的根、受信任的设备、第三方根证书颁发机构等多种选择。</w:t>
      </w:r>
    </w:p>
    <w:p>
      <w:pPr>
        <w:spacing w:line="360" w:lineRule="auto"/>
        <w:ind w:firstLine="420" w:firstLineChars="200"/>
        <w:rPr>
          <w:rFonts w:ascii="宋体" w:hAnsi="宋体" w:eastAsia="宋体"/>
          <w:color w:val="auto"/>
          <w:sz w:val="21"/>
          <w:szCs w:val="21"/>
          <w:highlight w:val="none"/>
        </w:rPr>
      </w:pPr>
      <w:r>
        <w:rPr>
          <w:rFonts w:ascii="宋体" w:hAnsi="宋体" w:eastAsia="宋体"/>
          <w:color w:val="auto"/>
          <w:sz w:val="21"/>
          <w:szCs w:val="21"/>
          <w:highlight w:val="none"/>
        </w:rPr>
        <w:t>支持网络数据包规则的防火墙功能，通过建立防火墙策略规则对特定端口选定数据协议发送和接收网络流量，支持根据应用程序建立网络访问规则，对特定应用程序的网络活动评估和限制，阻止不合法的应用程序网络连接。</w:t>
      </w:r>
    </w:p>
    <w:p>
      <w:pPr>
        <w:spacing w:line="360" w:lineRule="auto"/>
        <w:ind w:firstLine="420" w:firstLineChars="200"/>
        <w:rPr>
          <w:rFonts w:ascii="宋体" w:hAnsi="宋体" w:eastAsia="宋体"/>
          <w:color w:val="auto"/>
          <w:sz w:val="21"/>
          <w:szCs w:val="21"/>
          <w:highlight w:val="none"/>
        </w:rPr>
      </w:pPr>
      <w:r>
        <w:rPr>
          <w:rFonts w:ascii="宋体" w:hAnsi="宋体" w:eastAsia="宋体"/>
          <w:color w:val="auto"/>
          <w:sz w:val="21"/>
          <w:szCs w:val="21"/>
          <w:highlight w:val="none"/>
        </w:rPr>
        <w:t>支持移动存储介质控制，如控制U盘、移动硬盘、手机等设备接入终端，避免移动介质传播病毒的风险，支持外接设备认证功能，即特定的U盘可以使用其他则不可以。</w:t>
      </w:r>
    </w:p>
    <w:p>
      <w:pPr>
        <w:spacing w:line="360" w:lineRule="auto"/>
        <w:ind w:firstLine="420" w:firstLineChars="200"/>
        <w:rPr>
          <w:rFonts w:ascii="宋体" w:hAnsi="宋体" w:eastAsia="宋体"/>
          <w:color w:val="auto"/>
          <w:sz w:val="21"/>
          <w:szCs w:val="21"/>
          <w:highlight w:val="none"/>
        </w:rPr>
      </w:pPr>
      <w:r>
        <w:rPr>
          <w:rFonts w:ascii="宋体" w:hAnsi="宋体" w:eastAsia="宋体"/>
          <w:color w:val="auto"/>
          <w:sz w:val="21"/>
          <w:szCs w:val="21"/>
          <w:highlight w:val="none"/>
        </w:rPr>
        <w:t>丰富的报表功能，包括：保护状态、感染最严重的情况、客户端被网络攻击的情况、终端产品版本和病毒库版本等。</w:t>
      </w:r>
    </w:p>
    <w:p>
      <w:pPr>
        <w:spacing w:line="360" w:lineRule="auto"/>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实现统一平台、统一管理和统一流程，原厂商须具备虚拟化系统安全解决方案，且集中管控中心能够管理包括物理（Windows、Linux、Mac OS等操作系统）、移动（Android、IOS等操作系统）和虚拟化（VMware、Citrix、Hyper-V）在内的所有安全产品，并集中定制物理、移动系统和虚拟化系统的策略配置和报告输出。</w:t>
      </w:r>
    </w:p>
    <w:p>
      <w:pPr>
        <w:pStyle w:val="22"/>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Times New Roman"/>
          <w:b/>
          <w:bCs/>
          <w:color w:val="auto"/>
          <w:kern w:val="2"/>
          <w:sz w:val="21"/>
          <w:szCs w:val="21"/>
          <w:highlight w:val="none"/>
          <w:lang w:val="en-US" w:eastAsia="zh-CN" w:bidi="ar-SA"/>
        </w:rPr>
      </w:pPr>
      <w:r>
        <w:rPr>
          <w:rFonts w:hint="eastAsia" w:ascii="宋体" w:hAnsi="宋体" w:eastAsia="宋体" w:cs="Times New Roman"/>
          <w:b/>
          <w:bCs/>
          <w:color w:val="auto"/>
          <w:kern w:val="2"/>
          <w:sz w:val="21"/>
          <w:szCs w:val="21"/>
          <w:highlight w:val="none"/>
          <w:lang w:val="en-US" w:eastAsia="zh-CN" w:bidi="ar-SA"/>
        </w:rPr>
        <w:t>与医院现有的防病毒系统进行统一管控，需截图为证明。</w:t>
      </w:r>
    </w:p>
    <w:p>
      <w:pPr>
        <w:spacing w:line="360" w:lineRule="auto"/>
        <w:rPr>
          <w:rFonts w:ascii="宋体" w:hAnsi="宋体" w:eastAsia="宋体"/>
          <w:b/>
          <w:bCs/>
          <w:color w:val="auto"/>
          <w:sz w:val="24"/>
          <w:szCs w:val="24"/>
          <w:highlight w:val="none"/>
        </w:rPr>
      </w:pPr>
      <w:r>
        <w:rPr>
          <w:rFonts w:hint="eastAsia" w:ascii="宋体" w:hAnsi="宋体" w:eastAsia="宋体"/>
          <w:b/>
          <w:bCs/>
          <w:color w:val="auto"/>
          <w:sz w:val="24"/>
          <w:szCs w:val="24"/>
          <w:highlight w:val="none"/>
        </w:rPr>
        <w:t>（</w:t>
      </w:r>
      <w:r>
        <w:rPr>
          <w:rFonts w:ascii="宋体" w:hAnsi="宋体" w:eastAsia="宋体"/>
          <w:b/>
          <w:bCs/>
          <w:color w:val="auto"/>
          <w:sz w:val="24"/>
          <w:szCs w:val="24"/>
          <w:highlight w:val="none"/>
        </w:rPr>
        <w:t>6</w:t>
      </w:r>
      <w:r>
        <w:rPr>
          <w:rFonts w:hint="eastAsia" w:ascii="宋体" w:hAnsi="宋体" w:eastAsia="宋体"/>
          <w:b/>
          <w:bCs/>
          <w:color w:val="auto"/>
          <w:sz w:val="24"/>
          <w:szCs w:val="24"/>
          <w:highlight w:val="none"/>
        </w:rPr>
        <w:t>）上网行为管理</w:t>
      </w:r>
    </w:p>
    <w:p>
      <w:pPr>
        <w:spacing w:line="360" w:lineRule="auto"/>
        <w:ind w:firstLine="420" w:firstLineChars="200"/>
        <w:rPr>
          <w:rFonts w:hint="eastAsia" w:ascii="宋体" w:hAnsi="宋体" w:eastAsia="宋体"/>
          <w:color w:val="auto"/>
          <w:sz w:val="21"/>
          <w:szCs w:val="21"/>
          <w:highlight w:val="none"/>
          <w:lang w:eastAsia="zh-CN"/>
        </w:rPr>
      </w:pPr>
      <w:r>
        <w:rPr>
          <w:rFonts w:hint="eastAsia" w:ascii="宋体" w:hAnsi="宋体" w:eastAsia="宋体"/>
          <w:color w:val="auto"/>
          <w:sz w:val="21"/>
          <w:szCs w:val="21"/>
          <w:highlight w:val="none"/>
        </w:rPr>
        <w:t>性能参数：网络吞吐量≥18G、带宽性能≥2.5Gbps，每秒新建数≥4万、最大并发连接数≥180万，支持用户数≥2.5万；硬件参数：标准机架2U设备，硬盘容量≥128G SSD+960G SSD，内存≥16G,电源：冗余电源，千兆电口≥6个，万兆光口≥2个。</w:t>
      </w:r>
    </w:p>
    <w:p>
      <w:pPr>
        <w:spacing w:line="360" w:lineRule="auto"/>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支持网关模式、路由模式、网桥模式、网桥模式（多路桥接模式）和旁路模式等多种模式的网络部署方式，支持电口bypass。</w:t>
      </w:r>
    </w:p>
    <w:p>
      <w:pPr>
        <w:spacing w:line="360" w:lineRule="auto"/>
        <w:ind w:firstLine="420" w:firstLineChars="200"/>
        <w:rPr>
          <w:rFonts w:ascii="宋体" w:hAnsi="宋体" w:eastAsia="宋体"/>
          <w:color w:val="auto"/>
          <w:sz w:val="21"/>
          <w:szCs w:val="21"/>
          <w:highlight w:val="none"/>
        </w:rPr>
      </w:pPr>
      <w:r>
        <w:rPr>
          <w:rFonts w:ascii="宋体" w:hAnsi="宋体" w:eastAsia="宋体"/>
          <w:color w:val="auto"/>
          <w:sz w:val="21"/>
          <w:szCs w:val="21"/>
          <w:highlight w:val="none"/>
        </w:rPr>
        <w:t>产品识别并过滤SSL加密的钓鱼网站、非法网站等</w:t>
      </w:r>
      <w:r>
        <w:rPr>
          <w:rFonts w:hint="eastAsia" w:ascii="宋体" w:hAnsi="宋体" w:eastAsia="宋体"/>
          <w:color w:val="auto"/>
          <w:sz w:val="21"/>
          <w:szCs w:val="21"/>
          <w:highlight w:val="none"/>
        </w:rPr>
        <w:t>；</w:t>
      </w:r>
    </w:p>
    <w:p>
      <w:pPr>
        <w:spacing w:line="360" w:lineRule="auto"/>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产品够实时看到各级流控通道的状态；</w:t>
      </w:r>
    </w:p>
    <w:p>
      <w:pPr>
        <w:spacing w:line="360" w:lineRule="auto"/>
        <w:ind w:firstLine="420" w:firstLineChars="200"/>
        <w:rPr>
          <w:rFonts w:ascii="宋体" w:hAnsi="宋体" w:eastAsia="宋体"/>
          <w:color w:val="auto"/>
          <w:sz w:val="21"/>
          <w:szCs w:val="21"/>
          <w:highlight w:val="none"/>
        </w:rPr>
      </w:pPr>
      <w:r>
        <w:rPr>
          <w:rFonts w:ascii="宋体" w:hAnsi="宋体" w:eastAsia="宋体"/>
          <w:color w:val="auto"/>
          <w:sz w:val="21"/>
          <w:szCs w:val="21"/>
          <w:highlight w:val="none"/>
        </w:rPr>
        <w:t>支持查询和导出用户/用户组的文件审计、邮件收发、访问网站、发帖/微博、搜索关键字等详细用户行为的报表</w:t>
      </w:r>
      <w:r>
        <w:rPr>
          <w:rFonts w:hint="eastAsia" w:ascii="宋体" w:hAnsi="宋体" w:eastAsia="宋体"/>
          <w:color w:val="auto"/>
          <w:sz w:val="21"/>
          <w:szCs w:val="21"/>
          <w:highlight w:val="none"/>
        </w:rPr>
        <w:t>；</w:t>
      </w:r>
    </w:p>
    <w:p>
      <w:pPr>
        <w:spacing w:line="360" w:lineRule="auto"/>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设备支持设置四类管理员，分别为系统管理员、安全管理员、审计管理员，以及多种权限的超级管理员；</w:t>
      </w:r>
    </w:p>
    <w:p>
      <w:pPr>
        <w:spacing w:line="360" w:lineRule="auto"/>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支持基于上网人员</w:t>
      </w:r>
      <w:r>
        <w:rPr>
          <w:rFonts w:ascii="宋体" w:hAnsi="宋体" w:eastAsia="宋体"/>
          <w:color w:val="auto"/>
          <w:sz w:val="21"/>
          <w:szCs w:val="21"/>
          <w:highlight w:val="none"/>
        </w:rPr>
        <w:t>上网策略，并且可以根据上网策略对象设置上网权限的自动过期功能</w:t>
      </w:r>
      <w:r>
        <w:rPr>
          <w:rFonts w:hint="eastAsia" w:ascii="宋体" w:hAnsi="宋体" w:eastAsia="宋体"/>
          <w:color w:val="auto"/>
          <w:sz w:val="21"/>
          <w:szCs w:val="21"/>
          <w:highlight w:val="none"/>
        </w:rPr>
        <w:t>；</w:t>
      </w:r>
    </w:p>
    <w:p>
      <w:pPr>
        <w:spacing w:line="360" w:lineRule="auto"/>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支持多种协议对接认证。</w:t>
      </w:r>
    </w:p>
    <w:p>
      <w:pPr>
        <w:spacing w:line="360" w:lineRule="auto"/>
        <w:ind w:firstLine="420" w:firstLineChars="200"/>
        <w:rPr>
          <w:rFonts w:ascii="宋体" w:hAnsi="宋体" w:eastAsia="宋体"/>
          <w:color w:val="auto"/>
          <w:sz w:val="21"/>
          <w:szCs w:val="21"/>
          <w:highlight w:val="none"/>
        </w:rPr>
      </w:pPr>
      <w:r>
        <w:rPr>
          <w:rFonts w:ascii="宋体" w:hAnsi="宋体" w:eastAsia="宋体"/>
          <w:color w:val="auto"/>
          <w:sz w:val="21"/>
          <w:szCs w:val="21"/>
          <w:highlight w:val="none"/>
        </w:rPr>
        <w:t>产品识别并过滤SSL加密的钓鱼网站、非法网站等。</w:t>
      </w:r>
    </w:p>
    <w:p>
      <w:pPr>
        <w:spacing w:line="360" w:lineRule="auto"/>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产品可实时看到各级流控通道的状态。</w:t>
      </w:r>
    </w:p>
    <w:p>
      <w:pPr>
        <w:spacing w:line="360" w:lineRule="auto"/>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服务：三年规则库升级、软件升级以及硬件质保。</w:t>
      </w:r>
    </w:p>
    <w:p>
      <w:pPr>
        <w:spacing w:line="360" w:lineRule="auto"/>
        <w:rPr>
          <w:rFonts w:ascii="宋体" w:hAnsi="宋体" w:eastAsia="宋体"/>
          <w:b/>
          <w:bCs/>
          <w:color w:val="auto"/>
          <w:sz w:val="24"/>
          <w:szCs w:val="24"/>
          <w:highlight w:val="none"/>
        </w:rPr>
      </w:pPr>
      <w:r>
        <w:rPr>
          <w:rFonts w:hint="eastAsia" w:ascii="宋体" w:hAnsi="宋体" w:eastAsia="宋体"/>
          <w:b/>
          <w:bCs/>
          <w:color w:val="auto"/>
          <w:sz w:val="24"/>
          <w:szCs w:val="24"/>
          <w:highlight w:val="none"/>
        </w:rPr>
        <w:t>（</w:t>
      </w:r>
      <w:r>
        <w:rPr>
          <w:rFonts w:ascii="宋体" w:hAnsi="宋体" w:eastAsia="宋体"/>
          <w:b/>
          <w:bCs/>
          <w:color w:val="auto"/>
          <w:sz w:val="24"/>
          <w:szCs w:val="24"/>
          <w:highlight w:val="none"/>
        </w:rPr>
        <w:t>7</w:t>
      </w:r>
      <w:r>
        <w:rPr>
          <w:rFonts w:hint="eastAsia" w:ascii="宋体" w:hAnsi="宋体" w:eastAsia="宋体"/>
          <w:b/>
          <w:bCs/>
          <w:color w:val="auto"/>
          <w:sz w:val="24"/>
          <w:szCs w:val="24"/>
          <w:highlight w:val="none"/>
        </w:rPr>
        <w:t>）堡垒机授权</w:t>
      </w:r>
    </w:p>
    <w:p>
      <w:pPr>
        <w:spacing w:line="360" w:lineRule="auto"/>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现有堡垒机（启明星辰）增加</w:t>
      </w:r>
      <w:r>
        <w:rPr>
          <w:rFonts w:ascii="宋体" w:hAnsi="宋体" w:eastAsia="宋体"/>
          <w:color w:val="auto"/>
          <w:sz w:val="21"/>
          <w:szCs w:val="21"/>
          <w:highlight w:val="none"/>
        </w:rPr>
        <w:t>2</w:t>
      </w:r>
      <w:r>
        <w:rPr>
          <w:rFonts w:hint="eastAsia" w:ascii="宋体" w:hAnsi="宋体" w:eastAsia="宋体"/>
          <w:color w:val="auto"/>
          <w:sz w:val="21"/>
          <w:szCs w:val="21"/>
          <w:highlight w:val="none"/>
        </w:rPr>
        <w:t>2</w:t>
      </w:r>
      <w:r>
        <w:rPr>
          <w:rFonts w:ascii="宋体" w:hAnsi="宋体" w:eastAsia="宋体"/>
          <w:color w:val="auto"/>
          <w:sz w:val="21"/>
          <w:szCs w:val="21"/>
          <w:highlight w:val="none"/>
        </w:rPr>
        <w:t>0个被管资源数。</w:t>
      </w:r>
    </w:p>
    <w:p>
      <w:pPr>
        <w:numPr>
          <w:ilvl w:val="0"/>
          <w:numId w:val="8"/>
        </w:numPr>
        <w:spacing w:line="360" w:lineRule="auto"/>
        <w:rPr>
          <w:rFonts w:ascii="宋体" w:hAnsi="宋体" w:eastAsia="宋体"/>
          <w:b/>
          <w:color w:val="auto"/>
          <w:sz w:val="24"/>
          <w:szCs w:val="24"/>
          <w:highlight w:val="none"/>
        </w:rPr>
      </w:pPr>
      <w:r>
        <w:rPr>
          <w:rFonts w:hint="eastAsia" w:ascii="宋体" w:hAnsi="宋体" w:eastAsia="宋体"/>
          <w:b/>
          <w:color w:val="auto"/>
          <w:sz w:val="24"/>
          <w:szCs w:val="24"/>
          <w:highlight w:val="none"/>
        </w:rPr>
        <w:t>动态应用防护系统</w:t>
      </w:r>
    </w:p>
    <w:p>
      <w:pPr>
        <w:spacing w:line="360" w:lineRule="auto"/>
        <w:rPr>
          <w:rFonts w:ascii="宋体" w:hAnsi="宋体" w:eastAsia="宋体"/>
          <w:b/>
          <w:color w:val="auto"/>
          <w:sz w:val="24"/>
          <w:szCs w:val="24"/>
          <w:highlight w:val="none"/>
        </w:rPr>
      </w:pPr>
      <w:r>
        <w:rPr>
          <w:rFonts w:ascii="宋体" w:hAnsi="宋体" w:eastAsia="宋体"/>
          <w:b/>
          <w:color w:val="auto"/>
          <w:sz w:val="24"/>
          <w:szCs w:val="24"/>
          <w:highlight w:val="none"/>
        </w:rPr>
        <w:t>功能要求</w:t>
      </w:r>
      <w:r>
        <w:rPr>
          <w:rFonts w:hint="eastAsia" w:ascii="宋体" w:hAnsi="宋体" w:eastAsia="宋体"/>
          <w:b/>
          <w:color w:val="auto"/>
          <w:sz w:val="24"/>
          <w:szCs w:val="24"/>
          <w:highlight w:val="none"/>
        </w:rPr>
        <w:t>：</w:t>
      </w:r>
    </w:p>
    <w:p>
      <w:pPr>
        <w:spacing w:line="360" w:lineRule="auto"/>
        <w:ind w:firstLine="420" w:firstLineChars="200"/>
        <w:rPr>
          <w:rFonts w:ascii="宋体" w:hAnsi="宋体" w:eastAsia="宋体"/>
          <w:color w:val="auto"/>
          <w:sz w:val="21"/>
          <w:szCs w:val="21"/>
          <w:highlight w:val="none"/>
        </w:rPr>
      </w:pPr>
      <w:r>
        <w:rPr>
          <w:rFonts w:ascii="宋体" w:hAnsi="宋体" w:eastAsia="宋体"/>
          <w:color w:val="auto"/>
          <w:sz w:val="21"/>
          <w:szCs w:val="21"/>
          <w:highlight w:val="none"/>
        </w:rPr>
        <w:t>系统要求部署在本地虚拟化环境中，防护功能在本地实现，产生的相关攻击事件保留在本地</w:t>
      </w:r>
      <w:r>
        <w:rPr>
          <w:rFonts w:hint="eastAsia" w:ascii="宋体" w:hAnsi="宋体" w:eastAsia="宋体"/>
          <w:color w:val="auto"/>
          <w:sz w:val="21"/>
          <w:szCs w:val="21"/>
          <w:highlight w:val="none"/>
        </w:rPr>
        <w:t>，</w:t>
      </w:r>
      <w:r>
        <w:rPr>
          <w:rFonts w:ascii="宋体" w:hAnsi="宋体" w:eastAsia="宋体"/>
          <w:color w:val="auto"/>
          <w:sz w:val="21"/>
          <w:szCs w:val="21"/>
          <w:highlight w:val="none"/>
        </w:rPr>
        <w:t>要求防护系统自身有针对攻击行为的判断能力，不需要借助第三方系统的数据或日志；防护系统自身有针对攻击行为的检测和阻断能力，不需要借助其他系统；防护功能静默执行，终端用户访问无感知；防护系统对攻击行为具有实时检测和实时拦截能力</w:t>
      </w:r>
      <w:r>
        <w:rPr>
          <w:rFonts w:hint="eastAsia" w:ascii="宋体" w:hAnsi="宋体" w:eastAsia="宋体"/>
          <w:color w:val="auto"/>
          <w:sz w:val="21"/>
          <w:szCs w:val="21"/>
          <w:highlight w:val="none"/>
        </w:rPr>
        <w:t>。</w:t>
      </w:r>
    </w:p>
    <w:p>
      <w:pPr>
        <w:spacing w:line="360" w:lineRule="auto"/>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要求产品可与医院现有部署的动态安全系统，可以实现统一配置、统一管理。（提供证明）</w:t>
      </w:r>
    </w:p>
    <w:p>
      <w:pPr>
        <w:spacing w:line="360" w:lineRule="auto"/>
        <w:rPr>
          <w:rFonts w:ascii="宋体" w:hAnsi="宋体" w:eastAsia="宋体"/>
          <w:color w:val="auto"/>
          <w:sz w:val="21"/>
          <w:szCs w:val="21"/>
          <w:highlight w:val="none"/>
        </w:rPr>
      </w:pPr>
      <w:r>
        <w:rPr>
          <w:rFonts w:ascii="宋体" w:hAnsi="宋体" w:eastAsia="宋体"/>
          <w:color w:val="auto"/>
          <w:sz w:val="21"/>
          <w:szCs w:val="21"/>
          <w:highlight w:val="none"/>
        </w:rPr>
        <w:t>应用协议支持</w:t>
      </w:r>
      <w:r>
        <w:rPr>
          <w:rFonts w:hint="eastAsia" w:ascii="宋体" w:hAnsi="宋体" w:eastAsia="宋体"/>
          <w:color w:val="auto"/>
          <w:sz w:val="21"/>
          <w:szCs w:val="21"/>
          <w:highlight w:val="none"/>
        </w:rPr>
        <w:t>：</w:t>
      </w:r>
    </w:p>
    <w:p>
      <w:pPr>
        <w:spacing w:line="360" w:lineRule="auto"/>
        <w:ind w:firstLine="420" w:firstLineChars="200"/>
        <w:rPr>
          <w:rFonts w:ascii="宋体" w:hAnsi="宋体" w:eastAsia="宋体"/>
          <w:color w:val="auto"/>
          <w:sz w:val="21"/>
          <w:szCs w:val="21"/>
          <w:highlight w:val="none"/>
        </w:rPr>
      </w:pPr>
      <w:r>
        <w:rPr>
          <w:rFonts w:ascii="宋体" w:hAnsi="宋体" w:eastAsia="宋体"/>
          <w:color w:val="auto"/>
          <w:sz w:val="21"/>
          <w:szCs w:val="21"/>
          <w:highlight w:val="none"/>
        </w:rPr>
        <w:t>支持HTTP 0.9/1.0/1.1协议检查与防护。</w:t>
      </w:r>
    </w:p>
    <w:p>
      <w:pPr>
        <w:spacing w:line="360" w:lineRule="auto"/>
        <w:ind w:firstLine="420" w:firstLineChars="200"/>
        <w:rPr>
          <w:rFonts w:ascii="宋体" w:hAnsi="宋体" w:eastAsia="宋体"/>
          <w:color w:val="auto"/>
          <w:sz w:val="21"/>
          <w:szCs w:val="21"/>
          <w:highlight w:val="none"/>
        </w:rPr>
      </w:pPr>
      <w:r>
        <w:rPr>
          <w:rFonts w:ascii="宋体" w:hAnsi="宋体" w:eastAsia="宋体"/>
          <w:color w:val="auto"/>
          <w:sz w:val="21"/>
          <w:szCs w:val="21"/>
          <w:highlight w:val="none"/>
        </w:rPr>
        <w:t>支持SSL 3.0/TLS 1.0/TLS1.1/TLS1.2加解密。</w:t>
      </w:r>
    </w:p>
    <w:p>
      <w:pPr>
        <w:spacing w:line="360" w:lineRule="auto"/>
        <w:ind w:firstLine="420" w:firstLineChars="200"/>
        <w:rPr>
          <w:rFonts w:ascii="宋体" w:hAnsi="宋体" w:eastAsia="宋体"/>
          <w:color w:val="auto"/>
          <w:sz w:val="21"/>
          <w:szCs w:val="21"/>
          <w:highlight w:val="none"/>
        </w:rPr>
      </w:pPr>
      <w:r>
        <w:rPr>
          <w:rFonts w:ascii="宋体" w:hAnsi="宋体" w:eastAsia="宋体"/>
          <w:color w:val="auto"/>
          <w:sz w:val="21"/>
          <w:szCs w:val="21"/>
          <w:highlight w:val="none"/>
        </w:rPr>
        <w:t>支持基于HTML 4/HTML4.01的网页应用。</w:t>
      </w:r>
    </w:p>
    <w:p>
      <w:pPr>
        <w:spacing w:line="360" w:lineRule="auto"/>
        <w:ind w:firstLine="420" w:firstLineChars="200"/>
        <w:rPr>
          <w:rFonts w:ascii="宋体" w:hAnsi="宋体" w:eastAsia="宋体"/>
          <w:color w:val="auto"/>
          <w:sz w:val="21"/>
          <w:szCs w:val="21"/>
          <w:highlight w:val="none"/>
        </w:rPr>
      </w:pPr>
      <w:r>
        <w:rPr>
          <w:rFonts w:ascii="宋体" w:hAnsi="宋体" w:eastAsia="宋体"/>
          <w:color w:val="auto"/>
          <w:sz w:val="21"/>
          <w:szCs w:val="21"/>
          <w:highlight w:val="none"/>
        </w:rPr>
        <w:t>支持基于HTML5的网页及移动浏览器应用。</w:t>
      </w:r>
    </w:p>
    <w:p>
      <w:pPr>
        <w:spacing w:line="360" w:lineRule="auto"/>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支</w:t>
      </w:r>
      <w:r>
        <w:rPr>
          <w:rFonts w:ascii="宋体" w:hAnsi="宋体" w:eastAsia="宋体"/>
          <w:color w:val="auto"/>
          <w:sz w:val="21"/>
          <w:szCs w:val="21"/>
          <w:highlight w:val="none"/>
        </w:rPr>
        <w:t>持JavaScript引擎兼容ECMAScript 5/ ECMAScript 6的浏览器</w:t>
      </w:r>
    </w:p>
    <w:p>
      <w:pPr>
        <w:spacing w:line="360" w:lineRule="auto"/>
        <w:ind w:firstLine="420" w:firstLineChars="200"/>
        <w:rPr>
          <w:rFonts w:ascii="宋体" w:hAnsi="宋体" w:eastAsia="宋体"/>
          <w:color w:val="auto"/>
          <w:sz w:val="21"/>
          <w:szCs w:val="21"/>
          <w:highlight w:val="none"/>
        </w:rPr>
      </w:pPr>
      <w:r>
        <w:rPr>
          <w:rFonts w:ascii="宋体" w:hAnsi="宋体" w:eastAsia="宋体"/>
          <w:color w:val="auto"/>
          <w:sz w:val="21"/>
          <w:szCs w:val="21"/>
          <w:highlight w:val="none"/>
        </w:rPr>
        <w:t>攻击防护功能</w:t>
      </w:r>
      <w:r>
        <w:rPr>
          <w:rFonts w:hint="eastAsia" w:ascii="宋体" w:hAnsi="宋体" w:eastAsia="宋体"/>
          <w:color w:val="auto"/>
          <w:sz w:val="21"/>
          <w:szCs w:val="21"/>
          <w:highlight w:val="none"/>
        </w:rPr>
        <w:t>：</w:t>
      </w:r>
      <w:r>
        <w:rPr>
          <w:rFonts w:ascii="宋体" w:hAnsi="宋体" w:eastAsia="宋体"/>
          <w:color w:val="auto"/>
          <w:sz w:val="21"/>
          <w:szCs w:val="21"/>
          <w:highlight w:val="none"/>
        </w:rPr>
        <w:t>对可攻击点进行动态隐藏，自动化工具无法获得攻击入口。(提供技术证明截图)</w:t>
      </w:r>
    </w:p>
    <w:p>
      <w:pPr>
        <w:spacing w:line="360" w:lineRule="auto"/>
        <w:ind w:firstLine="420" w:firstLineChars="200"/>
        <w:rPr>
          <w:rFonts w:ascii="宋体" w:hAnsi="宋体" w:eastAsia="宋体"/>
          <w:color w:val="auto"/>
          <w:sz w:val="21"/>
          <w:szCs w:val="21"/>
          <w:highlight w:val="none"/>
        </w:rPr>
      </w:pPr>
      <w:r>
        <w:rPr>
          <w:rFonts w:ascii="宋体" w:hAnsi="宋体" w:eastAsia="宋体"/>
          <w:color w:val="auto"/>
          <w:sz w:val="21"/>
          <w:szCs w:val="21"/>
          <w:highlight w:val="none"/>
        </w:rPr>
        <w:t>不需要攻击特征或规则，即可有效封堵自动化未知漏洞攻击。</w:t>
      </w:r>
    </w:p>
    <w:p>
      <w:pPr>
        <w:spacing w:line="360" w:lineRule="auto"/>
        <w:ind w:firstLine="420" w:firstLineChars="200"/>
        <w:rPr>
          <w:rFonts w:ascii="宋体" w:hAnsi="宋体" w:eastAsia="宋体"/>
          <w:color w:val="auto"/>
          <w:sz w:val="21"/>
          <w:szCs w:val="21"/>
          <w:highlight w:val="none"/>
        </w:rPr>
      </w:pPr>
      <w:r>
        <w:rPr>
          <w:rFonts w:ascii="宋体" w:hAnsi="宋体" w:eastAsia="宋体"/>
          <w:color w:val="auto"/>
          <w:sz w:val="21"/>
          <w:szCs w:val="21"/>
          <w:highlight w:val="none"/>
        </w:rPr>
        <w:t>可防止攻击者对WEB应用进行撞库、暴力密码猜测、字典攻击等恶意行为。</w:t>
      </w:r>
    </w:p>
    <w:p>
      <w:pPr>
        <w:spacing w:line="360" w:lineRule="auto"/>
        <w:ind w:firstLine="420" w:firstLineChars="200"/>
        <w:rPr>
          <w:rFonts w:ascii="宋体" w:hAnsi="宋体" w:eastAsia="宋体"/>
          <w:color w:val="auto"/>
          <w:sz w:val="21"/>
          <w:szCs w:val="21"/>
          <w:highlight w:val="none"/>
        </w:rPr>
      </w:pPr>
      <w:r>
        <w:rPr>
          <w:rFonts w:ascii="宋体" w:hAnsi="宋体" w:eastAsia="宋体"/>
          <w:color w:val="auto"/>
          <w:sz w:val="21"/>
          <w:szCs w:val="21"/>
          <w:highlight w:val="none"/>
        </w:rPr>
        <w:t>针对攻击者使用多源低频的攻击手段进行有效防护，防止攻击者不断更换IP或降低单一IP访问频度来绕过防护策略。</w:t>
      </w:r>
    </w:p>
    <w:p>
      <w:pPr>
        <w:spacing w:line="360" w:lineRule="auto"/>
        <w:rPr>
          <w:rFonts w:ascii="宋体" w:hAnsi="宋体" w:eastAsia="宋体"/>
          <w:color w:val="auto"/>
          <w:sz w:val="21"/>
          <w:szCs w:val="21"/>
          <w:highlight w:val="none"/>
        </w:rPr>
      </w:pPr>
      <w:r>
        <w:rPr>
          <w:rFonts w:ascii="宋体" w:hAnsi="宋体" w:eastAsia="宋体"/>
          <w:color w:val="auto"/>
          <w:sz w:val="21"/>
          <w:szCs w:val="21"/>
          <w:highlight w:val="none"/>
        </w:rPr>
        <w:t>可以防止应用外挂或工具模拟人工对系统发起访问请求。</w:t>
      </w:r>
    </w:p>
    <w:p>
      <w:pPr>
        <w:spacing w:line="360" w:lineRule="auto"/>
        <w:rPr>
          <w:rFonts w:ascii="宋体" w:hAnsi="宋体" w:eastAsia="宋体"/>
          <w:color w:val="auto"/>
          <w:sz w:val="21"/>
          <w:szCs w:val="21"/>
          <w:highlight w:val="none"/>
        </w:rPr>
      </w:pPr>
      <w:r>
        <w:rPr>
          <w:rFonts w:ascii="宋体" w:hAnsi="宋体" w:eastAsia="宋体"/>
          <w:color w:val="auto"/>
          <w:sz w:val="21"/>
          <w:szCs w:val="21"/>
          <w:highlight w:val="none"/>
        </w:rPr>
        <w:t>不需要配置IP黑白名单，即可防止攻击者通过爬虫或工具，爬取敏感信息。</w:t>
      </w:r>
    </w:p>
    <w:p>
      <w:pPr>
        <w:spacing w:line="360" w:lineRule="auto"/>
        <w:ind w:firstLine="420" w:firstLineChars="200"/>
        <w:rPr>
          <w:rFonts w:ascii="宋体" w:hAnsi="宋体" w:eastAsia="宋体"/>
          <w:color w:val="auto"/>
          <w:sz w:val="21"/>
          <w:szCs w:val="21"/>
          <w:highlight w:val="none"/>
        </w:rPr>
      </w:pPr>
      <w:r>
        <w:rPr>
          <w:rFonts w:ascii="宋体" w:hAnsi="宋体" w:eastAsia="宋体"/>
          <w:color w:val="auto"/>
          <w:sz w:val="21"/>
          <w:szCs w:val="21"/>
          <w:highlight w:val="none"/>
        </w:rPr>
        <w:t>可以拦截（阻止）通过自动化工具发出大量高度占用服务器资源的恶意请求。（高级DoS/DDoS）</w:t>
      </w:r>
    </w:p>
    <w:p>
      <w:pPr>
        <w:spacing w:line="360" w:lineRule="auto"/>
        <w:ind w:firstLine="420" w:firstLineChars="200"/>
        <w:rPr>
          <w:rFonts w:ascii="宋体" w:hAnsi="宋体" w:eastAsia="宋体"/>
          <w:color w:val="auto"/>
          <w:sz w:val="21"/>
          <w:szCs w:val="21"/>
          <w:highlight w:val="none"/>
        </w:rPr>
      </w:pPr>
      <w:r>
        <w:rPr>
          <w:rFonts w:ascii="宋体" w:hAnsi="宋体" w:eastAsia="宋体"/>
          <w:color w:val="auto"/>
          <w:sz w:val="21"/>
          <w:szCs w:val="21"/>
          <w:highlight w:val="none"/>
        </w:rPr>
        <w:t>动态防护功能</w:t>
      </w:r>
      <w:r>
        <w:rPr>
          <w:rFonts w:ascii="宋体" w:hAnsi="宋体" w:eastAsia="宋体"/>
          <w:color w:val="auto"/>
          <w:sz w:val="21"/>
          <w:szCs w:val="21"/>
          <w:highlight w:val="none"/>
        </w:rPr>
        <w:tab/>
      </w:r>
      <w:r>
        <w:rPr>
          <w:rFonts w:ascii="宋体" w:hAnsi="宋体" w:eastAsia="宋体"/>
          <w:color w:val="auto"/>
          <w:sz w:val="21"/>
          <w:szCs w:val="21"/>
          <w:highlight w:val="none"/>
        </w:rPr>
        <w:t>支持网页代码封装：(a) 对网页中做动态封装，每次封装的结果均不相同，让攻击者无法直接通过查看网页源代码内容。 (b)系统必须自动识别需要封装的内容，不需要用户手动指定要封装的对象。</w:t>
      </w:r>
    </w:p>
    <w:p>
      <w:pPr>
        <w:spacing w:line="360" w:lineRule="auto"/>
        <w:ind w:firstLine="420" w:firstLineChars="200"/>
        <w:rPr>
          <w:rFonts w:ascii="宋体" w:hAnsi="宋体" w:eastAsia="宋体"/>
          <w:color w:val="auto"/>
          <w:sz w:val="21"/>
          <w:szCs w:val="21"/>
          <w:highlight w:val="none"/>
        </w:rPr>
      </w:pPr>
      <w:r>
        <w:rPr>
          <w:rFonts w:ascii="宋体" w:hAnsi="宋体" w:eastAsia="宋体"/>
          <w:color w:val="auto"/>
          <w:sz w:val="21"/>
          <w:szCs w:val="21"/>
          <w:highlight w:val="none"/>
        </w:rPr>
        <w:t>提供客户端环境验证：采用动态检查代码检查客户端环境，且每次均随机选取检测项目与数量。</w:t>
      </w:r>
    </w:p>
    <w:p>
      <w:pPr>
        <w:spacing w:line="360" w:lineRule="auto"/>
        <w:ind w:firstLine="420" w:firstLineChars="200"/>
        <w:rPr>
          <w:rFonts w:ascii="宋体" w:hAnsi="宋体" w:eastAsia="宋体"/>
          <w:color w:val="auto"/>
          <w:sz w:val="21"/>
          <w:szCs w:val="21"/>
          <w:highlight w:val="none"/>
        </w:rPr>
      </w:pPr>
      <w:r>
        <w:rPr>
          <w:rFonts w:ascii="宋体" w:hAnsi="宋体" w:eastAsia="宋体"/>
          <w:color w:val="auto"/>
          <w:sz w:val="21"/>
          <w:szCs w:val="21"/>
          <w:highlight w:val="none"/>
        </w:rPr>
        <w:t>支持客户端提交请求内容混淆：(a)使用动态的混淆算法与密钥对终端用户请求的内容进行保护。(b)对于受保护的请求内容，必须对请求的整体内容进行保护。(c)管理员不需要手动配置策略指定需要保护的参数。</w:t>
      </w:r>
    </w:p>
    <w:p>
      <w:pPr>
        <w:spacing w:line="360" w:lineRule="auto"/>
        <w:ind w:firstLine="420" w:firstLineChars="200"/>
        <w:rPr>
          <w:rFonts w:ascii="宋体" w:hAnsi="宋体" w:eastAsia="宋体"/>
          <w:color w:val="auto"/>
          <w:sz w:val="21"/>
          <w:szCs w:val="21"/>
          <w:highlight w:val="none"/>
        </w:rPr>
      </w:pPr>
      <w:r>
        <w:rPr>
          <w:rFonts w:ascii="宋体" w:hAnsi="宋体" w:eastAsia="宋体"/>
          <w:color w:val="auto"/>
          <w:sz w:val="21"/>
          <w:szCs w:val="21"/>
          <w:highlight w:val="none"/>
        </w:rPr>
        <w:t>提供网页令牌：(a)通过对当前访问页面内的合法请求授予在一定时间内有效的一次性令牌。(b) 管理员不需要手动配置策略指定需要保护的参数。</w:t>
      </w:r>
    </w:p>
    <w:p>
      <w:pPr>
        <w:spacing w:line="360" w:lineRule="auto"/>
        <w:ind w:firstLine="420" w:firstLineChars="200"/>
        <w:rPr>
          <w:rFonts w:ascii="宋体" w:hAnsi="宋体" w:eastAsia="宋体"/>
          <w:color w:val="auto"/>
          <w:sz w:val="21"/>
          <w:szCs w:val="21"/>
          <w:highlight w:val="none"/>
        </w:rPr>
      </w:pPr>
      <w:r>
        <w:rPr>
          <w:rFonts w:ascii="宋体" w:hAnsi="宋体" w:eastAsia="宋体"/>
          <w:color w:val="auto"/>
          <w:sz w:val="21"/>
          <w:szCs w:val="21"/>
          <w:highlight w:val="none"/>
        </w:rPr>
        <w:t>对于无效的请求，可重定向到指定的入口或直接拒绝该请求。</w:t>
      </w:r>
    </w:p>
    <w:p>
      <w:pPr>
        <w:spacing w:line="360" w:lineRule="auto"/>
        <w:ind w:firstLine="420" w:firstLineChars="200"/>
        <w:rPr>
          <w:rFonts w:ascii="宋体" w:hAnsi="宋体" w:eastAsia="宋体"/>
          <w:color w:val="auto"/>
          <w:sz w:val="21"/>
          <w:szCs w:val="21"/>
          <w:highlight w:val="none"/>
        </w:rPr>
      </w:pPr>
      <w:r>
        <w:rPr>
          <w:rFonts w:ascii="宋体" w:hAnsi="宋体" w:eastAsia="宋体"/>
          <w:color w:val="auto"/>
          <w:sz w:val="21"/>
          <w:szCs w:val="21"/>
          <w:highlight w:val="none"/>
        </w:rPr>
        <w:t>可对下列HTTP方法进行过滤：COPY、DELETE、GET、HEAD、LOCK、MKCOL、MOVE、OPTIONS、PATCH、POST、PROPFIND、PROPPATCH、PUT、TRACE、UNLOCK。</w:t>
      </w:r>
    </w:p>
    <w:p>
      <w:pPr>
        <w:spacing w:line="360" w:lineRule="auto"/>
        <w:ind w:firstLine="420" w:firstLineChars="200"/>
        <w:rPr>
          <w:rFonts w:ascii="宋体" w:hAnsi="宋体" w:eastAsia="宋体"/>
          <w:color w:val="auto"/>
          <w:sz w:val="21"/>
          <w:szCs w:val="21"/>
          <w:highlight w:val="none"/>
        </w:rPr>
      </w:pPr>
      <w:r>
        <w:rPr>
          <w:rFonts w:ascii="宋体" w:hAnsi="宋体" w:eastAsia="宋体"/>
          <w:color w:val="auto"/>
          <w:sz w:val="21"/>
          <w:szCs w:val="21"/>
          <w:highlight w:val="none"/>
        </w:rPr>
        <w:t>可对任意的HTTP请求协议标题长度进行限制，以阻挡异常或攻击请求。</w:t>
      </w:r>
    </w:p>
    <w:p>
      <w:pPr>
        <w:spacing w:line="360" w:lineRule="auto"/>
        <w:ind w:firstLine="420" w:firstLineChars="200"/>
        <w:rPr>
          <w:rFonts w:ascii="宋体" w:hAnsi="宋体" w:eastAsia="宋体"/>
          <w:color w:val="auto"/>
          <w:sz w:val="21"/>
          <w:szCs w:val="21"/>
          <w:highlight w:val="none"/>
        </w:rPr>
      </w:pPr>
      <w:r>
        <w:rPr>
          <w:rFonts w:ascii="宋体" w:hAnsi="宋体" w:eastAsia="宋体"/>
          <w:color w:val="auto"/>
          <w:sz w:val="21"/>
          <w:szCs w:val="21"/>
          <w:highlight w:val="none"/>
        </w:rPr>
        <w:t>可对URL中的关键字进行过滤，以阻挡对后台系统或敏感网址的访问。</w:t>
      </w:r>
    </w:p>
    <w:p>
      <w:pPr>
        <w:spacing w:line="360" w:lineRule="auto"/>
        <w:ind w:firstLine="420" w:firstLineChars="200"/>
        <w:rPr>
          <w:rFonts w:ascii="宋体" w:hAnsi="宋体" w:eastAsia="宋体"/>
          <w:color w:val="auto"/>
          <w:sz w:val="21"/>
          <w:szCs w:val="21"/>
          <w:highlight w:val="none"/>
        </w:rPr>
      </w:pPr>
      <w:r>
        <w:rPr>
          <w:rFonts w:ascii="宋体" w:hAnsi="宋体" w:eastAsia="宋体"/>
          <w:color w:val="auto"/>
          <w:sz w:val="21"/>
          <w:szCs w:val="21"/>
          <w:highlight w:val="none"/>
        </w:rPr>
        <w:t>可对URL中的后缀名进行过滤，以防止对敏感文件类型的访问。</w:t>
      </w:r>
    </w:p>
    <w:p>
      <w:pPr>
        <w:spacing w:line="360" w:lineRule="auto"/>
        <w:ind w:firstLine="420" w:firstLineChars="200"/>
        <w:rPr>
          <w:rFonts w:ascii="宋体" w:hAnsi="宋体" w:eastAsia="宋体"/>
          <w:color w:val="auto"/>
          <w:sz w:val="21"/>
          <w:szCs w:val="21"/>
          <w:highlight w:val="none"/>
        </w:rPr>
      </w:pPr>
      <w:r>
        <w:rPr>
          <w:rFonts w:ascii="宋体" w:hAnsi="宋体" w:eastAsia="宋体"/>
          <w:color w:val="auto"/>
          <w:sz w:val="21"/>
          <w:szCs w:val="21"/>
          <w:highlight w:val="none"/>
        </w:rPr>
        <w:t>可对服务器响应的内容进行关键字过滤，防止敏感数据外泄。</w:t>
      </w:r>
    </w:p>
    <w:p>
      <w:pPr>
        <w:spacing w:line="360" w:lineRule="auto"/>
        <w:ind w:firstLine="420" w:firstLineChars="200"/>
        <w:rPr>
          <w:rFonts w:ascii="宋体" w:hAnsi="宋体" w:eastAsia="宋体"/>
          <w:color w:val="auto"/>
          <w:sz w:val="21"/>
          <w:szCs w:val="21"/>
          <w:highlight w:val="none"/>
        </w:rPr>
      </w:pPr>
      <w:r>
        <w:rPr>
          <w:rFonts w:ascii="宋体" w:hAnsi="宋体" w:eastAsia="宋体"/>
          <w:color w:val="auto"/>
          <w:sz w:val="21"/>
          <w:szCs w:val="21"/>
          <w:highlight w:val="none"/>
        </w:rPr>
        <w:t>HTTP标头安全配置项</w:t>
      </w:r>
      <w:r>
        <w:rPr>
          <w:rFonts w:ascii="宋体" w:hAnsi="宋体" w:eastAsia="宋体"/>
          <w:color w:val="auto"/>
          <w:sz w:val="21"/>
          <w:szCs w:val="21"/>
          <w:highlight w:val="none"/>
        </w:rPr>
        <w:tab/>
      </w:r>
      <w:r>
        <w:rPr>
          <w:rFonts w:ascii="宋体" w:hAnsi="宋体" w:eastAsia="宋体"/>
          <w:color w:val="auto"/>
          <w:sz w:val="21"/>
          <w:szCs w:val="21"/>
          <w:highlight w:val="none"/>
        </w:rPr>
        <w:t>X-Frame-Options：可配置为SAMEORIGIN、ALLOW-FROM或DENY，用于防止网页内容被嵌套到别的网站及点击劫持。</w:t>
      </w:r>
    </w:p>
    <w:p>
      <w:pPr>
        <w:spacing w:line="360" w:lineRule="auto"/>
        <w:ind w:firstLine="420" w:firstLineChars="200"/>
        <w:rPr>
          <w:rFonts w:ascii="宋体" w:hAnsi="宋体" w:eastAsia="宋体"/>
          <w:color w:val="auto"/>
          <w:sz w:val="21"/>
          <w:szCs w:val="21"/>
          <w:highlight w:val="none"/>
        </w:rPr>
      </w:pPr>
      <w:r>
        <w:rPr>
          <w:rFonts w:ascii="宋体" w:hAnsi="宋体" w:eastAsia="宋体"/>
          <w:color w:val="auto"/>
          <w:sz w:val="21"/>
          <w:szCs w:val="21"/>
          <w:highlight w:val="none"/>
        </w:rPr>
        <w:t>X-Content-Type-Options：可用于关闭IE的文档类型自动判断功能，以防止类型嗅探攻击。</w:t>
      </w:r>
    </w:p>
    <w:p>
      <w:pPr>
        <w:spacing w:line="360" w:lineRule="auto"/>
        <w:ind w:firstLine="420" w:firstLineChars="200"/>
        <w:rPr>
          <w:rFonts w:ascii="宋体" w:hAnsi="宋体" w:eastAsia="宋体"/>
          <w:color w:val="auto"/>
          <w:sz w:val="21"/>
          <w:szCs w:val="21"/>
          <w:highlight w:val="none"/>
        </w:rPr>
      </w:pPr>
      <w:r>
        <w:rPr>
          <w:rFonts w:ascii="宋体" w:hAnsi="宋体" w:eastAsia="宋体"/>
          <w:color w:val="auto"/>
          <w:sz w:val="21"/>
          <w:szCs w:val="21"/>
          <w:highlight w:val="none"/>
        </w:rPr>
        <w:t>X-XSS-Protection：开启浏览器对反射型XSS的防护功能。</w:t>
      </w:r>
    </w:p>
    <w:p>
      <w:pPr>
        <w:spacing w:line="360" w:lineRule="auto"/>
        <w:ind w:firstLine="420" w:firstLineChars="200"/>
        <w:rPr>
          <w:rFonts w:ascii="宋体" w:hAnsi="宋体" w:eastAsia="宋体"/>
          <w:color w:val="auto"/>
          <w:sz w:val="21"/>
          <w:szCs w:val="21"/>
          <w:highlight w:val="none"/>
        </w:rPr>
      </w:pPr>
      <w:r>
        <w:rPr>
          <w:rFonts w:ascii="宋体" w:hAnsi="宋体" w:eastAsia="宋体"/>
          <w:color w:val="auto"/>
          <w:sz w:val="21"/>
          <w:szCs w:val="21"/>
          <w:highlight w:val="none"/>
        </w:rPr>
        <w:t>Accept-Encoding：用于修改浏览器支持的编码类型。</w:t>
      </w:r>
    </w:p>
    <w:p>
      <w:pPr>
        <w:spacing w:line="360" w:lineRule="auto"/>
        <w:ind w:firstLine="420" w:firstLineChars="200"/>
        <w:rPr>
          <w:rFonts w:ascii="宋体" w:hAnsi="宋体" w:eastAsia="宋体"/>
          <w:color w:val="auto"/>
          <w:sz w:val="21"/>
          <w:szCs w:val="21"/>
          <w:highlight w:val="none"/>
        </w:rPr>
      </w:pPr>
      <w:r>
        <w:rPr>
          <w:rFonts w:ascii="宋体" w:hAnsi="宋体" w:eastAsia="宋体"/>
          <w:color w:val="auto"/>
          <w:sz w:val="21"/>
          <w:szCs w:val="21"/>
          <w:highlight w:val="none"/>
        </w:rPr>
        <w:t>Host：用于重写请求对象的主机名。</w:t>
      </w:r>
    </w:p>
    <w:p>
      <w:pPr>
        <w:spacing w:line="360" w:lineRule="auto"/>
        <w:ind w:firstLine="420" w:firstLineChars="200"/>
        <w:rPr>
          <w:rFonts w:ascii="宋体" w:hAnsi="宋体" w:eastAsia="宋体"/>
          <w:color w:val="auto"/>
          <w:sz w:val="21"/>
          <w:szCs w:val="21"/>
          <w:highlight w:val="none"/>
        </w:rPr>
      </w:pPr>
      <w:r>
        <w:rPr>
          <w:rFonts w:ascii="宋体" w:hAnsi="宋体" w:eastAsia="宋体"/>
          <w:color w:val="auto"/>
          <w:sz w:val="21"/>
          <w:szCs w:val="21"/>
          <w:highlight w:val="none"/>
        </w:rPr>
        <w:t>X-Real-IP：用于记录直接连接的来源客户端IP地址。</w:t>
      </w:r>
    </w:p>
    <w:p>
      <w:pPr>
        <w:spacing w:line="360" w:lineRule="auto"/>
        <w:ind w:firstLine="420" w:firstLineChars="200"/>
        <w:rPr>
          <w:rFonts w:ascii="宋体" w:hAnsi="宋体" w:eastAsia="宋体"/>
          <w:color w:val="auto"/>
          <w:sz w:val="21"/>
          <w:szCs w:val="21"/>
          <w:highlight w:val="none"/>
        </w:rPr>
      </w:pPr>
      <w:r>
        <w:rPr>
          <w:rFonts w:ascii="宋体" w:hAnsi="宋体" w:eastAsia="宋体"/>
          <w:color w:val="auto"/>
          <w:sz w:val="21"/>
          <w:szCs w:val="21"/>
          <w:highlight w:val="none"/>
        </w:rPr>
        <w:t>X-Forwarded-For：用于记录中间代理及客户端的来源地址。</w:t>
      </w:r>
    </w:p>
    <w:p>
      <w:pPr>
        <w:spacing w:line="360" w:lineRule="auto"/>
        <w:ind w:firstLine="420" w:firstLineChars="200"/>
        <w:rPr>
          <w:rFonts w:ascii="宋体" w:hAnsi="宋体" w:eastAsia="宋体"/>
          <w:color w:val="auto"/>
          <w:sz w:val="21"/>
          <w:szCs w:val="21"/>
          <w:highlight w:val="none"/>
        </w:rPr>
      </w:pPr>
      <w:r>
        <w:rPr>
          <w:rFonts w:ascii="宋体" w:hAnsi="宋体" w:eastAsia="宋体"/>
          <w:color w:val="auto"/>
          <w:sz w:val="21"/>
          <w:szCs w:val="21"/>
          <w:highlight w:val="none"/>
        </w:rPr>
        <w:t>防护对象设置</w:t>
      </w:r>
      <w:r>
        <w:rPr>
          <w:rFonts w:hint="eastAsia" w:ascii="宋体" w:hAnsi="宋体" w:eastAsia="宋体"/>
          <w:color w:val="auto"/>
          <w:sz w:val="21"/>
          <w:szCs w:val="21"/>
          <w:highlight w:val="none"/>
        </w:rPr>
        <w:t>：</w:t>
      </w:r>
      <w:r>
        <w:rPr>
          <w:rFonts w:ascii="宋体" w:hAnsi="宋体" w:eastAsia="宋体"/>
          <w:color w:val="auto"/>
          <w:sz w:val="21"/>
          <w:szCs w:val="21"/>
          <w:highlight w:val="none"/>
        </w:rPr>
        <w:t>支持请求白名单，对指定的请求网址不检查动态令牌。</w:t>
      </w:r>
    </w:p>
    <w:p>
      <w:pPr>
        <w:spacing w:line="360" w:lineRule="auto"/>
        <w:ind w:firstLine="420" w:firstLineChars="200"/>
        <w:rPr>
          <w:rFonts w:ascii="宋体" w:hAnsi="宋体" w:eastAsia="宋体"/>
          <w:color w:val="auto"/>
          <w:sz w:val="21"/>
          <w:szCs w:val="21"/>
          <w:highlight w:val="none"/>
        </w:rPr>
      </w:pPr>
      <w:r>
        <w:rPr>
          <w:rFonts w:ascii="宋体" w:hAnsi="宋体" w:eastAsia="宋体"/>
          <w:color w:val="auto"/>
          <w:sz w:val="21"/>
          <w:szCs w:val="21"/>
          <w:highlight w:val="none"/>
        </w:rPr>
        <w:t>支持响应白名单，对指定请求地址的响应内容不进行动态封装。</w:t>
      </w:r>
    </w:p>
    <w:p>
      <w:pPr>
        <w:spacing w:line="360" w:lineRule="auto"/>
        <w:ind w:firstLine="420" w:firstLineChars="200"/>
        <w:rPr>
          <w:rFonts w:ascii="宋体" w:hAnsi="宋体" w:eastAsia="宋体"/>
          <w:color w:val="auto"/>
          <w:sz w:val="21"/>
          <w:szCs w:val="21"/>
          <w:highlight w:val="none"/>
        </w:rPr>
      </w:pPr>
      <w:r>
        <w:rPr>
          <w:rFonts w:ascii="宋体" w:hAnsi="宋体" w:eastAsia="宋体"/>
          <w:color w:val="auto"/>
          <w:sz w:val="21"/>
          <w:szCs w:val="21"/>
          <w:highlight w:val="none"/>
        </w:rPr>
        <w:t>IP白名单，对于指定的来源IP地址进行透传，不进行任何保护；</w:t>
      </w:r>
    </w:p>
    <w:p>
      <w:pPr>
        <w:spacing w:line="360" w:lineRule="auto"/>
        <w:ind w:firstLine="420" w:firstLineChars="200"/>
        <w:rPr>
          <w:rFonts w:ascii="宋体" w:hAnsi="宋体" w:eastAsia="宋体"/>
          <w:color w:val="auto"/>
          <w:sz w:val="21"/>
          <w:szCs w:val="21"/>
          <w:highlight w:val="none"/>
        </w:rPr>
      </w:pPr>
      <w:r>
        <w:rPr>
          <w:rFonts w:ascii="宋体" w:hAnsi="宋体" w:eastAsia="宋体"/>
          <w:color w:val="auto"/>
          <w:sz w:val="21"/>
          <w:szCs w:val="21"/>
          <w:highlight w:val="none"/>
        </w:rPr>
        <w:t>IP黑名单，对于制定的来源IP地址进行防护，其他的IP地址不进行任何防护。</w:t>
      </w:r>
    </w:p>
    <w:p>
      <w:pPr>
        <w:spacing w:line="360" w:lineRule="auto"/>
        <w:ind w:firstLine="420" w:firstLineChars="200"/>
        <w:rPr>
          <w:rFonts w:ascii="宋体" w:hAnsi="宋体" w:eastAsia="宋体"/>
          <w:color w:val="auto"/>
          <w:sz w:val="21"/>
          <w:szCs w:val="21"/>
          <w:highlight w:val="none"/>
        </w:rPr>
      </w:pPr>
      <w:r>
        <w:rPr>
          <w:rFonts w:ascii="宋体" w:hAnsi="宋体" w:eastAsia="宋体"/>
          <w:color w:val="auto"/>
          <w:sz w:val="21"/>
          <w:szCs w:val="21"/>
          <w:highlight w:val="none"/>
        </w:rPr>
        <w:t>日志功能要求</w:t>
      </w:r>
      <w:r>
        <w:rPr>
          <w:rFonts w:hint="eastAsia" w:ascii="宋体" w:hAnsi="宋体" w:eastAsia="宋体"/>
          <w:color w:val="auto"/>
          <w:sz w:val="21"/>
          <w:szCs w:val="21"/>
          <w:highlight w:val="none"/>
        </w:rPr>
        <w:t>：</w:t>
      </w:r>
      <w:r>
        <w:rPr>
          <w:rFonts w:ascii="宋体" w:hAnsi="宋体" w:eastAsia="宋体"/>
          <w:color w:val="auto"/>
          <w:sz w:val="21"/>
          <w:szCs w:val="21"/>
          <w:highlight w:val="none"/>
        </w:rPr>
        <w:t>至少要有防护日志、操作审计日志和系统日志。日志记录至少包含时间、访问网址、来源IP地址、过滤规则及规则细节等。日志可通过TCP或UDP协议，输出到指定的Syslog服务器。可自动对日志进行归档及磁盘空间管理。</w:t>
      </w:r>
    </w:p>
    <w:p>
      <w:pPr>
        <w:spacing w:line="360" w:lineRule="auto"/>
        <w:ind w:firstLine="420" w:firstLineChars="200"/>
        <w:rPr>
          <w:rFonts w:ascii="宋体" w:hAnsi="宋体" w:eastAsia="宋体"/>
          <w:color w:val="auto"/>
          <w:sz w:val="21"/>
          <w:szCs w:val="21"/>
          <w:highlight w:val="none"/>
        </w:rPr>
      </w:pPr>
      <w:r>
        <w:rPr>
          <w:rFonts w:ascii="宋体" w:hAnsi="宋体" w:eastAsia="宋体"/>
          <w:color w:val="auto"/>
          <w:sz w:val="21"/>
          <w:szCs w:val="21"/>
          <w:highlight w:val="none"/>
        </w:rPr>
        <w:t>报表功能要求</w:t>
      </w:r>
      <w:r>
        <w:rPr>
          <w:rFonts w:hint="eastAsia" w:ascii="宋体" w:hAnsi="宋体" w:eastAsia="宋体"/>
          <w:color w:val="auto"/>
          <w:sz w:val="21"/>
          <w:szCs w:val="21"/>
          <w:highlight w:val="none"/>
        </w:rPr>
        <w:t>：</w:t>
      </w:r>
      <w:r>
        <w:rPr>
          <w:rFonts w:ascii="宋体" w:hAnsi="宋体" w:eastAsia="宋体"/>
          <w:color w:val="auto"/>
          <w:sz w:val="21"/>
          <w:szCs w:val="21"/>
          <w:highlight w:val="none"/>
        </w:rPr>
        <w:t>提供统计数据和统计图表，其中包括总请求数、已防护数、异常请求数、已阻止攻击数，异常请求时间图表。总请求及异常请求分析报表，异常请求分析报表需包含请求URL 校验失败、表单数据解密失败、cookie校验失败、cookie盗用、爬虫、注入攻击及终端异常行为等事件的统计分析。</w:t>
      </w:r>
    </w:p>
    <w:p>
      <w:pPr>
        <w:spacing w:line="360" w:lineRule="auto"/>
        <w:ind w:firstLine="420" w:firstLineChars="200"/>
        <w:rPr>
          <w:rFonts w:ascii="宋体" w:hAnsi="宋体" w:eastAsia="宋体"/>
          <w:color w:val="auto"/>
          <w:sz w:val="21"/>
          <w:szCs w:val="21"/>
          <w:highlight w:val="none"/>
        </w:rPr>
      </w:pPr>
      <w:r>
        <w:rPr>
          <w:rFonts w:ascii="宋体" w:hAnsi="宋体" w:eastAsia="宋体"/>
          <w:color w:val="auto"/>
          <w:sz w:val="21"/>
          <w:szCs w:val="21"/>
          <w:highlight w:val="none"/>
        </w:rPr>
        <w:t>提供正常来源IP、攻击来源IP、正常访问路径、被攻击路径TOP5、UserAgent、状态码、浏览器等信息的排名。</w:t>
      </w:r>
    </w:p>
    <w:p>
      <w:pPr>
        <w:spacing w:line="360" w:lineRule="auto"/>
        <w:ind w:firstLine="420" w:firstLineChars="200"/>
        <w:rPr>
          <w:rFonts w:ascii="宋体" w:hAnsi="宋体" w:eastAsia="宋体"/>
          <w:color w:val="auto"/>
          <w:sz w:val="21"/>
          <w:szCs w:val="21"/>
          <w:highlight w:val="none"/>
        </w:rPr>
      </w:pPr>
      <w:r>
        <w:rPr>
          <w:rFonts w:ascii="宋体" w:hAnsi="宋体" w:eastAsia="宋体"/>
          <w:color w:val="auto"/>
          <w:sz w:val="21"/>
          <w:szCs w:val="21"/>
          <w:highlight w:val="none"/>
        </w:rPr>
        <w:t>对攻击行为提供详细的信息并提供筛选过滤功能，过滤条件包括：时间、状态、自动化工具、注入攻击类型、源IP、路径、URL异常类型、cookie异常类型等。</w:t>
      </w:r>
    </w:p>
    <w:p>
      <w:pPr>
        <w:spacing w:line="360" w:lineRule="auto"/>
        <w:ind w:firstLine="420" w:firstLineChars="200"/>
        <w:rPr>
          <w:rFonts w:ascii="宋体" w:hAnsi="宋体" w:eastAsia="宋体"/>
          <w:color w:val="auto"/>
          <w:sz w:val="21"/>
          <w:szCs w:val="21"/>
          <w:highlight w:val="none"/>
        </w:rPr>
      </w:pPr>
      <w:r>
        <w:rPr>
          <w:rFonts w:ascii="宋体" w:hAnsi="宋体" w:eastAsia="宋体"/>
          <w:color w:val="auto"/>
          <w:sz w:val="21"/>
          <w:szCs w:val="21"/>
          <w:highlight w:val="none"/>
        </w:rPr>
        <w:t>提供CPU使用率、内存用量、磁盘用量、上行流量及下行流量等监控报表。</w:t>
      </w:r>
    </w:p>
    <w:p>
      <w:pPr>
        <w:spacing w:line="360" w:lineRule="auto"/>
        <w:ind w:firstLine="420" w:firstLineChars="200"/>
        <w:rPr>
          <w:rFonts w:ascii="宋体" w:hAnsi="宋体" w:eastAsia="宋体"/>
          <w:color w:val="auto"/>
          <w:sz w:val="21"/>
          <w:szCs w:val="21"/>
          <w:highlight w:val="none"/>
        </w:rPr>
      </w:pPr>
      <w:r>
        <w:rPr>
          <w:rFonts w:ascii="宋体" w:hAnsi="宋体" w:eastAsia="宋体"/>
          <w:color w:val="auto"/>
          <w:sz w:val="21"/>
          <w:szCs w:val="21"/>
          <w:highlight w:val="none"/>
        </w:rPr>
        <w:t>管理模块要求</w:t>
      </w:r>
      <w:r>
        <w:rPr>
          <w:rFonts w:ascii="宋体" w:hAnsi="宋体" w:eastAsia="宋体"/>
          <w:color w:val="auto"/>
          <w:sz w:val="21"/>
          <w:szCs w:val="21"/>
          <w:highlight w:val="none"/>
        </w:rPr>
        <w:tab/>
      </w:r>
      <w:r>
        <w:rPr>
          <w:rFonts w:ascii="宋体" w:hAnsi="宋体" w:eastAsia="宋体"/>
          <w:color w:val="auto"/>
          <w:sz w:val="21"/>
          <w:szCs w:val="21"/>
          <w:highlight w:val="none"/>
        </w:rPr>
        <w:t>保护设置，对要防护的后台服务器进行配置，包括后台服务器地址、端口、防护等级、白名单、配置文件导入导出等内容。</w:t>
      </w:r>
    </w:p>
    <w:p>
      <w:pPr>
        <w:spacing w:line="360" w:lineRule="auto"/>
        <w:ind w:firstLine="420" w:firstLineChars="200"/>
        <w:rPr>
          <w:rFonts w:ascii="宋体" w:hAnsi="宋体" w:eastAsia="宋体"/>
          <w:color w:val="auto"/>
          <w:sz w:val="21"/>
          <w:szCs w:val="21"/>
          <w:highlight w:val="none"/>
        </w:rPr>
      </w:pPr>
      <w:r>
        <w:rPr>
          <w:rFonts w:ascii="宋体" w:hAnsi="宋体" w:eastAsia="宋体"/>
          <w:color w:val="auto"/>
          <w:sz w:val="21"/>
          <w:szCs w:val="21"/>
          <w:highlight w:val="none"/>
        </w:rPr>
        <w:t>系统升级，上传系统升级包，对系统进行更新。</w:t>
      </w:r>
    </w:p>
    <w:p>
      <w:pPr>
        <w:spacing w:line="360" w:lineRule="auto"/>
        <w:ind w:firstLine="420" w:firstLineChars="200"/>
        <w:rPr>
          <w:rFonts w:ascii="宋体" w:hAnsi="宋体" w:eastAsia="宋体"/>
          <w:color w:val="auto"/>
          <w:sz w:val="21"/>
          <w:szCs w:val="21"/>
          <w:highlight w:val="none"/>
        </w:rPr>
      </w:pPr>
      <w:r>
        <w:rPr>
          <w:rFonts w:ascii="宋体" w:hAnsi="宋体" w:eastAsia="宋体"/>
          <w:color w:val="auto"/>
          <w:sz w:val="21"/>
          <w:szCs w:val="21"/>
          <w:highlight w:val="none"/>
        </w:rPr>
        <w:t>操作日志，操作日志可以查看整个集群里的所有操作记录，包括操作发起的时间、操作者用户名、源IP地址、接受操作的模块、操作名称、操作结果、以及详细的操作描述等信息。</w:t>
      </w:r>
    </w:p>
    <w:p>
      <w:pPr>
        <w:spacing w:line="360" w:lineRule="auto"/>
        <w:ind w:firstLine="420" w:firstLineChars="200"/>
        <w:rPr>
          <w:rFonts w:ascii="宋体" w:hAnsi="宋体" w:eastAsia="宋体"/>
          <w:color w:val="auto"/>
          <w:sz w:val="21"/>
          <w:szCs w:val="21"/>
          <w:highlight w:val="none"/>
        </w:rPr>
      </w:pPr>
      <w:r>
        <w:rPr>
          <w:rFonts w:ascii="宋体" w:hAnsi="宋体" w:eastAsia="宋体"/>
          <w:color w:val="auto"/>
          <w:sz w:val="21"/>
          <w:szCs w:val="21"/>
          <w:highlight w:val="none"/>
        </w:rPr>
        <w:t>高级设置，对系统进行高级配置，包括归档日志磁盘占用最大空间、大数据分析磁盘占用最大空间、Syslog输出、日志输入格式、NTP服务器等内容。</w:t>
      </w:r>
    </w:p>
    <w:p>
      <w:pPr>
        <w:spacing w:line="360" w:lineRule="auto"/>
        <w:ind w:firstLine="420" w:firstLineChars="200"/>
        <w:rPr>
          <w:rFonts w:ascii="宋体" w:hAnsi="宋体" w:eastAsia="宋体"/>
          <w:color w:val="auto"/>
          <w:sz w:val="21"/>
          <w:szCs w:val="21"/>
          <w:highlight w:val="none"/>
        </w:rPr>
      </w:pPr>
      <w:r>
        <w:rPr>
          <w:rFonts w:ascii="宋体" w:hAnsi="宋体" w:eastAsia="宋体"/>
          <w:color w:val="auto"/>
          <w:sz w:val="21"/>
          <w:szCs w:val="21"/>
          <w:highlight w:val="none"/>
        </w:rPr>
        <w:t>用户管理，对系统用户进行管理，包括新建、编辑、删除、修改密码等操作。</w:t>
      </w:r>
    </w:p>
    <w:p>
      <w:pPr>
        <w:spacing w:line="360" w:lineRule="auto"/>
        <w:ind w:firstLine="420" w:firstLineChars="200"/>
        <w:rPr>
          <w:rFonts w:ascii="宋体" w:hAnsi="宋体" w:eastAsia="宋体"/>
          <w:color w:val="auto"/>
          <w:sz w:val="21"/>
          <w:szCs w:val="21"/>
          <w:highlight w:val="none"/>
        </w:rPr>
      </w:pPr>
      <w:r>
        <w:rPr>
          <w:rFonts w:ascii="宋体" w:hAnsi="宋体" w:eastAsia="宋体"/>
          <w:color w:val="auto"/>
          <w:sz w:val="21"/>
          <w:szCs w:val="21"/>
          <w:highlight w:val="none"/>
        </w:rPr>
        <w:t>性能要求</w:t>
      </w:r>
      <w:r>
        <w:rPr>
          <w:rFonts w:hint="eastAsia" w:ascii="宋体" w:hAnsi="宋体" w:eastAsia="宋体"/>
          <w:color w:val="auto"/>
          <w:sz w:val="21"/>
          <w:szCs w:val="21"/>
          <w:highlight w:val="none"/>
        </w:rPr>
        <w:t>：</w:t>
      </w:r>
      <w:r>
        <w:rPr>
          <w:rFonts w:ascii="宋体" w:hAnsi="宋体" w:eastAsia="宋体"/>
          <w:color w:val="auto"/>
          <w:sz w:val="21"/>
          <w:szCs w:val="21"/>
          <w:highlight w:val="none"/>
        </w:rPr>
        <w:t>网络最大吞吐量，千兆环境&gt;1Gbps；万兆环境&gt;5Gbps；</w:t>
      </w:r>
    </w:p>
    <w:p>
      <w:pPr>
        <w:spacing w:line="360" w:lineRule="auto"/>
        <w:ind w:firstLine="420" w:firstLineChars="200"/>
        <w:rPr>
          <w:rFonts w:ascii="宋体" w:hAnsi="宋体" w:eastAsia="宋体"/>
          <w:color w:val="auto"/>
          <w:sz w:val="21"/>
          <w:szCs w:val="21"/>
          <w:highlight w:val="none"/>
        </w:rPr>
      </w:pPr>
      <w:r>
        <w:rPr>
          <w:rFonts w:ascii="宋体" w:hAnsi="宋体" w:eastAsia="宋体"/>
          <w:color w:val="auto"/>
          <w:sz w:val="21"/>
          <w:szCs w:val="21"/>
          <w:highlight w:val="none"/>
        </w:rPr>
        <w:t>TCP并发会话数，千兆环境：&gt; 250万；万兆环境：&gt; 450万；</w:t>
      </w:r>
    </w:p>
    <w:p>
      <w:pPr>
        <w:spacing w:line="360" w:lineRule="auto"/>
        <w:ind w:firstLine="420" w:firstLineChars="200"/>
        <w:rPr>
          <w:rFonts w:ascii="宋体" w:hAnsi="宋体" w:eastAsia="宋体"/>
          <w:color w:val="auto"/>
          <w:sz w:val="21"/>
          <w:szCs w:val="21"/>
          <w:highlight w:val="none"/>
        </w:rPr>
      </w:pPr>
      <w:r>
        <w:rPr>
          <w:rFonts w:ascii="宋体" w:hAnsi="宋体" w:eastAsia="宋体"/>
          <w:color w:val="auto"/>
          <w:sz w:val="21"/>
          <w:szCs w:val="21"/>
          <w:highlight w:val="none"/>
        </w:rPr>
        <w:t>HTTP新建连接数，千兆环境：&gt; 5000连接/秒；万兆环境：&gt; 18000连接/秒；</w:t>
      </w:r>
    </w:p>
    <w:p>
      <w:pPr>
        <w:spacing w:line="360" w:lineRule="auto"/>
        <w:ind w:firstLine="420" w:firstLineChars="200"/>
        <w:rPr>
          <w:rFonts w:ascii="宋体" w:hAnsi="宋体" w:eastAsia="宋体"/>
          <w:color w:val="auto"/>
          <w:sz w:val="21"/>
          <w:szCs w:val="21"/>
          <w:highlight w:val="none"/>
        </w:rPr>
      </w:pPr>
      <w:r>
        <w:rPr>
          <w:rFonts w:ascii="宋体" w:hAnsi="宋体" w:eastAsia="宋体"/>
          <w:color w:val="auto"/>
          <w:sz w:val="21"/>
          <w:szCs w:val="21"/>
          <w:highlight w:val="none"/>
        </w:rPr>
        <w:t>产品部署要求</w:t>
      </w:r>
      <w:r>
        <w:rPr>
          <w:rFonts w:hint="eastAsia" w:ascii="宋体" w:hAnsi="宋体" w:eastAsia="宋体"/>
          <w:color w:val="auto"/>
          <w:sz w:val="21"/>
          <w:szCs w:val="21"/>
          <w:highlight w:val="none"/>
        </w:rPr>
        <w:t>：</w:t>
      </w:r>
      <w:r>
        <w:rPr>
          <w:rFonts w:ascii="宋体" w:hAnsi="宋体" w:eastAsia="宋体"/>
          <w:color w:val="auto"/>
          <w:sz w:val="21"/>
          <w:szCs w:val="21"/>
          <w:highlight w:val="none"/>
        </w:rPr>
        <w:t>方案采用非植入式部署方式，不需要在应用服务器和用户的客户端安装客户端软件；不需要应用系统进行任何的代码二次开发，不需要应用服务器做配置变更，部署对应用无感知；部署架构采用反向代理模式，可有效过滤与防护进出应用服务器的流量。根据数据流量大小，产品可支持单网卡、双网卡、三网卡入网模式；</w:t>
      </w:r>
    </w:p>
    <w:p>
      <w:pPr>
        <w:spacing w:line="360" w:lineRule="auto"/>
        <w:ind w:firstLine="420" w:firstLineChars="200"/>
        <w:rPr>
          <w:rFonts w:ascii="宋体" w:hAnsi="宋体" w:eastAsia="宋体"/>
          <w:color w:val="auto"/>
          <w:sz w:val="21"/>
          <w:szCs w:val="21"/>
          <w:highlight w:val="none"/>
        </w:rPr>
      </w:pPr>
      <w:r>
        <w:rPr>
          <w:rFonts w:ascii="宋体" w:hAnsi="宋体" w:eastAsia="宋体"/>
          <w:color w:val="auto"/>
          <w:sz w:val="21"/>
          <w:szCs w:val="21"/>
          <w:highlight w:val="none"/>
        </w:rPr>
        <w:t>产品提供多种不同的保护模式，可以根据不同的防护阶段开启不同的防护模式，防护模式至少应包括：透明模式、监听模式和拦截模式。</w:t>
      </w:r>
    </w:p>
    <w:p>
      <w:pPr>
        <w:pStyle w:val="32"/>
        <w:spacing w:line="360" w:lineRule="auto"/>
        <w:ind w:firstLine="0" w:firstLineChars="0"/>
        <w:rPr>
          <w:rFonts w:ascii="宋体" w:hAnsi="宋体" w:eastAsia="宋体"/>
          <w:b/>
          <w:color w:val="auto"/>
          <w:sz w:val="24"/>
          <w:szCs w:val="24"/>
          <w:highlight w:val="none"/>
        </w:rPr>
      </w:pPr>
      <w:r>
        <w:rPr>
          <w:rFonts w:hint="eastAsia" w:ascii="宋体" w:hAnsi="宋体" w:eastAsia="宋体"/>
          <w:b/>
          <w:color w:val="auto"/>
          <w:sz w:val="24"/>
          <w:szCs w:val="24"/>
          <w:highlight w:val="none"/>
        </w:rPr>
        <w:t>（9）虚拟化防护</w:t>
      </w:r>
    </w:p>
    <w:p>
      <w:pPr>
        <w:spacing w:line="360" w:lineRule="auto"/>
        <w:ind w:firstLine="420" w:firstLineChars="200"/>
        <w:rPr>
          <w:rFonts w:ascii="宋体" w:hAnsi="宋体" w:eastAsia="宋体"/>
          <w:color w:val="auto"/>
          <w:sz w:val="21"/>
          <w:szCs w:val="21"/>
          <w:highlight w:val="none"/>
        </w:rPr>
      </w:pPr>
      <w:r>
        <w:rPr>
          <w:rFonts w:ascii="宋体" w:hAnsi="宋体" w:eastAsia="宋体"/>
          <w:color w:val="auto"/>
          <w:sz w:val="21"/>
          <w:szCs w:val="21"/>
          <w:highlight w:val="none"/>
        </w:rPr>
        <w:t>提供虚拟化平台CPU宿主机安全防护授权，含3年软件版本及特征库免费升级服务</w:t>
      </w:r>
      <w:r>
        <w:rPr>
          <w:rFonts w:hint="eastAsia" w:ascii="宋体" w:hAnsi="宋体" w:eastAsia="宋体"/>
          <w:color w:val="auto"/>
          <w:sz w:val="21"/>
          <w:szCs w:val="21"/>
          <w:highlight w:val="none"/>
        </w:rPr>
        <w:t>。</w:t>
      </w:r>
    </w:p>
    <w:p>
      <w:pPr>
        <w:spacing w:line="360" w:lineRule="auto"/>
        <w:ind w:firstLine="420" w:firstLineChars="200"/>
        <w:rPr>
          <w:rFonts w:ascii="宋体" w:hAnsi="宋体" w:eastAsia="宋体"/>
          <w:color w:val="auto"/>
          <w:sz w:val="21"/>
          <w:szCs w:val="21"/>
          <w:highlight w:val="none"/>
        </w:rPr>
      </w:pPr>
      <w:r>
        <w:rPr>
          <w:rFonts w:ascii="宋体" w:hAnsi="宋体" w:eastAsia="宋体"/>
          <w:color w:val="auto"/>
          <w:sz w:val="21"/>
          <w:szCs w:val="21"/>
          <w:highlight w:val="none"/>
        </w:rPr>
        <w:t>支持与VMware vShield或NSX集成，提供实时的无代理反恶意程序保护，无需在虚拟机上安装任何安全代理客户端软件，通过专属安全虚拟</w:t>
      </w:r>
      <w:r>
        <w:rPr>
          <w:rFonts w:hint="eastAsia" w:ascii="宋体" w:hAnsi="宋体" w:eastAsia="宋体"/>
          <w:color w:val="auto"/>
          <w:sz w:val="21"/>
          <w:szCs w:val="21"/>
          <w:highlight w:val="none"/>
        </w:rPr>
        <w:t>应用</w:t>
      </w:r>
      <w:r>
        <w:rPr>
          <w:rFonts w:ascii="宋体" w:hAnsi="宋体" w:eastAsia="宋体"/>
          <w:color w:val="auto"/>
          <w:sz w:val="21"/>
          <w:szCs w:val="21"/>
          <w:highlight w:val="none"/>
        </w:rPr>
        <w:t>SVA与VMware接口集成进行无代理的安全防护模式，和传统防病毒客户端模式相比，专属安全虚拟应用SVA的无代理防护模式能减少对整个虚拟化资源池硬件资源的消耗。</w:t>
      </w:r>
    </w:p>
    <w:p>
      <w:pPr>
        <w:spacing w:line="360" w:lineRule="auto"/>
        <w:ind w:firstLine="420" w:firstLineChars="200"/>
        <w:rPr>
          <w:rFonts w:ascii="宋体" w:hAnsi="宋体" w:eastAsia="宋体"/>
          <w:color w:val="auto"/>
          <w:sz w:val="21"/>
          <w:szCs w:val="21"/>
          <w:highlight w:val="none"/>
        </w:rPr>
      </w:pPr>
      <w:r>
        <w:rPr>
          <w:rFonts w:ascii="宋体" w:hAnsi="宋体" w:eastAsia="宋体"/>
          <w:color w:val="auto"/>
          <w:sz w:val="21"/>
          <w:szCs w:val="21"/>
          <w:highlight w:val="none"/>
        </w:rPr>
        <w:t>产品可提供无需NSX组件的轻代理客户端安全防护模式，通过轻代理和安全虚拟应用SVA联动进行安全防护，轻代理客户端无需更新病毒数据库，将病毒扫描开销负载到安全虚拟应用SVA上完成扫描恶意程序，避免虚拟化环境病毒扫描风暴更新风暴等问题。</w:t>
      </w:r>
    </w:p>
    <w:p>
      <w:pPr>
        <w:spacing w:line="360" w:lineRule="auto"/>
        <w:ind w:firstLine="420" w:firstLineChars="200"/>
        <w:rPr>
          <w:rFonts w:ascii="宋体" w:hAnsi="宋体" w:eastAsia="宋体"/>
          <w:color w:val="auto"/>
          <w:sz w:val="21"/>
          <w:szCs w:val="21"/>
          <w:highlight w:val="none"/>
        </w:rPr>
      </w:pPr>
      <w:r>
        <w:rPr>
          <w:rFonts w:ascii="宋体" w:hAnsi="宋体" w:eastAsia="宋体"/>
          <w:color w:val="auto"/>
          <w:sz w:val="21"/>
          <w:szCs w:val="21"/>
          <w:highlight w:val="none"/>
        </w:rPr>
        <w:t>轻代理模式支持VMware、Citrix、Microsoft Hyper-v、华为、KVM等虚拟化系统</w:t>
      </w:r>
      <w:r>
        <w:rPr>
          <w:rFonts w:hint="eastAsia" w:ascii="宋体" w:hAnsi="宋体" w:eastAsia="宋体"/>
          <w:color w:val="auto"/>
          <w:sz w:val="21"/>
          <w:szCs w:val="21"/>
          <w:highlight w:val="none"/>
        </w:rPr>
        <w:t>，</w:t>
      </w:r>
      <w:r>
        <w:rPr>
          <w:rFonts w:ascii="宋体" w:hAnsi="宋体" w:eastAsia="宋体"/>
          <w:color w:val="auto"/>
          <w:sz w:val="21"/>
          <w:szCs w:val="21"/>
          <w:highlight w:val="none"/>
        </w:rPr>
        <w:t>提供官网支持列表截图和网页连接。</w:t>
      </w:r>
    </w:p>
    <w:p>
      <w:pPr>
        <w:spacing w:line="360" w:lineRule="auto"/>
        <w:ind w:firstLine="420" w:firstLineChars="200"/>
        <w:rPr>
          <w:rFonts w:hint="eastAsia" w:ascii="宋体" w:hAnsi="宋体" w:eastAsia="宋体"/>
          <w:color w:val="auto"/>
          <w:sz w:val="21"/>
          <w:szCs w:val="21"/>
          <w:highlight w:val="none"/>
        </w:rPr>
      </w:pPr>
      <w:r>
        <w:rPr>
          <w:rFonts w:ascii="宋体" w:hAnsi="宋体" w:eastAsia="宋体"/>
          <w:color w:val="auto"/>
          <w:sz w:val="21"/>
          <w:szCs w:val="21"/>
          <w:highlight w:val="none"/>
        </w:rPr>
        <w:t>支持各类Windows 32/64位操作系统(Windows 7、Windows 8、Windows 10、Windows Server 2003、Windows Server 2008、Windows Server 2012、Windows Server 2016、Windows Server 2019等），支持各类32/64 Linux系统（Red Hat、SUSE、CentOS、Ubuntu、Debian等）。</w:t>
      </w:r>
    </w:p>
    <w:p>
      <w:pPr>
        <w:pStyle w:val="22"/>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ascii="宋体" w:hAnsi="宋体" w:eastAsia="宋体" w:cs="Times New Roman"/>
          <w:b/>
          <w:bCs/>
          <w:color w:val="auto"/>
          <w:kern w:val="2"/>
          <w:sz w:val="21"/>
          <w:szCs w:val="21"/>
          <w:highlight w:val="none"/>
          <w:lang w:val="en-US" w:eastAsia="zh-CN" w:bidi="ar-SA"/>
        </w:rPr>
      </w:pPr>
      <w:r>
        <w:rPr>
          <w:rFonts w:hint="eastAsia" w:ascii="宋体" w:hAnsi="宋体" w:eastAsia="宋体" w:cs="Times New Roman"/>
          <w:b/>
          <w:bCs/>
          <w:color w:val="auto"/>
          <w:kern w:val="2"/>
          <w:sz w:val="21"/>
          <w:szCs w:val="21"/>
          <w:highlight w:val="none"/>
          <w:lang w:val="en-US" w:eastAsia="zh-CN" w:bidi="ar-SA"/>
        </w:rPr>
        <w:t>与医院原有的防病毒系统进行统一管控，需截图为证明。</w:t>
      </w:r>
    </w:p>
    <w:p>
      <w:pPr>
        <w:pStyle w:val="4"/>
        <w:numPr>
          <w:ilvl w:val="0"/>
          <w:numId w:val="5"/>
        </w:numPr>
        <w:jc w:val="left"/>
        <w:rPr>
          <w:color w:val="auto"/>
          <w:sz w:val="28"/>
          <w:szCs w:val="28"/>
          <w:highlight w:val="none"/>
        </w:rPr>
      </w:pPr>
      <w:bookmarkStart w:id="116" w:name="_Toc2394"/>
      <w:bookmarkStart w:id="117" w:name="_Toc23633"/>
      <w:r>
        <w:rPr>
          <w:rFonts w:hint="eastAsia"/>
          <w:color w:val="auto"/>
          <w:sz w:val="28"/>
          <w:szCs w:val="28"/>
          <w:highlight w:val="none"/>
        </w:rPr>
        <w:t>安全服务要求</w:t>
      </w:r>
      <w:bookmarkEnd w:id="116"/>
      <w:bookmarkEnd w:id="117"/>
    </w:p>
    <w:p>
      <w:pPr>
        <w:spacing w:line="360" w:lineRule="auto"/>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1）中标商需配合医院完成三级等保测评。</w:t>
      </w:r>
    </w:p>
    <w:p>
      <w:pPr>
        <w:spacing w:line="360" w:lineRule="auto"/>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2）所有来院人员和接触此项目人员需签订保密协议，包括但不限于商务代表、驻场工程师、实施工程师、开发工程师，中标商公司其他人员。</w:t>
      </w:r>
    </w:p>
    <w:p>
      <w:pPr>
        <w:pStyle w:val="4"/>
        <w:numPr>
          <w:ilvl w:val="0"/>
          <w:numId w:val="5"/>
        </w:numPr>
        <w:jc w:val="left"/>
        <w:rPr>
          <w:rFonts w:hint="eastAsia"/>
          <w:color w:val="auto"/>
          <w:sz w:val="28"/>
          <w:szCs w:val="28"/>
          <w:highlight w:val="none"/>
        </w:rPr>
      </w:pPr>
      <w:bookmarkStart w:id="118" w:name="_Toc29957"/>
      <w:bookmarkStart w:id="119" w:name="_Toc29388"/>
      <w:r>
        <w:rPr>
          <w:rFonts w:hint="eastAsia"/>
          <w:color w:val="auto"/>
          <w:sz w:val="28"/>
          <w:szCs w:val="28"/>
          <w:highlight w:val="none"/>
        </w:rPr>
        <w:t>其他服务要求</w:t>
      </w:r>
      <w:bookmarkEnd w:id="118"/>
      <w:bookmarkEnd w:id="119"/>
    </w:p>
    <w:p>
      <w:pPr>
        <w:spacing w:line="360" w:lineRule="auto"/>
        <w:ind w:firstLine="420" w:firstLineChars="200"/>
        <w:rPr>
          <w:rFonts w:ascii="宋体" w:hAnsi="宋体" w:eastAsia="宋体"/>
          <w:color w:val="auto"/>
          <w:sz w:val="21"/>
          <w:szCs w:val="21"/>
          <w:highlight w:val="none"/>
          <w:lang w:val="zh-CN"/>
        </w:rPr>
      </w:pPr>
      <w:r>
        <w:rPr>
          <w:rFonts w:hint="eastAsia" w:ascii="宋体" w:hAnsi="宋体" w:eastAsia="宋体"/>
          <w:color w:val="auto"/>
          <w:sz w:val="21"/>
          <w:szCs w:val="21"/>
          <w:highlight w:val="none"/>
          <w:lang w:val="zh-CN"/>
        </w:rPr>
        <w:t>1)为医院提供信息化发展规划的合理建议；</w:t>
      </w:r>
    </w:p>
    <w:p>
      <w:pPr>
        <w:spacing w:line="360" w:lineRule="auto"/>
        <w:ind w:firstLine="420" w:firstLineChars="200"/>
        <w:rPr>
          <w:rFonts w:ascii="宋体" w:hAnsi="宋体" w:eastAsia="宋体"/>
          <w:color w:val="auto"/>
          <w:sz w:val="21"/>
          <w:szCs w:val="21"/>
          <w:highlight w:val="none"/>
          <w:lang w:val="zh-CN"/>
        </w:rPr>
      </w:pPr>
      <w:r>
        <w:rPr>
          <w:rFonts w:hint="eastAsia" w:ascii="宋体" w:hAnsi="宋体" w:eastAsia="宋体"/>
          <w:color w:val="auto"/>
          <w:sz w:val="21"/>
          <w:szCs w:val="21"/>
          <w:highlight w:val="none"/>
          <w:lang w:val="zh-CN"/>
        </w:rPr>
        <w:t>2)为医院提供信息化方案设计技术支持；</w:t>
      </w:r>
    </w:p>
    <w:p>
      <w:pPr>
        <w:spacing w:line="360" w:lineRule="auto"/>
        <w:ind w:firstLine="420" w:firstLineChars="200"/>
        <w:rPr>
          <w:rFonts w:ascii="宋体" w:hAnsi="宋体" w:eastAsia="宋体"/>
          <w:color w:val="auto"/>
          <w:sz w:val="21"/>
          <w:szCs w:val="21"/>
          <w:highlight w:val="none"/>
          <w:lang w:val="zh-CN"/>
        </w:rPr>
      </w:pPr>
      <w:r>
        <w:rPr>
          <w:rFonts w:hint="eastAsia" w:ascii="宋体" w:hAnsi="宋体" w:eastAsia="宋体"/>
          <w:color w:val="auto"/>
          <w:sz w:val="21"/>
          <w:szCs w:val="21"/>
          <w:highlight w:val="none"/>
          <w:lang w:val="zh-CN"/>
        </w:rPr>
        <w:t>3)为医院提供</w:t>
      </w:r>
      <w:r>
        <w:rPr>
          <w:rFonts w:hint="eastAsia" w:ascii="宋体" w:hAnsi="宋体" w:eastAsia="宋体"/>
          <w:color w:val="auto"/>
          <w:sz w:val="21"/>
          <w:szCs w:val="21"/>
          <w:highlight w:val="none"/>
        </w:rPr>
        <w:t>网络、存储、硬件</w:t>
      </w:r>
      <w:r>
        <w:rPr>
          <w:rFonts w:hint="eastAsia" w:ascii="宋体" w:hAnsi="宋体" w:eastAsia="宋体"/>
          <w:color w:val="auto"/>
          <w:sz w:val="21"/>
          <w:szCs w:val="21"/>
          <w:highlight w:val="none"/>
          <w:lang w:val="zh-CN"/>
        </w:rPr>
        <w:t>技术咨询服务；</w:t>
      </w:r>
    </w:p>
    <w:p>
      <w:pPr>
        <w:spacing w:line="360" w:lineRule="auto"/>
        <w:ind w:firstLine="420" w:firstLineChars="200"/>
        <w:rPr>
          <w:rFonts w:ascii="宋体" w:hAnsi="宋体" w:eastAsia="宋体"/>
          <w:color w:val="auto"/>
          <w:sz w:val="21"/>
          <w:szCs w:val="21"/>
          <w:highlight w:val="none"/>
          <w:lang w:val="zh-CN"/>
        </w:rPr>
      </w:pPr>
      <w:r>
        <w:rPr>
          <w:rFonts w:hint="eastAsia" w:ascii="宋体" w:hAnsi="宋体" w:eastAsia="宋体"/>
          <w:color w:val="auto"/>
          <w:sz w:val="21"/>
          <w:szCs w:val="21"/>
          <w:highlight w:val="none"/>
          <w:lang w:val="zh-CN"/>
        </w:rPr>
        <w:t>4)为医院提供信息化技术支持培训；</w:t>
      </w:r>
    </w:p>
    <w:p>
      <w:pPr>
        <w:spacing w:line="360" w:lineRule="auto"/>
        <w:ind w:firstLine="420" w:firstLineChars="200"/>
        <w:rPr>
          <w:rFonts w:ascii="宋体" w:hAnsi="宋体" w:eastAsia="宋体"/>
          <w:color w:val="auto"/>
          <w:sz w:val="21"/>
          <w:szCs w:val="21"/>
          <w:highlight w:val="none"/>
          <w:lang w:val="zh-CN"/>
        </w:rPr>
      </w:pPr>
      <w:r>
        <w:rPr>
          <w:rFonts w:hint="eastAsia" w:ascii="宋体" w:hAnsi="宋体" w:eastAsia="宋体"/>
          <w:color w:val="auto"/>
          <w:sz w:val="21"/>
          <w:szCs w:val="21"/>
          <w:highlight w:val="none"/>
          <w:lang w:val="zh-CN"/>
        </w:rPr>
        <w:t>5)为医院提供上述</w:t>
      </w:r>
      <w:r>
        <w:rPr>
          <w:rFonts w:hint="eastAsia" w:ascii="宋体" w:hAnsi="宋体" w:eastAsia="宋体"/>
          <w:color w:val="auto"/>
          <w:sz w:val="21"/>
          <w:szCs w:val="21"/>
          <w:highlight w:val="none"/>
        </w:rPr>
        <w:t>网络、服务器、存储等硬件</w:t>
      </w:r>
      <w:r>
        <w:rPr>
          <w:rFonts w:hint="eastAsia" w:ascii="宋体" w:hAnsi="宋体" w:eastAsia="宋体"/>
          <w:color w:val="auto"/>
          <w:sz w:val="21"/>
          <w:szCs w:val="21"/>
          <w:highlight w:val="none"/>
          <w:lang w:val="zh-CN"/>
        </w:rPr>
        <w:t>故障排查及处理；</w:t>
      </w:r>
    </w:p>
    <w:p>
      <w:pPr>
        <w:spacing w:line="360" w:lineRule="auto"/>
        <w:ind w:firstLine="420" w:firstLineChars="200"/>
        <w:rPr>
          <w:rFonts w:ascii="宋体" w:hAnsi="宋体" w:eastAsia="宋体"/>
          <w:color w:val="auto"/>
          <w:sz w:val="21"/>
          <w:szCs w:val="21"/>
          <w:highlight w:val="none"/>
          <w:lang w:val="zh-CN"/>
        </w:rPr>
      </w:pPr>
      <w:r>
        <w:rPr>
          <w:rFonts w:hint="eastAsia" w:ascii="宋体" w:hAnsi="宋体" w:eastAsia="宋体"/>
          <w:color w:val="auto"/>
          <w:sz w:val="21"/>
          <w:szCs w:val="21"/>
          <w:highlight w:val="none"/>
          <w:lang w:val="zh-CN"/>
        </w:rPr>
        <w:t>6)为医院</w:t>
      </w:r>
      <w:r>
        <w:rPr>
          <w:rFonts w:hint="eastAsia" w:ascii="宋体" w:hAnsi="宋体" w:eastAsia="宋体"/>
          <w:color w:val="auto"/>
          <w:sz w:val="21"/>
          <w:szCs w:val="21"/>
          <w:highlight w:val="none"/>
        </w:rPr>
        <w:t>提供</w:t>
      </w:r>
      <w:r>
        <w:rPr>
          <w:rFonts w:hint="eastAsia" w:ascii="宋体" w:hAnsi="宋体" w:eastAsia="宋体"/>
          <w:color w:val="auto"/>
          <w:sz w:val="21"/>
          <w:szCs w:val="21"/>
          <w:highlight w:val="none"/>
          <w:lang w:val="zh-CN"/>
        </w:rPr>
        <w:t>上述所涉及到的所有模块日常基础运行、维护，包括日常电话处理、使用问题解答与处理，</w:t>
      </w:r>
      <w:r>
        <w:rPr>
          <w:rFonts w:hint="eastAsia" w:ascii="宋体" w:hAnsi="宋体" w:eastAsia="宋体"/>
          <w:color w:val="auto"/>
          <w:sz w:val="21"/>
          <w:szCs w:val="21"/>
          <w:highlight w:val="none"/>
        </w:rPr>
        <w:t>根据医院需求提供上门服务</w:t>
      </w:r>
      <w:r>
        <w:rPr>
          <w:rFonts w:hint="eastAsia" w:ascii="宋体" w:hAnsi="宋体" w:eastAsia="宋体"/>
          <w:color w:val="auto"/>
          <w:sz w:val="21"/>
          <w:szCs w:val="21"/>
          <w:highlight w:val="none"/>
          <w:lang w:val="zh-CN"/>
        </w:rPr>
        <w:t>；</w:t>
      </w:r>
    </w:p>
    <w:p>
      <w:pPr>
        <w:spacing w:line="360" w:lineRule="auto"/>
        <w:ind w:firstLine="420" w:firstLineChars="200"/>
        <w:rPr>
          <w:rFonts w:ascii="宋体" w:hAnsi="宋体" w:eastAsia="宋体"/>
          <w:color w:val="auto"/>
          <w:sz w:val="21"/>
          <w:szCs w:val="21"/>
          <w:highlight w:val="none"/>
          <w:lang w:val="zh-CN"/>
        </w:rPr>
      </w:pPr>
      <w:r>
        <w:rPr>
          <w:rFonts w:hint="eastAsia" w:ascii="宋体" w:hAnsi="宋体" w:eastAsia="宋体"/>
          <w:color w:val="auto"/>
          <w:sz w:val="21"/>
          <w:szCs w:val="21"/>
          <w:highlight w:val="none"/>
          <w:lang w:val="zh-CN"/>
        </w:rPr>
        <w:t>7)为医院提供整体的巡检及评估，</w:t>
      </w:r>
      <w:r>
        <w:rPr>
          <w:rFonts w:hint="eastAsia" w:ascii="宋体" w:hAnsi="宋体" w:eastAsia="宋体"/>
          <w:color w:val="auto"/>
          <w:sz w:val="21"/>
          <w:szCs w:val="21"/>
          <w:highlight w:val="none"/>
        </w:rPr>
        <w:t>每季度进行一次</w:t>
      </w:r>
      <w:r>
        <w:rPr>
          <w:rFonts w:hint="eastAsia" w:ascii="宋体" w:hAnsi="宋体" w:eastAsia="宋体"/>
          <w:color w:val="auto"/>
          <w:sz w:val="21"/>
          <w:szCs w:val="21"/>
          <w:highlight w:val="none"/>
          <w:lang w:val="zh-CN"/>
        </w:rPr>
        <w:t>；</w:t>
      </w:r>
    </w:p>
    <w:p>
      <w:pPr>
        <w:spacing w:line="360" w:lineRule="auto"/>
        <w:ind w:firstLine="420" w:firstLineChars="200"/>
        <w:rPr>
          <w:rFonts w:ascii="宋体" w:hAnsi="宋体" w:eastAsia="宋体"/>
          <w:color w:val="auto"/>
          <w:sz w:val="21"/>
          <w:szCs w:val="21"/>
          <w:highlight w:val="none"/>
          <w:lang w:val="zh-CN"/>
        </w:rPr>
      </w:pPr>
      <w:r>
        <w:rPr>
          <w:rFonts w:hint="eastAsia" w:ascii="宋体" w:hAnsi="宋体" w:eastAsia="宋体"/>
          <w:color w:val="auto"/>
          <w:sz w:val="21"/>
          <w:szCs w:val="21"/>
          <w:highlight w:val="none"/>
          <w:lang w:val="zh-CN"/>
        </w:rPr>
        <w:t>8)协助医院应对临时性的、紧急性的与信息化相关的业务；</w:t>
      </w:r>
    </w:p>
    <w:p>
      <w:pPr>
        <w:spacing w:line="360" w:lineRule="auto"/>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lang w:val="zh-CN"/>
        </w:rPr>
        <w:t>9)为医院提供数据库的定期巡检、故障处理、性能优化、故障追溯等相关业务</w:t>
      </w:r>
      <w:r>
        <w:rPr>
          <w:rFonts w:hint="eastAsia" w:ascii="宋体" w:hAnsi="宋体" w:eastAsia="宋体"/>
          <w:color w:val="auto"/>
          <w:sz w:val="21"/>
          <w:szCs w:val="21"/>
          <w:highlight w:val="none"/>
        </w:rPr>
        <w:t>。</w:t>
      </w:r>
    </w:p>
    <w:p>
      <w:pPr>
        <w:spacing w:line="360" w:lineRule="auto"/>
        <w:ind w:firstLine="420" w:firstLineChars="200"/>
        <w:rPr>
          <w:rFonts w:hint="eastAsia" w:ascii="宋体" w:hAnsi="宋体" w:eastAsia="宋体"/>
          <w:color w:val="auto"/>
          <w:sz w:val="21"/>
          <w:szCs w:val="21"/>
          <w:highlight w:val="none"/>
        </w:rPr>
      </w:pPr>
      <w:r>
        <w:rPr>
          <w:rFonts w:hint="eastAsia" w:ascii="宋体" w:hAnsi="宋体" w:eastAsia="宋体"/>
          <w:color w:val="auto"/>
          <w:sz w:val="21"/>
          <w:szCs w:val="21"/>
          <w:highlight w:val="none"/>
        </w:rPr>
        <w:t>10）</w:t>
      </w:r>
      <w:r>
        <w:rPr>
          <w:rFonts w:hint="eastAsia" w:ascii="宋体" w:hAnsi="宋体" w:eastAsia="宋体"/>
          <w:color w:val="auto"/>
          <w:sz w:val="21"/>
          <w:szCs w:val="21"/>
          <w:highlight w:val="none"/>
          <w:lang w:val="zh-CN"/>
        </w:rPr>
        <w:t>故障出现必须以最快时间排查，并在排查后向医院出具相关报告；</w:t>
      </w:r>
      <w:r>
        <w:rPr>
          <w:rFonts w:hint="eastAsia" w:ascii="宋体" w:hAnsi="宋体" w:eastAsia="宋体"/>
          <w:color w:val="auto"/>
          <w:sz w:val="21"/>
          <w:szCs w:val="21"/>
          <w:highlight w:val="none"/>
        </w:rPr>
        <w:t>一般问题2小时以内，严重问题4小时以内，特别严重8小时以内。</w:t>
      </w:r>
    </w:p>
    <w:p>
      <w:pPr>
        <w:rPr>
          <w:rFonts w:hint="eastAsia"/>
          <w:color w:val="auto"/>
          <w:highlight w:val="none"/>
        </w:rPr>
      </w:pPr>
      <w:r>
        <w:rPr>
          <w:rFonts w:hint="eastAsia" w:ascii="宋体" w:hAnsi="宋体" w:eastAsia="宋体"/>
          <w:color w:val="auto"/>
          <w:sz w:val="21"/>
          <w:szCs w:val="21"/>
          <w:highlight w:val="none"/>
        </w:rPr>
        <w:br w:type="page"/>
      </w:r>
    </w:p>
    <w:p>
      <w:pPr>
        <w:numPr>
          <w:ilvl w:val="0"/>
          <w:numId w:val="0"/>
        </w:numPr>
        <w:spacing w:line="360" w:lineRule="auto"/>
        <w:jc w:val="center"/>
        <w:outlineLvl w:val="0"/>
        <w:rPr>
          <w:rFonts w:hint="eastAsia" w:ascii="宋体" w:hAnsi="宋体"/>
          <w:b/>
          <w:color w:val="auto"/>
          <w:kern w:val="44"/>
          <w:sz w:val="32"/>
          <w:highlight w:val="none"/>
          <w:lang w:val="en-US" w:eastAsia="zh-CN"/>
        </w:rPr>
      </w:pPr>
      <w:bookmarkStart w:id="120" w:name="_Toc11070"/>
      <w:r>
        <w:rPr>
          <w:rFonts w:hint="eastAsia" w:ascii="宋体" w:hAnsi="宋体"/>
          <w:b/>
          <w:color w:val="auto"/>
          <w:kern w:val="44"/>
          <w:sz w:val="32"/>
          <w:highlight w:val="none"/>
          <w:lang w:val="en-US" w:eastAsia="zh-CN"/>
        </w:rPr>
        <w:t>第五章  合同条款</w:t>
      </w:r>
      <w:bookmarkEnd w:id="77"/>
      <w:bookmarkEnd w:id="78"/>
      <w:bookmarkEnd w:id="79"/>
      <w:bookmarkEnd w:id="120"/>
    </w:p>
    <w:p>
      <w:pPr>
        <w:spacing w:line="360" w:lineRule="auto"/>
        <w:jc w:val="center"/>
        <w:rPr>
          <w:rFonts w:hint="eastAsia" w:ascii="宋体" w:hAnsi="宋体" w:eastAsia="宋体" w:cs="宋体"/>
          <w:b/>
          <w:color w:val="auto"/>
          <w:sz w:val="32"/>
          <w:szCs w:val="32"/>
          <w:highlight w:val="none"/>
        </w:rPr>
      </w:pPr>
      <w:bookmarkStart w:id="121" w:name="_Toc12512"/>
      <w:bookmarkStart w:id="122" w:name="_Toc9262"/>
      <w:bookmarkStart w:id="123" w:name="_Toc3077"/>
      <w:r>
        <w:rPr>
          <w:rFonts w:hint="eastAsia" w:ascii="宋体" w:hAnsi="宋体" w:eastAsia="宋体" w:cs="宋体"/>
          <w:b/>
          <w:color w:val="auto"/>
          <w:sz w:val="32"/>
          <w:szCs w:val="32"/>
          <w:highlight w:val="none"/>
          <w:lang w:eastAsia="zh-CN"/>
        </w:rPr>
        <w:t>（</w:t>
      </w:r>
      <w:r>
        <w:rPr>
          <w:rFonts w:hint="eastAsia" w:ascii="宋体" w:hAnsi="宋体" w:eastAsia="宋体" w:cs="宋体"/>
          <w:b/>
          <w:color w:val="auto"/>
          <w:sz w:val="32"/>
          <w:szCs w:val="32"/>
          <w:highlight w:val="none"/>
          <w:lang w:val="en-US" w:eastAsia="zh-CN"/>
        </w:rPr>
        <w:t>一</w:t>
      </w:r>
      <w:r>
        <w:rPr>
          <w:rFonts w:hint="eastAsia" w:ascii="宋体" w:hAnsi="宋体" w:eastAsia="宋体" w:cs="宋体"/>
          <w:b/>
          <w:color w:val="auto"/>
          <w:sz w:val="32"/>
          <w:szCs w:val="32"/>
          <w:highlight w:val="none"/>
          <w:lang w:eastAsia="zh-CN"/>
        </w:rPr>
        <w:t>）</w:t>
      </w:r>
      <w:r>
        <w:rPr>
          <w:rFonts w:hint="eastAsia" w:ascii="宋体" w:hAnsi="宋体" w:eastAsia="宋体" w:cs="宋体"/>
          <w:b/>
          <w:color w:val="auto"/>
          <w:sz w:val="32"/>
          <w:szCs w:val="32"/>
          <w:highlight w:val="none"/>
        </w:rPr>
        <w:t>合同通用条款</w:t>
      </w:r>
    </w:p>
    <w:p>
      <w:pPr>
        <w:jc w:val="center"/>
        <w:rPr>
          <w:rFonts w:hint="eastAsia" w:ascii="仿宋" w:hAnsi="仿宋" w:eastAsia="仿宋" w:cs="仿宋"/>
          <w:color w:val="auto"/>
          <w:sz w:val="24"/>
          <w:szCs w:val="24"/>
          <w:highlight w:val="none"/>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1.定义</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本合同下列术语应解释为:</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1）“合同”系指买卖双方签署的、合同格式中载明的买卖双方所达成的协议,包括所有的附件、附录和上述文件所提到的构成合同的所有文件。</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2）“合同价”系指根据本合同规定，</w:t>
      </w:r>
      <w:r>
        <w:rPr>
          <w:rFonts w:hint="eastAsia" w:ascii="宋体" w:hAnsi="宋体" w:cs="宋体"/>
          <w:color w:val="auto"/>
          <w:sz w:val="21"/>
          <w:szCs w:val="21"/>
          <w:highlight w:val="none"/>
          <w:lang w:eastAsia="zh-CN"/>
        </w:rPr>
        <w:t>乙方</w:t>
      </w:r>
      <w:r>
        <w:rPr>
          <w:rFonts w:hint="eastAsia" w:ascii="宋体" w:hAnsi="宋体" w:eastAsia="宋体" w:cs="宋体"/>
          <w:color w:val="auto"/>
          <w:sz w:val="21"/>
          <w:szCs w:val="21"/>
          <w:highlight w:val="none"/>
        </w:rPr>
        <w:t>在正确地完全履行合同义务后</w:t>
      </w:r>
      <w:r>
        <w:rPr>
          <w:rFonts w:hint="eastAsia" w:ascii="宋体" w:hAnsi="宋体" w:cs="宋体"/>
          <w:color w:val="auto"/>
          <w:sz w:val="21"/>
          <w:szCs w:val="21"/>
          <w:highlight w:val="none"/>
          <w:lang w:eastAsia="zh-CN"/>
        </w:rPr>
        <w:t>甲方</w:t>
      </w:r>
      <w:r>
        <w:rPr>
          <w:rFonts w:hint="eastAsia" w:ascii="宋体" w:hAnsi="宋体" w:eastAsia="宋体" w:cs="宋体"/>
          <w:color w:val="auto"/>
          <w:sz w:val="21"/>
          <w:szCs w:val="21"/>
          <w:highlight w:val="none"/>
        </w:rPr>
        <w:t>应支付给</w:t>
      </w:r>
      <w:r>
        <w:rPr>
          <w:rFonts w:hint="eastAsia" w:ascii="宋体" w:hAnsi="宋体" w:cs="宋体"/>
          <w:color w:val="auto"/>
          <w:sz w:val="21"/>
          <w:szCs w:val="21"/>
          <w:highlight w:val="none"/>
          <w:lang w:eastAsia="zh-CN"/>
        </w:rPr>
        <w:t>乙方</w:t>
      </w:r>
      <w:r>
        <w:rPr>
          <w:rFonts w:hint="eastAsia" w:ascii="宋体" w:hAnsi="宋体" w:eastAsia="宋体" w:cs="宋体"/>
          <w:color w:val="auto"/>
          <w:sz w:val="21"/>
          <w:szCs w:val="21"/>
          <w:highlight w:val="none"/>
        </w:rPr>
        <w:t>的价格。</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3）“货物”系指</w:t>
      </w:r>
      <w:r>
        <w:rPr>
          <w:rFonts w:hint="eastAsia" w:ascii="宋体" w:hAnsi="宋体" w:cs="宋体"/>
          <w:color w:val="auto"/>
          <w:sz w:val="21"/>
          <w:szCs w:val="21"/>
          <w:highlight w:val="none"/>
          <w:lang w:eastAsia="zh-CN"/>
        </w:rPr>
        <w:t>乙方</w:t>
      </w:r>
      <w:r>
        <w:rPr>
          <w:rFonts w:hint="eastAsia" w:ascii="宋体" w:hAnsi="宋体" w:eastAsia="宋体" w:cs="宋体"/>
          <w:color w:val="auto"/>
          <w:sz w:val="21"/>
          <w:szCs w:val="21"/>
          <w:highlight w:val="none"/>
        </w:rPr>
        <w:t>根据合同规定，须向</w:t>
      </w:r>
      <w:r>
        <w:rPr>
          <w:rFonts w:hint="eastAsia" w:ascii="宋体" w:hAnsi="宋体" w:cs="宋体"/>
          <w:color w:val="auto"/>
          <w:sz w:val="21"/>
          <w:szCs w:val="21"/>
          <w:highlight w:val="none"/>
          <w:lang w:eastAsia="zh-CN"/>
        </w:rPr>
        <w:t>甲方</w:t>
      </w:r>
      <w:r>
        <w:rPr>
          <w:rFonts w:hint="eastAsia" w:ascii="宋体" w:hAnsi="宋体" w:eastAsia="宋体" w:cs="宋体"/>
          <w:color w:val="auto"/>
          <w:sz w:val="21"/>
          <w:szCs w:val="21"/>
          <w:highlight w:val="none"/>
        </w:rPr>
        <w:t>提供的一切材料、设备、机械、仪表、备件、工具和其它材料。</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4）“服务”系指根据合同规定，</w:t>
      </w:r>
      <w:r>
        <w:rPr>
          <w:rFonts w:hint="eastAsia" w:ascii="宋体" w:hAnsi="宋体" w:cs="宋体"/>
          <w:color w:val="auto"/>
          <w:sz w:val="21"/>
          <w:szCs w:val="21"/>
          <w:highlight w:val="none"/>
          <w:lang w:eastAsia="zh-CN"/>
        </w:rPr>
        <w:t>乙方</w:t>
      </w:r>
      <w:r>
        <w:rPr>
          <w:rFonts w:hint="eastAsia" w:ascii="宋体" w:hAnsi="宋体" w:eastAsia="宋体" w:cs="宋体"/>
          <w:color w:val="auto"/>
          <w:sz w:val="21"/>
          <w:szCs w:val="21"/>
          <w:highlight w:val="none"/>
        </w:rPr>
        <w:t>承担与供货有关的服务。如运输、保险以及其它的伴随服务；例如安装、调试、提供技术援助、培训和合同中规定的</w:t>
      </w:r>
      <w:r>
        <w:rPr>
          <w:rFonts w:hint="eastAsia" w:ascii="宋体" w:hAnsi="宋体" w:cs="宋体"/>
          <w:color w:val="auto"/>
          <w:sz w:val="21"/>
          <w:szCs w:val="21"/>
          <w:highlight w:val="none"/>
          <w:lang w:eastAsia="zh-CN"/>
        </w:rPr>
        <w:t>乙方</w:t>
      </w:r>
      <w:r>
        <w:rPr>
          <w:rFonts w:hint="eastAsia" w:ascii="宋体" w:hAnsi="宋体" w:eastAsia="宋体" w:cs="宋体"/>
          <w:color w:val="auto"/>
          <w:sz w:val="21"/>
          <w:szCs w:val="21"/>
          <w:highlight w:val="none"/>
        </w:rPr>
        <w:t>应承担的其它义务。</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5）“合同条款”系指本合同条款。</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r>
        <w:rPr>
          <w:rFonts w:hint="eastAsia" w:ascii="宋体" w:hAnsi="宋体" w:cs="宋体"/>
          <w:color w:val="auto"/>
          <w:sz w:val="21"/>
          <w:szCs w:val="21"/>
          <w:highlight w:val="none"/>
          <w:lang w:eastAsia="zh-CN"/>
        </w:rPr>
        <w:t>甲方</w:t>
      </w:r>
      <w:r>
        <w:rPr>
          <w:rFonts w:hint="eastAsia" w:ascii="宋体" w:hAnsi="宋体" w:eastAsia="宋体" w:cs="宋体"/>
          <w:color w:val="auto"/>
          <w:sz w:val="21"/>
          <w:szCs w:val="21"/>
          <w:highlight w:val="none"/>
        </w:rPr>
        <w:t>”系指在合同专用条款中指明的购买货物和服务的单位。</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w:t>
      </w:r>
      <w:r>
        <w:rPr>
          <w:rFonts w:hint="eastAsia" w:ascii="宋体" w:hAnsi="宋体" w:cs="宋体"/>
          <w:color w:val="auto"/>
          <w:sz w:val="21"/>
          <w:szCs w:val="21"/>
          <w:highlight w:val="none"/>
          <w:lang w:eastAsia="zh-CN"/>
        </w:rPr>
        <w:t>乙方</w:t>
      </w:r>
      <w:r>
        <w:rPr>
          <w:rFonts w:hint="eastAsia" w:ascii="宋体" w:hAnsi="宋体" w:eastAsia="宋体" w:cs="宋体"/>
          <w:color w:val="auto"/>
          <w:sz w:val="21"/>
          <w:szCs w:val="21"/>
          <w:highlight w:val="none"/>
        </w:rPr>
        <w:t>”系指签署本合同，提供本合同项下货物和服务的单位。</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8）“项目现场”系指本合同(包括附件)指明的最终交货及安装、培训、使用地点。</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9）“天”指日历天数。</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2.技术规格</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w:t>
      </w:r>
      <w:r>
        <w:rPr>
          <w:rFonts w:hint="eastAsia" w:ascii="宋体" w:hAnsi="宋体" w:cs="宋体"/>
          <w:color w:val="auto"/>
          <w:sz w:val="21"/>
          <w:szCs w:val="21"/>
          <w:highlight w:val="none"/>
          <w:lang w:eastAsia="zh-CN"/>
        </w:rPr>
        <w:t>乙方</w:t>
      </w:r>
      <w:r>
        <w:rPr>
          <w:rFonts w:hint="eastAsia" w:ascii="宋体" w:hAnsi="宋体" w:eastAsia="宋体" w:cs="宋体"/>
          <w:color w:val="auto"/>
          <w:sz w:val="21"/>
          <w:szCs w:val="21"/>
          <w:highlight w:val="none"/>
        </w:rPr>
        <w:t>交付的货物的技术规格及型号应与本合同所指明的技术规格及型号(包括合同附件)相一致。</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 除技术规格另有规定外,计量单位应该使用公制。</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3.专利权</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乙方</w:t>
      </w:r>
      <w:r>
        <w:rPr>
          <w:rFonts w:hint="eastAsia" w:ascii="宋体" w:hAnsi="宋体" w:eastAsia="宋体" w:cs="宋体"/>
          <w:color w:val="auto"/>
          <w:sz w:val="21"/>
          <w:szCs w:val="21"/>
          <w:highlight w:val="none"/>
        </w:rPr>
        <w:t>应保证</w:t>
      </w:r>
      <w:r>
        <w:rPr>
          <w:rFonts w:hint="eastAsia" w:ascii="宋体" w:hAnsi="宋体" w:cs="宋体"/>
          <w:color w:val="auto"/>
          <w:sz w:val="21"/>
          <w:szCs w:val="21"/>
          <w:highlight w:val="none"/>
          <w:lang w:eastAsia="zh-CN"/>
        </w:rPr>
        <w:t>甲方</w:t>
      </w:r>
      <w:r>
        <w:rPr>
          <w:rFonts w:hint="eastAsia" w:ascii="宋体" w:hAnsi="宋体" w:eastAsia="宋体" w:cs="宋体"/>
          <w:color w:val="auto"/>
          <w:sz w:val="21"/>
          <w:szCs w:val="21"/>
          <w:highlight w:val="none"/>
        </w:rPr>
        <w:t>在使用该货物或其任何一部分时免受第三方提出侵犯其专利权</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商标权或工业设计权的起诉。</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color w:val="auto"/>
          <w:sz w:val="21"/>
          <w:szCs w:val="21"/>
          <w:highlight w:val="none"/>
          <w:lang w:eastAsia="zh-CN"/>
        </w:rPr>
      </w:pPr>
      <w:r>
        <w:rPr>
          <w:rFonts w:hint="eastAsia" w:ascii="宋体" w:hAnsi="宋体" w:eastAsia="宋体" w:cs="宋体"/>
          <w:b/>
          <w:color w:val="auto"/>
          <w:sz w:val="21"/>
          <w:szCs w:val="21"/>
          <w:highlight w:val="none"/>
        </w:rPr>
        <w:t>4.</w:t>
      </w:r>
      <w:r>
        <w:rPr>
          <w:rFonts w:hint="eastAsia" w:ascii="宋体" w:hAnsi="宋体" w:cs="宋体"/>
          <w:b/>
          <w:color w:val="auto"/>
          <w:sz w:val="21"/>
          <w:szCs w:val="21"/>
          <w:highlight w:val="none"/>
          <w:lang w:eastAsia="zh-CN"/>
        </w:rPr>
        <w:t>服务地点</w:t>
      </w:r>
      <w:r>
        <w:rPr>
          <w:rFonts w:hint="eastAsia" w:ascii="宋体" w:hAnsi="宋体" w:eastAsia="宋体" w:cs="宋体"/>
          <w:b/>
          <w:color w:val="auto"/>
          <w:sz w:val="21"/>
          <w:szCs w:val="21"/>
          <w:highlight w:val="none"/>
        </w:rPr>
        <w:t>和</w:t>
      </w:r>
      <w:r>
        <w:rPr>
          <w:rFonts w:hint="eastAsia" w:ascii="宋体" w:hAnsi="宋体" w:cs="宋体"/>
          <w:b/>
          <w:color w:val="auto"/>
          <w:sz w:val="21"/>
          <w:szCs w:val="21"/>
          <w:highlight w:val="none"/>
          <w:lang w:eastAsia="zh-CN"/>
        </w:rPr>
        <w:t>项目完工期</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 xml:space="preserve">   </w:t>
      </w:r>
      <w:r>
        <w:rPr>
          <w:rFonts w:hint="eastAsia" w:ascii="宋体" w:hAnsi="宋体" w:eastAsia="宋体" w:cs="宋体"/>
          <w:color w:val="auto"/>
          <w:sz w:val="21"/>
          <w:szCs w:val="21"/>
          <w:highlight w:val="none"/>
        </w:rPr>
        <w:t>见合同专用条款。</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5.包装要求和装运条件</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5.1除合同另有规定外，</w:t>
      </w:r>
      <w:r>
        <w:rPr>
          <w:rFonts w:hint="eastAsia" w:ascii="宋体" w:hAnsi="宋体" w:cs="宋体"/>
          <w:color w:val="auto"/>
          <w:sz w:val="21"/>
          <w:szCs w:val="21"/>
          <w:highlight w:val="none"/>
          <w:lang w:eastAsia="zh-CN"/>
        </w:rPr>
        <w:t>乙方</w:t>
      </w:r>
      <w:r>
        <w:rPr>
          <w:rFonts w:hint="eastAsia" w:ascii="宋体" w:hAnsi="宋体" w:eastAsia="宋体" w:cs="宋体"/>
          <w:color w:val="auto"/>
          <w:sz w:val="21"/>
          <w:szCs w:val="21"/>
          <w:highlight w:val="none"/>
        </w:rPr>
        <w:t>提供的全部货物，均应按标准保护措施进行包装。这类包装应适应于远距离运输、防潮、防震、防锈和防野蛮装卸，以确保货物安全无损运抵项目现场。</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5.2每一个包装箱内应附一份详细装箱单和质量合格证。</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5.3</w:t>
      </w:r>
      <w:r>
        <w:rPr>
          <w:rFonts w:hint="eastAsia" w:ascii="宋体" w:hAnsi="宋体" w:cs="宋体"/>
          <w:color w:val="auto"/>
          <w:sz w:val="21"/>
          <w:szCs w:val="21"/>
          <w:highlight w:val="none"/>
          <w:lang w:eastAsia="zh-CN"/>
        </w:rPr>
        <w:t>乙方</w:t>
      </w:r>
      <w:r>
        <w:rPr>
          <w:rFonts w:hint="eastAsia" w:ascii="宋体" w:hAnsi="宋体" w:eastAsia="宋体" w:cs="宋体"/>
          <w:color w:val="auto"/>
          <w:sz w:val="21"/>
          <w:szCs w:val="21"/>
          <w:highlight w:val="none"/>
        </w:rPr>
        <w:t>负责安排货物到达</w:t>
      </w:r>
      <w:r>
        <w:rPr>
          <w:rFonts w:hint="eastAsia" w:ascii="宋体" w:hAnsi="宋体" w:cs="宋体"/>
          <w:color w:val="auto"/>
          <w:sz w:val="21"/>
          <w:szCs w:val="21"/>
          <w:highlight w:val="none"/>
          <w:lang w:eastAsia="zh-CN"/>
        </w:rPr>
        <w:t>服务地点</w:t>
      </w:r>
      <w:r>
        <w:rPr>
          <w:rFonts w:hint="eastAsia" w:ascii="宋体" w:hAnsi="宋体" w:eastAsia="宋体" w:cs="宋体"/>
          <w:color w:val="auto"/>
          <w:sz w:val="21"/>
          <w:szCs w:val="21"/>
          <w:highlight w:val="none"/>
        </w:rPr>
        <w:t>的一切运输，并承担运输费用。</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5.4</w:t>
      </w:r>
      <w:r>
        <w:rPr>
          <w:rFonts w:hint="eastAsia" w:ascii="宋体" w:hAnsi="宋体" w:cs="宋体"/>
          <w:color w:val="auto"/>
          <w:sz w:val="21"/>
          <w:szCs w:val="21"/>
          <w:highlight w:val="none"/>
          <w:lang w:eastAsia="zh-CN"/>
        </w:rPr>
        <w:t>乙方</w:t>
      </w:r>
      <w:r>
        <w:rPr>
          <w:rFonts w:hint="eastAsia" w:ascii="宋体" w:hAnsi="宋体" w:eastAsia="宋体" w:cs="宋体"/>
          <w:color w:val="auto"/>
          <w:sz w:val="21"/>
          <w:szCs w:val="21"/>
          <w:highlight w:val="none"/>
        </w:rPr>
        <w:t>装运的货物不应超过合同规定的数量或重量。否则，</w:t>
      </w:r>
      <w:r>
        <w:rPr>
          <w:rFonts w:hint="eastAsia" w:ascii="宋体" w:hAnsi="宋体" w:cs="宋体"/>
          <w:color w:val="auto"/>
          <w:sz w:val="21"/>
          <w:szCs w:val="21"/>
          <w:highlight w:val="none"/>
          <w:lang w:eastAsia="zh-CN"/>
        </w:rPr>
        <w:t>乙方</w:t>
      </w:r>
      <w:r>
        <w:rPr>
          <w:rFonts w:hint="eastAsia" w:ascii="宋体" w:hAnsi="宋体" w:eastAsia="宋体" w:cs="宋体"/>
          <w:color w:val="auto"/>
          <w:sz w:val="21"/>
          <w:szCs w:val="21"/>
          <w:highlight w:val="none"/>
        </w:rPr>
        <w:t>应对因超数量或重量而产生的一切后果负责。</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6.保险</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6.1保险范围应包括</w:t>
      </w:r>
      <w:r>
        <w:rPr>
          <w:rFonts w:hint="eastAsia" w:ascii="宋体" w:hAnsi="宋体" w:cs="宋体"/>
          <w:color w:val="auto"/>
          <w:sz w:val="21"/>
          <w:szCs w:val="21"/>
          <w:highlight w:val="none"/>
          <w:lang w:eastAsia="zh-CN"/>
        </w:rPr>
        <w:t>乙方</w:t>
      </w:r>
      <w:r>
        <w:rPr>
          <w:rFonts w:hint="eastAsia" w:ascii="宋体" w:hAnsi="宋体" w:eastAsia="宋体" w:cs="宋体"/>
          <w:color w:val="auto"/>
          <w:sz w:val="21"/>
          <w:szCs w:val="21"/>
          <w:highlight w:val="none"/>
        </w:rPr>
        <w:t>装运的全部货物；由</w:t>
      </w:r>
      <w:r>
        <w:rPr>
          <w:rFonts w:hint="eastAsia" w:ascii="宋体" w:hAnsi="宋体" w:cs="宋体"/>
          <w:color w:val="auto"/>
          <w:sz w:val="21"/>
          <w:szCs w:val="21"/>
          <w:highlight w:val="none"/>
          <w:lang w:eastAsia="zh-CN"/>
        </w:rPr>
        <w:t>乙方</w:t>
      </w:r>
      <w:r>
        <w:rPr>
          <w:rFonts w:hint="eastAsia" w:ascii="宋体" w:hAnsi="宋体" w:eastAsia="宋体" w:cs="宋体"/>
          <w:color w:val="auto"/>
          <w:sz w:val="21"/>
          <w:szCs w:val="21"/>
          <w:highlight w:val="none"/>
        </w:rPr>
        <w:t>办理货物在运抵目的港/项目现场途中的保险,保险应以人民币按照发票金额的110%办理“一切险”。</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7.付款</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7.1本合同以人民币付款。</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7.2</w:t>
      </w:r>
      <w:r>
        <w:rPr>
          <w:rFonts w:hint="eastAsia" w:ascii="宋体" w:hAnsi="宋体" w:cs="宋体"/>
          <w:color w:val="auto"/>
          <w:sz w:val="21"/>
          <w:szCs w:val="21"/>
          <w:highlight w:val="none"/>
          <w:lang w:eastAsia="zh-CN"/>
        </w:rPr>
        <w:t>乙方</w:t>
      </w:r>
      <w:r>
        <w:rPr>
          <w:rFonts w:hint="eastAsia" w:ascii="宋体" w:hAnsi="宋体" w:eastAsia="宋体" w:cs="宋体"/>
          <w:color w:val="auto"/>
          <w:sz w:val="21"/>
          <w:szCs w:val="21"/>
          <w:highlight w:val="none"/>
        </w:rPr>
        <w:t>应按照双方签订的合同规定交货,货物由</w:t>
      </w:r>
      <w:r>
        <w:rPr>
          <w:rFonts w:hint="eastAsia" w:ascii="宋体" w:hAnsi="宋体" w:cs="宋体"/>
          <w:color w:val="auto"/>
          <w:sz w:val="21"/>
          <w:szCs w:val="21"/>
          <w:highlight w:val="none"/>
          <w:lang w:eastAsia="zh-CN"/>
        </w:rPr>
        <w:t>甲方</w:t>
      </w:r>
      <w:r>
        <w:rPr>
          <w:rFonts w:hint="eastAsia" w:ascii="宋体" w:hAnsi="宋体" w:eastAsia="宋体" w:cs="宋体"/>
          <w:color w:val="auto"/>
          <w:sz w:val="21"/>
          <w:szCs w:val="21"/>
          <w:highlight w:val="none"/>
        </w:rPr>
        <w:t>验收合格并出具验收书后办理结算。货物发票交</w:t>
      </w:r>
      <w:r>
        <w:rPr>
          <w:rFonts w:hint="eastAsia" w:ascii="宋体" w:hAnsi="宋体" w:cs="宋体"/>
          <w:color w:val="auto"/>
          <w:sz w:val="21"/>
          <w:szCs w:val="21"/>
          <w:highlight w:val="none"/>
          <w:lang w:eastAsia="zh-CN"/>
        </w:rPr>
        <w:t>甲方</w:t>
      </w:r>
      <w:r>
        <w:rPr>
          <w:rFonts w:hint="eastAsia" w:ascii="宋体" w:hAnsi="宋体" w:eastAsia="宋体" w:cs="宋体"/>
          <w:color w:val="auto"/>
          <w:sz w:val="21"/>
          <w:szCs w:val="21"/>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7.3付款计划见合同附件。</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8.伴随服务</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8.1</w:t>
      </w:r>
      <w:r>
        <w:rPr>
          <w:rFonts w:hint="eastAsia" w:ascii="宋体" w:hAnsi="宋体" w:cs="宋体"/>
          <w:color w:val="auto"/>
          <w:sz w:val="21"/>
          <w:szCs w:val="21"/>
          <w:highlight w:val="none"/>
          <w:lang w:eastAsia="zh-CN"/>
        </w:rPr>
        <w:t>乙方</w:t>
      </w:r>
      <w:r>
        <w:rPr>
          <w:rFonts w:hint="eastAsia" w:ascii="宋体" w:hAnsi="宋体" w:eastAsia="宋体" w:cs="宋体"/>
          <w:color w:val="auto"/>
          <w:sz w:val="21"/>
          <w:szCs w:val="21"/>
          <w:highlight w:val="none"/>
        </w:rPr>
        <w:t>应随同每套货物提供相应的每一套设备和仪器的中文的技术文件。例如：产品目录、图纸、操作手册、使用说明、维护手册或服务指南等。</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8.2对于合同附件中有要求的货物，</w:t>
      </w:r>
      <w:r>
        <w:rPr>
          <w:rFonts w:hint="eastAsia" w:ascii="宋体" w:hAnsi="宋体" w:cs="宋体"/>
          <w:color w:val="auto"/>
          <w:sz w:val="21"/>
          <w:szCs w:val="21"/>
          <w:highlight w:val="none"/>
          <w:lang w:eastAsia="zh-CN"/>
        </w:rPr>
        <w:t>乙方</w:t>
      </w:r>
      <w:r>
        <w:rPr>
          <w:rFonts w:hint="eastAsia" w:ascii="宋体" w:hAnsi="宋体" w:eastAsia="宋体" w:cs="宋体"/>
          <w:color w:val="auto"/>
          <w:sz w:val="21"/>
          <w:szCs w:val="21"/>
          <w:highlight w:val="none"/>
        </w:rPr>
        <w:t>还应提供下列服务：</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1）货物的现场安装、调试和启动监督；</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2）提供货物组装和维修所需的工具，提供货物调试所需的试剂、耗材等</w:t>
      </w:r>
    </w:p>
    <w:p>
      <w:pPr>
        <w:keepNext w:val="0"/>
        <w:keepLines w:val="0"/>
        <w:pageBreakBefore w:val="0"/>
        <w:widowControl w:val="0"/>
        <w:kinsoku/>
        <w:wordWrap/>
        <w:overflowPunct/>
        <w:topLinePunct w:val="0"/>
        <w:autoSpaceDE/>
        <w:autoSpaceDN/>
        <w:bidi w:val="0"/>
        <w:adjustRightInd/>
        <w:snapToGrid/>
        <w:spacing w:line="360" w:lineRule="auto"/>
        <w:ind w:left="1" w:firstLine="417" w:firstLineChars="199"/>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3）在双方商定的一定期限内对所供货物实施运行监督、维修，但前提条件是该服务并不能免除</w:t>
      </w:r>
      <w:r>
        <w:rPr>
          <w:rFonts w:hint="eastAsia" w:ascii="宋体" w:hAnsi="宋体" w:cs="宋体"/>
          <w:color w:val="auto"/>
          <w:sz w:val="21"/>
          <w:szCs w:val="21"/>
          <w:highlight w:val="none"/>
          <w:lang w:eastAsia="zh-CN"/>
        </w:rPr>
        <w:t>乙方</w:t>
      </w:r>
      <w:r>
        <w:rPr>
          <w:rFonts w:hint="eastAsia" w:ascii="宋体" w:hAnsi="宋体" w:eastAsia="宋体" w:cs="宋体"/>
          <w:color w:val="auto"/>
          <w:sz w:val="21"/>
          <w:szCs w:val="21"/>
          <w:highlight w:val="none"/>
        </w:rPr>
        <w:t>在质量保证期应承担的义务。</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4）在厂家或在项目现场就货物的安装、启动、运营、维护对</w:t>
      </w:r>
      <w:r>
        <w:rPr>
          <w:rFonts w:hint="eastAsia" w:ascii="宋体" w:hAnsi="宋体" w:cs="宋体"/>
          <w:color w:val="auto"/>
          <w:sz w:val="21"/>
          <w:szCs w:val="21"/>
          <w:highlight w:val="none"/>
          <w:lang w:eastAsia="zh-CN"/>
        </w:rPr>
        <w:t>甲方</w:t>
      </w:r>
      <w:r>
        <w:rPr>
          <w:rFonts w:hint="eastAsia" w:ascii="宋体" w:hAnsi="宋体" w:eastAsia="宋体" w:cs="宋体"/>
          <w:color w:val="auto"/>
          <w:sz w:val="21"/>
          <w:szCs w:val="21"/>
          <w:highlight w:val="none"/>
        </w:rPr>
        <w:t>人员进行培训。</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8.3伴随服务的费用已含在合同价中，不单独进行支付。</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9.质量保证及索赔</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9.1</w:t>
      </w:r>
      <w:r>
        <w:rPr>
          <w:rFonts w:hint="eastAsia" w:ascii="宋体" w:hAnsi="宋体" w:cs="宋体"/>
          <w:color w:val="auto"/>
          <w:sz w:val="21"/>
          <w:szCs w:val="21"/>
          <w:highlight w:val="none"/>
          <w:lang w:eastAsia="zh-CN"/>
        </w:rPr>
        <w:t>乙方</w:t>
      </w:r>
      <w:r>
        <w:rPr>
          <w:rFonts w:hint="eastAsia" w:ascii="宋体" w:hAnsi="宋体" w:eastAsia="宋体" w:cs="宋体"/>
          <w:color w:val="auto"/>
          <w:sz w:val="21"/>
          <w:szCs w:val="21"/>
          <w:highlight w:val="none"/>
        </w:rPr>
        <w:t>应保证所供货物是全新的、未使用过的，并完全符合合同规定的质量、规格、技术指标(包括合同附件)等要求。</w:t>
      </w:r>
      <w:r>
        <w:rPr>
          <w:rFonts w:hint="eastAsia" w:ascii="宋体" w:hAnsi="宋体" w:cs="宋体"/>
          <w:color w:val="auto"/>
          <w:sz w:val="21"/>
          <w:szCs w:val="21"/>
          <w:highlight w:val="none"/>
          <w:lang w:eastAsia="zh-CN"/>
        </w:rPr>
        <w:t>乙方</w:t>
      </w:r>
      <w:r>
        <w:rPr>
          <w:rFonts w:hint="eastAsia" w:ascii="宋体" w:hAnsi="宋体" w:eastAsia="宋体" w:cs="宋体"/>
          <w:color w:val="auto"/>
          <w:sz w:val="21"/>
          <w:szCs w:val="21"/>
          <w:highlight w:val="none"/>
        </w:rPr>
        <w:t>应保证其货物在正确安装、正常使用和保养条件下，在其使用寿命内应具有满意的性能。在货物最终验收后的质量保证期内，</w:t>
      </w:r>
      <w:r>
        <w:rPr>
          <w:rFonts w:hint="eastAsia" w:ascii="宋体" w:hAnsi="宋体" w:cs="宋体"/>
          <w:color w:val="auto"/>
          <w:sz w:val="21"/>
          <w:szCs w:val="21"/>
          <w:highlight w:val="none"/>
          <w:lang w:eastAsia="zh-CN"/>
        </w:rPr>
        <w:t>乙方</w:t>
      </w:r>
      <w:r>
        <w:rPr>
          <w:rFonts w:hint="eastAsia" w:ascii="宋体" w:hAnsi="宋体" w:eastAsia="宋体" w:cs="宋体"/>
          <w:color w:val="auto"/>
          <w:sz w:val="21"/>
          <w:szCs w:val="21"/>
          <w:highlight w:val="none"/>
        </w:rPr>
        <w:t>应对由于设计、工艺或材料的缺陷而产生的故障负责。质保期满后如出现此类问题亦应负责。</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9.2在质量保证期内，如果货物的质量、规格、技术指标等与合同有任何一项不符，</w:t>
      </w:r>
      <w:r>
        <w:rPr>
          <w:rFonts w:hint="eastAsia" w:ascii="宋体" w:hAnsi="宋体" w:cs="宋体"/>
          <w:color w:val="auto"/>
          <w:sz w:val="21"/>
          <w:szCs w:val="21"/>
          <w:highlight w:val="none"/>
          <w:lang w:eastAsia="zh-CN"/>
        </w:rPr>
        <w:t>甲方</w:t>
      </w:r>
      <w:r>
        <w:rPr>
          <w:rFonts w:hint="eastAsia" w:ascii="宋体" w:hAnsi="宋体" w:eastAsia="宋体" w:cs="宋体"/>
          <w:color w:val="auto"/>
          <w:sz w:val="21"/>
          <w:szCs w:val="21"/>
          <w:highlight w:val="none"/>
        </w:rPr>
        <w:t>应尽快以书面形式向</w:t>
      </w:r>
      <w:r>
        <w:rPr>
          <w:rFonts w:hint="eastAsia" w:ascii="宋体" w:hAnsi="宋体" w:cs="宋体"/>
          <w:color w:val="auto"/>
          <w:sz w:val="21"/>
          <w:szCs w:val="21"/>
          <w:highlight w:val="none"/>
          <w:lang w:eastAsia="zh-CN"/>
        </w:rPr>
        <w:t>乙方</w:t>
      </w:r>
      <w:r>
        <w:rPr>
          <w:rFonts w:hint="eastAsia" w:ascii="宋体" w:hAnsi="宋体" w:eastAsia="宋体" w:cs="宋体"/>
          <w:color w:val="auto"/>
          <w:sz w:val="21"/>
          <w:szCs w:val="21"/>
          <w:highlight w:val="none"/>
        </w:rPr>
        <w:t>提出索赔。同时应向政府采购管理部门报告。</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9.3</w:t>
      </w:r>
      <w:r>
        <w:rPr>
          <w:rFonts w:hint="eastAsia" w:ascii="宋体" w:hAnsi="宋体" w:cs="宋体"/>
          <w:color w:val="auto"/>
          <w:sz w:val="21"/>
          <w:szCs w:val="21"/>
          <w:highlight w:val="none"/>
          <w:lang w:eastAsia="zh-CN"/>
        </w:rPr>
        <w:t>乙方</w:t>
      </w:r>
      <w:r>
        <w:rPr>
          <w:rFonts w:hint="eastAsia" w:ascii="宋体" w:hAnsi="宋体" w:eastAsia="宋体" w:cs="宋体"/>
          <w:color w:val="auto"/>
          <w:sz w:val="21"/>
          <w:szCs w:val="21"/>
          <w:highlight w:val="none"/>
        </w:rPr>
        <w:t>在收到</w:t>
      </w:r>
      <w:r>
        <w:rPr>
          <w:rFonts w:hint="eastAsia" w:ascii="宋体" w:hAnsi="宋体" w:cs="宋体"/>
          <w:color w:val="auto"/>
          <w:sz w:val="21"/>
          <w:szCs w:val="21"/>
          <w:highlight w:val="none"/>
          <w:lang w:eastAsia="zh-CN"/>
        </w:rPr>
        <w:t>甲方</w:t>
      </w:r>
      <w:r>
        <w:rPr>
          <w:rFonts w:hint="eastAsia" w:ascii="宋体" w:hAnsi="宋体" w:eastAsia="宋体" w:cs="宋体"/>
          <w:color w:val="auto"/>
          <w:sz w:val="21"/>
          <w:szCs w:val="21"/>
          <w:highlight w:val="none"/>
        </w:rPr>
        <w:t>的通知后，应及时免费维修或更换有缺陷的货物或部件，并相应延长保修期限。具体响应时限见专用合同条款。</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9.4如果</w:t>
      </w:r>
      <w:r>
        <w:rPr>
          <w:rFonts w:hint="eastAsia" w:ascii="宋体" w:hAnsi="宋体" w:cs="宋体"/>
          <w:color w:val="auto"/>
          <w:sz w:val="21"/>
          <w:szCs w:val="21"/>
          <w:highlight w:val="none"/>
          <w:lang w:eastAsia="zh-CN"/>
        </w:rPr>
        <w:t>乙方</w:t>
      </w:r>
      <w:r>
        <w:rPr>
          <w:rFonts w:hint="eastAsia" w:ascii="宋体" w:hAnsi="宋体" w:eastAsia="宋体" w:cs="宋体"/>
          <w:color w:val="auto"/>
          <w:sz w:val="21"/>
          <w:szCs w:val="21"/>
          <w:highlight w:val="none"/>
        </w:rPr>
        <w:t>在收到通知后，没有在上述专用合同条款中规定的时限内及时弥补缺陷，</w:t>
      </w:r>
      <w:r>
        <w:rPr>
          <w:rFonts w:hint="eastAsia" w:ascii="宋体" w:hAnsi="宋体" w:cs="宋体"/>
          <w:color w:val="auto"/>
          <w:sz w:val="21"/>
          <w:szCs w:val="21"/>
          <w:highlight w:val="none"/>
          <w:lang w:eastAsia="zh-CN"/>
        </w:rPr>
        <w:t>甲方</w:t>
      </w:r>
      <w:r>
        <w:rPr>
          <w:rFonts w:hint="eastAsia" w:ascii="宋体" w:hAnsi="宋体" w:eastAsia="宋体" w:cs="宋体"/>
          <w:color w:val="auto"/>
          <w:sz w:val="21"/>
          <w:szCs w:val="21"/>
          <w:highlight w:val="none"/>
        </w:rPr>
        <w:t>可采取必要的补救措施，但其风险和费用将由</w:t>
      </w:r>
      <w:r>
        <w:rPr>
          <w:rFonts w:hint="eastAsia" w:ascii="宋体" w:hAnsi="宋体" w:cs="宋体"/>
          <w:color w:val="auto"/>
          <w:sz w:val="21"/>
          <w:szCs w:val="21"/>
          <w:highlight w:val="none"/>
          <w:lang w:eastAsia="zh-CN"/>
        </w:rPr>
        <w:t>乙方</w:t>
      </w:r>
      <w:r>
        <w:rPr>
          <w:rFonts w:hint="eastAsia" w:ascii="宋体" w:hAnsi="宋体" w:eastAsia="宋体" w:cs="宋体"/>
          <w:color w:val="auto"/>
          <w:sz w:val="21"/>
          <w:szCs w:val="21"/>
          <w:highlight w:val="none"/>
        </w:rPr>
        <w:t>承担，</w:t>
      </w:r>
      <w:r>
        <w:rPr>
          <w:rFonts w:hint="eastAsia" w:ascii="宋体" w:hAnsi="宋体" w:cs="宋体"/>
          <w:color w:val="auto"/>
          <w:sz w:val="21"/>
          <w:szCs w:val="21"/>
          <w:highlight w:val="none"/>
          <w:lang w:eastAsia="zh-CN"/>
        </w:rPr>
        <w:t>甲方</w:t>
      </w:r>
      <w:r>
        <w:rPr>
          <w:rFonts w:hint="eastAsia" w:ascii="宋体" w:hAnsi="宋体" w:eastAsia="宋体" w:cs="宋体"/>
          <w:color w:val="auto"/>
          <w:sz w:val="21"/>
          <w:szCs w:val="21"/>
          <w:highlight w:val="none"/>
        </w:rPr>
        <w:t>根据合同规定对</w:t>
      </w:r>
      <w:r>
        <w:rPr>
          <w:rFonts w:hint="eastAsia" w:ascii="宋体" w:hAnsi="宋体" w:cs="宋体"/>
          <w:color w:val="auto"/>
          <w:sz w:val="21"/>
          <w:szCs w:val="21"/>
          <w:highlight w:val="none"/>
          <w:lang w:eastAsia="zh-CN"/>
        </w:rPr>
        <w:t>乙方</w:t>
      </w:r>
      <w:r>
        <w:rPr>
          <w:rFonts w:hint="eastAsia" w:ascii="宋体" w:hAnsi="宋体" w:eastAsia="宋体" w:cs="宋体"/>
          <w:color w:val="auto"/>
          <w:sz w:val="21"/>
          <w:szCs w:val="21"/>
          <w:highlight w:val="none"/>
        </w:rPr>
        <w:t>行使的其它权力不受影响。</w:t>
      </w:r>
      <w:r>
        <w:rPr>
          <w:rFonts w:hint="eastAsia" w:ascii="宋体" w:hAnsi="宋体" w:cs="宋体"/>
          <w:color w:val="auto"/>
          <w:sz w:val="21"/>
          <w:szCs w:val="21"/>
          <w:highlight w:val="none"/>
          <w:lang w:eastAsia="zh-CN"/>
        </w:rPr>
        <w:t>甲方</w:t>
      </w:r>
      <w:r>
        <w:rPr>
          <w:rFonts w:hint="eastAsia" w:ascii="宋体" w:hAnsi="宋体" w:eastAsia="宋体" w:cs="宋体"/>
          <w:color w:val="auto"/>
          <w:sz w:val="21"/>
          <w:szCs w:val="21"/>
          <w:highlight w:val="none"/>
        </w:rPr>
        <w:t>亦可从货款和</w:t>
      </w:r>
      <w:r>
        <w:rPr>
          <w:rFonts w:hint="eastAsia" w:ascii="宋体" w:hAnsi="宋体" w:cs="宋体"/>
          <w:color w:val="auto"/>
          <w:sz w:val="21"/>
          <w:szCs w:val="21"/>
          <w:highlight w:val="none"/>
          <w:lang w:eastAsia="zh-CN"/>
        </w:rPr>
        <w:t>乙方</w:t>
      </w:r>
      <w:r>
        <w:rPr>
          <w:rFonts w:hint="eastAsia" w:ascii="宋体" w:hAnsi="宋体" w:eastAsia="宋体" w:cs="宋体"/>
          <w:color w:val="auto"/>
          <w:sz w:val="21"/>
          <w:szCs w:val="21"/>
          <w:highlight w:val="none"/>
        </w:rPr>
        <w:t>履约保证金中扣回索赔金额。</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10.检验和验收</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10.1在交货前，制造商应对货物的质量、规格、数量等进行准确而全面的检验，并出具合格证。</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10.2货物到货后，由采购单位根据合同规定的技术、服务、安全标准要求进行验收，并出具验收书。验收书应当包括每一项技术、服务、安全标准的履约情况。</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color w:val="auto"/>
          <w:sz w:val="21"/>
          <w:szCs w:val="21"/>
          <w:highlight w:val="none"/>
        </w:rPr>
      </w:pPr>
      <w:r>
        <w:rPr>
          <w:rFonts w:hint="eastAsia" w:ascii="宋体" w:hAnsi="宋体" w:cs="宋体"/>
          <w:b/>
          <w:color w:val="auto"/>
          <w:sz w:val="21"/>
          <w:szCs w:val="21"/>
          <w:highlight w:val="none"/>
          <w:lang w:val="en-US" w:eastAsia="zh-CN"/>
        </w:rPr>
        <w:t>11.</w:t>
      </w:r>
      <w:r>
        <w:rPr>
          <w:rFonts w:hint="eastAsia" w:ascii="宋体" w:hAnsi="宋体" w:eastAsia="宋体" w:cs="宋体"/>
          <w:b/>
          <w:color w:val="auto"/>
          <w:sz w:val="21"/>
          <w:szCs w:val="21"/>
          <w:highlight w:val="none"/>
        </w:rPr>
        <w:t>违约责任</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11.1</w:t>
      </w:r>
      <w:r>
        <w:rPr>
          <w:rFonts w:hint="eastAsia" w:ascii="宋体" w:hAnsi="宋体" w:eastAsia="宋体" w:cs="宋体"/>
          <w:color w:val="auto"/>
          <w:sz w:val="21"/>
          <w:szCs w:val="21"/>
          <w:highlight w:val="none"/>
        </w:rPr>
        <w:t>当</w:t>
      </w:r>
      <w:r>
        <w:rPr>
          <w:rFonts w:hint="eastAsia" w:ascii="宋体" w:hAnsi="宋体" w:cs="宋体"/>
          <w:color w:val="auto"/>
          <w:sz w:val="21"/>
          <w:szCs w:val="21"/>
          <w:highlight w:val="none"/>
          <w:lang w:val="en-US" w:eastAsia="zh-CN"/>
        </w:rPr>
        <w:t>乙方</w:t>
      </w:r>
      <w:r>
        <w:rPr>
          <w:rFonts w:hint="eastAsia" w:ascii="宋体" w:hAnsi="宋体" w:eastAsia="宋体" w:cs="宋体"/>
          <w:color w:val="auto"/>
          <w:sz w:val="21"/>
          <w:szCs w:val="21"/>
          <w:highlight w:val="none"/>
        </w:rPr>
        <w:t>未按本合同规定的期限为</w:t>
      </w:r>
      <w:r>
        <w:rPr>
          <w:rFonts w:hint="eastAsia" w:ascii="宋体" w:hAnsi="宋体" w:cs="宋体"/>
          <w:color w:val="auto"/>
          <w:sz w:val="21"/>
          <w:szCs w:val="21"/>
          <w:highlight w:val="none"/>
          <w:lang w:val="en-US" w:eastAsia="zh-CN"/>
        </w:rPr>
        <w:t>甲方</w:t>
      </w:r>
      <w:r>
        <w:rPr>
          <w:rFonts w:hint="eastAsia" w:ascii="宋体" w:hAnsi="宋体" w:eastAsia="宋体" w:cs="宋体"/>
          <w:color w:val="auto"/>
          <w:sz w:val="21"/>
          <w:szCs w:val="21"/>
          <w:highlight w:val="none"/>
        </w:rPr>
        <w:t>完成开发、实施工作，</w:t>
      </w:r>
      <w:r>
        <w:rPr>
          <w:rFonts w:hint="eastAsia" w:ascii="宋体" w:hAnsi="宋体" w:cs="宋体"/>
          <w:color w:val="auto"/>
          <w:sz w:val="21"/>
          <w:szCs w:val="21"/>
          <w:highlight w:val="none"/>
          <w:lang w:val="en-US" w:eastAsia="zh-CN"/>
        </w:rPr>
        <w:t>甲方</w:t>
      </w:r>
      <w:r>
        <w:rPr>
          <w:rFonts w:hint="eastAsia" w:ascii="宋体" w:hAnsi="宋体" w:eastAsia="宋体" w:cs="宋体"/>
          <w:color w:val="auto"/>
          <w:sz w:val="21"/>
          <w:szCs w:val="21"/>
          <w:highlight w:val="none"/>
        </w:rPr>
        <w:t>应书面要求</w:t>
      </w:r>
      <w:r>
        <w:rPr>
          <w:rFonts w:hint="eastAsia" w:ascii="宋体" w:hAnsi="宋体" w:cs="宋体"/>
          <w:color w:val="auto"/>
          <w:sz w:val="21"/>
          <w:szCs w:val="21"/>
          <w:highlight w:val="none"/>
          <w:lang w:val="en-US" w:eastAsia="zh-CN"/>
        </w:rPr>
        <w:t>乙方</w:t>
      </w:r>
      <w:r>
        <w:rPr>
          <w:rFonts w:hint="eastAsia" w:ascii="宋体" w:hAnsi="宋体" w:eastAsia="宋体" w:cs="宋体"/>
          <w:color w:val="auto"/>
          <w:sz w:val="21"/>
          <w:szCs w:val="21"/>
          <w:highlight w:val="none"/>
        </w:rPr>
        <w:t>进行整改，若</w:t>
      </w:r>
      <w:r>
        <w:rPr>
          <w:rFonts w:hint="eastAsia" w:ascii="宋体" w:hAnsi="宋体" w:cs="宋体"/>
          <w:color w:val="auto"/>
          <w:sz w:val="21"/>
          <w:szCs w:val="21"/>
          <w:highlight w:val="none"/>
          <w:lang w:val="en-US" w:eastAsia="zh-CN"/>
        </w:rPr>
        <w:t>乙方</w:t>
      </w:r>
      <w:r>
        <w:rPr>
          <w:rFonts w:hint="eastAsia" w:ascii="宋体" w:hAnsi="宋体" w:eastAsia="宋体" w:cs="宋体"/>
          <w:color w:val="auto"/>
          <w:sz w:val="21"/>
          <w:szCs w:val="21"/>
          <w:highlight w:val="none"/>
        </w:rPr>
        <w:t>不予整改，</w:t>
      </w:r>
      <w:r>
        <w:rPr>
          <w:rFonts w:hint="eastAsia" w:ascii="宋体" w:hAnsi="宋体" w:cs="宋体"/>
          <w:color w:val="auto"/>
          <w:sz w:val="21"/>
          <w:szCs w:val="21"/>
          <w:highlight w:val="none"/>
          <w:lang w:val="en-US" w:eastAsia="zh-CN"/>
        </w:rPr>
        <w:t>甲方</w:t>
      </w:r>
      <w:r>
        <w:rPr>
          <w:rFonts w:hint="eastAsia" w:ascii="宋体" w:hAnsi="宋体" w:eastAsia="宋体" w:cs="宋体"/>
          <w:color w:val="auto"/>
          <w:sz w:val="21"/>
          <w:szCs w:val="21"/>
          <w:highlight w:val="none"/>
        </w:rPr>
        <w:t>有权要求</w:t>
      </w:r>
      <w:r>
        <w:rPr>
          <w:rFonts w:hint="eastAsia" w:ascii="宋体" w:hAnsi="宋体" w:cs="宋体"/>
          <w:color w:val="auto"/>
          <w:sz w:val="21"/>
          <w:szCs w:val="21"/>
          <w:highlight w:val="none"/>
          <w:lang w:val="en-US" w:eastAsia="zh-CN"/>
        </w:rPr>
        <w:t>乙方</w:t>
      </w:r>
      <w:r>
        <w:rPr>
          <w:rFonts w:hint="eastAsia" w:ascii="宋体" w:hAnsi="宋体" w:eastAsia="宋体" w:cs="宋体"/>
          <w:color w:val="auto"/>
          <w:sz w:val="21"/>
          <w:szCs w:val="21"/>
          <w:highlight w:val="none"/>
        </w:rPr>
        <w:t>承担违约金，违约金按超过通知要求时间的逾期时间计算，每日为逾期未完成部分对应合同金额的万分之五，违</w:t>
      </w:r>
      <w:r>
        <w:rPr>
          <w:rFonts w:hint="eastAsia" w:ascii="宋体" w:hAnsi="宋体" w:cs="宋体"/>
          <w:color w:val="auto"/>
          <w:sz w:val="21"/>
          <w:szCs w:val="21"/>
          <w:highlight w:val="none"/>
          <w:lang w:val="en-US" w:eastAsia="zh-CN"/>
        </w:rPr>
        <w:t>约</w:t>
      </w:r>
      <w:r>
        <w:rPr>
          <w:rFonts w:hint="eastAsia" w:ascii="宋体" w:hAnsi="宋体" w:eastAsia="宋体" w:cs="宋体"/>
          <w:color w:val="auto"/>
          <w:sz w:val="21"/>
          <w:szCs w:val="21"/>
          <w:highlight w:val="none"/>
        </w:rPr>
        <w:t>金不超过合同金额5%。</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11.2</w:t>
      </w:r>
      <w:r>
        <w:rPr>
          <w:rFonts w:hint="eastAsia" w:ascii="宋体" w:hAnsi="宋体" w:eastAsia="宋体" w:cs="宋体"/>
          <w:color w:val="auto"/>
          <w:sz w:val="21"/>
          <w:szCs w:val="21"/>
          <w:highlight w:val="none"/>
        </w:rPr>
        <w:t>如果非</w:t>
      </w:r>
      <w:r>
        <w:rPr>
          <w:rFonts w:hint="eastAsia" w:ascii="宋体" w:hAnsi="宋体" w:cs="宋体"/>
          <w:color w:val="auto"/>
          <w:sz w:val="21"/>
          <w:szCs w:val="21"/>
          <w:highlight w:val="none"/>
          <w:lang w:val="en-US" w:eastAsia="zh-CN"/>
        </w:rPr>
        <w:t>乙方</w:t>
      </w:r>
      <w:r>
        <w:rPr>
          <w:rFonts w:hint="eastAsia" w:ascii="宋体" w:hAnsi="宋体" w:eastAsia="宋体" w:cs="宋体"/>
          <w:color w:val="auto"/>
          <w:sz w:val="21"/>
          <w:szCs w:val="21"/>
          <w:highlight w:val="none"/>
        </w:rPr>
        <w:t>原因造成</w:t>
      </w:r>
      <w:r>
        <w:rPr>
          <w:rFonts w:hint="eastAsia" w:ascii="宋体" w:hAnsi="宋体" w:cs="宋体"/>
          <w:color w:val="auto"/>
          <w:sz w:val="21"/>
          <w:szCs w:val="21"/>
          <w:highlight w:val="none"/>
          <w:lang w:val="en-US" w:eastAsia="zh-CN"/>
        </w:rPr>
        <w:t>乙方</w:t>
      </w:r>
      <w:r>
        <w:rPr>
          <w:rFonts w:hint="eastAsia" w:ascii="宋体" w:hAnsi="宋体" w:eastAsia="宋体" w:cs="宋体"/>
          <w:color w:val="auto"/>
          <w:sz w:val="21"/>
          <w:szCs w:val="21"/>
          <w:highlight w:val="none"/>
        </w:rPr>
        <w:t>未按期完成工作的，</w:t>
      </w:r>
      <w:r>
        <w:rPr>
          <w:rFonts w:hint="eastAsia" w:ascii="宋体" w:hAnsi="宋体" w:cs="宋体"/>
          <w:color w:val="auto"/>
          <w:sz w:val="21"/>
          <w:szCs w:val="21"/>
          <w:highlight w:val="none"/>
          <w:lang w:val="en-US" w:eastAsia="zh-CN"/>
        </w:rPr>
        <w:t>乙方</w:t>
      </w:r>
      <w:r>
        <w:rPr>
          <w:rFonts w:hint="eastAsia" w:ascii="宋体" w:hAnsi="宋体" w:eastAsia="宋体" w:cs="宋体"/>
          <w:color w:val="auto"/>
          <w:sz w:val="21"/>
          <w:szCs w:val="21"/>
          <w:highlight w:val="none"/>
        </w:rPr>
        <w:t>取得</w:t>
      </w:r>
      <w:r>
        <w:rPr>
          <w:rFonts w:hint="eastAsia" w:ascii="宋体" w:hAnsi="宋体" w:cs="宋体"/>
          <w:color w:val="auto"/>
          <w:sz w:val="21"/>
          <w:szCs w:val="21"/>
          <w:highlight w:val="none"/>
          <w:lang w:val="en-US" w:eastAsia="zh-CN"/>
        </w:rPr>
        <w:t>甲方</w:t>
      </w:r>
      <w:r>
        <w:rPr>
          <w:rFonts w:hint="eastAsia" w:ascii="宋体" w:hAnsi="宋体" w:eastAsia="宋体" w:cs="宋体"/>
          <w:color w:val="auto"/>
          <w:sz w:val="21"/>
          <w:szCs w:val="21"/>
          <w:highlight w:val="none"/>
        </w:rPr>
        <w:t>书面确认，则</w:t>
      </w:r>
      <w:r>
        <w:rPr>
          <w:rFonts w:hint="eastAsia" w:ascii="宋体" w:hAnsi="宋体" w:cs="宋体"/>
          <w:color w:val="auto"/>
          <w:sz w:val="21"/>
          <w:szCs w:val="21"/>
          <w:highlight w:val="none"/>
          <w:lang w:val="en-US" w:eastAsia="zh-CN"/>
        </w:rPr>
        <w:t>乙方</w:t>
      </w:r>
      <w:r>
        <w:rPr>
          <w:rFonts w:hint="eastAsia" w:ascii="宋体" w:hAnsi="宋体" w:eastAsia="宋体" w:cs="宋体"/>
          <w:color w:val="auto"/>
          <w:sz w:val="21"/>
          <w:szCs w:val="21"/>
          <w:highlight w:val="none"/>
        </w:rPr>
        <w:t>不承担由此产生的逾期未完成工作的责任。</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b/>
          <w:color w:val="auto"/>
          <w:sz w:val="21"/>
          <w:szCs w:val="21"/>
          <w:highlight w:val="none"/>
          <w:lang w:val="en-US" w:eastAsia="zh-CN"/>
        </w:rPr>
      </w:pPr>
      <w:r>
        <w:rPr>
          <w:rFonts w:hint="eastAsia" w:ascii="宋体" w:hAnsi="宋体" w:cs="宋体"/>
          <w:b/>
          <w:color w:val="auto"/>
          <w:sz w:val="21"/>
          <w:szCs w:val="21"/>
          <w:highlight w:val="none"/>
          <w:lang w:val="en-US" w:eastAsia="zh-CN"/>
        </w:rPr>
        <w:t>12.解决争议的方法</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12.1乙方</w:t>
      </w:r>
      <w:r>
        <w:rPr>
          <w:rFonts w:hint="eastAsia" w:ascii="宋体" w:hAnsi="宋体" w:eastAsia="宋体" w:cs="宋体"/>
          <w:color w:val="auto"/>
          <w:sz w:val="21"/>
          <w:szCs w:val="21"/>
          <w:highlight w:val="none"/>
        </w:rPr>
        <w:t>提供的服务如侵犯了第三方合法权益而引发的任何纠纷或诉讼，均由</w:t>
      </w:r>
      <w:r>
        <w:rPr>
          <w:rFonts w:hint="eastAsia" w:ascii="宋体" w:hAnsi="宋体" w:cs="宋体"/>
          <w:color w:val="auto"/>
          <w:sz w:val="21"/>
          <w:szCs w:val="21"/>
          <w:highlight w:val="none"/>
          <w:lang w:val="en-US" w:eastAsia="zh-CN"/>
        </w:rPr>
        <w:t>乙方</w:t>
      </w:r>
      <w:r>
        <w:rPr>
          <w:rFonts w:hint="eastAsia" w:ascii="宋体" w:hAnsi="宋体" w:eastAsia="宋体" w:cs="宋体"/>
          <w:color w:val="auto"/>
          <w:sz w:val="21"/>
          <w:szCs w:val="21"/>
          <w:highlight w:val="none"/>
        </w:rPr>
        <w:t>负责交涉并承担全部责任。</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12.2</w:t>
      </w:r>
      <w:r>
        <w:rPr>
          <w:rFonts w:hint="eastAsia" w:ascii="宋体" w:hAnsi="宋体" w:eastAsia="宋体" w:cs="宋体"/>
          <w:color w:val="auto"/>
          <w:sz w:val="21"/>
          <w:szCs w:val="21"/>
          <w:highlight w:val="none"/>
        </w:rPr>
        <w:t>凡因本合同引起的或与本合同有关的争议，双方应友好协商解决。协商不成时，双方均同意采用以下第</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1</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种</w:t>
      </w:r>
      <w:r>
        <w:rPr>
          <w:rFonts w:hint="eastAsia" w:ascii="宋体" w:hAnsi="宋体" w:eastAsia="宋体" w:cs="宋体"/>
          <w:color w:val="auto"/>
          <w:sz w:val="21"/>
          <w:szCs w:val="21"/>
          <w:highlight w:val="none"/>
        </w:rPr>
        <w:t>争议解</w:t>
      </w:r>
      <w:r>
        <w:rPr>
          <w:rFonts w:hint="eastAsia" w:ascii="宋体" w:hAnsi="宋体" w:cs="宋体"/>
          <w:color w:val="auto"/>
          <w:sz w:val="21"/>
          <w:szCs w:val="21"/>
          <w:highlight w:val="none"/>
          <w:lang w:val="en-US" w:eastAsia="zh-CN"/>
        </w:rPr>
        <w:t>决方式</w:t>
      </w:r>
      <w:r>
        <w:rPr>
          <w:rFonts w:hint="eastAsia" w:ascii="宋体" w:hAnsi="宋体" w:eastAsia="宋体" w:cs="宋体"/>
          <w:color w:val="auto"/>
          <w:sz w:val="21"/>
          <w:szCs w:val="21"/>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1)甲、双</w:t>
      </w:r>
      <w:r>
        <w:rPr>
          <w:rFonts w:hint="eastAsia" w:ascii="宋体" w:hAnsi="宋体" w:cs="宋体"/>
          <w:color w:val="auto"/>
          <w:sz w:val="21"/>
          <w:szCs w:val="21"/>
          <w:highlight w:val="none"/>
          <w:lang w:val="en-US" w:eastAsia="zh-CN"/>
        </w:rPr>
        <w:t>方均</w:t>
      </w:r>
      <w:r>
        <w:rPr>
          <w:rFonts w:hint="eastAsia" w:ascii="宋体" w:hAnsi="宋体" w:eastAsia="宋体" w:cs="宋体"/>
          <w:color w:val="auto"/>
          <w:sz w:val="21"/>
          <w:szCs w:val="21"/>
          <w:highlight w:val="none"/>
        </w:rPr>
        <w:t>同</w:t>
      </w:r>
      <w:r>
        <w:rPr>
          <w:rFonts w:hint="eastAsia" w:ascii="宋体" w:hAnsi="宋体" w:cs="宋体"/>
          <w:color w:val="auto"/>
          <w:sz w:val="21"/>
          <w:szCs w:val="21"/>
          <w:highlight w:val="none"/>
          <w:lang w:val="en-US" w:eastAsia="zh-CN"/>
        </w:rPr>
        <w:t>意向</w:t>
      </w: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渭</w:t>
      </w:r>
      <w:r>
        <w:rPr>
          <w:rFonts w:hint="eastAsia" w:ascii="宋体" w:hAnsi="宋体" w:eastAsia="宋体" w:cs="宋体"/>
          <w:color w:val="auto"/>
          <w:sz w:val="21"/>
          <w:szCs w:val="21"/>
          <w:highlight w:val="none"/>
        </w:rPr>
        <w:t>城区人民法院)</w:t>
      </w:r>
      <w:r>
        <w:rPr>
          <w:rFonts w:hint="eastAsia" w:ascii="宋体" w:hAnsi="宋体" w:cs="宋体"/>
          <w:color w:val="auto"/>
          <w:sz w:val="21"/>
          <w:szCs w:val="21"/>
          <w:highlight w:val="none"/>
          <w:lang w:val="en-US" w:eastAsia="zh-CN"/>
        </w:rPr>
        <w:t>提</w:t>
      </w:r>
      <w:r>
        <w:rPr>
          <w:rFonts w:hint="eastAsia" w:ascii="宋体" w:hAnsi="宋体" w:eastAsia="宋体" w:cs="宋体"/>
          <w:color w:val="auto"/>
          <w:sz w:val="21"/>
          <w:szCs w:val="21"/>
          <w:highlight w:val="none"/>
        </w:rPr>
        <w:t>起</w:t>
      </w:r>
      <w:r>
        <w:rPr>
          <w:rFonts w:hint="eastAsia" w:ascii="宋体" w:hAnsi="宋体" w:cs="宋体"/>
          <w:color w:val="auto"/>
          <w:sz w:val="21"/>
          <w:szCs w:val="21"/>
          <w:highlight w:val="none"/>
          <w:lang w:val="en-US" w:eastAsia="zh-CN"/>
        </w:rPr>
        <w:t>诉讼</w:t>
      </w:r>
      <w:r>
        <w:rPr>
          <w:rFonts w:hint="eastAsia" w:ascii="宋体" w:hAnsi="宋体" w:eastAsia="宋体" w:cs="宋体"/>
          <w:color w:val="auto"/>
          <w:sz w:val="21"/>
          <w:szCs w:val="21"/>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2)甲乙双方均同意</w:t>
      </w:r>
      <w:r>
        <w:rPr>
          <w:rFonts w:hint="eastAsia" w:ascii="宋体" w:hAnsi="宋体" w:cs="宋体"/>
          <w:color w:val="auto"/>
          <w:sz w:val="21"/>
          <w:szCs w:val="21"/>
          <w:highlight w:val="none"/>
          <w:lang w:val="en-US" w:eastAsia="zh-CN"/>
        </w:rPr>
        <w:t>向</w:t>
      </w: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仲裁</w:t>
      </w:r>
      <w:r>
        <w:rPr>
          <w:rFonts w:hint="eastAsia" w:ascii="宋体" w:hAnsi="宋体" w:eastAsia="宋体" w:cs="宋体"/>
          <w:color w:val="auto"/>
          <w:sz w:val="21"/>
          <w:szCs w:val="21"/>
          <w:highlight w:val="none"/>
        </w:rPr>
        <w:t>委员</w:t>
      </w:r>
      <w:r>
        <w:rPr>
          <w:rFonts w:hint="eastAsia" w:ascii="宋体" w:hAnsi="宋体" w:cs="宋体"/>
          <w:color w:val="auto"/>
          <w:sz w:val="21"/>
          <w:szCs w:val="21"/>
          <w:highlight w:val="none"/>
          <w:lang w:val="en-US" w:eastAsia="zh-CN"/>
        </w:rPr>
        <w:t>会）提起仲裁</w:t>
      </w:r>
      <w:r>
        <w:rPr>
          <w:rFonts w:hint="eastAsia" w:ascii="宋体" w:hAnsi="宋体" w:eastAsia="宋体" w:cs="宋体"/>
          <w:color w:val="auto"/>
          <w:sz w:val="21"/>
          <w:szCs w:val="21"/>
          <w:highlight w:val="none"/>
        </w:rPr>
        <w: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13.适用法律</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13.1本合同应按照中华人民共和国的现行法律进行解释。</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14.合同生效及其它</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14.1本合同在买卖双方签字、盖章之后生效。</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14.2本合同正本一式二份，副本一式四份，均以中文书写</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双方各</w:t>
      </w:r>
      <w:r>
        <w:rPr>
          <w:rFonts w:hint="eastAsia" w:ascii="宋体" w:hAnsi="宋体" w:eastAsia="宋体" w:cs="宋体"/>
          <w:color w:val="auto"/>
          <w:sz w:val="21"/>
          <w:szCs w:val="21"/>
          <w:highlight w:val="none"/>
        </w:rPr>
        <w:t>执正本一份、副本二份。</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15.合同修改</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15.1本合同在执行过程中，如提出修改，由买、卖双方签署书面修改协议，并成为本合同不可分割的一部分。除此之外，本合同的条件不得有任何变化或修改。</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16.合同附件</w:t>
      </w:r>
    </w:p>
    <w:p>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16.1本合同所有附件是本合同不可分割的部分,与主合同具有同等法律效力。</w:t>
      </w:r>
    </w:p>
    <w:p>
      <w:pPr>
        <w:spacing w:line="360" w:lineRule="auto"/>
        <w:jc w:val="center"/>
        <w:rPr>
          <w:rFonts w:hint="eastAsia" w:ascii="仿宋" w:hAnsi="仿宋" w:eastAsia="仿宋" w:cs="仿宋"/>
          <w:b/>
          <w:color w:val="auto"/>
          <w:sz w:val="44"/>
          <w:szCs w:val="44"/>
          <w:highlight w:val="none"/>
        </w:rPr>
      </w:pPr>
      <w:r>
        <w:rPr>
          <w:rFonts w:hint="eastAsia" w:ascii="仿宋" w:hAnsi="仿宋" w:eastAsia="仿宋" w:cs="仿宋"/>
          <w:b/>
          <w:color w:val="auto"/>
          <w:sz w:val="36"/>
          <w:highlight w:val="none"/>
        </w:rPr>
        <w:br w:type="page"/>
      </w:r>
      <w:r>
        <w:rPr>
          <w:rFonts w:hint="eastAsia" w:ascii="宋体" w:hAnsi="宋体" w:cs="宋体"/>
          <w:b/>
          <w:color w:val="auto"/>
          <w:sz w:val="32"/>
          <w:szCs w:val="32"/>
          <w:highlight w:val="none"/>
          <w:lang w:eastAsia="zh-CN"/>
        </w:rPr>
        <w:t>（</w:t>
      </w:r>
      <w:r>
        <w:rPr>
          <w:rFonts w:hint="eastAsia" w:ascii="宋体" w:hAnsi="宋体" w:cs="宋体"/>
          <w:b/>
          <w:color w:val="auto"/>
          <w:sz w:val="32"/>
          <w:szCs w:val="32"/>
          <w:highlight w:val="none"/>
          <w:lang w:val="en-US" w:eastAsia="zh-CN"/>
        </w:rPr>
        <w:t>二</w:t>
      </w:r>
      <w:r>
        <w:rPr>
          <w:rFonts w:hint="eastAsia" w:ascii="宋体" w:hAnsi="宋体" w:cs="宋体"/>
          <w:b/>
          <w:color w:val="auto"/>
          <w:sz w:val="32"/>
          <w:szCs w:val="32"/>
          <w:highlight w:val="none"/>
          <w:lang w:eastAsia="zh-CN"/>
        </w:rPr>
        <w:t>）</w:t>
      </w:r>
      <w:r>
        <w:rPr>
          <w:rFonts w:hint="eastAsia" w:ascii="宋体" w:hAnsi="宋体" w:eastAsia="宋体" w:cs="宋体"/>
          <w:b/>
          <w:color w:val="auto"/>
          <w:sz w:val="32"/>
          <w:szCs w:val="32"/>
          <w:highlight w:val="none"/>
          <w:lang w:eastAsia="zh-CN"/>
        </w:rPr>
        <w:t>合同专用条款</w:t>
      </w:r>
    </w:p>
    <w:p>
      <w:pPr>
        <w:rPr>
          <w:rFonts w:hint="eastAsia" w:ascii="仿宋" w:hAnsi="仿宋" w:eastAsia="仿宋" w:cs="仿宋"/>
          <w:color w:val="auto"/>
          <w:highlight w:val="none"/>
        </w:rPr>
      </w:pPr>
    </w:p>
    <w:p>
      <w:pPr>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本表是对《合同通用条款》的具体补充和修改，如有矛盾，应以本表为准。</w:t>
      </w:r>
    </w:p>
    <w:tbl>
      <w:tblPr>
        <w:tblStyle w:val="23"/>
        <w:tblW w:w="8488"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021"/>
        <w:gridCol w:w="746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1021" w:type="dxa"/>
            <w:noWrap w:val="0"/>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条款号</w:t>
            </w:r>
          </w:p>
        </w:tc>
        <w:tc>
          <w:tcPr>
            <w:tcW w:w="7467" w:type="dxa"/>
            <w:noWrap w:val="0"/>
            <w:vAlign w:val="center"/>
          </w:tcPr>
          <w:p>
            <w:pPr>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内      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061" w:hRule="atLeast"/>
        </w:trPr>
        <w:tc>
          <w:tcPr>
            <w:tcW w:w="1021" w:type="dxa"/>
            <w:noWrap w:val="0"/>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7467" w:type="dxa"/>
            <w:noWrap w:val="0"/>
            <w:vAlign w:val="center"/>
          </w:tcPr>
          <w:p>
            <w:pPr>
              <w:spacing w:after="50" w:line="360" w:lineRule="auto"/>
              <w:jc w:val="left"/>
              <w:rPr>
                <w:rFonts w:hint="eastAsia" w:ascii="宋体" w:hAnsi="宋体" w:eastAsia="宋体" w:cs="宋体"/>
                <w:snapToGrid w:val="0"/>
                <w:color w:val="auto"/>
                <w:sz w:val="21"/>
                <w:szCs w:val="21"/>
                <w:highlight w:val="none"/>
                <w:lang w:bidi="he-IL"/>
              </w:rPr>
            </w:pPr>
            <w:r>
              <w:rPr>
                <w:rFonts w:hint="eastAsia" w:ascii="宋体" w:hAnsi="宋体" w:cs="宋体"/>
                <w:color w:val="auto"/>
                <w:sz w:val="21"/>
                <w:szCs w:val="21"/>
                <w:highlight w:val="none"/>
                <w:lang w:eastAsia="zh-CN"/>
              </w:rPr>
              <w:t>甲方</w:t>
            </w:r>
            <w:r>
              <w:rPr>
                <w:rFonts w:hint="eastAsia" w:ascii="宋体" w:hAnsi="宋体" w:eastAsia="宋体" w:cs="宋体"/>
                <w:color w:val="auto"/>
                <w:sz w:val="21"/>
                <w:szCs w:val="21"/>
                <w:highlight w:val="none"/>
              </w:rPr>
              <w:t>名称：</w:t>
            </w:r>
            <w:r>
              <w:rPr>
                <w:rFonts w:hint="eastAsia" w:ascii="宋体" w:hAnsi="宋体" w:eastAsia="宋体" w:cs="宋体"/>
                <w:snapToGrid w:val="0"/>
                <w:color w:val="auto"/>
                <w:sz w:val="21"/>
                <w:szCs w:val="21"/>
                <w:highlight w:val="none"/>
                <w:lang w:bidi="he-IL"/>
              </w:rPr>
              <w:t>咸阳市中心医院</w:t>
            </w:r>
          </w:p>
          <w:p>
            <w:pPr>
              <w:spacing w:line="360" w:lineRule="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地址：咸阳市人民东路78号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21" w:hRule="atLeast"/>
        </w:trPr>
        <w:tc>
          <w:tcPr>
            <w:tcW w:w="1021" w:type="dxa"/>
            <w:noWrap w:val="0"/>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7467" w:type="dxa"/>
            <w:noWrap w:val="0"/>
            <w:vAlign w:val="center"/>
          </w:tcPr>
          <w:p>
            <w:pPr>
              <w:spacing w:after="50" w:line="360" w:lineRule="auto"/>
              <w:jc w:val="left"/>
              <w:rPr>
                <w:rFonts w:hint="eastAsia" w:ascii="宋体" w:hAnsi="宋体" w:eastAsia="宋体" w:cs="宋体"/>
                <w:snapToGrid w:val="0"/>
                <w:color w:val="auto"/>
                <w:sz w:val="21"/>
                <w:szCs w:val="21"/>
                <w:highlight w:val="none"/>
                <w:lang w:bidi="he-IL"/>
              </w:rPr>
            </w:pPr>
            <w:r>
              <w:rPr>
                <w:rFonts w:hint="eastAsia" w:ascii="宋体" w:hAnsi="宋体" w:cs="宋体"/>
                <w:color w:val="auto"/>
                <w:sz w:val="21"/>
                <w:szCs w:val="21"/>
                <w:highlight w:val="none"/>
                <w:lang w:eastAsia="zh-CN"/>
              </w:rPr>
              <w:t>服务地点</w:t>
            </w:r>
            <w:r>
              <w:rPr>
                <w:rFonts w:hint="eastAsia" w:ascii="宋体" w:hAnsi="宋体" w:eastAsia="宋体" w:cs="宋体"/>
                <w:color w:val="auto"/>
                <w:sz w:val="21"/>
                <w:szCs w:val="21"/>
                <w:highlight w:val="none"/>
              </w:rPr>
              <w:t>：</w:t>
            </w:r>
            <w:r>
              <w:rPr>
                <w:rFonts w:hint="eastAsia" w:ascii="宋体" w:hAnsi="宋体" w:eastAsia="宋体" w:cs="宋体"/>
                <w:snapToGrid w:val="0"/>
                <w:color w:val="auto"/>
                <w:sz w:val="21"/>
                <w:szCs w:val="21"/>
                <w:highlight w:val="none"/>
                <w:lang w:bidi="he-IL"/>
              </w:rPr>
              <w:t>咸阳市中心医院指定地点</w:t>
            </w:r>
          </w:p>
          <w:p>
            <w:pPr>
              <w:pStyle w:val="2"/>
              <w:rPr>
                <w:rFonts w:hint="default" w:eastAsia="宋体"/>
                <w:lang w:val="en-US" w:eastAsia="zh-CN"/>
              </w:rPr>
            </w:pPr>
            <w:r>
              <w:rPr>
                <w:rFonts w:hint="eastAsia" w:ascii="宋体" w:hAnsi="宋体" w:cs="宋体"/>
                <w:snapToGrid w:val="0"/>
                <w:color w:val="auto"/>
                <w:sz w:val="21"/>
                <w:szCs w:val="21"/>
                <w:highlight w:val="none"/>
                <w:lang w:val="en-US" w:eastAsia="zh-CN" w:bidi="he-IL"/>
              </w:rPr>
              <w:t>项目完工期：180日历天</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1021" w:type="dxa"/>
            <w:noWrap w:val="0"/>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7.3</w:t>
            </w:r>
          </w:p>
        </w:tc>
        <w:tc>
          <w:tcPr>
            <w:tcW w:w="7467" w:type="dxa"/>
            <w:noWrap w:val="0"/>
            <w:vAlign w:val="center"/>
          </w:tcPr>
          <w:p>
            <w:pPr>
              <w:keepNext w:val="0"/>
              <w:keepLines w:val="0"/>
              <w:pageBreakBefore w:val="0"/>
              <w:widowControl w:val="0"/>
              <w:suppressAutoHyphens/>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付款方法和条件为：</w:t>
            </w:r>
          </w:p>
          <w:p>
            <w:pPr>
              <w:keepNext w:val="0"/>
              <w:keepLines w:val="0"/>
              <w:pageBreakBefore w:val="0"/>
              <w:widowControl w:val="0"/>
              <w:suppressAutoHyphens/>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snapToGrid w:val="0"/>
                <w:color w:val="auto"/>
                <w:sz w:val="21"/>
                <w:szCs w:val="21"/>
                <w:highlight w:val="none"/>
              </w:rPr>
            </w:pPr>
            <w:r>
              <w:rPr>
                <w:rFonts w:hint="eastAsia" w:ascii="宋体" w:hAnsi="宋体" w:cs="宋体"/>
                <w:snapToGrid w:val="0"/>
                <w:color w:val="auto"/>
                <w:sz w:val="21"/>
                <w:szCs w:val="21"/>
                <w:highlight w:val="none"/>
                <w:lang w:val="en-US" w:eastAsia="zh-CN"/>
              </w:rPr>
              <w:t>合同生效后支付合同款的60%，设备入场通过医院考核后支付合同款的35%，终验通过医院考核后支付合同款的5%。</w:t>
            </w:r>
          </w:p>
          <w:p>
            <w:pPr>
              <w:keepNext w:val="0"/>
              <w:keepLines w:val="0"/>
              <w:pageBreakBefore w:val="0"/>
              <w:widowControl w:val="0"/>
              <w:suppressAutoHyphens/>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snapToGrid w:val="0"/>
                <w:color w:val="auto"/>
                <w:sz w:val="21"/>
                <w:szCs w:val="21"/>
                <w:highlight w:val="none"/>
              </w:rPr>
            </w:pPr>
            <w:r>
              <w:rPr>
                <w:rFonts w:hint="eastAsia" w:ascii="宋体" w:hAnsi="宋体" w:cs="宋体"/>
                <w:snapToGrid w:val="0"/>
                <w:color w:val="auto"/>
                <w:sz w:val="21"/>
                <w:szCs w:val="21"/>
                <w:highlight w:val="none"/>
                <w:lang w:val="en-US" w:eastAsia="zh-CN"/>
              </w:rPr>
              <w:t>2</w:t>
            </w:r>
            <w:r>
              <w:rPr>
                <w:rFonts w:hint="eastAsia" w:ascii="宋体" w:hAnsi="宋体" w:cs="宋体"/>
                <w:snapToGrid w:val="0"/>
                <w:color w:val="auto"/>
                <w:sz w:val="21"/>
                <w:szCs w:val="21"/>
                <w:highlight w:val="none"/>
                <w:lang w:eastAsia="zh-CN"/>
              </w:rPr>
              <w:t>）</w:t>
            </w:r>
            <w:r>
              <w:rPr>
                <w:rFonts w:hint="eastAsia" w:ascii="宋体" w:hAnsi="宋体" w:eastAsia="宋体" w:cs="宋体"/>
                <w:snapToGrid w:val="0"/>
                <w:color w:val="auto"/>
                <w:sz w:val="21"/>
                <w:szCs w:val="21"/>
                <w:highlight w:val="none"/>
              </w:rPr>
              <w:t xml:space="preserve">支付方式：银行转帐。 </w:t>
            </w:r>
          </w:p>
          <w:p>
            <w:pPr>
              <w:keepNext w:val="0"/>
              <w:keepLines w:val="0"/>
              <w:pageBreakBefore w:val="0"/>
              <w:widowControl w:val="0"/>
              <w:kinsoku/>
              <w:wordWrap/>
              <w:overflowPunct/>
              <w:topLinePunct w:val="0"/>
              <w:autoSpaceDE/>
              <w:autoSpaceDN/>
              <w:bidi w:val="0"/>
              <w:adjustRightInd/>
              <w:snapToGrid/>
              <w:spacing w:line="360" w:lineRule="auto"/>
              <w:ind w:left="0" w:firstLine="0" w:firstLineChars="0"/>
              <w:jc w:val="left"/>
              <w:textAlignment w:val="auto"/>
              <w:rPr>
                <w:rFonts w:hint="eastAsia" w:ascii="宋体" w:hAnsi="宋体" w:eastAsia="宋体" w:cs="宋体"/>
                <w:color w:val="auto"/>
                <w:sz w:val="21"/>
                <w:szCs w:val="21"/>
                <w:highlight w:val="none"/>
              </w:rPr>
            </w:pPr>
            <w:r>
              <w:rPr>
                <w:rFonts w:hint="eastAsia" w:ascii="宋体" w:hAnsi="宋体" w:cs="宋体"/>
                <w:snapToGrid w:val="0"/>
                <w:color w:val="auto"/>
                <w:sz w:val="21"/>
                <w:szCs w:val="21"/>
                <w:highlight w:val="none"/>
                <w:lang w:val="en-US" w:eastAsia="zh-CN"/>
              </w:rPr>
              <w:t>3</w:t>
            </w:r>
            <w:r>
              <w:rPr>
                <w:rFonts w:hint="eastAsia" w:ascii="宋体" w:hAnsi="宋体" w:cs="宋体"/>
                <w:snapToGrid w:val="0"/>
                <w:color w:val="auto"/>
                <w:sz w:val="21"/>
                <w:szCs w:val="21"/>
                <w:highlight w:val="none"/>
                <w:lang w:eastAsia="zh-CN"/>
              </w:rPr>
              <w:t>）</w:t>
            </w:r>
            <w:r>
              <w:rPr>
                <w:rFonts w:hint="eastAsia" w:ascii="宋体" w:hAnsi="宋体" w:eastAsia="宋体" w:cs="宋体"/>
                <w:snapToGrid w:val="0"/>
                <w:color w:val="auto"/>
                <w:sz w:val="21"/>
                <w:szCs w:val="21"/>
                <w:highlight w:val="none"/>
              </w:rPr>
              <w:t>结算方式：</w:t>
            </w:r>
            <w:r>
              <w:rPr>
                <w:rFonts w:hint="eastAsia" w:ascii="宋体" w:hAnsi="宋体" w:cs="宋体"/>
                <w:snapToGrid w:val="0"/>
                <w:color w:val="auto"/>
                <w:sz w:val="21"/>
                <w:szCs w:val="21"/>
                <w:highlight w:val="none"/>
                <w:lang w:eastAsia="zh-CN"/>
              </w:rPr>
              <w:t>乙方</w:t>
            </w:r>
            <w:r>
              <w:rPr>
                <w:rFonts w:hint="eastAsia" w:ascii="宋体" w:hAnsi="宋体" w:eastAsia="宋体" w:cs="宋体"/>
                <w:snapToGrid w:val="0"/>
                <w:color w:val="auto"/>
                <w:sz w:val="21"/>
                <w:szCs w:val="21"/>
                <w:highlight w:val="none"/>
              </w:rPr>
              <w:t>持验收单、全额发票、中标通知书、供货合同以及合同约定的其它相关重要单据，与</w:t>
            </w:r>
            <w:r>
              <w:rPr>
                <w:rFonts w:hint="eastAsia" w:ascii="宋体" w:hAnsi="宋体" w:cs="宋体"/>
                <w:snapToGrid w:val="0"/>
                <w:color w:val="auto"/>
                <w:sz w:val="21"/>
                <w:szCs w:val="21"/>
                <w:highlight w:val="none"/>
                <w:lang w:eastAsia="zh-CN"/>
              </w:rPr>
              <w:t>甲方</w:t>
            </w:r>
            <w:r>
              <w:rPr>
                <w:rFonts w:hint="eastAsia" w:ascii="宋体" w:hAnsi="宋体" w:eastAsia="宋体" w:cs="宋体"/>
                <w:snapToGrid w:val="0"/>
                <w:color w:val="auto"/>
                <w:sz w:val="21"/>
                <w:szCs w:val="21"/>
                <w:highlight w:val="none"/>
              </w:rPr>
              <w:t>结算。</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1021" w:type="dxa"/>
            <w:noWrap w:val="0"/>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9.1</w:t>
            </w:r>
          </w:p>
        </w:tc>
        <w:tc>
          <w:tcPr>
            <w:tcW w:w="7467" w:type="dxa"/>
            <w:noWrap w:val="0"/>
            <w:vAlign w:val="center"/>
          </w:tcPr>
          <w:p>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质保期：</w:t>
            </w:r>
            <w:r>
              <w:rPr>
                <w:rFonts w:hint="eastAsia" w:ascii="宋体" w:hAnsi="宋体" w:cs="宋体"/>
                <w:color w:val="auto"/>
                <w:kern w:val="2"/>
                <w:sz w:val="21"/>
                <w:szCs w:val="21"/>
                <w:highlight w:val="none"/>
                <w:lang w:val="en-US" w:eastAsia="zh-CN" w:bidi="ar-SA"/>
              </w:rPr>
              <w:t>3</w:t>
            </w:r>
            <w:r>
              <w:rPr>
                <w:rFonts w:hint="eastAsia" w:ascii="宋体" w:hAnsi="宋体" w:eastAsia="宋体" w:cs="宋体"/>
                <w:color w:val="auto"/>
                <w:kern w:val="2"/>
                <w:sz w:val="21"/>
                <w:szCs w:val="21"/>
                <w:highlight w:val="none"/>
                <w:lang w:val="en-US" w:eastAsia="zh-CN" w:bidi="ar-SA"/>
              </w:rPr>
              <w:t>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1021" w:type="dxa"/>
            <w:noWrap w:val="0"/>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9.3</w:t>
            </w:r>
          </w:p>
        </w:tc>
        <w:tc>
          <w:tcPr>
            <w:tcW w:w="7467" w:type="dxa"/>
            <w:noWrap w:val="0"/>
            <w:vAlign w:val="center"/>
          </w:tcPr>
          <w:p>
            <w:pPr>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售后要求：在西安或咸阳地区有售后服务点，</w:t>
            </w:r>
            <w:r>
              <w:rPr>
                <w:rFonts w:hint="eastAsia" w:ascii="宋体" w:hAnsi="宋体" w:cs="宋体"/>
                <w:color w:val="auto"/>
                <w:sz w:val="21"/>
                <w:szCs w:val="21"/>
                <w:highlight w:val="none"/>
                <w:lang w:val="en-US" w:eastAsia="zh-CN"/>
              </w:rPr>
              <w:t>软件故障出现必须以最快时间排查，并在排查后向医院出具相关报告；一般问题</w:t>
            </w:r>
            <w:r>
              <w:rPr>
                <w:rFonts w:hint="eastAsia" w:ascii="宋体" w:hAnsi="宋体" w:eastAsia="宋体" w:cs="宋体"/>
                <w:color w:val="auto"/>
                <w:sz w:val="21"/>
                <w:szCs w:val="21"/>
                <w:highlight w:val="none"/>
              </w:rPr>
              <w:t>2小时</w:t>
            </w:r>
            <w:r>
              <w:rPr>
                <w:rFonts w:hint="eastAsia" w:ascii="宋体" w:hAnsi="宋体" w:cs="宋体"/>
                <w:color w:val="auto"/>
                <w:sz w:val="21"/>
                <w:szCs w:val="21"/>
                <w:highlight w:val="none"/>
                <w:lang w:val="en-US" w:eastAsia="zh-CN"/>
              </w:rPr>
              <w:t>以内，严重问题4小时以内，特别严重8小时以内</w:t>
            </w:r>
            <w:r>
              <w:rPr>
                <w:rFonts w:hint="eastAsia" w:ascii="宋体" w:hAnsi="宋体" w:eastAsia="宋体" w:cs="宋体"/>
                <w:color w:val="auto"/>
                <w:sz w:val="21"/>
                <w:szCs w:val="21"/>
                <w:highlight w:val="none"/>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8" w:hRule="atLeast"/>
        </w:trPr>
        <w:tc>
          <w:tcPr>
            <w:tcW w:w="1021" w:type="dxa"/>
            <w:tcBorders>
              <w:top w:val="single" w:color="auto" w:sz="4" w:space="0"/>
            </w:tcBorders>
            <w:noWrap w:val="0"/>
            <w:vAlign w:val="center"/>
          </w:tcPr>
          <w:p>
            <w:pPr>
              <w:spacing w:line="36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10.2</w:t>
            </w:r>
          </w:p>
        </w:tc>
        <w:tc>
          <w:tcPr>
            <w:tcW w:w="7467" w:type="dxa"/>
            <w:tcBorders>
              <w:top w:val="single" w:color="auto" w:sz="4" w:space="0"/>
            </w:tcBorders>
            <w:noWrap w:val="0"/>
            <w:vAlign w:val="center"/>
          </w:tcPr>
          <w:p>
            <w:pPr>
              <w:spacing w:line="360" w:lineRule="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验收方式及验收依据：</w:t>
            </w:r>
            <w:r>
              <w:rPr>
                <w:rFonts w:hint="eastAsia" w:ascii="宋体" w:hAnsi="宋体" w:cs="宋体"/>
                <w:color w:val="auto"/>
                <w:sz w:val="21"/>
                <w:szCs w:val="21"/>
                <w:highlight w:val="none"/>
                <w:lang w:val="en-US" w:eastAsia="zh-CN"/>
              </w:rPr>
              <w:t>项目实施工作完成</w:t>
            </w:r>
            <w:r>
              <w:rPr>
                <w:rFonts w:hint="eastAsia" w:ascii="宋体" w:hAnsi="宋体" w:eastAsia="宋体" w:cs="宋体"/>
                <w:color w:val="auto"/>
                <w:sz w:val="21"/>
                <w:szCs w:val="21"/>
                <w:highlight w:val="none"/>
              </w:rPr>
              <w:t>后，由采购单位负责组织验收或者邀请有关专家</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根据合同要求</w:t>
            </w:r>
            <w:r>
              <w:rPr>
                <w:rFonts w:hint="eastAsia" w:ascii="宋体" w:hAnsi="宋体" w:cs="宋体"/>
                <w:color w:val="auto"/>
                <w:sz w:val="21"/>
                <w:szCs w:val="21"/>
                <w:highlight w:val="none"/>
                <w:lang w:eastAsia="zh-CN"/>
              </w:rPr>
              <w:t>、</w:t>
            </w:r>
            <w:r>
              <w:rPr>
                <w:rFonts w:hint="eastAsia"/>
                <w:lang w:val="en-US" w:eastAsia="zh-CN"/>
              </w:rPr>
              <w:t>招投标文件、澄清、及国家相应的标准、规范等为依据</w:t>
            </w:r>
            <w:r>
              <w:rPr>
                <w:rFonts w:hint="eastAsia" w:ascii="宋体" w:hAnsi="宋体" w:eastAsia="宋体" w:cs="宋体"/>
                <w:color w:val="auto"/>
                <w:sz w:val="21"/>
                <w:szCs w:val="21"/>
                <w:highlight w:val="none"/>
              </w:rPr>
              <w:t>进行验收。验收合格须交接项目实施的全部资料，并填写</w:t>
            </w:r>
            <w:r>
              <w:rPr>
                <w:rFonts w:hint="eastAsia" w:ascii="宋体" w:hAnsi="宋体" w:eastAsia="宋体" w:cs="宋体"/>
                <w:color w:val="auto"/>
                <w:sz w:val="21"/>
                <w:szCs w:val="21"/>
                <w:highlight w:val="none"/>
                <w:lang w:val="en-US" w:eastAsia="zh-CN"/>
              </w:rPr>
              <w:t>政府采购项目</w:t>
            </w:r>
            <w:r>
              <w:rPr>
                <w:rFonts w:hint="eastAsia" w:ascii="宋体" w:hAnsi="宋体" w:eastAsia="宋体" w:cs="宋体"/>
                <w:color w:val="auto"/>
                <w:sz w:val="21"/>
                <w:szCs w:val="21"/>
                <w:highlight w:val="none"/>
              </w:rPr>
              <w:t>验收报告单。</w:t>
            </w:r>
          </w:p>
        </w:tc>
      </w:tr>
    </w:tbl>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b/>
          <w:color w:val="auto"/>
          <w:sz w:val="36"/>
          <w:szCs w:val="36"/>
          <w:highlight w:val="none"/>
        </w:rPr>
      </w:pPr>
    </w:p>
    <w:p>
      <w:pPr>
        <w:pStyle w:val="2"/>
        <w:rPr>
          <w:rFonts w:hint="eastAsia" w:ascii="仿宋" w:hAnsi="仿宋" w:eastAsia="仿宋" w:cs="仿宋"/>
          <w:b/>
          <w:color w:val="auto"/>
          <w:sz w:val="36"/>
          <w:szCs w:val="36"/>
          <w:highlight w:val="none"/>
        </w:rPr>
      </w:pPr>
    </w:p>
    <w:p>
      <w:pPr>
        <w:rPr>
          <w:rFonts w:hint="eastAsia" w:ascii="仿宋" w:hAnsi="仿宋" w:eastAsia="仿宋" w:cs="仿宋"/>
          <w:b/>
          <w:color w:val="auto"/>
          <w:sz w:val="36"/>
          <w:szCs w:val="36"/>
          <w:highlight w:val="none"/>
        </w:rPr>
      </w:pPr>
    </w:p>
    <w:p>
      <w:pPr>
        <w:pStyle w:val="2"/>
        <w:rPr>
          <w:rFonts w:hint="eastAsia" w:ascii="仿宋" w:hAnsi="仿宋" w:eastAsia="仿宋" w:cs="仿宋"/>
          <w:b/>
          <w:color w:val="auto"/>
          <w:sz w:val="36"/>
          <w:szCs w:val="36"/>
          <w:highlight w:val="none"/>
        </w:rPr>
      </w:pPr>
    </w:p>
    <w:p>
      <w:pPr>
        <w:rPr>
          <w:rFonts w:hint="eastAsia"/>
          <w:color w:val="auto"/>
          <w:highlight w:val="none"/>
        </w:rPr>
      </w:pPr>
    </w:p>
    <w:p>
      <w:pPr>
        <w:rPr>
          <w:rFonts w:hint="eastAsia"/>
          <w:color w:val="auto"/>
          <w:highlight w:val="none"/>
        </w:rPr>
      </w:pPr>
    </w:p>
    <w:p>
      <w:pPr>
        <w:rPr>
          <w:rFonts w:hint="eastAsia" w:ascii="宋体" w:hAnsi="宋体" w:eastAsia="宋体" w:cs="宋体"/>
          <w:b/>
          <w:color w:val="auto"/>
          <w:sz w:val="32"/>
          <w:szCs w:val="32"/>
          <w:highlight w:val="none"/>
          <w:lang w:eastAsia="zh-CN"/>
        </w:rPr>
      </w:pPr>
      <w:r>
        <w:rPr>
          <w:rFonts w:hint="eastAsia" w:ascii="宋体" w:hAnsi="宋体" w:eastAsia="宋体" w:cs="宋体"/>
          <w:b/>
          <w:color w:val="auto"/>
          <w:sz w:val="32"/>
          <w:szCs w:val="32"/>
          <w:highlight w:val="none"/>
          <w:lang w:eastAsia="zh-CN"/>
        </w:rPr>
        <w:br w:type="page"/>
      </w: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b/>
          <w:color w:val="auto"/>
          <w:sz w:val="44"/>
          <w:szCs w:val="44"/>
          <w:highlight w:val="none"/>
        </w:rPr>
      </w:pPr>
      <w:r>
        <w:rPr>
          <w:rFonts w:hint="eastAsia" w:ascii="宋体" w:hAnsi="宋体" w:eastAsia="宋体" w:cs="宋体"/>
          <w:b/>
          <w:color w:val="auto"/>
          <w:sz w:val="32"/>
          <w:szCs w:val="32"/>
          <w:highlight w:val="none"/>
          <w:lang w:eastAsia="zh-CN"/>
        </w:rPr>
        <w:t>（</w:t>
      </w:r>
      <w:r>
        <w:rPr>
          <w:rFonts w:hint="eastAsia" w:ascii="宋体" w:hAnsi="宋体" w:eastAsia="宋体" w:cs="宋体"/>
          <w:b/>
          <w:color w:val="auto"/>
          <w:sz w:val="32"/>
          <w:szCs w:val="32"/>
          <w:highlight w:val="none"/>
          <w:lang w:val="en-US" w:eastAsia="zh-CN"/>
        </w:rPr>
        <w:t>三</w:t>
      </w:r>
      <w:r>
        <w:rPr>
          <w:rFonts w:hint="eastAsia" w:ascii="宋体" w:hAnsi="宋体" w:eastAsia="宋体" w:cs="宋体"/>
          <w:b/>
          <w:color w:val="auto"/>
          <w:sz w:val="32"/>
          <w:szCs w:val="32"/>
          <w:highlight w:val="none"/>
          <w:lang w:eastAsia="zh-CN"/>
        </w:rPr>
        <w:t>）合同</w:t>
      </w:r>
      <w:r>
        <w:rPr>
          <w:rFonts w:hint="eastAsia" w:ascii="宋体" w:hAnsi="宋体" w:eastAsia="宋体" w:cs="宋体"/>
          <w:b/>
          <w:color w:val="auto"/>
          <w:sz w:val="32"/>
          <w:szCs w:val="32"/>
          <w:highlight w:val="none"/>
          <w:lang w:val="en-US" w:eastAsia="zh-CN"/>
        </w:rPr>
        <w:t>协议书</w:t>
      </w:r>
      <w:r>
        <w:rPr>
          <w:rFonts w:hint="eastAsia" w:ascii="宋体" w:hAnsi="宋体" w:eastAsia="宋体" w:cs="宋体"/>
          <w:b/>
          <w:color w:val="auto"/>
          <w:sz w:val="32"/>
          <w:szCs w:val="32"/>
          <w:highlight w:val="none"/>
          <w:lang w:eastAsia="zh-CN"/>
        </w:rPr>
        <w:t>格式</w:t>
      </w:r>
    </w:p>
    <w:p>
      <w:pPr>
        <w:keepNext w:val="0"/>
        <w:keepLines w:val="0"/>
        <w:pageBreakBefore w:val="0"/>
        <w:widowControl w:val="0"/>
        <w:kinsoku/>
        <w:wordWrap/>
        <w:overflowPunct/>
        <w:topLinePunct w:val="0"/>
        <w:autoSpaceDE/>
        <w:autoSpaceDN/>
        <w:bidi w:val="0"/>
        <w:adjustRightInd/>
        <w:snapToGrid/>
        <w:spacing w:after="156" w:afterLines="50" w:line="360" w:lineRule="auto"/>
        <w:ind w:firstLine="420" w:firstLineChars="200"/>
        <w:jc w:val="left"/>
        <w:textAlignment w:val="auto"/>
        <w:rPr>
          <w:rFonts w:hint="eastAsia" w:ascii="宋体" w:hAnsi="宋体" w:eastAsia="宋体" w:cs="宋体"/>
          <w:color w:val="auto"/>
          <w:sz w:val="21"/>
          <w:szCs w:val="21"/>
          <w:highlight w:val="none"/>
        </w:rPr>
      </w:pPr>
    </w:p>
    <w:p>
      <w:pPr>
        <w:keepNext w:val="0"/>
        <w:keepLines w:val="0"/>
        <w:pageBreakBefore w:val="0"/>
        <w:widowControl w:val="0"/>
        <w:kinsoku/>
        <w:wordWrap/>
        <w:overflowPunct/>
        <w:topLinePunct w:val="0"/>
        <w:autoSpaceDE/>
        <w:autoSpaceDN/>
        <w:bidi w:val="0"/>
        <w:adjustRightInd/>
        <w:snapToGrid/>
        <w:spacing w:after="156" w:afterLines="50"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本合同</w:t>
      </w:r>
      <w:r>
        <w:rPr>
          <w:rFonts w:hint="eastAsia" w:ascii="宋体" w:hAnsi="宋体" w:cs="宋体"/>
          <w:color w:val="auto"/>
          <w:sz w:val="21"/>
          <w:szCs w:val="21"/>
          <w:highlight w:val="none"/>
          <w:u w:val="single"/>
          <w:lang w:val="en-US" w:eastAsia="zh-CN"/>
        </w:rPr>
        <w:t xml:space="preserve">                 </w:t>
      </w:r>
      <w:r>
        <w:rPr>
          <w:rFonts w:hint="eastAsia" w:ascii="宋体" w:hAnsi="宋体" w:cs="宋体"/>
          <w:color w:val="auto"/>
          <w:sz w:val="21"/>
          <w:szCs w:val="21"/>
          <w:highlight w:val="none"/>
          <w:u w:val="none"/>
          <w:lang w:val="en-US" w:eastAsia="zh-CN"/>
        </w:rPr>
        <w:t>（合同名称）</w:t>
      </w:r>
      <w:r>
        <w:rPr>
          <w:rFonts w:hint="eastAsia" w:ascii="宋体" w:hAnsi="宋体" w:eastAsia="宋体" w:cs="宋体"/>
          <w:color w:val="auto"/>
          <w:sz w:val="21"/>
          <w:szCs w:val="21"/>
          <w:highlight w:val="none"/>
        </w:rPr>
        <w:t>于</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日由</w:t>
      </w:r>
      <w:r>
        <w:rPr>
          <w:rFonts w:hint="eastAsia" w:ascii="宋体" w:hAnsi="宋体" w:eastAsia="宋体" w:cs="宋体"/>
          <w:color w:val="auto"/>
          <w:sz w:val="21"/>
          <w:szCs w:val="21"/>
          <w:highlight w:val="none"/>
          <w:u w:val="single"/>
        </w:rPr>
        <w:t>（</w:t>
      </w:r>
      <w:r>
        <w:rPr>
          <w:rFonts w:hint="eastAsia" w:ascii="宋体" w:hAnsi="宋体" w:cs="宋体"/>
          <w:color w:val="auto"/>
          <w:sz w:val="21"/>
          <w:szCs w:val="21"/>
          <w:highlight w:val="none"/>
          <w:u w:val="single"/>
          <w:lang w:eastAsia="zh-CN"/>
        </w:rPr>
        <w:t>甲方</w:t>
      </w:r>
      <w:r>
        <w:rPr>
          <w:rFonts w:hint="eastAsia" w:ascii="宋体" w:hAnsi="宋体" w:eastAsia="宋体" w:cs="宋体"/>
          <w:color w:val="auto"/>
          <w:sz w:val="21"/>
          <w:szCs w:val="21"/>
          <w:highlight w:val="none"/>
          <w:u w:val="single"/>
        </w:rPr>
        <w:t>名称）</w:t>
      </w:r>
      <w:r>
        <w:rPr>
          <w:rFonts w:hint="eastAsia" w:ascii="宋体" w:hAnsi="宋体" w:eastAsia="宋体" w:cs="宋体"/>
          <w:color w:val="auto"/>
          <w:sz w:val="21"/>
          <w:szCs w:val="21"/>
          <w:highlight w:val="none"/>
        </w:rPr>
        <w:t>（以下简称“</w:t>
      </w:r>
      <w:r>
        <w:rPr>
          <w:rFonts w:hint="eastAsia" w:ascii="宋体" w:hAnsi="宋体" w:cs="宋体"/>
          <w:color w:val="auto"/>
          <w:sz w:val="21"/>
          <w:szCs w:val="21"/>
          <w:highlight w:val="none"/>
          <w:lang w:eastAsia="zh-CN"/>
        </w:rPr>
        <w:t>甲方</w:t>
      </w:r>
      <w:r>
        <w:rPr>
          <w:rFonts w:hint="eastAsia" w:ascii="宋体" w:hAnsi="宋体" w:eastAsia="宋体" w:cs="宋体"/>
          <w:color w:val="auto"/>
          <w:sz w:val="21"/>
          <w:szCs w:val="21"/>
          <w:highlight w:val="none"/>
        </w:rPr>
        <w:t>”）和</w:t>
      </w:r>
      <w:r>
        <w:rPr>
          <w:rFonts w:hint="eastAsia" w:ascii="宋体" w:hAnsi="宋体" w:eastAsia="宋体" w:cs="宋体"/>
          <w:color w:val="auto"/>
          <w:sz w:val="21"/>
          <w:szCs w:val="21"/>
          <w:highlight w:val="none"/>
          <w:u w:val="single"/>
        </w:rPr>
        <w:t>（</w:t>
      </w:r>
      <w:r>
        <w:rPr>
          <w:rFonts w:hint="eastAsia" w:ascii="宋体" w:hAnsi="宋体" w:cs="宋体"/>
          <w:color w:val="auto"/>
          <w:sz w:val="21"/>
          <w:szCs w:val="21"/>
          <w:highlight w:val="none"/>
          <w:u w:val="single"/>
          <w:lang w:eastAsia="zh-CN"/>
        </w:rPr>
        <w:t>乙方</w:t>
      </w:r>
      <w:r>
        <w:rPr>
          <w:rFonts w:hint="eastAsia" w:ascii="宋体" w:hAnsi="宋体" w:eastAsia="宋体" w:cs="宋体"/>
          <w:color w:val="auto"/>
          <w:sz w:val="21"/>
          <w:szCs w:val="21"/>
          <w:highlight w:val="none"/>
          <w:u w:val="single"/>
        </w:rPr>
        <w:t>名称）</w:t>
      </w:r>
      <w:r>
        <w:rPr>
          <w:rFonts w:hint="eastAsia" w:ascii="宋体" w:hAnsi="宋体" w:eastAsia="宋体" w:cs="宋体"/>
          <w:color w:val="auto"/>
          <w:sz w:val="21"/>
          <w:szCs w:val="21"/>
          <w:highlight w:val="none"/>
        </w:rPr>
        <w:t>（以下简称“</w:t>
      </w:r>
      <w:r>
        <w:rPr>
          <w:rFonts w:hint="eastAsia" w:ascii="宋体" w:hAnsi="宋体" w:cs="宋体"/>
          <w:color w:val="auto"/>
          <w:sz w:val="21"/>
          <w:szCs w:val="21"/>
          <w:highlight w:val="none"/>
          <w:lang w:eastAsia="zh-CN"/>
        </w:rPr>
        <w:t>乙方</w:t>
      </w:r>
      <w:r>
        <w:rPr>
          <w:rFonts w:hint="eastAsia" w:ascii="宋体" w:hAnsi="宋体" w:eastAsia="宋体" w:cs="宋体"/>
          <w:color w:val="auto"/>
          <w:sz w:val="21"/>
          <w:szCs w:val="21"/>
          <w:highlight w:val="none"/>
        </w:rPr>
        <w:t>”）按下述条款和条件签署。</w:t>
      </w:r>
    </w:p>
    <w:p>
      <w:pPr>
        <w:keepNext w:val="0"/>
        <w:keepLines w:val="0"/>
        <w:pageBreakBefore w:val="0"/>
        <w:widowControl w:val="0"/>
        <w:numPr>
          <w:ilvl w:val="2"/>
          <w:numId w:val="9"/>
        </w:numPr>
        <w:tabs>
          <w:tab w:val="left" w:pos="720"/>
          <w:tab w:val="clear" w:pos="1200"/>
        </w:tabs>
        <w:kinsoku/>
        <w:wordWrap/>
        <w:overflowPunct/>
        <w:topLinePunct w:val="0"/>
        <w:autoSpaceDE/>
        <w:autoSpaceDN/>
        <w:bidi w:val="0"/>
        <w:adjustRightInd/>
        <w:snapToGrid/>
        <w:spacing w:after="156" w:afterLines="50" w:line="360" w:lineRule="auto"/>
        <w:ind w:left="72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本合同中的词语和术语的含义与合同条款中定义的相同。</w:t>
      </w:r>
    </w:p>
    <w:p>
      <w:pPr>
        <w:keepNext w:val="0"/>
        <w:keepLines w:val="0"/>
        <w:pageBreakBefore w:val="0"/>
        <w:widowControl w:val="0"/>
        <w:numPr>
          <w:ilvl w:val="2"/>
          <w:numId w:val="9"/>
        </w:numPr>
        <w:tabs>
          <w:tab w:val="left" w:pos="720"/>
          <w:tab w:val="clear" w:pos="1200"/>
        </w:tabs>
        <w:kinsoku/>
        <w:wordWrap/>
        <w:overflowPunct/>
        <w:topLinePunct w:val="0"/>
        <w:autoSpaceDE/>
        <w:autoSpaceDN/>
        <w:bidi w:val="0"/>
        <w:adjustRightInd/>
        <w:snapToGrid/>
        <w:spacing w:after="156" w:afterLines="50" w:line="360" w:lineRule="auto"/>
        <w:ind w:left="72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下列文件是本合同的组成部分，并与本合同一起阅读和解释：</w:t>
      </w:r>
    </w:p>
    <w:p>
      <w:pPr>
        <w:keepNext w:val="0"/>
        <w:keepLines w:val="0"/>
        <w:pageBreakBefore w:val="0"/>
        <w:widowControl w:val="0"/>
        <w:numPr>
          <w:ilvl w:val="0"/>
          <w:numId w:val="10"/>
        </w:numPr>
        <w:tabs>
          <w:tab w:val="left" w:pos="1080"/>
        </w:tabs>
        <w:kinsoku/>
        <w:wordWrap/>
        <w:overflowPunct/>
        <w:topLinePunct w:val="0"/>
        <w:autoSpaceDE/>
        <w:autoSpaceDN/>
        <w:bidi w:val="0"/>
        <w:adjustRightInd/>
        <w:snapToGrid/>
        <w:spacing w:after="156" w:afterLines="50" w:line="360" w:lineRule="auto"/>
        <w:ind w:left="1080" w:hanging="36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合同附件，如：</w:t>
      </w:r>
    </w:p>
    <w:p>
      <w:pPr>
        <w:keepNext w:val="0"/>
        <w:keepLines w:val="0"/>
        <w:pageBreakBefore w:val="0"/>
        <w:widowControl w:val="0"/>
        <w:numPr>
          <w:ilvl w:val="1"/>
          <w:numId w:val="11"/>
        </w:numPr>
        <w:kinsoku/>
        <w:wordWrap/>
        <w:overflowPunct/>
        <w:topLinePunct w:val="0"/>
        <w:autoSpaceDE/>
        <w:autoSpaceDN/>
        <w:bidi w:val="0"/>
        <w:adjustRightInd/>
        <w:snapToGrid/>
        <w:spacing w:after="156" w:afterLines="50"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供货内容及价格</w:t>
      </w:r>
    </w:p>
    <w:p>
      <w:pPr>
        <w:keepNext w:val="0"/>
        <w:keepLines w:val="0"/>
        <w:pageBreakBefore w:val="0"/>
        <w:widowControl w:val="0"/>
        <w:numPr>
          <w:ilvl w:val="1"/>
          <w:numId w:val="11"/>
        </w:numPr>
        <w:kinsoku/>
        <w:wordWrap/>
        <w:overflowPunct/>
        <w:topLinePunct w:val="0"/>
        <w:autoSpaceDE/>
        <w:autoSpaceDN/>
        <w:bidi w:val="0"/>
        <w:adjustRightInd/>
        <w:snapToGrid/>
        <w:spacing w:after="156" w:afterLines="50"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技术规格</w:t>
      </w:r>
    </w:p>
    <w:p>
      <w:pPr>
        <w:keepNext w:val="0"/>
        <w:keepLines w:val="0"/>
        <w:pageBreakBefore w:val="0"/>
        <w:widowControl w:val="0"/>
        <w:numPr>
          <w:ilvl w:val="1"/>
          <w:numId w:val="11"/>
        </w:numPr>
        <w:kinsoku/>
        <w:wordWrap/>
        <w:overflowPunct/>
        <w:topLinePunct w:val="0"/>
        <w:autoSpaceDE/>
        <w:autoSpaceDN/>
        <w:bidi w:val="0"/>
        <w:adjustRightInd/>
        <w:snapToGrid/>
        <w:spacing w:after="156" w:afterLines="50"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交货清单</w:t>
      </w:r>
    </w:p>
    <w:p>
      <w:pPr>
        <w:keepNext w:val="0"/>
        <w:keepLines w:val="0"/>
        <w:pageBreakBefore w:val="0"/>
        <w:widowControl w:val="0"/>
        <w:numPr>
          <w:ilvl w:val="1"/>
          <w:numId w:val="11"/>
        </w:numPr>
        <w:kinsoku/>
        <w:wordWrap/>
        <w:overflowPunct/>
        <w:topLinePunct w:val="0"/>
        <w:autoSpaceDE/>
        <w:autoSpaceDN/>
        <w:bidi w:val="0"/>
        <w:adjustRightInd/>
        <w:snapToGrid/>
        <w:spacing w:after="156" w:afterLines="50"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交货批次及时间的详细说明</w:t>
      </w:r>
    </w:p>
    <w:p>
      <w:pPr>
        <w:keepNext w:val="0"/>
        <w:keepLines w:val="0"/>
        <w:pageBreakBefore w:val="0"/>
        <w:widowControl w:val="0"/>
        <w:numPr>
          <w:ilvl w:val="0"/>
          <w:numId w:val="10"/>
        </w:numPr>
        <w:tabs>
          <w:tab w:val="left" w:pos="1080"/>
        </w:tabs>
        <w:kinsoku/>
        <w:wordWrap/>
        <w:overflowPunct/>
        <w:topLinePunct w:val="0"/>
        <w:autoSpaceDE/>
        <w:autoSpaceDN/>
        <w:bidi w:val="0"/>
        <w:adjustRightInd/>
        <w:snapToGrid/>
        <w:spacing w:after="156" w:afterLines="50" w:line="360" w:lineRule="auto"/>
        <w:ind w:left="1077" w:hanging="357"/>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合同专用条款</w:t>
      </w:r>
    </w:p>
    <w:p>
      <w:pPr>
        <w:keepNext w:val="0"/>
        <w:keepLines w:val="0"/>
        <w:pageBreakBefore w:val="0"/>
        <w:widowControl w:val="0"/>
        <w:numPr>
          <w:ilvl w:val="0"/>
          <w:numId w:val="10"/>
        </w:numPr>
        <w:tabs>
          <w:tab w:val="left" w:pos="1080"/>
        </w:tabs>
        <w:kinsoku/>
        <w:wordWrap/>
        <w:overflowPunct/>
        <w:topLinePunct w:val="0"/>
        <w:autoSpaceDE/>
        <w:autoSpaceDN/>
        <w:bidi w:val="0"/>
        <w:adjustRightInd/>
        <w:snapToGrid/>
        <w:spacing w:after="156" w:afterLines="50" w:line="360" w:lineRule="auto"/>
        <w:ind w:left="1077" w:hanging="357"/>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合同通用条款</w:t>
      </w:r>
    </w:p>
    <w:p>
      <w:pPr>
        <w:keepNext w:val="0"/>
        <w:keepLines w:val="0"/>
        <w:pageBreakBefore w:val="0"/>
        <w:widowControl w:val="0"/>
        <w:numPr>
          <w:ilvl w:val="0"/>
          <w:numId w:val="10"/>
        </w:numPr>
        <w:tabs>
          <w:tab w:val="left" w:pos="1080"/>
        </w:tabs>
        <w:kinsoku/>
        <w:wordWrap/>
        <w:overflowPunct/>
        <w:topLinePunct w:val="0"/>
        <w:autoSpaceDE/>
        <w:autoSpaceDN/>
        <w:bidi w:val="0"/>
        <w:adjustRightInd/>
        <w:snapToGrid/>
        <w:spacing w:after="156" w:afterLines="50" w:line="360" w:lineRule="auto"/>
        <w:ind w:left="1077" w:hanging="357"/>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中标通知书</w:t>
      </w:r>
    </w:p>
    <w:p>
      <w:pPr>
        <w:keepNext w:val="0"/>
        <w:keepLines w:val="0"/>
        <w:pageBreakBefore w:val="0"/>
        <w:widowControl w:val="0"/>
        <w:numPr>
          <w:ilvl w:val="0"/>
          <w:numId w:val="10"/>
        </w:numPr>
        <w:tabs>
          <w:tab w:val="left" w:pos="1080"/>
        </w:tabs>
        <w:kinsoku/>
        <w:wordWrap/>
        <w:overflowPunct/>
        <w:topLinePunct w:val="0"/>
        <w:autoSpaceDE/>
        <w:autoSpaceDN/>
        <w:bidi w:val="0"/>
        <w:adjustRightInd/>
        <w:snapToGrid/>
        <w:spacing w:after="156" w:afterLines="50" w:line="360" w:lineRule="auto"/>
        <w:ind w:left="1080" w:hanging="36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投标文件</w:t>
      </w:r>
    </w:p>
    <w:p>
      <w:pPr>
        <w:keepNext w:val="0"/>
        <w:keepLines w:val="0"/>
        <w:pageBreakBefore w:val="0"/>
        <w:widowControl w:val="0"/>
        <w:numPr>
          <w:ilvl w:val="0"/>
          <w:numId w:val="10"/>
        </w:numPr>
        <w:tabs>
          <w:tab w:val="left" w:pos="1080"/>
        </w:tabs>
        <w:kinsoku/>
        <w:wordWrap/>
        <w:overflowPunct/>
        <w:topLinePunct w:val="0"/>
        <w:autoSpaceDE/>
        <w:autoSpaceDN/>
        <w:bidi w:val="0"/>
        <w:adjustRightInd/>
        <w:snapToGrid/>
        <w:spacing w:after="156" w:afterLines="50" w:line="360" w:lineRule="auto"/>
        <w:ind w:left="1080" w:hanging="36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招标文件</w:t>
      </w:r>
    </w:p>
    <w:p>
      <w:pPr>
        <w:keepNext w:val="0"/>
        <w:keepLines w:val="0"/>
        <w:pageBreakBefore w:val="0"/>
        <w:widowControl w:val="0"/>
        <w:kinsoku/>
        <w:wordWrap/>
        <w:overflowPunct/>
        <w:topLinePunct w:val="0"/>
        <w:autoSpaceDE/>
        <w:autoSpaceDN/>
        <w:bidi w:val="0"/>
        <w:adjustRightInd/>
        <w:snapToGrid/>
        <w:spacing w:after="156" w:afterLines="50" w:line="360" w:lineRule="auto"/>
        <w:ind w:left="72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上述文件如有冲突，以排列序号小的优先。</w:t>
      </w:r>
    </w:p>
    <w:p>
      <w:pPr>
        <w:keepNext w:val="0"/>
        <w:keepLines w:val="0"/>
        <w:pageBreakBefore w:val="0"/>
        <w:widowControl w:val="0"/>
        <w:numPr>
          <w:ilvl w:val="2"/>
          <w:numId w:val="9"/>
        </w:numPr>
        <w:tabs>
          <w:tab w:val="left" w:pos="720"/>
          <w:tab w:val="clear" w:pos="1200"/>
        </w:tabs>
        <w:kinsoku/>
        <w:wordWrap/>
        <w:overflowPunct/>
        <w:topLinePunct w:val="0"/>
        <w:autoSpaceDE/>
        <w:autoSpaceDN/>
        <w:bidi w:val="0"/>
        <w:adjustRightInd/>
        <w:snapToGrid/>
        <w:spacing w:after="156" w:afterLines="50" w:line="360" w:lineRule="auto"/>
        <w:ind w:left="720"/>
        <w:jc w:val="left"/>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乙方</w:t>
      </w:r>
      <w:r>
        <w:rPr>
          <w:rFonts w:hint="eastAsia" w:ascii="宋体" w:hAnsi="宋体" w:eastAsia="宋体" w:cs="宋体"/>
          <w:color w:val="auto"/>
          <w:sz w:val="21"/>
          <w:szCs w:val="21"/>
          <w:highlight w:val="none"/>
        </w:rPr>
        <w:t>在此保证全部按照合同的规定向</w:t>
      </w:r>
      <w:r>
        <w:rPr>
          <w:rFonts w:hint="eastAsia" w:ascii="宋体" w:hAnsi="宋体" w:cs="宋体"/>
          <w:color w:val="auto"/>
          <w:sz w:val="21"/>
          <w:szCs w:val="21"/>
          <w:highlight w:val="none"/>
          <w:lang w:eastAsia="zh-CN"/>
        </w:rPr>
        <w:t>甲方</w:t>
      </w:r>
      <w:r>
        <w:rPr>
          <w:rFonts w:hint="eastAsia" w:ascii="宋体" w:hAnsi="宋体" w:eastAsia="宋体" w:cs="宋体"/>
          <w:color w:val="auto"/>
          <w:sz w:val="21"/>
          <w:szCs w:val="21"/>
          <w:highlight w:val="none"/>
        </w:rPr>
        <w:t>提供货物和服务，并修补缺陷，</w:t>
      </w:r>
      <w:r>
        <w:rPr>
          <w:rFonts w:hint="eastAsia" w:ascii="宋体" w:hAnsi="宋体" w:cs="宋体"/>
          <w:color w:val="auto"/>
          <w:sz w:val="21"/>
          <w:szCs w:val="21"/>
          <w:highlight w:val="none"/>
          <w:lang w:eastAsia="zh-CN"/>
        </w:rPr>
        <w:t>甲方</w:t>
      </w:r>
      <w:r>
        <w:rPr>
          <w:rFonts w:hint="eastAsia" w:ascii="宋体" w:hAnsi="宋体" w:eastAsia="宋体" w:cs="宋体"/>
          <w:color w:val="auto"/>
          <w:sz w:val="21"/>
          <w:szCs w:val="21"/>
          <w:highlight w:val="none"/>
        </w:rPr>
        <w:t>将按照本合同价款向</w:t>
      </w:r>
      <w:r>
        <w:rPr>
          <w:rFonts w:hint="eastAsia" w:ascii="宋体" w:hAnsi="宋体" w:cs="宋体"/>
          <w:color w:val="auto"/>
          <w:sz w:val="21"/>
          <w:szCs w:val="21"/>
          <w:highlight w:val="none"/>
          <w:lang w:eastAsia="zh-CN"/>
        </w:rPr>
        <w:t>乙方</w:t>
      </w:r>
      <w:r>
        <w:rPr>
          <w:rFonts w:hint="eastAsia" w:ascii="宋体" w:hAnsi="宋体" w:eastAsia="宋体" w:cs="宋体"/>
          <w:color w:val="auto"/>
          <w:sz w:val="21"/>
          <w:szCs w:val="21"/>
          <w:highlight w:val="none"/>
        </w:rPr>
        <w:t>进行支付。</w:t>
      </w:r>
    </w:p>
    <w:p>
      <w:pPr>
        <w:keepNext w:val="0"/>
        <w:keepLines w:val="0"/>
        <w:pageBreakBefore w:val="0"/>
        <w:widowControl w:val="0"/>
        <w:numPr>
          <w:ilvl w:val="2"/>
          <w:numId w:val="9"/>
        </w:numPr>
        <w:tabs>
          <w:tab w:val="left" w:pos="720"/>
          <w:tab w:val="clear" w:pos="1200"/>
        </w:tabs>
        <w:kinsoku/>
        <w:wordWrap/>
        <w:overflowPunct/>
        <w:topLinePunct w:val="0"/>
        <w:autoSpaceDE/>
        <w:autoSpaceDN/>
        <w:bidi w:val="0"/>
        <w:adjustRightInd/>
        <w:snapToGrid/>
        <w:spacing w:after="156" w:afterLines="50" w:line="360" w:lineRule="auto"/>
        <w:ind w:left="72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本合同正本一式二份，副本一式四份，均以中文书写，在双方代表签字盖章后生效。</w:t>
      </w:r>
    </w:p>
    <w:tbl>
      <w:tblPr>
        <w:tblStyle w:val="23"/>
        <w:tblW w:w="8522" w:type="dxa"/>
        <w:tblInd w:w="0" w:type="dxa"/>
        <w:tblLayout w:type="fixed"/>
        <w:tblCellMar>
          <w:top w:w="0" w:type="dxa"/>
          <w:left w:w="108" w:type="dxa"/>
          <w:bottom w:w="0" w:type="dxa"/>
          <w:right w:w="108" w:type="dxa"/>
        </w:tblCellMar>
      </w:tblPr>
      <w:tblGrid>
        <w:gridCol w:w="4261"/>
        <w:gridCol w:w="4261"/>
      </w:tblGrid>
      <w:tr>
        <w:tblPrEx>
          <w:tblCellMar>
            <w:top w:w="0" w:type="dxa"/>
            <w:left w:w="108" w:type="dxa"/>
            <w:bottom w:w="0" w:type="dxa"/>
            <w:right w:w="108" w:type="dxa"/>
          </w:tblCellMar>
        </w:tblPrEx>
        <w:trPr>
          <w:trHeight w:val="3727" w:hRule="atLeast"/>
        </w:trPr>
        <w:tc>
          <w:tcPr>
            <w:tcW w:w="4261" w:type="dxa"/>
            <w:noWrap w:val="0"/>
            <w:vAlign w:val="top"/>
          </w:tcPr>
          <w:p>
            <w:pPr>
              <w:spacing w:after="156" w:afterLines="50" w:line="360" w:lineRule="auto"/>
              <w:rPr>
                <w:rFonts w:hint="eastAsia" w:ascii="宋体" w:hAnsi="宋体" w:eastAsia="宋体" w:cs="宋体"/>
                <w:color w:val="auto"/>
                <w:sz w:val="21"/>
                <w:szCs w:val="21"/>
                <w:highlight w:val="none"/>
                <w:u w:val="single"/>
              </w:rPr>
            </w:pPr>
            <w:r>
              <w:rPr>
                <w:rFonts w:hint="eastAsia" w:ascii="宋体" w:hAnsi="宋体" w:cs="宋体"/>
                <w:color w:val="auto"/>
                <w:sz w:val="21"/>
                <w:szCs w:val="21"/>
                <w:highlight w:val="none"/>
                <w:lang w:eastAsia="zh-CN"/>
              </w:rPr>
              <w:t>甲方</w:t>
            </w:r>
            <w:r>
              <w:rPr>
                <w:rFonts w:hint="eastAsia" w:ascii="宋体" w:hAnsi="宋体" w:eastAsia="宋体" w:cs="宋体"/>
                <w:color w:val="auto"/>
                <w:sz w:val="21"/>
                <w:szCs w:val="21"/>
                <w:highlight w:val="none"/>
              </w:rPr>
              <w:t>名称</w:t>
            </w:r>
            <w:r>
              <w:rPr>
                <w:rFonts w:hint="eastAsia" w:ascii="宋体" w:hAnsi="宋体" w:eastAsia="宋体" w:cs="宋体"/>
                <w:color w:val="auto"/>
                <w:sz w:val="21"/>
                <w:szCs w:val="21"/>
                <w:highlight w:val="none"/>
                <w:u w:val="single"/>
              </w:rPr>
              <w:t xml:space="preserve">                         </w:t>
            </w:r>
          </w:p>
          <w:p>
            <w:pPr>
              <w:spacing w:after="156" w:afterLines="50" w:line="360" w:lineRule="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甲方地址</w:t>
            </w:r>
            <w:r>
              <w:rPr>
                <w:rFonts w:hint="eastAsia" w:ascii="宋体" w:hAnsi="宋体" w:eastAsia="宋体" w:cs="宋体"/>
                <w:color w:val="auto"/>
                <w:sz w:val="21"/>
                <w:szCs w:val="21"/>
                <w:highlight w:val="none"/>
                <w:u w:val="single"/>
              </w:rPr>
              <w:t xml:space="preserve">                         </w:t>
            </w:r>
          </w:p>
          <w:p>
            <w:pPr>
              <w:spacing w:after="156" w:afterLines="50" w:line="360" w:lineRule="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邮政编码</w:t>
            </w:r>
            <w:r>
              <w:rPr>
                <w:rFonts w:hint="eastAsia" w:ascii="宋体" w:hAnsi="宋体" w:eastAsia="宋体" w:cs="宋体"/>
                <w:color w:val="auto"/>
                <w:sz w:val="21"/>
                <w:szCs w:val="21"/>
                <w:highlight w:val="none"/>
                <w:u w:val="single"/>
              </w:rPr>
              <w:t xml:space="preserve">                         </w:t>
            </w:r>
          </w:p>
          <w:p>
            <w:pPr>
              <w:spacing w:after="156" w:afterLines="50" w:line="360" w:lineRule="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开户银行</w:t>
            </w:r>
            <w:r>
              <w:rPr>
                <w:rFonts w:hint="eastAsia" w:ascii="宋体" w:hAnsi="宋体" w:eastAsia="宋体" w:cs="宋体"/>
                <w:color w:val="auto"/>
                <w:sz w:val="21"/>
                <w:szCs w:val="21"/>
                <w:highlight w:val="none"/>
                <w:u w:val="single"/>
              </w:rPr>
              <w:t xml:space="preserve">                         </w:t>
            </w:r>
          </w:p>
          <w:p>
            <w:pPr>
              <w:spacing w:after="156" w:afterLines="50"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银行账号</w:t>
            </w:r>
            <w:r>
              <w:rPr>
                <w:rFonts w:hint="eastAsia" w:ascii="宋体" w:hAnsi="宋体" w:eastAsia="宋体" w:cs="宋体"/>
                <w:color w:val="auto"/>
                <w:sz w:val="21"/>
                <w:szCs w:val="21"/>
                <w:highlight w:val="none"/>
                <w:u w:val="single"/>
              </w:rPr>
              <w:t xml:space="preserve">                         </w:t>
            </w:r>
          </w:p>
          <w:p>
            <w:pPr>
              <w:spacing w:after="156" w:afterLines="50" w:line="360" w:lineRule="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甲方</w:t>
            </w:r>
            <w:r>
              <w:rPr>
                <w:rFonts w:hint="eastAsia" w:ascii="宋体" w:hAnsi="宋体" w:eastAsia="宋体" w:cs="宋体"/>
                <w:color w:val="auto"/>
                <w:sz w:val="21"/>
                <w:szCs w:val="21"/>
                <w:highlight w:val="none"/>
                <w:lang w:val="en-US" w:eastAsia="zh-CN"/>
              </w:rPr>
              <w:t>联系电话</w:t>
            </w:r>
            <w:r>
              <w:rPr>
                <w:rFonts w:hint="eastAsia" w:ascii="宋体" w:hAnsi="宋体" w:eastAsia="宋体" w:cs="宋体"/>
                <w:color w:val="auto"/>
                <w:sz w:val="21"/>
                <w:szCs w:val="21"/>
                <w:highlight w:val="none"/>
                <w:u w:val="single"/>
              </w:rPr>
              <w:t xml:space="preserve">                     </w:t>
            </w:r>
          </w:p>
          <w:p>
            <w:pPr>
              <w:spacing w:after="156" w:afterLines="50" w:line="360" w:lineRule="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甲方</w:t>
            </w:r>
            <w:r>
              <w:rPr>
                <w:rFonts w:hint="eastAsia" w:ascii="宋体" w:hAnsi="宋体" w:eastAsia="宋体" w:cs="宋体"/>
                <w:color w:val="auto"/>
                <w:sz w:val="21"/>
                <w:szCs w:val="21"/>
                <w:highlight w:val="none"/>
              </w:rPr>
              <w:t>代表姓名</w:t>
            </w:r>
            <w:r>
              <w:rPr>
                <w:rFonts w:hint="eastAsia" w:ascii="宋体" w:hAnsi="宋体" w:eastAsia="宋体" w:cs="宋体"/>
                <w:color w:val="auto"/>
                <w:sz w:val="21"/>
                <w:szCs w:val="21"/>
                <w:highlight w:val="none"/>
                <w:u w:val="single"/>
              </w:rPr>
              <w:t xml:space="preserve">                     </w:t>
            </w:r>
          </w:p>
          <w:p>
            <w:pPr>
              <w:spacing w:after="156" w:afterLines="50" w:line="360" w:lineRule="auto"/>
              <w:rPr>
                <w:rFonts w:hint="eastAsia" w:ascii="宋体" w:hAnsi="宋体" w:eastAsia="宋体" w:cs="宋体"/>
                <w:color w:val="auto"/>
                <w:sz w:val="21"/>
                <w:szCs w:val="21"/>
                <w:highlight w:val="none"/>
                <w:u w:val="single"/>
              </w:rPr>
            </w:pPr>
            <w:r>
              <w:rPr>
                <w:rFonts w:hint="eastAsia" w:ascii="宋体" w:hAnsi="宋体" w:cs="宋体"/>
                <w:color w:val="auto"/>
                <w:sz w:val="21"/>
                <w:szCs w:val="21"/>
                <w:highlight w:val="none"/>
                <w:lang w:eastAsia="zh-CN"/>
              </w:rPr>
              <w:t>甲方</w:t>
            </w:r>
            <w:r>
              <w:rPr>
                <w:rFonts w:hint="eastAsia" w:ascii="宋体" w:hAnsi="宋体" w:eastAsia="宋体" w:cs="宋体"/>
                <w:color w:val="auto"/>
                <w:sz w:val="21"/>
                <w:szCs w:val="21"/>
                <w:highlight w:val="none"/>
              </w:rPr>
              <w:t>代表签字</w:t>
            </w:r>
            <w:r>
              <w:rPr>
                <w:rFonts w:hint="eastAsia" w:ascii="宋体" w:hAnsi="宋体" w:eastAsia="宋体" w:cs="宋体"/>
                <w:color w:val="auto"/>
                <w:sz w:val="21"/>
                <w:szCs w:val="21"/>
                <w:highlight w:val="none"/>
                <w:u w:val="single"/>
              </w:rPr>
              <w:t xml:space="preserve">                     </w:t>
            </w:r>
          </w:p>
          <w:p>
            <w:pPr>
              <w:spacing w:after="156" w:afterLines="50"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签字日期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p>
          <w:p>
            <w:pPr>
              <w:spacing w:after="156" w:afterLines="50" w:line="360" w:lineRule="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甲方</w:t>
            </w:r>
            <w:r>
              <w:rPr>
                <w:rFonts w:hint="eastAsia" w:ascii="宋体" w:hAnsi="宋体" w:eastAsia="宋体" w:cs="宋体"/>
                <w:color w:val="auto"/>
                <w:sz w:val="21"/>
                <w:szCs w:val="21"/>
                <w:highlight w:val="none"/>
              </w:rPr>
              <w:t xml:space="preserve">公章（或合同章） </w:t>
            </w:r>
            <w:r>
              <w:rPr>
                <w:rFonts w:hint="eastAsia" w:ascii="宋体" w:hAnsi="宋体" w:eastAsia="宋体" w:cs="宋体"/>
                <w:color w:val="auto"/>
                <w:sz w:val="21"/>
                <w:szCs w:val="21"/>
                <w:highlight w:val="none"/>
                <w:u w:val="single"/>
              </w:rPr>
              <w:t xml:space="preserve">            </w:t>
            </w:r>
          </w:p>
        </w:tc>
        <w:tc>
          <w:tcPr>
            <w:tcW w:w="4261" w:type="dxa"/>
            <w:noWrap w:val="0"/>
            <w:vAlign w:val="top"/>
          </w:tcPr>
          <w:p>
            <w:pPr>
              <w:spacing w:after="156" w:afterLines="50" w:line="360" w:lineRule="auto"/>
              <w:rPr>
                <w:rFonts w:hint="eastAsia" w:ascii="宋体" w:hAnsi="宋体" w:eastAsia="宋体" w:cs="宋体"/>
                <w:color w:val="auto"/>
                <w:sz w:val="21"/>
                <w:szCs w:val="21"/>
                <w:highlight w:val="none"/>
                <w:u w:val="single"/>
              </w:rPr>
            </w:pPr>
            <w:r>
              <w:rPr>
                <w:rFonts w:hint="eastAsia" w:ascii="宋体" w:hAnsi="宋体" w:cs="宋体"/>
                <w:color w:val="auto"/>
                <w:sz w:val="21"/>
                <w:szCs w:val="21"/>
                <w:highlight w:val="none"/>
                <w:lang w:eastAsia="zh-CN"/>
              </w:rPr>
              <w:t>乙方</w:t>
            </w:r>
            <w:r>
              <w:rPr>
                <w:rFonts w:hint="eastAsia" w:ascii="宋体" w:hAnsi="宋体" w:eastAsia="宋体" w:cs="宋体"/>
                <w:color w:val="auto"/>
                <w:sz w:val="21"/>
                <w:szCs w:val="21"/>
                <w:highlight w:val="none"/>
              </w:rPr>
              <w:t>名称</w:t>
            </w:r>
            <w:r>
              <w:rPr>
                <w:rFonts w:hint="eastAsia" w:ascii="宋体" w:hAnsi="宋体" w:eastAsia="宋体" w:cs="宋体"/>
                <w:color w:val="auto"/>
                <w:sz w:val="21"/>
                <w:szCs w:val="21"/>
                <w:highlight w:val="none"/>
                <w:u w:val="single"/>
              </w:rPr>
              <w:t xml:space="preserve">                         </w:t>
            </w:r>
          </w:p>
          <w:p>
            <w:pPr>
              <w:spacing w:after="156" w:afterLines="50" w:line="360" w:lineRule="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乙方地址</w:t>
            </w:r>
            <w:r>
              <w:rPr>
                <w:rFonts w:hint="eastAsia" w:ascii="宋体" w:hAnsi="宋体" w:eastAsia="宋体" w:cs="宋体"/>
                <w:color w:val="auto"/>
                <w:sz w:val="21"/>
                <w:szCs w:val="21"/>
                <w:highlight w:val="none"/>
                <w:u w:val="single"/>
              </w:rPr>
              <w:t xml:space="preserve">                         </w:t>
            </w:r>
          </w:p>
          <w:p>
            <w:pPr>
              <w:spacing w:after="156" w:afterLines="50" w:line="360" w:lineRule="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邮政编码</w:t>
            </w:r>
            <w:r>
              <w:rPr>
                <w:rFonts w:hint="eastAsia" w:ascii="宋体" w:hAnsi="宋体" w:eastAsia="宋体" w:cs="宋体"/>
                <w:color w:val="auto"/>
                <w:sz w:val="21"/>
                <w:szCs w:val="21"/>
                <w:highlight w:val="none"/>
                <w:u w:val="single"/>
              </w:rPr>
              <w:t xml:space="preserve">                         </w:t>
            </w:r>
          </w:p>
          <w:p>
            <w:pPr>
              <w:spacing w:after="156" w:afterLines="50" w:line="360" w:lineRule="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开户银行</w:t>
            </w:r>
            <w:r>
              <w:rPr>
                <w:rFonts w:hint="eastAsia" w:ascii="宋体" w:hAnsi="宋体" w:eastAsia="宋体" w:cs="宋体"/>
                <w:color w:val="auto"/>
                <w:sz w:val="21"/>
                <w:szCs w:val="21"/>
                <w:highlight w:val="none"/>
                <w:u w:val="single"/>
              </w:rPr>
              <w:t xml:space="preserve">                         </w:t>
            </w:r>
          </w:p>
          <w:p>
            <w:pPr>
              <w:spacing w:after="156" w:afterLines="50"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银行账号</w:t>
            </w:r>
            <w:r>
              <w:rPr>
                <w:rFonts w:hint="eastAsia" w:ascii="宋体" w:hAnsi="宋体" w:eastAsia="宋体" w:cs="宋体"/>
                <w:color w:val="auto"/>
                <w:sz w:val="21"/>
                <w:szCs w:val="21"/>
                <w:highlight w:val="none"/>
                <w:u w:val="single"/>
              </w:rPr>
              <w:t xml:space="preserve">                         </w:t>
            </w:r>
          </w:p>
          <w:p>
            <w:pPr>
              <w:spacing w:after="156" w:afterLines="50" w:line="360" w:lineRule="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乙方</w:t>
            </w:r>
            <w:r>
              <w:rPr>
                <w:rFonts w:hint="eastAsia" w:ascii="宋体" w:hAnsi="宋体" w:eastAsia="宋体" w:cs="宋体"/>
                <w:color w:val="auto"/>
                <w:sz w:val="21"/>
                <w:szCs w:val="21"/>
                <w:highlight w:val="none"/>
                <w:lang w:val="en-US" w:eastAsia="zh-CN"/>
              </w:rPr>
              <w:t>联系电话</w:t>
            </w:r>
            <w:r>
              <w:rPr>
                <w:rFonts w:hint="eastAsia" w:ascii="宋体" w:hAnsi="宋体" w:eastAsia="宋体" w:cs="宋体"/>
                <w:color w:val="auto"/>
                <w:sz w:val="21"/>
                <w:szCs w:val="21"/>
                <w:highlight w:val="none"/>
                <w:u w:val="single"/>
              </w:rPr>
              <w:t xml:space="preserve">                     </w:t>
            </w:r>
          </w:p>
          <w:p>
            <w:pPr>
              <w:spacing w:after="156" w:afterLines="50" w:line="360" w:lineRule="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乙方</w:t>
            </w:r>
            <w:r>
              <w:rPr>
                <w:rFonts w:hint="eastAsia" w:ascii="宋体" w:hAnsi="宋体" w:eastAsia="宋体" w:cs="宋体"/>
                <w:color w:val="auto"/>
                <w:sz w:val="21"/>
                <w:szCs w:val="21"/>
                <w:highlight w:val="none"/>
              </w:rPr>
              <w:t>代表姓名</w:t>
            </w:r>
            <w:r>
              <w:rPr>
                <w:rFonts w:hint="eastAsia" w:ascii="宋体" w:hAnsi="宋体" w:eastAsia="宋体" w:cs="宋体"/>
                <w:color w:val="auto"/>
                <w:sz w:val="21"/>
                <w:szCs w:val="21"/>
                <w:highlight w:val="none"/>
                <w:u w:val="single"/>
              </w:rPr>
              <w:t xml:space="preserve">                     </w:t>
            </w:r>
          </w:p>
          <w:p>
            <w:pPr>
              <w:spacing w:after="156" w:afterLines="50" w:line="360" w:lineRule="auto"/>
              <w:rPr>
                <w:rFonts w:hint="eastAsia" w:ascii="宋体" w:hAnsi="宋体" w:eastAsia="宋体" w:cs="宋体"/>
                <w:color w:val="auto"/>
                <w:sz w:val="21"/>
                <w:szCs w:val="21"/>
                <w:highlight w:val="none"/>
                <w:u w:val="single"/>
              </w:rPr>
            </w:pPr>
            <w:r>
              <w:rPr>
                <w:rFonts w:hint="eastAsia" w:ascii="宋体" w:hAnsi="宋体" w:cs="宋体"/>
                <w:color w:val="auto"/>
                <w:sz w:val="21"/>
                <w:szCs w:val="21"/>
                <w:highlight w:val="none"/>
                <w:lang w:eastAsia="zh-CN"/>
              </w:rPr>
              <w:t>乙方</w:t>
            </w:r>
            <w:r>
              <w:rPr>
                <w:rFonts w:hint="eastAsia" w:ascii="宋体" w:hAnsi="宋体" w:eastAsia="宋体" w:cs="宋体"/>
                <w:color w:val="auto"/>
                <w:sz w:val="21"/>
                <w:szCs w:val="21"/>
                <w:highlight w:val="none"/>
              </w:rPr>
              <w:t>代表签字</w:t>
            </w:r>
            <w:r>
              <w:rPr>
                <w:rFonts w:hint="eastAsia" w:ascii="宋体" w:hAnsi="宋体" w:eastAsia="宋体" w:cs="宋体"/>
                <w:color w:val="auto"/>
                <w:sz w:val="21"/>
                <w:szCs w:val="21"/>
                <w:highlight w:val="none"/>
                <w:u w:val="single"/>
              </w:rPr>
              <w:t xml:space="preserve">                     </w:t>
            </w:r>
          </w:p>
          <w:p>
            <w:pPr>
              <w:spacing w:after="156" w:afterLines="50"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签字日期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p>
          <w:p>
            <w:pPr>
              <w:spacing w:after="156" w:afterLines="50" w:line="360" w:lineRule="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乙方</w:t>
            </w:r>
            <w:r>
              <w:rPr>
                <w:rFonts w:hint="eastAsia" w:ascii="宋体" w:hAnsi="宋体" w:eastAsia="宋体" w:cs="宋体"/>
                <w:color w:val="auto"/>
                <w:sz w:val="21"/>
                <w:szCs w:val="21"/>
                <w:highlight w:val="none"/>
              </w:rPr>
              <w:t xml:space="preserve">公章（或合同章） </w:t>
            </w:r>
            <w:r>
              <w:rPr>
                <w:rFonts w:hint="eastAsia" w:ascii="宋体" w:hAnsi="宋体" w:eastAsia="宋体" w:cs="宋体"/>
                <w:color w:val="auto"/>
                <w:sz w:val="21"/>
                <w:szCs w:val="21"/>
                <w:highlight w:val="none"/>
                <w:u w:val="single"/>
              </w:rPr>
              <w:t xml:space="preserve">            </w:t>
            </w:r>
          </w:p>
        </w:tc>
      </w:tr>
    </w:tbl>
    <w:p>
      <w:pPr>
        <w:rPr>
          <w:color w:val="auto"/>
          <w:highlight w:val="none"/>
        </w:rPr>
      </w:pPr>
    </w:p>
    <w:p>
      <w:pPr>
        <w:spacing w:line="720" w:lineRule="auto"/>
        <w:jc w:val="center"/>
        <w:rPr>
          <w:rFonts w:eastAsia="方正小标宋简体"/>
          <w:color w:val="auto"/>
          <w:sz w:val="44"/>
          <w:szCs w:val="44"/>
          <w:highlight w:val="none"/>
          <w:u w:val="single"/>
        </w:rPr>
      </w:pPr>
    </w:p>
    <w:p>
      <w:pPr>
        <w:rPr>
          <w:rFonts w:hint="eastAsia" w:ascii="宋体" w:hAnsi="宋体"/>
          <w:color w:val="auto"/>
          <w:sz w:val="32"/>
          <w:highlight w:val="none"/>
        </w:rPr>
      </w:pPr>
      <w:r>
        <w:rPr>
          <w:rFonts w:hint="eastAsia" w:ascii="宋体" w:hAnsi="宋体"/>
          <w:color w:val="auto"/>
          <w:sz w:val="32"/>
          <w:highlight w:val="none"/>
        </w:rPr>
        <w:br w:type="page"/>
      </w:r>
    </w:p>
    <w:p>
      <w:pPr>
        <w:pStyle w:val="3"/>
        <w:spacing w:line="360" w:lineRule="auto"/>
        <w:ind w:left="0" w:firstLine="0"/>
        <w:jc w:val="center"/>
        <w:rPr>
          <w:rFonts w:ascii="宋体" w:hAnsi="宋体"/>
          <w:color w:val="auto"/>
          <w:sz w:val="32"/>
          <w:highlight w:val="none"/>
        </w:rPr>
      </w:pPr>
      <w:bookmarkStart w:id="124" w:name="_Toc5284"/>
      <w:r>
        <w:rPr>
          <w:rFonts w:hint="eastAsia" w:ascii="宋体" w:hAnsi="宋体"/>
          <w:color w:val="auto"/>
          <w:sz w:val="32"/>
          <w:highlight w:val="none"/>
        </w:rPr>
        <w:t>第六章</w:t>
      </w:r>
      <w:r>
        <w:rPr>
          <w:rFonts w:hint="eastAsia" w:ascii="宋体" w:hAnsi="宋体"/>
          <w:color w:val="auto"/>
          <w:sz w:val="32"/>
          <w:highlight w:val="none"/>
          <w:lang w:val="en-US" w:eastAsia="zh-CN"/>
        </w:rPr>
        <w:t xml:space="preserve"> </w:t>
      </w:r>
      <w:r>
        <w:rPr>
          <w:rFonts w:hint="eastAsia" w:ascii="宋体" w:hAnsi="宋体"/>
          <w:color w:val="auto"/>
          <w:sz w:val="32"/>
          <w:highlight w:val="none"/>
        </w:rPr>
        <w:t xml:space="preserve"> 投标文件格式</w:t>
      </w:r>
      <w:bookmarkEnd w:id="121"/>
      <w:bookmarkEnd w:id="122"/>
      <w:bookmarkEnd w:id="123"/>
      <w:bookmarkEnd w:id="124"/>
    </w:p>
    <w:p>
      <w:pPr>
        <w:rPr>
          <w:rFonts w:ascii="黑体" w:eastAsia="黑体"/>
          <w:color w:val="auto"/>
          <w:sz w:val="32"/>
          <w:szCs w:val="32"/>
          <w:highlight w:val="none"/>
        </w:rPr>
      </w:pPr>
      <w:r>
        <w:rPr>
          <w:rFonts w:hint="eastAsia" w:ascii="黑体" w:eastAsia="黑体"/>
          <w:color w:val="auto"/>
          <w:sz w:val="32"/>
          <w:szCs w:val="32"/>
          <w:highlight w:val="none"/>
        </w:rPr>
        <w:br w:type="page"/>
      </w:r>
    </w:p>
    <w:p>
      <w:pPr>
        <w:bidi w:val="0"/>
        <w:jc w:val="right"/>
        <w:rPr>
          <w:b/>
          <w:bCs/>
          <w:color w:val="auto"/>
          <w:sz w:val="32"/>
          <w:szCs w:val="40"/>
          <w:highlight w:val="none"/>
        </w:rPr>
      </w:pPr>
      <w:r>
        <w:rPr>
          <w:rFonts w:hint="eastAsia"/>
          <w:b/>
          <w:bCs/>
          <w:color w:val="auto"/>
          <w:sz w:val="32"/>
          <w:szCs w:val="40"/>
          <w:highlight w:val="none"/>
        </w:rPr>
        <w:t xml:space="preserve"> </w:t>
      </w:r>
      <w:bookmarkStart w:id="125" w:name="_Toc13061"/>
      <w:bookmarkStart w:id="126" w:name="_Toc671"/>
      <w:bookmarkStart w:id="127" w:name="_Toc18416"/>
      <w:bookmarkStart w:id="128" w:name="_Toc9676"/>
      <w:r>
        <w:rPr>
          <w:rFonts w:hint="eastAsia"/>
          <w:b/>
          <w:bCs/>
          <w:color w:val="auto"/>
          <w:sz w:val="32"/>
          <w:szCs w:val="40"/>
          <w:highlight w:val="none"/>
        </w:rPr>
        <w:t>正本/副本</w:t>
      </w:r>
      <w:bookmarkEnd w:id="125"/>
      <w:bookmarkEnd w:id="126"/>
      <w:bookmarkEnd w:id="127"/>
      <w:bookmarkEnd w:id="128"/>
    </w:p>
    <w:p>
      <w:pPr>
        <w:spacing w:line="500" w:lineRule="exact"/>
        <w:rPr>
          <w:rFonts w:hint="eastAsia" w:ascii="宋体" w:hAnsi="宋体" w:eastAsia="宋体" w:cs="宋体"/>
          <w:b/>
          <w:color w:val="auto"/>
          <w:sz w:val="32"/>
          <w:szCs w:val="32"/>
          <w:highlight w:val="none"/>
          <w:u w:val="single"/>
          <w:lang w:val="en-US" w:eastAsia="zh-CN"/>
        </w:rPr>
      </w:pPr>
      <w:bookmarkStart w:id="129" w:name="_Toc3861"/>
      <w:r>
        <w:rPr>
          <w:rFonts w:hint="eastAsia" w:ascii="宋体" w:hAnsi="宋体" w:cs="宋体"/>
          <w:b/>
          <w:color w:val="auto"/>
          <w:sz w:val="32"/>
          <w:szCs w:val="32"/>
          <w:highlight w:val="none"/>
        </w:rPr>
        <w:t>项目编号：</w:t>
      </w:r>
      <w:r>
        <w:rPr>
          <w:rFonts w:hint="eastAsia" w:ascii="宋体" w:hAnsi="宋体" w:cs="宋体"/>
          <w:b/>
          <w:color w:val="auto"/>
          <w:sz w:val="32"/>
          <w:szCs w:val="32"/>
          <w:highlight w:val="none"/>
          <w:lang w:eastAsia="zh-CN"/>
        </w:rPr>
        <w:t>E-234132XA011/04</w:t>
      </w:r>
    </w:p>
    <w:p>
      <w:pPr>
        <w:spacing w:before="156" w:beforeLines="50" w:after="156" w:afterLines="50" w:line="360" w:lineRule="auto"/>
        <w:rPr>
          <w:b/>
          <w:bCs/>
          <w:color w:val="auto"/>
          <w:sz w:val="54"/>
          <w:szCs w:val="54"/>
          <w:highlight w:val="none"/>
        </w:rPr>
      </w:pPr>
    </w:p>
    <w:p>
      <w:pPr>
        <w:pStyle w:val="28"/>
        <w:spacing w:before="156" w:beforeLines="50"/>
        <w:jc w:val="both"/>
        <w:rPr>
          <w:rFonts w:ascii="宋体" w:hAnsi="宋体"/>
          <w:b/>
          <w:color w:val="auto"/>
          <w:sz w:val="48"/>
          <w:szCs w:val="48"/>
          <w:highlight w:val="none"/>
        </w:rPr>
      </w:pPr>
    </w:p>
    <w:p>
      <w:pPr>
        <w:pStyle w:val="28"/>
        <w:keepNext w:val="0"/>
        <w:keepLines w:val="0"/>
        <w:pageBreakBefore w:val="0"/>
        <w:widowControl w:val="0"/>
        <w:kinsoku/>
        <w:wordWrap/>
        <w:overflowPunct/>
        <w:topLinePunct w:val="0"/>
        <w:autoSpaceDE/>
        <w:autoSpaceDN/>
        <w:bidi w:val="0"/>
        <w:adjustRightInd/>
        <w:snapToGrid/>
        <w:spacing w:before="156" w:beforeLines="50" w:line="720" w:lineRule="auto"/>
        <w:jc w:val="center"/>
        <w:textAlignment w:val="auto"/>
        <w:rPr>
          <w:rFonts w:hint="eastAsia" w:ascii="宋体" w:hAnsi="宋体" w:eastAsia="宋体"/>
          <w:b/>
          <w:color w:val="auto"/>
          <w:sz w:val="48"/>
          <w:szCs w:val="48"/>
          <w:highlight w:val="none"/>
          <w:lang w:eastAsia="zh-CN"/>
        </w:rPr>
      </w:pPr>
      <w:r>
        <w:rPr>
          <w:rFonts w:hint="eastAsia" w:ascii="宋体" w:hAnsi="宋体"/>
          <w:b/>
          <w:color w:val="auto"/>
          <w:sz w:val="48"/>
          <w:szCs w:val="48"/>
          <w:highlight w:val="none"/>
          <w:lang w:eastAsia="zh-CN"/>
        </w:rPr>
        <w:t>咸阳市中心医院智慧医院建设提升、智慧医疗管理系统建设及环境扩容服务</w:t>
      </w:r>
    </w:p>
    <w:p>
      <w:pPr>
        <w:spacing w:before="156" w:beforeLines="50" w:after="156" w:afterLines="50"/>
        <w:ind w:right="-334" w:rightChars="-159"/>
        <w:jc w:val="center"/>
        <w:rPr>
          <w:rFonts w:hint="eastAsia" w:ascii="宋体" w:hAnsi="宋体" w:eastAsia="宋体" w:cs="Times New Roman"/>
          <w:b/>
          <w:color w:val="auto"/>
          <w:kern w:val="2"/>
          <w:sz w:val="32"/>
          <w:szCs w:val="32"/>
          <w:highlight w:val="none"/>
          <w:lang w:val="en-US" w:eastAsia="zh-CN" w:bidi="ar-SA"/>
        </w:rPr>
      </w:pPr>
      <w:r>
        <w:rPr>
          <w:rFonts w:hint="eastAsia" w:ascii="宋体" w:hAnsi="宋体" w:eastAsia="宋体" w:cs="Times New Roman"/>
          <w:b/>
          <w:color w:val="auto"/>
          <w:kern w:val="2"/>
          <w:sz w:val="32"/>
          <w:szCs w:val="32"/>
          <w:highlight w:val="none"/>
          <w:lang w:val="en-US" w:eastAsia="zh-CN" w:bidi="ar-SA"/>
        </w:rPr>
        <w:t>（</w:t>
      </w:r>
      <w:r>
        <w:rPr>
          <w:rFonts w:hint="eastAsia" w:ascii="宋体" w:hAnsi="宋体" w:cs="Times New Roman"/>
          <w:b/>
          <w:color w:val="auto"/>
          <w:kern w:val="2"/>
          <w:sz w:val="32"/>
          <w:szCs w:val="32"/>
          <w:highlight w:val="none"/>
          <w:lang w:val="en-US" w:eastAsia="zh-CN" w:bidi="ar-SA"/>
        </w:rPr>
        <w:t>04包：智慧医疗管理系统建设及环境扩容服务项目</w:t>
      </w:r>
      <w:r>
        <w:rPr>
          <w:rFonts w:hint="eastAsia" w:ascii="宋体" w:hAnsi="宋体" w:eastAsia="宋体" w:cs="Times New Roman"/>
          <w:b/>
          <w:color w:val="auto"/>
          <w:kern w:val="2"/>
          <w:sz w:val="32"/>
          <w:szCs w:val="32"/>
          <w:highlight w:val="none"/>
          <w:lang w:val="en-US" w:eastAsia="zh-CN" w:bidi="ar-SA"/>
        </w:rPr>
        <w:t>）</w:t>
      </w:r>
    </w:p>
    <w:p>
      <w:pPr>
        <w:bidi w:val="0"/>
        <w:rPr>
          <w:color w:val="auto"/>
          <w:highlight w:val="none"/>
        </w:rPr>
      </w:pPr>
    </w:p>
    <w:p>
      <w:pPr>
        <w:rPr>
          <w:color w:val="auto"/>
          <w:highlight w:val="none"/>
        </w:rPr>
      </w:pPr>
    </w:p>
    <w:p>
      <w:pPr>
        <w:bidi w:val="0"/>
        <w:jc w:val="center"/>
        <w:rPr>
          <w:rFonts w:hint="eastAsia" w:eastAsia="宋体"/>
          <w:b/>
          <w:bCs/>
          <w:color w:val="auto"/>
          <w:sz w:val="72"/>
          <w:szCs w:val="144"/>
          <w:highlight w:val="none"/>
          <w:lang w:eastAsia="zh-CN"/>
        </w:rPr>
      </w:pPr>
      <w:bookmarkStart w:id="130" w:name="_Toc16940"/>
      <w:bookmarkStart w:id="131" w:name="_Toc7769"/>
      <w:bookmarkStart w:id="132" w:name="_Toc6340"/>
      <w:bookmarkStart w:id="133" w:name="_Toc32072"/>
    </w:p>
    <w:p>
      <w:pPr>
        <w:bidi w:val="0"/>
        <w:jc w:val="center"/>
        <w:rPr>
          <w:rFonts w:hint="eastAsia" w:eastAsia="宋体"/>
          <w:b/>
          <w:bCs/>
          <w:color w:val="auto"/>
          <w:sz w:val="72"/>
          <w:szCs w:val="144"/>
          <w:highlight w:val="none"/>
          <w:lang w:eastAsia="zh-CN"/>
        </w:rPr>
      </w:pPr>
      <w:r>
        <w:rPr>
          <w:rFonts w:hint="eastAsia" w:eastAsia="宋体"/>
          <w:b/>
          <w:bCs/>
          <w:color w:val="auto"/>
          <w:sz w:val="72"/>
          <w:szCs w:val="144"/>
          <w:highlight w:val="none"/>
          <w:lang w:eastAsia="zh-CN"/>
        </w:rPr>
        <w:t>投标文件</w:t>
      </w:r>
      <w:bookmarkEnd w:id="130"/>
      <w:bookmarkEnd w:id="131"/>
      <w:bookmarkEnd w:id="132"/>
      <w:bookmarkEnd w:id="133"/>
    </w:p>
    <w:p>
      <w:pPr>
        <w:bidi w:val="0"/>
        <w:rPr>
          <w:rFonts w:hint="eastAsia"/>
          <w:color w:val="auto"/>
          <w:highlight w:val="none"/>
          <w:lang w:eastAsia="zh-CN"/>
        </w:rPr>
      </w:pPr>
    </w:p>
    <w:p>
      <w:pPr>
        <w:bidi w:val="0"/>
        <w:rPr>
          <w:color w:val="auto"/>
          <w:highlight w:val="none"/>
        </w:rPr>
      </w:pPr>
    </w:p>
    <w:p>
      <w:pPr>
        <w:bidi w:val="0"/>
        <w:rPr>
          <w:color w:val="auto"/>
          <w:highlight w:val="none"/>
        </w:rPr>
      </w:pPr>
    </w:p>
    <w:p>
      <w:pPr>
        <w:pStyle w:val="28"/>
        <w:rPr>
          <w:color w:val="auto"/>
          <w:highlight w:val="none"/>
        </w:rPr>
      </w:pPr>
    </w:p>
    <w:p>
      <w:pPr>
        <w:pStyle w:val="18"/>
        <w:rPr>
          <w:color w:val="auto"/>
          <w:highlight w:val="none"/>
        </w:rPr>
      </w:pPr>
    </w:p>
    <w:p>
      <w:pPr>
        <w:pStyle w:val="28"/>
        <w:rPr>
          <w:color w:val="auto"/>
          <w:highlight w:val="none"/>
        </w:rPr>
      </w:pPr>
    </w:p>
    <w:p>
      <w:pPr>
        <w:pStyle w:val="18"/>
        <w:rPr>
          <w:color w:val="auto"/>
          <w:highlight w:val="none"/>
        </w:rPr>
      </w:pPr>
    </w:p>
    <w:p>
      <w:pPr>
        <w:pStyle w:val="28"/>
        <w:rPr>
          <w:color w:val="auto"/>
          <w:highlight w:val="none"/>
        </w:rPr>
      </w:pPr>
    </w:p>
    <w:p>
      <w:pPr>
        <w:keepNext w:val="0"/>
        <w:keepLines w:val="0"/>
        <w:pageBreakBefore w:val="0"/>
        <w:widowControl w:val="0"/>
        <w:kinsoku/>
        <w:wordWrap/>
        <w:overflowPunct/>
        <w:topLinePunct w:val="0"/>
        <w:autoSpaceDE/>
        <w:autoSpaceDN/>
        <w:bidi w:val="0"/>
        <w:adjustRightInd/>
        <w:snapToGrid/>
        <w:spacing w:line="720" w:lineRule="auto"/>
        <w:ind w:firstLine="840" w:firstLineChars="300"/>
        <w:textAlignment w:val="auto"/>
        <w:rPr>
          <w:color w:val="auto"/>
          <w:sz w:val="28"/>
          <w:szCs w:val="36"/>
          <w:highlight w:val="none"/>
        </w:rPr>
      </w:pPr>
      <w:bookmarkStart w:id="134" w:name="_Toc4654"/>
      <w:bookmarkStart w:id="135" w:name="_Toc1651"/>
      <w:bookmarkStart w:id="136" w:name="_Toc25430"/>
      <w:bookmarkStart w:id="137" w:name="_Toc21867"/>
      <w:r>
        <w:rPr>
          <w:rFonts w:hint="eastAsia"/>
          <w:color w:val="auto"/>
          <w:sz w:val="28"/>
          <w:szCs w:val="36"/>
          <w:highlight w:val="none"/>
        </w:rPr>
        <w:t>投标人：</w:t>
      </w:r>
      <w:r>
        <w:rPr>
          <w:rFonts w:hint="eastAsia"/>
          <w:color w:val="auto"/>
          <w:sz w:val="28"/>
          <w:szCs w:val="36"/>
          <w:highlight w:val="none"/>
          <w:u w:val="single"/>
        </w:rPr>
        <w:t xml:space="preserve">       </w:t>
      </w:r>
      <w:r>
        <w:rPr>
          <w:rFonts w:hint="eastAsia"/>
          <w:color w:val="auto"/>
          <w:sz w:val="28"/>
          <w:szCs w:val="36"/>
          <w:highlight w:val="none"/>
          <w:u w:val="single"/>
          <w:lang w:val="en-US" w:eastAsia="zh-CN"/>
        </w:rPr>
        <w:t xml:space="preserve">           </w:t>
      </w:r>
      <w:r>
        <w:rPr>
          <w:rFonts w:hint="eastAsia"/>
          <w:color w:val="auto"/>
          <w:sz w:val="28"/>
          <w:szCs w:val="36"/>
          <w:highlight w:val="none"/>
          <w:u w:val="single"/>
        </w:rPr>
        <w:t xml:space="preserve">           </w:t>
      </w:r>
      <w:r>
        <w:rPr>
          <w:rFonts w:hint="eastAsia"/>
          <w:color w:val="auto"/>
          <w:sz w:val="28"/>
          <w:szCs w:val="36"/>
          <w:highlight w:val="none"/>
        </w:rPr>
        <w:t>（盖单位章）</w:t>
      </w:r>
      <w:bookmarkEnd w:id="134"/>
      <w:bookmarkEnd w:id="135"/>
      <w:bookmarkEnd w:id="136"/>
      <w:bookmarkEnd w:id="137"/>
    </w:p>
    <w:p>
      <w:pPr>
        <w:keepNext w:val="0"/>
        <w:keepLines w:val="0"/>
        <w:pageBreakBefore w:val="0"/>
        <w:widowControl w:val="0"/>
        <w:kinsoku/>
        <w:wordWrap/>
        <w:overflowPunct/>
        <w:topLinePunct w:val="0"/>
        <w:autoSpaceDE/>
        <w:autoSpaceDN/>
        <w:bidi w:val="0"/>
        <w:adjustRightInd/>
        <w:snapToGrid/>
        <w:spacing w:line="720" w:lineRule="auto"/>
        <w:ind w:firstLine="840" w:firstLineChars="300"/>
        <w:textAlignment w:val="auto"/>
        <w:rPr>
          <w:color w:val="auto"/>
          <w:sz w:val="28"/>
          <w:szCs w:val="36"/>
          <w:highlight w:val="none"/>
        </w:rPr>
      </w:pPr>
      <w:bookmarkStart w:id="138" w:name="_Toc30120"/>
      <w:bookmarkStart w:id="139" w:name="_Toc11572"/>
      <w:bookmarkStart w:id="140" w:name="_Toc29662"/>
      <w:bookmarkStart w:id="141" w:name="_Toc20382"/>
      <w:r>
        <w:rPr>
          <w:rFonts w:hint="eastAsia"/>
          <w:color w:val="auto"/>
          <w:sz w:val="28"/>
          <w:szCs w:val="36"/>
          <w:highlight w:val="none"/>
          <w:lang w:eastAsia="zh-CN"/>
        </w:rPr>
        <w:t>法定代表人（负责人）</w:t>
      </w:r>
      <w:r>
        <w:rPr>
          <w:rFonts w:hint="eastAsia"/>
          <w:color w:val="auto"/>
          <w:sz w:val="28"/>
          <w:szCs w:val="36"/>
          <w:highlight w:val="none"/>
        </w:rPr>
        <w:t>或其委托代理人：</w:t>
      </w:r>
      <w:r>
        <w:rPr>
          <w:rFonts w:hint="eastAsia"/>
          <w:color w:val="auto"/>
          <w:sz w:val="28"/>
          <w:szCs w:val="36"/>
          <w:highlight w:val="none"/>
          <w:u w:val="single"/>
        </w:rPr>
        <w:t xml:space="preserve">        </w:t>
      </w:r>
      <w:r>
        <w:rPr>
          <w:rFonts w:hint="eastAsia"/>
          <w:color w:val="auto"/>
          <w:sz w:val="28"/>
          <w:szCs w:val="36"/>
          <w:highlight w:val="none"/>
        </w:rPr>
        <w:t>（签字或盖章）</w:t>
      </w:r>
      <w:bookmarkEnd w:id="138"/>
      <w:bookmarkEnd w:id="139"/>
      <w:bookmarkEnd w:id="140"/>
      <w:bookmarkEnd w:id="141"/>
    </w:p>
    <w:p>
      <w:pPr>
        <w:keepNext w:val="0"/>
        <w:keepLines w:val="0"/>
        <w:pageBreakBefore w:val="0"/>
        <w:widowControl w:val="0"/>
        <w:kinsoku/>
        <w:wordWrap/>
        <w:overflowPunct/>
        <w:topLinePunct w:val="0"/>
        <w:autoSpaceDE/>
        <w:autoSpaceDN/>
        <w:bidi w:val="0"/>
        <w:adjustRightInd/>
        <w:snapToGrid/>
        <w:spacing w:line="720" w:lineRule="auto"/>
        <w:textAlignment w:val="auto"/>
        <w:rPr>
          <w:color w:val="auto"/>
          <w:sz w:val="28"/>
          <w:szCs w:val="36"/>
          <w:highlight w:val="none"/>
        </w:rPr>
      </w:pPr>
      <w:r>
        <w:rPr>
          <w:rFonts w:hint="eastAsia"/>
          <w:color w:val="auto"/>
          <w:sz w:val="28"/>
          <w:szCs w:val="36"/>
          <w:highlight w:val="none"/>
        </w:rPr>
        <w:t xml:space="preserve">        </w:t>
      </w:r>
      <w:bookmarkStart w:id="142" w:name="_Toc21046"/>
      <w:bookmarkStart w:id="143" w:name="_Toc28149"/>
      <w:bookmarkStart w:id="144" w:name="_Toc1653"/>
      <w:bookmarkStart w:id="145" w:name="_Toc8928"/>
      <w:r>
        <w:rPr>
          <w:rFonts w:hint="eastAsia"/>
          <w:color w:val="auto"/>
          <w:sz w:val="28"/>
          <w:szCs w:val="36"/>
          <w:highlight w:val="none"/>
          <w:lang w:val="en-US" w:eastAsia="zh-CN"/>
        </w:rPr>
        <w:t xml:space="preserve">                 </w:t>
      </w:r>
      <w:r>
        <w:rPr>
          <w:rFonts w:hint="eastAsia"/>
          <w:color w:val="auto"/>
          <w:sz w:val="28"/>
          <w:szCs w:val="36"/>
          <w:highlight w:val="none"/>
        </w:rPr>
        <w:t>年      月     日</w:t>
      </w:r>
      <w:bookmarkEnd w:id="142"/>
      <w:bookmarkEnd w:id="143"/>
      <w:bookmarkEnd w:id="144"/>
      <w:bookmarkEnd w:id="145"/>
    </w:p>
    <w:p>
      <w:pPr>
        <w:rPr>
          <w:rFonts w:ascii="宋体" w:hAnsi="宋体" w:cs="黑体"/>
          <w:b/>
          <w:color w:val="auto"/>
          <w:kern w:val="0"/>
          <w:sz w:val="30"/>
          <w:szCs w:val="30"/>
          <w:highlight w:val="none"/>
        </w:rPr>
      </w:pPr>
      <w:r>
        <w:rPr>
          <w:rFonts w:hint="eastAsia" w:ascii="宋体" w:hAnsi="宋体" w:cs="黑体"/>
          <w:b/>
          <w:color w:val="auto"/>
          <w:kern w:val="0"/>
          <w:sz w:val="30"/>
          <w:szCs w:val="30"/>
          <w:highlight w:val="none"/>
        </w:rPr>
        <w:br w:type="page"/>
      </w:r>
    </w:p>
    <w:p>
      <w:pPr>
        <w:spacing w:line="360" w:lineRule="auto"/>
        <w:jc w:val="center"/>
        <w:rPr>
          <w:rFonts w:ascii="宋体" w:hAnsi="宋体" w:cs="宋体"/>
          <w:b/>
          <w:color w:val="auto"/>
          <w:sz w:val="32"/>
          <w:szCs w:val="32"/>
          <w:highlight w:val="none"/>
        </w:rPr>
      </w:pPr>
    </w:p>
    <w:p>
      <w:pPr>
        <w:bidi w:val="0"/>
        <w:jc w:val="center"/>
        <w:rPr>
          <w:b/>
          <w:bCs/>
          <w:color w:val="auto"/>
          <w:sz w:val="36"/>
          <w:szCs w:val="44"/>
          <w:highlight w:val="none"/>
        </w:rPr>
      </w:pPr>
      <w:bookmarkStart w:id="146" w:name="_Toc16689"/>
      <w:bookmarkStart w:id="147" w:name="_Toc14847"/>
      <w:bookmarkStart w:id="148" w:name="_Toc12773"/>
      <w:bookmarkStart w:id="149" w:name="_Toc22039"/>
      <w:r>
        <w:rPr>
          <w:rFonts w:hint="eastAsia"/>
          <w:b/>
          <w:bCs/>
          <w:color w:val="auto"/>
          <w:sz w:val="36"/>
          <w:szCs w:val="44"/>
          <w:highlight w:val="none"/>
        </w:rPr>
        <w:t>目  录</w:t>
      </w:r>
      <w:bookmarkEnd w:id="146"/>
      <w:bookmarkEnd w:id="147"/>
      <w:bookmarkEnd w:id="148"/>
      <w:bookmarkEnd w:id="149"/>
    </w:p>
    <w:p>
      <w:pPr>
        <w:spacing w:line="360" w:lineRule="auto"/>
        <w:ind w:firstLine="480" w:firstLineChars="200"/>
        <w:jc w:val="left"/>
        <w:rPr>
          <w:rFonts w:ascii="宋体" w:hAnsi="宋体" w:cs="宋体"/>
          <w:bCs/>
          <w:color w:val="auto"/>
          <w:sz w:val="24"/>
          <w:highlight w:val="none"/>
        </w:rPr>
      </w:pPr>
    </w:p>
    <w:p>
      <w:pPr>
        <w:bidi w:val="0"/>
        <w:rPr>
          <w:color w:val="auto"/>
          <w:highlight w:val="none"/>
        </w:rPr>
      </w:pPr>
    </w:p>
    <w:p>
      <w:pPr>
        <w:spacing w:before="156" w:beforeLines="50" w:after="156" w:afterLines="50" w:line="360" w:lineRule="auto"/>
        <w:jc w:val="center"/>
        <w:rPr>
          <w:color w:val="auto"/>
          <w:sz w:val="32"/>
          <w:szCs w:val="32"/>
          <w:highlight w:val="none"/>
        </w:rPr>
      </w:pPr>
      <w:r>
        <w:rPr>
          <w:rFonts w:hint="eastAsia"/>
          <w:color w:val="auto"/>
          <w:sz w:val="32"/>
          <w:szCs w:val="32"/>
          <w:highlight w:val="none"/>
        </w:rPr>
        <w:br w:type="page"/>
      </w:r>
    </w:p>
    <w:p>
      <w:pPr>
        <w:pStyle w:val="4"/>
        <w:bidi w:val="0"/>
        <w:rPr>
          <w:color w:val="auto"/>
          <w:sz w:val="32"/>
          <w:szCs w:val="32"/>
          <w:highlight w:val="none"/>
        </w:rPr>
      </w:pPr>
      <w:bookmarkStart w:id="150" w:name="_Toc11617"/>
      <w:bookmarkStart w:id="151" w:name="_Toc11321"/>
      <w:bookmarkStart w:id="152" w:name="_Toc24858"/>
      <w:bookmarkStart w:id="153" w:name="_Toc15981"/>
      <w:r>
        <w:rPr>
          <w:rFonts w:hint="eastAsia"/>
          <w:color w:val="auto"/>
          <w:sz w:val="32"/>
          <w:szCs w:val="32"/>
          <w:highlight w:val="none"/>
        </w:rPr>
        <w:t>一、投标函</w:t>
      </w:r>
      <w:bookmarkEnd w:id="129"/>
      <w:bookmarkEnd w:id="150"/>
      <w:bookmarkEnd w:id="151"/>
      <w:bookmarkEnd w:id="152"/>
      <w:bookmarkEnd w:id="153"/>
    </w:p>
    <w:p>
      <w:pPr>
        <w:spacing w:line="360" w:lineRule="auto"/>
        <w:rPr>
          <w:rFonts w:ascii="宋体" w:hAnsi="宋体"/>
          <w:color w:val="auto"/>
          <w:szCs w:val="21"/>
          <w:highlight w:val="none"/>
        </w:rPr>
      </w:pPr>
      <w:bookmarkStart w:id="154" w:name="_Toc5912"/>
      <w:bookmarkStart w:id="155" w:name="_Toc21293"/>
      <w:bookmarkStart w:id="156" w:name="_Toc24001"/>
      <w:bookmarkStart w:id="157" w:name="_Toc28486"/>
      <w:r>
        <w:rPr>
          <w:rFonts w:hint="eastAsia" w:ascii="宋体" w:hAnsi="宋体"/>
          <w:color w:val="auto"/>
          <w:szCs w:val="21"/>
          <w:highlight w:val="none"/>
        </w:rPr>
        <w:t>致：</w:t>
      </w:r>
      <w:r>
        <w:rPr>
          <w:rFonts w:hint="eastAsia" w:ascii="宋体" w:hAnsi="宋体"/>
          <w:color w:val="auto"/>
          <w:szCs w:val="21"/>
          <w:highlight w:val="none"/>
          <w:u w:val="single"/>
        </w:rPr>
        <w:t>咸阳市中心医院</w:t>
      </w:r>
    </w:p>
    <w:p>
      <w:pPr>
        <w:spacing w:line="360" w:lineRule="auto"/>
        <w:ind w:firstLine="420" w:firstLineChars="200"/>
        <w:jc w:val="left"/>
        <w:rPr>
          <w:rFonts w:ascii="宋体" w:hAnsi="宋体" w:cs="宋体"/>
          <w:color w:val="auto"/>
          <w:szCs w:val="21"/>
          <w:highlight w:val="none"/>
          <w:u w:val="single"/>
        </w:rPr>
      </w:pPr>
      <w:r>
        <w:rPr>
          <w:rFonts w:hint="eastAsia" w:ascii="宋体" w:hAnsi="宋体" w:cs="宋体"/>
          <w:color w:val="auto"/>
          <w:szCs w:val="21"/>
          <w:highlight w:val="none"/>
        </w:rPr>
        <w:t>我单位收到贵单位</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rPr>
        <w:t xml:space="preserve"> （</w:t>
      </w:r>
      <w:r>
        <w:rPr>
          <w:rFonts w:hint="eastAsia" w:ascii="宋体" w:hAnsi="宋体"/>
          <w:color w:val="auto"/>
          <w:szCs w:val="21"/>
          <w:highlight w:val="none"/>
        </w:rPr>
        <w:t>项目名称</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标包名称</w:t>
      </w:r>
      <w:r>
        <w:rPr>
          <w:rFonts w:hint="eastAsia" w:ascii="宋体" w:hAnsi="宋体"/>
          <w:color w:val="auto"/>
          <w:szCs w:val="21"/>
          <w:highlight w:val="none"/>
        </w:rPr>
        <w:t>）</w:t>
      </w:r>
      <w:r>
        <w:rPr>
          <w:rFonts w:hint="eastAsia" w:ascii="宋体" w:hAnsi="宋体" w:cs="宋体"/>
          <w:color w:val="auto"/>
          <w:szCs w:val="21"/>
          <w:highlight w:val="none"/>
        </w:rPr>
        <w:t>的招标文件，经详细研究，我们决定参加本次招标活动并投标。为此，我方郑重声明以下内容，并承担法律责任。</w:t>
      </w:r>
    </w:p>
    <w:p>
      <w:pPr>
        <w:numPr>
          <w:ilvl w:val="0"/>
          <w:numId w:val="12"/>
        </w:num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按照招标文件中规定提供招标货物和技术服务，投标总报价为（大写）</w:t>
      </w:r>
      <w:r>
        <w:rPr>
          <w:rFonts w:hint="eastAsia" w:ascii="宋体" w:hAnsi="宋体" w:cs="宋体"/>
          <w:color w:val="auto"/>
          <w:spacing w:val="40"/>
          <w:szCs w:val="21"/>
          <w:highlight w:val="none"/>
          <w:u w:val="single"/>
        </w:rPr>
        <w:t xml:space="preserve">      </w:t>
      </w:r>
      <w:r>
        <w:rPr>
          <w:rFonts w:hint="eastAsia" w:ascii="宋体" w:hAnsi="宋体" w:cs="宋体"/>
          <w:color w:val="auto"/>
          <w:szCs w:val="21"/>
          <w:highlight w:val="none"/>
        </w:rPr>
        <w:t>（小写：¥</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元）；</w:t>
      </w:r>
      <w:r>
        <w:rPr>
          <w:rFonts w:hint="eastAsia" w:ascii="宋体" w:hAnsi="宋体" w:cs="宋体"/>
          <w:color w:val="auto"/>
          <w:szCs w:val="21"/>
          <w:highlight w:val="none"/>
          <w:lang w:eastAsia="zh-CN"/>
        </w:rPr>
        <w:t>项目完工期</w:t>
      </w:r>
      <w:r>
        <w:rPr>
          <w:rFonts w:hint="eastAsia" w:ascii="宋体" w:hAnsi="宋体" w:cs="宋体"/>
          <w:color w:val="auto"/>
          <w:szCs w:val="21"/>
          <w:highlight w:val="none"/>
        </w:rPr>
        <w:t>：</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日历天。</w:t>
      </w:r>
    </w:p>
    <w:p>
      <w:pPr>
        <w:numPr>
          <w:ilvl w:val="0"/>
          <w:numId w:val="12"/>
        </w:num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我方同意所递交的投标文件的有效期为</w:t>
      </w:r>
      <w:r>
        <w:rPr>
          <w:rFonts w:hint="eastAsia" w:ascii="宋体" w:hAnsi="宋体" w:cs="宋体"/>
          <w:color w:val="auto"/>
          <w:spacing w:val="6"/>
          <w:kern w:val="0"/>
          <w:szCs w:val="21"/>
          <w:highlight w:val="none"/>
          <w:u w:val="single"/>
        </w:rPr>
        <w:t>90天（从提交投标文件的截止之日起算）</w:t>
      </w:r>
      <w:r>
        <w:rPr>
          <w:rFonts w:hint="eastAsia" w:ascii="宋体" w:hAnsi="宋体" w:cs="宋体"/>
          <w:color w:val="auto"/>
          <w:szCs w:val="21"/>
          <w:highlight w:val="none"/>
        </w:rPr>
        <w:t>，并承诺在投标有效期内不修改、撤销投标文件。</w:t>
      </w:r>
    </w:p>
    <w:p>
      <w:pPr>
        <w:numPr>
          <w:ilvl w:val="0"/>
          <w:numId w:val="12"/>
        </w:num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本投标人同意遵照招标文件的全部内容，承担招标文件中规定的全部责任和义务，且响应招标文件中的付款方式。</w:t>
      </w:r>
    </w:p>
    <w:p>
      <w:pPr>
        <w:numPr>
          <w:ilvl w:val="0"/>
          <w:numId w:val="12"/>
        </w:num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我方已仔细阅读了招标文件，包括修改文件（如果有的话）以及全部参考资料和附件，完全理解并同意放弃对这方面有不明及误解的权利。</w:t>
      </w:r>
    </w:p>
    <w:p>
      <w:pPr>
        <w:numPr>
          <w:ilvl w:val="0"/>
          <w:numId w:val="12"/>
        </w:num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如我方中标：</w:t>
      </w:r>
    </w:p>
    <w:p>
      <w:pPr>
        <w:pStyle w:val="28"/>
        <w:numPr>
          <w:ilvl w:val="0"/>
          <w:numId w:val="13"/>
        </w:numPr>
        <w:spacing w:line="360" w:lineRule="auto"/>
        <w:ind w:firstLine="420" w:firstLineChars="200"/>
        <w:rPr>
          <w:color w:val="auto"/>
          <w:szCs w:val="21"/>
          <w:highlight w:val="none"/>
        </w:rPr>
      </w:pPr>
      <w:r>
        <w:rPr>
          <w:rFonts w:hint="eastAsia"/>
          <w:color w:val="auto"/>
          <w:szCs w:val="21"/>
          <w:highlight w:val="none"/>
        </w:rPr>
        <w:t>我方收到中标通知书后，在中标通知书规定的期限内与你方签订合同。</w:t>
      </w:r>
    </w:p>
    <w:p>
      <w:pPr>
        <w:pStyle w:val="28"/>
        <w:numPr>
          <w:ilvl w:val="0"/>
          <w:numId w:val="13"/>
        </w:numPr>
        <w:spacing w:line="360" w:lineRule="auto"/>
        <w:ind w:firstLine="420" w:firstLineChars="200"/>
        <w:rPr>
          <w:color w:val="auto"/>
          <w:szCs w:val="21"/>
          <w:highlight w:val="none"/>
        </w:rPr>
      </w:pPr>
      <w:r>
        <w:rPr>
          <w:rFonts w:hint="eastAsia"/>
          <w:color w:val="auto"/>
          <w:szCs w:val="21"/>
          <w:highlight w:val="none"/>
        </w:rPr>
        <w:t>随同本投标函递交的投标函附录属于合同文件的组成部分。</w:t>
      </w:r>
    </w:p>
    <w:p>
      <w:pPr>
        <w:pStyle w:val="28"/>
        <w:numPr>
          <w:ilvl w:val="0"/>
          <w:numId w:val="13"/>
        </w:numPr>
        <w:spacing w:line="360" w:lineRule="auto"/>
        <w:ind w:firstLine="420" w:firstLineChars="200"/>
        <w:rPr>
          <w:color w:val="auto"/>
          <w:szCs w:val="21"/>
          <w:highlight w:val="none"/>
        </w:rPr>
      </w:pPr>
      <w:r>
        <w:rPr>
          <w:rFonts w:hint="eastAsia"/>
          <w:color w:val="auto"/>
          <w:szCs w:val="21"/>
          <w:highlight w:val="none"/>
        </w:rPr>
        <w:t>我方承诺在合同约定的期限内。每拖延一天，按合同约定处罚。</w:t>
      </w:r>
    </w:p>
    <w:p>
      <w:pPr>
        <w:pStyle w:val="28"/>
        <w:numPr>
          <w:ilvl w:val="0"/>
          <w:numId w:val="13"/>
        </w:numPr>
        <w:spacing w:line="360" w:lineRule="auto"/>
        <w:ind w:firstLine="420" w:firstLineChars="200"/>
        <w:rPr>
          <w:color w:val="auto"/>
          <w:szCs w:val="21"/>
          <w:highlight w:val="none"/>
        </w:rPr>
      </w:pPr>
      <w:r>
        <w:rPr>
          <w:rFonts w:hint="eastAsia"/>
          <w:color w:val="auto"/>
          <w:szCs w:val="21"/>
          <w:highlight w:val="none"/>
        </w:rPr>
        <w:t>我方保证供应货物质量达到投标质量等级，否则，按合同约定处罚。</w:t>
      </w:r>
    </w:p>
    <w:p>
      <w:pPr>
        <w:numPr>
          <w:ilvl w:val="0"/>
          <w:numId w:val="12"/>
        </w:num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我方在此声明，所递交的投标文件及有交资料内容完整、真实和准确。</w:t>
      </w:r>
    </w:p>
    <w:p>
      <w:pPr>
        <w:numPr>
          <w:ilvl w:val="0"/>
          <w:numId w:val="12"/>
        </w:num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我方保证上述投标报价不低于货物成本价。</w:t>
      </w:r>
    </w:p>
    <w:p>
      <w:pPr>
        <w:numPr>
          <w:ilvl w:val="0"/>
          <w:numId w:val="12"/>
        </w:numPr>
        <w:spacing w:line="360" w:lineRule="auto"/>
        <w:ind w:firstLine="420" w:firstLineChars="200"/>
        <w:jc w:val="left"/>
        <w:rPr>
          <w:color w:val="auto"/>
          <w:szCs w:val="21"/>
          <w:highlight w:val="none"/>
        </w:rPr>
      </w:pPr>
      <w:r>
        <w:rPr>
          <w:rFonts w:hint="eastAsia" w:ascii="宋体" w:hAnsi="宋体" w:cs="宋体"/>
          <w:color w:val="auto"/>
          <w:szCs w:val="21"/>
          <w:highlight w:val="none"/>
        </w:rPr>
        <w:t>我方同意向贵方提供可能要求的与其招标有关的一切数据或资料，完全理解最低投标报价不作为中标的唯一条件，且尊重评标委员会的评标结论和定标结果。</w:t>
      </w:r>
    </w:p>
    <w:p>
      <w:pPr>
        <w:numPr>
          <w:ilvl w:val="0"/>
          <w:numId w:val="12"/>
        </w:num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 xml:space="preserve">如因我方原因放弃中标，我方承诺，将承担因下个中标候选人中标给发包人带来的经济损失。  </w:t>
      </w:r>
    </w:p>
    <w:p>
      <w:pPr>
        <w:spacing w:line="460" w:lineRule="exact"/>
        <w:ind w:firstLine="525" w:firstLineChars="250"/>
        <w:rPr>
          <w:rFonts w:ascii="宋体"/>
          <w:color w:val="auto"/>
          <w:szCs w:val="21"/>
          <w:highlight w:val="none"/>
        </w:rPr>
      </w:pPr>
    </w:p>
    <w:p>
      <w:pPr>
        <w:spacing w:line="360" w:lineRule="auto"/>
        <w:ind w:firstLine="525" w:firstLineChars="250"/>
        <w:rPr>
          <w:rFonts w:ascii="宋体"/>
          <w:color w:val="auto"/>
          <w:szCs w:val="21"/>
          <w:highlight w:val="none"/>
          <w:u w:val="single"/>
        </w:rPr>
      </w:pPr>
      <w:r>
        <w:rPr>
          <w:rFonts w:hint="eastAsia" w:ascii="宋体" w:hAnsi="宋体"/>
          <w:color w:val="auto"/>
          <w:szCs w:val="21"/>
          <w:highlight w:val="none"/>
        </w:rPr>
        <w:t>投标人名称：</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rPr>
        <w:t>（盖单位章）</w:t>
      </w:r>
    </w:p>
    <w:p>
      <w:pPr>
        <w:spacing w:line="360" w:lineRule="auto"/>
        <w:ind w:firstLine="525" w:firstLineChars="250"/>
        <w:rPr>
          <w:rFonts w:ascii="宋体"/>
          <w:color w:val="auto"/>
          <w:szCs w:val="21"/>
          <w:highlight w:val="none"/>
        </w:rPr>
      </w:pPr>
      <w:r>
        <w:rPr>
          <w:rFonts w:hint="eastAsia" w:ascii="宋体" w:hAnsi="宋体"/>
          <w:color w:val="auto"/>
          <w:szCs w:val="21"/>
          <w:highlight w:val="none"/>
          <w:lang w:eastAsia="zh-CN"/>
        </w:rPr>
        <w:t>法定代表人（负责人）</w:t>
      </w:r>
      <w:r>
        <w:rPr>
          <w:rFonts w:hint="eastAsia" w:ascii="宋体" w:hAnsi="宋体"/>
          <w:color w:val="auto"/>
          <w:szCs w:val="21"/>
          <w:highlight w:val="none"/>
        </w:rPr>
        <w:t>或其委托代理人：</w:t>
      </w:r>
      <w:r>
        <w:rPr>
          <w:rFonts w:ascii="宋体" w:hAnsi="宋体"/>
          <w:color w:val="auto"/>
          <w:szCs w:val="21"/>
          <w:highlight w:val="none"/>
          <w:u w:val="single"/>
        </w:rPr>
        <w:t xml:space="preserve">           </w:t>
      </w:r>
      <w:r>
        <w:rPr>
          <w:rFonts w:hint="eastAsia" w:ascii="宋体" w:hAnsi="宋体"/>
          <w:color w:val="auto"/>
          <w:szCs w:val="21"/>
          <w:highlight w:val="none"/>
        </w:rPr>
        <w:t>（签字或盖章）</w:t>
      </w:r>
      <w:r>
        <w:rPr>
          <w:rFonts w:ascii="宋体" w:hAnsi="宋体"/>
          <w:color w:val="auto"/>
          <w:szCs w:val="21"/>
          <w:highlight w:val="none"/>
        </w:rPr>
        <w:t xml:space="preserve"> </w:t>
      </w:r>
    </w:p>
    <w:p>
      <w:pPr>
        <w:spacing w:line="360" w:lineRule="auto"/>
        <w:ind w:firstLine="525" w:firstLineChars="250"/>
        <w:rPr>
          <w:rFonts w:ascii="宋体" w:hAnsi="宋体"/>
          <w:color w:val="auto"/>
          <w:szCs w:val="21"/>
          <w:highlight w:val="none"/>
          <w:u w:val="single"/>
        </w:rPr>
      </w:pPr>
      <w:r>
        <w:rPr>
          <w:rFonts w:hint="eastAsia" w:ascii="宋体" w:hAnsi="宋体"/>
          <w:color w:val="auto"/>
          <w:szCs w:val="21"/>
          <w:highlight w:val="none"/>
        </w:rPr>
        <w:t>地址：</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邮编：</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rPr>
        <w:t>电话：</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rPr>
        <w:t xml:space="preserve"> </w:t>
      </w:r>
      <w:r>
        <w:rPr>
          <w:rFonts w:hint="eastAsia" w:ascii="宋体" w:hAnsi="宋体"/>
          <w:color w:val="auto"/>
          <w:szCs w:val="21"/>
          <w:highlight w:val="none"/>
        </w:rPr>
        <w:t>传真：</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p>
    <w:p>
      <w:pPr>
        <w:pStyle w:val="28"/>
        <w:spacing w:line="360" w:lineRule="auto"/>
        <w:jc w:val="center"/>
        <w:rPr>
          <w:rFonts w:hint="eastAsia" w:ascii="宋体" w:hAnsi="宋体"/>
          <w:color w:val="auto"/>
          <w:szCs w:val="21"/>
          <w:highlight w:val="none"/>
        </w:rPr>
      </w:pP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p>
    <w:p>
      <w:pPr>
        <w:rPr>
          <w:rFonts w:hint="eastAsia" w:ascii="宋体" w:hAnsi="宋体"/>
          <w:color w:val="auto"/>
          <w:szCs w:val="21"/>
          <w:highlight w:val="none"/>
        </w:rPr>
      </w:pPr>
      <w:r>
        <w:rPr>
          <w:rFonts w:hint="eastAsia" w:ascii="宋体" w:hAnsi="宋体"/>
          <w:color w:val="auto"/>
          <w:szCs w:val="21"/>
          <w:highlight w:val="none"/>
        </w:rPr>
        <w:br w:type="page"/>
      </w:r>
    </w:p>
    <w:p>
      <w:pPr>
        <w:pStyle w:val="4"/>
        <w:bidi w:val="0"/>
        <w:rPr>
          <w:rFonts w:hint="default" w:ascii="宋体" w:hAnsi="宋体" w:eastAsia="宋体" w:cs="Times New Roman"/>
          <w:color w:val="auto"/>
          <w:sz w:val="32"/>
          <w:szCs w:val="32"/>
          <w:highlight w:val="none"/>
          <w:lang w:val="en-US" w:eastAsia="zh-CN"/>
        </w:rPr>
      </w:pPr>
      <w:r>
        <w:rPr>
          <w:rFonts w:hint="eastAsia" w:ascii="宋体" w:hAnsi="宋体" w:eastAsia="宋体" w:cs="Times New Roman"/>
          <w:color w:val="auto"/>
          <w:sz w:val="32"/>
          <w:szCs w:val="32"/>
          <w:highlight w:val="none"/>
        </w:rPr>
        <w:t>二、</w:t>
      </w:r>
      <w:r>
        <w:rPr>
          <w:rFonts w:hint="eastAsia" w:ascii="宋体" w:hAnsi="宋体" w:eastAsia="宋体" w:cs="Times New Roman"/>
          <w:color w:val="auto"/>
          <w:sz w:val="32"/>
          <w:szCs w:val="32"/>
          <w:highlight w:val="none"/>
          <w:lang w:val="en-US" w:eastAsia="zh-CN"/>
        </w:rPr>
        <w:t>开标一览表</w:t>
      </w:r>
    </w:p>
    <w:p>
      <w:pPr>
        <w:pStyle w:val="18"/>
        <w:ind w:left="0" w:leftChars="0" w:firstLine="0" w:firstLineChars="0"/>
        <w:rPr>
          <w:color w:val="auto"/>
          <w:highlight w:val="none"/>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olor w:val="auto"/>
          <w:sz w:val="21"/>
          <w:szCs w:val="21"/>
          <w:highlight w:val="none"/>
          <w:u w:val="single"/>
          <w:lang w:val="en-US" w:eastAsia="zh-CN"/>
        </w:rPr>
      </w:pPr>
      <w:r>
        <w:rPr>
          <w:rFonts w:hint="eastAsia" w:ascii="宋体" w:hAnsi="宋体"/>
          <w:color w:val="auto"/>
          <w:sz w:val="21"/>
          <w:szCs w:val="21"/>
          <w:highlight w:val="none"/>
        </w:rPr>
        <w:t>项目编号：</w:t>
      </w:r>
      <w:r>
        <w:rPr>
          <w:rFonts w:hint="eastAsia" w:ascii="宋体" w:hAnsi="宋体"/>
          <w:color w:val="auto"/>
          <w:sz w:val="21"/>
          <w:szCs w:val="21"/>
          <w:highlight w:val="none"/>
          <w:u w:val="single"/>
          <w:lang w:val="en-US" w:eastAsia="zh-CN"/>
        </w:rPr>
        <w:t xml:space="preserve">                                        </w:t>
      </w:r>
    </w:p>
    <w:p>
      <w:pPr>
        <w:pStyle w:val="28"/>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eastAsia="宋体"/>
          <w:color w:val="auto"/>
          <w:sz w:val="21"/>
          <w:szCs w:val="21"/>
          <w:highlight w:val="none"/>
          <w:u w:val="single"/>
          <w:lang w:val="en-US" w:eastAsia="zh-CN"/>
        </w:rPr>
      </w:pPr>
      <w:r>
        <w:rPr>
          <w:rFonts w:hint="eastAsia" w:ascii="宋体" w:hAnsi="宋体"/>
          <w:color w:val="auto"/>
          <w:szCs w:val="21"/>
          <w:highlight w:val="none"/>
        </w:rPr>
        <w:t>项目名称</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标包名称</w:t>
      </w:r>
      <w:r>
        <w:rPr>
          <w:rFonts w:hint="eastAsia" w:ascii="宋体" w:hAnsi="宋体"/>
          <w:color w:val="auto"/>
          <w:sz w:val="21"/>
          <w:szCs w:val="21"/>
          <w:highlight w:val="none"/>
        </w:rPr>
        <w:t>：</w:t>
      </w:r>
      <w:r>
        <w:rPr>
          <w:rFonts w:hint="eastAsia" w:ascii="宋体" w:hAnsi="宋体"/>
          <w:color w:val="auto"/>
          <w:sz w:val="21"/>
          <w:szCs w:val="21"/>
          <w:highlight w:val="none"/>
          <w:u w:val="single"/>
          <w:lang w:val="en-US" w:eastAsia="zh-CN"/>
        </w:rPr>
        <w:t xml:space="preserve">                              </w:t>
      </w:r>
    </w:p>
    <w:tbl>
      <w:tblPr>
        <w:tblStyle w:val="23"/>
        <w:tblW w:w="8845" w:type="dxa"/>
        <w:jc w:val="center"/>
        <w:tblLayout w:type="fixed"/>
        <w:tblCellMar>
          <w:top w:w="0" w:type="dxa"/>
          <w:left w:w="0" w:type="dxa"/>
          <w:bottom w:w="0" w:type="dxa"/>
          <w:right w:w="0" w:type="dxa"/>
        </w:tblCellMar>
      </w:tblPr>
      <w:tblGrid>
        <w:gridCol w:w="645"/>
        <w:gridCol w:w="2663"/>
        <w:gridCol w:w="2175"/>
        <w:gridCol w:w="1423"/>
        <w:gridCol w:w="952"/>
        <w:gridCol w:w="987"/>
      </w:tblGrid>
      <w:tr>
        <w:tblPrEx>
          <w:tblCellMar>
            <w:top w:w="0" w:type="dxa"/>
            <w:left w:w="0" w:type="dxa"/>
            <w:bottom w:w="0" w:type="dxa"/>
            <w:right w:w="0" w:type="dxa"/>
          </w:tblCellMar>
        </w:tblPrEx>
        <w:trPr>
          <w:trHeight w:val="1035" w:hRule="atLeast"/>
          <w:jc w:val="center"/>
        </w:trPr>
        <w:tc>
          <w:tcPr>
            <w:tcW w:w="645" w:type="dxa"/>
            <w:tcBorders>
              <w:top w:val="single" w:color="auto" w:sz="4" w:space="0"/>
              <w:left w:val="single" w:color="auto" w:sz="4" w:space="0"/>
              <w:bottom w:val="single" w:color="auto" w:sz="8" w:space="0"/>
              <w:right w:val="single" w:color="auto" w:sz="4" w:space="0"/>
            </w:tcBorders>
            <w:noWrap w:val="0"/>
            <w:vAlign w:val="center"/>
          </w:tcPr>
          <w:p>
            <w:pPr>
              <w:tabs>
                <w:tab w:val="left" w:pos="5580"/>
              </w:tabs>
              <w:jc w:val="center"/>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序号</w:t>
            </w:r>
          </w:p>
        </w:tc>
        <w:tc>
          <w:tcPr>
            <w:tcW w:w="2663" w:type="dxa"/>
            <w:tcBorders>
              <w:top w:val="single" w:color="auto" w:sz="4" w:space="0"/>
              <w:left w:val="single" w:color="auto" w:sz="8" w:space="0"/>
              <w:bottom w:val="single" w:color="auto" w:sz="8" w:space="0"/>
              <w:right w:val="single" w:color="auto" w:sz="4" w:space="0"/>
            </w:tcBorders>
            <w:noWrap w:val="0"/>
            <w:vAlign w:val="center"/>
          </w:tcPr>
          <w:p>
            <w:pPr>
              <w:tabs>
                <w:tab w:val="left" w:pos="5580"/>
              </w:tabs>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w:t>
            </w:r>
            <w:r>
              <w:rPr>
                <w:rFonts w:hint="eastAsia" w:ascii="宋体" w:hAnsi="宋体" w:cs="宋体"/>
                <w:color w:val="auto"/>
                <w:sz w:val="21"/>
                <w:szCs w:val="21"/>
                <w:highlight w:val="none"/>
                <w:lang w:val="en-US" w:eastAsia="zh-CN"/>
              </w:rPr>
              <w:t>报</w:t>
            </w:r>
            <w:r>
              <w:rPr>
                <w:rFonts w:hint="eastAsia" w:ascii="宋体" w:hAnsi="宋体" w:eastAsia="宋体" w:cs="宋体"/>
                <w:color w:val="auto"/>
                <w:sz w:val="21"/>
                <w:szCs w:val="21"/>
                <w:highlight w:val="none"/>
              </w:rPr>
              <w:t>价（单位：元）</w:t>
            </w:r>
          </w:p>
        </w:tc>
        <w:tc>
          <w:tcPr>
            <w:tcW w:w="2175" w:type="dxa"/>
            <w:tcBorders>
              <w:top w:val="single" w:color="auto" w:sz="8" w:space="0"/>
              <w:left w:val="nil"/>
              <w:bottom w:val="single" w:color="auto" w:sz="8" w:space="0"/>
              <w:right w:val="single" w:color="auto" w:sz="4" w:space="0"/>
            </w:tcBorders>
            <w:noWrap w:val="0"/>
            <w:vAlign w:val="center"/>
          </w:tcPr>
          <w:p>
            <w:pPr>
              <w:tabs>
                <w:tab w:val="left" w:pos="5580"/>
              </w:tabs>
              <w:jc w:val="center"/>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项目完工期</w:t>
            </w:r>
          </w:p>
          <w:p>
            <w:pPr>
              <w:tabs>
                <w:tab w:val="left" w:pos="5580"/>
              </w:tabs>
              <w:jc w:val="center"/>
              <w:rPr>
                <w:rFonts w:hint="eastAsia" w:ascii="宋体" w:hAnsi="宋体" w:eastAsia="宋体" w:cs="宋体"/>
                <w:color w:val="auto"/>
                <w:sz w:val="21"/>
                <w:szCs w:val="21"/>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单位：</w:t>
            </w:r>
            <w:r>
              <w:rPr>
                <w:rFonts w:hint="eastAsia" w:ascii="宋体" w:hAnsi="宋体" w:cs="宋体"/>
                <w:color w:val="auto"/>
                <w:szCs w:val="21"/>
                <w:highlight w:val="none"/>
              </w:rPr>
              <w:t>日历天</w:t>
            </w:r>
            <w:r>
              <w:rPr>
                <w:rFonts w:hint="eastAsia" w:ascii="宋体" w:hAnsi="宋体" w:cs="宋体"/>
                <w:color w:val="auto"/>
                <w:szCs w:val="21"/>
                <w:highlight w:val="none"/>
                <w:lang w:eastAsia="zh-CN"/>
              </w:rPr>
              <w:t>）</w:t>
            </w:r>
          </w:p>
        </w:tc>
        <w:tc>
          <w:tcPr>
            <w:tcW w:w="1423" w:type="dxa"/>
            <w:tcBorders>
              <w:top w:val="single" w:color="auto" w:sz="8" w:space="0"/>
              <w:left w:val="nil"/>
              <w:bottom w:val="single" w:color="auto" w:sz="8" w:space="0"/>
              <w:right w:val="single" w:color="auto" w:sz="8" w:space="0"/>
            </w:tcBorders>
            <w:noWrap w:val="0"/>
            <w:vAlign w:val="center"/>
          </w:tcPr>
          <w:p>
            <w:pPr>
              <w:tabs>
                <w:tab w:val="left" w:pos="5580"/>
              </w:tabs>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质量标准</w:t>
            </w:r>
          </w:p>
        </w:tc>
        <w:tc>
          <w:tcPr>
            <w:tcW w:w="952" w:type="dxa"/>
            <w:tcBorders>
              <w:top w:val="single" w:color="auto" w:sz="8" w:space="0"/>
              <w:left w:val="nil"/>
              <w:bottom w:val="single" w:color="auto" w:sz="8" w:space="0"/>
              <w:right w:val="single" w:color="auto" w:sz="8" w:space="0"/>
            </w:tcBorders>
            <w:noWrap w:val="0"/>
            <w:vAlign w:val="center"/>
          </w:tcPr>
          <w:p>
            <w:pPr>
              <w:tabs>
                <w:tab w:val="left" w:pos="5580"/>
              </w:tabs>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质保期（年）</w:t>
            </w:r>
          </w:p>
        </w:tc>
        <w:tc>
          <w:tcPr>
            <w:tcW w:w="987" w:type="dxa"/>
            <w:tcBorders>
              <w:top w:val="single" w:color="auto" w:sz="8" w:space="0"/>
              <w:left w:val="nil"/>
              <w:bottom w:val="single" w:color="auto" w:sz="8" w:space="0"/>
              <w:right w:val="single" w:color="auto" w:sz="8" w:space="0"/>
            </w:tcBorders>
            <w:noWrap w:val="0"/>
            <w:vAlign w:val="center"/>
          </w:tcPr>
          <w:p>
            <w:pPr>
              <w:tabs>
                <w:tab w:val="left" w:pos="5580"/>
              </w:tabs>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w:t>
            </w:r>
          </w:p>
        </w:tc>
      </w:tr>
      <w:tr>
        <w:tblPrEx>
          <w:tblCellMar>
            <w:top w:w="0" w:type="dxa"/>
            <w:left w:w="0" w:type="dxa"/>
            <w:bottom w:w="0" w:type="dxa"/>
            <w:right w:w="0" w:type="dxa"/>
          </w:tblCellMar>
        </w:tblPrEx>
        <w:trPr>
          <w:cantSplit/>
          <w:trHeight w:val="1640" w:hRule="atLeast"/>
          <w:jc w:val="center"/>
        </w:trPr>
        <w:tc>
          <w:tcPr>
            <w:tcW w:w="645" w:type="dxa"/>
            <w:tcBorders>
              <w:top w:val="single" w:color="auto" w:sz="8" w:space="0"/>
              <w:left w:val="single" w:color="auto" w:sz="4" w:space="0"/>
              <w:bottom w:val="single" w:color="auto" w:sz="4" w:space="0"/>
              <w:right w:val="single" w:color="auto" w:sz="4" w:space="0"/>
            </w:tcBorders>
            <w:noWrap w:val="0"/>
            <w:vAlign w:val="center"/>
          </w:tcPr>
          <w:p>
            <w:pPr>
              <w:tabs>
                <w:tab w:val="left" w:pos="5580"/>
              </w:tabs>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2663" w:type="dxa"/>
            <w:tcBorders>
              <w:top w:val="single" w:color="auto" w:sz="8" w:space="0"/>
              <w:left w:val="single" w:color="auto" w:sz="8" w:space="0"/>
              <w:bottom w:val="single" w:color="auto" w:sz="4" w:space="0"/>
              <w:right w:val="single" w:color="auto" w:sz="4" w:space="0"/>
            </w:tcBorders>
            <w:noWrap w:val="0"/>
            <w:vAlign w:val="center"/>
          </w:tcPr>
          <w:p>
            <w:pPr>
              <w:tabs>
                <w:tab w:val="left" w:pos="5580"/>
              </w:tabs>
              <w:spacing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大写：</w:t>
            </w:r>
          </w:p>
          <w:p>
            <w:pPr>
              <w:tabs>
                <w:tab w:val="left" w:pos="5580"/>
              </w:tabs>
              <w:spacing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小写：</w:t>
            </w:r>
          </w:p>
        </w:tc>
        <w:tc>
          <w:tcPr>
            <w:tcW w:w="2175" w:type="dxa"/>
            <w:tcBorders>
              <w:top w:val="single" w:color="auto" w:sz="8" w:space="0"/>
              <w:left w:val="nil"/>
              <w:bottom w:val="single" w:color="auto" w:sz="4" w:space="0"/>
              <w:right w:val="single" w:color="auto" w:sz="4" w:space="0"/>
            </w:tcBorders>
            <w:noWrap w:val="0"/>
            <w:vAlign w:val="center"/>
          </w:tcPr>
          <w:p>
            <w:pPr>
              <w:tabs>
                <w:tab w:val="left" w:pos="5580"/>
              </w:tabs>
              <w:spacing w:line="360" w:lineRule="auto"/>
              <w:jc w:val="center"/>
              <w:rPr>
                <w:rFonts w:hint="eastAsia" w:ascii="宋体" w:hAnsi="宋体" w:eastAsia="宋体" w:cs="宋体"/>
                <w:color w:val="auto"/>
                <w:sz w:val="21"/>
                <w:szCs w:val="21"/>
                <w:highlight w:val="none"/>
              </w:rPr>
            </w:pPr>
          </w:p>
        </w:tc>
        <w:tc>
          <w:tcPr>
            <w:tcW w:w="1423" w:type="dxa"/>
            <w:tcBorders>
              <w:top w:val="single" w:color="auto" w:sz="8" w:space="0"/>
              <w:left w:val="nil"/>
              <w:bottom w:val="single" w:color="auto" w:sz="4" w:space="0"/>
              <w:right w:val="single" w:color="auto" w:sz="8" w:space="0"/>
            </w:tcBorders>
            <w:noWrap w:val="0"/>
            <w:vAlign w:val="center"/>
          </w:tcPr>
          <w:p>
            <w:pPr>
              <w:tabs>
                <w:tab w:val="left" w:pos="5580"/>
              </w:tabs>
              <w:spacing w:line="360" w:lineRule="auto"/>
              <w:jc w:val="center"/>
              <w:rPr>
                <w:rFonts w:hint="eastAsia" w:ascii="宋体" w:hAnsi="宋体" w:eastAsia="宋体" w:cs="宋体"/>
                <w:color w:val="auto"/>
                <w:sz w:val="21"/>
                <w:szCs w:val="21"/>
                <w:highlight w:val="none"/>
              </w:rPr>
            </w:pPr>
          </w:p>
        </w:tc>
        <w:tc>
          <w:tcPr>
            <w:tcW w:w="952" w:type="dxa"/>
            <w:tcBorders>
              <w:top w:val="single" w:color="auto" w:sz="8" w:space="0"/>
              <w:left w:val="nil"/>
              <w:bottom w:val="single" w:color="auto" w:sz="4" w:space="0"/>
              <w:right w:val="single" w:color="auto" w:sz="8" w:space="0"/>
            </w:tcBorders>
            <w:noWrap w:val="0"/>
            <w:vAlign w:val="center"/>
          </w:tcPr>
          <w:p>
            <w:pPr>
              <w:tabs>
                <w:tab w:val="left" w:pos="5580"/>
              </w:tabs>
              <w:spacing w:line="360" w:lineRule="auto"/>
              <w:jc w:val="center"/>
              <w:rPr>
                <w:rFonts w:hint="eastAsia" w:ascii="宋体" w:hAnsi="宋体" w:eastAsia="宋体" w:cs="宋体"/>
                <w:color w:val="auto"/>
                <w:sz w:val="21"/>
                <w:szCs w:val="21"/>
                <w:highlight w:val="none"/>
              </w:rPr>
            </w:pPr>
          </w:p>
        </w:tc>
        <w:tc>
          <w:tcPr>
            <w:tcW w:w="987" w:type="dxa"/>
            <w:tcBorders>
              <w:top w:val="single" w:color="auto" w:sz="8" w:space="0"/>
              <w:left w:val="nil"/>
              <w:bottom w:val="single" w:color="auto" w:sz="4" w:space="0"/>
              <w:right w:val="single" w:color="auto" w:sz="8" w:space="0"/>
            </w:tcBorders>
            <w:noWrap w:val="0"/>
            <w:vAlign w:val="center"/>
          </w:tcPr>
          <w:p>
            <w:pPr>
              <w:tabs>
                <w:tab w:val="left" w:pos="5580"/>
              </w:tabs>
              <w:spacing w:line="360" w:lineRule="auto"/>
              <w:jc w:val="center"/>
              <w:rPr>
                <w:rFonts w:hint="eastAsia" w:ascii="宋体" w:hAnsi="宋体" w:eastAsia="宋体" w:cs="宋体"/>
                <w:color w:val="auto"/>
                <w:sz w:val="21"/>
                <w:szCs w:val="21"/>
                <w:highlight w:val="none"/>
              </w:rPr>
            </w:pPr>
          </w:p>
        </w:tc>
      </w:tr>
    </w:tbl>
    <w:p>
      <w:pPr>
        <w:keepNext w:val="0"/>
        <w:keepLines w:val="0"/>
        <w:pageBreakBefore w:val="0"/>
        <w:widowControl w:val="0"/>
        <w:kinsoku/>
        <w:wordWrap/>
        <w:overflowPunct/>
        <w:topLinePunct w:val="0"/>
        <w:autoSpaceDE/>
        <w:autoSpaceDN/>
        <w:bidi w:val="0"/>
        <w:adjustRightInd w:val="0"/>
        <w:snapToGrid w:val="0"/>
        <w:spacing w:before="157" w:beforeLines="50" w:line="360" w:lineRule="auto"/>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注：投标报价为完成本项目所发生的一切费用,包括但不限于设备的设计、制造、包装、仓储、运输、装卸、保管、保险费、安装费、调试费、验收合格之前及售后保修期间更换备品备件发生的费用、税金、调试配合及技术资料、技术服务等所有费用，如有遗漏，视为已包含在内。</w:t>
      </w:r>
    </w:p>
    <w:p>
      <w:pPr>
        <w:pStyle w:val="28"/>
        <w:rPr>
          <w:rFonts w:ascii="宋体" w:hAnsi="宋体" w:cs="宋体"/>
          <w:color w:val="auto"/>
          <w:kern w:val="0"/>
          <w:szCs w:val="21"/>
          <w:highlight w:val="none"/>
        </w:rPr>
      </w:pPr>
    </w:p>
    <w:p>
      <w:pPr>
        <w:keepNext w:val="0"/>
        <w:keepLines w:val="0"/>
        <w:pageBreakBefore w:val="0"/>
        <w:widowControl w:val="0"/>
        <w:kinsoku/>
        <w:wordWrap/>
        <w:overflowPunct/>
        <w:topLinePunct w:val="0"/>
        <w:bidi w:val="0"/>
        <w:snapToGrid/>
        <w:spacing w:line="480" w:lineRule="auto"/>
        <w:jc w:val="right"/>
        <w:textAlignment w:val="auto"/>
        <w:rPr>
          <w:rFonts w:hint="eastAsia" w:ascii="宋体" w:hAnsi="宋体" w:cs="宋体"/>
          <w:color w:val="auto"/>
          <w:kern w:val="0"/>
          <w:szCs w:val="21"/>
          <w:highlight w:val="none"/>
        </w:rPr>
      </w:pPr>
    </w:p>
    <w:p>
      <w:pPr>
        <w:keepNext w:val="0"/>
        <w:keepLines w:val="0"/>
        <w:pageBreakBefore w:val="0"/>
        <w:widowControl w:val="0"/>
        <w:kinsoku/>
        <w:wordWrap/>
        <w:overflowPunct/>
        <w:topLinePunct w:val="0"/>
        <w:bidi w:val="0"/>
        <w:snapToGrid/>
        <w:spacing w:line="480" w:lineRule="auto"/>
        <w:jc w:val="right"/>
        <w:textAlignment w:val="auto"/>
        <w:rPr>
          <w:rFonts w:hint="eastAsia" w:ascii="宋体" w:hAnsi="宋体" w:cs="宋体"/>
          <w:color w:val="auto"/>
          <w:kern w:val="0"/>
          <w:szCs w:val="21"/>
          <w:highlight w:val="none"/>
        </w:rPr>
      </w:pPr>
    </w:p>
    <w:p>
      <w:pPr>
        <w:keepNext w:val="0"/>
        <w:keepLines w:val="0"/>
        <w:pageBreakBefore w:val="0"/>
        <w:widowControl w:val="0"/>
        <w:kinsoku/>
        <w:wordWrap/>
        <w:overflowPunct/>
        <w:topLinePunct w:val="0"/>
        <w:bidi w:val="0"/>
        <w:snapToGrid/>
        <w:spacing w:line="480" w:lineRule="auto"/>
        <w:jc w:val="right"/>
        <w:textAlignment w:val="auto"/>
        <w:rPr>
          <w:rFonts w:hint="eastAsia" w:ascii="宋体" w:hAnsi="宋体" w:cs="宋体"/>
          <w:color w:val="auto"/>
          <w:kern w:val="0"/>
          <w:szCs w:val="21"/>
          <w:highlight w:val="none"/>
        </w:rPr>
      </w:pPr>
    </w:p>
    <w:p>
      <w:pPr>
        <w:keepNext w:val="0"/>
        <w:keepLines w:val="0"/>
        <w:pageBreakBefore w:val="0"/>
        <w:widowControl w:val="0"/>
        <w:kinsoku/>
        <w:wordWrap/>
        <w:overflowPunct/>
        <w:topLinePunct w:val="0"/>
        <w:bidi w:val="0"/>
        <w:snapToGrid/>
        <w:spacing w:line="480" w:lineRule="auto"/>
        <w:jc w:val="right"/>
        <w:textAlignment w:val="auto"/>
        <w:rPr>
          <w:rFonts w:ascii="宋体" w:hAnsi="宋体" w:cs="宋体"/>
          <w:color w:val="auto"/>
          <w:kern w:val="0"/>
          <w:szCs w:val="21"/>
          <w:highlight w:val="none"/>
        </w:rPr>
      </w:pPr>
      <w:r>
        <w:rPr>
          <w:rFonts w:hint="eastAsia" w:ascii="宋体" w:hAnsi="宋体" w:cs="宋体"/>
          <w:color w:val="auto"/>
          <w:kern w:val="0"/>
          <w:szCs w:val="21"/>
          <w:highlight w:val="none"/>
        </w:rPr>
        <w:t>投标人：</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（盖单位章）</w:t>
      </w:r>
    </w:p>
    <w:p>
      <w:pPr>
        <w:keepNext w:val="0"/>
        <w:keepLines w:val="0"/>
        <w:pageBreakBefore w:val="0"/>
        <w:widowControl w:val="0"/>
        <w:kinsoku/>
        <w:wordWrap/>
        <w:overflowPunct/>
        <w:topLinePunct w:val="0"/>
        <w:autoSpaceDE w:val="0"/>
        <w:autoSpaceDN w:val="0"/>
        <w:bidi w:val="0"/>
        <w:adjustRightInd w:val="0"/>
        <w:snapToGrid/>
        <w:spacing w:line="480" w:lineRule="auto"/>
        <w:jc w:val="right"/>
        <w:textAlignment w:val="auto"/>
        <w:rPr>
          <w:rFonts w:ascii="宋体" w:hAnsi="宋体" w:cs="宋体"/>
          <w:color w:val="auto"/>
          <w:kern w:val="0"/>
          <w:szCs w:val="21"/>
          <w:highlight w:val="none"/>
        </w:rPr>
      </w:pPr>
      <w:r>
        <w:rPr>
          <w:rFonts w:hint="eastAsia" w:ascii="宋体" w:hAnsi="宋体" w:cs="宋体"/>
          <w:color w:val="auto"/>
          <w:kern w:val="0"/>
          <w:szCs w:val="21"/>
          <w:highlight w:val="none"/>
          <w:lang w:eastAsia="zh-CN"/>
        </w:rPr>
        <w:t>法定代表人（负责人）</w:t>
      </w:r>
      <w:r>
        <w:rPr>
          <w:rFonts w:hint="eastAsia" w:ascii="宋体" w:hAnsi="宋体" w:cs="宋体"/>
          <w:color w:val="auto"/>
          <w:kern w:val="0"/>
          <w:szCs w:val="21"/>
          <w:highlight w:val="none"/>
        </w:rPr>
        <w:t>或其委托代理人：</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（签字或盖章）</w:t>
      </w:r>
    </w:p>
    <w:p>
      <w:pPr>
        <w:pStyle w:val="8"/>
        <w:keepNext w:val="0"/>
        <w:keepLines w:val="0"/>
        <w:pageBreakBefore w:val="0"/>
        <w:widowControl w:val="0"/>
        <w:kinsoku/>
        <w:wordWrap/>
        <w:overflowPunct/>
        <w:topLinePunct w:val="0"/>
        <w:bidi w:val="0"/>
        <w:snapToGrid/>
        <w:spacing w:line="480" w:lineRule="auto"/>
        <w:ind w:left="0" w:leftChars="0" w:firstLine="0" w:firstLineChars="0"/>
        <w:jc w:val="right"/>
        <w:textAlignment w:val="auto"/>
        <w:rPr>
          <w:rFonts w:hint="eastAsia" w:ascii="宋体" w:hAnsi="宋体" w:cs="宋体"/>
          <w:color w:val="auto"/>
          <w:szCs w:val="21"/>
          <w:highlight w:val="none"/>
        </w:rPr>
      </w:pP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p>
    <w:p>
      <w:pPr>
        <w:rPr>
          <w:rFonts w:hint="eastAsia"/>
          <w:color w:val="auto"/>
          <w:highlight w:val="none"/>
        </w:rPr>
        <w:sectPr>
          <w:footerReference r:id="rId4" w:type="default"/>
          <w:pgSz w:w="11906" w:h="16838"/>
          <w:pgMar w:top="1247" w:right="1531" w:bottom="1247" w:left="1531" w:header="851" w:footer="992" w:gutter="0"/>
          <w:pgNumType w:fmt="decimal" w:start="1"/>
          <w:cols w:space="425" w:num="1"/>
          <w:docGrid w:type="lines" w:linePitch="312" w:charSpace="0"/>
        </w:sectPr>
      </w:pPr>
    </w:p>
    <w:p>
      <w:pPr>
        <w:pStyle w:val="4"/>
        <w:bidi w:val="0"/>
        <w:rPr>
          <w:rFonts w:hint="eastAsia" w:ascii="宋体" w:hAnsi="宋体" w:eastAsia="宋体" w:cs="Times New Roman"/>
          <w:color w:val="auto"/>
          <w:sz w:val="28"/>
          <w:szCs w:val="22"/>
          <w:highlight w:val="none"/>
        </w:rPr>
      </w:pPr>
      <w:r>
        <w:rPr>
          <w:rFonts w:hint="eastAsia" w:ascii="宋体" w:hAnsi="宋体" w:eastAsia="宋体" w:cs="Times New Roman"/>
          <w:color w:val="auto"/>
          <w:sz w:val="28"/>
          <w:szCs w:val="22"/>
          <w:highlight w:val="none"/>
          <w:lang w:val="en-US" w:eastAsia="zh-CN"/>
        </w:rPr>
        <w:t>2.1</w:t>
      </w:r>
      <w:r>
        <w:rPr>
          <w:rFonts w:hint="eastAsia" w:ascii="宋体" w:hAnsi="宋体" w:eastAsia="宋体" w:cs="Times New Roman"/>
          <w:color w:val="auto"/>
          <w:sz w:val="28"/>
          <w:szCs w:val="22"/>
          <w:highlight w:val="none"/>
        </w:rPr>
        <w:t>投标分项报价表</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olor w:val="auto"/>
          <w:sz w:val="21"/>
          <w:szCs w:val="21"/>
          <w:highlight w:val="none"/>
          <w:u w:val="single"/>
          <w:lang w:val="en-US" w:eastAsia="zh-CN"/>
        </w:rPr>
      </w:pPr>
      <w:r>
        <w:rPr>
          <w:rFonts w:hint="eastAsia" w:ascii="宋体" w:hAnsi="宋体"/>
          <w:color w:val="auto"/>
          <w:sz w:val="21"/>
          <w:szCs w:val="21"/>
          <w:highlight w:val="none"/>
        </w:rPr>
        <w:t>项目编号：</w:t>
      </w:r>
      <w:r>
        <w:rPr>
          <w:rFonts w:hint="eastAsia" w:ascii="宋体" w:hAnsi="宋体"/>
          <w:color w:val="auto"/>
          <w:sz w:val="21"/>
          <w:szCs w:val="21"/>
          <w:highlight w:val="none"/>
          <w:u w:val="single"/>
          <w:lang w:val="en-US" w:eastAsia="zh-CN"/>
        </w:rPr>
        <w:t xml:space="preserve">                                        </w:t>
      </w:r>
    </w:p>
    <w:p>
      <w:pPr>
        <w:pStyle w:val="28"/>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eastAsia="宋体"/>
          <w:color w:val="auto"/>
          <w:sz w:val="21"/>
          <w:szCs w:val="21"/>
          <w:highlight w:val="none"/>
          <w:u w:val="single"/>
          <w:lang w:val="en-US" w:eastAsia="zh-CN"/>
        </w:rPr>
      </w:pPr>
      <w:r>
        <w:rPr>
          <w:rFonts w:hint="eastAsia" w:ascii="宋体" w:hAnsi="宋体"/>
          <w:color w:val="auto"/>
          <w:szCs w:val="21"/>
          <w:highlight w:val="none"/>
        </w:rPr>
        <w:t>项目名称</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标包名称</w:t>
      </w:r>
      <w:r>
        <w:rPr>
          <w:rFonts w:hint="eastAsia" w:ascii="宋体" w:hAnsi="宋体"/>
          <w:color w:val="auto"/>
          <w:sz w:val="21"/>
          <w:szCs w:val="21"/>
          <w:highlight w:val="none"/>
        </w:rPr>
        <w:t>：</w:t>
      </w:r>
      <w:r>
        <w:rPr>
          <w:rFonts w:hint="eastAsia" w:ascii="宋体" w:hAnsi="宋体"/>
          <w:color w:val="auto"/>
          <w:sz w:val="21"/>
          <w:szCs w:val="21"/>
          <w:highlight w:val="none"/>
          <w:u w:val="single"/>
          <w:lang w:val="en-US" w:eastAsia="zh-CN"/>
        </w:rPr>
        <w:t xml:space="preserve">                              </w:t>
      </w:r>
    </w:p>
    <w:tbl>
      <w:tblPr>
        <w:tblStyle w:val="23"/>
        <w:tblW w:w="133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1"/>
        <w:gridCol w:w="2598"/>
        <w:gridCol w:w="2235"/>
        <w:gridCol w:w="2235"/>
        <w:gridCol w:w="1122"/>
        <w:gridCol w:w="1124"/>
        <w:gridCol w:w="1310"/>
        <w:gridCol w:w="1316"/>
        <w:gridCol w:w="7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721" w:type="dxa"/>
            <w:noWrap w:val="0"/>
            <w:vAlign w:val="center"/>
          </w:tcPr>
          <w:p>
            <w:pPr>
              <w:pStyle w:val="53"/>
              <w:spacing w:line="240" w:lineRule="auto"/>
              <w:ind w:firstLine="0"/>
              <w:jc w:val="center"/>
              <w:rPr>
                <w:rFonts w:ascii="宋体" w:hAnsi="宋体"/>
                <w:color w:val="auto"/>
                <w:sz w:val="21"/>
                <w:szCs w:val="21"/>
                <w:highlight w:val="none"/>
              </w:rPr>
            </w:pPr>
            <w:r>
              <w:rPr>
                <w:rFonts w:hint="eastAsia" w:ascii="宋体" w:hAnsi="宋体"/>
                <w:color w:val="auto"/>
                <w:sz w:val="21"/>
                <w:szCs w:val="21"/>
                <w:highlight w:val="none"/>
              </w:rPr>
              <w:t>序号</w:t>
            </w:r>
          </w:p>
        </w:tc>
        <w:tc>
          <w:tcPr>
            <w:tcW w:w="2598" w:type="dxa"/>
            <w:noWrap w:val="0"/>
            <w:vAlign w:val="center"/>
          </w:tcPr>
          <w:p>
            <w:pPr>
              <w:adjustRightInd w:val="0"/>
              <w:snapToGrid w:val="0"/>
              <w:jc w:val="center"/>
              <w:rPr>
                <w:rFonts w:ascii="宋体" w:hAnsi="宋体"/>
                <w:color w:val="auto"/>
                <w:sz w:val="21"/>
                <w:szCs w:val="21"/>
                <w:highlight w:val="none"/>
              </w:rPr>
            </w:pPr>
            <w:r>
              <w:rPr>
                <w:rFonts w:hint="eastAsia" w:ascii="宋体" w:hAnsi="宋体"/>
                <w:color w:val="auto"/>
                <w:sz w:val="21"/>
                <w:szCs w:val="21"/>
                <w:highlight w:val="none"/>
              </w:rPr>
              <w:t>名称</w:t>
            </w:r>
          </w:p>
        </w:tc>
        <w:tc>
          <w:tcPr>
            <w:tcW w:w="2235" w:type="dxa"/>
            <w:noWrap w:val="0"/>
            <w:vAlign w:val="center"/>
          </w:tcPr>
          <w:p>
            <w:pPr>
              <w:adjustRightInd w:val="0"/>
              <w:snapToGrid w:val="0"/>
              <w:jc w:val="center"/>
              <w:rPr>
                <w:rFonts w:ascii="宋体" w:hAnsi="宋体"/>
                <w:color w:val="auto"/>
                <w:sz w:val="21"/>
                <w:szCs w:val="21"/>
                <w:highlight w:val="none"/>
              </w:rPr>
            </w:pPr>
            <w:r>
              <w:rPr>
                <w:rFonts w:hint="eastAsia" w:ascii="宋体" w:hAnsi="宋体" w:cs="宋体"/>
                <w:color w:val="auto"/>
                <w:szCs w:val="21"/>
                <w:highlight w:val="none"/>
                <w:lang w:val="zh-CN"/>
              </w:rPr>
              <w:t>生产厂家及品牌</w:t>
            </w:r>
          </w:p>
        </w:tc>
        <w:tc>
          <w:tcPr>
            <w:tcW w:w="2235" w:type="dxa"/>
            <w:noWrap w:val="0"/>
            <w:vAlign w:val="center"/>
          </w:tcPr>
          <w:p>
            <w:pPr>
              <w:adjustRightInd w:val="0"/>
              <w:snapToGrid w:val="0"/>
              <w:jc w:val="center"/>
              <w:rPr>
                <w:rFonts w:ascii="宋体" w:hAnsi="宋体"/>
                <w:color w:val="auto"/>
                <w:sz w:val="21"/>
                <w:szCs w:val="21"/>
                <w:highlight w:val="none"/>
              </w:rPr>
            </w:pPr>
            <w:r>
              <w:rPr>
                <w:rFonts w:hint="eastAsia" w:ascii="宋体" w:hAnsi="宋体" w:cs="宋体"/>
                <w:color w:val="auto"/>
                <w:szCs w:val="21"/>
                <w:highlight w:val="none"/>
                <w:lang w:val="zh-CN"/>
              </w:rPr>
              <w:t>规格型号</w:t>
            </w:r>
          </w:p>
        </w:tc>
        <w:tc>
          <w:tcPr>
            <w:tcW w:w="1122" w:type="dxa"/>
            <w:noWrap w:val="0"/>
            <w:vAlign w:val="center"/>
          </w:tcPr>
          <w:p>
            <w:pPr>
              <w:adjustRightInd w:val="0"/>
              <w:snapToGrid w:val="0"/>
              <w:jc w:val="center"/>
              <w:rPr>
                <w:rFonts w:ascii="宋体" w:hAnsi="宋体"/>
                <w:color w:val="auto"/>
                <w:sz w:val="21"/>
                <w:szCs w:val="21"/>
                <w:highlight w:val="none"/>
              </w:rPr>
            </w:pPr>
            <w:r>
              <w:rPr>
                <w:rFonts w:hint="eastAsia" w:ascii="宋体" w:hAnsi="宋体"/>
                <w:color w:val="auto"/>
                <w:sz w:val="21"/>
                <w:szCs w:val="21"/>
                <w:highlight w:val="none"/>
              </w:rPr>
              <w:t>单位</w:t>
            </w:r>
          </w:p>
        </w:tc>
        <w:tc>
          <w:tcPr>
            <w:tcW w:w="1124" w:type="dxa"/>
            <w:noWrap w:val="0"/>
            <w:vAlign w:val="center"/>
          </w:tcPr>
          <w:p>
            <w:pPr>
              <w:adjustRightInd w:val="0"/>
              <w:snapToGrid w:val="0"/>
              <w:jc w:val="center"/>
              <w:rPr>
                <w:rFonts w:ascii="宋体" w:hAnsi="宋体"/>
                <w:color w:val="auto"/>
                <w:sz w:val="21"/>
                <w:szCs w:val="21"/>
                <w:highlight w:val="none"/>
              </w:rPr>
            </w:pPr>
            <w:r>
              <w:rPr>
                <w:rFonts w:hint="eastAsia" w:ascii="宋体" w:hAnsi="宋体"/>
                <w:color w:val="auto"/>
                <w:sz w:val="21"/>
                <w:szCs w:val="21"/>
                <w:highlight w:val="none"/>
              </w:rPr>
              <w:t>数量</w:t>
            </w:r>
          </w:p>
        </w:tc>
        <w:tc>
          <w:tcPr>
            <w:tcW w:w="1310" w:type="dxa"/>
            <w:noWrap w:val="0"/>
            <w:vAlign w:val="center"/>
          </w:tcPr>
          <w:p>
            <w:pPr>
              <w:adjustRightInd w:val="0"/>
              <w:snapToGrid w:val="0"/>
              <w:jc w:val="center"/>
              <w:rPr>
                <w:rFonts w:ascii="宋体" w:hAnsi="宋体"/>
                <w:color w:val="auto"/>
                <w:sz w:val="21"/>
                <w:szCs w:val="21"/>
                <w:highlight w:val="none"/>
              </w:rPr>
            </w:pPr>
            <w:r>
              <w:rPr>
                <w:rFonts w:hint="eastAsia" w:ascii="宋体" w:hAnsi="宋体"/>
                <w:color w:val="auto"/>
                <w:sz w:val="21"/>
                <w:szCs w:val="21"/>
                <w:highlight w:val="none"/>
              </w:rPr>
              <w:t>单价</w:t>
            </w:r>
            <w:r>
              <w:rPr>
                <w:rFonts w:hint="eastAsia" w:ascii="宋体" w:hAnsi="宋体" w:cs="宋体"/>
                <w:color w:val="auto"/>
                <w:szCs w:val="21"/>
                <w:highlight w:val="none"/>
                <w:lang w:val="en-US" w:eastAsia="zh-CN"/>
              </w:rPr>
              <w:t>（元）</w:t>
            </w:r>
          </w:p>
        </w:tc>
        <w:tc>
          <w:tcPr>
            <w:tcW w:w="1316" w:type="dxa"/>
            <w:noWrap w:val="0"/>
            <w:vAlign w:val="center"/>
          </w:tcPr>
          <w:p>
            <w:pPr>
              <w:adjustRightInd w:val="0"/>
              <w:snapToGrid w:val="0"/>
              <w:jc w:val="center"/>
              <w:rPr>
                <w:rFonts w:ascii="宋体" w:hAnsi="宋体"/>
                <w:color w:val="auto"/>
                <w:sz w:val="21"/>
                <w:szCs w:val="21"/>
                <w:highlight w:val="none"/>
              </w:rPr>
            </w:pPr>
            <w:r>
              <w:rPr>
                <w:rFonts w:hint="eastAsia" w:ascii="宋体" w:hAnsi="宋体" w:cs="宋体"/>
                <w:color w:val="auto"/>
                <w:szCs w:val="21"/>
                <w:highlight w:val="none"/>
                <w:lang w:val="en-US" w:eastAsia="zh-CN"/>
              </w:rPr>
              <w:t>合计（元）</w:t>
            </w:r>
          </w:p>
        </w:tc>
        <w:tc>
          <w:tcPr>
            <w:tcW w:w="710" w:type="dxa"/>
            <w:noWrap w:val="0"/>
            <w:vAlign w:val="center"/>
          </w:tcPr>
          <w:p>
            <w:pPr>
              <w:adjustRightInd w:val="0"/>
              <w:snapToGrid w:val="0"/>
              <w:jc w:val="center"/>
              <w:rPr>
                <w:rFonts w:ascii="宋体" w:hAnsi="宋体"/>
                <w:color w:val="auto"/>
                <w:sz w:val="21"/>
                <w:szCs w:val="21"/>
                <w:highlight w:val="none"/>
              </w:rPr>
            </w:pPr>
            <w:r>
              <w:rPr>
                <w:rFonts w:hint="eastAsia" w:ascii="宋体" w:hAnsi="宋体"/>
                <w:color w:val="auto"/>
                <w:sz w:val="21"/>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jc w:val="center"/>
        </w:trPr>
        <w:tc>
          <w:tcPr>
            <w:tcW w:w="721" w:type="dxa"/>
            <w:noWrap w:val="0"/>
            <w:vAlign w:val="center"/>
          </w:tcPr>
          <w:p>
            <w:pPr>
              <w:pStyle w:val="53"/>
              <w:keepNext w:val="0"/>
              <w:keepLines w:val="0"/>
              <w:pageBreakBefore w:val="0"/>
              <w:widowControl/>
              <w:kinsoku/>
              <w:wordWrap/>
              <w:overflowPunct/>
              <w:topLinePunct w:val="0"/>
              <w:autoSpaceDE/>
              <w:autoSpaceDN/>
              <w:bidi w:val="0"/>
              <w:adjustRightInd/>
              <w:spacing w:line="240" w:lineRule="auto"/>
              <w:ind w:firstLine="0"/>
              <w:jc w:val="center"/>
              <w:textAlignment w:val="auto"/>
              <w:rPr>
                <w:rFonts w:hint="eastAsia" w:ascii="宋体" w:hAnsi="宋体" w:eastAsia="宋体"/>
                <w:color w:val="auto"/>
                <w:sz w:val="21"/>
                <w:szCs w:val="21"/>
                <w:highlight w:val="none"/>
                <w:lang w:val="en-US" w:eastAsia="zh-CN"/>
              </w:rPr>
            </w:pPr>
            <w:r>
              <w:rPr>
                <w:rFonts w:hint="eastAsia" w:ascii="宋体" w:hAnsi="宋体"/>
                <w:color w:val="auto"/>
                <w:sz w:val="21"/>
                <w:szCs w:val="21"/>
                <w:highlight w:val="none"/>
                <w:lang w:val="en-US" w:eastAsia="zh-CN"/>
              </w:rPr>
              <w:t>1</w:t>
            </w:r>
          </w:p>
        </w:tc>
        <w:tc>
          <w:tcPr>
            <w:tcW w:w="2598"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both"/>
              <w:textAlignment w:val="auto"/>
              <w:rPr>
                <w:rFonts w:ascii="宋体" w:hAnsi="宋体"/>
                <w:color w:val="auto"/>
                <w:sz w:val="21"/>
                <w:szCs w:val="21"/>
                <w:highlight w:val="none"/>
              </w:rPr>
            </w:pPr>
          </w:p>
        </w:tc>
        <w:tc>
          <w:tcPr>
            <w:tcW w:w="2235" w:type="dxa"/>
            <w:noWrap w:val="0"/>
            <w:vAlign w:val="center"/>
          </w:tcPr>
          <w:p>
            <w:pPr>
              <w:keepNext/>
              <w:keepLines/>
              <w:snapToGrid w:val="0"/>
              <w:jc w:val="center"/>
              <w:outlineLvl w:val="0"/>
              <w:rPr>
                <w:rFonts w:ascii="宋体" w:hAnsi="宋体"/>
                <w:color w:val="auto"/>
                <w:sz w:val="21"/>
                <w:szCs w:val="21"/>
                <w:highlight w:val="none"/>
              </w:rPr>
            </w:pPr>
          </w:p>
        </w:tc>
        <w:tc>
          <w:tcPr>
            <w:tcW w:w="2235" w:type="dxa"/>
            <w:noWrap w:val="0"/>
            <w:vAlign w:val="center"/>
          </w:tcPr>
          <w:p>
            <w:pPr>
              <w:keepNext/>
              <w:keepLines/>
              <w:snapToGrid w:val="0"/>
              <w:jc w:val="center"/>
              <w:outlineLvl w:val="0"/>
              <w:rPr>
                <w:rFonts w:ascii="宋体" w:hAnsi="宋体"/>
                <w:color w:val="auto"/>
                <w:sz w:val="21"/>
                <w:szCs w:val="21"/>
                <w:highlight w:val="none"/>
              </w:rPr>
            </w:pPr>
          </w:p>
        </w:tc>
        <w:tc>
          <w:tcPr>
            <w:tcW w:w="1122" w:type="dxa"/>
            <w:noWrap w:val="0"/>
            <w:vAlign w:val="center"/>
          </w:tcPr>
          <w:p>
            <w:pPr>
              <w:keepNext/>
              <w:keepLines/>
              <w:snapToGrid w:val="0"/>
              <w:jc w:val="center"/>
              <w:outlineLvl w:val="0"/>
              <w:rPr>
                <w:rFonts w:ascii="宋体" w:hAnsi="宋体"/>
                <w:color w:val="auto"/>
                <w:sz w:val="21"/>
                <w:szCs w:val="21"/>
                <w:highlight w:val="none"/>
              </w:rPr>
            </w:pPr>
          </w:p>
        </w:tc>
        <w:tc>
          <w:tcPr>
            <w:tcW w:w="1124" w:type="dxa"/>
            <w:noWrap w:val="0"/>
            <w:vAlign w:val="center"/>
          </w:tcPr>
          <w:p>
            <w:pPr>
              <w:keepNext/>
              <w:keepLines/>
              <w:snapToGrid w:val="0"/>
              <w:jc w:val="center"/>
              <w:outlineLvl w:val="0"/>
              <w:rPr>
                <w:rFonts w:ascii="宋体" w:hAnsi="宋体"/>
                <w:color w:val="auto"/>
                <w:sz w:val="21"/>
                <w:szCs w:val="21"/>
                <w:highlight w:val="none"/>
              </w:rPr>
            </w:pPr>
          </w:p>
        </w:tc>
        <w:tc>
          <w:tcPr>
            <w:tcW w:w="1310" w:type="dxa"/>
            <w:noWrap w:val="0"/>
            <w:vAlign w:val="center"/>
          </w:tcPr>
          <w:p>
            <w:pPr>
              <w:keepNext/>
              <w:keepLines/>
              <w:snapToGrid w:val="0"/>
              <w:jc w:val="center"/>
              <w:outlineLvl w:val="0"/>
              <w:rPr>
                <w:rFonts w:ascii="宋体" w:hAnsi="宋体"/>
                <w:color w:val="auto"/>
                <w:sz w:val="21"/>
                <w:szCs w:val="21"/>
                <w:highlight w:val="none"/>
              </w:rPr>
            </w:pPr>
          </w:p>
        </w:tc>
        <w:tc>
          <w:tcPr>
            <w:tcW w:w="1316" w:type="dxa"/>
            <w:noWrap w:val="0"/>
            <w:vAlign w:val="center"/>
          </w:tcPr>
          <w:p>
            <w:pPr>
              <w:keepNext/>
              <w:keepLines/>
              <w:snapToGrid w:val="0"/>
              <w:jc w:val="center"/>
              <w:outlineLvl w:val="0"/>
              <w:rPr>
                <w:rFonts w:ascii="宋体" w:hAnsi="宋体"/>
                <w:color w:val="auto"/>
                <w:sz w:val="21"/>
                <w:szCs w:val="21"/>
                <w:highlight w:val="none"/>
              </w:rPr>
            </w:pPr>
          </w:p>
        </w:tc>
        <w:tc>
          <w:tcPr>
            <w:tcW w:w="710" w:type="dxa"/>
            <w:noWrap w:val="0"/>
            <w:vAlign w:val="center"/>
          </w:tcPr>
          <w:p>
            <w:pPr>
              <w:keepNext/>
              <w:keepLines/>
              <w:snapToGrid w:val="0"/>
              <w:jc w:val="center"/>
              <w:outlineLvl w:val="0"/>
              <w:rPr>
                <w:rFonts w:ascii="宋体" w:hAnsi="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0" w:hRule="atLeast"/>
          <w:jc w:val="center"/>
        </w:trPr>
        <w:tc>
          <w:tcPr>
            <w:tcW w:w="721" w:type="dxa"/>
            <w:noWrap w:val="0"/>
            <w:vAlign w:val="center"/>
          </w:tcPr>
          <w:p>
            <w:pPr>
              <w:pStyle w:val="53"/>
              <w:keepNext w:val="0"/>
              <w:keepLines w:val="0"/>
              <w:pageBreakBefore w:val="0"/>
              <w:widowControl/>
              <w:kinsoku/>
              <w:wordWrap/>
              <w:overflowPunct/>
              <w:topLinePunct w:val="0"/>
              <w:autoSpaceDE/>
              <w:autoSpaceDN/>
              <w:bidi w:val="0"/>
              <w:adjustRightInd/>
              <w:spacing w:line="240" w:lineRule="auto"/>
              <w:ind w:firstLine="0"/>
              <w:jc w:val="center"/>
              <w:textAlignment w:val="auto"/>
              <w:rPr>
                <w:rFonts w:hint="eastAsia" w:ascii="宋体" w:hAnsi="宋体" w:eastAsia="宋体"/>
                <w:color w:val="auto"/>
                <w:sz w:val="21"/>
                <w:szCs w:val="21"/>
                <w:highlight w:val="none"/>
                <w:lang w:val="en-US" w:eastAsia="zh-CN"/>
              </w:rPr>
            </w:pPr>
            <w:r>
              <w:rPr>
                <w:rFonts w:hint="eastAsia" w:ascii="宋体" w:hAnsi="宋体"/>
                <w:color w:val="auto"/>
                <w:sz w:val="21"/>
                <w:szCs w:val="21"/>
                <w:highlight w:val="none"/>
                <w:lang w:val="en-US" w:eastAsia="zh-CN"/>
              </w:rPr>
              <w:t>2</w:t>
            </w:r>
          </w:p>
        </w:tc>
        <w:tc>
          <w:tcPr>
            <w:tcW w:w="2598"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both"/>
              <w:textAlignment w:val="auto"/>
              <w:rPr>
                <w:rFonts w:ascii="宋体" w:hAnsi="宋体"/>
                <w:color w:val="auto"/>
                <w:sz w:val="21"/>
                <w:szCs w:val="21"/>
                <w:highlight w:val="none"/>
              </w:rPr>
            </w:pPr>
          </w:p>
        </w:tc>
        <w:tc>
          <w:tcPr>
            <w:tcW w:w="2235" w:type="dxa"/>
            <w:noWrap w:val="0"/>
            <w:vAlign w:val="center"/>
          </w:tcPr>
          <w:p>
            <w:pPr>
              <w:keepNext/>
              <w:keepLines/>
              <w:snapToGrid w:val="0"/>
              <w:jc w:val="center"/>
              <w:outlineLvl w:val="0"/>
              <w:rPr>
                <w:rFonts w:ascii="宋体" w:hAnsi="宋体"/>
                <w:color w:val="auto"/>
                <w:sz w:val="21"/>
                <w:szCs w:val="21"/>
                <w:highlight w:val="none"/>
              </w:rPr>
            </w:pPr>
          </w:p>
        </w:tc>
        <w:tc>
          <w:tcPr>
            <w:tcW w:w="2235" w:type="dxa"/>
            <w:noWrap w:val="0"/>
            <w:vAlign w:val="center"/>
          </w:tcPr>
          <w:p>
            <w:pPr>
              <w:keepNext/>
              <w:keepLines/>
              <w:snapToGrid w:val="0"/>
              <w:jc w:val="center"/>
              <w:outlineLvl w:val="0"/>
              <w:rPr>
                <w:rFonts w:ascii="宋体" w:hAnsi="宋体"/>
                <w:color w:val="auto"/>
                <w:sz w:val="21"/>
                <w:szCs w:val="21"/>
                <w:highlight w:val="none"/>
              </w:rPr>
            </w:pPr>
          </w:p>
        </w:tc>
        <w:tc>
          <w:tcPr>
            <w:tcW w:w="1122" w:type="dxa"/>
            <w:noWrap w:val="0"/>
            <w:vAlign w:val="center"/>
          </w:tcPr>
          <w:p>
            <w:pPr>
              <w:keepNext/>
              <w:keepLines/>
              <w:snapToGrid w:val="0"/>
              <w:jc w:val="center"/>
              <w:outlineLvl w:val="0"/>
              <w:rPr>
                <w:rFonts w:ascii="宋体" w:hAnsi="宋体"/>
                <w:color w:val="auto"/>
                <w:sz w:val="21"/>
                <w:szCs w:val="21"/>
                <w:highlight w:val="none"/>
              </w:rPr>
            </w:pPr>
          </w:p>
        </w:tc>
        <w:tc>
          <w:tcPr>
            <w:tcW w:w="1124" w:type="dxa"/>
            <w:noWrap w:val="0"/>
            <w:vAlign w:val="center"/>
          </w:tcPr>
          <w:p>
            <w:pPr>
              <w:keepNext/>
              <w:keepLines/>
              <w:snapToGrid w:val="0"/>
              <w:jc w:val="center"/>
              <w:outlineLvl w:val="0"/>
              <w:rPr>
                <w:rFonts w:ascii="宋体" w:hAnsi="宋体"/>
                <w:color w:val="auto"/>
                <w:sz w:val="21"/>
                <w:szCs w:val="21"/>
                <w:highlight w:val="none"/>
              </w:rPr>
            </w:pPr>
          </w:p>
        </w:tc>
        <w:tc>
          <w:tcPr>
            <w:tcW w:w="1310" w:type="dxa"/>
            <w:noWrap w:val="0"/>
            <w:vAlign w:val="center"/>
          </w:tcPr>
          <w:p>
            <w:pPr>
              <w:keepNext/>
              <w:keepLines/>
              <w:snapToGrid w:val="0"/>
              <w:jc w:val="center"/>
              <w:outlineLvl w:val="0"/>
              <w:rPr>
                <w:rFonts w:ascii="宋体" w:hAnsi="宋体"/>
                <w:color w:val="auto"/>
                <w:sz w:val="21"/>
                <w:szCs w:val="21"/>
                <w:highlight w:val="none"/>
              </w:rPr>
            </w:pPr>
          </w:p>
        </w:tc>
        <w:tc>
          <w:tcPr>
            <w:tcW w:w="1316" w:type="dxa"/>
            <w:noWrap w:val="0"/>
            <w:vAlign w:val="center"/>
          </w:tcPr>
          <w:p>
            <w:pPr>
              <w:keepNext/>
              <w:keepLines/>
              <w:snapToGrid w:val="0"/>
              <w:jc w:val="center"/>
              <w:outlineLvl w:val="0"/>
              <w:rPr>
                <w:rFonts w:ascii="宋体" w:hAnsi="宋体"/>
                <w:color w:val="auto"/>
                <w:sz w:val="21"/>
                <w:szCs w:val="21"/>
                <w:highlight w:val="none"/>
              </w:rPr>
            </w:pPr>
          </w:p>
        </w:tc>
        <w:tc>
          <w:tcPr>
            <w:tcW w:w="710" w:type="dxa"/>
            <w:noWrap w:val="0"/>
            <w:vAlign w:val="center"/>
          </w:tcPr>
          <w:p>
            <w:pPr>
              <w:keepNext/>
              <w:keepLines/>
              <w:snapToGrid w:val="0"/>
              <w:jc w:val="center"/>
              <w:outlineLvl w:val="0"/>
              <w:rPr>
                <w:rFonts w:ascii="宋体" w:hAnsi="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5" w:hRule="atLeast"/>
          <w:jc w:val="center"/>
        </w:trPr>
        <w:tc>
          <w:tcPr>
            <w:tcW w:w="721" w:type="dxa"/>
            <w:noWrap w:val="0"/>
            <w:vAlign w:val="center"/>
          </w:tcPr>
          <w:p>
            <w:pPr>
              <w:pStyle w:val="53"/>
              <w:keepNext w:val="0"/>
              <w:keepLines w:val="0"/>
              <w:pageBreakBefore w:val="0"/>
              <w:widowControl/>
              <w:kinsoku/>
              <w:wordWrap/>
              <w:overflowPunct/>
              <w:topLinePunct w:val="0"/>
              <w:autoSpaceDE/>
              <w:autoSpaceDN/>
              <w:bidi w:val="0"/>
              <w:adjustRightInd/>
              <w:spacing w:line="240" w:lineRule="auto"/>
              <w:ind w:firstLine="0"/>
              <w:jc w:val="center"/>
              <w:textAlignment w:val="auto"/>
              <w:rPr>
                <w:rFonts w:hint="eastAsia" w:ascii="宋体" w:hAnsi="宋体" w:eastAsia="宋体"/>
                <w:color w:val="auto"/>
                <w:sz w:val="21"/>
                <w:szCs w:val="21"/>
                <w:highlight w:val="none"/>
                <w:lang w:val="en-US" w:eastAsia="zh-CN"/>
              </w:rPr>
            </w:pPr>
            <w:r>
              <w:rPr>
                <w:rFonts w:hint="eastAsia" w:ascii="宋体" w:hAnsi="宋体"/>
                <w:color w:val="auto"/>
                <w:sz w:val="21"/>
                <w:szCs w:val="21"/>
                <w:highlight w:val="none"/>
                <w:lang w:val="en-US" w:eastAsia="zh-CN"/>
              </w:rPr>
              <w:t>3</w:t>
            </w:r>
          </w:p>
        </w:tc>
        <w:tc>
          <w:tcPr>
            <w:tcW w:w="2598"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both"/>
              <w:textAlignment w:val="auto"/>
              <w:rPr>
                <w:rFonts w:ascii="宋体" w:hAnsi="宋体"/>
                <w:color w:val="auto"/>
                <w:sz w:val="21"/>
                <w:szCs w:val="21"/>
                <w:highlight w:val="none"/>
              </w:rPr>
            </w:pPr>
          </w:p>
        </w:tc>
        <w:tc>
          <w:tcPr>
            <w:tcW w:w="2235" w:type="dxa"/>
            <w:noWrap w:val="0"/>
            <w:vAlign w:val="center"/>
          </w:tcPr>
          <w:p>
            <w:pPr>
              <w:keepNext/>
              <w:keepLines/>
              <w:snapToGrid w:val="0"/>
              <w:jc w:val="center"/>
              <w:outlineLvl w:val="0"/>
              <w:rPr>
                <w:rFonts w:ascii="宋体" w:hAnsi="宋体"/>
                <w:color w:val="auto"/>
                <w:sz w:val="21"/>
                <w:szCs w:val="21"/>
                <w:highlight w:val="none"/>
              </w:rPr>
            </w:pPr>
          </w:p>
        </w:tc>
        <w:tc>
          <w:tcPr>
            <w:tcW w:w="2235" w:type="dxa"/>
            <w:noWrap w:val="0"/>
            <w:vAlign w:val="center"/>
          </w:tcPr>
          <w:p>
            <w:pPr>
              <w:keepNext/>
              <w:keepLines/>
              <w:snapToGrid w:val="0"/>
              <w:jc w:val="center"/>
              <w:outlineLvl w:val="0"/>
              <w:rPr>
                <w:rFonts w:ascii="宋体" w:hAnsi="宋体"/>
                <w:color w:val="auto"/>
                <w:sz w:val="21"/>
                <w:szCs w:val="21"/>
                <w:highlight w:val="none"/>
              </w:rPr>
            </w:pPr>
          </w:p>
        </w:tc>
        <w:tc>
          <w:tcPr>
            <w:tcW w:w="1122" w:type="dxa"/>
            <w:noWrap w:val="0"/>
            <w:vAlign w:val="center"/>
          </w:tcPr>
          <w:p>
            <w:pPr>
              <w:keepNext/>
              <w:keepLines/>
              <w:snapToGrid w:val="0"/>
              <w:jc w:val="center"/>
              <w:outlineLvl w:val="0"/>
              <w:rPr>
                <w:rFonts w:ascii="宋体" w:hAnsi="宋体"/>
                <w:color w:val="auto"/>
                <w:sz w:val="21"/>
                <w:szCs w:val="21"/>
                <w:highlight w:val="none"/>
              </w:rPr>
            </w:pPr>
          </w:p>
        </w:tc>
        <w:tc>
          <w:tcPr>
            <w:tcW w:w="1124" w:type="dxa"/>
            <w:noWrap w:val="0"/>
            <w:vAlign w:val="center"/>
          </w:tcPr>
          <w:p>
            <w:pPr>
              <w:keepNext/>
              <w:keepLines/>
              <w:snapToGrid w:val="0"/>
              <w:jc w:val="center"/>
              <w:outlineLvl w:val="0"/>
              <w:rPr>
                <w:rFonts w:ascii="宋体" w:hAnsi="宋体"/>
                <w:color w:val="auto"/>
                <w:sz w:val="21"/>
                <w:szCs w:val="21"/>
                <w:highlight w:val="none"/>
              </w:rPr>
            </w:pPr>
          </w:p>
        </w:tc>
        <w:tc>
          <w:tcPr>
            <w:tcW w:w="1310" w:type="dxa"/>
            <w:noWrap w:val="0"/>
            <w:vAlign w:val="center"/>
          </w:tcPr>
          <w:p>
            <w:pPr>
              <w:keepNext/>
              <w:keepLines/>
              <w:snapToGrid w:val="0"/>
              <w:jc w:val="center"/>
              <w:outlineLvl w:val="0"/>
              <w:rPr>
                <w:rFonts w:ascii="宋体" w:hAnsi="宋体"/>
                <w:color w:val="auto"/>
                <w:sz w:val="21"/>
                <w:szCs w:val="21"/>
                <w:highlight w:val="none"/>
              </w:rPr>
            </w:pPr>
          </w:p>
        </w:tc>
        <w:tc>
          <w:tcPr>
            <w:tcW w:w="1316" w:type="dxa"/>
            <w:noWrap w:val="0"/>
            <w:vAlign w:val="center"/>
          </w:tcPr>
          <w:p>
            <w:pPr>
              <w:keepNext/>
              <w:keepLines/>
              <w:snapToGrid w:val="0"/>
              <w:jc w:val="center"/>
              <w:outlineLvl w:val="0"/>
              <w:rPr>
                <w:rFonts w:ascii="宋体" w:hAnsi="宋体"/>
                <w:color w:val="auto"/>
                <w:sz w:val="21"/>
                <w:szCs w:val="21"/>
                <w:highlight w:val="none"/>
              </w:rPr>
            </w:pPr>
          </w:p>
        </w:tc>
        <w:tc>
          <w:tcPr>
            <w:tcW w:w="710" w:type="dxa"/>
            <w:noWrap w:val="0"/>
            <w:vAlign w:val="center"/>
          </w:tcPr>
          <w:p>
            <w:pPr>
              <w:keepNext/>
              <w:keepLines/>
              <w:snapToGrid w:val="0"/>
              <w:jc w:val="center"/>
              <w:outlineLvl w:val="0"/>
              <w:rPr>
                <w:rFonts w:ascii="宋体" w:hAnsi="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15" w:hRule="atLeast"/>
          <w:jc w:val="center"/>
        </w:trPr>
        <w:tc>
          <w:tcPr>
            <w:tcW w:w="721" w:type="dxa"/>
            <w:noWrap w:val="0"/>
            <w:vAlign w:val="center"/>
          </w:tcPr>
          <w:p>
            <w:pPr>
              <w:pStyle w:val="53"/>
              <w:keepNext w:val="0"/>
              <w:keepLines w:val="0"/>
              <w:pageBreakBefore w:val="0"/>
              <w:widowControl/>
              <w:kinsoku/>
              <w:wordWrap/>
              <w:overflowPunct/>
              <w:topLinePunct w:val="0"/>
              <w:autoSpaceDE/>
              <w:autoSpaceDN/>
              <w:bidi w:val="0"/>
              <w:adjustRightInd/>
              <w:spacing w:line="240" w:lineRule="auto"/>
              <w:ind w:firstLine="0"/>
              <w:jc w:val="center"/>
              <w:textAlignment w:val="auto"/>
              <w:rPr>
                <w:rFonts w:hint="eastAsia" w:ascii="宋体" w:hAnsi="宋体" w:eastAsia="宋体"/>
                <w:color w:val="auto"/>
                <w:sz w:val="21"/>
                <w:szCs w:val="21"/>
                <w:highlight w:val="none"/>
                <w:lang w:val="en-US" w:eastAsia="zh-CN"/>
              </w:rPr>
            </w:pPr>
            <w:r>
              <w:rPr>
                <w:rFonts w:hint="eastAsia" w:ascii="宋体" w:hAnsi="宋体"/>
                <w:color w:val="auto"/>
                <w:sz w:val="21"/>
                <w:szCs w:val="21"/>
                <w:highlight w:val="none"/>
                <w:lang w:val="en-US" w:eastAsia="zh-CN"/>
              </w:rPr>
              <w:t>4</w:t>
            </w:r>
          </w:p>
        </w:tc>
        <w:tc>
          <w:tcPr>
            <w:tcW w:w="2598"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both"/>
              <w:textAlignment w:val="auto"/>
              <w:rPr>
                <w:rFonts w:ascii="宋体" w:hAnsi="宋体"/>
                <w:color w:val="auto"/>
                <w:sz w:val="21"/>
                <w:szCs w:val="21"/>
                <w:highlight w:val="none"/>
              </w:rPr>
            </w:pPr>
          </w:p>
        </w:tc>
        <w:tc>
          <w:tcPr>
            <w:tcW w:w="2235" w:type="dxa"/>
            <w:noWrap w:val="0"/>
            <w:vAlign w:val="center"/>
          </w:tcPr>
          <w:p>
            <w:pPr>
              <w:keepNext/>
              <w:keepLines/>
              <w:snapToGrid w:val="0"/>
              <w:jc w:val="center"/>
              <w:outlineLvl w:val="0"/>
              <w:rPr>
                <w:rFonts w:ascii="宋体" w:hAnsi="宋体"/>
                <w:color w:val="auto"/>
                <w:sz w:val="21"/>
                <w:szCs w:val="21"/>
                <w:highlight w:val="none"/>
              </w:rPr>
            </w:pPr>
          </w:p>
        </w:tc>
        <w:tc>
          <w:tcPr>
            <w:tcW w:w="2235" w:type="dxa"/>
            <w:noWrap w:val="0"/>
            <w:vAlign w:val="center"/>
          </w:tcPr>
          <w:p>
            <w:pPr>
              <w:keepNext/>
              <w:keepLines/>
              <w:snapToGrid w:val="0"/>
              <w:jc w:val="center"/>
              <w:outlineLvl w:val="0"/>
              <w:rPr>
                <w:rFonts w:ascii="宋体" w:hAnsi="宋体"/>
                <w:color w:val="auto"/>
                <w:sz w:val="21"/>
                <w:szCs w:val="21"/>
                <w:highlight w:val="none"/>
              </w:rPr>
            </w:pPr>
          </w:p>
        </w:tc>
        <w:tc>
          <w:tcPr>
            <w:tcW w:w="1122" w:type="dxa"/>
            <w:noWrap w:val="0"/>
            <w:vAlign w:val="center"/>
          </w:tcPr>
          <w:p>
            <w:pPr>
              <w:keepNext/>
              <w:keepLines/>
              <w:snapToGrid w:val="0"/>
              <w:jc w:val="center"/>
              <w:outlineLvl w:val="0"/>
              <w:rPr>
                <w:rFonts w:ascii="宋体" w:hAnsi="宋体"/>
                <w:color w:val="auto"/>
                <w:sz w:val="21"/>
                <w:szCs w:val="21"/>
                <w:highlight w:val="none"/>
              </w:rPr>
            </w:pPr>
          </w:p>
        </w:tc>
        <w:tc>
          <w:tcPr>
            <w:tcW w:w="1124" w:type="dxa"/>
            <w:noWrap w:val="0"/>
            <w:vAlign w:val="center"/>
          </w:tcPr>
          <w:p>
            <w:pPr>
              <w:keepNext/>
              <w:keepLines/>
              <w:snapToGrid w:val="0"/>
              <w:jc w:val="center"/>
              <w:outlineLvl w:val="0"/>
              <w:rPr>
                <w:rFonts w:ascii="宋体" w:hAnsi="宋体"/>
                <w:color w:val="auto"/>
                <w:sz w:val="21"/>
                <w:szCs w:val="21"/>
                <w:highlight w:val="none"/>
              </w:rPr>
            </w:pPr>
          </w:p>
        </w:tc>
        <w:tc>
          <w:tcPr>
            <w:tcW w:w="1310" w:type="dxa"/>
            <w:noWrap w:val="0"/>
            <w:vAlign w:val="center"/>
          </w:tcPr>
          <w:p>
            <w:pPr>
              <w:keepNext/>
              <w:keepLines/>
              <w:snapToGrid w:val="0"/>
              <w:jc w:val="center"/>
              <w:outlineLvl w:val="0"/>
              <w:rPr>
                <w:rFonts w:ascii="宋体" w:hAnsi="宋体"/>
                <w:color w:val="auto"/>
                <w:sz w:val="21"/>
                <w:szCs w:val="21"/>
                <w:highlight w:val="none"/>
              </w:rPr>
            </w:pPr>
          </w:p>
        </w:tc>
        <w:tc>
          <w:tcPr>
            <w:tcW w:w="1316" w:type="dxa"/>
            <w:noWrap w:val="0"/>
            <w:vAlign w:val="center"/>
          </w:tcPr>
          <w:p>
            <w:pPr>
              <w:keepNext/>
              <w:keepLines/>
              <w:snapToGrid w:val="0"/>
              <w:jc w:val="center"/>
              <w:outlineLvl w:val="0"/>
              <w:rPr>
                <w:rFonts w:ascii="宋体" w:hAnsi="宋体"/>
                <w:color w:val="auto"/>
                <w:sz w:val="21"/>
                <w:szCs w:val="21"/>
                <w:highlight w:val="none"/>
              </w:rPr>
            </w:pPr>
          </w:p>
        </w:tc>
        <w:tc>
          <w:tcPr>
            <w:tcW w:w="710" w:type="dxa"/>
            <w:noWrap w:val="0"/>
            <w:vAlign w:val="center"/>
          </w:tcPr>
          <w:p>
            <w:pPr>
              <w:keepNext/>
              <w:keepLines/>
              <w:snapToGrid w:val="0"/>
              <w:jc w:val="center"/>
              <w:outlineLvl w:val="0"/>
              <w:rPr>
                <w:rFonts w:ascii="宋体" w:hAnsi="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0" w:hRule="atLeast"/>
          <w:jc w:val="center"/>
        </w:trPr>
        <w:tc>
          <w:tcPr>
            <w:tcW w:w="721" w:type="dxa"/>
            <w:noWrap w:val="0"/>
            <w:vAlign w:val="center"/>
          </w:tcPr>
          <w:p>
            <w:pPr>
              <w:pStyle w:val="53"/>
              <w:keepNext w:val="0"/>
              <w:keepLines w:val="0"/>
              <w:pageBreakBefore w:val="0"/>
              <w:widowControl/>
              <w:kinsoku/>
              <w:wordWrap/>
              <w:overflowPunct/>
              <w:topLinePunct w:val="0"/>
              <w:autoSpaceDE/>
              <w:autoSpaceDN/>
              <w:bidi w:val="0"/>
              <w:adjustRightInd/>
              <w:spacing w:line="240" w:lineRule="auto"/>
              <w:ind w:firstLine="0"/>
              <w:jc w:val="center"/>
              <w:textAlignment w:val="auto"/>
              <w:rPr>
                <w:rFonts w:hint="default" w:ascii="宋体" w:hAnsi="宋体" w:eastAsia="宋体"/>
                <w:color w:val="auto"/>
                <w:sz w:val="21"/>
                <w:szCs w:val="21"/>
                <w:highlight w:val="none"/>
                <w:lang w:val="en-US" w:eastAsia="zh-CN"/>
              </w:rPr>
            </w:pPr>
            <w:r>
              <w:rPr>
                <w:rFonts w:hint="eastAsia" w:ascii="宋体" w:hAnsi="宋体"/>
                <w:color w:val="auto"/>
                <w:sz w:val="21"/>
                <w:szCs w:val="21"/>
                <w:highlight w:val="none"/>
                <w:lang w:val="en-US" w:eastAsia="zh-CN"/>
              </w:rPr>
              <w:t>5</w:t>
            </w:r>
          </w:p>
        </w:tc>
        <w:tc>
          <w:tcPr>
            <w:tcW w:w="2598"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both"/>
              <w:textAlignment w:val="auto"/>
              <w:rPr>
                <w:rFonts w:ascii="宋体" w:hAnsi="宋体"/>
                <w:color w:val="auto"/>
                <w:sz w:val="21"/>
                <w:szCs w:val="21"/>
                <w:highlight w:val="none"/>
              </w:rPr>
            </w:pPr>
          </w:p>
        </w:tc>
        <w:tc>
          <w:tcPr>
            <w:tcW w:w="2235" w:type="dxa"/>
            <w:noWrap w:val="0"/>
            <w:vAlign w:val="center"/>
          </w:tcPr>
          <w:p>
            <w:pPr>
              <w:keepNext/>
              <w:keepLines/>
              <w:snapToGrid w:val="0"/>
              <w:jc w:val="center"/>
              <w:outlineLvl w:val="0"/>
              <w:rPr>
                <w:rFonts w:ascii="宋体" w:hAnsi="宋体"/>
                <w:color w:val="auto"/>
                <w:sz w:val="21"/>
                <w:szCs w:val="21"/>
                <w:highlight w:val="none"/>
              </w:rPr>
            </w:pPr>
          </w:p>
        </w:tc>
        <w:tc>
          <w:tcPr>
            <w:tcW w:w="2235" w:type="dxa"/>
            <w:noWrap w:val="0"/>
            <w:vAlign w:val="center"/>
          </w:tcPr>
          <w:p>
            <w:pPr>
              <w:keepNext/>
              <w:keepLines/>
              <w:snapToGrid w:val="0"/>
              <w:jc w:val="center"/>
              <w:outlineLvl w:val="0"/>
              <w:rPr>
                <w:rFonts w:ascii="宋体" w:hAnsi="宋体"/>
                <w:color w:val="auto"/>
                <w:sz w:val="21"/>
                <w:szCs w:val="21"/>
                <w:highlight w:val="none"/>
              </w:rPr>
            </w:pPr>
          </w:p>
        </w:tc>
        <w:tc>
          <w:tcPr>
            <w:tcW w:w="1122" w:type="dxa"/>
            <w:noWrap w:val="0"/>
            <w:vAlign w:val="center"/>
          </w:tcPr>
          <w:p>
            <w:pPr>
              <w:keepNext/>
              <w:keepLines/>
              <w:snapToGrid w:val="0"/>
              <w:jc w:val="center"/>
              <w:outlineLvl w:val="0"/>
              <w:rPr>
                <w:rFonts w:ascii="宋体" w:hAnsi="宋体"/>
                <w:color w:val="auto"/>
                <w:sz w:val="21"/>
                <w:szCs w:val="21"/>
                <w:highlight w:val="none"/>
              </w:rPr>
            </w:pPr>
          </w:p>
        </w:tc>
        <w:tc>
          <w:tcPr>
            <w:tcW w:w="1124" w:type="dxa"/>
            <w:noWrap w:val="0"/>
            <w:vAlign w:val="center"/>
          </w:tcPr>
          <w:p>
            <w:pPr>
              <w:keepNext/>
              <w:keepLines/>
              <w:snapToGrid w:val="0"/>
              <w:jc w:val="center"/>
              <w:outlineLvl w:val="0"/>
              <w:rPr>
                <w:rFonts w:ascii="宋体" w:hAnsi="宋体"/>
                <w:color w:val="auto"/>
                <w:sz w:val="21"/>
                <w:szCs w:val="21"/>
                <w:highlight w:val="none"/>
              </w:rPr>
            </w:pPr>
          </w:p>
        </w:tc>
        <w:tc>
          <w:tcPr>
            <w:tcW w:w="1310" w:type="dxa"/>
            <w:noWrap w:val="0"/>
            <w:vAlign w:val="center"/>
          </w:tcPr>
          <w:p>
            <w:pPr>
              <w:keepNext/>
              <w:keepLines/>
              <w:snapToGrid w:val="0"/>
              <w:jc w:val="center"/>
              <w:outlineLvl w:val="0"/>
              <w:rPr>
                <w:rFonts w:ascii="宋体" w:hAnsi="宋体"/>
                <w:color w:val="auto"/>
                <w:sz w:val="21"/>
                <w:szCs w:val="21"/>
                <w:highlight w:val="none"/>
              </w:rPr>
            </w:pPr>
          </w:p>
        </w:tc>
        <w:tc>
          <w:tcPr>
            <w:tcW w:w="1316" w:type="dxa"/>
            <w:noWrap w:val="0"/>
            <w:vAlign w:val="center"/>
          </w:tcPr>
          <w:p>
            <w:pPr>
              <w:keepNext/>
              <w:keepLines/>
              <w:snapToGrid w:val="0"/>
              <w:jc w:val="center"/>
              <w:outlineLvl w:val="0"/>
              <w:rPr>
                <w:rFonts w:ascii="宋体" w:hAnsi="宋体"/>
                <w:color w:val="auto"/>
                <w:sz w:val="21"/>
                <w:szCs w:val="21"/>
                <w:highlight w:val="none"/>
              </w:rPr>
            </w:pPr>
          </w:p>
        </w:tc>
        <w:tc>
          <w:tcPr>
            <w:tcW w:w="710" w:type="dxa"/>
            <w:noWrap w:val="0"/>
            <w:vAlign w:val="center"/>
          </w:tcPr>
          <w:p>
            <w:pPr>
              <w:keepNext/>
              <w:keepLines/>
              <w:snapToGrid w:val="0"/>
              <w:jc w:val="center"/>
              <w:outlineLvl w:val="0"/>
              <w:rPr>
                <w:rFonts w:ascii="宋体" w:hAnsi="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jc w:val="center"/>
        </w:trPr>
        <w:tc>
          <w:tcPr>
            <w:tcW w:w="721" w:type="dxa"/>
            <w:noWrap w:val="0"/>
            <w:vAlign w:val="center"/>
          </w:tcPr>
          <w:p>
            <w:pPr>
              <w:pStyle w:val="53"/>
              <w:keepNext w:val="0"/>
              <w:keepLines w:val="0"/>
              <w:pageBreakBefore w:val="0"/>
              <w:widowControl/>
              <w:kinsoku/>
              <w:wordWrap/>
              <w:overflowPunct/>
              <w:topLinePunct w:val="0"/>
              <w:autoSpaceDE/>
              <w:autoSpaceDN/>
              <w:bidi w:val="0"/>
              <w:adjustRightInd/>
              <w:spacing w:line="240" w:lineRule="auto"/>
              <w:ind w:firstLine="0"/>
              <w:jc w:val="center"/>
              <w:textAlignment w:val="auto"/>
              <w:rPr>
                <w:rFonts w:hint="eastAsia" w:ascii="宋体" w:hAnsi="宋体" w:eastAsia="宋体"/>
                <w:color w:val="auto"/>
                <w:sz w:val="21"/>
                <w:szCs w:val="21"/>
                <w:highlight w:val="none"/>
                <w:lang w:val="en-US" w:eastAsia="zh-CN"/>
              </w:rPr>
            </w:pPr>
            <w:r>
              <w:rPr>
                <w:rFonts w:hint="eastAsia" w:ascii="宋体" w:hAnsi="宋体"/>
                <w:color w:val="auto"/>
                <w:sz w:val="21"/>
                <w:szCs w:val="21"/>
                <w:highlight w:val="none"/>
                <w:lang w:val="en-US" w:eastAsia="zh-CN"/>
              </w:rPr>
              <w:t>……</w:t>
            </w:r>
          </w:p>
        </w:tc>
        <w:tc>
          <w:tcPr>
            <w:tcW w:w="2598"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both"/>
              <w:textAlignment w:val="auto"/>
              <w:rPr>
                <w:rFonts w:ascii="宋体" w:hAnsi="宋体"/>
                <w:color w:val="auto"/>
                <w:sz w:val="21"/>
                <w:szCs w:val="21"/>
                <w:highlight w:val="none"/>
              </w:rPr>
            </w:pPr>
          </w:p>
        </w:tc>
        <w:tc>
          <w:tcPr>
            <w:tcW w:w="2235" w:type="dxa"/>
            <w:noWrap w:val="0"/>
            <w:vAlign w:val="center"/>
          </w:tcPr>
          <w:p>
            <w:pPr>
              <w:keepNext/>
              <w:keepLines/>
              <w:snapToGrid w:val="0"/>
              <w:jc w:val="center"/>
              <w:outlineLvl w:val="0"/>
              <w:rPr>
                <w:rFonts w:ascii="宋体" w:hAnsi="宋体"/>
                <w:color w:val="auto"/>
                <w:sz w:val="21"/>
                <w:szCs w:val="21"/>
                <w:highlight w:val="none"/>
              </w:rPr>
            </w:pPr>
          </w:p>
        </w:tc>
        <w:tc>
          <w:tcPr>
            <w:tcW w:w="2235" w:type="dxa"/>
            <w:noWrap w:val="0"/>
            <w:vAlign w:val="center"/>
          </w:tcPr>
          <w:p>
            <w:pPr>
              <w:keepNext/>
              <w:keepLines/>
              <w:snapToGrid w:val="0"/>
              <w:jc w:val="center"/>
              <w:outlineLvl w:val="0"/>
              <w:rPr>
                <w:rFonts w:ascii="宋体" w:hAnsi="宋体"/>
                <w:color w:val="auto"/>
                <w:sz w:val="21"/>
                <w:szCs w:val="21"/>
                <w:highlight w:val="none"/>
              </w:rPr>
            </w:pPr>
          </w:p>
        </w:tc>
        <w:tc>
          <w:tcPr>
            <w:tcW w:w="1122" w:type="dxa"/>
            <w:noWrap w:val="0"/>
            <w:vAlign w:val="center"/>
          </w:tcPr>
          <w:p>
            <w:pPr>
              <w:keepNext/>
              <w:keepLines/>
              <w:snapToGrid w:val="0"/>
              <w:jc w:val="center"/>
              <w:outlineLvl w:val="0"/>
              <w:rPr>
                <w:rFonts w:ascii="宋体" w:hAnsi="宋体"/>
                <w:color w:val="auto"/>
                <w:sz w:val="21"/>
                <w:szCs w:val="21"/>
                <w:highlight w:val="none"/>
              </w:rPr>
            </w:pPr>
          </w:p>
        </w:tc>
        <w:tc>
          <w:tcPr>
            <w:tcW w:w="1124" w:type="dxa"/>
            <w:noWrap w:val="0"/>
            <w:vAlign w:val="center"/>
          </w:tcPr>
          <w:p>
            <w:pPr>
              <w:keepNext/>
              <w:keepLines/>
              <w:snapToGrid w:val="0"/>
              <w:jc w:val="center"/>
              <w:outlineLvl w:val="0"/>
              <w:rPr>
                <w:rFonts w:ascii="宋体" w:hAnsi="宋体"/>
                <w:color w:val="auto"/>
                <w:sz w:val="21"/>
                <w:szCs w:val="21"/>
                <w:highlight w:val="none"/>
              </w:rPr>
            </w:pPr>
          </w:p>
        </w:tc>
        <w:tc>
          <w:tcPr>
            <w:tcW w:w="1310" w:type="dxa"/>
            <w:noWrap w:val="0"/>
            <w:vAlign w:val="center"/>
          </w:tcPr>
          <w:p>
            <w:pPr>
              <w:keepNext/>
              <w:keepLines/>
              <w:snapToGrid w:val="0"/>
              <w:jc w:val="center"/>
              <w:outlineLvl w:val="0"/>
              <w:rPr>
                <w:rFonts w:ascii="宋体" w:hAnsi="宋体"/>
                <w:color w:val="auto"/>
                <w:sz w:val="21"/>
                <w:szCs w:val="21"/>
                <w:highlight w:val="none"/>
              </w:rPr>
            </w:pPr>
          </w:p>
        </w:tc>
        <w:tc>
          <w:tcPr>
            <w:tcW w:w="1316" w:type="dxa"/>
            <w:noWrap w:val="0"/>
            <w:vAlign w:val="center"/>
          </w:tcPr>
          <w:p>
            <w:pPr>
              <w:keepNext/>
              <w:keepLines/>
              <w:snapToGrid w:val="0"/>
              <w:jc w:val="center"/>
              <w:outlineLvl w:val="0"/>
              <w:rPr>
                <w:rFonts w:ascii="宋体" w:hAnsi="宋体"/>
                <w:color w:val="auto"/>
                <w:sz w:val="21"/>
                <w:szCs w:val="21"/>
                <w:highlight w:val="none"/>
              </w:rPr>
            </w:pPr>
          </w:p>
        </w:tc>
        <w:tc>
          <w:tcPr>
            <w:tcW w:w="710" w:type="dxa"/>
            <w:noWrap w:val="0"/>
            <w:vAlign w:val="center"/>
          </w:tcPr>
          <w:p>
            <w:pPr>
              <w:keepNext/>
              <w:keepLines/>
              <w:snapToGrid w:val="0"/>
              <w:jc w:val="center"/>
              <w:outlineLvl w:val="0"/>
              <w:rPr>
                <w:rFonts w:ascii="宋体" w:hAnsi="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jc w:val="center"/>
        </w:trPr>
        <w:tc>
          <w:tcPr>
            <w:tcW w:w="721" w:type="dxa"/>
            <w:noWrap w:val="0"/>
            <w:vAlign w:val="center"/>
          </w:tcPr>
          <w:p>
            <w:pPr>
              <w:pStyle w:val="53"/>
              <w:keepNext w:val="0"/>
              <w:keepLines w:val="0"/>
              <w:pageBreakBefore w:val="0"/>
              <w:widowControl/>
              <w:kinsoku/>
              <w:wordWrap/>
              <w:overflowPunct/>
              <w:topLinePunct w:val="0"/>
              <w:autoSpaceDE/>
              <w:autoSpaceDN/>
              <w:bidi w:val="0"/>
              <w:adjustRightInd/>
              <w:spacing w:line="240" w:lineRule="auto"/>
              <w:ind w:firstLine="0"/>
              <w:jc w:val="center"/>
              <w:textAlignment w:val="auto"/>
              <w:rPr>
                <w:rFonts w:hint="default" w:ascii="宋体" w:hAnsi="宋体"/>
                <w:color w:val="auto"/>
                <w:sz w:val="21"/>
                <w:szCs w:val="21"/>
                <w:highlight w:val="none"/>
                <w:lang w:val="en-US" w:eastAsia="zh-CN"/>
              </w:rPr>
            </w:pPr>
            <w:r>
              <w:rPr>
                <w:rFonts w:hint="eastAsia" w:ascii="宋体" w:hAnsi="宋体"/>
                <w:color w:val="auto"/>
                <w:sz w:val="21"/>
                <w:szCs w:val="21"/>
                <w:highlight w:val="none"/>
                <w:lang w:val="en-US" w:eastAsia="zh-CN"/>
              </w:rPr>
              <w:t>总价</w:t>
            </w:r>
          </w:p>
        </w:tc>
        <w:tc>
          <w:tcPr>
            <w:tcW w:w="2598"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olor w:val="auto"/>
                <w:sz w:val="21"/>
                <w:szCs w:val="21"/>
                <w:highlight w:val="none"/>
                <w:lang w:val="en-US" w:eastAsia="zh-CN"/>
              </w:rPr>
            </w:pPr>
            <w:r>
              <w:rPr>
                <w:rFonts w:hint="eastAsia" w:ascii="宋体" w:hAnsi="宋体"/>
                <w:color w:val="auto"/>
                <w:sz w:val="21"/>
                <w:szCs w:val="21"/>
                <w:highlight w:val="none"/>
                <w:lang w:val="en-US" w:eastAsia="zh-CN"/>
              </w:rPr>
              <w:t>-</w:t>
            </w:r>
          </w:p>
        </w:tc>
        <w:tc>
          <w:tcPr>
            <w:tcW w:w="2235" w:type="dxa"/>
            <w:noWrap w:val="0"/>
            <w:vAlign w:val="center"/>
          </w:tcPr>
          <w:p>
            <w:pPr>
              <w:keepNext/>
              <w:keepLines/>
              <w:snapToGrid w:val="0"/>
              <w:jc w:val="center"/>
              <w:outlineLvl w:val="0"/>
              <w:rPr>
                <w:rFonts w:hint="eastAsia" w:ascii="宋体" w:hAnsi="宋体" w:eastAsia="宋体"/>
                <w:color w:val="auto"/>
                <w:sz w:val="21"/>
                <w:szCs w:val="21"/>
                <w:highlight w:val="none"/>
                <w:lang w:val="en-US" w:eastAsia="zh-CN"/>
              </w:rPr>
            </w:pPr>
            <w:bookmarkStart w:id="158" w:name="_Toc6895"/>
            <w:r>
              <w:rPr>
                <w:rFonts w:hint="eastAsia" w:ascii="宋体" w:hAnsi="宋体"/>
                <w:color w:val="auto"/>
                <w:sz w:val="21"/>
                <w:szCs w:val="21"/>
                <w:highlight w:val="none"/>
                <w:lang w:val="en-US" w:eastAsia="zh-CN"/>
              </w:rPr>
              <w:t>-</w:t>
            </w:r>
            <w:bookmarkEnd w:id="158"/>
          </w:p>
        </w:tc>
        <w:tc>
          <w:tcPr>
            <w:tcW w:w="2235" w:type="dxa"/>
            <w:noWrap w:val="0"/>
            <w:vAlign w:val="center"/>
          </w:tcPr>
          <w:p>
            <w:pPr>
              <w:keepNext/>
              <w:keepLines/>
              <w:snapToGrid w:val="0"/>
              <w:jc w:val="center"/>
              <w:outlineLvl w:val="0"/>
              <w:rPr>
                <w:rFonts w:hint="eastAsia" w:ascii="宋体" w:hAnsi="宋体" w:eastAsia="宋体"/>
                <w:color w:val="auto"/>
                <w:sz w:val="21"/>
                <w:szCs w:val="21"/>
                <w:highlight w:val="none"/>
                <w:lang w:val="en-US" w:eastAsia="zh-CN"/>
              </w:rPr>
            </w:pPr>
            <w:bookmarkStart w:id="159" w:name="_Toc30477"/>
            <w:r>
              <w:rPr>
                <w:rFonts w:hint="eastAsia" w:ascii="宋体" w:hAnsi="宋体"/>
                <w:color w:val="auto"/>
                <w:sz w:val="21"/>
                <w:szCs w:val="21"/>
                <w:highlight w:val="none"/>
                <w:lang w:val="en-US" w:eastAsia="zh-CN"/>
              </w:rPr>
              <w:t>-</w:t>
            </w:r>
            <w:bookmarkEnd w:id="159"/>
          </w:p>
        </w:tc>
        <w:tc>
          <w:tcPr>
            <w:tcW w:w="1122" w:type="dxa"/>
            <w:noWrap w:val="0"/>
            <w:vAlign w:val="center"/>
          </w:tcPr>
          <w:p>
            <w:pPr>
              <w:keepNext/>
              <w:keepLines/>
              <w:snapToGrid w:val="0"/>
              <w:jc w:val="center"/>
              <w:outlineLvl w:val="0"/>
              <w:rPr>
                <w:rFonts w:hint="eastAsia" w:ascii="宋体" w:hAnsi="宋体" w:eastAsia="宋体"/>
                <w:color w:val="auto"/>
                <w:sz w:val="21"/>
                <w:szCs w:val="21"/>
                <w:highlight w:val="none"/>
                <w:lang w:val="en-US" w:eastAsia="zh-CN"/>
              </w:rPr>
            </w:pPr>
            <w:bookmarkStart w:id="160" w:name="_Toc12900"/>
            <w:r>
              <w:rPr>
                <w:rFonts w:hint="eastAsia" w:ascii="宋体" w:hAnsi="宋体"/>
                <w:color w:val="auto"/>
                <w:sz w:val="21"/>
                <w:szCs w:val="21"/>
                <w:highlight w:val="none"/>
                <w:lang w:val="en-US" w:eastAsia="zh-CN"/>
              </w:rPr>
              <w:t>-</w:t>
            </w:r>
            <w:bookmarkEnd w:id="160"/>
          </w:p>
        </w:tc>
        <w:tc>
          <w:tcPr>
            <w:tcW w:w="1124" w:type="dxa"/>
            <w:noWrap w:val="0"/>
            <w:vAlign w:val="center"/>
          </w:tcPr>
          <w:p>
            <w:pPr>
              <w:keepNext/>
              <w:keepLines/>
              <w:snapToGrid w:val="0"/>
              <w:jc w:val="center"/>
              <w:outlineLvl w:val="0"/>
              <w:rPr>
                <w:rFonts w:hint="default" w:ascii="宋体" w:hAnsi="宋体" w:eastAsia="宋体"/>
                <w:color w:val="auto"/>
                <w:sz w:val="21"/>
                <w:szCs w:val="21"/>
                <w:highlight w:val="none"/>
                <w:lang w:val="en-US" w:eastAsia="zh-CN"/>
              </w:rPr>
            </w:pPr>
            <w:bookmarkStart w:id="161" w:name="_Toc31547"/>
            <w:r>
              <w:rPr>
                <w:rFonts w:hint="eastAsia" w:ascii="宋体" w:hAnsi="宋体"/>
                <w:color w:val="auto"/>
                <w:sz w:val="21"/>
                <w:szCs w:val="21"/>
                <w:highlight w:val="none"/>
                <w:lang w:val="en-US" w:eastAsia="zh-CN"/>
              </w:rPr>
              <w:t>-</w:t>
            </w:r>
            <w:bookmarkEnd w:id="161"/>
          </w:p>
        </w:tc>
        <w:tc>
          <w:tcPr>
            <w:tcW w:w="1310" w:type="dxa"/>
            <w:noWrap w:val="0"/>
            <w:vAlign w:val="center"/>
          </w:tcPr>
          <w:p>
            <w:pPr>
              <w:keepNext/>
              <w:keepLines/>
              <w:snapToGrid w:val="0"/>
              <w:jc w:val="center"/>
              <w:outlineLvl w:val="0"/>
              <w:rPr>
                <w:rFonts w:hint="default" w:ascii="宋体" w:hAnsi="宋体" w:eastAsia="宋体"/>
                <w:color w:val="auto"/>
                <w:sz w:val="21"/>
                <w:szCs w:val="21"/>
                <w:highlight w:val="none"/>
                <w:lang w:val="en-US" w:eastAsia="zh-CN"/>
              </w:rPr>
            </w:pPr>
            <w:bookmarkStart w:id="162" w:name="_Toc12885"/>
            <w:r>
              <w:rPr>
                <w:rFonts w:hint="eastAsia" w:ascii="宋体" w:hAnsi="宋体"/>
                <w:color w:val="auto"/>
                <w:sz w:val="21"/>
                <w:szCs w:val="21"/>
                <w:highlight w:val="none"/>
                <w:lang w:val="en-US" w:eastAsia="zh-CN"/>
              </w:rPr>
              <w:t>-</w:t>
            </w:r>
            <w:bookmarkEnd w:id="162"/>
          </w:p>
        </w:tc>
        <w:tc>
          <w:tcPr>
            <w:tcW w:w="1316" w:type="dxa"/>
            <w:noWrap w:val="0"/>
            <w:vAlign w:val="center"/>
          </w:tcPr>
          <w:p>
            <w:pPr>
              <w:keepNext/>
              <w:keepLines/>
              <w:snapToGrid w:val="0"/>
              <w:jc w:val="center"/>
              <w:outlineLvl w:val="0"/>
              <w:rPr>
                <w:rFonts w:ascii="宋体" w:hAnsi="宋体"/>
                <w:color w:val="auto"/>
                <w:sz w:val="21"/>
                <w:szCs w:val="21"/>
                <w:highlight w:val="none"/>
              </w:rPr>
            </w:pPr>
          </w:p>
        </w:tc>
        <w:tc>
          <w:tcPr>
            <w:tcW w:w="710" w:type="dxa"/>
            <w:noWrap w:val="0"/>
            <w:vAlign w:val="center"/>
          </w:tcPr>
          <w:p>
            <w:pPr>
              <w:keepNext/>
              <w:keepLines/>
              <w:snapToGrid w:val="0"/>
              <w:jc w:val="center"/>
              <w:outlineLvl w:val="0"/>
              <w:rPr>
                <w:rFonts w:ascii="宋体" w:hAnsi="宋体"/>
                <w:color w:val="auto"/>
                <w:sz w:val="21"/>
                <w:szCs w:val="21"/>
                <w:highlight w:val="none"/>
              </w:rPr>
            </w:pPr>
          </w:p>
        </w:tc>
      </w:tr>
    </w:tbl>
    <w:p>
      <w:pPr>
        <w:spacing w:line="360" w:lineRule="auto"/>
        <w:rPr>
          <w:rFonts w:hint="eastAsia" w:ascii="宋体" w:hAnsi="宋体"/>
          <w:color w:val="auto"/>
          <w:sz w:val="21"/>
          <w:szCs w:val="21"/>
          <w:highlight w:val="none"/>
        </w:rPr>
      </w:pPr>
      <w:r>
        <w:rPr>
          <w:rFonts w:hint="eastAsia" w:ascii="宋体" w:hAnsi="宋体"/>
          <w:color w:val="auto"/>
          <w:sz w:val="21"/>
          <w:szCs w:val="21"/>
          <w:highlight w:val="none"/>
        </w:rPr>
        <w:t>注：</w:t>
      </w:r>
    </w:p>
    <w:p>
      <w:pPr>
        <w:spacing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1.投标人必须按“分项报价明细表”的格式详细报出投标产品总价的各个组成部分的报价</w:t>
      </w:r>
      <w:r>
        <w:rPr>
          <w:rFonts w:hint="eastAsia" w:ascii="宋体" w:hAnsi="宋体"/>
          <w:color w:val="auto"/>
          <w:sz w:val="21"/>
          <w:szCs w:val="21"/>
          <w:highlight w:val="none"/>
          <w:lang w:eastAsia="zh-CN"/>
        </w:rPr>
        <w:t>，</w:t>
      </w:r>
      <w:r>
        <w:rPr>
          <w:rFonts w:hint="eastAsia" w:ascii="宋体" w:hAnsi="宋体"/>
          <w:color w:val="auto"/>
          <w:sz w:val="21"/>
          <w:szCs w:val="21"/>
          <w:highlight w:val="none"/>
          <w:lang w:val="en-US" w:eastAsia="zh-CN"/>
        </w:rPr>
        <w:t>保留小数点后2位</w:t>
      </w:r>
      <w:r>
        <w:rPr>
          <w:rFonts w:hint="eastAsia" w:ascii="宋体" w:hAnsi="宋体"/>
          <w:color w:val="auto"/>
          <w:sz w:val="21"/>
          <w:szCs w:val="21"/>
          <w:highlight w:val="none"/>
        </w:rPr>
        <w:t>；</w:t>
      </w:r>
    </w:p>
    <w:p>
      <w:pPr>
        <w:spacing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2.“</w:t>
      </w:r>
      <w:r>
        <w:rPr>
          <w:rFonts w:hint="eastAsia" w:ascii="宋体" w:hAnsi="宋体"/>
          <w:color w:val="auto"/>
          <w:sz w:val="21"/>
          <w:szCs w:val="21"/>
          <w:highlight w:val="none"/>
          <w:lang w:val="en-US" w:eastAsia="zh-CN"/>
        </w:rPr>
        <w:t>投标</w:t>
      </w:r>
      <w:r>
        <w:rPr>
          <w:rFonts w:hint="eastAsia" w:ascii="宋体" w:hAnsi="宋体"/>
          <w:color w:val="auto"/>
          <w:sz w:val="21"/>
          <w:szCs w:val="21"/>
          <w:highlight w:val="none"/>
        </w:rPr>
        <w:t>分项报价表”各分项报价合计应当与“</w:t>
      </w:r>
      <w:r>
        <w:rPr>
          <w:rFonts w:hint="eastAsia" w:ascii="宋体" w:hAnsi="宋体"/>
          <w:color w:val="auto"/>
          <w:sz w:val="21"/>
          <w:szCs w:val="21"/>
          <w:highlight w:val="none"/>
          <w:lang w:val="en-US" w:eastAsia="zh-CN"/>
        </w:rPr>
        <w:t>开标</w:t>
      </w:r>
      <w:r>
        <w:rPr>
          <w:rFonts w:hint="eastAsia" w:ascii="宋体" w:hAnsi="宋体"/>
          <w:color w:val="auto"/>
          <w:sz w:val="21"/>
          <w:szCs w:val="21"/>
          <w:highlight w:val="none"/>
        </w:rPr>
        <w:t>一览表”</w:t>
      </w:r>
      <w:r>
        <w:rPr>
          <w:rFonts w:hint="eastAsia" w:ascii="宋体" w:hAnsi="宋体"/>
          <w:color w:val="auto"/>
          <w:sz w:val="21"/>
          <w:szCs w:val="21"/>
          <w:highlight w:val="none"/>
          <w:lang w:val="en-US" w:eastAsia="zh-CN"/>
        </w:rPr>
        <w:t>的总价相一致</w:t>
      </w:r>
      <w:r>
        <w:rPr>
          <w:rFonts w:hint="eastAsia" w:ascii="宋体" w:hAnsi="宋体"/>
          <w:color w:val="auto"/>
          <w:sz w:val="21"/>
          <w:szCs w:val="21"/>
          <w:highlight w:val="none"/>
        </w:rPr>
        <w:t>。</w:t>
      </w:r>
    </w:p>
    <w:p>
      <w:pPr>
        <w:pStyle w:val="2"/>
        <w:rPr>
          <w:rFonts w:hint="default" w:eastAsia="宋体"/>
          <w:color w:val="auto"/>
          <w:highlight w:val="none"/>
          <w:lang w:val="en-US" w:eastAsia="zh-CN"/>
        </w:rPr>
      </w:pPr>
      <w:r>
        <w:rPr>
          <w:rFonts w:hint="eastAsia" w:ascii="宋体" w:hAnsi="宋体"/>
          <w:color w:val="auto"/>
          <w:sz w:val="21"/>
          <w:szCs w:val="21"/>
          <w:highlight w:val="none"/>
          <w:lang w:val="en-US" w:eastAsia="zh-CN"/>
        </w:rPr>
        <w:t xml:space="preserve">    3.此表格不够可自行增减。</w:t>
      </w:r>
    </w:p>
    <w:p>
      <w:pPr>
        <w:widowControl/>
        <w:spacing w:line="256" w:lineRule="auto"/>
        <w:jc w:val="right"/>
        <w:rPr>
          <w:rFonts w:hint="eastAsia" w:ascii="宋体" w:hAnsi="宋体" w:cs="微软雅黑"/>
          <w:color w:val="auto"/>
          <w:sz w:val="21"/>
          <w:szCs w:val="21"/>
          <w:highlight w:val="none"/>
        </w:rPr>
      </w:pPr>
    </w:p>
    <w:p>
      <w:pPr>
        <w:keepNext w:val="0"/>
        <w:keepLines w:val="0"/>
        <w:pageBreakBefore w:val="0"/>
        <w:widowControl w:val="0"/>
        <w:kinsoku/>
        <w:wordWrap/>
        <w:overflowPunct/>
        <w:topLinePunct w:val="0"/>
        <w:bidi w:val="0"/>
        <w:snapToGrid/>
        <w:spacing w:line="480" w:lineRule="auto"/>
        <w:jc w:val="right"/>
        <w:textAlignment w:val="auto"/>
        <w:rPr>
          <w:rFonts w:ascii="宋体" w:hAnsi="宋体" w:cs="宋体"/>
          <w:color w:val="auto"/>
          <w:kern w:val="0"/>
          <w:szCs w:val="21"/>
          <w:highlight w:val="none"/>
        </w:rPr>
      </w:pPr>
      <w:r>
        <w:rPr>
          <w:rFonts w:hint="eastAsia" w:ascii="宋体" w:hAnsi="宋体" w:cs="宋体"/>
          <w:color w:val="auto"/>
          <w:kern w:val="0"/>
          <w:szCs w:val="21"/>
          <w:highlight w:val="none"/>
        </w:rPr>
        <w:t>投标人：</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（盖单位章）</w:t>
      </w:r>
    </w:p>
    <w:p>
      <w:pPr>
        <w:keepNext w:val="0"/>
        <w:keepLines w:val="0"/>
        <w:pageBreakBefore w:val="0"/>
        <w:widowControl w:val="0"/>
        <w:kinsoku/>
        <w:wordWrap/>
        <w:overflowPunct/>
        <w:topLinePunct w:val="0"/>
        <w:autoSpaceDE w:val="0"/>
        <w:autoSpaceDN w:val="0"/>
        <w:bidi w:val="0"/>
        <w:adjustRightInd w:val="0"/>
        <w:snapToGrid/>
        <w:spacing w:line="480" w:lineRule="auto"/>
        <w:jc w:val="right"/>
        <w:textAlignment w:val="auto"/>
        <w:rPr>
          <w:rFonts w:ascii="宋体" w:hAnsi="宋体" w:cs="宋体"/>
          <w:color w:val="auto"/>
          <w:kern w:val="0"/>
          <w:szCs w:val="21"/>
          <w:highlight w:val="none"/>
        </w:rPr>
      </w:pPr>
      <w:r>
        <w:rPr>
          <w:rFonts w:hint="eastAsia" w:ascii="宋体" w:hAnsi="宋体" w:cs="宋体"/>
          <w:color w:val="auto"/>
          <w:kern w:val="0"/>
          <w:szCs w:val="21"/>
          <w:highlight w:val="none"/>
          <w:lang w:eastAsia="zh-CN"/>
        </w:rPr>
        <w:t>法定代表人（负责人）</w:t>
      </w:r>
      <w:r>
        <w:rPr>
          <w:rFonts w:hint="eastAsia" w:ascii="宋体" w:hAnsi="宋体" w:cs="宋体"/>
          <w:color w:val="auto"/>
          <w:kern w:val="0"/>
          <w:szCs w:val="21"/>
          <w:highlight w:val="none"/>
        </w:rPr>
        <w:t>或其委托代理人：</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（签字或盖章）</w:t>
      </w:r>
    </w:p>
    <w:p>
      <w:pPr>
        <w:pStyle w:val="8"/>
        <w:keepNext w:val="0"/>
        <w:keepLines w:val="0"/>
        <w:pageBreakBefore w:val="0"/>
        <w:widowControl w:val="0"/>
        <w:kinsoku/>
        <w:wordWrap/>
        <w:overflowPunct/>
        <w:topLinePunct w:val="0"/>
        <w:bidi w:val="0"/>
        <w:snapToGrid/>
        <w:spacing w:line="480" w:lineRule="auto"/>
        <w:ind w:left="0" w:leftChars="0" w:firstLine="0" w:firstLineChars="0"/>
        <w:jc w:val="right"/>
        <w:textAlignment w:val="auto"/>
        <w:rPr>
          <w:rFonts w:hint="eastAsia" w:ascii="宋体" w:hAnsi="宋体" w:cs="宋体"/>
          <w:color w:val="auto"/>
          <w:szCs w:val="21"/>
          <w:highlight w:val="none"/>
        </w:rPr>
        <w:sectPr>
          <w:headerReference r:id="rId7" w:type="first"/>
          <w:footerReference r:id="rId10" w:type="first"/>
          <w:headerReference r:id="rId5" w:type="default"/>
          <w:footerReference r:id="rId8" w:type="default"/>
          <w:headerReference r:id="rId6" w:type="even"/>
          <w:footerReference r:id="rId9" w:type="even"/>
          <w:pgSz w:w="16841" w:h="11906" w:orient="landscape"/>
          <w:pgMar w:top="1581" w:right="1414" w:bottom="1015" w:left="1702" w:header="720" w:footer="720" w:gutter="0"/>
          <w:pgNumType w:fmt="decimal"/>
          <w:cols w:space="720" w:num="1"/>
          <w:docGrid w:linePitch="286" w:charSpace="0"/>
        </w:sectPr>
      </w:pP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p>
    <w:bookmarkEnd w:id="154"/>
    <w:bookmarkEnd w:id="155"/>
    <w:bookmarkEnd w:id="156"/>
    <w:p>
      <w:pPr>
        <w:pStyle w:val="4"/>
        <w:bidi w:val="0"/>
        <w:rPr>
          <w:rFonts w:hint="default" w:ascii="宋体" w:hAnsi="宋体" w:eastAsia="宋体" w:cs="Times New Roman"/>
          <w:color w:val="auto"/>
          <w:sz w:val="28"/>
          <w:szCs w:val="22"/>
          <w:highlight w:val="none"/>
          <w:lang w:val="en-US" w:eastAsia="zh-CN"/>
        </w:rPr>
      </w:pPr>
      <w:r>
        <w:rPr>
          <w:rFonts w:hint="eastAsia" w:ascii="宋体" w:hAnsi="宋体" w:eastAsia="宋体" w:cs="Times New Roman"/>
          <w:color w:val="auto"/>
          <w:sz w:val="28"/>
          <w:szCs w:val="22"/>
          <w:highlight w:val="none"/>
          <w:lang w:val="en-US" w:eastAsia="zh-CN"/>
        </w:rPr>
        <w:t>2.2投标</w:t>
      </w:r>
      <w:r>
        <w:rPr>
          <w:rFonts w:hint="eastAsia" w:cs="Times New Roman"/>
          <w:color w:val="auto"/>
          <w:sz w:val="28"/>
          <w:szCs w:val="22"/>
          <w:highlight w:val="none"/>
          <w:lang w:val="en-US" w:eastAsia="zh-CN"/>
        </w:rPr>
        <w:t>产品</w:t>
      </w:r>
      <w:r>
        <w:rPr>
          <w:rFonts w:hint="eastAsia" w:ascii="宋体" w:hAnsi="宋体" w:eastAsia="宋体" w:cs="Times New Roman"/>
          <w:color w:val="auto"/>
          <w:sz w:val="28"/>
          <w:szCs w:val="22"/>
          <w:highlight w:val="none"/>
          <w:lang w:val="en-US" w:eastAsia="zh-CN"/>
        </w:rPr>
        <w:t>配置清单</w:t>
      </w:r>
    </w:p>
    <w:p>
      <w:pPr>
        <w:spacing w:line="480" w:lineRule="auto"/>
        <w:rPr>
          <w:rFonts w:hint="eastAsia" w:ascii="宋体" w:hAnsi="宋体"/>
          <w:b/>
          <w:color w:val="auto"/>
          <w:sz w:val="32"/>
          <w:szCs w:val="32"/>
          <w:highlight w:val="none"/>
        </w:rPr>
      </w:pPr>
    </w:p>
    <w:p>
      <w:pPr>
        <w:spacing w:line="480" w:lineRule="auto"/>
        <w:rPr>
          <w:rFonts w:hint="eastAsia" w:ascii="宋体" w:hAnsi="宋体"/>
          <w:b/>
          <w:color w:val="auto"/>
          <w:sz w:val="32"/>
          <w:szCs w:val="32"/>
          <w:highlight w:val="none"/>
        </w:rPr>
      </w:pPr>
    </w:p>
    <w:p>
      <w:pPr>
        <w:spacing w:line="480" w:lineRule="auto"/>
        <w:rPr>
          <w:rFonts w:hint="eastAsia" w:ascii="宋体" w:hAnsi="宋体"/>
          <w:b/>
          <w:color w:val="auto"/>
          <w:sz w:val="32"/>
          <w:szCs w:val="32"/>
          <w:highlight w:val="none"/>
        </w:rPr>
      </w:pPr>
    </w:p>
    <w:p>
      <w:pPr>
        <w:spacing w:line="480" w:lineRule="auto"/>
        <w:rPr>
          <w:rFonts w:hint="eastAsia" w:ascii="宋体" w:hAnsi="宋体"/>
          <w:b/>
          <w:color w:val="auto"/>
          <w:sz w:val="32"/>
          <w:szCs w:val="32"/>
          <w:highlight w:val="none"/>
        </w:rPr>
      </w:pPr>
    </w:p>
    <w:p>
      <w:pPr>
        <w:spacing w:line="480" w:lineRule="auto"/>
        <w:rPr>
          <w:rFonts w:hint="eastAsia" w:ascii="宋体" w:hAnsi="宋体"/>
          <w:b/>
          <w:color w:val="auto"/>
          <w:sz w:val="32"/>
          <w:szCs w:val="32"/>
          <w:highlight w:val="none"/>
        </w:rPr>
      </w:pPr>
    </w:p>
    <w:p>
      <w:pPr>
        <w:spacing w:line="480" w:lineRule="auto"/>
        <w:rPr>
          <w:rFonts w:hint="eastAsia" w:ascii="宋体" w:hAnsi="宋体"/>
          <w:b/>
          <w:color w:val="auto"/>
          <w:sz w:val="32"/>
          <w:szCs w:val="32"/>
          <w:highlight w:val="none"/>
        </w:rPr>
      </w:pPr>
    </w:p>
    <w:p>
      <w:pPr>
        <w:spacing w:line="480" w:lineRule="auto"/>
        <w:rPr>
          <w:rFonts w:hint="eastAsia" w:ascii="宋体" w:hAnsi="宋体"/>
          <w:b/>
          <w:color w:val="auto"/>
          <w:sz w:val="32"/>
          <w:szCs w:val="32"/>
          <w:highlight w:val="none"/>
        </w:rPr>
      </w:pPr>
    </w:p>
    <w:p>
      <w:pPr>
        <w:spacing w:line="480" w:lineRule="auto"/>
        <w:rPr>
          <w:rFonts w:hint="eastAsia" w:ascii="宋体" w:hAnsi="宋体"/>
          <w:b/>
          <w:color w:val="auto"/>
          <w:sz w:val="32"/>
          <w:szCs w:val="32"/>
          <w:highlight w:val="none"/>
        </w:rPr>
      </w:pPr>
    </w:p>
    <w:p>
      <w:pPr>
        <w:spacing w:line="480" w:lineRule="auto"/>
        <w:rPr>
          <w:rFonts w:hint="eastAsia" w:ascii="宋体" w:hAnsi="宋体"/>
          <w:b/>
          <w:color w:val="auto"/>
          <w:sz w:val="32"/>
          <w:szCs w:val="32"/>
          <w:highlight w:val="none"/>
        </w:rPr>
      </w:pPr>
    </w:p>
    <w:p>
      <w:pPr>
        <w:spacing w:line="480" w:lineRule="auto"/>
        <w:rPr>
          <w:rFonts w:hint="eastAsia" w:ascii="宋体" w:hAnsi="宋体"/>
          <w:b/>
          <w:color w:val="auto"/>
          <w:sz w:val="32"/>
          <w:szCs w:val="32"/>
          <w:highlight w:val="none"/>
        </w:rPr>
      </w:pPr>
    </w:p>
    <w:p>
      <w:pPr>
        <w:spacing w:line="480" w:lineRule="auto"/>
        <w:rPr>
          <w:rFonts w:hint="eastAsia" w:ascii="宋体" w:hAnsi="宋体"/>
          <w:b/>
          <w:color w:val="auto"/>
          <w:sz w:val="32"/>
          <w:szCs w:val="32"/>
          <w:highlight w:val="none"/>
        </w:rPr>
      </w:pPr>
    </w:p>
    <w:p>
      <w:pPr>
        <w:spacing w:line="480" w:lineRule="auto"/>
        <w:rPr>
          <w:rFonts w:hint="eastAsia" w:ascii="宋体" w:hAnsi="宋体"/>
          <w:b/>
          <w:color w:val="auto"/>
          <w:sz w:val="32"/>
          <w:szCs w:val="32"/>
          <w:highlight w:val="none"/>
        </w:rPr>
      </w:pPr>
    </w:p>
    <w:p>
      <w:pPr>
        <w:spacing w:line="480" w:lineRule="auto"/>
        <w:rPr>
          <w:rFonts w:hint="eastAsia" w:ascii="宋体" w:hAnsi="宋体"/>
          <w:b/>
          <w:color w:val="auto"/>
          <w:sz w:val="32"/>
          <w:szCs w:val="32"/>
          <w:highlight w:val="none"/>
        </w:rPr>
      </w:pPr>
    </w:p>
    <w:p>
      <w:pPr>
        <w:spacing w:line="480" w:lineRule="auto"/>
        <w:rPr>
          <w:rFonts w:hint="eastAsia" w:ascii="宋体" w:hAnsi="宋体"/>
          <w:b/>
          <w:color w:val="auto"/>
          <w:sz w:val="32"/>
          <w:szCs w:val="32"/>
          <w:highlight w:val="none"/>
        </w:rPr>
      </w:pPr>
    </w:p>
    <w:p>
      <w:pPr>
        <w:spacing w:line="480" w:lineRule="auto"/>
        <w:rPr>
          <w:rFonts w:hint="eastAsia" w:ascii="宋体" w:hAnsi="宋体"/>
          <w:b/>
          <w:color w:val="auto"/>
          <w:sz w:val="32"/>
          <w:szCs w:val="32"/>
          <w:highlight w:val="none"/>
        </w:rPr>
      </w:pPr>
    </w:p>
    <w:p>
      <w:pPr>
        <w:spacing w:line="480" w:lineRule="auto"/>
        <w:rPr>
          <w:rFonts w:hint="eastAsia" w:ascii="宋体" w:hAnsi="宋体"/>
          <w:b/>
          <w:color w:val="auto"/>
          <w:sz w:val="32"/>
          <w:szCs w:val="32"/>
          <w:highlight w:val="none"/>
        </w:rPr>
      </w:pPr>
    </w:p>
    <w:p>
      <w:pPr>
        <w:spacing w:line="480" w:lineRule="auto"/>
        <w:rPr>
          <w:rFonts w:hint="eastAsia" w:ascii="宋体" w:hAnsi="宋体"/>
          <w:b/>
          <w:color w:val="auto"/>
          <w:sz w:val="32"/>
          <w:szCs w:val="32"/>
          <w:highlight w:val="none"/>
        </w:rPr>
      </w:pPr>
    </w:p>
    <w:p>
      <w:pPr>
        <w:spacing w:line="480" w:lineRule="auto"/>
        <w:rPr>
          <w:rFonts w:hint="eastAsia" w:ascii="宋体" w:hAnsi="宋体"/>
          <w:b/>
          <w:color w:val="auto"/>
          <w:sz w:val="32"/>
          <w:szCs w:val="32"/>
          <w:highlight w:val="none"/>
        </w:rPr>
      </w:pPr>
    </w:p>
    <w:p>
      <w:pPr>
        <w:spacing w:line="480" w:lineRule="auto"/>
        <w:rPr>
          <w:rFonts w:hint="eastAsia" w:ascii="宋体" w:hAnsi="宋体"/>
          <w:b/>
          <w:color w:val="auto"/>
          <w:sz w:val="32"/>
          <w:szCs w:val="32"/>
          <w:highlight w:val="none"/>
        </w:rPr>
      </w:pPr>
    </w:p>
    <w:p>
      <w:pPr>
        <w:spacing w:line="480" w:lineRule="auto"/>
        <w:rPr>
          <w:rFonts w:hint="eastAsia" w:ascii="宋体" w:hAnsi="宋体"/>
          <w:b/>
          <w:color w:val="auto"/>
          <w:sz w:val="32"/>
          <w:szCs w:val="32"/>
          <w:highlight w:val="none"/>
        </w:rPr>
      </w:pPr>
    </w:p>
    <w:p>
      <w:pPr>
        <w:spacing w:line="480" w:lineRule="auto"/>
        <w:rPr>
          <w:rFonts w:hint="eastAsia" w:ascii="宋体" w:hAnsi="宋体"/>
          <w:b/>
          <w:color w:val="auto"/>
          <w:sz w:val="32"/>
          <w:szCs w:val="32"/>
          <w:highlight w:val="none"/>
        </w:rPr>
      </w:pPr>
    </w:p>
    <w:p>
      <w:pPr>
        <w:pStyle w:val="4"/>
        <w:bidi w:val="0"/>
        <w:rPr>
          <w:rFonts w:hint="eastAsia" w:ascii="宋体" w:hAnsi="宋体" w:eastAsia="宋体" w:cs="Times New Roman"/>
          <w:color w:val="auto"/>
          <w:sz w:val="32"/>
          <w:szCs w:val="32"/>
          <w:highlight w:val="none"/>
        </w:rPr>
      </w:pPr>
      <w:bookmarkStart w:id="163" w:name="_Toc17344"/>
      <w:bookmarkStart w:id="164" w:name="_Toc13293"/>
      <w:bookmarkStart w:id="165" w:name="_Toc23028"/>
      <w:bookmarkStart w:id="166" w:name="_Toc21788"/>
      <w:r>
        <w:rPr>
          <w:rFonts w:hint="eastAsia" w:ascii="宋体" w:hAnsi="宋体" w:eastAsia="宋体" w:cs="Times New Roman"/>
          <w:color w:val="auto"/>
          <w:sz w:val="32"/>
          <w:szCs w:val="32"/>
          <w:highlight w:val="none"/>
        </w:rPr>
        <w:t>三、投标人资格</w:t>
      </w:r>
      <w:bookmarkEnd w:id="163"/>
      <w:bookmarkEnd w:id="164"/>
      <w:bookmarkEnd w:id="165"/>
      <w:bookmarkEnd w:id="166"/>
    </w:p>
    <w:p>
      <w:pPr>
        <w:pStyle w:val="20"/>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right="0" w:rightChars="0" w:firstLine="420" w:firstLineChars="200"/>
        <w:textAlignment w:val="auto"/>
        <w:rPr>
          <w:rFonts w:hint="eastAsia"/>
          <w:color w:val="auto"/>
          <w:sz w:val="21"/>
          <w:szCs w:val="21"/>
          <w:highlight w:val="none"/>
        </w:rPr>
      </w:pPr>
      <w:r>
        <w:rPr>
          <w:rFonts w:hint="eastAsia"/>
          <w:color w:val="auto"/>
          <w:sz w:val="21"/>
          <w:szCs w:val="21"/>
          <w:highlight w:val="none"/>
        </w:rPr>
        <w:t>1、参加政府采购活动的投标人应当具备政府采购法第二十二条第一款规定“具有独立承担民事责任的能力”的条件，并提供下列材料（加盖公章），未按要求提供或者提供的资料不全或未盖公章，视为未实质性响应招标文件要求，按相应无效处理：</w:t>
      </w:r>
    </w:p>
    <w:p>
      <w:pPr>
        <w:pStyle w:val="20"/>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right="0" w:rightChars="0" w:firstLine="420" w:firstLineChars="200"/>
        <w:textAlignment w:val="auto"/>
        <w:rPr>
          <w:rFonts w:hint="eastAsia"/>
          <w:color w:val="auto"/>
          <w:sz w:val="21"/>
          <w:szCs w:val="21"/>
          <w:highlight w:val="none"/>
        </w:rPr>
      </w:pPr>
      <w:r>
        <w:rPr>
          <w:rFonts w:hint="eastAsia"/>
          <w:color w:val="auto"/>
          <w:sz w:val="21"/>
          <w:szCs w:val="21"/>
          <w:highlight w:val="none"/>
        </w:rPr>
        <w:t>1）法人或者其他组织的营业执照等复印件加盖投标人公章，</w:t>
      </w:r>
      <w:r>
        <w:rPr>
          <w:rFonts w:hint="eastAsia"/>
          <w:color w:val="auto"/>
          <w:sz w:val="21"/>
          <w:szCs w:val="21"/>
          <w:highlight w:val="none"/>
          <w:lang w:eastAsia="zh-CN"/>
        </w:rPr>
        <w:t>自然人提供本人身份证</w:t>
      </w:r>
      <w:r>
        <w:rPr>
          <w:rFonts w:hint="eastAsia"/>
          <w:color w:val="auto"/>
          <w:sz w:val="21"/>
          <w:szCs w:val="21"/>
          <w:highlight w:val="none"/>
        </w:rPr>
        <w:t>；</w:t>
      </w:r>
    </w:p>
    <w:p>
      <w:pPr>
        <w:pStyle w:val="20"/>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right="0" w:rightChars="0" w:firstLine="420" w:firstLineChars="200"/>
        <w:textAlignment w:val="auto"/>
        <w:rPr>
          <w:rFonts w:hint="eastAsia"/>
          <w:color w:val="auto"/>
          <w:sz w:val="21"/>
          <w:szCs w:val="21"/>
          <w:highlight w:val="none"/>
        </w:rPr>
      </w:pPr>
      <w:r>
        <w:rPr>
          <w:rFonts w:hint="eastAsia"/>
          <w:color w:val="auto"/>
          <w:sz w:val="21"/>
          <w:szCs w:val="21"/>
          <w:highlight w:val="none"/>
        </w:rPr>
        <w:t>2）</w:t>
      </w:r>
      <w:r>
        <w:rPr>
          <w:rFonts w:hint="eastAsia"/>
          <w:color w:val="auto"/>
          <w:sz w:val="21"/>
          <w:szCs w:val="21"/>
          <w:highlight w:val="none"/>
          <w:lang w:eastAsia="zh-CN"/>
        </w:rPr>
        <w:t>提供法定代表人授权委托书</w:t>
      </w:r>
      <w:r>
        <w:rPr>
          <w:rFonts w:hint="eastAsia"/>
          <w:color w:val="auto"/>
          <w:sz w:val="21"/>
          <w:szCs w:val="21"/>
          <w:highlight w:val="none"/>
        </w:rPr>
        <w:t>并附</w:t>
      </w:r>
      <w:r>
        <w:rPr>
          <w:rFonts w:hint="eastAsia"/>
          <w:color w:val="auto"/>
          <w:sz w:val="21"/>
          <w:szCs w:val="21"/>
          <w:highlight w:val="none"/>
          <w:lang w:val="en-US" w:eastAsia="zh-CN"/>
        </w:rPr>
        <w:t>法定代表人</w:t>
      </w:r>
      <w:r>
        <w:rPr>
          <w:rFonts w:hint="eastAsia"/>
          <w:color w:val="auto"/>
          <w:sz w:val="21"/>
          <w:szCs w:val="21"/>
          <w:highlight w:val="none"/>
        </w:rPr>
        <w:t>及授权人代表身份证复印件并依照规定格式签署和盖章，法定代表人参加投标的提供身份证复印件；</w:t>
      </w:r>
    </w:p>
    <w:p>
      <w:pPr>
        <w:pStyle w:val="20"/>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right="0" w:rightChars="0" w:firstLine="420" w:firstLineChars="200"/>
        <w:textAlignment w:val="auto"/>
        <w:rPr>
          <w:rFonts w:hint="eastAsia" w:eastAsia="宋体"/>
          <w:color w:val="auto"/>
          <w:sz w:val="21"/>
          <w:szCs w:val="21"/>
          <w:highlight w:val="none"/>
          <w:lang w:eastAsia="zh-CN"/>
        </w:rPr>
      </w:pPr>
      <w:r>
        <w:rPr>
          <w:rFonts w:hint="eastAsia"/>
          <w:color w:val="auto"/>
          <w:sz w:val="21"/>
          <w:szCs w:val="21"/>
          <w:highlight w:val="none"/>
        </w:rPr>
        <w:t>3）</w:t>
      </w:r>
      <w:r>
        <w:rPr>
          <w:rFonts w:hint="eastAsia"/>
          <w:color w:val="auto"/>
          <w:sz w:val="21"/>
          <w:szCs w:val="21"/>
          <w:highlight w:val="none"/>
          <w:lang w:eastAsia="zh-CN"/>
        </w:rPr>
        <w:t>提供2022年度经审计的财务报告，或投标截止时间前6个月内任意时段的资产负债表，或投标截止时间前6个月内任意时间由基本开户银行出具的资信证明，或财政部门认可的政府采购专业担保机构出具的投标担保函。（以上四种形式的资料提供任何一种即可）</w:t>
      </w:r>
    </w:p>
    <w:p>
      <w:pPr>
        <w:pStyle w:val="20"/>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right="0" w:rightChars="0" w:firstLine="420" w:firstLineChars="200"/>
        <w:textAlignment w:val="auto"/>
        <w:rPr>
          <w:rFonts w:hint="eastAsia"/>
          <w:color w:val="auto"/>
          <w:sz w:val="21"/>
          <w:szCs w:val="21"/>
          <w:highlight w:val="none"/>
        </w:rPr>
      </w:pPr>
      <w:r>
        <w:rPr>
          <w:rFonts w:hint="eastAsia"/>
          <w:color w:val="auto"/>
          <w:sz w:val="21"/>
          <w:szCs w:val="21"/>
          <w:highlight w:val="none"/>
        </w:rPr>
        <w:t>4）</w:t>
      </w:r>
      <w:r>
        <w:rPr>
          <w:rFonts w:hint="eastAsia"/>
          <w:color w:val="auto"/>
          <w:sz w:val="21"/>
          <w:szCs w:val="21"/>
          <w:highlight w:val="none"/>
          <w:lang w:eastAsia="zh-CN"/>
        </w:rPr>
        <w:t>提供自投标截止时间前6个月内已缴纳任意时段完税凭证或税务机关开具的完税证明（任意税种）；依法免税的应提供相关文件证明</w:t>
      </w:r>
      <w:r>
        <w:rPr>
          <w:rFonts w:hint="eastAsia"/>
          <w:color w:val="auto"/>
          <w:sz w:val="21"/>
          <w:szCs w:val="21"/>
          <w:highlight w:val="none"/>
        </w:rPr>
        <w:t>；</w:t>
      </w:r>
    </w:p>
    <w:p>
      <w:pPr>
        <w:pStyle w:val="20"/>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right="0" w:rightChars="0" w:firstLine="420" w:firstLineChars="200"/>
        <w:textAlignment w:val="auto"/>
        <w:rPr>
          <w:rFonts w:hint="eastAsia"/>
          <w:color w:val="auto"/>
          <w:sz w:val="21"/>
          <w:szCs w:val="21"/>
          <w:highlight w:val="none"/>
          <w:lang w:eastAsia="zh-CN"/>
        </w:rPr>
      </w:pPr>
      <w:r>
        <w:rPr>
          <w:rFonts w:hint="eastAsia"/>
          <w:color w:val="auto"/>
          <w:sz w:val="21"/>
          <w:szCs w:val="21"/>
          <w:highlight w:val="none"/>
        </w:rPr>
        <w:t>5）</w:t>
      </w:r>
      <w:r>
        <w:rPr>
          <w:rFonts w:hint="eastAsia"/>
          <w:color w:val="auto"/>
          <w:sz w:val="21"/>
          <w:szCs w:val="21"/>
          <w:highlight w:val="none"/>
          <w:lang w:eastAsia="zh-CN"/>
        </w:rPr>
        <w:t>提供自投标截止时间前6个月内已缴存的任意时段的社会保障资金缴存单据或社保机构开具的社会保险参保缴费情况证明；依法不需要缴纳社会保障资金的应提供相关文件证明；</w:t>
      </w:r>
    </w:p>
    <w:p>
      <w:pPr>
        <w:pStyle w:val="20"/>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right="0" w:rightChars="0" w:firstLine="420" w:firstLineChars="200"/>
        <w:textAlignment w:val="auto"/>
        <w:rPr>
          <w:rFonts w:hint="eastAsia"/>
          <w:color w:val="auto"/>
          <w:sz w:val="21"/>
          <w:szCs w:val="21"/>
          <w:highlight w:val="none"/>
        </w:rPr>
      </w:pPr>
      <w:r>
        <w:rPr>
          <w:rFonts w:hint="eastAsia"/>
          <w:color w:val="auto"/>
          <w:sz w:val="21"/>
          <w:szCs w:val="21"/>
          <w:highlight w:val="none"/>
        </w:rPr>
        <w:t>6）具备履行合同所必需的设备和专业技术能力的书面声明，格式自拟；</w:t>
      </w:r>
    </w:p>
    <w:p>
      <w:pPr>
        <w:pStyle w:val="20"/>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right="0" w:rightChars="0" w:firstLine="420" w:firstLineChars="200"/>
        <w:textAlignment w:val="auto"/>
        <w:rPr>
          <w:rFonts w:hint="eastAsia"/>
          <w:color w:val="auto"/>
          <w:sz w:val="21"/>
          <w:szCs w:val="21"/>
          <w:highlight w:val="none"/>
          <w:lang w:val="en-US" w:eastAsia="zh-CN"/>
        </w:rPr>
      </w:pPr>
      <w:r>
        <w:rPr>
          <w:rFonts w:hint="eastAsia"/>
          <w:color w:val="auto"/>
          <w:sz w:val="21"/>
          <w:szCs w:val="21"/>
          <w:highlight w:val="none"/>
          <w:lang w:val="en-US" w:eastAsia="zh-CN"/>
        </w:rPr>
        <w:t>7）参加政府采购活动前3年内在经营活动中没有重大违法记录的书面声明，格式自拟。</w:t>
      </w:r>
    </w:p>
    <w:p>
      <w:pPr>
        <w:spacing w:line="480" w:lineRule="auto"/>
        <w:rPr>
          <w:rFonts w:hint="eastAsia" w:ascii="宋体" w:hAnsi="宋体"/>
          <w:b/>
          <w:color w:val="auto"/>
          <w:sz w:val="32"/>
          <w:szCs w:val="32"/>
          <w:highlight w:val="none"/>
        </w:rPr>
      </w:pPr>
    </w:p>
    <w:p>
      <w:pPr>
        <w:spacing w:line="480" w:lineRule="auto"/>
        <w:rPr>
          <w:rFonts w:ascii="宋体" w:hAnsi="宋体"/>
          <w:b/>
          <w:color w:val="auto"/>
          <w:sz w:val="32"/>
          <w:szCs w:val="32"/>
          <w:highlight w:val="none"/>
        </w:rPr>
      </w:pPr>
      <w:r>
        <w:rPr>
          <w:rFonts w:hint="eastAsia" w:ascii="宋体" w:hAnsi="宋体"/>
          <w:b/>
          <w:color w:val="auto"/>
          <w:sz w:val="32"/>
          <w:szCs w:val="32"/>
          <w:highlight w:val="none"/>
        </w:rPr>
        <w:br w:type="page"/>
      </w:r>
      <w:r>
        <w:rPr>
          <w:rFonts w:hint="eastAsia" w:ascii="宋体" w:hAnsi="宋体"/>
          <w:bCs/>
          <w:color w:val="auto"/>
          <w:szCs w:val="21"/>
          <w:highlight w:val="none"/>
        </w:rPr>
        <w:t>格式1：</w:t>
      </w:r>
    </w:p>
    <w:p>
      <w:pPr>
        <w:bidi w:val="0"/>
        <w:jc w:val="center"/>
        <w:rPr>
          <w:b/>
          <w:bCs/>
          <w:color w:val="auto"/>
          <w:sz w:val="36"/>
          <w:szCs w:val="44"/>
          <w:highlight w:val="none"/>
        </w:rPr>
      </w:pPr>
      <w:bookmarkStart w:id="167" w:name="_Toc12153"/>
      <w:bookmarkStart w:id="168" w:name="_Toc21532"/>
      <w:bookmarkStart w:id="169" w:name="_Toc8996"/>
      <w:bookmarkStart w:id="170" w:name="_Toc1013"/>
      <w:r>
        <w:rPr>
          <w:rFonts w:hint="eastAsia"/>
          <w:b/>
          <w:bCs/>
          <w:color w:val="auto"/>
          <w:sz w:val="36"/>
          <w:szCs w:val="44"/>
          <w:highlight w:val="none"/>
        </w:rPr>
        <w:t>法定代表人身份证明及法定代表人授权委托书</w:t>
      </w:r>
      <w:bookmarkEnd w:id="167"/>
      <w:bookmarkEnd w:id="168"/>
      <w:bookmarkEnd w:id="169"/>
      <w:bookmarkEnd w:id="170"/>
    </w:p>
    <w:p>
      <w:pPr>
        <w:bidi w:val="0"/>
        <w:jc w:val="center"/>
        <w:rPr>
          <w:rFonts w:hint="eastAsia"/>
          <w:b/>
          <w:bCs/>
          <w:color w:val="auto"/>
          <w:sz w:val="36"/>
          <w:szCs w:val="44"/>
          <w:highlight w:val="none"/>
          <w:lang w:val="en-US" w:eastAsia="zh-CN"/>
        </w:rPr>
      </w:pPr>
      <w:bookmarkStart w:id="171" w:name="_Toc32184"/>
      <w:bookmarkStart w:id="172" w:name="_Toc316921998"/>
      <w:bookmarkStart w:id="173" w:name="_Toc32642"/>
      <w:bookmarkStart w:id="174" w:name="_Toc17138"/>
      <w:bookmarkStart w:id="175" w:name="_Toc511920562"/>
      <w:bookmarkStart w:id="176" w:name="_Toc24002"/>
      <w:bookmarkStart w:id="177" w:name="_Toc31411"/>
      <w:r>
        <w:rPr>
          <w:rFonts w:hint="eastAsia"/>
          <w:b/>
          <w:bCs/>
          <w:color w:val="auto"/>
          <w:sz w:val="36"/>
          <w:szCs w:val="44"/>
          <w:highlight w:val="none"/>
          <w:lang w:val="en-US" w:eastAsia="zh-CN"/>
        </w:rPr>
        <w:t>（一）法定代表人身份证明</w:t>
      </w:r>
      <w:bookmarkEnd w:id="171"/>
      <w:bookmarkEnd w:id="172"/>
      <w:bookmarkEnd w:id="173"/>
      <w:bookmarkEnd w:id="174"/>
      <w:bookmarkEnd w:id="175"/>
      <w:bookmarkEnd w:id="176"/>
      <w:bookmarkEnd w:id="177"/>
    </w:p>
    <w:p>
      <w:pPr>
        <w:bidi w:val="0"/>
        <w:jc w:val="center"/>
        <w:rPr>
          <w:b/>
          <w:bCs/>
          <w:color w:val="auto"/>
          <w:sz w:val="36"/>
          <w:szCs w:val="44"/>
          <w:highlight w:val="none"/>
        </w:rPr>
      </w:pPr>
    </w:p>
    <w:p>
      <w:pPr>
        <w:spacing w:line="360" w:lineRule="auto"/>
        <w:ind w:firstLine="420" w:firstLineChars="200"/>
        <w:rPr>
          <w:rFonts w:ascii="宋体" w:hAnsi="宋体"/>
          <w:color w:val="auto"/>
          <w:szCs w:val="21"/>
          <w:highlight w:val="none"/>
        </w:rPr>
      </w:pPr>
      <w:bookmarkStart w:id="178" w:name="_Toc316921999"/>
      <w:r>
        <w:rPr>
          <w:rFonts w:hint="eastAsia" w:ascii="宋体" w:hAnsi="宋体"/>
          <w:color w:val="auto"/>
          <w:szCs w:val="21"/>
          <w:highlight w:val="none"/>
        </w:rPr>
        <w:t>投标人名称：</w:t>
      </w:r>
      <w:r>
        <w:rPr>
          <w:rFonts w:hint="eastAsia" w:ascii="宋体" w:hAnsi="宋体"/>
          <w:color w:val="auto"/>
          <w:szCs w:val="21"/>
          <w:highlight w:val="none"/>
          <w:u w:val="single"/>
        </w:rPr>
        <w:t xml:space="preserve">                                </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单位性质：</w:t>
      </w:r>
      <w:r>
        <w:rPr>
          <w:rFonts w:hint="eastAsia" w:ascii="宋体" w:hAnsi="宋体"/>
          <w:color w:val="auto"/>
          <w:szCs w:val="21"/>
          <w:highlight w:val="none"/>
          <w:u w:val="single"/>
        </w:rPr>
        <w:t xml:space="preserve">                                  </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地址：</w:t>
      </w:r>
      <w:r>
        <w:rPr>
          <w:rFonts w:hint="eastAsia" w:ascii="宋体" w:hAnsi="宋体"/>
          <w:color w:val="auto"/>
          <w:szCs w:val="21"/>
          <w:highlight w:val="none"/>
          <w:u w:val="single"/>
        </w:rPr>
        <w:t xml:space="preserve">                                      </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成立时间：</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经营期限：</w:t>
      </w:r>
      <w:r>
        <w:rPr>
          <w:rFonts w:hint="eastAsia" w:ascii="宋体" w:hAnsi="宋体"/>
          <w:color w:val="auto"/>
          <w:szCs w:val="21"/>
          <w:highlight w:val="none"/>
          <w:u w:val="single"/>
        </w:rPr>
        <w:t xml:space="preserve">                                  </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姓名：</w:t>
      </w:r>
      <w:r>
        <w:rPr>
          <w:rFonts w:hint="eastAsia" w:ascii="宋体" w:hAnsi="宋体"/>
          <w:color w:val="auto"/>
          <w:szCs w:val="21"/>
          <w:highlight w:val="none"/>
          <w:u w:val="single"/>
        </w:rPr>
        <w:t xml:space="preserve">      </w:t>
      </w:r>
      <w:r>
        <w:rPr>
          <w:rFonts w:hint="eastAsia" w:ascii="宋体" w:hAnsi="宋体"/>
          <w:color w:val="auto"/>
          <w:szCs w:val="21"/>
          <w:highlight w:val="none"/>
        </w:rPr>
        <w:t>性别：</w:t>
      </w:r>
      <w:r>
        <w:rPr>
          <w:rFonts w:hint="eastAsia" w:ascii="宋体" w:hAnsi="宋体"/>
          <w:color w:val="auto"/>
          <w:szCs w:val="21"/>
          <w:highlight w:val="none"/>
          <w:u w:val="single"/>
        </w:rPr>
        <w:t xml:space="preserve">      </w:t>
      </w:r>
      <w:r>
        <w:rPr>
          <w:rFonts w:hint="eastAsia" w:ascii="宋体" w:hAnsi="宋体"/>
          <w:color w:val="auto"/>
          <w:szCs w:val="21"/>
          <w:highlight w:val="none"/>
        </w:rPr>
        <w:t>年龄：</w:t>
      </w:r>
      <w:r>
        <w:rPr>
          <w:rFonts w:hint="eastAsia" w:ascii="宋体" w:hAnsi="宋体"/>
          <w:color w:val="auto"/>
          <w:szCs w:val="21"/>
          <w:highlight w:val="none"/>
          <w:u w:val="single"/>
        </w:rPr>
        <w:t xml:space="preserve">      </w:t>
      </w:r>
      <w:r>
        <w:rPr>
          <w:rFonts w:hint="eastAsia" w:ascii="宋体" w:hAnsi="宋体"/>
          <w:color w:val="auto"/>
          <w:szCs w:val="21"/>
          <w:highlight w:val="none"/>
        </w:rPr>
        <w:t>职务：</w:t>
      </w:r>
      <w:r>
        <w:rPr>
          <w:rFonts w:hint="eastAsia" w:ascii="宋体" w:hAnsi="宋体"/>
          <w:color w:val="auto"/>
          <w:szCs w:val="21"/>
          <w:highlight w:val="none"/>
          <w:u w:val="single"/>
        </w:rPr>
        <w:t xml:space="preserve">       </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系</w:t>
      </w:r>
      <w:r>
        <w:rPr>
          <w:rFonts w:hint="eastAsia" w:ascii="宋体" w:hAnsi="宋体"/>
          <w:color w:val="auto"/>
          <w:szCs w:val="21"/>
          <w:highlight w:val="none"/>
          <w:u w:val="single"/>
        </w:rPr>
        <w:t xml:space="preserve">                                </w:t>
      </w:r>
      <w:r>
        <w:rPr>
          <w:rFonts w:hint="eastAsia" w:ascii="宋体" w:hAnsi="宋体"/>
          <w:color w:val="auto"/>
          <w:szCs w:val="21"/>
          <w:highlight w:val="none"/>
        </w:rPr>
        <w:t>（投标人名称）的法定代表人。</w:t>
      </w:r>
    </w:p>
    <w:p>
      <w:pPr>
        <w:spacing w:line="360" w:lineRule="auto"/>
        <w:ind w:firstLine="840" w:firstLineChars="400"/>
        <w:rPr>
          <w:rFonts w:ascii="宋体" w:hAnsi="宋体"/>
          <w:color w:val="auto"/>
          <w:szCs w:val="21"/>
          <w:highlight w:val="none"/>
        </w:rPr>
      </w:pPr>
      <w:r>
        <w:rPr>
          <w:rFonts w:hint="eastAsia" w:ascii="宋体" w:hAnsi="宋体"/>
          <w:color w:val="auto"/>
          <w:szCs w:val="21"/>
          <w:highlight w:val="none"/>
        </w:rPr>
        <w:t>特此证明。</w:t>
      </w:r>
    </w:p>
    <w:p>
      <w:pPr>
        <w:pStyle w:val="28"/>
        <w:rPr>
          <w:color w:val="auto"/>
          <w:szCs w:val="21"/>
          <w:highlight w:val="none"/>
        </w:rPr>
      </w:pPr>
    </w:p>
    <w:tbl>
      <w:tblPr>
        <w:tblStyle w:val="23"/>
        <w:tblW w:w="8664" w:type="dxa"/>
        <w:tblInd w:w="18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32"/>
        <w:gridCol w:w="43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3" w:hRule="atLeast"/>
        </w:trPr>
        <w:tc>
          <w:tcPr>
            <w:tcW w:w="4332" w:type="dxa"/>
          </w:tcPr>
          <w:p>
            <w:pPr>
              <w:spacing w:line="480" w:lineRule="auto"/>
              <w:jc w:val="center"/>
              <w:rPr>
                <w:rFonts w:ascii="宋体" w:hAnsi="宋体" w:cs="宋体"/>
                <w:color w:val="auto"/>
                <w:szCs w:val="21"/>
                <w:highlight w:val="none"/>
              </w:rPr>
            </w:pPr>
          </w:p>
          <w:p>
            <w:pPr>
              <w:spacing w:line="480" w:lineRule="auto"/>
              <w:jc w:val="center"/>
              <w:rPr>
                <w:rFonts w:ascii="宋体" w:hAnsi="宋体" w:cs="宋体"/>
                <w:color w:val="auto"/>
                <w:szCs w:val="21"/>
                <w:highlight w:val="none"/>
              </w:rPr>
            </w:pPr>
          </w:p>
          <w:p>
            <w:pPr>
              <w:spacing w:line="480" w:lineRule="auto"/>
              <w:jc w:val="center"/>
              <w:rPr>
                <w:rFonts w:ascii="宋体" w:hAnsi="宋体" w:cs="宋体"/>
                <w:color w:val="auto"/>
                <w:szCs w:val="21"/>
                <w:highlight w:val="none"/>
              </w:rPr>
            </w:pPr>
            <w:r>
              <w:rPr>
                <w:rFonts w:hint="eastAsia" w:ascii="宋体" w:hAnsi="宋体"/>
                <w:color w:val="auto"/>
                <w:szCs w:val="21"/>
                <w:highlight w:val="none"/>
                <w:lang w:eastAsia="zh-CN"/>
              </w:rPr>
              <w:t>法定代表人（负责人）</w:t>
            </w:r>
            <w:r>
              <w:rPr>
                <w:rFonts w:hint="eastAsia" w:ascii="宋体" w:hAnsi="宋体"/>
                <w:color w:val="auto"/>
                <w:szCs w:val="21"/>
                <w:highlight w:val="none"/>
              </w:rPr>
              <w:t>身份证人像面</w:t>
            </w:r>
          </w:p>
          <w:p>
            <w:pPr>
              <w:spacing w:line="480" w:lineRule="auto"/>
              <w:jc w:val="center"/>
              <w:rPr>
                <w:rFonts w:ascii="宋体" w:hAnsi="宋体" w:cs="宋体"/>
                <w:color w:val="auto"/>
                <w:szCs w:val="21"/>
                <w:highlight w:val="none"/>
              </w:rPr>
            </w:pPr>
          </w:p>
        </w:tc>
        <w:tc>
          <w:tcPr>
            <w:tcW w:w="4332" w:type="dxa"/>
          </w:tcPr>
          <w:p>
            <w:pPr>
              <w:spacing w:line="480" w:lineRule="auto"/>
              <w:jc w:val="center"/>
              <w:rPr>
                <w:rFonts w:ascii="宋体" w:hAnsi="宋体" w:cs="宋体"/>
                <w:color w:val="auto"/>
                <w:szCs w:val="21"/>
                <w:highlight w:val="none"/>
              </w:rPr>
            </w:pPr>
          </w:p>
          <w:p>
            <w:pPr>
              <w:spacing w:line="480" w:lineRule="auto"/>
              <w:jc w:val="center"/>
              <w:rPr>
                <w:rFonts w:ascii="宋体" w:hAnsi="宋体" w:cs="宋体"/>
                <w:color w:val="auto"/>
                <w:szCs w:val="21"/>
                <w:highlight w:val="none"/>
              </w:rPr>
            </w:pPr>
          </w:p>
          <w:p>
            <w:pPr>
              <w:spacing w:line="480" w:lineRule="auto"/>
              <w:jc w:val="center"/>
              <w:rPr>
                <w:rFonts w:ascii="宋体" w:hAnsi="宋体" w:cs="宋体"/>
                <w:color w:val="auto"/>
                <w:szCs w:val="21"/>
                <w:highlight w:val="none"/>
              </w:rPr>
            </w:pPr>
            <w:r>
              <w:rPr>
                <w:rFonts w:hint="eastAsia" w:ascii="宋体" w:hAnsi="宋体"/>
                <w:color w:val="auto"/>
                <w:szCs w:val="21"/>
                <w:highlight w:val="none"/>
                <w:lang w:eastAsia="zh-CN"/>
              </w:rPr>
              <w:t>法定代表人（负责人）</w:t>
            </w:r>
            <w:r>
              <w:rPr>
                <w:rFonts w:hint="eastAsia" w:ascii="宋体" w:hAnsi="宋体"/>
                <w:color w:val="auto"/>
                <w:szCs w:val="21"/>
                <w:highlight w:val="none"/>
              </w:rPr>
              <w:t>身份证国徽面</w:t>
            </w:r>
          </w:p>
        </w:tc>
      </w:tr>
    </w:tbl>
    <w:p>
      <w:pPr>
        <w:spacing w:line="360" w:lineRule="auto"/>
        <w:rPr>
          <w:rFonts w:ascii="宋体" w:hAnsi="宋体"/>
          <w:color w:val="auto"/>
          <w:szCs w:val="21"/>
          <w:highlight w:val="none"/>
        </w:rPr>
      </w:pPr>
    </w:p>
    <w:p>
      <w:pPr>
        <w:spacing w:line="360" w:lineRule="auto"/>
        <w:rPr>
          <w:rFonts w:ascii="宋体" w:hAnsi="宋体"/>
          <w:color w:val="auto"/>
          <w:szCs w:val="21"/>
          <w:highlight w:val="none"/>
        </w:rPr>
      </w:pPr>
    </w:p>
    <w:p>
      <w:pPr>
        <w:spacing w:line="360" w:lineRule="auto"/>
        <w:rPr>
          <w:rFonts w:ascii="宋体" w:hAnsi="宋体"/>
          <w:color w:val="auto"/>
          <w:szCs w:val="21"/>
          <w:highlight w:val="none"/>
        </w:rPr>
      </w:pPr>
    </w:p>
    <w:p>
      <w:pPr>
        <w:spacing w:line="360" w:lineRule="auto"/>
        <w:jc w:val="right"/>
        <w:rPr>
          <w:rFonts w:ascii="宋体" w:hAnsi="宋体"/>
          <w:color w:val="auto"/>
          <w:szCs w:val="21"/>
          <w:highlight w:val="none"/>
        </w:rPr>
      </w:pPr>
      <w:r>
        <w:rPr>
          <w:rFonts w:hint="eastAsia" w:ascii="宋体" w:hAnsi="宋体"/>
          <w:color w:val="auto"/>
          <w:szCs w:val="21"/>
          <w:highlight w:val="none"/>
        </w:rPr>
        <w:t>投标人：</w:t>
      </w:r>
      <w:r>
        <w:rPr>
          <w:rFonts w:hint="eastAsia" w:ascii="宋体" w:hAnsi="宋体"/>
          <w:color w:val="auto"/>
          <w:szCs w:val="21"/>
          <w:highlight w:val="none"/>
          <w:u w:val="single"/>
        </w:rPr>
        <w:t xml:space="preserve">                          </w:t>
      </w:r>
      <w:r>
        <w:rPr>
          <w:rFonts w:hint="eastAsia" w:ascii="宋体" w:hAnsi="宋体"/>
          <w:color w:val="auto"/>
          <w:szCs w:val="21"/>
          <w:highlight w:val="none"/>
        </w:rPr>
        <w:t>（盖单位章）</w:t>
      </w:r>
    </w:p>
    <w:p>
      <w:pPr>
        <w:spacing w:line="360" w:lineRule="auto"/>
        <w:rPr>
          <w:rFonts w:ascii="宋体" w:hAnsi="宋体"/>
          <w:color w:val="auto"/>
          <w:szCs w:val="21"/>
          <w:highlight w:val="none"/>
          <w:u w:val="single"/>
        </w:rPr>
      </w:pPr>
    </w:p>
    <w:p>
      <w:pPr>
        <w:spacing w:line="480" w:lineRule="auto"/>
        <w:jc w:val="right"/>
        <w:rPr>
          <w:rFonts w:ascii="宋体" w:hAnsi="宋体" w:cs="宋体"/>
          <w:color w:val="auto"/>
          <w:szCs w:val="21"/>
          <w:highlight w:val="none"/>
          <w:lang w:bidi="ar"/>
        </w:rPr>
      </w:pPr>
      <w:r>
        <w:rPr>
          <w:rFonts w:hint="eastAsia" w:ascii="宋体" w:hAnsi="宋体"/>
          <w:color w:val="auto"/>
          <w:szCs w:val="21"/>
          <w:highlight w:val="none"/>
        </w:rPr>
        <w:tab/>
      </w:r>
      <w:r>
        <w:rPr>
          <w:rFonts w:hint="eastAsia" w:ascii="宋体" w:hAnsi="宋体"/>
          <w:color w:val="auto"/>
          <w:szCs w:val="21"/>
          <w:highlight w:val="none"/>
        </w:rPr>
        <w:t xml:space="preserve">                          </w:t>
      </w:r>
      <w:bookmarkStart w:id="179" w:name="_Toc26969"/>
      <w:bookmarkStart w:id="180" w:name="_Toc511920563"/>
      <w:r>
        <w:rPr>
          <w:rFonts w:hint="eastAsia" w:ascii="宋体" w:hAnsi="宋体" w:cs="宋体"/>
          <w:color w:val="auto"/>
          <w:szCs w:val="21"/>
          <w:highlight w:val="none"/>
          <w:u w:val="single"/>
          <w:lang w:bidi="ar"/>
        </w:rPr>
        <w:t xml:space="preserve">      </w:t>
      </w:r>
      <w:r>
        <w:rPr>
          <w:rFonts w:hint="eastAsia" w:ascii="宋体" w:hAnsi="宋体" w:cs="宋体"/>
          <w:color w:val="auto"/>
          <w:szCs w:val="21"/>
          <w:highlight w:val="none"/>
          <w:lang w:bidi="ar"/>
        </w:rPr>
        <w:t>年</w:t>
      </w:r>
      <w:r>
        <w:rPr>
          <w:rFonts w:hint="eastAsia" w:ascii="宋体" w:hAnsi="宋体" w:cs="宋体"/>
          <w:color w:val="auto"/>
          <w:szCs w:val="21"/>
          <w:highlight w:val="none"/>
          <w:u w:val="single"/>
          <w:lang w:bidi="ar"/>
        </w:rPr>
        <w:t xml:space="preserve">    </w:t>
      </w:r>
      <w:r>
        <w:rPr>
          <w:rFonts w:hint="eastAsia" w:ascii="宋体" w:hAnsi="宋体" w:cs="宋体"/>
          <w:color w:val="auto"/>
          <w:szCs w:val="21"/>
          <w:highlight w:val="none"/>
          <w:lang w:bidi="ar"/>
        </w:rPr>
        <w:t>月</w:t>
      </w:r>
      <w:r>
        <w:rPr>
          <w:rFonts w:hint="eastAsia" w:ascii="宋体" w:hAnsi="宋体" w:cs="宋体"/>
          <w:color w:val="auto"/>
          <w:szCs w:val="21"/>
          <w:highlight w:val="none"/>
          <w:u w:val="single"/>
          <w:lang w:bidi="ar"/>
        </w:rPr>
        <w:t xml:space="preserve">    </w:t>
      </w:r>
      <w:r>
        <w:rPr>
          <w:rFonts w:hint="eastAsia" w:ascii="宋体" w:hAnsi="宋体" w:cs="宋体"/>
          <w:color w:val="auto"/>
          <w:szCs w:val="21"/>
          <w:highlight w:val="none"/>
          <w:lang w:bidi="ar"/>
        </w:rPr>
        <w:t>日</w:t>
      </w:r>
    </w:p>
    <w:p>
      <w:pPr>
        <w:rPr>
          <w:rFonts w:hint="eastAsia" w:ascii="宋体" w:hAnsi="宋体" w:cs="Times New Roman"/>
          <w:b/>
          <w:color w:val="auto"/>
          <w:sz w:val="30"/>
          <w:szCs w:val="30"/>
          <w:highlight w:val="none"/>
          <w:lang w:val="en-US" w:eastAsia="zh-CN"/>
        </w:rPr>
      </w:pPr>
      <w:bookmarkStart w:id="181" w:name="_Toc24246"/>
      <w:bookmarkStart w:id="182" w:name="_Toc20954"/>
      <w:bookmarkStart w:id="183" w:name="_Toc18754"/>
      <w:bookmarkStart w:id="184" w:name="_Toc9962"/>
      <w:r>
        <w:rPr>
          <w:rFonts w:hint="eastAsia" w:ascii="宋体" w:hAnsi="宋体" w:cs="Times New Roman"/>
          <w:b/>
          <w:color w:val="auto"/>
          <w:sz w:val="30"/>
          <w:szCs w:val="30"/>
          <w:highlight w:val="none"/>
          <w:lang w:val="en-US" w:eastAsia="zh-CN"/>
        </w:rPr>
        <w:br w:type="page"/>
      </w:r>
    </w:p>
    <w:p>
      <w:pPr>
        <w:jc w:val="center"/>
        <w:rPr>
          <w:rFonts w:hint="eastAsia" w:ascii="宋体" w:hAnsi="宋体" w:cs="Times New Roman"/>
          <w:b/>
          <w:color w:val="auto"/>
          <w:sz w:val="30"/>
          <w:szCs w:val="30"/>
          <w:highlight w:val="none"/>
          <w:lang w:val="en-US" w:eastAsia="zh-CN"/>
        </w:rPr>
      </w:pPr>
      <w:r>
        <w:rPr>
          <w:rFonts w:hint="eastAsia" w:ascii="宋体" w:hAnsi="宋体" w:cs="Times New Roman"/>
          <w:b/>
          <w:color w:val="auto"/>
          <w:sz w:val="30"/>
          <w:szCs w:val="30"/>
          <w:highlight w:val="none"/>
          <w:lang w:val="en-US" w:eastAsia="zh-CN"/>
        </w:rPr>
        <w:t>（二）法定代表人授权委托书</w:t>
      </w:r>
      <w:bookmarkEnd w:id="178"/>
      <w:bookmarkEnd w:id="179"/>
      <w:bookmarkEnd w:id="180"/>
      <w:bookmarkEnd w:id="181"/>
      <w:bookmarkEnd w:id="182"/>
      <w:bookmarkEnd w:id="183"/>
      <w:bookmarkEnd w:id="184"/>
    </w:p>
    <w:p>
      <w:pPr>
        <w:rPr>
          <w:color w:val="auto"/>
          <w:highlight w:val="none"/>
        </w:rPr>
      </w:pP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本人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r>
        <w:rPr>
          <w:rFonts w:hint="eastAsia" w:ascii="宋体" w:hAnsi="宋体" w:cs="宋体"/>
          <w:color w:val="auto"/>
          <w:szCs w:val="21"/>
          <w:highlight w:val="none"/>
          <w:lang w:eastAsia="zh-CN"/>
        </w:rPr>
        <w:t>法定代表人（负责人）</w:t>
      </w:r>
      <w:r>
        <w:rPr>
          <w:rFonts w:hint="eastAsia" w:ascii="宋体" w:hAnsi="宋体" w:cs="宋体"/>
          <w:color w:val="auto"/>
          <w:szCs w:val="21"/>
          <w:highlight w:val="none"/>
        </w:rPr>
        <w:t>姓名）系</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（投标人名称）的</w:t>
      </w:r>
      <w:r>
        <w:rPr>
          <w:rFonts w:hint="eastAsia" w:ascii="宋体" w:hAnsi="宋体" w:cs="宋体"/>
          <w:color w:val="auto"/>
          <w:szCs w:val="21"/>
          <w:highlight w:val="none"/>
          <w:lang w:eastAsia="zh-CN"/>
        </w:rPr>
        <w:t>法定代表人（负责人）</w:t>
      </w:r>
      <w:r>
        <w:rPr>
          <w:rFonts w:hint="eastAsia" w:ascii="宋体" w:hAnsi="宋体" w:cs="宋体"/>
          <w:color w:val="auto"/>
          <w:szCs w:val="21"/>
          <w:highlight w:val="none"/>
        </w:rPr>
        <w:t>，现委托</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（被授权人姓名）为我方代理人。代理人根据授权，以我方名义签署、澄清、说明、补正、递交、撤回、修改</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lang w:eastAsia="zh-CN"/>
        </w:rPr>
        <w:t>（项目名称、标包名称）</w:t>
      </w:r>
      <w:r>
        <w:rPr>
          <w:rFonts w:hint="eastAsia" w:ascii="宋体" w:hAnsi="宋体"/>
          <w:color w:val="auto"/>
          <w:szCs w:val="21"/>
          <w:highlight w:val="none"/>
        </w:rPr>
        <w:t>的投标</w:t>
      </w:r>
      <w:r>
        <w:rPr>
          <w:rFonts w:hint="eastAsia" w:ascii="宋体" w:hAnsi="宋体" w:cs="宋体"/>
          <w:color w:val="auto"/>
          <w:szCs w:val="21"/>
          <w:highlight w:val="none"/>
        </w:rPr>
        <w:t>文件，其法律后果由我方承担。</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委托期限：</w:t>
      </w:r>
      <w:r>
        <w:rPr>
          <w:rFonts w:hint="eastAsia" w:ascii="宋体" w:hAnsi="宋体" w:cs="仿宋_GB2312"/>
          <w:color w:val="auto"/>
          <w:kern w:val="0"/>
          <w:szCs w:val="21"/>
          <w:highlight w:val="none"/>
        </w:rPr>
        <w:t>90天（从提交投标文件截止日起计算）</w:t>
      </w:r>
      <w:r>
        <w:rPr>
          <w:rFonts w:hint="eastAsia" w:ascii="宋体" w:hAnsi="宋体" w:cs="宋体"/>
          <w:color w:val="auto"/>
          <w:szCs w:val="21"/>
          <w:highlight w:val="none"/>
        </w:rPr>
        <w:t>。</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代理人无转委托权。</w:t>
      </w:r>
    </w:p>
    <w:p>
      <w:pPr>
        <w:bidi w:val="0"/>
        <w:jc w:val="center"/>
        <w:rPr>
          <w:color w:val="auto"/>
          <w:highlight w:val="none"/>
        </w:rPr>
      </w:pPr>
      <w:bookmarkStart w:id="185" w:name="_Toc7109"/>
      <w:bookmarkStart w:id="186" w:name="_Toc13775"/>
      <w:bookmarkStart w:id="187" w:name="_Toc11421"/>
      <w:bookmarkStart w:id="188" w:name="_Toc19878"/>
      <w:r>
        <w:rPr>
          <w:rFonts w:hint="eastAsia"/>
          <w:color w:val="auto"/>
          <w:highlight w:val="none"/>
        </w:rPr>
        <w:t>身份证复印件粘贴处</w:t>
      </w:r>
      <w:bookmarkEnd w:id="185"/>
      <w:bookmarkEnd w:id="186"/>
      <w:bookmarkEnd w:id="187"/>
      <w:bookmarkEnd w:id="188"/>
    </w:p>
    <w:tbl>
      <w:tblPr>
        <w:tblStyle w:val="23"/>
        <w:tblW w:w="88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05"/>
        <w:gridCol w:w="44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7" w:hRule="atLeast"/>
          <w:jc w:val="center"/>
        </w:trPr>
        <w:tc>
          <w:tcPr>
            <w:tcW w:w="4405" w:type="dxa"/>
            <w:tcBorders>
              <w:top w:val="single" w:color="auto" w:sz="4" w:space="0"/>
              <w:left w:val="single" w:color="auto" w:sz="4" w:space="0"/>
              <w:bottom w:val="single" w:color="auto" w:sz="4" w:space="0"/>
              <w:right w:val="single" w:color="auto" w:sz="4" w:space="0"/>
            </w:tcBorders>
          </w:tcPr>
          <w:p>
            <w:pPr>
              <w:ind w:firstLine="420" w:firstLineChars="200"/>
              <w:rPr>
                <w:rFonts w:ascii="宋体" w:hAnsi="宋体"/>
                <w:color w:val="auto"/>
                <w:szCs w:val="21"/>
                <w:highlight w:val="none"/>
              </w:rPr>
            </w:pPr>
          </w:p>
          <w:p>
            <w:pPr>
              <w:ind w:firstLine="420" w:firstLineChars="200"/>
              <w:rPr>
                <w:rFonts w:ascii="宋体" w:hAnsi="宋体"/>
                <w:color w:val="auto"/>
                <w:szCs w:val="21"/>
                <w:highlight w:val="none"/>
              </w:rPr>
            </w:pPr>
          </w:p>
          <w:p>
            <w:pPr>
              <w:ind w:firstLine="420" w:firstLineChars="200"/>
              <w:rPr>
                <w:rFonts w:ascii="宋体" w:hAnsi="宋体"/>
                <w:color w:val="auto"/>
                <w:szCs w:val="21"/>
                <w:highlight w:val="none"/>
              </w:rPr>
            </w:pPr>
          </w:p>
          <w:p>
            <w:pPr>
              <w:ind w:firstLine="420" w:firstLineChars="200"/>
              <w:rPr>
                <w:rFonts w:ascii="宋体" w:hAnsi="宋体"/>
                <w:color w:val="auto"/>
                <w:szCs w:val="21"/>
                <w:highlight w:val="none"/>
              </w:rPr>
            </w:pPr>
          </w:p>
          <w:p>
            <w:pPr>
              <w:jc w:val="center"/>
              <w:rPr>
                <w:rFonts w:ascii="宋体" w:hAnsi="宋体" w:cs="宋体"/>
                <w:color w:val="auto"/>
                <w:szCs w:val="21"/>
                <w:highlight w:val="none"/>
              </w:rPr>
            </w:pPr>
            <w:r>
              <w:rPr>
                <w:rFonts w:hint="eastAsia" w:ascii="宋体" w:hAnsi="宋体"/>
                <w:color w:val="auto"/>
                <w:szCs w:val="21"/>
                <w:highlight w:val="none"/>
                <w:lang w:eastAsia="zh-CN"/>
              </w:rPr>
              <w:t>法定代表人（负责人）</w:t>
            </w:r>
            <w:r>
              <w:rPr>
                <w:rFonts w:hint="eastAsia" w:ascii="宋体" w:hAnsi="宋体"/>
                <w:color w:val="auto"/>
                <w:szCs w:val="21"/>
                <w:highlight w:val="none"/>
              </w:rPr>
              <w:t>身份证人像面</w:t>
            </w:r>
          </w:p>
        </w:tc>
        <w:tc>
          <w:tcPr>
            <w:tcW w:w="4430" w:type="dxa"/>
            <w:tcBorders>
              <w:top w:val="single" w:color="auto" w:sz="4" w:space="0"/>
              <w:left w:val="nil"/>
              <w:bottom w:val="single" w:color="auto" w:sz="4" w:space="0"/>
              <w:right w:val="single" w:color="auto" w:sz="4" w:space="0"/>
            </w:tcBorders>
          </w:tcPr>
          <w:p>
            <w:pPr>
              <w:ind w:firstLine="420" w:firstLineChars="200"/>
              <w:rPr>
                <w:rFonts w:ascii="宋体" w:hAnsi="宋体"/>
                <w:color w:val="auto"/>
                <w:szCs w:val="21"/>
                <w:highlight w:val="none"/>
              </w:rPr>
            </w:pPr>
          </w:p>
          <w:p>
            <w:pPr>
              <w:ind w:firstLine="420" w:firstLineChars="200"/>
              <w:rPr>
                <w:rFonts w:ascii="宋体" w:hAnsi="宋体"/>
                <w:color w:val="auto"/>
                <w:szCs w:val="21"/>
                <w:highlight w:val="none"/>
              </w:rPr>
            </w:pPr>
          </w:p>
          <w:p>
            <w:pPr>
              <w:ind w:firstLine="420" w:firstLineChars="200"/>
              <w:rPr>
                <w:rFonts w:ascii="宋体" w:hAnsi="宋体"/>
                <w:color w:val="auto"/>
                <w:szCs w:val="21"/>
                <w:highlight w:val="none"/>
              </w:rPr>
            </w:pPr>
          </w:p>
          <w:p>
            <w:pPr>
              <w:ind w:firstLine="420" w:firstLineChars="200"/>
              <w:rPr>
                <w:rFonts w:ascii="宋体" w:hAnsi="宋体"/>
                <w:color w:val="auto"/>
                <w:szCs w:val="21"/>
                <w:highlight w:val="none"/>
              </w:rPr>
            </w:pPr>
          </w:p>
          <w:p>
            <w:pPr>
              <w:jc w:val="center"/>
              <w:rPr>
                <w:rFonts w:ascii="宋体" w:hAnsi="宋体" w:cs="宋体"/>
                <w:color w:val="auto"/>
                <w:szCs w:val="21"/>
                <w:highlight w:val="none"/>
              </w:rPr>
            </w:pPr>
            <w:r>
              <w:rPr>
                <w:rFonts w:hint="eastAsia" w:ascii="宋体" w:hAnsi="宋体"/>
                <w:color w:val="auto"/>
                <w:szCs w:val="21"/>
                <w:highlight w:val="none"/>
                <w:lang w:eastAsia="zh-CN"/>
              </w:rPr>
              <w:t>法定代表人（负责人）</w:t>
            </w:r>
            <w:r>
              <w:rPr>
                <w:rFonts w:hint="eastAsia" w:ascii="宋体" w:hAnsi="宋体"/>
                <w:color w:val="auto"/>
                <w:szCs w:val="21"/>
                <w:highlight w:val="none"/>
              </w:rPr>
              <w:t>身份证国徽面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7" w:hRule="atLeast"/>
          <w:jc w:val="center"/>
        </w:trPr>
        <w:tc>
          <w:tcPr>
            <w:tcW w:w="4405" w:type="dxa"/>
            <w:tcBorders>
              <w:top w:val="single" w:color="auto" w:sz="4" w:space="0"/>
              <w:left w:val="single" w:color="auto" w:sz="4" w:space="0"/>
              <w:bottom w:val="single" w:color="auto" w:sz="4" w:space="0"/>
              <w:right w:val="single" w:color="auto" w:sz="4" w:space="0"/>
            </w:tcBorders>
          </w:tcPr>
          <w:p>
            <w:pPr>
              <w:ind w:firstLine="420" w:firstLineChars="200"/>
              <w:rPr>
                <w:rFonts w:ascii="宋体" w:hAnsi="宋体"/>
                <w:color w:val="auto"/>
                <w:szCs w:val="21"/>
                <w:highlight w:val="none"/>
              </w:rPr>
            </w:pPr>
          </w:p>
          <w:p>
            <w:pPr>
              <w:ind w:firstLine="420" w:firstLineChars="200"/>
              <w:rPr>
                <w:rFonts w:ascii="宋体" w:hAnsi="宋体"/>
                <w:color w:val="auto"/>
                <w:szCs w:val="21"/>
                <w:highlight w:val="none"/>
              </w:rPr>
            </w:pPr>
          </w:p>
          <w:p>
            <w:pPr>
              <w:ind w:firstLine="420" w:firstLineChars="200"/>
              <w:rPr>
                <w:rFonts w:ascii="宋体" w:hAnsi="宋体"/>
                <w:color w:val="auto"/>
                <w:szCs w:val="21"/>
                <w:highlight w:val="none"/>
              </w:rPr>
            </w:pPr>
          </w:p>
          <w:p>
            <w:pPr>
              <w:ind w:firstLine="420" w:firstLineChars="200"/>
              <w:rPr>
                <w:rFonts w:ascii="宋体" w:hAnsi="宋体"/>
                <w:color w:val="auto"/>
                <w:szCs w:val="21"/>
                <w:highlight w:val="none"/>
              </w:rPr>
            </w:pPr>
          </w:p>
          <w:p>
            <w:pPr>
              <w:jc w:val="center"/>
              <w:rPr>
                <w:rFonts w:ascii="宋体" w:hAnsi="宋体" w:cs="宋体"/>
                <w:color w:val="auto"/>
                <w:szCs w:val="21"/>
                <w:highlight w:val="none"/>
              </w:rPr>
            </w:pPr>
            <w:r>
              <w:rPr>
                <w:rFonts w:hint="eastAsia" w:ascii="宋体" w:hAnsi="宋体"/>
                <w:color w:val="auto"/>
                <w:szCs w:val="21"/>
                <w:highlight w:val="none"/>
              </w:rPr>
              <w:t>授权委托人身份证人像面</w:t>
            </w:r>
          </w:p>
        </w:tc>
        <w:tc>
          <w:tcPr>
            <w:tcW w:w="4430" w:type="dxa"/>
            <w:tcBorders>
              <w:top w:val="single" w:color="auto" w:sz="4" w:space="0"/>
              <w:left w:val="nil"/>
              <w:bottom w:val="single" w:color="auto" w:sz="4" w:space="0"/>
              <w:right w:val="single" w:color="auto" w:sz="4" w:space="0"/>
            </w:tcBorders>
          </w:tcPr>
          <w:p>
            <w:pPr>
              <w:ind w:firstLine="420" w:firstLineChars="200"/>
              <w:rPr>
                <w:rFonts w:ascii="宋体" w:hAnsi="宋体"/>
                <w:color w:val="auto"/>
                <w:szCs w:val="21"/>
                <w:highlight w:val="none"/>
              </w:rPr>
            </w:pPr>
          </w:p>
          <w:p>
            <w:pPr>
              <w:ind w:firstLine="420" w:firstLineChars="200"/>
              <w:rPr>
                <w:rFonts w:ascii="宋体" w:hAnsi="宋体"/>
                <w:color w:val="auto"/>
                <w:szCs w:val="21"/>
                <w:highlight w:val="none"/>
              </w:rPr>
            </w:pPr>
          </w:p>
          <w:p>
            <w:pPr>
              <w:ind w:firstLine="420" w:firstLineChars="200"/>
              <w:rPr>
                <w:rFonts w:ascii="宋体" w:hAnsi="宋体"/>
                <w:color w:val="auto"/>
                <w:szCs w:val="21"/>
                <w:highlight w:val="none"/>
              </w:rPr>
            </w:pPr>
          </w:p>
          <w:p>
            <w:pPr>
              <w:ind w:firstLine="420" w:firstLineChars="200"/>
              <w:rPr>
                <w:rFonts w:ascii="宋体" w:hAnsi="宋体"/>
                <w:color w:val="auto"/>
                <w:szCs w:val="21"/>
                <w:highlight w:val="none"/>
              </w:rPr>
            </w:pPr>
          </w:p>
          <w:p>
            <w:pPr>
              <w:jc w:val="center"/>
              <w:rPr>
                <w:rFonts w:ascii="宋体" w:hAnsi="宋体" w:cs="宋体"/>
                <w:color w:val="auto"/>
                <w:szCs w:val="21"/>
                <w:highlight w:val="none"/>
              </w:rPr>
            </w:pPr>
            <w:r>
              <w:rPr>
                <w:rFonts w:hint="eastAsia" w:ascii="宋体" w:hAnsi="宋体"/>
                <w:color w:val="auto"/>
                <w:szCs w:val="21"/>
                <w:highlight w:val="none"/>
              </w:rPr>
              <w:t>授权委托人身份证国徽面</w:t>
            </w:r>
          </w:p>
        </w:tc>
      </w:tr>
    </w:tbl>
    <w:p>
      <w:pPr>
        <w:spacing w:before="312" w:beforeLines="100" w:line="480" w:lineRule="auto"/>
        <w:ind w:firstLine="573"/>
        <w:rPr>
          <w:rFonts w:ascii="宋体" w:hAnsi="宋体" w:cs="宋体"/>
          <w:color w:val="auto"/>
          <w:szCs w:val="21"/>
          <w:highlight w:val="none"/>
        </w:rPr>
      </w:pPr>
      <w:r>
        <w:rPr>
          <w:rFonts w:hint="eastAsia" w:ascii="宋体" w:hAnsi="宋体" w:cs="宋体"/>
          <w:color w:val="auto"/>
          <w:szCs w:val="21"/>
          <w:highlight w:val="none"/>
          <w:lang w:bidi="ar"/>
        </w:rPr>
        <w:t>投标人 ：</w:t>
      </w:r>
      <w:r>
        <w:rPr>
          <w:rFonts w:hint="eastAsia" w:ascii="宋体" w:hAnsi="宋体" w:cs="宋体"/>
          <w:color w:val="auto"/>
          <w:szCs w:val="21"/>
          <w:highlight w:val="none"/>
          <w:u w:val="single"/>
          <w:lang w:bidi="ar"/>
        </w:rPr>
        <w:t xml:space="preserve">                                   </w:t>
      </w:r>
      <w:r>
        <w:rPr>
          <w:rFonts w:hint="eastAsia" w:ascii="宋体" w:hAnsi="宋体" w:cs="宋体"/>
          <w:color w:val="auto"/>
          <w:szCs w:val="21"/>
          <w:highlight w:val="none"/>
          <w:lang w:bidi="ar"/>
        </w:rPr>
        <w:t>（盖单位章）</w:t>
      </w:r>
    </w:p>
    <w:p>
      <w:pPr>
        <w:spacing w:line="480" w:lineRule="auto"/>
        <w:ind w:firstLine="573"/>
        <w:rPr>
          <w:rFonts w:ascii="宋体" w:hAnsi="宋体" w:cs="宋体"/>
          <w:color w:val="auto"/>
          <w:szCs w:val="21"/>
          <w:highlight w:val="none"/>
        </w:rPr>
      </w:pPr>
      <w:r>
        <w:rPr>
          <w:rFonts w:hint="eastAsia" w:ascii="宋体" w:hAnsi="宋体" w:cs="宋体"/>
          <w:color w:val="auto"/>
          <w:szCs w:val="21"/>
          <w:highlight w:val="none"/>
          <w:lang w:bidi="ar"/>
        </w:rPr>
        <w:t>法定代表人</w:t>
      </w:r>
      <w:r>
        <w:rPr>
          <w:rFonts w:hint="eastAsia" w:ascii="宋体" w:hAnsi="宋体" w:cs="宋体"/>
          <w:color w:val="auto"/>
          <w:szCs w:val="21"/>
          <w:highlight w:val="none"/>
          <w:lang w:eastAsia="zh-CN" w:bidi="ar"/>
        </w:rPr>
        <w:t>（</w:t>
      </w:r>
      <w:r>
        <w:rPr>
          <w:rFonts w:hint="eastAsia" w:ascii="宋体" w:hAnsi="宋体" w:cs="宋体"/>
          <w:color w:val="auto"/>
          <w:szCs w:val="21"/>
          <w:highlight w:val="none"/>
          <w:lang w:val="en-US" w:eastAsia="zh-CN" w:bidi="ar"/>
        </w:rPr>
        <w:t>负责人</w:t>
      </w:r>
      <w:r>
        <w:rPr>
          <w:rFonts w:hint="eastAsia" w:ascii="宋体" w:hAnsi="宋体" w:cs="宋体"/>
          <w:color w:val="auto"/>
          <w:szCs w:val="21"/>
          <w:highlight w:val="none"/>
          <w:lang w:eastAsia="zh-CN" w:bidi="ar"/>
        </w:rPr>
        <w:t>）</w:t>
      </w:r>
      <w:r>
        <w:rPr>
          <w:rFonts w:hint="eastAsia" w:ascii="宋体" w:hAnsi="宋体" w:cs="宋体"/>
          <w:color w:val="auto"/>
          <w:szCs w:val="21"/>
          <w:highlight w:val="none"/>
          <w:lang w:bidi="ar"/>
        </w:rPr>
        <w:t>：</w:t>
      </w:r>
      <w:r>
        <w:rPr>
          <w:rFonts w:hint="eastAsia" w:ascii="宋体" w:hAnsi="宋体" w:cs="宋体"/>
          <w:color w:val="auto"/>
          <w:szCs w:val="21"/>
          <w:highlight w:val="none"/>
          <w:u w:val="single"/>
          <w:lang w:bidi="ar"/>
        </w:rPr>
        <w:t xml:space="preserve">                       </w:t>
      </w:r>
      <w:r>
        <w:rPr>
          <w:rFonts w:hint="eastAsia" w:ascii="宋体" w:hAnsi="宋体" w:cs="宋体"/>
          <w:color w:val="auto"/>
          <w:szCs w:val="21"/>
          <w:highlight w:val="none"/>
          <w:lang w:bidi="ar"/>
        </w:rPr>
        <w:t>（签字或盖章）</w:t>
      </w:r>
    </w:p>
    <w:p>
      <w:pPr>
        <w:spacing w:line="480" w:lineRule="auto"/>
        <w:ind w:firstLine="573"/>
        <w:rPr>
          <w:rFonts w:ascii="宋体" w:hAnsi="宋体" w:cs="宋体"/>
          <w:color w:val="auto"/>
          <w:szCs w:val="21"/>
          <w:highlight w:val="none"/>
        </w:rPr>
      </w:pPr>
      <w:r>
        <w:rPr>
          <w:rFonts w:hint="eastAsia" w:ascii="宋体" w:hAnsi="宋体" w:cs="宋体"/>
          <w:color w:val="auto"/>
          <w:szCs w:val="21"/>
          <w:highlight w:val="none"/>
          <w:lang w:val="en-US" w:eastAsia="zh-CN" w:bidi="ar"/>
        </w:rPr>
        <w:t>被授权人</w:t>
      </w:r>
      <w:r>
        <w:rPr>
          <w:rFonts w:hint="eastAsia" w:ascii="宋体" w:hAnsi="宋体" w:cs="宋体"/>
          <w:color w:val="auto"/>
          <w:szCs w:val="21"/>
          <w:highlight w:val="none"/>
          <w:lang w:bidi="ar"/>
        </w:rPr>
        <w:t>：</w:t>
      </w:r>
      <w:r>
        <w:rPr>
          <w:rFonts w:hint="eastAsia" w:ascii="宋体" w:hAnsi="宋体" w:cs="宋体"/>
          <w:color w:val="auto"/>
          <w:szCs w:val="21"/>
          <w:highlight w:val="none"/>
          <w:u w:val="single"/>
          <w:lang w:bidi="ar"/>
        </w:rPr>
        <w:t xml:space="preserve">           </w:t>
      </w:r>
      <w:r>
        <w:rPr>
          <w:rFonts w:hint="eastAsia" w:ascii="宋体" w:hAnsi="宋体" w:cs="宋体"/>
          <w:color w:val="auto"/>
          <w:szCs w:val="21"/>
          <w:highlight w:val="none"/>
          <w:lang w:bidi="ar"/>
        </w:rPr>
        <w:t>（签字） 职务：</w:t>
      </w:r>
      <w:r>
        <w:rPr>
          <w:rFonts w:hint="eastAsia" w:ascii="宋体" w:hAnsi="宋体" w:cs="宋体"/>
          <w:color w:val="auto"/>
          <w:szCs w:val="21"/>
          <w:highlight w:val="none"/>
          <w:u w:val="single"/>
          <w:lang w:bidi="ar"/>
        </w:rPr>
        <w:t xml:space="preserve">                    </w:t>
      </w:r>
    </w:p>
    <w:p>
      <w:pPr>
        <w:widowControl/>
        <w:spacing w:line="360" w:lineRule="auto"/>
        <w:ind w:firstLine="373" w:firstLineChars="178"/>
        <w:rPr>
          <w:rFonts w:ascii="宋体" w:hAnsi="宋体" w:cs="宋体"/>
          <w:b/>
          <w:color w:val="auto"/>
          <w:szCs w:val="21"/>
          <w:highlight w:val="none"/>
        </w:rPr>
      </w:pPr>
      <w:r>
        <w:rPr>
          <w:rFonts w:hint="eastAsia" w:ascii="宋体" w:hAnsi="宋体" w:cs="宋体"/>
          <w:color w:val="auto"/>
          <w:szCs w:val="21"/>
          <w:highlight w:val="none"/>
          <w:lang w:bidi="ar"/>
        </w:rPr>
        <w:t xml:space="preserve">  授权委托日期： </w:t>
      </w:r>
      <w:r>
        <w:rPr>
          <w:rFonts w:hint="eastAsia" w:ascii="宋体" w:hAnsi="宋体" w:cs="宋体"/>
          <w:color w:val="auto"/>
          <w:szCs w:val="21"/>
          <w:highlight w:val="none"/>
          <w:u w:val="single"/>
          <w:lang w:bidi="ar"/>
        </w:rPr>
        <w:t xml:space="preserve">         </w:t>
      </w:r>
      <w:r>
        <w:rPr>
          <w:rFonts w:hint="eastAsia" w:ascii="宋体" w:hAnsi="宋体" w:cs="宋体"/>
          <w:color w:val="auto"/>
          <w:szCs w:val="21"/>
          <w:highlight w:val="none"/>
          <w:lang w:bidi="ar"/>
        </w:rPr>
        <w:t>年</w:t>
      </w:r>
      <w:r>
        <w:rPr>
          <w:rFonts w:hint="eastAsia" w:ascii="宋体" w:hAnsi="宋体" w:cs="宋体"/>
          <w:color w:val="auto"/>
          <w:szCs w:val="21"/>
          <w:highlight w:val="none"/>
          <w:u w:val="single"/>
          <w:lang w:bidi="ar"/>
        </w:rPr>
        <w:t xml:space="preserve">       </w:t>
      </w:r>
      <w:r>
        <w:rPr>
          <w:rFonts w:hint="eastAsia" w:ascii="宋体" w:hAnsi="宋体" w:cs="宋体"/>
          <w:color w:val="auto"/>
          <w:szCs w:val="21"/>
          <w:highlight w:val="none"/>
          <w:lang w:bidi="ar"/>
        </w:rPr>
        <w:t>月</w:t>
      </w:r>
      <w:r>
        <w:rPr>
          <w:rFonts w:hint="eastAsia" w:ascii="宋体" w:hAnsi="宋体" w:cs="宋体"/>
          <w:color w:val="auto"/>
          <w:szCs w:val="21"/>
          <w:highlight w:val="none"/>
          <w:u w:val="single"/>
          <w:lang w:bidi="ar"/>
        </w:rPr>
        <w:t xml:space="preserve">       </w:t>
      </w:r>
      <w:r>
        <w:rPr>
          <w:rFonts w:hint="eastAsia" w:ascii="宋体" w:hAnsi="宋体" w:cs="宋体"/>
          <w:color w:val="auto"/>
          <w:szCs w:val="21"/>
          <w:highlight w:val="none"/>
          <w:lang w:bidi="ar"/>
        </w:rPr>
        <w:t>日</w:t>
      </w:r>
    </w:p>
    <w:p>
      <w:pPr>
        <w:rPr>
          <w:rFonts w:ascii="宋体" w:hAnsi="宋体"/>
          <w:b/>
          <w:bCs/>
          <w:color w:val="auto"/>
          <w:szCs w:val="21"/>
          <w:highlight w:val="none"/>
        </w:rPr>
      </w:pPr>
      <w:bookmarkStart w:id="189" w:name="_Toc29944"/>
      <w:bookmarkStart w:id="190" w:name="_Toc452633065"/>
    </w:p>
    <w:p>
      <w:pPr>
        <w:rPr>
          <w:rFonts w:ascii="宋体" w:hAnsi="宋体"/>
          <w:color w:val="auto"/>
          <w:sz w:val="24"/>
          <w:highlight w:val="none"/>
        </w:rPr>
      </w:pPr>
      <w:r>
        <w:rPr>
          <w:rFonts w:hint="eastAsia" w:ascii="宋体" w:hAnsi="宋体"/>
          <w:color w:val="auto"/>
          <w:szCs w:val="21"/>
          <w:highlight w:val="none"/>
        </w:rPr>
        <w:t>注：如为</w:t>
      </w:r>
      <w:r>
        <w:rPr>
          <w:rFonts w:hint="eastAsia" w:ascii="宋体" w:hAnsi="宋体"/>
          <w:color w:val="auto"/>
          <w:szCs w:val="21"/>
          <w:highlight w:val="none"/>
          <w:lang w:eastAsia="zh-CN"/>
        </w:rPr>
        <w:t>法定代表人（负责人）</w:t>
      </w:r>
      <w:r>
        <w:rPr>
          <w:rFonts w:hint="eastAsia" w:ascii="宋体" w:hAnsi="宋体"/>
          <w:color w:val="auto"/>
          <w:szCs w:val="21"/>
          <w:highlight w:val="none"/>
        </w:rPr>
        <w:t>亲自参与投标，此</w:t>
      </w:r>
      <w:r>
        <w:rPr>
          <w:rFonts w:hint="eastAsia" w:ascii="宋体" w:hAnsi="宋体"/>
          <w:color w:val="auto"/>
          <w:szCs w:val="21"/>
          <w:highlight w:val="none"/>
          <w:lang w:val="en-US" w:eastAsia="zh-CN"/>
        </w:rPr>
        <w:t>页</w:t>
      </w:r>
      <w:r>
        <w:rPr>
          <w:rFonts w:hint="eastAsia" w:ascii="宋体" w:hAnsi="宋体"/>
          <w:color w:val="auto"/>
          <w:szCs w:val="21"/>
          <w:highlight w:val="none"/>
        </w:rPr>
        <w:t>可不提供。</w:t>
      </w:r>
      <w:r>
        <w:rPr>
          <w:rFonts w:hint="eastAsia" w:ascii="宋体" w:hAnsi="宋体"/>
          <w:b/>
          <w:bCs/>
          <w:color w:val="auto"/>
          <w:szCs w:val="21"/>
          <w:highlight w:val="none"/>
        </w:rPr>
        <w:br w:type="page"/>
      </w:r>
    </w:p>
    <w:p>
      <w:pPr>
        <w:spacing w:line="480" w:lineRule="auto"/>
        <w:rPr>
          <w:rFonts w:ascii="宋体" w:hAnsi="宋体"/>
          <w:bCs/>
          <w:color w:val="auto"/>
          <w:szCs w:val="21"/>
          <w:highlight w:val="none"/>
        </w:rPr>
      </w:pPr>
      <w:bookmarkStart w:id="191" w:name="_Toc28680"/>
      <w:bookmarkStart w:id="192" w:name="_Toc310"/>
      <w:bookmarkStart w:id="193" w:name="_Toc12066"/>
      <w:bookmarkStart w:id="194" w:name="_Toc13330"/>
      <w:r>
        <w:rPr>
          <w:rFonts w:hint="eastAsia" w:ascii="宋体" w:hAnsi="宋体"/>
          <w:bCs/>
          <w:color w:val="auto"/>
          <w:szCs w:val="21"/>
          <w:highlight w:val="none"/>
        </w:rPr>
        <w:t>格式2：</w:t>
      </w:r>
      <w:bookmarkEnd w:id="191"/>
      <w:bookmarkEnd w:id="192"/>
      <w:bookmarkEnd w:id="193"/>
      <w:bookmarkEnd w:id="194"/>
    </w:p>
    <w:p>
      <w:pPr>
        <w:jc w:val="center"/>
        <w:rPr>
          <w:rFonts w:hint="eastAsia" w:ascii="宋体" w:hAnsi="宋体" w:cs="Times New Roman"/>
          <w:b/>
          <w:color w:val="auto"/>
          <w:sz w:val="30"/>
          <w:szCs w:val="30"/>
          <w:highlight w:val="none"/>
          <w:lang w:val="en-US" w:eastAsia="zh-CN"/>
        </w:rPr>
      </w:pPr>
      <w:bookmarkStart w:id="195" w:name="_Toc24551"/>
      <w:bookmarkStart w:id="196" w:name="_Toc3658"/>
      <w:bookmarkStart w:id="197" w:name="_Toc28480"/>
      <w:bookmarkStart w:id="198" w:name="_Toc20523"/>
      <w:r>
        <w:rPr>
          <w:rFonts w:hint="eastAsia" w:ascii="宋体" w:hAnsi="宋体" w:cs="Times New Roman"/>
          <w:b/>
          <w:color w:val="auto"/>
          <w:sz w:val="30"/>
          <w:szCs w:val="30"/>
          <w:highlight w:val="none"/>
          <w:lang w:val="en-US" w:eastAsia="zh-CN"/>
        </w:rPr>
        <w:t>投标人基本情况表</w:t>
      </w:r>
      <w:bookmarkEnd w:id="189"/>
      <w:bookmarkEnd w:id="190"/>
      <w:bookmarkEnd w:id="195"/>
      <w:bookmarkEnd w:id="196"/>
      <w:bookmarkEnd w:id="197"/>
      <w:bookmarkEnd w:id="198"/>
    </w:p>
    <w:tbl>
      <w:tblPr>
        <w:tblStyle w:val="23"/>
        <w:tblW w:w="8301"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628"/>
        <w:gridCol w:w="4260"/>
        <w:gridCol w:w="341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37" w:hRule="atLeast"/>
        </w:trPr>
        <w:tc>
          <w:tcPr>
            <w:tcW w:w="628" w:type="dxa"/>
            <w:vAlign w:val="center"/>
          </w:tcPr>
          <w:p>
            <w:pPr>
              <w:jc w:val="center"/>
              <w:rPr>
                <w:rFonts w:ascii="宋体" w:hAnsi="宋体"/>
                <w:color w:val="auto"/>
                <w:szCs w:val="21"/>
                <w:highlight w:val="none"/>
              </w:rPr>
            </w:pPr>
            <w:r>
              <w:rPr>
                <w:rFonts w:hint="eastAsia" w:ascii="宋体" w:hAnsi="宋体"/>
                <w:color w:val="auto"/>
                <w:szCs w:val="21"/>
                <w:highlight w:val="none"/>
              </w:rPr>
              <w:t>1</w:t>
            </w:r>
          </w:p>
        </w:tc>
        <w:tc>
          <w:tcPr>
            <w:tcW w:w="7673" w:type="dxa"/>
            <w:gridSpan w:val="2"/>
            <w:vAlign w:val="center"/>
          </w:tcPr>
          <w:p>
            <w:pPr>
              <w:ind w:left="105" w:leftChars="50"/>
              <w:rPr>
                <w:rFonts w:ascii="宋体" w:hAnsi="宋体"/>
                <w:color w:val="auto"/>
                <w:szCs w:val="21"/>
                <w:highlight w:val="none"/>
              </w:rPr>
            </w:pPr>
            <w:r>
              <w:rPr>
                <w:rFonts w:hint="eastAsia" w:ascii="宋体" w:hAnsi="宋体"/>
                <w:color w:val="auto"/>
                <w:szCs w:val="21"/>
                <w:highlight w:val="none"/>
              </w:rPr>
              <w:t>企业名称：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37" w:hRule="atLeast"/>
        </w:trPr>
        <w:tc>
          <w:tcPr>
            <w:tcW w:w="628" w:type="dxa"/>
            <w:vAlign w:val="center"/>
          </w:tcPr>
          <w:p>
            <w:pPr>
              <w:jc w:val="center"/>
              <w:rPr>
                <w:rFonts w:ascii="宋体" w:hAnsi="宋体"/>
                <w:color w:val="auto"/>
                <w:szCs w:val="21"/>
                <w:highlight w:val="none"/>
              </w:rPr>
            </w:pPr>
            <w:r>
              <w:rPr>
                <w:rFonts w:hint="eastAsia" w:ascii="宋体" w:hAnsi="宋体"/>
                <w:color w:val="auto"/>
                <w:szCs w:val="21"/>
                <w:highlight w:val="none"/>
              </w:rPr>
              <w:t>2</w:t>
            </w:r>
          </w:p>
        </w:tc>
        <w:tc>
          <w:tcPr>
            <w:tcW w:w="7673" w:type="dxa"/>
            <w:gridSpan w:val="2"/>
            <w:vAlign w:val="center"/>
          </w:tcPr>
          <w:p>
            <w:pPr>
              <w:ind w:left="105" w:leftChars="50"/>
              <w:rPr>
                <w:rFonts w:ascii="宋体" w:hAnsi="宋体"/>
                <w:color w:val="auto"/>
                <w:szCs w:val="21"/>
                <w:highlight w:val="none"/>
              </w:rPr>
            </w:pPr>
            <w:r>
              <w:rPr>
                <w:rFonts w:hint="eastAsia" w:ascii="宋体" w:hAnsi="宋体"/>
                <w:color w:val="auto"/>
                <w:szCs w:val="21"/>
                <w:highlight w:val="none"/>
              </w:rPr>
              <w:t>总部地址：</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37" w:hRule="atLeast"/>
        </w:trPr>
        <w:tc>
          <w:tcPr>
            <w:tcW w:w="628" w:type="dxa"/>
            <w:vAlign w:val="center"/>
          </w:tcPr>
          <w:p>
            <w:pPr>
              <w:jc w:val="center"/>
              <w:rPr>
                <w:rFonts w:ascii="宋体" w:hAnsi="宋体"/>
                <w:color w:val="auto"/>
                <w:szCs w:val="21"/>
                <w:highlight w:val="none"/>
              </w:rPr>
            </w:pPr>
            <w:r>
              <w:rPr>
                <w:rFonts w:hint="eastAsia" w:ascii="宋体" w:hAnsi="宋体"/>
                <w:color w:val="auto"/>
                <w:szCs w:val="21"/>
                <w:highlight w:val="none"/>
              </w:rPr>
              <w:t>3</w:t>
            </w:r>
          </w:p>
        </w:tc>
        <w:tc>
          <w:tcPr>
            <w:tcW w:w="7673" w:type="dxa"/>
            <w:gridSpan w:val="2"/>
            <w:vAlign w:val="center"/>
          </w:tcPr>
          <w:p>
            <w:pPr>
              <w:ind w:left="105" w:leftChars="50"/>
              <w:rPr>
                <w:rFonts w:ascii="宋体" w:hAnsi="宋体"/>
                <w:color w:val="auto"/>
                <w:szCs w:val="21"/>
                <w:highlight w:val="none"/>
              </w:rPr>
            </w:pPr>
            <w:r>
              <w:rPr>
                <w:rFonts w:hint="eastAsia" w:ascii="宋体" w:hAnsi="宋体"/>
                <w:color w:val="auto"/>
                <w:szCs w:val="21"/>
                <w:highlight w:val="none"/>
              </w:rPr>
              <w:t>当地代表处地址：</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37" w:hRule="atLeast"/>
        </w:trPr>
        <w:tc>
          <w:tcPr>
            <w:tcW w:w="628" w:type="dxa"/>
            <w:vAlign w:val="center"/>
          </w:tcPr>
          <w:p>
            <w:pPr>
              <w:jc w:val="center"/>
              <w:rPr>
                <w:rFonts w:ascii="宋体" w:hAnsi="宋体"/>
                <w:color w:val="auto"/>
                <w:szCs w:val="21"/>
                <w:highlight w:val="none"/>
              </w:rPr>
            </w:pPr>
            <w:r>
              <w:rPr>
                <w:rFonts w:hint="eastAsia" w:ascii="宋体" w:hAnsi="宋体"/>
                <w:color w:val="auto"/>
                <w:szCs w:val="21"/>
                <w:highlight w:val="none"/>
              </w:rPr>
              <w:t>4</w:t>
            </w:r>
          </w:p>
        </w:tc>
        <w:tc>
          <w:tcPr>
            <w:tcW w:w="4260" w:type="dxa"/>
            <w:vAlign w:val="center"/>
          </w:tcPr>
          <w:p>
            <w:pPr>
              <w:ind w:left="105" w:leftChars="50"/>
              <w:rPr>
                <w:rFonts w:ascii="宋体" w:hAnsi="宋体"/>
                <w:color w:val="auto"/>
                <w:szCs w:val="21"/>
                <w:highlight w:val="none"/>
              </w:rPr>
            </w:pPr>
            <w:r>
              <w:rPr>
                <w:rFonts w:hint="eastAsia" w:ascii="宋体" w:hAnsi="宋体"/>
                <w:color w:val="auto"/>
                <w:szCs w:val="21"/>
                <w:highlight w:val="none"/>
                <w:lang w:eastAsia="zh-CN"/>
              </w:rPr>
              <w:t>法定代表人（负责人）</w:t>
            </w:r>
            <w:r>
              <w:rPr>
                <w:rFonts w:hint="eastAsia" w:ascii="宋体" w:hAnsi="宋体"/>
                <w:color w:val="auto"/>
                <w:szCs w:val="21"/>
                <w:highlight w:val="none"/>
              </w:rPr>
              <w:t>：</w:t>
            </w:r>
          </w:p>
        </w:tc>
        <w:tc>
          <w:tcPr>
            <w:tcW w:w="3413" w:type="dxa"/>
            <w:vAlign w:val="center"/>
          </w:tcPr>
          <w:p>
            <w:pPr>
              <w:ind w:left="105" w:leftChars="50"/>
              <w:rPr>
                <w:rFonts w:ascii="宋体" w:hAnsi="宋体"/>
                <w:color w:val="auto"/>
                <w:szCs w:val="21"/>
                <w:highlight w:val="none"/>
              </w:rPr>
            </w:pPr>
            <w:r>
              <w:rPr>
                <w:rFonts w:hint="eastAsia" w:ascii="宋体" w:hAnsi="宋体"/>
                <w:color w:val="auto"/>
                <w:szCs w:val="21"/>
                <w:highlight w:val="none"/>
              </w:rPr>
              <w:t>企业性质：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37" w:hRule="atLeast"/>
        </w:trPr>
        <w:tc>
          <w:tcPr>
            <w:tcW w:w="628" w:type="dxa"/>
            <w:vAlign w:val="center"/>
          </w:tcPr>
          <w:p>
            <w:pPr>
              <w:jc w:val="center"/>
              <w:rPr>
                <w:rFonts w:ascii="宋体" w:hAnsi="宋体"/>
                <w:color w:val="auto"/>
                <w:szCs w:val="21"/>
                <w:highlight w:val="none"/>
              </w:rPr>
            </w:pPr>
            <w:r>
              <w:rPr>
                <w:rFonts w:hint="eastAsia" w:ascii="宋体" w:hAnsi="宋体"/>
                <w:color w:val="auto"/>
                <w:szCs w:val="21"/>
                <w:highlight w:val="none"/>
              </w:rPr>
              <w:t>5</w:t>
            </w:r>
          </w:p>
        </w:tc>
        <w:tc>
          <w:tcPr>
            <w:tcW w:w="4260" w:type="dxa"/>
            <w:vAlign w:val="center"/>
          </w:tcPr>
          <w:p>
            <w:pPr>
              <w:ind w:left="105" w:leftChars="50"/>
              <w:rPr>
                <w:rFonts w:ascii="宋体" w:hAnsi="宋体"/>
                <w:color w:val="auto"/>
                <w:szCs w:val="21"/>
                <w:highlight w:val="none"/>
              </w:rPr>
            </w:pPr>
            <w:r>
              <w:rPr>
                <w:rFonts w:hint="eastAsia" w:ascii="宋体" w:hAnsi="宋体"/>
                <w:color w:val="auto"/>
                <w:szCs w:val="21"/>
                <w:highlight w:val="none"/>
              </w:rPr>
              <w:t>联系人：</w:t>
            </w:r>
          </w:p>
        </w:tc>
        <w:tc>
          <w:tcPr>
            <w:tcW w:w="3413" w:type="dxa"/>
            <w:vAlign w:val="center"/>
          </w:tcPr>
          <w:p>
            <w:pPr>
              <w:ind w:left="105" w:leftChars="50"/>
              <w:rPr>
                <w:rFonts w:ascii="宋体" w:hAnsi="宋体"/>
                <w:color w:val="auto"/>
                <w:szCs w:val="21"/>
                <w:highlight w:val="none"/>
              </w:rPr>
            </w:pPr>
            <w:r>
              <w:rPr>
                <w:rFonts w:hint="eastAsia" w:ascii="宋体" w:hAnsi="宋体"/>
                <w:color w:val="auto"/>
                <w:szCs w:val="21"/>
                <w:highlight w:val="none"/>
              </w:rPr>
              <w:t>电话：</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37" w:hRule="atLeast"/>
        </w:trPr>
        <w:tc>
          <w:tcPr>
            <w:tcW w:w="628" w:type="dxa"/>
            <w:vAlign w:val="center"/>
          </w:tcPr>
          <w:p>
            <w:pPr>
              <w:jc w:val="center"/>
              <w:rPr>
                <w:rFonts w:ascii="宋体" w:hAnsi="宋体"/>
                <w:color w:val="auto"/>
                <w:szCs w:val="21"/>
                <w:highlight w:val="none"/>
              </w:rPr>
            </w:pPr>
            <w:r>
              <w:rPr>
                <w:rFonts w:hint="eastAsia" w:ascii="宋体" w:hAnsi="宋体"/>
                <w:color w:val="auto"/>
                <w:szCs w:val="21"/>
                <w:highlight w:val="none"/>
              </w:rPr>
              <w:t>6</w:t>
            </w:r>
          </w:p>
        </w:tc>
        <w:tc>
          <w:tcPr>
            <w:tcW w:w="4260" w:type="dxa"/>
            <w:vAlign w:val="center"/>
          </w:tcPr>
          <w:p>
            <w:pPr>
              <w:ind w:left="105" w:leftChars="50"/>
              <w:rPr>
                <w:rFonts w:ascii="宋体" w:hAnsi="宋体"/>
                <w:color w:val="auto"/>
                <w:szCs w:val="21"/>
                <w:highlight w:val="none"/>
              </w:rPr>
            </w:pPr>
            <w:r>
              <w:rPr>
                <w:rFonts w:hint="eastAsia" w:ascii="宋体" w:hAnsi="宋体"/>
                <w:color w:val="auto"/>
                <w:szCs w:val="21"/>
                <w:highlight w:val="none"/>
              </w:rPr>
              <w:t xml:space="preserve">注册地：       </w:t>
            </w:r>
          </w:p>
        </w:tc>
        <w:tc>
          <w:tcPr>
            <w:tcW w:w="3413" w:type="dxa"/>
            <w:vAlign w:val="center"/>
          </w:tcPr>
          <w:p>
            <w:pPr>
              <w:ind w:left="105" w:leftChars="50"/>
              <w:rPr>
                <w:rFonts w:ascii="宋体" w:hAnsi="宋体"/>
                <w:color w:val="auto"/>
                <w:szCs w:val="21"/>
                <w:highlight w:val="none"/>
              </w:rPr>
            </w:pPr>
            <w:r>
              <w:rPr>
                <w:rFonts w:hint="eastAsia" w:ascii="宋体" w:hAnsi="宋体"/>
                <w:color w:val="auto"/>
                <w:szCs w:val="21"/>
                <w:highlight w:val="none"/>
              </w:rPr>
              <w:t>注册年份：</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37" w:hRule="atLeast"/>
        </w:trPr>
        <w:tc>
          <w:tcPr>
            <w:tcW w:w="628" w:type="dxa"/>
            <w:vAlign w:val="center"/>
          </w:tcPr>
          <w:p>
            <w:pPr>
              <w:jc w:val="center"/>
              <w:rPr>
                <w:rFonts w:ascii="宋体" w:hAnsi="宋体"/>
                <w:color w:val="auto"/>
                <w:szCs w:val="21"/>
                <w:highlight w:val="none"/>
              </w:rPr>
            </w:pPr>
            <w:r>
              <w:rPr>
                <w:rFonts w:hint="eastAsia" w:ascii="宋体" w:hAnsi="宋体"/>
                <w:color w:val="auto"/>
                <w:szCs w:val="21"/>
                <w:highlight w:val="none"/>
              </w:rPr>
              <w:t>7</w:t>
            </w:r>
          </w:p>
        </w:tc>
        <w:tc>
          <w:tcPr>
            <w:tcW w:w="7673" w:type="dxa"/>
            <w:gridSpan w:val="2"/>
            <w:vAlign w:val="center"/>
          </w:tcPr>
          <w:p>
            <w:pPr>
              <w:ind w:left="105" w:leftChars="50"/>
              <w:rPr>
                <w:rFonts w:ascii="宋体" w:hAnsi="宋体"/>
                <w:color w:val="auto"/>
                <w:szCs w:val="21"/>
                <w:highlight w:val="none"/>
              </w:rPr>
            </w:pPr>
            <w:r>
              <w:rPr>
                <w:rFonts w:hint="eastAsia" w:ascii="宋体" w:hAnsi="宋体"/>
                <w:color w:val="auto"/>
                <w:szCs w:val="21"/>
                <w:highlight w:val="none"/>
              </w:rPr>
              <w:t>公司</w:t>
            </w:r>
            <w:r>
              <w:rPr>
                <w:rFonts w:hint="eastAsia" w:ascii="宋体" w:hAnsi="宋体"/>
                <w:color w:val="auto"/>
                <w:szCs w:val="21"/>
                <w:highlight w:val="none"/>
                <w:u w:val="single"/>
              </w:rPr>
              <w:t xml:space="preserve">     （是否通过，何种）   </w:t>
            </w:r>
            <w:r>
              <w:rPr>
                <w:rFonts w:hint="eastAsia" w:ascii="宋体" w:hAnsi="宋体"/>
                <w:color w:val="auto"/>
                <w:szCs w:val="21"/>
                <w:highlight w:val="none"/>
              </w:rPr>
              <w:t>体系认证</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1523" w:hRule="atLeast"/>
        </w:trPr>
        <w:tc>
          <w:tcPr>
            <w:tcW w:w="628" w:type="dxa"/>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8</w:t>
            </w:r>
          </w:p>
        </w:tc>
        <w:tc>
          <w:tcPr>
            <w:tcW w:w="7673" w:type="dxa"/>
            <w:gridSpan w:val="2"/>
          </w:tcPr>
          <w:p>
            <w:pPr>
              <w:keepNext w:val="0"/>
              <w:keepLines w:val="0"/>
              <w:pageBreakBefore w:val="0"/>
              <w:widowControl w:val="0"/>
              <w:kinsoku/>
              <w:wordWrap/>
              <w:overflowPunct/>
              <w:topLinePunct w:val="0"/>
              <w:autoSpaceDE/>
              <w:autoSpaceDN/>
              <w:bidi w:val="0"/>
              <w:adjustRightInd/>
              <w:snapToGrid/>
              <w:spacing w:before="156" w:beforeLines="50"/>
              <w:ind w:left="105" w:leftChars="50"/>
              <w:textAlignment w:val="auto"/>
              <w:rPr>
                <w:rFonts w:ascii="宋体" w:hAnsi="宋体"/>
                <w:color w:val="auto"/>
                <w:szCs w:val="21"/>
                <w:highlight w:val="none"/>
              </w:rPr>
            </w:pPr>
            <w:r>
              <w:rPr>
                <w:rFonts w:hint="eastAsia" w:ascii="宋体" w:hAnsi="宋体"/>
                <w:color w:val="auto"/>
                <w:szCs w:val="21"/>
                <w:highlight w:val="none"/>
              </w:rPr>
              <w:t>主营范围：</w:t>
            </w:r>
          </w:p>
          <w:p>
            <w:pPr>
              <w:ind w:left="105" w:leftChars="50"/>
              <w:rPr>
                <w:rFonts w:ascii="宋体" w:hAnsi="宋体"/>
                <w:color w:val="auto"/>
                <w:szCs w:val="21"/>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1140" w:hRule="atLeast"/>
        </w:trPr>
        <w:tc>
          <w:tcPr>
            <w:tcW w:w="628" w:type="dxa"/>
            <w:vAlign w:val="center"/>
          </w:tcPr>
          <w:p>
            <w:pPr>
              <w:jc w:val="center"/>
              <w:rPr>
                <w:rFonts w:ascii="宋体" w:hAnsi="宋体"/>
                <w:color w:val="auto"/>
                <w:szCs w:val="21"/>
                <w:highlight w:val="none"/>
              </w:rPr>
            </w:pPr>
            <w:r>
              <w:rPr>
                <w:rFonts w:hint="eastAsia" w:ascii="宋体" w:hAnsi="宋体"/>
                <w:color w:val="auto"/>
                <w:szCs w:val="21"/>
                <w:highlight w:val="none"/>
              </w:rPr>
              <w:t>9</w:t>
            </w:r>
          </w:p>
        </w:tc>
        <w:tc>
          <w:tcPr>
            <w:tcW w:w="7673" w:type="dxa"/>
            <w:gridSpan w:val="2"/>
            <w:vAlign w:val="top"/>
          </w:tcPr>
          <w:p>
            <w:pPr>
              <w:keepNext w:val="0"/>
              <w:keepLines w:val="0"/>
              <w:pageBreakBefore w:val="0"/>
              <w:widowControl w:val="0"/>
              <w:kinsoku/>
              <w:wordWrap/>
              <w:overflowPunct/>
              <w:topLinePunct w:val="0"/>
              <w:autoSpaceDE/>
              <w:autoSpaceDN/>
              <w:bidi w:val="0"/>
              <w:adjustRightInd/>
              <w:snapToGrid/>
              <w:spacing w:before="157" w:beforeLines="50"/>
              <w:ind w:left="105" w:leftChars="50"/>
              <w:jc w:val="both"/>
              <w:textAlignment w:val="auto"/>
              <w:rPr>
                <w:rFonts w:ascii="宋体" w:hAnsi="宋体"/>
                <w:color w:val="auto"/>
                <w:szCs w:val="21"/>
                <w:highlight w:val="none"/>
              </w:rPr>
            </w:pPr>
            <w:r>
              <w:rPr>
                <w:rFonts w:hint="eastAsia" w:ascii="宋体" w:hAnsi="宋体"/>
                <w:color w:val="auto"/>
                <w:szCs w:val="21"/>
                <w:highlight w:val="none"/>
              </w:rPr>
              <w:t>其他需要说明的情况：</w:t>
            </w:r>
          </w:p>
        </w:tc>
      </w:tr>
    </w:tbl>
    <w:p>
      <w:pPr>
        <w:spacing w:line="360" w:lineRule="auto"/>
        <w:jc w:val="left"/>
        <w:rPr>
          <w:rFonts w:ascii="宋体" w:hAnsi="宋体"/>
          <w:color w:val="auto"/>
          <w:szCs w:val="21"/>
          <w:highlight w:val="none"/>
        </w:rPr>
      </w:pPr>
      <w:r>
        <w:rPr>
          <w:rFonts w:hint="eastAsia" w:ascii="宋体" w:hAnsi="宋体"/>
          <w:color w:val="auto"/>
          <w:szCs w:val="21"/>
          <w:highlight w:val="none"/>
        </w:rPr>
        <w:t>附：营业执照（或事业法人证书）复印件。</w:t>
      </w:r>
    </w:p>
    <w:p>
      <w:pPr>
        <w:pStyle w:val="28"/>
        <w:rPr>
          <w:color w:val="auto"/>
          <w:szCs w:val="21"/>
          <w:highlight w:val="none"/>
        </w:rPr>
      </w:pPr>
    </w:p>
    <w:p>
      <w:pPr>
        <w:spacing w:line="480" w:lineRule="auto"/>
        <w:ind w:firstLine="420" w:firstLineChars="200"/>
        <w:jc w:val="right"/>
        <w:rPr>
          <w:rFonts w:ascii="宋体" w:hAnsi="宋体"/>
          <w:color w:val="auto"/>
          <w:szCs w:val="21"/>
          <w:highlight w:val="none"/>
        </w:rPr>
      </w:pPr>
    </w:p>
    <w:p>
      <w:pPr>
        <w:spacing w:line="480" w:lineRule="auto"/>
        <w:ind w:firstLine="420" w:firstLineChars="200"/>
        <w:jc w:val="right"/>
        <w:rPr>
          <w:rFonts w:ascii="宋体" w:hAnsi="宋体"/>
          <w:color w:val="auto"/>
          <w:szCs w:val="21"/>
          <w:highlight w:val="none"/>
        </w:rPr>
      </w:pPr>
      <w:r>
        <w:rPr>
          <w:rFonts w:hint="eastAsia" w:ascii="宋体" w:hAnsi="宋体"/>
          <w:color w:val="auto"/>
          <w:szCs w:val="21"/>
          <w:highlight w:val="none"/>
        </w:rPr>
        <w:t xml:space="preserve">                        </w:t>
      </w:r>
      <w:bookmarkStart w:id="199" w:name="OLE_LINK19"/>
      <w:bookmarkStart w:id="200" w:name="OLE_LINK20"/>
    </w:p>
    <w:p>
      <w:pPr>
        <w:spacing w:line="480" w:lineRule="auto"/>
        <w:ind w:firstLine="420" w:firstLineChars="200"/>
        <w:jc w:val="right"/>
        <w:rPr>
          <w:rFonts w:ascii="宋体" w:hAnsi="宋体" w:cs="宋体"/>
          <w:color w:val="auto"/>
          <w:kern w:val="0"/>
          <w:szCs w:val="21"/>
          <w:highlight w:val="none"/>
        </w:rPr>
      </w:pPr>
      <w:r>
        <w:rPr>
          <w:rFonts w:hint="eastAsia" w:ascii="宋体" w:hAnsi="宋体"/>
          <w:color w:val="auto"/>
          <w:szCs w:val="21"/>
          <w:highlight w:val="none"/>
        </w:rPr>
        <w:t xml:space="preserve"> </w:t>
      </w:r>
      <w:r>
        <w:rPr>
          <w:rFonts w:hint="eastAsia" w:ascii="宋体" w:hAnsi="宋体" w:cs="宋体"/>
          <w:color w:val="auto"/>
          <w:kern w:val="0"/>
          <w:szCs w:val="21"/>
          <w:highlight w:val="none"/>
        </w:rPr>
        <w:t>投标人：</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（盖单位章）</w:t>
      </w:r>
    </w:p>
    <w:p>
      <w:pPr>
        <w:autoSpaceDE w:val="0"/>
        <w:autoSpaceDN w:val="0"/>
        <w:adjustRightInd w:val="0"/>
        <w:spacing w:line="480" w:lineRule="auto"/>
        <w:jc w:val="right"/>
        <w:rPr>
          <w:rFonts w:ascii="宋体" w:hAnsi="宋体" w:cs="宋体"/>
          <w:color w:val="auto"/>
          <w:kern w:val="0"/>
          <w:szCs w:val="21"/>
          <w:highlight w:val="none"/>
        </w:rPr>
      </w:pPr>
      <w:r>
        <w:rPr>
          <w:rFonts w:hint="eastAsia" w:ascii="宋体" w:hAnsi="宋体" w:cs="宋体"/>
          <w:color w:val="auto"/>
          <w:kern w:val="0"/>
          <w:szCs w:val="21"/>
          <w:highlight w:val="none"/>
          <w:lang w:eastAsia="zh-CN"/>
        </w:rPr>
        <w:t>法定代表人（负责人）</w:t>
      </w:r>
      <w:r>
        <w:rPr>
          <w:rFonts w:hint="eastAsia" w:ascii="宋体" w:hAnsi="宋体" w:cs="宋体"/>
          <w:color w:val="auto"/>
          <w:kern w:val="0"/>
          <w:szCs w:val="21"/>
          <w:highlight w:val="none"/>
        </w:rPr>
        <w:t>或其委托代理人：</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（签字或盖章）</w:t>
      </w:r>
    </w:p>
    <w:p>
      <w:pPr>
        <w:spacing w:line="480" w:lineRule="auto"/>
        <w:ind w:firstLine="4620" w:firstLineChars="2200"/>
        <w:jc w:val="right"/>
        <w:rPr>
          <w:rFonts w:ascii="宋体" w:hAnsi="宋体"/>
          <w:color w:val="auto"/>
          <w:szCs w:val="21"/>
          <w:highlight w:val="none"/>
        </w:rPr>
      </w:pP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bookmarkEnd w:id="199"/>
      <w:bookmarkEnd w:id="200"/>
    </w:p>
    <w:bookmarkEnd w:id="157"/>
    <w:p>
      <w:pPr>
        <w:rPr>
          <w:rFonts w:ascii="宋体" w:hAnsi="宋体"/>
          <w:color w:val="auto"/>
          <w:sz w:val="24"/>
          <w:highlight w:val="none"/>
        </w:rPr>
      </w:pPr>
      <w:bookmarkStart w:id="201" w:name="_Toc10008"/>
      <w:bookmarkStart w:id="202" w:name="_Toc212032973"/>
      <w:bookmarkStart w:id="203" w:name="_Toc213560719"/>
      <w:bookmarkStart w:id="204" w:name="_Toc11308"/>
      <w:r>
        <w:rPr>
          <w:rFonts w:hint="eastAsia" w:ascii="宋体" w:hAnsi="宋体"/>
          <w:color w:val="auto"/>
          <w:sz w:val="24"/>
          <w:highlight w:val="none"/>
        </w:rPr>
        <w:br w:type="page"/>
      </w:r>
    </w:p>
    <w:bookmarkEnd w:id="201"/>
    <w:p>
      <w:pPr>
        <w:pStyle w:val="4"/>
        <w:bidi w:val="0"/>
        <w:ind w:left="0" w:firstLine="0"/>
        <w:rPr>
          <w:rFonts w:hint="default" w:ascii="宋体" w:hAnsi="宋体" w:eastAsia="宋体" w:cs="Times New Roman"/>
          <w:color w:val="auto"/>
          <w:sz w:val="32"/>
          <w:szCs w:val="32"/>
          <w:highlight w:val="none"/>
          <w:lang w:val="en-US" w:eastAsia="zh-CN"/>
        </w:rPr>
      </w:pPr>
      <w:bookmarkStart w:id="205" w:name="_Toc16028"/>
      <w:bookmarkStart w:id="206" w:name="_Toc13560"/>
      <w:bookmarkStart w:id="207" w:name="_Toc29667"/>
      <w:bookmarkStart w:id="208" w:name="_Toc11271"/>
      <w:r>
        <w:rPr>
          <w:rFonts w:hint="eastAsia" w:ascii="宋体" w:hAnsi="宋体" w:eastAsia="宋体" w:cs="Times New Roman"/>
          <w:color w:val="auto"/>
          <w:sz w:val="32"/>
          <w:szCs w:val="32"/>
          <w:highlight w:val="none"/>
          <w:lang w:val="en-US" w:eastAsia="zh-CN"/>
        </w:rPr>
        <w:t>四、</w:t>
      </w:r>
      <w:bookmarkEnd w:id="205"/>
      <w:bookmarkEnd w:id="206"/>
      <w:bookmarkEnd w:id="207"/>
      <w:bookmarkEnd w:id="208"/>
      <w:r>
        <w:rPr>
          <w:rFonts w:hint="eastAsia" w:ascii="宋体" w:hAnsi="宋体" w:eastAsia="宋体" w:cs="Times New Roman"/>
          <w:color w:val="auto"/>
          <w:sz w:val="32"/>
          <w:szCs w:val="32"/>
          <w:highlight w:val="none"/>
          <w:lang w:val="en-US" w:eastAsia="zh-CN"/>
        </w:rPr>
        <w:t>技术方案</w:t>
      </w:r>
    </w:p>
    <w:p>
      <w:pPr>
        <w:bidi w:val="0"/>
        <w:ind w:firstLine="2730" w:firstLineChars="1300"/>
        <w:rPr>
          <w:rFonts w:hint="eastAsia"/>
          <w:color w:val="auto"/>
          <w:highlight w:val="none"/>
        </w:rPr>
      </w:pPr>
      <w:bookmarkStart w:id="209" w:name="_Toc22775"/>
      <w:bookmarkStart w:id="210" w:name="_Toc12818"/>
      <w:bookmarkStart w:id="211" w:name="_Toc2082"/>
      <w:bookmarkStart w:id="212" w:name="_Toc1597"/>
      <w:r>
        <w:rPr>
          <w:rFonts w:hint="eastAsia"/>
          <w:color w:val="auto"/>
          <w:highlight w:val="none"/>
        </w:rPr>
        <w:t>（按评分标准编制内容，格式自拟）</w:t>
      </w:r>
      <w:bookmarkEnd w:id="209"/>
      <w:bookmarkEnd w:id="210"/>
      <w:bookmarkEnd w:id="211"/>
      <w:bookmarkEnd w:id="212"/>
    </w:p>
    <w:p>
      <w:pPr>
        <w:pStyle w:val="22"/>
        <w:spacing w:line="360" w:lineRule="auto"/>
        <w:ind w:left="0" w:leftChars="0" w:firstLine="0" w:firstLineChars="0"/>
        <w:rPr>
          <w:rFonts w:hint="eastAsia"/>
          <w:color w:val="auto"/>
          <w:highlight w:val="none"/>
          <w:lang w:val="en-US" w:eastAsia="zh-CN"/>
        </w:rPr>
      </w:pPr>
      <w:r>
        <w:rPr>
          <w:rFonts w:hint="eastAsia"/>
          <w:color w:val="auto"/>
          <w:highlight w:val="none"/>
          <w:lang w:val="en-US" w:eastAsia="zh-CN"/>
        </w:rPr>
        <w:t xml:space="preserve"> </w:t>
      </w:r>
    </w:p>
    <w:p>
      <w:pPr>
        <w:pStyle w:val="22"/>
        <w:keepNext w:val="0"/>
        <w:keepLines w:val="0"/>
        <w:pageBreakBefore w:val="0"/>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1、技术性能指标（</w:t>
      </w:r>
      <w:r>
        <w:rPr>
          <w:rFonts w:hint="eastAsia" w:ascii="宋体" w:hAnsi="宋体" w:eastAsia="宋体" w:cs="宋体"/>
          <w:color w:val="auto"/>
          <w:highlight w:val="none"/>
        </w:rPr>
        <w:t>按评分标准附相关资料</w:t>
      </w:r>
      <w:r>
        <w:rPr>
          <w:rFonts w:hint="eastAsia" w:ascii="宋体" w:hAnsi="宋体" w:eastAsia="宋体" w:cs="宋体"/>
          <w:color w:val="auto"/>
          <w:highlight w:val="none"/>
          <w:lang w:val="en-US" w:eastAsia="zh-CN"/>
        </w:rPr>
        <w:t>）</w:t>
      </w:r>
    </w:p>
    <w:p>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Cs w:val="21"/>
          <w:highlight w:val="none"/>
          <w:lang w:val="en-US" w:eastAsia="zh-CN" w:bidi="ar"/>
        </w:rPr>
      </w:pPr>
      <w:r>
        <w:rPr>
          <w:rFonts w:hint="eastAsia" w:ascii="宋体" w:hAnsi="宋体" w:eastAsia="宋体" w:cs="宋体"/>
          <w:color w:val="auto"/>
          <w:szCs w:val="21"/>
          <w:highlight w:val="none"/>
          <w:lang w:val="en-US" w:eastAsia="zh-CN" w:bidi="ar"/>
        </w:rPr>
        <w:t>2、总体方案</w:t>
      </w:r>
    </w:p>
    <w:p>
      <w:pPr>
        <w:pStyle w:val="22"/>
        <w:keepNext w:val="0"/>
        <w:keepLines w:val="0"/>
        <w:pageBreakBefore w:val="0"/>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3、合理化建议及风险防控</w:t>
      </w:r>
    </w:p>
    <w:p>
      <w:pPr>
        <w:pStyle w:val="2"/>
        <w:rPr>
          <w:rFonts w:hint="default"/>
          <w:lang w:val="en-US" w:eastAsia="zh-CN"/>
        </w:rPr>
      </w:pPr>
    </w:p>
    <w:p>
      <w:pPr>
        <w:bidi w:val="0"/>
        <w:rPr>
          <w:rFonts w:hint="default"/>
          <w:color w:val="auto"/>
          <w:highlight w:val="none"/>
          <w:lang w:val="en-US" w:eastAsia="zh-CN"/>
        </w:rPr>
      </w:pPr>
    </w:p>
    <w:p>
      <w:pPr>
        <w:spacing w:before="312" w:beforeLines="100" w:after="156" w:afterLines="50" w:line="480" w:lineRule="auto"/>
        <w:ind w:firstLine="170"/>
        <w:rPr>
          <w:rFonts w:ascii="宋体" w:hAnsi="宋体" w:cs="宋体"/>
          <w:color w:val="auto"/>
          <w:spacing w:val="4"/>
          <w:szCs w:val="21"/>
          <w:highlight w:val="none"/>
        </w:rPr>
      </w:pPr>
    </w:p>
    <w:p>
      <w:pPr>
        <w:pStyle w:val="11"/>
        <w:spacing w:before="120"/>
        <w:ind w:left="2167" w:right="1470" w:hanging="697"/>
        <w:jc w:val="center"/>
        <w:rPr>
          <w:rFonts w:hint="eastAsia" w:eastAsia="宋体"/>
          <w:color w:val="auto"/>
          <w:highlight w:val="none"/>
          <w:lang w:eastAsia="zh-CN"/>
        </w:rPr>
      </w:pPr>
    </w:p>
    <w:p>
      <w:pPr>
        <w:pStyle w:val="11"/>
        <w:spacing w:before="120"/>
        <w:ind w:left="2167" w:right="1470" w:hanging="697"/>
        <w:jc w:val="center"/>
        <w:rPr>
          <w:rFonts w:hint="eastAsia" w:eastAsia="宋体"/>
          <w:color w:val="auto"/>
          <w:highlight w:val="none"/>
          <w:lang w:eastAsia="zh-CN"/>
        </w:rPr>
      </w:pPr>
    </w:p>
    <w:p>
      <w:pPr>
        <w:pStyle w:val="11"/>
        <w:spacing w:before="120"/>
        <w:ind w:left="2167" w:right="1470" w:hanging="697"/>
        <w:jc w:val="center"/>
        <w:rPr>
          <w:rFonts w:hint="eastAsia" w:eastAsia="宋体"/>
          <w:color w:val="auto"/>
          <w:highlight w:val="none"/>
          <w:lang w:eastAsia="zh-CN"/>
        </w:rPr>
      </w:pPr>
    </w:p>
    <w:p>
      <w:pPr>
        <w:pStyle w:val="11"/>
        <w:spacing w:before="120"/>
        <w:ind w:left="2167" w:right="1470" w:hanging="697"/>
        <w:jc w:val="center"/>
        <w:rPr>
          <w:rFonts w:hint="eastAsia" w:eastAsia="宋体"/>
          <w:color w:val="auto"/>
          <w:highlight w:val="none"/>
          <w:lang w:eastAsia="zh-CN"/>
        </w:rPr>
      </w:pPr>
    </w:p>
    <w:p>
      <w:pPr>
        <w:pStyle w:val="11"/>
        <w:spacing w:before="120"/>
        <w:ind w:left="2167" w:right="1470" w:hanging="697"/>
        <w:jc w:val="center"/>
        <w:rPr>
          <w:rFonts w:hint="eastAsia" w:eastAsia="宋体"/>
          <w:color w:val="auto"/>
          <w:highlight w:val="none"/>
          <w:lang w:eastAsia="zh-CN"/>
        </w:rPr>
      </w:pPr>
    </w:p>
    <w:p>
      <w:pPr>
        <w:pStyle w:val="11"/>
        <w:spacing w:before="120"/>
        <w:ind w:left="2167" w:right="1470" w:hanging="697"/>
        <w:jc w:val="center"/>
        <w:rPr>
          <w:rFonts w:hint="eastAsia" w:eastAsia="宋体"/>
          <w:color w:val="auto"/>
          <w:highlight w:val="none"/>
          <w:lang w:eastAsia="zh-CN"/>
        </w:rPr>
      </w:pPr>
    </w:p>
    <w:p>
      <w:pPr>
        <w:pStyle w:val="11"/>
        <w:spacing w:before="120"/>
        <w:ind w:left="2167" w:right="1470" w:hanging="697"/>
        <w:jc w:val="center"/>
        <w:rPr>
          <w:color w:val="auto"/>
          <w:highlight w:val="none"/>
        </w:rPr>
      </w:pPr>
    </w:p>
    <w:p>
      <w:pPr>
        <w:pStyle w:val="11"/>
        <w:spacing w:before="120"/>
        <w:ind w:left="2167" w:right="1470" w:hanging="697"/>
        <w:jc w:val="center"/>
        <w:rPr>
          <w:color w:val="auto"/>
          <w:highlight w:val="none"/>
        </w:rPr>
      </w:pPr>
    </w:p>
    <w:p>
      <w:pPr>
        <w:pStyle w:val="11"/>
        <w:spacing w:before="120"/>
        <w:ind w:left="2167" w:right="1470" w:hanging="697"/>
        <w:jc w:val="center"/>
        <w:rPr>
          <w:color w:val="auto"/>
          <w:highlight w:val="none"/>
        </w:rPr>
      </w:pPr>
    </w:p>
    <w:p>
      <w:pPr>
        <w:pStyle w:val="11"/>
        <w:spacing w:before="120"/>
        <w:ind w:left="2167" w:right="1470" w:hanging="697"/>
        <w:jc w:val="center"/>
        <w:rPr>
          <w:color w:val="auto"/>
          <w:highlight w:val="none"/>
        </w:rPr>
      </w:pPr>
    </w:p>
    <w:p>
      <w:pPr>
        <w:pStyle w:val="11"/>
        <w:spacing w:before="120"/>
        <w:ind w:left="2167" w:right="1470" w:hanging="697"/>
        <w:jc w:val="center"/>
        <w:rPr>
          <w:color w:val="auto"/>
          <w:highlight w:val="none"/>
        </w:rPr>
      </w:pPr>
    </w:p>
    <w:p>
      <w:pPr>
        <w:pStyle w:val="11"/>
        <w:spacing w:before="120"/>
        <w:ind w:left="2167" w:right="1470" w:hanging="697"/>
        <w:jc w:val="center"/>
        <w:rPr>
          <w:color w:val="auto"/>
          <w:highlight w:val="none"/>
        </w:rPr>
      </w:pPr>
    </w:p>
    <w:p>
      <w:pPr>
        <w:pStyle w:val="11"/>
        <w:spacing w:before="120"/>
        <w:ind w:left="2167" w:right="1470" w:hanging="697"/>
        <w:jc w:val="center"/>
        <w:rPr>
          <w:color w:val="auto"/>
          <w:highlight w:val="none"/>
        </w:rPr>
      </w:pPr>
    </w:p>
    <w:p>
      <w:pPr>
        <w:pStyle w:val="11"/>
        <w:spacing w:before="120"/>
        <w:ind w:left="2167" w:right="1470" w:hanging="697"/>
        <w:jc w:val="center"/>
        <w:rPr>
          <w:rFonts w:hint="eastAsia" w:eastAsia="宋体"/>
          <w:color w:val="auto"/>
          <w:highlight w:val="none"/>
          <w:lang w:eastAsia="zh-CN"/>
        </w:rPr>
      </w:pPr>
    </w:p>
    <w:p>
      <w:pPr>
        <w:pStyle w:val="11"/>
        <w:spacing w:before="120"/>
        <w:ind w:left="2167" w:right="1470" w:hanging="697"/>
        <w:jc w:val="center"/>
        <w:rPr>
          <w:rFonts w:hint="eastAsia" w:eastAsia="宋体"/>
          <w:color w:val="auto"/>
          <w:highlight w:val="none"/>
          <w:lang w:eastAsia="zh-CN"/>
        </w:rPr>
      </w:pPr>
    </w:p>
    <w:p>
      <w:pPr>
        <w:pStyle w:val="11"/>
        <w:spacing w:before="120"/>
        <w:ind w:left="2167" w:right="1470" w:hanging="697"/>
        <w:jc w:val="center"/>
        <w:rPr>
          <w:rFonts w:hint="eastAsia" w:eastAsia="宋体"/>
          <w:color w:val="auto"/>
          <w:highlight w:val="none"/>
          <w:lang w:eastAsia="zh-CN"/>
        </w:rPr>
      </w:pPr>
    </w:p>
    <w:p>
      <w:pPr>
        <w:pStyle w:val="11"/>
        <w:spacing w:before="120"/>
        <w:ind w:left="2167" w:right="1470" w:hanging="697"/>
        <w:jc w:val="center"/>
        <w:rPr>
          <w:rFonts w:hint="eastAsia" w:eastAsia="宋体"/>
          <w:color w:val="auto"/>
          <w:highlight w:val="none"/>
          <w:lang w:eastAsia="zh-CN"/>
        </w:rPr>
      </w:pPr>
    </w:p>
    <w:p>
      <w:pPr>
        <w:pStyle w:val="11"/>
        <w:spacing w:before="120"/>
        <w:ind w:left="2167" w:right="1470" w:hanging="697"/>
        <w:jc w:val="center"/>
        <w:rPr>
          <w:color w:val="auto"/>
          <w:highlight w:val="none"/>
        </w:rPr>
      </w:pPr>
    </w:p>
    <w:p>
      <w:pPr>
        <w:spacing w:before="312" w:beforeLines="100"/>
        <w:jc w:val="center"/>
        <w:rPr>
          <w:rFonts w:ascii="宋体" w:hAnsi="宋体"/>
          <w:bCs/>
          <w:color w:val="auto"/>
          <w:sz w:val="24"/>
          <w:highlight w:val="none"/>
        </w:rPr>
      </w:pPr>
      <w:r>
        <w:rPr>
          <w:rFonts w:hint="eastAsia" w:ascii="宋体" w:hAnsi="宋体"/>
          <w:b/>
          <w:color w:val="auto"/>
          <w:sz w:val="32"/>
          <w:szCs w:val="32"/>
          <w:highlight w:val="none"/>
        </w:rPr>
        <w:br w:type="page"/>
      </w:r>
    </w:p>
    <w:p>
      <w:pPr>
        <w:bidi w:val="0"/>
        <w:rPr>
          <w:color w:val="auto"/>
          <w:highlight w:val="none"/>
        </w:rPr>
      </w:pPr>
      <w:bookmarkStart w:id="213" w:name="_Toc11459"/>
      <w:bookmarkStart w:id="214" w:name="_Toc14447"/>
      <w:bookmarkStart w:id="215" w:name="_Toc10722"/>
      <w:bookmarkStart w:id="216" w:name="_Toc4938"/>
      <w:r>
        <w:rPr>
          <w:rFonts w:hint="eastAsia"/>
          <w:color w:val="auto"/>
          <w:highlight w:val="none"/>
        </w:rPr>
        <w:t>附表1：</w:t>
      </w:r>
    </w:p>
    <w:p>
      <w:pPr>
        <w:bidi w:val="0"/>
        <w:jc w:val="center"/>
        <w:rPr>
          <w:b/>
          <w:bCs/>
          <w:color w:val="auto"/>
          <w:sz w:val="28"/>
          <w:szCs w:val="36"/>
          <w:highlight w:val="none"/>
        </w:rPr>
      </w:pPr>
      <w:r>
        <w:rPr>
          <w:rFonts w:hint="eastAsia"/>
          <w:b/>
          <w:bCs/>
          <w:color w:val="auto"/>
          <w:sz w:val="28"/>
          <w:szCs w:val="36"/>
          <w:highlight w:val="none"/>
        </w:rPr>
        <w:t>技术要求偏离表</w:t>
      </w:r>
    </w:p>
    <w:tbl>
      <w:tblPr>
        <w:tblStyle w:val="23"/>
        <w:tblW w:w="9165" w:type="dxa"/>
        <w:tblInd w:w="-1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2205"/>
        <w:gridCol w:w="2010"/>
        <w:gridCol w:w="1425"/>
        <w:gridCol w:w="1485"/>
        <w:gridCol w:w="13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720" w:type="dxa"/>
            <w:vAlign w:val="center"/>
          </w:tcPr>
          <w:p>
            <w:pPr>
              <w:jc w:val="center"/>
              <w:rPr>
                <w:rFonts w:ascii="宋体" w:cs="宋体"/>
                <w:b/>
                <w:color w:val="auto"/>
                <w:szCs w:val="21"/>
                <w:highlight w:val="none"/>
              </w:rPr>
            </w:pPr>
            <w:r>
              <w:rPr>
                <w:rFonts w:hint="eastAsia" w:ascii="宋体" w:hAnsi="宋体" w:cs="宋体"/>
                <w:b/>
                <w:color w:val="auto"/>
                <w:szCs w:val="21"/>
                <w:highlight w:val="none"/>
              </w:rPr>
              <w:t>序号</w:t>
            </w:r>
          </w:p>
        </w:tc>
        <w:tc>
          <w:tcPr>
            <w:tcW w:w="2205" w:type="dxa"/>
            <w:vAlign w:val="center"/>
          </w:tcPr>
          <w:p>
            <w:pPr>
              <w:jc w:val="center"/>
              <w:rPr>
                <w:rFonts w:ascii="宋体" w:hAnsi="宋体" w:cs="宋体"/>
                <w:b/>
                <w:color w:val="auto"/>
                <w:szCs w:val="21"/>
                <w:highlight w:val="none"/>
              </w:rPr>
            </w:pPr>
            <w:r>
              <w:rPr>
                <w:rFonts w:hint="eastAsia" w:ascii="宋体" w:hAnsi="宋体" w:cs="宋体"/>
                <w:b/>
                <w:color w:val="auto"/>
                <w:szCs w:val="21"/>
                <w:highlight w:val="none"/>
              </w:rPr>
              <w:t>招标文件技术要求</w:t>
            </w:r>
          </w:p>
        </w:tc>
        <w:tc>
          <w:tcPr>
            <w:tcW w:w="2010" w:type="dxa"/>
            <w:vAlign w:val="center"/>
          </w:tcPr>
          <w:p>
            <w:pPr>
              <w:jc w:val="center"/>
              <w:rPr>
                <w:rFonts w:ascii="宋体" w:cs="宋体"/>
                <w:b/>
                <w:color w:val="auto"/>
                <w:szCs w:val="21"/>
                <w:highlight w:val="none"/>
              </w:rPr>
            </w:pPr>
            <w:r>
              <w:rPr>
                <w:rFonts w:hint="eastAsia" w:ascii="宋体" w:hAnsi="宋体" w:cs="宋体"/>
                <w:b/>
                <w:color w:val="auto"/>
                <w:szCs w:val="21"/>
                <w:highlight w:val="none"/>
              </w:rPr>
              <w:t>投标响应</w:t>
            </w:r>
          </w:p>
        </w:tc>
        <w:tc>
          <w:tcPr>
            <w:tcW w:w="1425" w:type="dxa"/>
            <w:vAlign w:val="center"/>
          </w:tcPr>
          <w:p>
            <w:pPr>
              <w:jc w:val="center"/>
              <w:rPr>
                <w:rFonts w:ascii="宋体" w:cs="宋体"/>
                <w:b/>
                <w:color w:val="auto"/>
                <w:szCs w:val="21"/>
                <w:highlight w:val="none"/>
              </w:rPr>
            </w:pPr>
            <w:r>
              <w:rPr>
                <w:rFonts w:hint="eastAsia" w:ascii="宋体" w:cs="宋体"/>
                <w:b/>
                <w:color w:val="auto"/>
                <w:szCs w:val="21"/>
                <w:highlight w:val="none"/>
              </w:rPr>
              <w:t>正负偏离</w:t>
            </w:r>
          </w:p>
        </w:tc>
        <w:tc>
          <w:tcPr>
            <w:tcW w:w="1485" w:type="dxa"/>
            <w:vAlign w:val="center"/>
          </w:tcPr>
          <w:p>
            <w:pPr>
              <w:jc w:val="center"/>
              <w:rPr>
                <w:rFonts w:ascii="宋体" w:cs="宋体"/>
                <w:b/>
                <w:color w:val="auto"/>
                <w:szCs w:val="21"/>
                <w:highlight w:val="none"/>
              </w:rPr>
            </w:pPr>
            <w:r>
              <w:rPr>
                <w:rFonts w:hint="eastAsia" w:ascii="宋体" w:cs="宋体"/>
                <w:b/>
                <w:color w:val="auto"/>
                <w:szCs w:val="21"/>
                <w:highlight w:val="none"/>
              </w:rPr>
              <w:t>偏离说明</w:t>
            </w:r>
          </w:p>
        </w:tc>
        <w:tc>
          <w:tcPr>
            <w:tcW w:w="1320" w:type="dxa"/>
            <w:vAlign w:val="center"/>
          </w:tcPr>
          <w:p>
            <w:pPr>
              <w:jc w:val="center"/>
              <w:rPr>
                <w:rFonts w:hint="default" w:ascii="宋体" w:eastAsia="宋体" w:cs="宋体"/>
                <w:b/>
                <w:color w:val="auto"/>
                <w:szCs w:val="21"/>
                <w:highlight w:val="none"/>
                <w:lang w:val="en-US" w:eastAsia="zh-CN"/>
              </w:rPr>
            </w:pPr>
            <w:r>
              <w:rPr>
                <w:rFonts w:hint="eastAsia" w:ascii="宋体" w:cs="宋体"/>
                <w:b/>
                <w:color w:val="auto"/>
                <w:szCs w:val="21"/>
                <w:highlight w:val="none"/>
                <w:lang w:val="en-US" w:eastAsia="zh-CN"/>
              </w:rPr>
              <w:t>页码范围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720" w:type="dxa"/>
            <w:vAlign w:val="center"/>
          </w:tcPr>
          <w:p>
            <w:pPr>
              <w:jc w:val="center"/>
              <w:rPr>
                <w:rFonts w:ascii="宋体" w:cs="宋体"/>
                <w:color w:val="auto"/>
                <w:szCs w:val="21"/>
                <w:highlight w:val="none"/>
              </w:rPr>
            </w:pPr>
          </w:p>
        </w:tc>
        <w:tc>
          <w:tcPr>
            <w:tcW w:w="2205" w:type="dxa"/>
            <w:vAlign w:val="center"/>
          </w:tcPr>
          <w:p>
            <w:pPr>
              <w:jc w:val="center"/>
              <w:rPr>
                <w:rFonts w:ascii="宋体" w:cs="宋体"/>
                <w:color w:val="auto"/>
                <w:szCs w:val="21"/>
                <w:highlight w:val="none"/>
              </w:rPr>
            </w:pPr>
          </w:p>
        </w:tc>
        <w:tc>
          <w:tcPr>
            <w:tcW w:w="2010" w:type="dxa"/>
            <w:vAlign w:val="center"/>
          </w:tcPr>
          <w:p>
            <w:pPr>
              <w:jc w:val="center"/>
              <w:rPr>
                <w:rFonts w:ascii="宋体" w:cs="宋体"/>
                <w:color w:val="auto"/>
                <w:szCs w:val="21"/>
                <w:highlight w:val="none"/>
              </w:rPr>
            </w:pPr>
          </w:p>
        </w:tc>
        <w:tc>
          <w:tcPr>
            <w:tcW w:w="1425" w:type="dxa"/>
            <w:vAlign w:val="center"/>
          </w:tcPr>
          <w:p>
            <w:pPr>
              <w:jc w:val="center"/>
              <w:rPr>
                <w:rFonts w:ascii="宋体" w:cs="宋体"/>
                <w:color w:val="auto"/>
                <w:szCs w:val="21"/>
                <w:highlight w:val="none"/>
              </w:rPr>
            </w:pPr>
          </w:p>
        </w:tc>
        <w:tc>
          <w:tcPr>
            <w:tcW w:w="1485" w:type="dxa"/>
            <w:vAlign w:val="center"/>
          </w:tcPr>
          <w:p>
            <w:pPr>
              <w:jc w:val="center"/>
              <w:rPr>
                <w:rFonts w:ascii="宋体" w:cs="宋体"/>
                <w:color w:val="auto"/>
                <w:szCs w:val="21"/>
                <w:highlight w:val="none"/>
              </w:rPr>
            </w:pPr>
          </w:p>
        </w:tc>
        <w:tc>
          <w:tcPr>
            <w:tcW w:w="1320" w:type="dxa"/>
            <w:vAlign w:val="center"/>
          </w:tcPr>
          <w:p>
            <w:pPr>
              <w:jc w:val="center"/>
              <w:rPr>
                <w:rFonts w:asci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720" w:type="dxa"/>
            <w:vAlign w:val="center"/>
          </w:tcPr>
          <w:p>
            <w:pPr>
              <w:jc w:val="center"/>
              <w:rPr>
                <w:rFonts w:ascii="宋体" w:cs="宋体"/>
                <w:color w:val="auto"/>
                <w:szCs w:val="21"/>
                <w:highlight w:val="none"/>
              </w:rPr>
            </w:pPr>
          </w:p>
        </w:tc>
        <w:tc>
          <w:tcPr>
            <w:tcW w:w="2205" w:type="dxa"/>
            <w:vAlign w:val="center"/>
          </w:tcPr>
          <w:p>
            <w:pPr>
              <w:jc w:val="center"/>
              <w:rPr>
                <w:rFonts w:ascii="宋体" w:cs="宋体"/>
                <w:color w:val="auto"/>
                <w:szCs w:val="21"/>
                <w:highlight w:val="none"/>
              </w:rPr>
            </w:pPr>
          </w:p>
        </w:tc>
        <w:tc>
          <w:tcPr>
            <w:tcW w:w="2010" w:type="dxa"/>
            <w:vAlign w:val="center"/>
          </w:tcPr>
          <w:p>
            <w:pPr>
              <w:jc w:val="center"/>
              <w:rPr>
                <w:rFonts w:ascii="宋体" w:cs="宋体"/>
                <w:color w:val="auto"/>
                <w:szCs w:val="21"/>
                <w:highlight w:val="none"/>
              </w:rPr>
            </w:pPr>
          </w:p>
        </w:tc>
        <w:tc>
          <w:tcPr>
            <w:tcW w:w="1425" w:type="dxa"/>
            <w:vAlign w:val="center"/>
          </w:tcPr>
          <w:p>
            <w:pPr>
              <w:jc w:val="center"/>
              <w:rPr>
                <w:rFonts w:ascii="宋体" w:cs="宋体"/>
                <w:color w:val="auto"/>
                <w:szCs w:val="21"/>
                <w:highlight w:val="none"/>
              </w:rPr>
            </w:pPr>
          </w:p>
        </w:tc>
        <w:tc>
          <w:tcPr>
            <w:tcW w:w="1485" w:type="dxa"/>
            <w:vAlign w:val="center"/>
          </w:tcPr>
          <w:p>
            <w:pPr>
              <w:jc w:val="center"/>
              <w:rPr>
                <w:rFonts w:ascii="宋体" w:cs="宋体"/>
                <w:color w:val="auto"/>
                <w:szCs w:val="21"/>
                <w:highlight w:val="none"/>
              </w:rPr>
            </w:pPr>
          </w:p>
        </w:tc>
        <w:tc>
          <w:tcPr>
            <w:tcW w:w="1320" w:type="dxa"/>
            <w:vAlign w:val="center"/>
          </w:tcPr>
          <w:p>
            <w:pPr>
              <w:jc w:val="center"/>
              <w:rPr>
                <w:rFonts w:asci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720" w:type="dxa"/>
            <w:vAlign w:val="center"/>
          </w:tcPr>
          <w:p>
            <w:pPr>
              <w:jc w:val="center"/>
              <w:rPr>
                <w:rFonts w:ascii="宋体" w:cs="宋体"/>
                <w:color w:val="auto"/>
                <w:szCs w:val="21"/>
                <w:highlight w:val="none"/>
              </w:rPr>
            </w:pPr>
          </w:p>
        </w:tc>
        <w:tc>
          <w:tcPr>
            <w:tcW w:w="2205" w:type="dxa"/>
            <w:vAlign w:val="center"/>
          </w:tcPr>
          <w:p>
            <w:pPr>
              <w:jc w:val="center"/>
              <w:rPr>
                <w:rFonts w:ascii="宋体" w:cs="宋体"/>
                <w:color w:val="auto"/>
                <w:szCs w:val="21"/>
                <w:highlight w:val="none"/>
              </w:rPr>
            </w:pPr>
          </w:p>
        </w:tc>
        <w:tc>
          <w:tcPr>
            <w:tcW w:w="2010" w:type="dxa"/>
            <w:vAlign w:val="center"/>
          </w:tcPr>
          <w:p>
            <w:pPr>
              <w:jc w:val="center"/>
              <w:rPr>
                <w:rFonts w:ascii="宋体" w:cs="宋体"/>
                <w:color w:val="auto"/>
                <w:szCs w:val="21"/>
                <w:highlight w:val="none"/>
              </w:rPr>
            </w:pPr>
          </w:p>
        </w:tc>
        <w:tc>
          <w:tcPr>
            <w:tcW w:w="1425" w:type="dxa"/>
            <w:vAlign w:val="center"/>
          </w:tcPr>
          <w:p>
            <w:pPr>
              <w:jc w:val="center"/>
              <w:rPr>
                <w:rFonts w:ascii="宋体" w:cs="宋体"/>
                <w:color w:val="auto"/>
                <w:szCs w:val="21"/>
                <w:highlight w:val="none"/>
              </w:rPr>
            </w:pPr>
          </w:p>
        </w:tc>
        <w:tc>
          <w:tcPr>
            <w:tcW w:w="1485" w:type="dxa"/>
            <w:vAlign w:val="center"/>
          </w:tcPr>
          <w:p>
            <w:pPr>
              <w:jc w:val="center"/>
              <w:rPr>
                <w:rFonts w:ascii="宋体" w:cs="宋体"/>
                <w:color w:val="auto"/>
                <w:szCs w:val="21"/>
                <w:highlight w:val="none"/>
              </w:rPr>
            </w:pPr>
          </w:p>
        </w:tc>
        <w:tc>
          <w:tcPr>
            <w:tcW w:w="1320" w:type="dxa"/>
            <w:vAlign w:val="center"/>
          </w:tcPr>
          <w:p>
            <w:pPr>
              <w:jc w:val="center"/>
              <w:rPr>
                <w:rFonts w:asci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720" w:type="dxa"/>
            <w:vAlign w:val="center"/>
          </w:tcPr>
          <w:p>
            <w:pPr>
              <w:jc w:val="center"/>
              <w:rPr>
                <w:rFonts w:ascii="宋体" w:cs="宋体"/>
                <w:color w:val="auto"/>
                <w:szCs w:val="21"/>
                <w:highlight w:val="none"/>
              </w:rPr>
            </w:pPr>
          </w:p>
        </w:tc>
        <w:tc>
          <w:tcPr>
            <w:tcW w:w="2205" w:type="dxa"/>
            <w:vAlign w:val="center"/>
          </w:tcPr>
          <w:p>
            <w:pPr>
              <w:jc w:val="center"/>
              <w:rPr>
                <w:rFonts w:ascii="宋体" w:cs="宋体"/>
                <w:color w:val="auto"/>
                <w:szCs w:val="21"/>
                <w:highlight w:val="none"/>
              </w:rPr>
            </w:pPr>
          </w:p>
        </w:tc>
        <w:tc>
          <w:tcPr>
            <w:tcW w:w="2010" w:type="dxa"/>
            <w:vAlign w:val="center"/>
          </w:tcPr>
          <w:p>
            <w:pPr>
              <w:jc w:val="center"/>
              <w:rPr>
                <w:rFonts w:ascii="宋体" w:cs="宋体"/>
                <w:color w:val="auto"/>
                <w:szCs w:val="21"/>
                <w:highlight w:val="none"/>
              </w:rPr>
            </w:pPr>
          </w:p>
        </w:tc>
        <w:tc>
          <w:tcPr>
            <w:tcW w:w="1425" w:type="dxa"/>
            <w:vAlign w:val="center"/>
          </w:tcPr>
          <w:p>
            <w:pPr>
              <w:jc w:val="center"/>
              <w:rPr>
                <w:rFonts w:ascii="宋体" w:cs="宋体"/>
                <w:color w:val="auto"/>
                <w:szCs w:val="21"/>
                <w:highlight w:val="none"/>
              </w:rPr>
            </w:pPr>
          </w:p>
        </w:tc>
        <w:tc>
          <w:tcPr>
            <w:tcW w:w="1485" w:type="dxa"/>
            <w:vAlign w:val="center"/>
          </w:tcPr>
          <w:p>
            <w:pPr>
              <w:jc w:val="center"/>
              <w:rPr>
                <w:rFonts w:ascii="宋体" w:cs="宋体"/>
                <w:color w:val="auto"/>
                <w:szCs w:val="21"/>
                <w:highlight w:val="none"/>
              </w:rPr>
            </w:pPr>
          </w:p>
        </w:tc>
        <w:tc>
          <w:tcPr>
            <w:tcW w:w="1320" w:type="dxa"/>
            <w:vAlign w:val="center"/>
          </w:tcPr>
          <w:p>
            <w:pPr>
              <w:jc w:val="center"/>
              <w:rPr>
                <w:rFonts w:asci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720" w:type="dxa"/>
            <w:vAlign w:val="center"/>
          </w:tcPr>
          <w:p>
            <w:pPr>
              <w:jc w:val="center"/>
              <w:rPr>
                <w:rFonts w:ascii="宋体" w:cs="宋体"/>
                <w:color w:val="auto"/>
                <w:szCs w:val="21"/>
                <w:highlight w:val="none"/>
              </w:rPr>
            </w:pPr>
          </w:p>
        </w:tc>
        <w:tc>
          <w:tcPr>
            <w:tcW w:w="2205" w:type="dxa"/>
            <w:vAlign w:val="center"/>
          </w:tcPr>
          <w:p>
            <w:pPr>
              <w:jc w:val="center"/>
              <w:rPr>
                <w:rFonts w:ascii="宋体" w:cs="宋体"/>
                <w:color w:val="auto"/>
                <w:szCs w:val="21"/>
                <w:highlight w:val="none"/>
              </w:rPr>
            </w:pPr>
          </w:p>
        </w:tc>
        <w:tc>
          <w:tcPr>
            <w:tcW w:w="2010" w:type="dxa"/>
            <w:vAlign w:val="center"/>
          </w:tcPr>
          <w:p>
            <w:pPr>
              <w:jc w:val="center"/>
              <w:rPr>
                <w:rFonts w:ascii="宋体" w:cs="宋体"/>
                <w:color w:val="auto"/>
                <w:szCs w:val="21"/>
                <w:highlight w:val="none"/>
              </w:rPr>
            </w:pPr>
          </w:p>
        </w:tc>
        <w:tc>
          <w:tcPr>
            <w:tcW w:w="1425" w:type="dxa"/>
            <w:vAlign w:val="center"/>
          </w:tcPr>
          <w:p>
            <w:pPr>
              <w:jc w:val="center"/>
              <w:rPr>
                <w:rFonts w:ascii="宋体" w:cs="宋体"/>
                <w:color w:val="auto"/>
                <w:szCs w:val="21"/>
                <w:highlight w:val="none"/>
              </w:rPr>
            </w:pPr>
          </w:p>
        </w:tc>
        <w:tc>
          <w:tcPr>
            <w:tcW w:w="1485" w:type="dxa"/>
            <w:vAlign w:val="center"/>
          </w:tcPr>
          <w:p>
            <w:pPr>
              <w:jc w:val="center"/>
              <w:rPr>
                <w:rFonts w:ascii="宋体" w:cs="宋体"/>
                <w:color w:val="auto"/>
                <w:szCs w:val="21"/>
                <w:highlight w:val="none"/>
              </w:rPr>
            </w:pPr>
          </w:p>
        </w:tc>
        <w:tc>
          <w:tcPr>
            <w:tcW w:w="1320" w:type="dxa"/>
            <w:vAlign w:val="center"/>
          </w:tcPr>
          <w:p>
            <w:pPr>
              <w:jc w:val="center"/>
              <w:rPr>
                <w:rFonts w:asci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720" w:type="dxa"/>
            <w:vAlign w:val="center"/>
          </w:tcPr>
          <w:p>
            <w:pPr>
              <w:jc w:val="center"/>
              <w:rPr>
                <w:rFonts w:ascii="宋体" w:cs="宋体"/>
                <w:color w:val="auto"/>
                <w:szCs w:val="21"/>
                <w:highlight w:val="none"/>
              </w:rPr>
            </w:pPr>
          </w:p>
        </w:tc>
        <w:tc>
          <w:tcPr>
            <w:tcW w:w="2205" w:type="dxa"/>
            <w:vAlign w:val="center"/>
          </w:tcPr>
          <w:p>
            <w:pPr>
              <w:jc w:val="center"/>
              <w:rPr>
                <w:rFonts w:ascii="宋体" w:cs="宋体"/>
                <w:color w:val="auto"/>
                <w:szCs w:val="21"/>
                <w:highlight w:val="none"/>
              </w:rPr>
            </w:pPr>
          </w:p>
        </w:tc>
        <w:tc>
          <w:tcPr>
            <w:tcW w:w="2010" w:type="dxa"/>
            <w:vAlign w:val="center"/>
          </w:tcPr>
          <w:p>
            <w:pPr>
              <w:jc w:val="center"/>
              <w:rPr>
                <w:rFonts w:ascii="宋体" w:cs="宋体"/>
                <w:color w:val="auto"/>
                <w:szCs w:val="21"/>
                <w:highlight w:val="none"/>
              </w:rPr>
            </w:pPr>
          </w:p>
        </w:tc>
        <w:tc>
          <w:tcPr>
            <w:tcW w:w="1425" w:type="dxa"/>
            <w:vAlign w:val="center"/>
          </w:tcPr>
          <w:p>
            <w:pPr>
              <w:jc w:val="center"/>
              <w:rPr>
                <w:rFonts w:ascii="宋体" w:cs="宋体"/>
                <w:color w:val="auto"/>
                <w:szCs w:val="21"/>
                <w:highlight w:val="none"/>
              </w:rPr>
            </w:pPr>
          </w:p>
        </w:tc>
        <w:tc>
          <w:tcPr>
            <w:tcW w:w="1485" w:type="dxa"/>
            <w:vAlign w:val="center"/>
          </w:tcPr>
          <w:p>
            <w:pPr>
              <w:jc w:val="center"/>
              <w:rPr>
                <w:rFonts w:ascii="宋体" w:cs="宋体"/>
                <w:color w:val="auto"/>
                <w:szCs w:val="21"/>
                <w:highlight w:val="none"/>
              </w:rPr>
            </w:pPr>
          </w:p>
        </w:tc>
        <w:tc>
          <w:tcPr>
            <w:tcW w:w="1320" w:type="dxa"/>
            <w:vAlign w:val="center"/>
          </w:tcPr>
          <w:p>
            <w:pPr>
              <w:jc w:val="center"/>
              <w:rPr>
                <w:rFonts w:asci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720" w:type="dxa"/>
            <w:vAlign w:val="center"/>
          </w:tcPr>
          <w:p>
            <w:pPr>
              <w:jc w:val="center"/>
              <w:rPr>
                <w:rFonts w:ascii="宋体" w:cs="宋体"/>
                <w:color w:val="auto"/>
                <w:szCs w:val="21"/>
                <w:highlight w:val="none"/>
              </w:rPr>
            </w:pPr>
          </w:p>
        </w:tc>
        <w:tc>
          <w:tcPr>
            <w:tcW w:w="2205" w:type="dxa"/>
            <w:vAlign w:val="center"/>
          </w:tcPr>
          <w:p>
            <w:pPr>
              <w:jc w:val="center"/>
              <w:rPr>
                <w:rFonts w:ascii="宋体" w:cs="宋体"/>
                <w:color w:val="auto"/>
                <w:szCs w:val="21"/>
                <w:highlight w:val="none"/>
              </w:rPr>
            </w:pPr>
          </w:p>
        </w:tc>
        <w:tc>
          <w:tcPr>
            <w:tcW w:w="2010" w:type="dxa"/>
            <w:vAlign w:val="center"/>
          </w:tcPr>
          <w:p>
            <w:pPr>
              <w:jc w:val="center"/>
              <w:rPr>
                <w:rFonts w:ascii="宋体" w:cs="宋体"/>
                <w:color w:val="auto"/>
                <w:szCs w:val="21"/>
                <w:highlight w:val="none"/>
              </w:rPr>
            </w:pPr>
          </w:p>
        </w:tc>
        <w:tc>
          <w:tcPr>
            <w:tcW w:w="1425" w:type="dxa"/>
            <w:vAlign w:val="center"/>
          </w:tcPr>
          <w:p>
            <w:pPr>
              <w:jc w:val="center"/>
              <w:rPr>
                <w:rFonts w:ascii="宋体" w:cs="宋体"/>
                <w:color w:val="auto"/>
                <w:szCs w:val="21"/>
                <w:highlight w:val="none"/>
              </w:rPr>
            </w:pPr>
          </w:p>
        </w:tc>
        <w:tc>
          <w:tcPr>
            <w:tcW w:w="1485" w:type="dxa"/>
            <w:vAlign w:val="center"/>
          </w:tcPr>
          <w:p>
            <w:pPr>
              <w:jc w:val="center"/>
              <w:rPr>
                <w:rFonts w:ascii="宋体" w:cs="宋体"/>
                <w:color w:val="auto"/>
                <w:szCs w:val="21"/>
                <w:highlight w:val="none"/>
              </w:rPr>
            </w:pPr>
          </w:p>
        </w:tc>
        <w:tc>
          <w:tcPr>
            <w:tcW w:w="1320" w:type="dxa"/>
            <w:vAlign w:val="center"/>
          </w:tcPr>
          <w:p>
            <w:pPr>
              <w:jc w:val="center"/>
              <w:rPr>
                <w:rFonts w:asci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720" w:type="dxa"/>
            <w:vAlign w:val="center"/>
          </w:tcPr>
          <w:p>
            <w:pPr>
              <w:jc w:val="center"/>
              <w:rPr>
                <w:rFonts w:ascii="宋体" w:cs="宋体"/>
                <w:color w:val="auto"/>
                <w:szCs w:val="21"/>
                <w:highlight w:val="none"/>
              </w:rPr>
            </w:pPr>
          </w:p>
        </w:tc>
        <w:tc>
          <w:tcPr>
            <w:tcW w:w="2205" w:type="dxa"/>
            <w:vAlign w:val="center"/>
          </w:tcPr>
          <w:p>
            <w:pPr>
              <w:jc w:val="center"/>
              <w:rPr>
                <w:rFonts w:ascii="宋体" w:cs="宋体"/>
                <w:color w:val="auto"/>
                <w:szCs w:val="21"/>
                <w:highlight w:val="none"/>
              </w:rPr>
            </w:pPr>
          </w:p>
        </w:tc>
        <w:tc>
          <w:tcPr>
            <w:tcW w:w="2010" w:type="dxa"/>
            <w:vAlign w:val="center"/>
          </w:tcPr>
          <w:p>
            <w:pPr>
              <w:jc w:val="center"/>
              <w:rPr>
                <w:rFonts w:ascii="宋体" w:cs="宋体"/>
                <w:color w:val="auto"/>
                <w:szCs w:val="21"/>
                <w:highlight w:val="none"/>
              </w:rPr>
            </w:pPr>
          </w:p>
        </w:tc>
        <w:tc>
          <w:tcPr>
            <w:tcW w:w="1425" w:type="dxa"/>
            <w:vAlign w:val="center"/>
          </w:tcPr>
          <w:p>
            <w:pPr>
              <w:jc w:val="center"/>
              <w:rPr>
                <w:rFonts w:ascii="宋体" w:cs="宋体"/>
                <w:color w:val="auto"/>
                <w:szCs w:val="21"/>
                <w:highlight w:val="none"/>
              </w:rPr>
            </w:pPr>
          </w:p>
        </w:tc>
        <w:tc>
          <w:tcPr>
            <w:tcW w:w="1485" w:type="dxa"/>
            <w:vAlign w:val="center"/>
          </w:tcPr>
          <w:p>
            <w:pPr>
              <w:jc w:val="center"/>
              <w:rPr>
                <w:rFonts w:ascii="宋体" w:cs="宋体"/>
                <w:color w:val="auto"/>
                <w:szCs w:val="21"/>
                <w:highlight w:val="none"/>
              </w:rPr>
            </w:pPr>
          </w:p>
        </w:tc>
        <w:tc>
          <w:tcPr>
            <w:tcW w:w="1320" w:type="dxa"/>
            <w:vAlign w:val="center"/>
          </w:tcPr>
          <w:p>
            <w:pPr>
              <w:jc w:val="center"/>
              <w:rPr>
                <w:rFonts w:ascii="宋体" w:cs="宋体"/>
                <w:color w:val="auto"/>
                <w:szCs w:val="21"/>
                <w:highlight w:val="none"/>
              </w:rPr>
            </w:pPr>
          </w:p>
        </w:tc>
      </w:tr>
    </w:tbl>
    <w:p>
      <w:pPr>
        <w:spacing w:line="400" w:lineRule="exact"/>
        <w:ind w:firstLine="210" w:firstLineChars="100"/>
        <w:jc w:val="left"/>
        <w:rPr>
          <w:rFonts w:ascii="宋体" w:hAnsi="宋体" w:cs="宋体"/>
          <w:color w:val="auto"/>
          <w:szCs w:val="21"/>
          <w:highlight w:val="none"/>
        </w:rPr>
      </w:pPr>
      <w:r>
        <w:rPr>
          <w:rFonts w:hint="eastAsia" w:ascii="宋体" w:hAnsi="宋体" w:cs="宋体"/>
          <w:color w:val="auto"/>
          <w:szCs w:val="21"/>
          <w:highlight w:val="none"/>
        </w:rPr>
        <w:t>注：1、本表应严格按照“第四章 采购内容及要求”中采购的</w:t>
      </w:r>
      <w:r>
        <w:rPr>
          <w:rFonts w:hint="eastAsia" w:ascii="宋体" w:hAnsi="宋体" w:cs="宋体"/>
          <w:color w:val="auto"/>
          <w:szCs w:val="21"/>
          <w:highlight w:val="none"/>
          <w:lang w:val="en-US" w:eastAsia="zh-CN"/>
        </w:rPr>
        <w:t>产品</w:t>
      </w:r>
      <w:r>
        <w:rPr>
          <w:rFonts w:hint="eastAsia" w:ascii="宋体" w:hAnsi="宋体" w:cs="宋体"/>
          <w:color w:val="auto"/>
          <w:szCs w:val="21"/>
          <w:highlight w:val="none"/>
        </w:rPr>
        <w:t>内容填写；“招标文件技术要求”须按招标文件的技术参数填写；“投标响应”为投标人所提供的</w:t>
      </w:r>
      <w:r>
        <w:rPr>
          <w:rFonts w:hint="eastAsia" w:ascii="宋体" w:hAnsi="宋体" w:cs="宋体"/>
          <w:color w:val="auto"/>
          <w:szCs w:val="21"/>
          <w:highlight w:val="none"/>
          <w:lang w:val="en-US" w:eastAsia="zh-CN"/>
        </w:rPr>
        <w:t>产品</w:t>
      </w:r>
      <w:r>
        <w:rPr>
          <w:rFonts w:hint="eastAsia" w:ascii="宋体" w:hAnsi="宋体" w:cs="宋体"/>
          <w:color w:val="auto"/>
          <w:szCs w:val="21"/>
          <w:highlight w:val="none"/>
        </w:rPr>
        <w:t>内容；“正负偏离”填写：优于或低于。如偏离请在“偏离说明”中进行相应的说明，并按招标文件要求附相应的证明材料。</w:t>
      </w:r>
    </w:p>
    <w:p>
      <w:pPr>
        <w:spacing w:line="4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若完全响应招标文件的不用</w:t>
      </w:r>
      <w:r>
        <w:rPr>
          <w:rFonts w:hint="eastAsia" w:ascii="宋体" w:hAnsi="宋体" w:cs="宋体"/>
          <w:color w:val="auto"/>
          <w:highlight w:val="none"/>
        </w:rPr>
        <w:t>不用在此表中列出，但必须提交空白表</w:t>
      </w:r>
      <w:r>
        <w:rPr>
          <w:rFonts w:hint="eastAsia" w:ascii="宋体" w:hAnsi="宋体" w:cs="宋体"/>
          <w:color w:val="auto"/>
          <w:highlight w:val="none"/>
          <w:lang w:eastAsia="zh-CN"/>
        </w:rPr>
        <w:t>，</w:t>
      </w:r>
      <w:r>
        <w:rPr>
          <w:rFonts w:hint="eastAsia" w:ascii="宋体" w:hAnsi="宋体" w:cs="宋体"/>
          <w:color w:val="auto"/>
          <w:szCs w:val="21"/>
          <w:highlight w:val="none"/>
        </w:rPr>
        <w:t>并按招标文件要求附相应的证明材料。</w:t>
      </w:r>
    </w:p>
    <w:p>
      <w:pPr>
        <w:spacing w:line="400" w:lineRule="exact"/>
        <w:ind w:firstLine="420" w:firstLineChars="200"/>
        <w:jc w:val="left"/>
        <w:rPr>
          <w:rFonts w:ascii="宋体" w:cs="宋体"/>
          <w:color w:val="auto"/>
          <w:szCs w:val="21"/>
          <w:highlight w:val="none"/>
        </w:rPr>
      </w:pPr>
      <w:r>
        <w:rPr>
          <w:rFonts w:hint="eastAsia" w:ascii="宋体" w:hAnsi="宋体" w:cs="宋体"/>
          <w:color w:val="auto"/>
          <w:szCs w:val="21"/>
          <w:highlight w:val="none"/>
        </w:rPr>
        <w:t>2、投标人必须据实填写，不得虚假响应，否则将取消其投标或中标资格，并按有关规定进行处罚。</w:t>
      </w:r>
    </w:p>
    <w:p>
      <w:pPr>
        <w:pStyle w:val="28"/>
        <w:rPr>
          <w:rFonts w:ascii="宋体" w:cs="宋体"/>
          <w:color w:val="auto"/>
          <w:szCs w:val="21"/>
          <w:highlight w:val="none"/>
        </w:rPr>
      </w:pPr>
    </w:p>
    <w:p>
      <w:pPr>
        <w:pStyle w:val="28"/>
        <w:rPr>
          <w:rFonts w:ascii="宋体" w:cs="宋体"/>
          <w:color w:val="auto"/>
          <w:szCs w:val="21"/>
          <w:highlight w:val="none"/>
        </w:rPr>
      </w:pPr>
    </w:p>
    <w:p>
      <w:pPr>
        <w:spacing w:line="480" w:lineRule="auto"/>
        <w:jc w:val="right"/>
        <w:rPr>
          <w:rFonts w:ascii="宋体" w:hAnsi="宋体" w:cs="宋体"/>
          <w:color w:val="auto"/>
          <w:szCs w:val="21"/>
          <w:highlight w:val="none"/>
        </w:rPr>
      </w:pPr>
      <w:r>
        <w:rPr>
          <w:rFonts w:hint="eastAsia" w:ascii="宋体" w:hAnsi="宋体" w:cs="宋体"/>
          <w:color w:val="auto"/>
          <w:szCs w:val="21"/>
          <w:highlight w:val="none"/>
          <w:lang w:bidi="ar"/>
        </w:rPr>
        <w:t>投标人：</w:t>
      </w:r>
      <w:r>
        <w:rPr>
          <w:rFonts w:hint="eastAsia" w:ascii="宋体" w:hAnsi="宋体" w:cs="宋体"/>
          <w:color w:val="auto"/>
          <w:szCs w:val="21"/>
          <w:highlight w:val="none"/>
          <w:u w:val="single"/>
          <w:lang w:bidi="ar"/>
        </w:rPr>
        <w:t xml:space="preserve">     </w:t>
      </w:r>
      <w:r>
        <w:rPr>
          <w:rFonts w:hint="eastAsia" w:ascii="宋体" w:hAnsi="宋体" w:cs="宋体"/>
          <w:color w:val="auto"/>
          <w:szCs w:val="21"/>
          <w:highlight w:val="none"/>
          <w:u w:val="single"/>
          <w:lang w:val="en-US" w:eastAsia="zh-CN" w:bidi="ar"/>
        </w:rPr>
        <w:t xml:space="preserve">                    </w:t>
      </w:r>
      <w:r>
        <w:rPr>
          <w:rFonts w:hint="eastAsia" w:ascii="宋体" w:hAnsi="宋体" w:cs="宋体"/>
          <w:color w:val="auto"/>
          <w:szCs w:val="21"/>
          <w:highlight w:val="none"/>
          <w:u w:val="single"/>
          <w:lang w:bidi="ar"/>
        </w:rPr>
        <w:t xml:space="preserve">          </w:t>
      </w:r>
      <w:r>
        <w:rPr>
          <w:rFonts w:hint="eastAsia" w:ascii="宋体" w:hAnsi="宋体" w:cs="宋体"/>
          <w:color w:val="auto"/>
          <w:szCs w:val="21"/>
          <w:highlight w:val="none"/>
          <w:u w:val="single"/>
          <w:lang w:val="en-US" w:eastAsia="zh-CN" w:bidi="ar"/>
        </w:rPr>
        <w:t xml:space="preserve"> </w:t>
      </w:r>
      <w:r>
        <w:rPr>
          <w:rFonts w:hint="eastAsia" w:ascii="宋体" w:hAnsi="宋体" w:cs="宋体"/>
          <w:color w:val="auto"/>
          <w:szCs w:val="21"/>
          <w:highlight w:val="none"/>
          <w:u w:val="single"/>
          <w:lang w:bidi="ar"/>
        </w:rPr>
        <w:t xml:space="preserve">         </w:t>
      </w:r>
      <w:r>
        <w:rPr>
          <w:rFonts w:hint="eastAsia" w:ascii="宋体" w:hAnsi="宋体" w:cs="宋体"/>
          <w:color w:val="auto"/>
          <w:szCs w:val="21"/>
          <w:highlight w:val="none"/>
          <w:lang w:bidi="ar"/>
        </w:rPr>
        <w:t>（盖单位章）</w:t>
      </w:r>
    </w:p>
    <w:p>
      <w:pPr>
        <w:spacing w:line="480" w:lineRule="auto"/>
        <w:jc w:val="right"/>
        <w:rPr>
          <w:rFonts w:ascii="宋体" w:hAnsi="宋体" w:cs="宋体"/>
          <w:color w:val="auto"/>
          <w:szCs w:val="21"/>
          <w:highlight w:val="none"/>
        </w:rPr>
      </w:pPr>
      <w:r>
        <w:rPr>
          <w:rFonts w:hint="eastAsia" w:ascii="宋体" w:hAnsi="宋体" w:cs="宋体"/>
          <w:color w:val="auto"/>
          <w:szCs w:val="21"/>
          <w:highlight w:val="none"/>
          <w:lang w:eastAsia="zh-CN" w:bidi="ar"/>
        </w:rPr>
        <w:t>法定代表人（负责人）</w:t>
      </w:r>
      <w:r>
        <w:rPr>
          <w:rFonts w:hint="eastAsia" w:ascii="宋体" w:hAnsi="宋体" w:cs="宋体"/>
          <w:color w:val="auto"/>
          <w:szCs w:val="21"/>
          <w:highlight w:val="none"/>
          <w:lang w:bidi="ar"/>
        </w:rPr>
        <w:t>或其委托代理人：</w:t>
      </w:r>
      <w:r>
        <w:rPr>
          <w:rFonts w:hint="eastAsia" w:ascii="宋体" w:hAnsi="宋体" w:cs="宋体"/>
          <w:color w:val="auto"/>
          <w:szCs w:val="21"/>
          <w:highlight w:val="none"/>
          <w:u w:val="single"/>
          <w:lang w:bidi="ar"/>
        </w:rPr>
        <w:t xml:space="preserve">               </w:t>
      </w:r>
      <w:r>
        <w:rPr>
          <w:rFonts w:hint="eastAsia" w:ascii="宋体" w:hAnsi="宋体" w:cs="宋体"/>
          <w:color w:val="auto"/>
          <w:szCs w:val="21"/>
          <w:highlight w:val="none"/>
          <w:lang w:bidi="ar"/>
        </w:rPr>
        <w:t xml:space="preserve">（签字或盖章） </w:t>
      </w:r>
    </w:p>
    <w:p>
      <w:pPr>
        <w:spacing w:line="480" w:lineRule="auto"/>
        <w:ind w:firstLine="4620" w:firstLineChars="2200"/>
        <w:jc w:val="right"/>
        <w:rPr>
          <w:rFonts w:ascii="宋体" w:hAnsi="宋体" w:cs="宋体"/>
          <w:color w:val="auto"/>
          <w:szCs w:val="21"/>
          <w:highlight w:val="none"/>
        </w:rPr>
      </w:pPr>
      <w:r>
        <w:rPr>
          <w:rFonts w:hint="eastAsia" w:ascii="宋体" w:hAnsi="宋体" w:cs="宋体"/>
          <w:color w:val="auto"/>
          <w:szCs w:val="21"/>
          <w:highlight w:val="none"/>
          <w:u w:val="single"/>
          <w:lang w:bidi="ar"/>
        </w:rPr>
        <w:t xml:space="preserve">      </w:t>
      </w:r>
      <w:r>
        <w:rPr>
          <w:rFonts w:hint="eastAsia" w:ascii="宋体" w:hAnsi="宋体" w:cs="宋体"/>
          <w:color w:val="auto"/>
          <w:szCs w:val="21"/>
          <w:highlight w:val="none"/>
          <w:lang w:bidi="ar"/>
        </w:rPr>
        <w:t>年</w:t>
      </w:r>
      <w:r>
        <w:rPr>
          <w:rFonts w:hint="eastAsia" w:ascii="宋体" w:hAnsi="宋体" w:cs="宋体"/>
          <w:color w:val="auto"/>
          <w:szCs w:val="21"/>
          <w:highlight w:val="none"/>
          <w:u w:val="single"/>
          <w:lang w:bidi="ar"/>
        </w:rPr>
        <w:t xml:space="preserve">    </w:t>
      </w:r>
      <w:r>
        <w:rPr>
          <w:rFonts w:hint="eastAsia" w:ascii="宋体" w:hAnsi="宋体" w:cs="宋体"/>
          <w:color w:val="auto"/>
          <w:szCs w:val="21"/>
          <w:highlight w:val="none"/>
          <w:lang w:bidi="ar"/>
        </w:rPr>
        <w:t>月</w:t>
      </w:r>
      <w:r>
        <w:rPr>
          <w:rFonts w:hint="eastAsia" w:ascii="宋体" w:hAnsi="宋体" w:cs="宋体"/>
          <w:color w:val="auto"/>
          <w:szCs w:val="21"/>
          <w:highlight w:val="none"/>
          <w:u w:val="single"/>
          <w:lang w:bidi="ar"/>
        </w:rPr>
        <w:t xml:space="preserve">    </w:t>
      </w:r>
      <w:r>
        <w:rPr>
          <w:rFonts w:hint="eastAsia" w:ascii="宋体" w:hAnsi="宋体" w:cs="宋体"/>
          <w:color w:val="auto"/>
          <w:szCs w:val="21"/>
          <w:highlight w:val="none"/>
          <w:lang w:bidi="ar"/>
        </w:rPr>
        <w:t>日</w:t>
      </w:r>
    </w:p>
    <w:p>
      <w:pPr>
        <w:rPr>
          <w:color w:val="auto"/>
          <w:highlight w:val="none"/>
        </w:rPr>
      </w:pPr>
      <w:r>
        <w:rPr>
          <w:rFonts w:ascii="宋体" w:hAnsi="宋体"/>
          <w:color w:val="auto"/>
          <w:sz w:val="24"/>
          <w:szCs w:val="28"/>
          <w:highlight w:val="none"/>
        </w:rPr>
        <w:br w:type="page"/>
      </w:r>
    </w:p>
    <w:p>
      <w:pPr>
        <w:pStyle w:val="4"/>
        <w:bidi w:val="0"/>
        <w:ind w:left="0" w:firstLine="0"/>
        <w:rPr>
          <w:rFonts w:hint="default" w:ascii="宋体" w:hAnsi="宋体" w:eastAsia="宋体" w:cs="Times New Roman"/>
          <w:color w:val="auto"/>
          <w:sz w:val="32"/>
          <w:szCs w:val="32"/>
          <w:highlight w:val="none"/>
          <w:lang w:val="en-US" w:eastAsia="zh-CN"/>
        </w:rPr>
      </w:pPr>
      <w:r>
        <w:rPr>
          <w:rFonts w:hint="eastAsia" w:ascii="宋体" w:hAnsi="宋体" w:eastAsia="宋体" w:cs="Times New Roman"/>
          <w:color w:val="auto"/>
          <w:sz w:val="32"/>
          <w:szCs w:val="32"/>
          <w:highlight w:val="none"/>
          <w:lang w:val="en-US" w:eastAsia="zh-CN"/>
        </w:rPr>
        <w:t>五、商务部分</w:t>
      </w:r>
    </w:p>
    <w:p>
      <w:pPr>
        <w:pStyle w:val="22"/>
        <w:ind w:left="0" w:leftChars="0" w:firstLine="0" w:firstLineChars="0"/>
        <w:rPr>
          <w:rFonts w:hint="eastAsia"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1、业绩</w:t>
      </w:r>
      <w:bookmarkEnd w:id="213"/>
      <w:bookmarkEnd w:id="214"/>
      <w:bookmarkEnd w:id="215"/>
      <w:bookmarkEnd w:id="216"/>
    </w:p>
    <w:p>
      <w:pPr>
        <w:spacing w:line="360" w:lineRule="auto"/>
        <w:rPr>
          <w:rFonts w:ascii="宋体" w:hAnsi="宋体"/>
          <w:b/>
          <w:bCs/>
          <w:color w:val="auto"/>
          <w:szCs w:val="21"/>
          <w:highlight w:val="none"/>
        </w:rPr>
      </w:pPr>
      <w:bookmarkStart w:id="217" w:name="_Toc29747"/>
      <w:bookmarkStart w:id="218" w:name="_Toc7667"/>
      <w:bookmarkStart w:id="219" w:name="_Toc13987"/>
      <w:r>
        <w:rPr>
          <w:rFonts w:hint="eastAsia" w:ascii="宋体" w:hAnsi="宋体"/>
          <w:color w:val="auto"/>
          <w:szCs w:val="21"/>
          <w:highlight w:val="none"/>
        </w:rPr>
        <w:t>注：</w:t>
      </w:r>
      <w:r>
        <w:rPr>
          <w:rFonts w:hint="eastAsia" w:ascii="宋体" w:hAnsi="宋体" w:cs="宋体"/>
          <w:color w:val="auto"/>
          <w:szCs w:val="21"/>
          <w:highlight w:val="none"/>
        </w:rPr>
        <w:t>按评分标准中的要求提供证明材料</w:t>
      </w:r>
      <w:r>
        <w:rPr>
          <w:rFonts w:hint="eastAsia" w:ascii="宋体" w:hAnsi="宋体"/>
          <w:color w:val="auto"/>
          <w:szCs w:val="21"/>
          <w:highlight w:val="none"/>
        </w:rPr>
        <w:t>，否则不作为业绩进行考核。</w:t>
      </w:r>
    </w:p>
    <w:bookmarkEnd w:id="217"/>
    <w:bookmarkEnd w:id="218"/>
    <w:bookmarkEnd w:id="219"/>
    <w:tbl>
      <w:tblPr>
        <w:tblStyle w:val="23"/>
        <w:tblW w:w="8733" w:type="dxa"/>
        <w:tblInd w:w="1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2"/>
        <w:gridCol w:w="1538"/>
        <w:gridCol w:w="2400"/>
        <w:gridCol w:w="1882"/>
        <w:gridCol w:w="18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trPr>
        <w:tc>
          <w:tcPr>
            <w:tcW w:w="1032" w:type="dxa"/>
            <w:vAlign w:val="center"/>
          </w:tcPr>
          <w:p>
            <w:pPr>
              <w:jc w:val="center"/>
              <w:rPr>
                <w:rFonts w:ascii="宋体" w:hAnsi="宋体" w:cs="宋体"/>
                <w:b/>
                <w:bCs/>
                <w:color w:val="auto"/>
                <w:szCs w:val="21"/>
                <w:highlight w:val="none"/>
              </w:rPr>
            </w:pPr>
            <w:r>
              <w:rPr>
                <w:rFonts w:hint="eastAsia" w:ascii="宋体" w:hAnsi="宋体" w:cs="宋体"/>
                <w:b/>
                <w:bCs/>
                <w:color w:val="auto"/>
                <w:szCs w:val="21"/>
                <w:highlight w:val="none"/>
              </w:rPr>
              <w:t>序号</w:t>
            </w:r>
          </w:p>
        </w:tc>
        <w:tc>
          <w:tcPr>
            <w:tcW w:w="1538" w:type="dxa"/>
            <w:vAlign w:val="center"/>
          </w:tcPr>
          <w:p>
            <w:pPr>
              <w:jc w:val="center"/>
              <w:rPr>
                <w:rFonts w:ascii="宋体" w:hAnsi="宋体" w:cs="宋体"/>
                <w:b/>
                <w:bCs/>
                <w:color w:val="auto"/>
                <w:szCs w:val="21"/>
                <w:highlight w:val="none"/>
              </w:rPr>
            </w:pPr>
            <w:r>
              <w:rPr>
                <w:rFonts w:hint="eastAsia" w:ascii="宋体" w:hAnsi="宋体" w:cs="宋体"/>
                <w:b/>
                <w:bCs/>
                <w:color w:val="auto"/>
                <w:szCs w:val="21"/>
                <w:highlight w:val="none"/>
              </w:rPr>
              <w:t>项目名称</w:t>
            </w:r>
          </w:p>
        </w:tc>
        <w:tc>
          <w:tcPr>
            <w:tcW w:w="2400" w:type="dxa"/>
            <w:vAlign w:val="center"/>
          </w:tcPr>
          <w:p>
            <w:pPr>
              <w:jc w:val="center"/>
              <w:rPr>
                <w:rFonts w:hint="default" w:ascii="宋体" w:hAnsi="宋体" w:eastAsia="宋体" w:cs="宋体"/>
                <w:b/>
                <w:bCs/>
                <w:color w:val="auto"/>
                <w:szCs w:val="21"/>
                <w:highlight w:val="none"/>
                <w:lang w:val="en-US" w:eastAsia="zh-CN"/>
              </w:rPr>
            </w:pPr>
            <w:r>
              <w:rPr>
                <w:rFonts w:hint="eastAsia" w:ascii="宋体" w:hAnsi="宋体" w:cs="宋体"/>
                <w:b/>
                <w:bCs/>
                <w:color w:val="auto"/>
                <w:szCs w:val="21"/>
                <w:highlight w:val="none"/>
                <w:lang w:val="en-US" w:eastAsia="zh-CN"/>
              </w:rPr>
              <w:t>产品名称及品牌</w:t>
            </w:r>
          </w:p>
        </w:tc>
        <w:tc>
          <w:tcPr>
            <w:tcW w:w="1882" w:type="dxa"/>
            <w:vAlign w:val="center"/>
          </w:tcPr>
          <w:p>
            <w:pPr>
              <w:jc w:val="center"/>
              <w:rPr>
                <w:rFonts w:ascii="宋体" w:hAnsi="宋体" w:cs="宋体"/>
                <w:b/>
                <w:bCs/>
                <w:color w:val="auto"/>
                <w:szCs w:val="21"/>
                <w:highlight w:val="none"/>
              </w:rPr>
            </w:pPr>
            <w:r>
              <w:rPr>
                <w:rFonts w:hint="eastAsia" w:ascii="宋体" w:hAnsi="宋体" w:cs="宋体"/>
                <w:b/>
                <w:bCs/>
                <w:color w:val="auto"/>
                <w:szCs w:val="21"/>
                <w:highlight w:val="none"/>
              </w:rPr>
              <w:t>甲方名称</w:t>
            </w:r>
          </w:p>
        </w:tc>
        <w:tc>
          <w:tcPr>
            <w:tcW w:w="1881" w:type="dxa"/>
            <w:vAlign w:val="center"/>
          </w:tcPr>
          <w:p>
            <w:pPr>
              <w:jc w:val="center"/>
              <w:rPr>
                <w:rFonts w:ascii="宋体" w:hAnsi="宋体" w:cs="宋体"/>
                <w:b/>
                <w:bCs/>
                <w:color w:val="auto"/>
                <w:szCs w:val="21"/>
                <w:highlight w:val="none"/>
              </w:rPr>
            </w:pPr>
            <w:r>
              <w:rPr>
                <w:rFonts w:hint="eastAsia" w:ascii="宋体" w:hAnsi="宋体" w:cs="宋体"/>
                <w:b/>
                <w:bCs/>
                <w:color w:val="auto"/>
                <w:szCs w:val="21"/>
                <w:highlight w:val="none"/>
              </w:rPr>
              <w:t>签约时间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1032" w:type="dxa"/>
            <w:vAlign w:val="center"/>
          </w:tcPr>
          <w:p>
            <w:pPr>
              <w:spacing w:after="312" w:afterLines="100" w:line="400" w:lineRule="exact"/>
              <w:jc w:val="center"/>
              <w:rPr>
                <w:rFonts w:ascii="宋体" w:hAnsi="宋体" w:cs="宋体"/>
                <w:color w:val="auto"/>
                <w:szCs w:val="21"/>
                <w:highlight w:val="none"/>
              </w:rPr>
            </w:pPr>
          </w:p>
        </w:tc>
        <w:tc>
          <w:tcPr>
            <w:tcW w:w="1538" w:type="dxa"/>
            <w:vAlign w:val="center"/>
          </w:tcPr>
          <w:p>
            <w:pPr>
              <w:spacing w:after="312" w:afterLines="100" w:line="400" w:lineRule="exact"/>
              <w:jc w:val="center"/>
              <w:rPr>
                <w:rFonts w:ascii="宋体" w:hAnsi="宋体" w:cs="宋体"/>
                <w:color w:val="auto"/>
                <w:szCs w:val="21"/>
                <w:highlight w:val="none"/>
              </w:rPr>
            </w:pPr>
          </w:p>
        </w:tc>
        <w:tc>
          <w:tcPr>
            <w:tcW w:w="2400" w:type="dxa"/>
            <w:vAlign w:val="center"/>
          </w:tcPr>
          <w:p>
            <w:pPr>
              <w:spacing w:after="312" w:afterLines="100" w:line="400" w:lineRule="exact"/>
              <w:jc w:val="center"/>
              <w:rPr>
                <w:rFonts w:ascii="宋体" w:hAnsi="宋体" w:cs="宋体"/>
                <w:color w:val="auto"/>
                <w:szCs w:val="21"/>
                <w:highlight w:val="none"/>
              </w:rPr>
            </w:pPr>
          </w:p>
        </w:tc>
        <w:tc>
          <w:tcPr>
            <w:tcW w:w="1882" w:type="dxa"/>
            <w:vAlign w:val="center"/>
          </w:tcPr>
          <w:p>
            <w:pPr>
              <w:spacing w:after="312" w:afterLines="100" w:line="400" w:lineRule="exact"/>
              <w:jc w:val="center"/>
              <w:rPr>
                <w:rFonts w:ascii="宋体" w:hAnsi="宋体" w:cs="宋体"/>
                <w:color w:val="auto"/>
                <w:szCs w:val="21"/>
                <w:highlight w:val="none"/>
              </w:rPr>
            </w:pPr>
          </w:p>
        </w:tc>
        <w:tc>
          <w:tcPr>
            <w:tcW w:w="1881" w:type="dxa"/>
            <w:vAlign w:val="center"/>
          </w:tcPr>
          <w:p>
            <w:pPr>
              <w:spacing w:after="312" w:afterLines="100" w:line="400" w:lineRule="exact"/>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1032" w:type="dxa"/>
            <w:vAlign w:val="center"/>
          </w:tcPr>
          <w:p>
            <w:pPr>
              <w:spacing w:after="312" w:afterLines="100" w:line="400" w:lineRule="exact"/>
              <w:jc w:val="center"/>
              <w:rPr>
                <w:rFonts w:ascii="宋体" w:hAnsi="宋体" w:cs="宋体"/>
                <w:color w:val="auto"/>
                <w:szCs w:val="21"/>
                <w:highlight w:val="none"/>
              </w:rPr>
            </w:pPr>
          </w:p>
        </w:tc>
        <w:tc>
          <w:tcPr>
            <w:tcW w:w="1538" w:type="dxa"/>
            <w:vAlign w:val="center"/>
          </w:tcPr>
          <w:p>
            <w:pPr>
              <w:spacing w:after="312" w:afterLines="100" w:line="400" w:lineRule="exact"/>
              <w:jc w:val="center"/>
              <w:rPr>
                <w:rFonts w:ascii="宋体" w:hAnsi="宋体" w:cs="宋体"/>
                <w:color w:val="auto"/>
                <w:szCs w:val="21"/>
                <w:highlight w:val="none"/>
              </w:rPr>
            </w:pPr>
          </w:p>
        </w:tc>
        <w:tc>
          <w:tcPr>
            <w:tcW w:w="2400" w:type="dxa"/>
            <w:vAlign w:val="center"/>
          </w:tcPr>
          <w:p>
            <w:pPr>
              <w:spacing w:after="312" w:afterLines="100" w:line="400" w:lineRule="exact"/>
              <w:jc w:val="center"/>
              <w:rPr>
                <w:rFonts w:ascii="宋体" w:hAnsi="宋体" w:cs="宋体"/>
                <w:color w:val="auto"/>
                <w:szCs w:val="21"/>
                <w:highlight w:val="none"/>
              </w:rPr>
            </w:pPr>
          </w:p>
        </w:tc>
        <w:tc>
          <w:tcPr>
            <w:tcW w:w="1882" w:type="dxa"/>
            <w:vAlign w:val="center"/>
          </w:tcPr>
          <w:p>
            <w:pPr>
              <w:spacing w:after="312" w:afterLines="100" w:line="400" w:lineRule="exact"/>
              <w:jc w:val="center"/>
              <w:rPr>
                <w:rFonts w:ascii="宋体" w:hAnsi="宋体" w:cs="宋体"/>
                <w:color w:val="auto"/>
                <w:szCs w:val="21"/>
                <w:highlight w:val="none"/>
              </w:rPr>
            </w:pPr>
          </w:p>
        </w:tc>
        <w:tc>
          <w:tcPr>
            <w:tcW w:w="1881" w:type="dxa"/>
            <w:vAlign w:val="center"/>
          </w:tcPr>
          <w:p>
            <w:pPr>
              <w:spacing w:after="312" w:afterLines="100" w:line="400" w:lineRule="exact"/>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1032" w:type="dxa"/>
            <w:vAlign w:val="center"/>
          </w:tcPr>
          <w:p>
            <w:pPr>
              <w:spacing w:after="312" w:afterLines="100" w:line="400" w:lineRule="exact"/>
              <w:jc w:val="center"/>
              <w:rPr>
                <w:rFonts w:ascii="宋体" w:hAnsi="宋体" w:cs="宋体"/>
                <w:color w:val="auto"/>
                <w:szCs w:val="21"/>
                <w:highlight w:val="none"/>
              </w:rPr>
            </w:pPr>
          </w:p>
        </w:tc>
        <w:tc>
          <w:tcPr>
            <w:tcW w:w="1538" w:type="dxa"/>
            <w:vAlign w:val="center"/>
          </w:tcPr>
          <w:p>
            <w:pPr>
              <w:spacing w:after="312" w:afterLines="100" w:line="400" w:lineRule="exact"/>
              <w:jc w:val="center"/>
              <w:rPr>
                <w:rFonts w:ascii="宋体" w:hAnsi="宋体" w:cs="宋体"/>
                <w:color w:val="auto"/>
                <w:szCs w:val="21"/>
                <w:highlight w:val="none"/>
              </w:rPr>
            </w:pPr>
          </w:p>
        </w:tc>
        <w:tc>
          <w:tcPr>
            <w:tcW w:w="2400" w:type="dxa"/>
            <w:vAlign w:val="center"/>
          </w:tcPr>
          <w:p>
            <w:pPr>
              <w:spacing w:after="312" w:afterLines="100" w:line="400" w:lineRule="exact"/>
              <w:jc w:val="center"/>
              <w:rPr>
                <w:rFonts w:ascii="宋体" w:hAnsi="宋体" w:cs="宋体"/>
                <w:color w:val="auto"/>
                <w:szCs w:val="21"/>
                <w:highlight w:val="none"/>
              </w:rPr>
            </w:pPr>
          </w:p>
        </w:tc>
        <w:tc>
          <w:tcPr>
            <w:tcW w:w="1882" w:type="dxa"/>
            <w:vAlign w:val="center"/>
          </w:tcPr>
          <w:p>
            <w:pPr>
              <w:spacing w:after="312" w:afterLines="100" w:line="400" w:lineRule="exact"/>
              <w:jc w:val="center"/>
              <w:rPr>
                <w:rFonts w:ascii="宋体" w:hAnsi="宋体" w:cs="宋体"/>
                <w:color w:val="auto"/>
                <w:szCs w:val="21"/>
                <w:highlight w:val="none"/>
              </w:rPr>
            </w:pPr>
          </w:p>
        </w:tc>
        <w:tc>
          <w:tcPr>
            <w:tcW w:w="1881" w:type="dxa"/>
            <w:vAlign w:val="center"/>
          </w:tcPr>
          <w:p>
            <w:pPr>
              <w:spacing w:after="312" w:afterLines="100" w:line="400" w:lineRule="exact"/>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1032" w:type="dxa"/>
            <w:vAlign w:val="center"/>
          </w:tcPr>
          <w:p>
            <w:pPr>
              <w:spacing w:after="312" w:afterLines="100" w:line="400" w:lineRule="exact"/>
              <w:jc w:val="center"/>
              <w:rPr>
                <w:rFonts w:ascii="宋体" w:hAnsi="宋体" w:cs="宋体"/>
                <w:color w:val="auto"/>
                <w:szCs w:val="21"/>
                <w:highlight w:val="none"/>
              </w:rPr>
            </w:pPr>
          </w:p>
        </w:tc>
        <w:tc>
          <w:tcPr>
            <w:tcW w:w="1538" w:type="dxa"/>
            <w:vAlign w:val="center"/>
          </w:tcPr>
          <w:p>
            <w:pPr>
              <w:spacing w:after="312" w:afterLines="100" w:line="400" w:lineRule="exact"/>
              <w:jc w:val="center"/>
              <w:rPr>
                <w:rFonts w:ascii="宋体" w:hAnsi="宋体" w:cs="宋体"/>
                <w:color w:val="auto"/>
                <w:szCs w:val="21"/>
                <w:highlight w:val="none"/>
              </w:rPr>
            </w:pPr>
          </w:p>
        </w:tc>
        <w:tc>
          <w:tcPr>
            <w:tcW w:w="2400" w:type="dxa"/>
            <w:vAlign w:val="center"/>
          </w:tcPr>
          <w:p>
            <w:pPr>
              <w:spacing w:after="312" w:afterLines="100" w:line="400" w:lineRule="exact"/>
              <w:jc w:val="center"/>
              <w:rPr>
                <w:rFonts w:ascii="宋体" w:hAnsi="宋体" w:cs="宋体"/>
                <w:color w:val="auto"/>
                <w:szCs w:val="21"/>
                <w:highlight w:val="none"/>
              </w:rPr>
            </w:pPr>
          </w:p>
        </w:tc>
        <w:tc>
          <w:tcPr>
            <w:tcW w:w="1882" w:type="dxa"/>
            <w:vAlign w:val="center"/>
          </w:tcPr>
          <w:p>
            <w:pPr>
              <w:spacing w:after="312" w:afterLines="100" w:line="400" w:lineRule="exact"/>
              <w:jc w:val="center"/>
              <w:rPr>
                <w:rFonts w:ascii="宋体" w:hAnsi="宋体" w:cs="宋体"/>
                <w:color w:val="auto"/>
                <w:szCs w:val="21"/>
                <w:highlight w:val="none"/>
              </w:rPr>
            </w:pPr>
          </w:p>
        </w:tc>
        <w:tc>
          <w:tcPr>
            <w:tcW w:w="1881" w:type="dxa"/>
            <w:vAlign w:val="center"/>
          </w:tcPr>
          <w:p>
            <w:pPr>
              <w:spacing w:after="312" w:afterLines="100" w:line="400" w:lineRule="exact"/>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1032" w:type="dxa"/>
            <w:vAlign w:val="center"/>
          </w:tcPr>
          <w:p>
            <w:pPr>
              <w:spacing w:after="312" w:afterLines="100" w:line="400" w:lineRule="exact"/>
              <w:jc w:val="center"/>
              <w:rPr>
                <w:rFonts w:ascii="宋体" w:hAnsi="宋体" w:cs="宋体"/>
                <w:color w:val="auto"/>
                <w:szCs w:val="21"/>
                <w:highlight w:val="none"/>
              </w:rPr>
            </w:pPr>
          </w:p>
        </w:tc>
        <w:tc>
          <w:tcPr>
            <w:tcW w:w="1538" w:type="dxa"/>
            <w:vAlign w:val="center"/>
          </w:tcPr>
          <w:p>
            <w:pPr>
              <w:spacing w:after="312" w:afterLines="100" w:line="400" w:lineRule="exact"/>
              <w:jc w:val="center"/>
              <w:rPr>
                <w:rFonts w:ascii="宋体" w:hAnsi="宋体" w:cs="宋体"/>
                <w:color w:val="auto"/>
                <w:szCs w:val="21"/>
                <w:highlight w:val="none"/>
              </w:rPr>
            </w:pPr>
          </w:p>
        </w:tc>
        <w:tc>
          <w:tcPr>
            <w:tcW w:w="2400" w:type="dxa"/>
            <w:vAlign w:val="center"/>
          </w:tcPr>
          <w:p>
            <w:pPr>
              <w:spacing w:after="312" w:afterLines="100" w:line="400" w:lineRule="exact"/>
              <w:jc w:val="center"/>
              <w:rPr>
                <w:rFonts w:ascii="宋体" w:hAnsi="宋体" w:cs="宋体"/>
                <w:color w:val="auto"/>
                <w:szCs w:val="21"/>
                <w:highlight w:val="none"/>
              </w:rPr>
            </w:pPr>
          </w:p>
        </w:tc>
        <w:tc>
          <w:tcPr>
            <w:tcW w:w="1882" w:type="dxa"/>
            <w:vAlign w:val="center"/>
          </w:tcPr>
          <w:p>
            <w:pPr>
              <w:spacing w:after="312" w:afterLines="100" w:line="400" w:lineRule="exact"/>
              <w:jc w:val="center"/>
              <w:rPr>
                <w:rFonts w:ascii="宋体" w:hAnsi="宋体" w:cs="宋体"/>
                <w:color w:val="auto"/>
                <w:szCs w:val="21"/>
                <w:highlight w:val="none"/>
              </w:rPr>
            </w:pPr>
          </w:p>
        </w:tc>
        <w:tc>
          <w:tcPr>
            <w:tcW w:w="1881" w:type="dxa"/>
            <w:vAlign w:val="center"/>
          </w:tcPr>
          <w:p>
            <w:pPr>
              <w:spacing w:after="312" w:afterLines="100" w:line="400" w:lineRule="exact"/>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1032" w:type="dxa"/>
            <w:vAlign w:val="center"/>
          </w:tcPr>
          <w:p>
            <w:pPr>
              <w:spacing w:after="312" w:afterLines="100" w:line="400" w:lineRule="exact"/>
              <w:jc w:val="center"/>
              <w:rPr>
                <w:rFonts w:ascii="宋体" w:hAnsi="宋体" w:cs="宋体"/>
                <w:color w:val="auto"/>
                <w:szCs w:val="21"/>
                <w:highlight w:val="none"/>
              </w:rPr>
            </w:pPr>
          </w:p>
        </w:tc>
        <w:tc>
          <w:tcPr>
            <w:tcW w:w="1538" w:type="dxa"/>
            <w:vAlign w:val="center"/>
          </w:tcPr>
          <w:p>
            <w:pPr>
              <w:spacing w:after="312" w:afterLines="100" w:line="400" w:lineRule="exact"/>
              <w:jc w:val="center"/>
              <w:rPr>
                <w:rFonts w:ascii="宋体" w:hAnsi="宋体" w:cs="宋体"/>
                <w:color w:val="auto"/>
                <w:szCs w:val="21"/>
                <w:highlight w:val="none"/>
              </w:rPr>
            </w:pPr>
          </w:p>
        </w:tc>
        <w:tc>
          <w:tcPr>
            <w:tcW w:w="2400" w:type="dxa"/>
            <w:vAlign w:val="center"/>
          </w:tcPr>
          <w:p>
            <w:pPr>
              <w:spacing w:after="312" w:afterLines="100" w:line="400" w:lineRule="exact"/>
              <w:jc w:val="center"/>
              <w:rPr>
                <w:rFonts w:ascii="宋体" w:hAnsi="宋体" w:cs="宋体"/>
                <w:color w:val="auto"/>
                <w:szCs w:val="21"/>
                <w:highlight w:val="none"/>
              </w:rPr>
            </w:pPr>
          </w:p>
        </w:tc>
        <w:tc>
          <w:tcPr>
            <w:tcW w:w="1882" w:type="dxa"/>
            <w:vAlign w:val="center"/>
          </w:tcPr>
          <w:p>
            <w:pPr>
              <w:spacing w:after="312" w:afterLines="100" w:line="400" w:lineRule="exact"/>
              <w:jc w:val="center"/>
              <w:rPr>
                <w:rFonts w:ascii="宋体" w:hAnsi="宋体" w:cs="宋体"/>
                <w:color w:val="auto"/>
                <w:szCs w:val="21"/>
                <w:highlight w:val="none"/>
              </w:rPr>
            </w:pPr>
          </w:p>
        </w:tc>
        <w:tc>
          <w:tcPr>
            <w:tcW w:w="1881" w:type="dxa"/>
            <w:vAlign w:val="center"/>
          </w:tcPr>
          <w:p>
            <w:pPr>
              <w:spacing w:after="312" w:afterLines="100" w:line="400" w:lineRule="exact"/>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1032" w:type="dxa"/>
            <w:vAlign w:val="center"/>
          </w:tcPr>
          <w:p>
            <w:pPr>
              <w:spacing w:after="312" w:afterLines="100" w:line="400" w:lineRule="exact"/>
              <w:jc w:val="center"/>
              <w:rPr>
                <w:rFonts w:ascii="宋体" w:hAnsi="宋体" w:cs="宋体"/>
                <w:color w:val="auto"/>
                <w:szCs w:val="21"/>
                <w:highlight w:val="none"/>
              </w:rPr>
            </w:pPr>
          </w:p>
        </w:tc>
        <w:tc>
          <w:tcPr>
            <w:tcW w:w="1538" w:type="dxa"/>
            <w:vAlign w:val="center"/>
          </w:tcPr>
          <w:p>
            <w:pPr>
              <w:spacing w:after="312" w:afterLines="100" w:line="400" w:lineRule="exact"/>
              <w:jc w:val="center"/>
              <w:rPr>
                <w:rFonts w:ascii="宋体" w:hAnsi="宋体" w:cs="宋体"/>
                <w:color w:val="auto"/>
                <w:szCs w:val="21"/>
                <w:highlight w:val="none"/>
              </w:rPr>
            </w:pPr>
          </w:p>
        </w:tc>
        <w:tc>
          <w:tcPr>
            <w:tcW w:w="2400" w:type="dxa"/>
            <w:vAlign w:val="center"/>
          </w:tcPr>
          <w:p>
            <w:pPr>
              <w:spacing w:after="312" w:afterLines="100" w:line="400" w:lineRule="exact"/>
              <w:jc w:val="center"/>
              <w:rPr>
                <w:rFonts w:ascii="宋体" w:hAnsi="宋体" w:cs="宋体"/>
                <w:color w:val="auto"/>
                <w:szCs w:val="21"/>
                <w:highlight w:val="none"/>
              </w:rPr>
            </w:pPr>
          </w:p>
        </w:tc>
        <w:tc>
          <w:tcPr>
            <w:tcW w:w="1882" w:type="dxa"/>
            <w:vAlign w:val="center"/>
          </w:tcPr>
          <w:p>
            <w:pPr>
              <w:spacing w:after="312" w:afterLines="100" w:line="400" w:lineRule="exact"/>
              <w:jc w:val="center"/>
              <w:rPr>
                <w:rFonts w:ascii="宋体" w:hAnsi="宋体" w:cs="宋体"/>
                <w:color w:val="auto"/>
                <w:szCs w:val="21"/>
                <w:highlight w:val="none"/>
              </w:rPr>
            </w:pPr>
          </w:p>
        </w:tc>
        <w:tc>
          <w:tcPr>
            <w:tcW w:w="1881" w:type="dxa"/>
            <w:vAlign w:val="center"/>
          </w:tcPr>
          <w:p>
            <w:pPr>
              <w:spacing w:after="312" w:afterLines="100" w:line="400" w:lineRule="exact"/>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1032" w:type="dxa"/>
            <w:vAlign w:val="center"/>
          </w:tcPr>
          <w:p>
            <w:pPr>
              <w:spacing w:after="312" w:afterLines="100" w:line="400" w:lineRule="exact"/>
              <w:jc w:val="center"/>
              <w:rPr>
                <w:rFonts w:ascii="宋体" w:hAnsi="宋体" w:cs="宋体"/>
                <w:color w:val="auto"/>
                <w:szCs w:val="21"/>
                <w:highlight w:val="none"/>
              </w:rPr>
            </w:pPr>
          </w:p>
        </w:tc>
        <w:tc>
          <w:tcPr>
            <w:tcW w:w="1538" w:type="dxa"/>
            <w:vAlign w:val="center"/>
          </w:tcPr>
          <w:p>
            <w:pPr>
              <w:spacing w:after="312" w:afterLines="100" w:line="400" w:lineRule="exact"/>
              <w:jc w:val="center"/>
              <w:rPr>
                <w:rFonts w:ascii="宋体" w:hAnsi="宋体" w:cs="宋体"/>
                <w:color w:val="auto"/>
                <w:szCs w:val="21"/>
                <w:highlight w:val="none"/>
              </w:rPr>
            </w:pPr>
          </w:p>
        </w:tc>
        <w:tc>
          <w:tcPr>
            <w:tcW w:w="2400" w:type="dxa"/>
            <w:vAlign w:val="center"/>
          </w:tcPr>
          <w:p>
            <w:pPr>
              <w:spacing w:after="312" w:afterLines="100" w:line="400" w:lineRule="exact"/>
              <w:jc w:val="center"/>
              <w:rPr>
                <w:rFonts w:ascii="宋体" w:hAnsi="宋体" w:cs="宋体"/>
                <w:color w:val="auto"/>
                <w:szCs w:val="21"/>
                <w:highlight w:val="none"/>
              </w:rPr>
            </w:pPr>
          </w:p>
        </w:tc>
        <w:tc>
          <w:tcPr>
            <w:tcW w:w="1882" w:type="dxa"/>
            <w:vAlign w:val="center"/>
          </w:tcPr>
          <w:p>
            <w:pPr>
              <w:spacing w:after="312" w:afterLines="100" w:line="400" w:lineRule="exact"/>
              <w:jc w:val="center"/>
              <w:rPr>
                <w:rFonts w:ascii="宋体" w:hAnsi="宋体" w:cs="宋体"/>
                <w:color w:val="auto"/>
                <w:szCs w:val="21"/>
                <w:highlight w:val="none"/>
              </w:rPr>
            </w:pPr>
          </w:p>
        </w:tc>
        <w:tc>
          <w:tcPr>
            <w:tcW w:w="1881" w:type="dxa"/>
            <w:vAlign w:val="center"/>
          </w:tcPr>
          <w:p>
            <w:pPr>
              <w:spacing w:after="312" w:afterLines="100" w:line="400" w:lineRule="exact"/>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1032" w:type="dxa"/>
            <w:vAlign w:val="center"/>
          </w:tcPr>
          <w:p>
            <w:pPr>
              <w:spacing w:after="312" w:afterLines="100" w:line="400" w:lineRule="exact"/>
              <w:jc w:val="center"/>
              <w:rPr>
                <w:rFonts w:ascii="宋体" w:hAnsi="宋体" w:cs="宋体"/>
                <w:color w:val="auto"/>
                <w:szCs w:val="21"/>
                <w:highlight w:val="none"/>
              </w:rPr>
            </w:pPr>
          </w:p>
        </w:tc>
        <w:tc>
          <w:tcPr>
            <w:tcW w:w="1538" w:type="dxa"/>
            <w:vAlign w:val="center"/>
          </w:tcPr>
          <w:p>
            <w:pPr>
              <w:spacing w:after="312" w:afterLines="100" w:line="400" w:lineRule="exact"/>
              <w:jc w:val="center"/>
              <w:rPr>
                <w:rFonts w:ascii="宋体" w:hAnsi="宋体" w:cs="宋体"/>
                <w:color w:val="auto"/>
                <w:szCs w:val="21"/>
                <w:highlight w:val="none"/>
              </w:rPr>
            </w:pPr>
          </w:p>
        </w:tc>
        <w:tc>
          <w:tcPr>
            <w:tcW w:w="2400" w:type="dxa"/>
            <w:vAlign w:val="center"/>
          </w:tcPr>
          <w:p>
            <w:pPr>
              <w:spacing w:after="312" w:afterLines="100" w:line="400" w:lineRule="exact"/>
              <w:jc w:val="center"/>
              <w:rPr>
                <w:rFonts w:ascii="宋体" w:hAnsi="宋体" w:cs="宋体"/>
                <w:color w:val="auto"/>
                <w:szCs w:val="21"/>
                <w:highlight w:val="none"/>
              </w:rPr>
            </w:pPr>
          </w:p>
        </w:tc>
        <w:tc>
          <w:tcPr>
            <w:tcW w:w="1882" w:type="dxa"/>
            <w:vAlign w:val="center"/>
          </w:tcPr>
          <w:p>
            <w:pPr>
              <w:spacing w:after="312" w:afterLines="100" w:line="400" w:lineRule="exact"/>
              <w:jc w:val="center"/>
              <w:rPr>
                <w:rFonts w:ascii="宋体" w:hAnsi="宋体" w:cs="宋体"/>
                <w:color w:val="auto"/>
                <w:szCs w:val="21"/>
                <w:highlight w:val="none"/>
              </w:rPr>
            </w:pPr>
          </w:p>
        </w:tc>
        <w:tc>
          <w:tcPr>
            <w:tcW w:w="1881" w:type="dxa"/>
            <w:vAlign w:val="center"/>
          </w:tcPr>
          <w:p>
            <w:pPr>
              <w:spacing w:after="312" w:afterLines="100" w:line="400" w:lineRule="exact"/>
              <w:jc w:val="center"/>
              <w:rPr>
                <w:rFonts w:ascii="宋体" w:hAnsi="宋体" w:cs="宋体"/>
                <w:color w:val="auto"/>
                <w:szCs w:val="21"/>
                <w:highlight w:val="none"/>
              </w:rPr>
            </w:pPr>
          </w:p>
        </w:tc>
      </w:tr>
    </w:tbl>
    <w:p>
      <w:pPr>
        <w:jc w:val="center"/>
        <w:rPr>
          <w:rFonts w:ascii="宋体" w:hAnsi="宋体"/>
          <w:b/>
          <w:bCs/>
          <w:color w:val="auto"/>
          <w:kern w:val="0"/>
          <w:szCs w:val="21"/>
          <w:highlight w:val="none"/>
        </w:rPr>
      </w:pPr>
    </w:p>
    <w:p>
      <w:pPr>
        <w:jc w:val="center"/>
        <w:rPr>
          <w:rFonts w:ascii="宋体" w:hAnsi="宋体"/>
          <w:b/>
          <w:bCs/>
          <w:color w:val="auto"/>
          <w:kern w:val="0"/>
          <w:szCs w:val="21"/>
          <w:highlight w:val="none"/>
        </w:rPr>
      </w:pPr>
    </w:p>
    <w:p>
      <w:pPr>
        <w:spacing w:line="480" w:lineRule="auto"/>
        <w:jc w:val="right"/>
        <w:rPr>
          <w:rFonts w:hint="eastAsia" w:ascii="宋体" w:hAnsi="宋体" w:cs="宋体"/>
          <w:color w:val="auto"/>
          <w:kern w:val="0"/>
          <w:szCs w:val="21"/>
          <w:highlight w:val="none"/>
        </w:rPr>
      </w:pPr>
    </w:p>
    <w:p>
      <w:pPr>
        <w:spacing w:line="480" w:lineRule="auto"/>
        <w:jc w:val="right"/>
        <w:rPr>
          <w:rFonts w:ascii="宋体" w:hAnsi="宋体" w:cs="宋体"/>
          <w:color w:val="auto"/>
          <w:kern w:val="0"/>
          <w:szCs w:val="21"/>
          <w:highlight w:val="none"/>
        </w:rPr>
      </w:pPr>
      <w:r>
        <w:rPr>
          <w:rFonts w:hint="eastAsia" w:ascii="宋体" w:hAnsi="宋体" w:cs="宋体"/>
          <w:color w:val="auto"/>
          <w:kern w:val="0"/>
          <w:szCs w:val="21"/>
          <w:highlight w:val="none"/>
        </w:rPr>
        <w:t>投标人：</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（盖单位章）</w:t>
      </w:r>
    </w:p>
    <w:p>
      <w:pPr>
        <w:autoSpaceDE w:val="0"/>
        <w:autoSpaceDN w:val="0"/>
        <w:adjustRightInd w:val="0"/>
        <w:spacing w:line="480" w:lineRule="auto"/>
        <w:jc w:val="right"/>
        <w:rPr>
          <w:rFonts w:ascii="宋体" w:hAnsi="宋体" w:cs="宋体"/>
          <w:color w:val="auto"/>
          <w:kern w:val="0"/>
          <w:szCs w:val="21"/>
          <w:highlight w:val="none"/>
        </w:rPr>
      </w:pPr>
      <w:r>
        <w:rPr>
          <w:rFonts w:hint="eastAsia" w:ascii="宋体" w:hAnsi="宋体" w:cs="宋体"/>
          <w:color w:val="auto"/>
          <w:kern w:val="0"/>
          <w:szCs w:val="21"/>
          <w:highlight w:val="none"/>
          <w:lang w:eastAsia="zh-CN"/>
        </w:rPr>
        <w:t>法定代表人（负责人）</w:t>
      </w:r>
      <w:r>
        <w:rPr>
          <w:rFonts w:hint="eastAsia" w:ascii="宋体" w:hAnsi="宋体" w:cs="宋体"/>
          <w:color w:val="auto"/>
          <w:kern w:val="0"/>
          <w:szCs w:val="21"/>
          <w:highlight w:val="none"/>
        </w:rPr>
        <w:t>或其委托代理人：</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（签字或盖章）</w:t>
      </w:r>
    </w:p>
    <w:p>
      <w:pPr>
        <w:spacing w:line="480" w:lineRule="auto"/>
        <w:ind w:firstLine="4620" w:firstLineChars="2200"/>
        <w:jc w:val="right"/>
        <w:rPr>
          <w:rFonts w:ascii="宋体" w:hAnsi="宋体"/>
          <w:color w:val="auto"/>
          <w:szCs w:val="21"/>
          <w:highlight w:val="none"/>
        </w:rPr>
      </w:pP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p>
    <w:p>
      <w:pPr>
        <w:spacing w:line="480" w:lineRule="auto"/>
        <w:ind w:firstLine="4620" w:firstLineChars="2200"/>
        <w:jc w:val="right"/>
        <w:rPr>
          <w:rFonts w:ascii="宋体" w:hAnsi="宋体"/>
          <w:color w:val="auto"/>
          <w:szCs w:val="21"/>
          <w:highlight w:val="none"/>
        </w:rPr>
      </w:pPr>
    </w:p>
    <w:p>
      <w:pPr>
        <w:bidi w:val="0"/>
        <w:rPr>
          <w:color w:val="auto"/>
          <w:highlight w:val="none"/>
        </w:rPr>
      </w:pPr>
      <w:r>
        <w:rPr>
          <w:rFonts w:hint="eastAsia"/>
          <w:color w:val="auto"/>
          <w:highlight w:val="none"/>
        </w:rPr>
        <w:br w:type="page"/>
      </w:r>
      <w:bookmarkStart w:id="220" w:name="_Toc24931"/>
      <w:bookmarkStart w:id="221" w:name="_Toc13337"/>
      <w:bookmarkStart w:id="222" w:name="_Toc23132"/>
    </w:p>
    <w:p>
      <w:pPr>
        <w:pStyle w:val="22"/>
        <w:ind w:left="0" w:leftChars="0" w:firstLine="0" w:firstLineChars="0"/>
        <w:rPr>
          <w:rFonts w:hint="default" w:ascii="Times New Roman" w:hAnsi="Times New Roman" w:cs="Times New Roman"/>
          <w:color w:val="auto"/>
          <w:highlight w:val="none"/>
          <w:lang w:val="en-US" w:eastAsia="zh-CN"/>
        </w:rPr>
      </w:pPr>
      <w:bookmarkStart w:id="223" w:name="_Toc9624"/>
      <w:r>
        <w:rPr>
          <w:rFonts w:hint="eastAsia" w:ascii="Times New Roman" w:hAnsi="Times New Roman" w:cs="Times New Roman"/>
          <w:color w:val="auto"/>
          <w:highlight w:val="none"/>
          <w:lang w:val="en-US" w:eastAsia="zh-CN"/>
        </w:rPr>
        <w:t>2、商务条款响应</w:t>
      </w:r>
    </w:p>
    <w:p>
      <w:pPr>
        <w:bidi w:val="0"/>
        <w:jc w:val="center"/>
        <w:rPr>
          <w:b/>
          <w:bCs/>
          <w:color w:val="auto"/>
          <w:sz w:val="28"/>
          <w:szCs w:val="36"/>
          <w:highlight w:val="none"/>
        </w:rPr>
      </w:pPr>
      <w:r>
        <w:rPr>
          <w:rFonts w:hint="eastAsia"/>
          <w:b/>
          <w:bCs/>
          <w:color w:val="auto"/>
          <w:sz w:val="28"/>
          <w:szCs w:val="36"/>
          <w:highlight w:val="none"/>
        </w:rPr>
        <w:t>商务条款偏离表</w:t>
      </w:r>
      <w:bookmarkEnd w:id="220"/>
      <w:bookmarkEnd w:id="221"/>
      <w:bookmarkEnd w:id="222"/>
      <w:bookmarkEnd w:id="223"/>
    </w:p>
    <w:tbl>
      <w:tblPr>
        <w:tblStyle w:val="23"/>
        <w:tblW w:w="9050" w:type="dxa"/>
        <w:tblInd w:w="-2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1"/>
        <w:gridCol w:w="4415"/>
        <w:gridCol w:w="1543"/>
        <w:gridCol w:w="23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trPr>
        <w:tc>
          <w:tcPr>
            <w:tcW w:w="731" w:type="dxa"/>
            <w:vAlign w:val="center"/>
          </w:tcPr>
          <w:p>
            <w:pPr>
              <w:jc w:val="center"/>
              <w:rPr>
                <w:rFonts w:ascii="宋体" w:cs="宋体"/>
                <w:b/>
                <w:color w:val="auto"/>
                <w:szCs w:val="21"/>
                <w:highlight w:val="none"/>
              </w:rPr>
            </w:pPr>
            <w:r>
              <w:rPr>
                <w:rFonts w:hint="eastAsia" w:ascii="宋体" w:hAnsi="宋体" w:cs="宋体"/>
                <w:b/>
                <w:color w:val="auto"/>
                <w:szCs w:val="21"/>
                <w:highlight w:val="none"/>
              </w:rPr>
              <w:t>序号</w:t>
            </w:r>
          </w:p>
        </w:tc>
        <w:tc>
          <w:tcPr>
            <w:tcW w:w="4415" w:type="dxa"/>
            <w:vAlign w:val="center"/>
          </w:tcPr>
          <w:p>
            <w:pPr>
              <w:jc w:val="center"/>
              <w:rPr>
                <w:rFonts w:ascii="宋体" w:cs="宋体"/>
                <w:b/>
                <w:color w:val="auto"/>
                <w:szCs w:val="21"/>
                <w:highlight w:val="none"/>
              </w:rPr>
            </w:pPr>
            <w:r>
              <w:rPr>
                <w:rFonts w:hint="eastAsia" w:ascii="宋体" w:hAnsi="宋体" w:cs="宋体"/>
                <w:b/>
                <w:color w:val="auto"/>
                <w:szCs w:val="21"/>
                <w:highlight w:val="none"/>
              </w:rPr>
              <w:t>招标文件要求的商务条款</w:t>
            </w:r>
          </w:p>
        </w:tc>
        <w:tc>
          <w:tcPr>
            <w:tcW w:w="1543" w:type="dxa"/>
            <w:vAlign w:val="center"/>
          </w:tcPr>
          <w:p>
            <w:pPr>
              <w:jc w:val="center"/>
              <w:rPr>
                <w:rFonts w:ascii="宋体" w:cs="宋体"/>
                <w:b/>
                <w:color w:val="auto"/>
                <w:szCs w:val="21"/>
                <w:highlight w:val="none"/>
              </w:rPr>
            </w:pPr>
            <w:r>
              <w:rPr>
                <w:rFonts w:hint="eastAsia" w:ascii="宋体" w:hAnsi="宋体" w:cs="宋体"/>
                <w:b/>
                <w:color w:val="auto"/>
                <w:szCs w:val="21"/>
                <w:highlight w:val="none"/>
                <w:lang w:val="en-US" w:eastAsia="zh-CN"/>
              </w:rPr>
              <w:t>是否</w:t>
            </w:r>
            <w:r>
              <w:rPr>
                <w:rFonts w:hint="eastAsia" w:ascii="宋体" w:hAnsi="宋体" w:cs="宋体"/>
                <w:b/>
                <w:color w:val="auto"/>
                <w:szCs w:val="21"/>
                <w:highlight w:val="none"/>
              </w:rPr>
              <w:t>响应</w:t>
            </w:r>
          </w:p>
        </w:tc>
        <w:tc>
          <w:tcPr>
            <w:tcW w:w="2361" w:type="dxa"/>
            <w:vAlign w:val="center"/>
          </w:tcPr>
          <w:p>
            <w:pPr>
              <w:jc w:val="center"/>
              <w:rPr>
                <w:rFonts w:hint="default" w:ascii="宋体" w:eastAsia="宋体" w:cs="宋体"/>
                <w:b/>
                <w:color w:val="auto"/>
                <w:szCs w:val="21"/>
                <w:highlight w:val="none"/>
                <w:lang w:val="en-US" w:eastAsia="zh-CN"/>
              </w:rPr>
            </w:pPr>
            <w:r>
              <w:rPr>
                <w:rFonts w:hint="eastAsia" w:ascii="宋体" w:cs="宋体"/>
                <w:b/>
                <w:color w:val="auto"/>
                <w:szCs w:val="21"/>
                <w:highlight w:val="none"/>
                <w:lang w:val="en-US" w:eastAsia="zh-CN"/>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731" w:type="dxa"/>
            <w:vAlign w:val="center"/>
          </w:tcPr>
          <w:p>
            <w:pPr>
              <w:jc w:val="center"/>
              <w:rPr>
                <w:rFonts w:hint="eastAsia" w:ascii="宋体" w:eastAsia="宋体" w:cs="宋体"/>
                <w:color w:val="auto"/>
                <w:szCs w:val="21"/>
                <w:highlight w:val="none"/>
                <w:lang w:val="en-US" w:eastAsia="zh-CN"/>
              </w:rPr>
            </w:pPr>
          </w:p>
        </w:tc>
        <w:tc>
          <w:tcPr>
            <w:tcW w:w="4415" w:type="dxa"/>
            <w:vAlign w:val="center"/>
          </w:tcPr>
          <w:p>
            <w:pPr>
              <w:spacing w:line="300" w:lineRule="auto"/>
              <w:jc w:val="left"/>
              <w:rPr>
                <w:rFonts w:ascii="宋体" w:cs="宋体"/>
                <w:color w:val="auto"/>
                <w:szCs w:val="21"/>
                <w:highlight w:val="none"/>
              </w:rPr>
            </w:pPr>
          </w:p>
        </w:tc>
        <w:tc>
          <w:tcPr>
            <w:tcW w:w="1543" w:type="dxa"/>
            <w:vAlign w:val="center"/>
          </w:tcPr>
          <w:p>
            <w:pPr>
              <w:jc w:val="center"/>
              <w:rPr>
                <w:rFonts w:ascii="宋体" w:cs="宋体"/>
                <w:color w:val="auto"/>
                <w:szCs w:val="21"/>
                <w:highlight w:val="none"/>
              </w:rPr>
            </w:pPr>
          </w:p>
        </w:tc>
        <w:tc>
          <w:tcPr>
            <w:tcW w:w="2361" w:type="dxa"/>
            <w:vAlign w:val="center"/>
          </w:tcPr>
          <w:p>
            <w:pPr>
              <w:jc w:val="center"/>
              <w:rPr>
                <w:rFonts w:asci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731" w:type="dxa"/>
            <w:vAlign w:val="center"/>
          </w:tcPr>
          <w:p>
            <w:pPr>
              <w:jc w:val="center"/>
              <w:rPr>
                <w:rFonts w:hint="eastAsia" w:ascii="宋体" w:eastAsia="宋体" w:cs="宋体"/>
                <w:color w:val="auto"/>
                <w:szCs w:val="21"/>
                <w:highlight w:val="none"/>
                <w:lang w:val="en-US" w:eastAsia="zh-CN"/>
              </w:rPr>
            </w:pPr>
          </w:p>
        </w:tc>
        <w:tc>
          <w:tcPr>
            <w:tcW w:w="4415" w:type="dxa"/>
            <w:vAlign w:val="center"/>
          </w:tcPr>
          <w:p>
            <w:pPr>
              <w:spacing w:line="300" w:lineRule="auto"/>
              <w:jc w:val="left"/>
              <w:rPr>
                <w:rFonts w:hint="eastAsia" w:ascii="宋体" w:eastAsia="宋体" w:cs="宋体"/>
                <w:color w:val="auto"/>
                <w:szCs w:val="21"/>
                <w:highlight w:val="none"/>
                <w:lang w:eastAsia="zh-CN"/>
              </w:rPr>
            </w:pPr>
          </w:p>
        </w:tc>
        <w:tc>
          <w:tcPr>
            <w:tcW w:w="1543" w:type="dxa"/>
            <w:vAlign w:val="center"/>
          </w:tcPr>
          <w:p>
            <w:pPr>
              <w:jc w:val="center"/>
              <w:rPr>
                <w:rFonts w:ascii="宋体" w:cs="宋体"/>
                <w:color w:val="auto"/>
                <w:szCs w:val="21"/>
                <w:highlight w:val="none"/>
              </w:rPr>
            </w:pPr>
          </w:p>
        </w:tc>
        <w:tc>
          <w:tcPr>
            <w:tcW w:w="2361" w:type="dxa"/>
            <w:vAlign w:val="center"/>
          </w:tcPr>
          <w:p>
            <w:pPr>
              <w:jc w:val="center"/>
              <w:rPr>
                <w:rFonts w:asci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731" w:type="dxa"/>
            <w:vAlign w:val="center"/>
          </w:tcPr>
          <w:p>
            <w:pPr>
              <w:jc w:val="center"/>
              <w:rPr>
                <w:rFonts w:hint="eastAsia" w:ascii="宋体" w:eastAsia="宋体" w:cs="宋体"/>
                <w:color w:val="auto"/>
                <w:szCs w:val="21"/>
                <w:highlight w:val="none"/>
                <w:lang w:val="en-US" w:eastAsia="zh-CN"/>
              </w:rPr>
            </w:pPr>
          </w:p>
        </w:tc>
        <w:tc>
          <w:tcPr>
            <w:tcW w:w="4415" w:type="dxa"/>
            <w:vAlign w:val="center"/>
          </w:tcPr>
          <w:p>
            <w:pPr>
              <w:spacing w:line="300" w:lineRule="auto"/>
              <w:jc w:val="left"/>
              <w:rPr>
                <w:rFonts w:ascii="宋体" w:cs="宋体"/>
                <w:color w:val="auto"/>
                <w:szCs w:val="21"/>
                <w:highlight w:val="none"/>
              </w:rPr>
            </w:pPr>
          </w:p>
        </w:tc>
        <w:tc>
          <w:tcPr>
            <w:tcW w:w="1543" w:type="dxa"/>
            <w:vAlign w:val="center"/>
          </w:tcPr>
          <w:p>
            <w:pPr>
              <w:jc w:val="center"/>
              <w:rPr>
                <w:rFonts w:ascii="宋体" w:cs="宋体"/>
                <w:color w:val="auto"/>
                <w:szCs w:val="21"/>
                <w:highlight w:val="none"/>
              </w:rPr>
            </w:pPr>
          </w:p>
        </w:tc>
        <w:tc>
          <w:tcPr>
            <w:tcW w:w="2361" w:type="dxa"/>
            <w:vAlign w:val="center"/>
          </w:tcPr>
          <w:p>
            <w:pPr>
              <w:jc w:val="center"/>
              <w:rPr>
                <w:rFonts w:asci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731" w:type="dxa"/>
            <w:vAlign w:val="center"/>
          </w:tcPr>
          <w:p>
            <w:pPr>
              <w:jc w:val="center"/>
              <w:rPr>
                <w:rFonts w:hint="eastAsia" w:ascii="宋体" w:eastAsia="宋体" w:cs="宋体"/>
                <w:color w:val="auto"/>
                <w:szCs w:val="21"/>
                <w:highlight w:val="none"/>
                <w:lang w:val="en-US" w:eastAsia="zh-CN"/>
              </w:rPr>
            </w:pPr>
          </w:p>
        </w:tc>
        <w:tc>
          <w:tcPr>
            <w:tcW w:w="4415" w:type="dxa"/>
            <w:vAlign w:val="center"/>
          </w:tcPr>
          <w:p>
            <w:pPr>
              <w:spacing w:line="300" w:lineRule="auto"/>
              <w:jc w:val="left"/>
              <w:rPr>
                <w:rFonts w:ascii="宋体" w:hAnsi="宋体" w:cs="宋体"/>
                <w:color w:val="auto"/>
                <w:szCs w:val="21"/>
                <w:highlight w:val="none"/>
              </w:rPr>
            </w:pPr>
          </w:p>
        </w:tc>
        <w:tc>
          <w:tcPr>
            <w:tcW w:w="1543" w:type="dxa"/>
            <w:vAlign w:val="center"/>
          </w:tcPr>
          <w:p>
            <w:pPr>
              <w:jc w:val="center"/>
              <w:rPr>
                <w:rFonts w:ascii="宋体" w:cs="宋体"/>
                <w:color w:val="auto"/>
                <w:szCs w:val="21"/>
                <w:highlight w:val="none"/>
              </w:rPr>
            </w:pPr>
          </w:p>
        </w:tc>
        <w:tc>
          <w:tcPr>
            <w:tcW w:w="2361" w:type="dxa"/>
            <w:vAlign w:val="center"/>
          </w:tcPr>
          <w:p>
            <w:pPr>
              <w:jc w:val="center"/>
              <w:rPr>
                <w:rFonts w:asci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731" w:type="dxa"/>
            <w:vAlign w:val="center"/>
          </w:tcPr>
          <w:p>
            <w:pPr>
              <w:jc w:val="center"/>
              <w:rPr>
                <w:rFonts w:hint="eastAsia" w:ascii="宋体" w:eastAsia="宋体" w:cs="宋体"/>
                <w:color w:val="auto"/>
                <w:szCs w:val="21"/>
                <w:highlight w:val="none"/>
                <w:lang w:val="en-US" w:eastAsia="zh-CN"/>
              </w:rPr>
            </w:pPr>
          </w:p>
        </w:tc>
        <w:tc>
          <w:tcPr>
            <w:tcW w:w="4415" w:type="dxa"/>
            <w:vAlign w:val="center"/>
          </w:tcPr>
          <w:p>
            <w:pPr>
              <w:spacing w:line="300" w:lineRule="auto"/>
              <w:jc w:val="left"/>
              <w:rPr>
                <w:rFonts w:ascii="宋体" w:cs="宋体"/>
                <w:color w:val="auto"/>
                <w:szCs w:val="21"/>
                <w:highlight w:val="none"/>
              </w:rPr>
            </w:pPr>
          </w:p>
        </w:tc>
        <w:tc>
          <w:tcPr>
            <w:tcW w:w="1543" w:type="dxa"/>
            <w:vAlign w:val="center"/>
          </w:tcPr>
          <w:p>
            <w:pPr>
              <w:jc w:val="center"/>
              <w:rPr>
                <w:rFonts w:ascii="宋体" w:cs="宋体"/>
                <w:color w:val="auto"/>
                <w:szCs w:val="21"/>
                <w:highlight w:val="none"/>
              </w:rPr>
            </w:pPr>
          </w:p>
        </w:tc>
        <w:tc>
          <w:tcPr>
            <w:tcW w:w="2361" w:type="dxa"/>
            <w:vAlign w:val="center"/>
          </w:tcPr>
          <w:p>
            <w:pPr>
              <w:jc w:val="center"/>
              <w:rPr>
                <w:rFonts w:ascii="宋体" w:cs="宋体"/>
                <w:color w:val="auto"/>
                <w:szCs w:val="21"/>
                <w:highlight w:val="none"/>
              </w:rPr>
            </w:pPr>
          </w:p>
        </w:tc>
      </w:tr>
    </w:tbl>
    <w:p>
      <w:pPr>
        <w:spacing w:line="500" w:lineRule="exact"/>
        <w:ind w:firstLine="420" w:firstLineChars="200"/>
        <w:rPr>
          <w:rFonts w:ascii="宋体" w:hAnsi="宋体" w:cs="宋体"/>
          <w:color w:val="auto"/>
          <w:highlight w:val="none"/>
        </w:rPr>
      </w:pPr>
      <w:r>
        <w:rPr>
          <w:rFonts w:hint="eastAsia" w:ascii="宋体" w:hAnsi="宋体" w:cs="宋体"/>
          <w:color w:val="auto"/>
          <w:highlight w:val="none"/>
        </w:rPr>
        <w:t>注：1.本表只填写投标文件中与招标文件有偏离（包括正偏离和负偏离）的内容，投标文件中商务响应与招标文件要求完全一致的，不用在此表中列出，但必须提交空白表。</w:t>
      </w:r>
    </w:p>
    <w:p>
      <w:pPr>
        <w:spacing w:line="500" w:lineRule="exact"/>
        <w:ind w:firstLine="420" w:firstLineChars="200"/>
        <w:rPr>
          <w:rFonts w:ascii="宋体" w:hAnsi="宋体" w:cs="宋体"/>
          <w:color w:val="auto"/>
          <w:highlight w:val="none"/>
        </w:rPr>
      </w:pPr>
      <w:r>
        <w:rPr>
          <w:rFonts w:hint="eastAsia" w:ascii="宋体" w:hAnsi="宋体" w:cs="宋体"/>
          <w:color w:val="auto"/>
          <w:highlight w:val="none"/>
        </w:rPr>
        <w:t>2.投标人必须据实填写，不得虚假响应，否则将取消其投标或中标资格，并按有关规定进处罚。</w:t>
      </w:r>
    </w:p>
    <w:p>
      <w:pPr>
        <w:spacing w:before="312" w:beforeLines="100" w:line="480" w:lineRule="auto"/>
        <w:jc w:val="right"/>
        <w:rPr>
          <w:rFonts w:ascii="宋体" w:hAnsi="宋体" w:cs="宋体"/>
          <w:color w:val="auto"/>
          <w:sz w:val="24"/>
          <w:highlight w:val="none"/>
          <w:lang w:bidi="ar"/>
        </w:rPr>
      </w:pPr>
    </w:p>
    <w:p>
      <w:pPr>
        <w:spacing w:before="312" w:beforeLines="100" w:line="480" w:lineRule="auto"/>
        <w:jc w:val="right"/>
        <w:rPr>
          <w:rFonts w:ascii="宋体" w:hAnsi="宋体" w:cs="宋体"/>
          <w:color w:val="auto"/>
          <w:sz w:val="24"/>
          <w:highlight w:val="none"/>
          <w:lang w:bidi="ar"/>
        </w:rPr>
      </w:pPr>
    </w:p>
    <w:p>
      <w:pPr>
        <w:spacing w:line="480" w:lineRule="auto"/>
        <w:jc w:val="right"/>
        <w:rPr>
          <w:rFonts w:ascii="宋体" w:hAnsi="宋体" w:cs="宋体"/>
          <w:color w:val="auto"/>
          <w:szCs w:val="21"/>
          <w:highlight w:val="none"/>
        </w:rPr>
      </w:pPr>
      <w:bookmarkStart w:id="224" w:name="_Toc767"/>
      <w:bookmarkStart w:id="225" w:name="_Toc22502"/>
      <w:bookmarkStart w:id="226" w:name="_Toc18235"/>
      <w:bookmarkStart w:id="227" w:name="_Toc8605"/>
      <w:r>
        <w:rPr>
          <w:rFonts w:hint="eastAsia" w:ascii="宋体" w:hAnsi="宋体" w:cs="宋体"/>
          <w:color w:val="auto"/>
          <w:szCs w:val="21"/>
          <w:highlight w:val="none"/>
          <w:lang w:bidi="ar"/>
        </w:rPr>
        <w:t>投标人：</w:t>
      </w:r>
      <w:r>
        <w:rPr>
          <w:rFonts w:hint="eastAsia" w:ascii="宋体" w:hAnsi="宋体" w:cs="宋体"/>
          <w:color w:val="auto"/>
          <w:szCs w:val="21"/>
          <w:highlight w:val="none"/>
          <w:u w:val="single"/>
          <w:lang w:bidi="ar"/>
        </w:rPr>
        <w:t xml:space="preserve">          </w:t>
      </w:r>
      <w:r>
        <w:rPr>
          <w:rFonts w:hint="eastAsia" w:ascii="宋体" w:hAnsi="宋体" w:cs="宋体"/>
          <w:color w:val="auto"/>
          <w:szCs w:val="21"/>
          <w:highlight w:val="none"/>
          <w:u w:val="single"/>
          <w:lang w:val="en-US" w:eastAsia="zh-CN" w:bidi="ar"/>
        </w:rPr>
        <w:t xml:space="preserve">                </w:t>
      </w:r>
      <w:r>
        <w:rPr>
          <w:rFonts w:hint="eastAsia" w:ascii="宋体" w:hAnsi="宋体" w:cs="宋体"/>
          <w:color w:val="auto"/>
          <w:szCs w:val="21"/>
          <w:highlight w:val="none"/>
          <w:u w:val="single"/>
          <w:lang w:bidi="ar"/>
        </w:rPr>
        <w:t xml:space="preserve">                   </w:t>
      </w:r>
      <w:r>
        <w:rPr>
          <w:rFonts w:hint="eastAsia" w:ascii="宋体" w:hAnsi="宋体" w:cs="宋体"/>
          <w:color w:val="auto"/>
          <w:szCs w:val="21"/>
          <w:highlight w:val="none"/>
          <w:lang w:bidi="ar"/>
        </w:rPr>
        <w:t>（盖单位章）</w:t>
      </w:r>
    </w:p>
    <w:p>
      <w:pPr>
        <w:spacing w:line="480" w:lineRule="auto"/>
        <w:jc w:val="right"/>
        <w:rPr>
          <w:rFonts w:ascii="宋体" w:hAnsi="宋体" w:cs="宋体"/>
          <w:color w:val="auto"/>
          <w:szCs w:val="21"/>
          <w:highlight w:val="none"/>
        </w:rPr>
      </w:pPr>
      <w:r>
        <w:rPr>
          <w:rFonts w:hint="eastAsia" w:ascii="宋体" w:hAnsi="宋体" w:cs="宋体"/>
          <w:color w:val="auto"/>
          <w:szCs w:val="21"/>
          <w:highlight w:val="none"/>
          <w:lang w:eastAsia="zh-CN" w:bidi="ar"/>
        </w:rPr>
        <w:t>法定代表人（负责人）</w:t>
      </w:r>
      <w:r>
        <w:rPr>
          <w:rFonts w:hint="eastAsia" w:ascii="宋体" w:hAnsi="宋体" w:cs="宋体"/>
          <w:color w:val="auto"/>
          <w:szCs w:val="21"/>
          <w:highlight w:val="none"/>
          <w:lang w:bidi="ar"/>
        </w:rPr>
        <w:t>或其委托代理人：</w:t>
      </w:r>
      <w:r>
        <w:rPr>
          <w:rFonts w:hint="eastAsia" w:ascii="宋体" w:hAnsi="宋体" w:cs="宋体"/>
          <w:color w:val="auto"/>
          <w:szCs w:val="21"/>
          <w:highlight w:val="none"/>
          <w:u w:val="single"/>
          <w:lang w:bidi="ar"/>
        </w:rPr>
        <w:t xml:space="preserve">               </w:t>
      </w:r>
      <w:r>
        <w:rPr>
          <w:rFonts w:hint="eastAsia" w:ascii="宋体" w:hAnsi="宋体" w:cs="宋体"/>
          <w:color w:val="auto"/>
          <w:szCs w:val="21"/>
          <w:highlight w:val="none"/>
          <w:lang w:bidi="ar"/>
        </w:rPr>
        <w:t xml:space="preserve">（签字或盖章） </w:t>
      </w:r>
    </w:p>
    <w:p>
      <w:pPr>
        <w:spacing w:line="480" w:lineRule="auto"/>
        <w:ind w:firstLine="4620" w:firstLineChars="2200"/>
        <w:jc w:val="right"/>
        <w:rPr>
          <w:rFonts w:ascii="宋体" w:hAnsi="宋体" w:cs="宋体"/>
          <w:color w:val="auto"/>
          <w:szCs w:val="21"/>
          <w:highlight w:val="none"/>
          <w:lang w:bidi="ar"/>
        </w:rPr>
      </w:pPr>
      <w:r>
        <w:rPr>
          <w:rFonts w:hint="eastAsia" w:ascii="宋体" w:hAnsi="宋体" w:cs="宋体"/>
          <w:color w:val="auto"/>
          <w:szCs w:val="21"/>
          <w:highlight w:val="none"/>
          <w:u w:val="single"/>
          <w:lang w:bidi="ar"/>
        </w:rPr>
        <w:t xml:space="preserve">      </w:t>
      </w:r>
      <w:r>
        <w:rPr>
          <w:rFonts w:hint="eastAsia" w:ascii="宋体" w:hAnsi="宋体" w:cs="宋体"/>
          <w:color w:val="auto"/>
          <w:szCs w:val="21"/>
          <w:highlight w:val="none"/>
          <w:lang w:bidi="ar"/>
        </w:rPr>
        <w:t>年</w:t>
      </w:r>
      <w:r>
        <w:rPr>
          <w:rFonts w:hint="eastAsia" w:ascii="宋体" w:hAnsi="宋体" w:cs="宋体"/>
          <w:color w:val="auto"/>
          <w:szCs w:val="21"/>
          <w:highlight w:val="none"/>
          <w:u w:val="single"/>
          <w:lang w:bidi="ar"/>
        </w:rPr>
        <w:t xml:space="preserve">    </w:t>
      </w:r>
      <w:r>
        <w:rPr>
          <w:rFonts w:hint="eastAsia" w:ascii="宋体" w:hAnsi="宋体" w:cs="宋体"/>
          <w:color w:val="auto"/>
          <w:szCs w:val="21"/>
          <w:highlight w:val="none"/>
          <w:lang w:bidi="ar"/>
        </w:rPr>
        <w:t>月</w:t>
      </w:r>
      <w:r>
        <w:rPr>
          <w:rFonts w:hint="eastAsia" w:ascii="宋体" w:hAnsi="宋体" w:cs="宋体"/>
          <w:color w:val="auto"/>
          <w:szCs w:val="21"/>
          <w:highlight w:val="none"/>
          <w:u w:val="single"/>
          <w:lang w:bidi="ar"/>
        </w:rPr>
        <w:t xml:space="preserve">    </w:t>
      </w:r>
      <w:r>
        <w:rPr>
          <w:rFonts w:hint="eastAsia" w:ascii="宋体" w:hAnsi="宋体" w:cs="宋体"/>
          <w:color w:val="auto"/>
          <w:szCs w:val="21"/>
          <w:highlight w:val="none"/>
          <w:lang w:bidi="ar"/>
        </w:rPr>
        <w:t>日</w:t>
      </w:r>
    </w:p>
    <w:p>
      <w:pPr>
        <w:rPr>
          <w:rFonts w:ascii="宋体" w:hAnsi="宋体"/>
          <w:b/>
          <w:bCs/>
          <w:color w:val="auto"/>
          <w:sz w:val="32"/>
          <w:szCs w:val="32"/>
          <w:highlight w:val="none"/>
        </w:rPr>
      </w:pPr>
      <w:r>
        <w:rPr>
          <w:rFonts w:hint="eastAsia" w:ascii="宋体" w:hAnsi="宋体"/>
          <w:b/>
          <w:bCs/>
          <w:color w:val="auto"/>
          <w:sz w:val="32"/>
          <w:szCs w:val="32"/>
          <w:highlight w:val="none"/>
        </w:rPr>
        <w:br w:type="page"/>
      </w:r>
    </w:p>
    <w:bookmarkEnd w:id="202"/>
    <w:bookmarkEnd w:id="203"/>
    <w:bookmarkEnd w:id="204"/>
    <w:bookmarkEnd w:id="224"/>
    <w:bookmarkEnd w:id="225"/>
    <w:bookmarkEnd w:id="226"/>
    <w:bookmarkEnd w:id="227"/>
    <w:p>
      <w:pPr>
        <w:pStyle w:val="22"/>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color w:val="auto"/>
          <w:highlight w:val="none"/>
          <w:lang w:val="en-US" w:eastAsia="zh-CN"/>
        </w:rPr>
      </w:pPr>
      <w:bookmarkStart w:id="228" w:name="_Toc25931"/>
      <w:bookmarkStart w:id="229" w:name="_Toc30223"/>
      <w:bookmarkStart w:id="230" w:name="_Toc17200"/>
      <w:bookmarkStart w:id="231" w:name="_Toc17093"/>
      <w:r>
        <w:rPr>
          <w:rFonts w:hint="eastAsia" w:ascii="宋体" w:hAnsi="宋体" w:eastAsia="宋体" w:cs="宋体"/>
          <w:color w:val="auto"/>
          <w:highlight w:val="none"/>
          <w:lang w:val="en-US" w:eastAsia="zh-CN"/>
        </w:rPr>
        <w:t>3、售后服务（按评分标准编制内容，格式自拟）</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宋体" w:hAnsi="宋体" w:eastAsia="宋体" w:cs="宋体"/>
          <w:lang w:val="en-US" w:eastAsia="zh-CN"/>
        </w:rPr>
      </w:pPr>
      <w:r>
        <w:rPr>
          <w:rFonts w:hint="eastAsia" w:ascii="宋体" w:hAnsi="宋体" w:eastAsia="宋体" w:cs="宋体"/>
          <w:lang w:val="en-US" w:eastAsia="zh-CN"/>
        </w:rPr>
        <w:t>4、</w:t>
      </w:r>
      <w:r>
        <w:rPr>
          <w:rFonts w:hint="eastAsia" w:ascii="宋体" w:hAnsi="宋体" w:eastAsia="宋体" w:cs="宋体"/>
          <w:szCs w:val="21"/>
          <w:lang w:bidi="ar"/>
        </w:rPr>
        <w:t>质保期外服务方案</w:t>
      </w:r>
      <w:r>
        <w:rPr>
          <w:rFonts w:hint="eastAsia" w:ascii="宋体" w:hAnsi="宋体" w:eastAsia="宋体" w:cs="宋体"/>
          <w:color w:val="auto"/>
          <w:highlight w:val="none"/>
          <w:lang w:val="en-US" w:eastAsia="zh-CN"/>
        </w:rPr>
        <w:t>（按评分标准编制内容，格式自拟）</w:t>
      </w:r>
    </w:p>
    <w:p>
      <w:pPr>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br w:type="page"/>
      </w:r>
    </w:p>
    <w:bookmarkEnd w:id="228"/>
    <w:bookmarkEnd w:id="229"/>
    <w:bookmarkEnd w:id="230"/>
    <w:bookmarkEnd w:id="231"/>
    <w:p>
      <w:pPr>
        <w:pStyle w:val="4"/>
        <w:bidi w:val="0"/>
        <w:ind w:left="0" w:firstLine="0"/>
        <w:rPr>
          <w:rFonts w:hint="eastAsia"/>
          <w:color w:val="auto"/>
          <w:sz w:val="32"/>
          <w:szCs w:val="32"/>
          <w:highlight w:val="none"/>
          <w:lang w:val="zh-CN" w:eastAsia="zh-CN"/>
        </w:rPr>
      </w:pPr>
      <w:r>
        <w:rPr>
          <w:rFonts w:hint="eastAsia"/>
          <w:color w:val="auto"/>
          <w:sz w:val="32"/>
          <w:szCs w:val="32"/>
          <w:highlight w:val="none"/>
          <w:lang w:val="en-US" w:eastAsia="zh-CN"/>
        </w:rPr>
        <w:t>六、</w:t>
      </w:r>
      <w:r>
        <w:rPr>
          <w:rFonts w:hint="eastAsia"/>
          <w:color w:val="auto"/>
          <w:sz w:val="32"/>
          <w:szCs w:val="32"/>
          <w:highlight w:val="none"/>
          <w:lang w:val="zh-CN" w:eastAsia="zh-CN"/>
        </w:rPr>
        <w:t>提供政府采购政策等证明材料</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（1）中小企业声明函（如适用，请提供，格式见附件1，注：</w:t>
      </w:r>
      <w:r>
        <w:rPr>
          <w:rFonts w:hint="eastAsia" w:ascii="仿宋" w:hAnsi="仿宋" w:eastAsia="仿宋" w:cs="仿宋"/>
          <w:b/>
          <w:bCs/>
          <w:sz w:val="24"/>
          <w:szCs w:val="24"/>
        </w:rPr>
        <w:t>本项目属于</w:t>
      </w:r>
      <w:r>
        <w:rPr>
          <w:rFonts w:hint="eastAsia" w:ascii="仿宋" w:hAnsi="仿宋" w:eastAsia="仿宋" w:cs="仿宋"/>
          <w:b/>
          <w:bCs/>
          <w:sz w:val="24"/>
          <w:szCs w:val="24"/>
          <w:lang w:val="en-US" w:eastAsia="zh-CN"/>
        </w:rPr>
        <w:t>服务</w:t>
      </w:r>
      <w:r>
        <w:rPr>
          <w:rFonts w:hint="eastAsia" w:ascii="仿宋" w:hAnsi="仿宋" w:eastAsia="仿宋" w:cs="仿宋"/>
          <w:b/>
          <w:bCs/>
          <w:sz w:val="24"/>
          <w:szCs w:val="24"/>
        </w:rPr>
        <w:t>类，</w:t>
      </w:r>
      <w:r>
        <w:rPr>
          <w:rFonts w:hint="eastAsia" w:ascii="仿宋" w:hAnsi="仿宋" w:eastAsia="仿宋" w:cs="仿宋"/>
          <w:b/>
          <w:bCs/>
          <w:kern w:val="0"/>
          <w:sz w:val="24"/>
          <w:szCs w:val="24"/>
        </w:rPr>
        <w:t>所属行业为软件和信息技术服务业</w:t>
      </w:r>
      <w:r>
        <w:rPr>
          <w:rFonts w:hint="eastAsia" w:ascii="仿宋" w:hAnsi="仿宋" w:eastAsia="仿宋" w:cs="仿宋"/>
          <w:sz w:val="24"/>
          <w:szCs w:val="24"/>
        </w:rPr>
        <w:t>）；</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（2）残疾人福利性单位声明函（如适用，请提供，格式见附件2）；</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（3）监狱</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戒毒</w:t>
      </w:r>
      <w:r>
        <w:rPr>
          <w:rFonts w:hint="eastAsia" w:ascii="仿宋" w:hAnsi="仿宋" w:eastAsia="仿宋" w:cs="仿宋"/>
          <w:sz w:val="24"/>
          <w:szCs w:val="24"/>
        </w:rPr>
        <w:t>企业声明函（如适用，请提供，格式见附件</w:t>
      </w:r>
      <w:r>
        <w:rPr>
          <w:rFonts w:hint="eastAsia" w:ascii="仿宋" w:hAnsi="仿宋" w:eastAsia="仿宋" w:cs="仿宋"/>
          <w:sz w:val="24"/>
          <w:szCs w:val="24"/>
          <w:lang w:val="en-US" w:eastAsia="zh-CN"/>
        </w:rPr>
        <w:t>3</w:t>
      </w:r>
      <w:r>
        <w:rPr>
          <w:rFonts w:hint="eastAsia" w:ascii="仿宋" w:hAnsi="仿宋" w:eastAsia="仿宋" w:cs="仿宋"/>
          <w:sz w:val="24"/>
          <w:szCs w:val="24"/>
        </w:rPr>
        <w:t xml:space="preserve">）；  </w:t>
      </w:r>
    </w:p>
    <w:p>
      <w:pPr>
        <w:spacing w:line="360" w:lineRule="auto"/>
        <w:ind w:firstLine="480" w:firstLineChars="200"/>
        <w:rPr>
          <w:rFonts w:hint="eastAsia" w:ascii="仿宋" w:hAnsi="仿宋" w:eastAsia="仿宋" w:cs="仿宋"/>
          <w:sz w:val="24"/>
          <w:szCs w:val="24"/>
          <w:lang w:eastAsia="zh-CN"/>
        </w:rPr>
      </w:pPr>
      <w:r>
        <w:rPr>
          <w:rFonts w:hint="eastAsia" w:ascii="仿宋" w:hAnsi="仿宋" w:eastAsia="仿宋" w:cs="仿宋"/>
          <w:sz w:val="24"/>
          <w:szCs w:val="24"/>
        </w:rPr>
        <w:t>（4）节能环保产品、环境标志产品明细表（如适用，请按招标文件中采购项目需要落实的政府采购政策第2条相关规定提供相关证明材料）</w:t>
      </w:r>
      <w:r>
        <w:rPr>
          <w:rFonts w:hint="eastAsia" w:ascii="仿宋" w:hAnsi="仿宋" w:eastAsia="仿宋" w:cs="仿宋"/>
          <w:sz w:val="24"/>
          <w:szCs w:val="24"/>
          <w:lang w:eastAsia="zh-CN"/>
        </w:rPr>
        <w:t>。</w:t>
      </w:r>
    </w:p>
    <w:p>
      <w:pPr>
        <w:rPr>
          <w:rFonts w:hint="eastAsia" w:ascii="宋体" w:hAnsi="宋体"/>
          <w:b/>
          <w:color w:val="auto"/>
          <w:sz w:val="28"/>
          <w:szCs w:val="28"/>
          <w:highlight w:val="none"/>
        </w:rPr>
      </w:pPr>
      <w:r>
        <w:rPr>
          <w:rFonts w:hint="eastAsia" w:ascii="宋体" w:hAnsi="宋体"/>
          <w:b/>
          <w:color w:val="auto"/>
          <w:sz w:val="28"/>
          <w:szCs w:val="28"/>
          <w:highlight w:val="none"/>
        </w:rPr>
        <w:br w:type="page"/>
      </w:r>
    </w:p>
    <w:p>
      <w:pPr>
        <w:pageBreakBefore/>
        <w:adjustRightInd w:val="0"/>
        <w:snapToGrid w:val="0"/>
        <w:spacing w:line="360" w:lineRule="auto"/>
        <w:jc w:val="left"/>
        <w:rPr>
          <w:rFonts w:hint="eastAsia" w:ascii="仿宋" w:hAnsi="仿宋" w:eastAsia="仿宋" w:cs="仿宋"/>
          <w:b/>
          <w:bCs/>
          <w:sz w:val="24"/>
          <w:szCs w:val="24"/>
          <w:lang w:eastAsia="zh-CN"/>
        </w:rPr>
      </w:pPr>
      <w:r>
        <w:rPr>
          <w:rFonts w:hint="eastAsia" w:ascii="仿宋" w:hAnsi="仿宋" w:eastAsia="仿宋" w:cs="仿宋"/>
          <w:b/>
          <w:bCs/>
          <w:sz w:val="24"/>
          <w:szCs w:val="24"/>
        </w:rPr>
        <w:t>附件1</w:t>
      </w:r>
      <w:r>
        <w:rPr>
          <w:rFonts w:hint="eastAsia" w:ascii="仿宋" w:hAnsi="仿宋" w:eastAsia="仿宋" w:cs="仿宋"/>
          <w:b/>
          <w:bCs/>
          <w:sz w:val="24"/>
          <w:szCs w:val="24"/>
          <w:lang w:eastAsia="zh-CN"/>
        </w:rPr>
        <w:t>：</w:t>
      </w:r>
    </w:p>
    <w:p>
      <w:pPr>
        <w:spacing w:line="360" w:lineRule="auto"/>
        <w:jc w:val="center"/>
        <w:rPr>
          <w:rFonts w:hint="eastAsia" w:ascii="宋体" w:hAnsi="宋体"/>
          <w:b/>
          <w:color w:val="auto"/>
          <w:sz w:val="28"/>
          <w:szCs w:val="28"/>
          <w:highlight w:val="none"/>
        </w:rPr>
      </w:pPr>
      <w:r>
        <w:rPr>
          <w:rFonts w:hint="eastAsia" w:ascii="宋体" w:hAnsi="宋体"/>
          <w:b/>
          <w:color w:val="auto"/>
          <w:sz w:val="28"/>
          <w:szCs w:val="28"/>
          <w:highlight w:val="none"/>
        </w:rPr>
        <w:t>中小企业声明函</w:t>
      </w:r>
      <w:r>
        <w:rPr>
          <w:rFonts w:hint="eastAsia" w:ascii="仿宋" w:hAnsi="仿宋" w:eastAsia="仿宋" w:cs="仿宋"/>
          <w:b/>
          <w:bCs/>
          <w:sz w:val="28"/>
          <w:szCs w:val="24"/>
        </w:rPr>
        <w:t>（</w:t>
      </w:r>
      <w:r>
        <w:rPr>
          <w:rFonts w:hint="eastAsia" w:ascii="仿宋" w:hAnsi="仿宋" w:eastAsia="仿宋" w:cs="仿宋"/>
          <w:b/>
          <w:bCs/>
          <w:sz w:val="28"/>
          <w:szCs w:val="24"/>
          <w:lang w:val="en-US" w:eastAsia="zh-CN"/>
        </w:rPr>
        <w:t>服务</w:t>
      </w:r>
      <w:r>
        <w:rPr>
          <w:rFonts w:hint="eastAsia" w:ascii="仿宋" w:hAnsi="仿宋" w:eastAsia="仿宋" w:cs="仿宋"/>
          <w:b/>
          <w:bCs/>
          <w:sz w:val="28"/>
          <w:szCs w:val="24"/>
        </w:rPr>
        <w:t>）</w:t>
      </w:r>
    </w:p>
    <w:p>
      <w:pPr>
        <w:jc w:val="center"/>
        <w:rPr>
          <w:rFonts w:hint="eastAsia" w:ascii="宋体" w:hAnsi="宋体" w:cs="宋体"/>
          <w:b/>
          <w:bCs/>
          <w:sz w:val="28"/>
          <w:szCs w:val="36"/>
        </w:rPr>
      </w:pPr>
      <w:r>
        <w:rPr>
          <w:rFonts w:hint="eastAsia" w:ascii="宋体" w:hAnsi="宋体" w:cs="宋体"/>
          <w:b/>
          <w:bCs/>
          <w:sz w:val="28"/>
          <w:szCs w:val="36"/>
        </w:rPr>
        <w:t>(非中小微企业不填写)</w:t>
      </w:r>
    </w:p>
    <w:p>
      <w:pPr>
        <w:pStyle w:val="2"/>
        <w:spacing w:line="360" w:lineRule="auto"/>
        <w:ind w:right="415" w:firstLine="420" w:firstLineChars="200"/>
        <w:rPr>
          <w:rFonts w:hint="eastAsia" w:ascii="宋体" w:hAnsi="宋体" w:cs="宋体"/>
          <w:color w:val="auto"/>
          <w:sz w:val="21"/>
          <w:szCs w:val="21"/>
          <w:highlight w:val="none"/>
        </w:rPr>
      </w:pPr>
    </w:p>
    <w:p>
      <w:pPr>
        <w:pStyle w:val="2"/>
        <w:spacing w:line="360" w:lineRule="auto"/>
        <w:ind w:right="415"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本公司（联合体）郑重声明，根据《政府采购促进中小企业发展管理办法》（财库﹝2020﹞46 号）的规定，本公司（联合体）参加</w:t>
      </w:r>
      <w:r>
        <w:rPr>
          <w:rFonts w:hint="eastAsia" w:ascii="宋体" w:hAnsi="宋体" w:cs="宋体"/>
          <w:color w:val="auto"/>
          <w:sz w:val="21"/>
          <w:szCs w:val="21"/>
          <w:highlight w:val="none"/>
          <w:u w:val="single"/>
        </w:rPr>
        <w:t>（单位名称）</w:t>
      </w:r>
      <w:r>
        <w:rPr>
          <w:rFonts w:hint="eastAsia" w:ascii="宋体" w:hAnsi="宋体" w:cs="宋体"/>
          <w:color w:val="auto"/>
          <w:sz w:val="21"/>
          <w:szCs w:val="21"/>
          <w:highlight w:val="none"/>
        </w:rPr>
        <w:t>的</w:t>
      </w:r>
      <w:r>
        <w:rPr>
          <w:rFonts w:hint="eastAsia" w:ascii="宋体" w:hAnsi="宋体" w:cs="宋体"/>
          <w:color w:val="auto"/>
          <w:sz w:val="21"/>
          <w:szCs w:val="21"/>
          <w:highlight w:val="none"/>
          <w:u w:val="single"/>
          <w:lang w:eastAsia="zh-CN"/>
        </w:rPr>
        <w:t>（项目名称、标包名称）</w:t>
      </w:r>
      <w:r>
        <w:rPr>
          <w:rFonts w:hint="eastAsia" w:ascii="宋体" w:hAnsi="宋体" w:cs="宋体"/>
          <w:color w:val="auto"/>
          <w:sz w:val="21"/>
          <w:szCs w:val="21"/>
          <w:highlight w:val="none"/>
        </w:rPr>
        <w:t>采购活动，提供的货物全部由符合政策要求的中小企业制造。相关企业 （含联合体中的中小企业、签订分包意向协议的中小企业</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的具体情况如下：</w:t>
      </w:r>
    </w:p>
    <w:p>
      <w:pPr>
        <w:pStyle w:val="32"/>
        <w:tabs>
          <w:tab w:val="left" w:pos="1243"/>
        </w:tabs>
        <w:spacing w:line="360" w:lineRule="auto"/>
        <w:ind w:left="420" w:leftChars="200" w:firstLine="480"/>
        <w:rPr>
          <w:rFonts w:hint="eastAsia" w:ascii="宋体" w:hAnsi="宋体" w:cs="宋体"/>
          <w:iCs/>
          <w:color w:val="auto"/>
          <w:sz w:val="21"/>
          <w:szCs w:val="21"/>
          <w:highlight w:val="none"/>
        </w:rPr>
      </w:pPr>
      <w:r>
        <w:rPr>
          <w:rFonts w:hint="eastAsia" w:ascii="宋体" w:hAnsi="宋体" w:cs="宋体"/>
          <w:iCs/>
          <w:color w:val="auto"/>
          <w:sz w:val="21"/>
          <w:szCs w:val="21"/>
          <w:highlight w:val="none"/>
        </w:rPr>
        <w:t>1、</w:t>
      </w:r>
      <w:r>
        <w:rPr>
          <w:rFonts w:hint="eastAsia" w:ascii="宋体" w:hAnsi="宋体" w:cs="宋体"/>
          <w:iCs/>
          <w:color w:val="auto"/>
          <w:sz w:val="21"/>
          <w:szCs w:val="21"/>
          <w:highlight w:val="none"/>
          <w:u w:val="single"/>
        </w:rPr>
        <w:t xml:space="preserve">（标的名称）  </w:t>
      </w:r>
      <w:r>
        <w:rPr>
          <w:rFonts w:hint="eastAsia" w:ascii="宋体" w:hAnsi="宋体" w:cs="宋体"/>
          <w:iCs/>
          <w:color w:val="auto"/>
          <w:sz w:val="21"/>
          <w:szCs w:val="21"/>
          <w:highlight w:val="none"/>
        </w:rPr>
        <w:t>，属于（</w:t>
      </w:r>
      <w:r>
        <w:rPr>
          <w:rFonts w:hint="eastAsia" w:ascii="宋体" w:hAnsi="宋体" w:cs="宋体"/>
          <w:iCs/>
          <w:color w:val="auto"/>
          <w:sz w:val="21"/>
          <w:szCs w:val="21"/>
          <w:highlight w:val="none"/>
          <w:u w:val="single"/>
        </w:rPr>
        <w:t>采购文件中明确的所属行业）</w:t>
      </w:r>
      <w:r>
        <w:rPr>
          <w:rFonts w:hint="eastAsia" w:ascii="宋体" w:hAnsi="宋体" w:cs="宋体"/>
          <w:iCs/>
          <w:color w:val="auto"/>
          <w:sz w:val="21"/>
          <w:szCs w:val="21"/>
          <w:highlight w:val="none"/>
        </w:rPr>
        <w:t>；制造商为</w:t>
      </w:r>
      <w:r>
        <w:rPr>
          <w:rFonts w:hint="eastAsia" w:ascii="宋体" w:hAnsi="宋体" w:cs="宋体"/>
          <w:iCs/>
          <w:color w:val="auto"/>
          <w:sz w:val="21"/>
          <w:szCs w:val="21"/>
          <w:highlight w:val="none"/>
          <w:u w:val="single"/>
        </w:rPr>
        <w:t>（企业名称）</w:t>
      </w:r>
      <w:r>
        <w:rPr>
          <w:rFonts w:hint="eastAsia" w:ascii="宋体" w:hAnsi="宋体" w:cs="宋体"/>
          <w:iCs/>
          <w:color w:val="auto"/>
          <w:sz w:val="21"/>
          <w:szCs w:val="21"/>
          <w:highlight w:val="none"/>
        </w:rPr>
        <w:t>，从业人员</w:t>
      </w:r>
      <w:r>
        <w:rPr>
          <w:rFonts w:hint="eastAsia" w:ascii="宋体" w:hAnsi="宋体" w:cs="宋体"/>
          <w:iCs/>
          <w:color w:val="auto"/>
          <w:sz w:val="21"/>
          <w:szCs w:val="21"/>
          <w:highlight w:val="none"/>
          <w:u w:val="single"/>
        </w:rPr>
        <w:t xml:space="preserve">   </w:t>
      </w:r>
      <w:r>
        <w:rPr>
          <w:rFonts w:hint="eastAsia" w:ascii="宋体" w:hAnsi="宋体" w:cs="宋体"/>
          <w:iCs/>
          <w:color w:val="auto"/>
          <w:sz w:val="21"/>
          <w:szCs w:val="21"/>
          <w:highlight w:val="none"/>
          <w:u w:val="single"/>
        </w:rPr>
        <w:tab/>
      </w:r>
      <w:r>
        <w:rPr>
          <w:rFonts w:hint="eastAsia" w:ascii="宋体" w:hAnsi="宋体" w:cs="宋体"/>
          <w:iCs/>
          <w:color w:val="auto"/>
          <w:sz w:val="21"/>
          <w:szCs w:val="21"/>
          <w:highlight w:val="none"/>
        </w:rPr>
        <w:t>人，营业收入为</w:t>
      </w:r>
      <w:r>
        <w:rPr>
          <w:rFonts w:hint="eastAsia" w:ascii="宋体" w:hAnsi="宋体" w:cs="宋体"/>
          <w:iCs/>
          <w:color w:val="auto"/>
          <w:sz w:val="21"/>
          <w:szCs w:val="21"/>
          <w:highlight w:val="none"/>
          <w:u w:val="single"/>
        </w:rPr>
        <w:t xml:space="preserve"> </w:t>
      </w:r>
      <w:r>
        <w:rPr>
          <w:rFonts w:hint="eastAsia" w:ascii="宋体" w:hAnsi="宋体" w:cs="宋体"/>
          <w:iCs/>
          <w:color w:val="auto"/>
          <w:sz w:val="21"/>
          <w:szCs w:val="21"/>
          <w:highlight w:val="none"/>
          <w:u w:val="single"/>
        </w:rPr>
        <w:tab/>
      </w:r>
      <w:r>
        <w:rPr>
          <w:rFonts w:hint="eastAsia" w:ascii="宋体" w:hAnsi="宋体" w:cs="宋体"/>
          <w:iCs/>
          <w:color w:val="auto"/>
          <w:sz w:val="21"/>
          <w:szCs w:val="21"/>
          <w:highlight w:val="none"/>
          <w:u w:val="single"/>
        </w:rPr>
        <w:t xml:space="preserve"> </w:t>
      </w:r>
      <w:r>
        <w:rPr>
          <w:rFonts w:hint="eastAsia" w:ascii="宋体" w:hAnsi="宋体" w:cs="宋体"/>
          <w:iCs/>
          <w:color w:val="auto"/>
          <w:sz w:val="21"/>
          <w:szCs w:val="21"/>
          <w:highlight w:val="none"/>
        </w:rPr>
        <w:t>万元，资产总额为</w:t>
      </w:r>
      <w:r>
        <w:rPr>
          <w:rFonts w:hint="eastAsia" w:ascii="宋体" w:hAnsi="宋体" w:cs="宋体"/>
          <w:iCs/>
          <w:color w:val="auto"/>
          <w:sz w:val="21"/>
          <w:szCs w:val="21"/>
          <w:highlight w:val="none"/>
          <w:u w:val="single"/>
        </w:rPr>
        <w:t xml:space="preserve"> </w:t>
      </w:r>
      <w:r>
        <w:rPr>
          <w:rFonts w:hint="eastAsia" w:ascii="宋体" w:hAnsi="宋体" w:cs="宋体"/>
          <w:iCs/>
          <w:color w:val="auto"/>
          <w:sz w:val="21"/>
          <w:szCs w:val="21"/>
          <w:highlight w:val="none"/>
          <w:u w:val="single"/>
        </w:rPr>
        <w:tab/>
      </w:r>
      <w:r>
        <w:rPr>
          <w:rFonts w:hint="eastAsia" w:ascii="宋体" w:hAnsi="宋体" w:cs="宋体"/>
          <w:iCs/>
          <w:color w:val="auto"/>
          <w:sz w:val="21"/>
          <w:szCs w:val="21"/>
          <w:highlight w:val="none"/>
          <w:u w:val="single"/>
        </w:rPr>
        <w:t xml:space="preserve">    </w:t>
      </w:r>
      <w:r>
        <w:rPr>
          <w:rFonts w:hint="eastAsia" w:ascii="宋体" w:hAnsi="宋体" w:cs="宋体"/>
          <w:iCs/>
          <w:color w:val="auto"/>
          <w:sz w:val="21"/>
          <w:szCs w:val="21"/>
          <w:highlight w:val="none"/>
        </w:rPr>
        <w:t>万元，属于</w:t>
      </w:r>
      <w:r>
        <w:rPr>
          <w:rFonts w:hint="eastAsia" w:ascii="宋体" w:hAnsi="宋体" w:cs="宋体"/>
          <w:iCs/>
          <w:color w:val="auto"/>
          <w:sz w:val="21"/>
          <w:szCs w:val="21"/>
          <w:highlight w:val="none"/>
          <w:u w:val="single"/>
        </w:rPr>
        <w:t>（中型企业、小型企业、微型企业）</w:t>
      </w:r>
      <w:r>
        <w:rPr>
          <w:rFonts w:hint="eastAsia" w:ascii="宋体" w:hAnsi="宋体" w:cs="宋体"/>
          <w:iCs/>
          <w:color w:val="auto"/>
          <w:sz w:val="21"/>
          <w:szCs w:val="21"/>
          <w:highlight w:val="none"/>
        </w:rPr>
        <w:t>；</w:t>
      </w:r>
    </w:p>
    <w:p>
      <w:pPr>
        <w:pStyle w:val="32"/>
        <w:tabs>
          <w:tab w:val="left" w:pos="1243"/>
          <w:tab w:val="left" w:pos="1806"/>
          <w:tab w:val="left" w:pos="5005"/>
          <w:tab w:val="left" w:pos="7213"/>
        </w:tabs>
        <w:spacing w:line="360" w:lineRule="auto"/>
        <w:ind w:left="420" w:leftChars="200" w:right="258" w:firstLine="480"/>
        <w:jc w:val="left"/>
        <w:rPr>
          <w:rFonts w:hint="eastAsia" w:ascii="宋体" w:hAnsi="宋体" w:cs="宋体"/>
          <w:iCs/>
          <w:color w:val="auto"/>
          <w:sz w:val="21"/>
          <w:szCs w:val="21"/>
          <w:highlight w:val="none"/>
        </w:rPr>
      </w:pPr>
      <w:r>
        <w:rPr>
          <w:rFonts w:hint="eastAsia" w:ascii="宋体" w:hAnsi="宋体" w:cs="宋体"/>
          <w:iCs/>
          <w:color w:val="auto"/>
          <w:sz w:val="21"/>
          <w:szCs w:val="21"/>
          <w:highlight w:val="none"/>
        </w:rPr>
        <w:t>2、</w:t>
      </w:r>
      <w:r>
        <w:rPr>
          <w:rFonts w:hint="eastAsia" w:ascii="宋体" w:hAnsi="宋体" w:cs="宋体"/>
          <w:iCs/>
          <w:color w:val="auto"/>
          <w:sz w:val="21"/>
          <w:szCs w:val="21"/>
          <w:highlight w:val="none"/>
          <w:u w:val="single"/>
        </w:rPr>
        <w:t xml:space="preserve">（标的名称）  </w:t>
      </w:r>
      <w:r>
        <w:rPr>
          <w:rFonts w:hint="eastAsia" w:ascii="宋体" w:hAnsi="宋体" w:cs="宋体"/>
          <w:iCs/>
          <w:color w:val="auto"/>
          <w:sz w:val="21"/>
          <w:szCs w:val="21"/>
          <w:highlight w:val="none"/>
        </w:rPr>
        <w:t>，属于（</w:t>
      </w:r>
      <w:r>
        <w:rPr>
          <w:rFonts w:hint="eastAsia" w:ascii="宋体" w:hAnsi="宋体" w:cs="宋体"/>
          <w:iCs/>
          <w:color w:val="auto"/>
          <w:sz w:val="21"/>
          <w:szCs w:val="21"/>
          <w:highlight w:val="none"/>
          <w:u w:val="single"/>
        </w:rPr>
        <w:t>采购文件中明确的所属行业）</w:t>
      </w:r>
      <w:r>
        <w:rPr>
          <w:rFonts w:hint="eastAsia" w:ascii="宋体" w:hAnsi="宋体" w:cs="宋体"/>
          <w:iCs/>
          <w:color w:val="auto"/>
          <w:sz w:val="21"/>
          <w:szCs w:val="21"/>
          <w:highlight w:val="none"/>
        </w:rPr>
        <w:t>；制造商为</w:t>
      </w:r>
      <w:r>
        <w:rPr>
          <w:rFonts w:hint="eastAsia" w:ascii="宋体" w:hAnsi="宋体" w:cs="宋体"/>
          <w:iCs/>
          <w:color w:val="auto"/>
          <w:sz w:val="21"/>
          <w:szCs w:val="21"/>
          <w:highlight w:val="none"/>
          <w:u w:val="single"/>
        </w:rPr>
        <w:t>（企业名称）</w:t>
      </w:r>
      <w:r>
        <w:rPr>
          <w:rFonts w:hint="eastAsia" w:ascii="宋体" w:hAnsi="宋体" w:cs="宋体"/>
          <w:iCs/>
          <w:color w:val="auto"/>
          <w:sz w:val="21"/>
          <w:szCs w:val="21"/>
          <w:highlight w:val="none"/>
        </w:rPr>
        <w:t>，从业人员</w:t>
      </w:r>
      <w:r>
        <w:rPr>
          <w:rFonts w:hint="eastAsia" w:ascii="宋体" w:hAnsi="宋体" w:cs="宋体"/>
          <w:iCs/>
          <w:color w:val="auto"/>
          <w:sz w:val="21"/>
          <w:szCs w:val="21"/>
          <w:highlight w:val="none"/>
          <w:u w:val="single"/>
        </w:rPr>
        <w:t xml:space="preserve">    </w:t>
      </w:r>
      <w:r>
        <w:rPr>
          <w:rFonts w:hint="eastAsia" w:ascii="宋体" w:hAnsi="宋体" w:cs="宋体"/>
          <w:iCs/>
          <w:color w:val="auto"/>
          <w:sz w:val="21"/>
          <w:szCs w:val="21"/>
          <w:highlight w:val="none"/>
        </w:rPr>
        <w:t>人，营业收入为</w:t>
      </w:r>
      <w:r>
        <w:rPr>
          <w:rFonts w:hint="eastAsia" w:ascii="宋体" w:hAnsi="宋体" w:cs="宋体"/>
          <w:iCs/>
          <w:color w:val="auto"/>
          <w:sz w:val="21"/>
          <w:szCs w:val="21"/>
          <w:highlight w:val="none"/>
          <w:u w:val="single"/>
        </w:rPr>
        <w:t xml:space="preserve">    </w:t>
      </w:r>
      <w:r>
        <w:rPr>
          <w:rFonts w:hint="eastAsia" w:ascii="宋体" w:hAnsi="宋体" w:cs="宋体"/>
          <w:iCs/>
          <w:color w:val="auto"/>
          <w:sz w:val="21"/>
          <w:szCs w:val="21"/>
          <w:highlight w:val="none"/>
        </w:rPr>
        <w:t>万元，资产总额为</w:t>
      </w:r>
      <w:r>
        <w:rPr>
          <w:rFonts w:hint="eastAsia" w:ascii="宋体" w:hAnsi="宋体" w:cs="宋体"/>
          <w:iCs/>
          <w:color w:val="auto"/>
          <w:sz w:val="21"/>
          <w:szCs w:val="21"/>
          <w:highlight w:val="none"/>
          <w:u w:val="single"/>
        </w:rPr>
        <w:t xml:space="preserve"> </w:t>
      </w:r>
      <w:r>
        <w:rPr>
          <w:rFonts w:hint="eastAsia" w:ascii="宋体" w:hAnsi="宋体" w:cs="宋体"/>
          <w:iCs/>
          <w:color w:val="auto"/>
          <w:sz w:val="21"/>
          <w:szCs w:val="21"/>
          <w:highlight w:val="none"/>
          <w:u w:val="single"/>
          <w:lang w:val="en-US" w:eastAsia="zh-CN"/>
        </w:rPr>
        <w:t xml:space="preserve">     </w:t>
      </w:r>
      <w:r>
        <w:rPr>
          <w:rFonts w:hint="eastAsia" w:ascii="宋体" w:hAnsi="宋体" w:cs="宋体"/>
          <w:iCs/>
          <w:color w:val="auto"/>
          <w:sz w:val="21"/>
          <w:szCs w:val="21"/>
          <w:highlight w:val="none"/>
          <w:u w:val="single"/>
        </w:rPr>
        <w:t xml:space="preserve"> </w:t>
      </w:r>
      <w:r>
        <w:rPr>
          <w:rFonts w:hint="eastAsia" w:ascii="宋体" w:hAnsi="宋体" w:cs="宋体"/>
          <w:iCs/>
          <w:color w:val="auto"/>
          <w:sz w:val="21"/>
          <w:szCs w:val="21"/>
          <w:highlight w:val="none"/>
        </w:rPr>
        <w:t>万元，属于</w:t>
      </w:r>
      <w:r>
        <w:rPr>
          <w:rFonts w:hint="eastAsia" w:ascii="宋体" w:hAnsi="宋体" w:cs="宋体"/>
          <w:iCs/>
          <w:color w:val="auto"/>
          <w:sz w:val="21"/>
          <w:szCs w:val="21"/>
          <w:highlight w:val="none"/>
          <w:u w:val="single"/>
        </w:rPr>
        <w:t>（中型企业、小型企业、微型企业）</w:t>
      </w:r>
      <w:r>
        <w:rPr>
          <w:rFonts w:hint="eastAsia" w:ascii="宋体" w:hAnsi="宋体" w:cs="宋体"/>
          <w:iCs/>
          <w:color w:val="auto"/>
          <w:sz w:val="21"/>
          <w:szCs w:val="21"/>
          <w:highlight w:val="none"/>
        </w:rPr>
        <w:t>；</w:t>
      </w:r>
    </w:p>
    <w:p>
      <w:pPr>
        <w:pStyle w:val="2"/>
        <w:spacing w:before="11" w:line="360" w:lineRule="auto"/>
        <w:ind w:left="860"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w:t>
      </w:r>
    </w:p>
    <w:p>
      <w:pPr>
        <w:pStyle w:val="2"/>
        <w:spacing w:before="108" w:line="360" w:lineRule="auto"/>
        <w:ind w:right="417"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以上企业，不属于大企业的分支机构，不存在控股股东为大企业的情形，也不存在与大企业的负责人为同一人的情形。</w:t>
      </w:r>
    </w:p>
    <w:p>
      <w:pPr>
        <w:pStyle w:val="2"/>
        <w:spacing w:line="360" w:lineRule="auto"/>
        <w:ind w:right="375"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本企业对上述声明内容的真实性负责。如有虚假，将依法承担相应责任。</w:t>
      </w:r>
    </w:p>
    <w:p>
      <w:pPr>
        <w:pStyle w:val="2"/>
        <w:spacing w:before="29" w:line="360" w:lineRule="auto"/>
        <w:ind w:left="4060" w:right="2166" w:firstLine="420" w:firstLineChars="200"/>
        <w:rPr>
          <w:rFonts w:hint="eastAsia" w:ascii="宋体" w:hAnsi="宋体" w:cs="宋体"/>
          <w:color w:val="auto"/>
          <w:sz w:val="21"/>
          <w:szCs w:val="21"/>
          <w:highlight w:val="none"/>
        </w:rPr>
      </w:pPr>
    </w:p>
    <w:p>
      <w:pPr>
        <w:pStyle w:val="2"/>
        <w:keepNext w:val="0"/>
        <w:keepLines w:val="0"/>
        <w:pageBreakBefore w:val="0"/>
        <w:widowControl/>
        <w:kinsoku/>
        <w:wordWrap/>
        <w:overflowPunct/>
        <w:topLinePunct w:val="0"/>
        <w:autoSpaceDE/>
        <w:autoSpaceDN/>
        <w:bidi w:val="0"/>
        <w:adjustRightInd/>
        <w:snapToGrid/>
        <w:spacing w:before="29" w:line="360" w:lineRule="auto"/>
        <w:ind w:right="0" w:firstLine="3780" w:firstLineChars="1800"/>
        <w:jc w:val="left"/>
        <w:textAlignment w:val="auto"/>
        <w:rPr>
          <w:rFonts w:hint="default" w:ascii="宋体" w:hAnsi="宋体" w:eastAsia="宋体" w:cs="宋体"/>
          <w:color w:val="auto"/>
          <w:sz w:val="21"/>
          <w:szCs w:val="21"/>
          <w:highlight w:val="none"/>
          <w:u w:val="single"/>
          <w:lang w:val="en-US" w:eastAsia="zh-CN"/>
        </w:rPr>
      </w:pPr>
      <w:r>
        <w:rPr>
          <w:rFonts w:hint="eastAsia" w:ascii="宋体" w:hAnsi="宋体" w:cs="宋体"/>
          <w:color w:val="auto"/>
          <w:sz w:val="21"/>
          <w:szCs w:val="21"/>
          <w:highlight w:val="none"/>
        </w:rPr>
        <w:t>企业名称（盖章）：</w:t>
      </w:r>
      <w:r>
        <w:rPr>
          <w:rFonts w:hint="eastAsia" w:ascii="宋体" w:hAnsi="宋体" w:cs="宋体"/>
          <w:color w:val="auto"/>
          <w:sz w:val="21"/>
          <w:szCs w:val="21"/>
          <w:highlight w:val="none"/>
          <w:u w:val="single"/>
          <w:lang w:val="en-US" w:eastAsia="zh-CN"/>
        </w:rPr>
        <w:t xml:space="preserve">                 </w:t>
      </w:r>
    </w:p>
    <w:p>
      <w:pPr>
        <w:pStyle w:val="2"/>
        <w:keepNext w:val="0"/>
        <w:keepLines w:val="0"/>
        <w:pageBreakBefore w:val="0"/>
        <w:widowControl/>
        <w:kinsoku/>
        <w:wordWrap/>
        <w:overflowPunct/>
        <w:topLinePunct w:val="0"/>
        <w:autoSpaceDE/>
        <w:autoSpaceDN/>
        <w:bidi w:val="0"/>
        <w:adjustRightInd/>
        <w:snapToGrid/>
        <w:spacing w:before="29" w:line="360" w:lineRule="auto"/>
        <w:ind w:right="0" w:firstLine="3780" w:firstLineChars="1800"/>
        <w:textAlignment w:val="auto"/>
        <w:rPr>
          <w:rFonts w:hint="default" w:ascii="宋体" w:hAnsi="宋体" w:cs="宋体"/>
          <w:color w:val="auto"/>
          <w:sz w:val="21"/>
          <w:szCs w:val="21"/>
          <w:highlight w:val="none"/>
          <w:lang w:val="en-US"/>
        </w:rPr>
      </w:pPr>
      <w:r>
        <w:rPr>
          <w:rFonts w:hint="eastAsia" w:ascii="宋体" w:hAnsi="宋体" w:cs="宋体"/>
          <w:color w:val="auto"/>
          <w:sz w:val="21"/>
          <w:szCs w:val="21"/>
          <w:highlight w:val="none"/>
        </w:rPr>
        <w:t>日期：</w:t>
      </w:r>
      <w:r>
        <w:rPr>
          <w:rFonts w:hint="eastAsia" w:ascii="宋体" w:hAnsi="宋体" w:cs="宋体"/>
          <w:color w:val="auto"/>
          <w:sz w:val="21"/>
          <w:szCs w:val="21"/>
          <w:highlight w:val="none"/>
          <w:u w:val="single"/>
          <w:lang w:val="en-US" w:eastAsia="zh-CN"/>
        </w:rPr>
        <w:t xml:space="preserve">                             </w:t>
      </w:r>
    </w:p>
    <w:p>
      <w:pPr>
        <w:spacing w:line="360" w:lineRule="auto"/>
        <w:rPr>
          <w:rFonts w:hint="eastAsia" w:ascii="宋体" w:hAnsi="宋体"/>
          <w:color w:val="auto"/>
          <w:sz w:val="24"/>
          <w:szCs w:val="24"/>
          <w:highlight w:val="none"/>
        </w:rPr>
      </w:pPr>
    </w:p>
    <w:p>
      <w:pPr>
        <w:spacing w:line="360" w:lineRule="auto"/>
        <w:rPr>
          <w:rFonts w:hint="eastAsia" w:ascii="宋体" w:hAnsi="宋体"/>
          <w:color w:val="auto"/>
          <w:sz w:val="24"/>
          <w:szCs w:val="24"/>
          <w:highlight w:val="none"/>
        </w:rPr>
      </w:pPr>
    </w:p>
    <w:p>
      <w:pPr>
        <w:spacing w:line="360" w:lineRule="auto"/>
        <w:rPr>
          <w:rFonts w:hint="eastAsia" w:ascii="宋体" w:hAnsi="宋体"/>
          <w:color w:val="auto"/>
          <w:sz w:val="24"/>
          <w:szCs w:val="24"/>
          <w:highlight w:val="none"/>
        </w:rPr>
      </w:pPr>
    </w:p>
    <w:p>
      <w:pPr>
        <w:spacing w:line="360" w:lineRule="auto"/>
        <w:rPr>
          <w:rFonts w:hint="eastAsia" w:ascii="宋体" w:hAnsi="宋体"/>
          <w:color w:val="auto"/>
          <w:sz w:val="24"/>
          <w:szCs w:val="24"/>
          <w:highlight w:val="none"/>
        </w:rPr>
      </w:pPr>
    </w:p>
    <w:p>
      <w:pPr>
        <w:spacing w:line="360" w:lineRule="auto"/>
        <w:ind w:firstLine="420" w:firstLineChars="200"/>
        <w:jc w:val="left"/>
        <w:rPr>
          <w:rFonts w:hint="eastAsia" w:ascii="宋体" w:hAnsi="宋体" w:eastAsia="仿宋"/>
          <w:color w:val="auto"/>
          <w:sz w:val="24"/>
          <w:szCs w:val="24"/>
          <w:highlight w:val="none"/>
          <w:lang w:eastAsia="zh-CN"/>
        </w:rPr>
      </w:pPr>
      <w:r>
        <w:rPr>
          <w:rFonts w:hint="eastAsia" w:ascii="宋体" w:hAnsi="宋体"/>
          <w:color w:val="auto"/>
          <w:sz w:val="21"/>
          <w:szCs w:val="21"/>
          <w:highlight w:val="none"/>
        </w:rPr>
        <w:t>注：从业人员、营业收入、资产总额填报上一年度数据，无上一年度数据的新成立企业可不填报。</w:t>
      </w:r>
      <w:r>
        <w:rPr>
          <w:rFonts w:ascii="宋体" w:hAnsi="宋体"/>
          <w:color w:val="auto"/>
          <w:sz w:val="24"/>
          <w:szCs w:val="24"/>
          <w:highlight w:val="none"/>
        </w:rPr>
        <w:br w:type="column"/>
      </w:r>
      <w:r>
        <w:rPr>
          <w:rFonts w:hint="eastAsia" w:ascii="仿宋" w:hAnsi="仿宋" w:eastAsia="仿宋" w:cs="仿宋"/>
          <w:b/>
          <w:bCs/>
          <w:sz w:val="24"/>
          <w:szCs w:val="24"/>
        </w:rPr>
        <w:t>附件</w:t>
      </w:r>
      <w:r>
        <w:rPr>
          <w:rFonts w:hint="eastAsia" w:ascii="仿宋" w:hAnsi="仿宋" w:eastAsia="仿宋" w:cs="仿宋"/>
          <w:b/>
          <w:bCs/>
          <w:sz w:val="24"/>
          <w:szCs w:val="24"/>
          <w:lang w:val="en-US" w:eastAsia="zh-CN"/>
        </w:rPr>
        <w:t>2：</w:t>
      </w:r>
    </w:p>
    <w:p>
      <w:pPr>
        <w:spacing w:line="360" w:lineRule="auto"/>
        <w:ind w:firstLine="480" w:firstLineChars="200"/>
        <w:jc w:val="left"/>
        <w:rPr>
          <w:rFonts w:ascii="宋体" w:hAnsi="宋体"/>
          <w:color w:val="auto"/>
          <w:sz w:val="24"/>
          <w:szCs w:val="24"/>
          <w:highlight w:val="none"/>
        </w:rPr>
      </w:pPr>
    </w:p>
    <w:p>
      <w:pPr>
        <w:spacing w:line="360" w:lineRule="auto"/>
        <w:jc w:val="center"/>
        <w:rPr>
          <w:rFonts w:hint="eastAsia" w:ascii="宋体" w:hAnsi="宋体"/>
          <w:b/>
          <w:color w:val="auto"/>
          <w:sz w:val="28"/>
          <w:szCs w:val="28"/>
          <w:highlight w:val="none"/>
        </w:rPr>
      </w:pPr>
      <w:r>
        <w:rPr>
          <w:rFonts w:hint="eastAsia" w:ascii="宋体" w:hAnsi="宋体"/>
          <w:b/>
          <w:color w:val="auto"/>
          <w:sz w:val="28"/>
          <w:szCs w:val="28"/>
          <w:highlight w:val="none"/>
        </w:rPr>
        <w:t>残疾人福利性单位声明函</w:t>
      </w:r>
    </w:p>
    <w:p>
      <w:pPr>
        <w:jc w:val="center"/>
        <w:rPr>
          <w:rFonts w:hint="eastAsia" w:ascii="宋体" w:hAnsi="宋体"/>
          <w:color w:val="auto"/>
          <w:sz w:val="21"/>
          <w:szCs w:val="21"/>
          <w:highlight w:val="none"/>
        </w:rPr>
      </w:pPr>
      <w:r>
        <w:rPr>
          <w:rFonts w:hint="eastAsia" w:ascii="宋体" w:hAnsi="宋体" w:cs="宋体"/>
          <w:b/>
          <w:bCs/>
          <w:sz w:val="28"/>
          <w:szCs w:val="36"/>
          <w:lang w:val="zh-CN"/>
        </w:rPr>
        <w:t>（非</w:t>
      </w:r>
      <w:r>
        <w:rPr>
          <w:rFonts w:hint="eastAsia" w:ascii="宋体" w:hAnsi="宋体" w:cs="宋体"/>
          <w:b/>
          <w:bCs/>
          <w:sz w:val="28"/>
          <w:szCs w:val="36"/>
        </w:rPr>
        <w:t>残疾人福利企业</w:t>
      </w:r>
      <w:r>
        <w:rPr>
          <w:rFonts w:hint="eastAsia" w:ascii="宋体" w:hAnsi="宋体" w:cs="宋体"/>
          <w:b/>
          <w:bCs/>
          <w:sz w:val="28"/>
          <w:szCs w:val="36"/>
          <w:lang w:val="zh-CN"/>
        </w:rPr>
        <w:t>不</w:t>
      </w:r>
      <w:r>
        <w:rPr>
          <w:rFonts w:hint="eastAsia" w:ascii="宋体" w:hAnsi="宋体" w:cs="宋体"/>
          <w:b/>
          <w:bCs/>
          <w:sz w:val="28"/>
          <w:szCs w:val="36"/>
        </w:rPr>
        <w:t>填写</w:t>
      </w:r>
      <w:r>
        <w:rPr>
          <w:rFonts w:hint="eastAsia" w:ascii="宋体" w:hAnsi="宋体" w:cs="宋体"/>
          <w:b/>
          <w:bCs/>
          <w:sz w:val="28"/>
          <w:szCs w:val="36"/>
          <w:lang w:val="zh-CN"/>
        </w:rPr>
        <w:t>）</w:t>
      </w:r>
    </w:p>
    <w:p>
      <w:pPr>
        <w:spacing w:line="360" w:lineRule="auto"/>
        <w:ind w:firstLine="420" w:firstLineChars="200"/>
        <w:rPr>
          <w:rFonts w:hint="eastAsia" w:ascii="宋体" w:hAnsi="宋体"/>
          <w:color w:val="auto"/>
          <w:sz w:val="21"/>
          <w:szCs w:val="21"/>
          <w:highlight w:val="none"/>
        </w:rPr>
      </w:pPr>
    </w:p>
    <w:p>
      <w:pPr>
        <w:spacing w:line="360" w:lineRule="auto"/>
        <w:ind w:firstLine="420" w:firstLineChars="200"/>
        <w:rPr>
          <w:rFonts w:ascii="宋体" w:hAnsi="宋体"/>
          <w:color w:val="auto"/>
          <w:sz w:val="21"/>
          <w:szCs w:val="21"/>
          <w:highlight w:val="none"/>
        </w:rPr>
      </w:pPr>
      <w:r>
        <w:rPr>
          <w:rFonts w:hint="eastAsia" w:ascii="宋体" w:hAnsi="宋体"/>
          <w:color w:val="auto"/>
          <w:sz w:val="21"/>
          <w:szCs w:val="21"/>
          <w:highlight w:val="none"/>
        </w:rPr>
        <w:t>本单位郑重声明，根据《财政部 民政部 中国残疾人联合会关于促进残疾人就业政府采购政策的通知》（财库〔2017〕 141号）的规定，本单位为符合条件的残疾人福利性单位，且本单位参加</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单位的</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项目采购活动提供本单位制造的货物（由本单位承担工程/提供服务），或者提供其他残疾人福利性单位制造的货物（不包括使用非残疾人福利性单位注册商标的货物）。</w:t>
      </w:r>
    </w:p>
    <w:p>
      <w:pPr>
        <w:spacing w:line="360" w:lineRule="auto"/>
        <w:ind w:firstLine="420" w:firstLineChars="200"/>
        <w:rPr>
          <w:rFonts w:ascii="宋体" w:hAnsi="宋体"/>
          <w:color w:val="auto"/>
          <w:sz w:val="21"/>
          <w:szCs w:val="21"/>
          <w:highlight w:val="none"/>
        </w:rPr>
      </w:pPr>
      <w:r>
        <w:rPr>
          <w:rFonts w:hint="eastAsia" w:ascii="宋体" w:hAnsi="宋体"/>
          <w:color w:val="auto"/>
          <w:sz w:val="21"/>
          <w:szCs w:val="21"/>
          <w:highlight w:val="none"/>
        </w:rPr>
        <w:t>本单位对上述声明的真实性负责。如有虚假，将依法承担相应责任。</w:t>
      </w:r>
    </w:p>
    <w:p>
      <w:pPr>
        <w:spacing w:line="360" w:lineRule="auto"/>
        <w:rPr>
          <w:rFonts w:ascii="宋体" w:hAnsi="宋体"/>
          <w:color w:val="auto"/>
          <w:sz w:val="21"/>
          <w:szCs w:val="21"/>
          <w:highlight w:val="none"/>
        </w:rPr>
      </w:pPr>
    </w:p>
    <w:p>
      <w:pPr>
        <w:spacing w:line="360" w:lineRule="auto"/>
        <w:rPr>
          <w:rFonts w:ascii="宋体" w:hAnsi="宋体"/>
          <w:color w:val="auto"/>
          <w:sz w:val="21"/>
          <w:szCs w:val="21"/>
          <w:highlight w:val="none"/>
        </w:rPr>
      </w:pPr>
    </w:p>
    <w:p>
      <w:pPr>
        <w:pStyle w:val="2"/>
        <w:spacing w:before="29" w:line="360" w:lineRule="auto"/>
        <w:ind w:left="4060" w:right="2166" w:firstLine="420" w:firstLineChars="200"/>
        <w:rPr>
          <w:rFonts w:hint="eastAsia" w:ascii="宋体" w:hAnsi="宋体" w:cs="宋体"/>
          <w:color w:val="auto"/>
          <w:sz w:val="21"/>
          <w:szCs w:val="21"/>
          <w:highlight w:val="none"/>
        </w:rPr>
      </w:pPr>
    </w:p>
    <w:p>
      <w:pPr>
        <w:pStyle w:val="2"/>
        <w:keepNext w:val="0"/>
        <w:keepLines w:val="0"/>
        <w:pageBreakBefore w:val="0"/>
        <w:widowControl/>
        <w:kinsoku/>
        <w:wordWrap/>
        <w:overflowPunct/>
        <w:topLinePunct w:val="0"/>
        <w:autoSpaceDE/>
        <w:autoSpaceDN/>
        <w:bidi w:val="0"/>
        <w:adjustRightInd/>
        <w:snapToGrid/>
        <w:spacing w:before="29" w:line="360" w:lineRule="auto"/>
        <w:ind w:right="0" w:firstLine="3780" w:firstLineChars="1800"/>
        <w:jc w:val="left"/>
        <w:textAlignment w:val="auto"/>
        <w:rPr>
          <w:rFonts w:hint="default" w:ascii="宋体" w:hAnsi="宋体" w:eastAsia="宋体" w:cs="宋体"/>
          <w:color w:val="auto"/>
          <w:sz w:val="21"/>
          <w:szCs w:val="21"/>
          <w:highlight w:val="none"/>
          <w:u w:val="single"/>
          <w:lang w:val="en-US" w:eastAsia="zh-CN"/>
        </w:rPr>
      </w:pPr>
      <w:r>
        <w:rPr>
          <w:rFonts w:hint="eastAsia" w:ascii="宋体" w:hAnsi="宋体" w:cs="宋体"/>
          <w:color w:val="auto"/>
          <w:sz w:val="21"/>
          <w:szCs w:val="21"/>
          <w:highlight w:val="none"/>
        </w:rPr>
        <w:t>企业名称（盖章）：</w:t>
      </w:r>
      <w:r>
        <w:rPr>
          <w:rFonts w:hint="eastAsia" w:ascii="宋体" w:hAnsi="宋体" w:cs="宋体"/>
          <w:color w:val="auto"/>
          <w:sz w:val="21"/>
          <w:szCs w:val="21"/>
          <w:highlight w:val="none"/>
          <w:u w:val="single"/>
          <w:lang w:val="en-US" w:eastAsia="zh-CN"/>
        </w:rPr>
        <w:t xml:space="preserve">                 </w:t>
      </w:r>
    </w:p>
    <w:p>
      <w:pPr>
        <w:pStyle w:val="2"/>
        <w:keepNext w:val="0"/>
        <w:keepLines w:val="0"/>
        <w:pageBreakBefore w:val="0"/>
        <w:widowControl/>
        <w:kinsoku/>
        <w:wordWrap/>
        <w:overflowPunct/>
        <w:topLinePunct w:val="0"/>
        <w:autoSpaceDE/>
        <w:autoSpaceDN/>
        <w:bidi w:val="0"/>
        <w:adjustRightInd/>
        <w:snapToGrid/>
        <w:spacing w:before="29" w:line="360" w:lineRule="auto"/>
        <w:ind w:right="0" w:firstLine="3780" w:firstLineChars="1800"/>
        <w:textAlignment w:val="auto"/>
        <w:rPr>
          <w:rFonts w:hint="default" w:ascii="宋体" w:hAnsi="宋体" w:cs="宋体"/>
          <w:color w:val="auto"/>
          <w:sz w:val="21"/>
          <w:szCs w:val="21"/>
          <w:highlight w:val="none"/>
          <w:lang w:val="en-US"/>
        </w:rPr>
      </w:pPr>
      <w:r>
        <w:rPr>
          <w:rFonts w:hint="eastAsia" w:ascii="宋体" w:hAnsi="宋体" w:cs="宋体"/>
          <w:color w:val="auto"/>
          <w:sz w:val="21"/>
          <w:szCs w:val="21"/>
          <w:highlight w:val="none"/>
        </w:rPr>
        <w:t>日期：</w:t>
      </w:r>
      <w:r>
        <w:rPr>
          <w:rFonts w:hint="eastAsia" w:ascii="宋体" w:hAnsi="宋体" w:cs="宋体"/>
          <w:color w:val="auto"/>
          <w:sz w:val="21"/>
          <w:szCs w:val="21"/>
          <w:highlight w:val="none"/>
          <w:u w:val="single"/>
          <w:lang w:val="en-US" w:eastAsia="zh-CN"/>
        </w:rPr>
        <w:t xml:space="preserve">                             </w:t>
      </w:r>
    </w:p>
    <w:p>
      <w:pPr>
        <w:spacing w:line="360" w:lineRule="auto"/>
        <w:rPr>
          <w:rFonts w:hint="eastAsia" w:ascii="宋体" w:hAnsi="宋体"/>
          <w:color w:val="auto"/>
          <w:sz w:val="21"/>
          <w:szCs w:val="21"/>
          <w:highlight w:val="none"/>
        </w:rPr>
      </w:pPr>
    </w:p>
    <w:p>
      <w:pPr>
        <w:spacing w:line="360" w:lineRule="auto"/>
        <w:rPr>
          <w:rFonts w:hint="eastAsia" w:ascii="宋体" w:hAnsi="宋体"/>
          <w:color w:val="auto"/>
          <w:sz w:val="21"/>
          <w:szCs w:val="21"/>
          <w:highlight w:val="none"/>
        </w:rPr>
      </w:pPr>
    </w:p>
    <w:p>
      <w:pPr>
        <w:spacing w:line="360" w:lineRule="auto"/>
        <w:rPr>
          <w:rFonts w:hint="eastAsia" w:ascii="宋体" w:hAnsi="宋体"/>
          <w:color w:val="auto"/>
          <w:sz w:val="24"/>
          <w:szCs w:val="24"/>
          <w:highlight w:val="none"/>
        </w:rPr>
      </w:pPr>
    </w:p>
    <w:p>
      <w:pPr>
        <w:spacing w:line="360" w:lineRule="auto"/>
        <w:rPr>
          <w:rFonts w:hint="eastAsia" w:ascii="宋体" w:hAnsi="宋体"/>
          <w:color w:val="auto"/>
          <w:sz w:val="24"/>
          <w:szCs w:val="24"/>
          <w:highlight w:val="none"/>
        </w:rPr>
      </w:pPr>
    </w:p>
    <w:p>
      <w:pPr>
        <w:spacing w:line="360" w:lineRule="auto"/>
        <w:rPr>
          <w:rFonts w:hint="eastAsia" w:ascii="宋体" w:hAnsi="宋体"/>
          <w:color w:val="auto"/>
          <w:sz w:val="24"/>
          <w:szCs w:val="24"/>
          <w:highlight w:val="none"/>
        </w:rPr>
      </w:pPr>
    </w:p>
    <w:p>
      <w:pPr>
        <w:spacing w:line="360" w:lineRule="auto"/>
        <w:rPr>
          <w:rFonts w:hint="eastAsia" w:ascii="宋体" w:hAnsi="宋体"/>
          <w:color w:val="auto"/>
          <w:sz w:val="24"/>
          <w:szCs w:val="24"/>
          <w:highlight w:val="none"/>
        </w:rPr>
      </w:pPr>
    </w:p>
    <w:p>
      <w:pPr>
        <w:spacing w:line="360" w:lineRule="auto"/>
        <w:rPr>
          <w:rFonts w:hint="eastAsia" w:ascii="宋体" w:hAnsi="宋体"/>
          <w:color w:val="auto"/>
          <w:sz w:val="24"/>
          <w:szCs w:val="24"/>
          <w:highlight w:val="none"/>
        </w:rPr>
      </w:pPr>
    </w:p>
    <w:p>
      <w:pPr>
        <w:spacing w:line="360" w:lineRule="auto"/>
        <w:rPr>
          <w:rFonts w:hint="eastAsia" w:ascii="宋体" w:hAnsi="宋体"/>
          <w:color w:val="auto"/>
          <w:sz w:val="24"/>
          <w:szCs w:val="24"/>
          <w:highlight w:val="none"/>
        </w:rPr>
      </w:pPr>
    </w:p>
    <w:p>
      <w:pPr>
        <w:spacing w:line="360" w:lineRule="auto"/>
        <w:rPr>
          <w:rFonts w:hint="eastAsia" w:ascii="宋体" w:hAnsi="宋体"/>
          <w:color w:val="auto"/>
          <w:sz w:val="24"/>
          <w:szCs w:val="24"/>
          <w:highlight w:val="none"/>
        </w:rPr>
      </w:pPr>
    </w:p>
    <w:p>
      <w:pPr>
        <w:spacing w:line="360" w:lineRule="auto"/>
        <w:rPr>
          <w:rFonts w:hint="eastAsia" w:ascii="宋体" w:hAnsi="宋体"/>
          <w:color w:val="auto"/>
          <w:sz w:val="24"/>
          <w:szCs w:val="24"/>
          <w:highlight w:val="none"/>
        </w:rPr>
      </w:pPr>
    </w:p>
    <w:p>
      <w:pPr>
        <w:spacing w:line="360" w:lineRule="auto"/>
        <w:rPr>
          <w:rFonts w:hint="eastAsia" w:ascii="宋体" w:hAnsi="宋体"/>
          <w:color w:val="auto"/>
          <w:sz w:val="24"/>
          <w:szCs w:val="24"/>
          <w:highlight w:val="none"/>
        </w:rPr>
      </w:pPr>
    </w:p>
    <w:p>
      <w:pPr>
        <w:spacing w:line="360" w:lineRule="auto"/>
        <w:rPr>
          <w:rFonts w:hint="eastAsia" w:ascii="宋体" w:hAnsi="宋体"/>
          <w:color w:val="auto"/>
          <w:sz w:val="24"/>
          <w:szCs w:val="24"/>
          <w:highlight w:val="none"/>
        </w:rPr>
      </w:pPr>
    </w:p>
    <w:p>
      <w:pPr>
        <w:pageBreakBefore/>
        <w:spacing w:line="360" w:lineRule="auto"/>
        <w:rPr>
          <w:rFonts w:ascii="仿宋" w:hAnsi="仿宋" w:eastAsia="仿宋" w:cs="仿宋"/>
          <w:b/>
          <w:sz w:val="24"/>
          <w:szCs w:val="24"/>
        </w:rPr>
      </w:pPr>
      <w:bookmarkStart w:id="232" w:name="_Toc27972"/>
      <w:r>
        <w:rPr>
          <w:rFonts w:hint="eastAsia" w:ascii="仿宋" w:hAnsi="仿宋" w:eastAsia="仿宋" w:cs="仿宋"/>
          <w:b/>
          <w:sz w:val="24"/>
          <w:szCs w:val="24"/>
        </w:rPr>
        <w:t>附件3：</w:t>
      </w:r>
    </w:p>
    <w:p>
      <w:pPr>
        <w:spacing w:line="360" w:lineRule="auto"/>
        <w:jc w:val="center"/>
        <w:rPr>
          <w:rFonts w:hint="eastAsia" w:ascii="宋体" w:hAnsi="宋体" w:eastAsia="宋体"/>
          <w:b/>
          <w:color w:val="auto"/>
          <w:sz w:val="28"/>
          <w:szCs w:val="28"/>
          <w:highlight w:val="none"/>
          <w:lang w:eastAsia="zh-CN"/>
        </w:rPr>
      </w:pPr>
      <w:r>
        <w:rPr>
          <w:rFonts w:hint="eastAsia" w:ascii="宋体" w:hAnsi="宋体"/>
          <w:b/>
          <w:color w:val="auto"/>
          <w:sz w:val="28"/>
          <w:szCs w:val="28"/>
          <w:highlight w:val="none"/>
          <w:lang w:eastAsia="zh-CN"/>
        </w:rPr>
        <w:t>监狱、戒毒企业声明函</w:t>
      </w:r>
    </w:p>
    <w:p>
      <w:pPr>
        <w:jc w:val="center"/>
        <w:rPr>
          <w:rFonts w:hint="eastAsia" w:ascii="宋体" w:hAnsi="宋体" w:cs="宋体"/>
          <w:b/>
          <w:bCs/>
          <w:sz w:val="28"/>
          <w:szCs w:val="36"/>
        </w:rPr>
      </w:pPr>
      <w:r>
        <w:rPr>
          <w:rFonts w:hint="eastAsia" w:ascii="宋体" w:hAnsi="宋体" w:cs="宋体"/>
          <w:b/>
          <w:bCs/>
          <w:sz w:val="28"/>
          <w:szCs w:val="36"/>
          <w:lang w:val="zh-CN"/>
        </w:rPr>
        <w:t>（非监狱、戒毒企业不</w:t>
      </w:r>
      <w:r>
        <w:rPr>
          <w:rFonts w:hint="eastAsia" w:ascii="宋体" w:hAnsi="宋体" w:cs="宋体"/>
          <w:b/>
          <w:bCs/>
          <w:sz w:val="28"/>
          <w:szCs w:val="36"/>
        </w:rPr>
        <w:t>填写</w:t>
      </w:r>
      <w:r>
        <w:rPr>
          <w:rFonts w:hint="eastAsia" w:ascii="宋体" w:hAnsi="宋体" w:cs="宋体"/>
          <w:b/>
          <w:bCs/>
          <w:sz w:val="28"/>
          <w:szCs w:val="36"/>
          <w:lang w:val="zh-CN"/>
        </w:rPr>
        <w:t>）</w:t>
      </w:r>
    </w:p>
    <w:p>
      <w:pPr>
        <w:keepNext w:val="0"/>
        <w:keepLines w:val="0"/>
        <w:pageBreakBefore w:val="0"/>
        <w:widowControl w:val="0"/>
        <w:kinsoku/>
        <w:wordWrap/>
        <w:overflowPunct/>
        <w:topLinePunct w:val="0"/>
        <w:autoSpaceDE/>
        <w:autoSpaceDN/>
        <w:bidi w:val="0"/>
        <w:adjustRightInd/>
        <w:snapToGrid/>
        <w:spacing w:line="360" w:lineRule="auto"/>
        <w:ind w:firstLine="444" w:firstLineChars="200"/>
        <w:jc w:val="left"/>
        <w:textAlignment w:val="auto"/>
        <w:rPr>
          <w:rFonts w:hint="eastAsia" w:ascii="宋体" w:hAnsi="宋体" w:eastAsia="宋体" w:cs="宋体"/>
          <w:spacing w:val="6"/>
          <w:sz w:val="21"/>
          <w:szCs w:val="21"/>
        </w:rPr>
      </w:pPr>
    </w:p>
    <w:p>
      <w:pPr>
        <w:spacing w:line="360" w:lineRule="auto"/>
        <w:ind w:firstLine="480" w:firstLineChars="200"/>
        <w:rPr>
          <w:rFonts w:hint="eastAsia" w:ascii="宋体" w:hAnsi="宋体" w:cs="宋体"/>
          <w:sz w:val="24"/>
        </w:rPr>
      </w:pPr>
      <w:r>
        <w:rPr>
          <w:rFonts w:hint="eastAsia" w:ascii="宋体" w:hAnsi="宋体" w:cs="宋体"/>
          <w:sz w:val="24"/>
        </w:rPr>
        <w:t>本单位郑重声明，根据《</w:t>
      </w:r>
      <w:r>
        <w:rPr>
          <w:rFonts w:hint="eastAsia" w:ascii="宋体" w:hAnsi="宋体" w:cs="宋体"/>
          <w:spacing w:val="-4"/>
          <w:kern w:val="0"/>
          <w:sz w:val="24"/>
        </w:rPr>
        <w:t>财政部 司法部 关于政府采购支持监狱企业发展有关问题的通知</w:t>
      </w:r>
      <w:r>
        <w:rPr>
          <w:rFonts w:hint="eastAsia" w:ascii="宋体" w:hAnsi="宋体" w:cs="宋体"/>
          <w:sz w:val="24"/>
        </w:rPr>
        <w:t>》（财库〔2014〕 68号）的规定，本单位为符合条件的监狱、戒毒企业，且本单位参加的</w:t>
      </w:r>
      <w:r>
        <w:rPr>
          <w:rFonts w:hint="eastAsia" w:ascii="宋体" w:hAnsi="宋体" w:cs="宋体"/>
          <w:sz w:val="24"/>
          <w:u w:val="single"/>
          <w:lang w:val="en-US" w:eastAsia="zh-CN"/>
        </w:rPr>
        <w:t xml:space="preserve">               </w:t>
      </w:r>
      <w:r>
        <w:rPr>
          <w:rFonts w:hint="eastAsia" w:ascii="宋体" w:hAnsi="宋体" w:cs="宋体"/>
          <w:sz w:val="24"/>
        </w:rPr>
        <w:t>项目采购活动提供本单位制造的货物（由本单位承担工程/提供服务），或者提供其他监狱、戒毒企业制造的货物（不包括使用非监狱、戒毒企业注册商标的货物）。</w:t>
      </w:r>
    </w:p>
    <w:p>
      <w:pPr>
        <w:spacing w:line="360" w:lineRule="auto"/>
        <w:ind w:firstLine="480" w:firstLineChars="200"/>
        <w:rPr>
          <w:rFonts w:hint="eastAsia" w:ascii="宋体" w:hAnsi="宋体" w:cs="宋体"/>
          <w:sz w:val="24"/>
        </w:rPr>
      </w:pPr>
      <w:r>
        <w:rPr>
          <w:rFonts w:hint="eastAsia" w:ascii="宋体" w:hAnsi="宋体" w:cs="宋体"/>
          <w:sz w:val="24"/>
        </w:rPr>
        <w:t>本单位对上述声明的真实性负责。如有虚假，将依法承担相应责任。</w:t>
      </w:r>
    </w:p>
    <w:p>
      <w:pPr>
        <w:spacing w:line="360" w:lineRule="auto"/>
        <w:ind w:firstLine="480" w:firstLineChars="200"/>
        <w:rPr>
          <w:rFonts w:hint="eastAsia" w:ascii="宋体" w:hAnsi="宋体" w:cs="宋体"/>
          <w:sz w:val="24"/>
        </w:rPr>
      </w:pPr>
    </w:p>
    <w:p>
      <w:pPr>
        <w:spacing w:line="360" w:lineRule="auto"/>
        <w:ind w:firstLine="480" w:firstLineChars="200"/>
        <w:rPr>
          <w:rFonts w:hint="eastAsia" w:ascii="宋体" w:hAnsi="宋体" w:cs="宋体"/>
          <w:sz w:val="24"/>
        </w:rPr>
      </w:pPr>
    </w:p>
    <w:p>
      <w:pPr>
        <w:tabs>
          <w:tab w:val="left" w:pos="4860"/>
          <w:tab w:val="left" w:pos="8040"/>
          <w:tab w:val="left" w:pos="8160"/>
        </w:tabs>
        <w:spacing w:line="360" w:lineRule="auto"/>
        <w:ind w:right="862" w:firstLine="480" w:firstLineChars="200"/>
        <w:jc w:val="center"/>
        <w:rPr>
          <w:rFonts w:hint="eastAsia" w:ascii="宋体" w:hAnsi="宋体" w:cs="宋体"/>
          <w:sz w:val="24"/>
          <w:u w:val="single"/>
        </w:rPr>
      </w:pPr>
      <w:r>
        <w:rPr>
          <w:rFonts w:hint="eastAsia" w:ascii="宋体" w:hAnsi="宋体" w:cs="宋体"/>
          <w:sz w:val="24"/>
        </w:rPr>
        <w:t xml:space="preserve">            企业名称</w:t>
      </w:r>
      <w:r>
        <w:rPr>
          <w:rFonts w:hint="eastAsia" w:ascii="宋体" w:hAnsi="宋体" w:cs="宋体"/>
          <w:sz w:val="24"/>
          <w:lang w:val="zh-CN"/>
        </w:rPr>
        <w:t>（</w:t>
      </w:r>
      <w:r>
        <w:rPr>
          <w:rFonts w:hint="eastAsia" w:ascii="宋体" w:hAnsi="宋体" w:cs="宋体"/>
          <w:sz w:val="24"/>
        </w:rPr>
        <w:t>盖</w:t>
      </w:r>
      <w:r>
        <w:rPr>
          <w:rFonts w:hint="eastAsia" w:ascii="宋体" w:hAnsi="宋体" w:cs="宋体"/>
          <w:sz w:val="24"/>
          <w:lang w:val="zh-CN"/>
        </w:rPr>
        <w:t>章）：</w:t>
      </w:r>
      <w:r>
        <w:rPr>
          <w:rFonts w:hint="eastAsia" w:ascii="宋体" w:hAnsi="宋体" w:cs="宋体"/>
          <w:sz w:val="24"/>
          <w:u w:val="single"/>
          <w:lang w:val="zh-CN"/>
        </w:rPr>
        <w:t xml:space="preserve">          </w:t>
      </w:r>
      <w:r>
        <w:rPr>
          <w:rFonts w:hint="eastAsia" w:ascii="宋体" w:hAnsi="宋体" w:cs="宋体"/>
          <w:sz w:val="24"/>
          <w:u w:val="single"/>
        </w:rPr>
        <w:t xml:space="preserve">  </w:t>
      </w:r>
      <w:r>
        <w:rPr>
          <w:rFonts w:hint="eastAsia" w:ascii="宋体" w:hAnsi="宋体" w:cs="宋体"/>
          <w:sz w:val="24"/>
          <w:u w:val="single"/>
          <w:lang w:val="zh-CN"/>
        </w:rPr>
        <w:t xml:space="preserve">      </w:t>
      </w:r>
      <w:r>
        <w:rPr>
          <w:rFonts w:hint="eastAsia" w:ascii="宋体" w:hAnsi="宋体" w:cs="宋体"/>
          <w:sz w:val="24"/>
          <w:u w:val="single"/>
        </w:rPr>
        <w:t xml:space="preserve">     </w:t>
      </w:r>
    </w:p>
    <w:p>
      <w:pPr>
        <w:tabs>
          <w:tab w:val="left" w:pos="4860"/>
        </w:tabs>
        <w:spacing w:line="360" w:lineRule="auto"/>
        <w:ind w:right="1560" w:firstLine="480" w:firstLineChars="200"/>
        <w:jc w:val="center"/>
        <w:rPr>
          <w:rFonts w:hint="eastAsia" w:ascii="宋体" w:hAnsi="宋体" w:cs="宋体"/>
          <w:sz w:val="24"/>
        </w:rPr>
      </w:pPr>
      <w:r>
        <w:rPr>
          <w:rFonts w:hint="eastAsia" w:ascii="宋体" w:hAnsi="宋体" w:cs="宋体"/>
          <w:sz w:val="24"/>
        </w:rPr>
        <w:t xml:space="preserve">       </w:t>
      </w:r>
    </w:p>
    <w:p>
      <w:pPr>
        <w:keepNext w:val="0"/>
        <w:keepLines w:val="0"/>
        <w:pageBreakBefore w:val="0"/>
        <w:widowControl w:val="0"/>
        <w:tabs>
          <w:tab w:val="left" w:pos="4860"/>
        </w:tabs>
        <w:kinsoku/>
        <w:wordWrap/>
        <w:overflowPunct/>
        <w:topLinePunct w:val="0"/>
        <w:autoSpaceDE/>
        <w:autoSpaceDN/>
        <w:bidi w:val="0"/>
        <w:adjustRightInd/>
        <w:snapToGrid/>
        <w:spacing w:line="360" w:lineRule="auto"/>
        <w:ind w:right="1134" w:firstLine="480" w:firstLineChars="200"/>
        <w:jc w:val="center"/>
        <w:textAlignment w:val="auto"/>
        <w:rPr>
          <w:rFonts w:hint="eastAsia" w:ascii="宋体" w:hAnsi="宋体" w:cs="宋体"/>
          <w:sz w:val="24"/>
        </w:rPr>
      </w:pPr>
      <w:r>
        <w:rPr>
          <w:rFonts w:hint="eastAsia" w:ascii="宋体" w:hAnsi="宋体" w:cs="宋体"/>
          <w:sz w:val="24"/>
        </w:rPr>
        <w:t xml:space="preserve">                       </w:t>
      </w:r>
      <w:r>
        <w:rPr>
          <w:rFonts w:hint="eastAsia" w:ascii="宋体" w:hAnsi="宋体" w:cs="宋体"/>
          <w:sz w:val="24"/>
          <w:lang w:val="en-US" w:eastAsia="zh-CN"/>
        </w:rPr>
        <w:t xml:space="preserve">   </w:t>
      </w:r>
      <w:r>
        <w:rPr>
          <w:rFonts w:hint="eastAsia" w:ascii="宋体" w:hAnsi="宋体" w:cs="宋体"/>
          <w:sz w:val="24"/>
        </w:rPr>
        <w:t>日  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pPr>
        <w:spacing w:line="360" w:lineRule="auto"/>
        <w:ind w:firstLine="506" w:firstLineChars="200"/>
        <w:rPr>
          <w:rFonts w:hint="eastAsia" w:ascii="宋体" w:hAnsi="宋体" w:cs="宋体"/>
          <w:b/>
          <w:spacing w:val="6"/>
          <w:sz w:val="24"/>
          <w:shd w:val="pct10" w:color="auto" w:fill="FFFFFF"/>
        </w:rPr>
      </w:pPr>
    </w:p>
    <w:p>
      <w:pPr>
        <w:spacing w:line="360" w:lineRule="auto"/>
        <w:ind w:firstLine="506" w:firstLineChars="200"/>
        <w:rPr>
          <w:rFonts w:hint="eastAsia" w:ascii="宋体" w:hAnsi="宋体" w:cs="宋体"/>
          <w:b/>
          <w:spacing w:val="6"/>
          <w:sz w:val="24"/>
          <w:shd w:val="pct10" w:color="auto" w:fill="FFFFFF"/>
        </w:rPr>
      </w:pP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pacing w:val="6"/>
          <w:sz w:val="21"/>
          <w:szCs w:val="21"/>
        </w:rPr>
      </w:pPr>
    </w:p>
    <w:p>
      <w:pPr>
        <w:keepNext w:val="0"/>
        <w:keepLines w:val="0"/>
        <w:pageBreakBefore w:val="0"/>
        <w:widowControl w:val="0"/>
        <w:kinsoku/>
        <w:wordWrap/>
        <w:overflowPunct/>
        <w:topLinePunct w:val="0"/>
        <w:autoSpaceDE/>
        <w:autoSpaceDN/>
        <w:bidi w:val="0"/>
        <w:adjustRightInd/>
        <w:snapToGrid/>
        <w:spacing w:line="360" w:lineRule="auto"/>
        <w:ind w:firstLine="444" w:firstLineChars="200"/>
        <w:jc w:val="left"/>
        <w:textAlignment w:val="auto"/>
        <w:rPr>
          <w:rFonts w:hint="eastAsia" w:ascii="宋体" w:hAnsi="宋体" w:eastAsia="宋体" w:cs="宋体"/>
          <w:spacing w:val="6"/>
          <w:sz w:val="21"/>
          <w:szCs w:val="21"/>
        </w:rPr>
      </w:pPr>
      <w:r>
        <w:rPr>
          <w:rFonts w:hint="eastAsia" w:ascii="宋体" w:hAnsi="宋体" w:eastAsia="宋体" w:cs="宋体"/>
          <w:spacing w:val="6"/>
          <w:sz w:val="21"/>
          <w:szCs w:val="21"/>
        </w:rPr>
        <w:t>根据财政部、司法部《关于政府采购支持监狱企业发展有关问题的通知》（财库〔2014〕68号）的规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pPr>
        <w:keepNext w:val="0"/>
        <w:keepLines w:val="0"/>
        <w:pageBreakBefore w:val="0"/>
        <w:widowControl w:val="0"/>
        <w:kinsoku/>
        <w:wordWrap/>
        <w:overflowPunct/>
        <w:topLinePunct w:val="0"/>
        <w:autoSpaceDE/>
        <w:autoSpaceDN/>
        <w:bidi w:val="0"/>
        <w:adjustRightInd/>
        <w:snapToGrid/>
        <w:spacing w:line="360" w:lineRule="auto"/>
        <w:ind w:firstLine="444" w:firstLineChars="200"/>
        <w:jc w:val="left"/>
        <w:textAlignment w:val="auto"/>
        <w:rPr>
          <w:rFonts w:hint="eastAsia" w:ascii="宋体" w:hAnsi="宋体" w:eastAsia="宋体" w:cs="宋体"/>
          <w:spacing w:val="6"/>
          <w:sz w:val="21"/>
          <w:szCs w:val="21"/>
        </w:rPr>
      </w:pPr>
      <w:r>
        <w:rPr>
          <w:rFonts w:hint="eastAsia" w:ascii="宋体" w:hAnsi="宋体" w:eastAsia="宋体" w:cs="宋体"/>
          <w:spacing w:val="6"/>
          <w:sz w:val="21"/>
          <w:szCs w:val="21"/>
        </w:rPr>
        <w:t>监狱企业参加政府采购活动时，应当提供由省级以上监狱管理局、戒毒管理局（含新疆生产建设兵团）出具的属于监狱企业的证明文件。</w:t>
      </w:r>
    </w:p>
    <w:p>
      <w:pPr>
        <w:spacing w:line="360" w:lineRule="auto"/>
        <w:rPr>
          <w:rFonts w:hint="eastAsia" w:ascii="宋体" w:hAnsi="宋体"/>
          <w:color w:val="auto"/>
          <w:sz w:val="21"/>
          <w:szCs w:val="21"/>
          <w:highlight w:val="none"/>
        </w:rPr>
      </w:pPr>
    </w:p>
    <w:p>
      <w:pPr>
        <w:rPr>
          <w:rFonts w:hint="eastAsia"/>
          <w:color w:val="auto"/>
          <w:sz w:val="28"/>
          <w:szCs w:val="22"/>
          <w:highlight w:val="none"/>
          <w:lang w:val="en-US" w:eastAsia="zh-CN"/>
        </w:rPr>
      </w:pPr>
      <w:r>
        <w:rPr>
          <w:rFonts w:hint="eastAsia"/>
          <w:color w:val="auto"/>
          <w:sz w:val="28"/>
          <w:szCs w:val="22"/>
          <w:highlight w:val="none"/>
          <w:lang w:val="en-US" w:eastAsia="zh-CN"/>
        </w:rPr>
        <w:br w:type="page"/>
      </w:r>
    </w:p>
    <w:p>
      <w:pPr>
        <w:pageBreakBefore/>
        <w:spacing w:line="360" w:lineRule="auto"/>
        <w:rPr>
          <w:rFonts w:ascii="仿宋" w:hAnsi="仿宋" w:eastAsia="仿宋" w:cs="仿宋"/>
          <w:b/>
          <w:sz w:val="24"/>
          <w:szCs w:val="24"/>
        </w:rPr>
      </w:pPr>
      <w:r>
        <w:rPr>
          <w:rFonts w:hint="eastAsia" w:ascii="仿宋" w:hAnsi="仿宋" w:eastAsia="仿宋" w:cs="仿宋"/>
          <w:b/>
          <w:sz w:val="24"/>
          <w:szCs w:val="24"/>
        </w:rPr>
        <w:t>附件</w:t>
      </w:r>
      <w:r>
        <w:rPr>
          <w:rFonts w:hint="eastAsia" w:ascii="仿宋" w:hAnsi="仿宋" w:eastAsia="仿宋" w:cs="仿宋"/>
          <w:b/>
          <w:sz w:val="24"/>
          <w:szCs w:val="24"/>
          <w:lang w:val="en-US" w:eastAsia="zh-CN"/>
        </w:rPr>
        <w:t>4</w:t>
      </w:r>
      <w:r>
        <w:rPr>
          <w:rFonts w:hint="eastAsia" w:ascii="仿宋" w:hAnsi="仿宋" w:eastAsia="仿宋" w:cs="仿宋"/>
          <w:b/>
          <w:sz w:val="24"/>
          <w:szCs w:val="24"/>
        </w:rPr>
        <w:t>：</w:t>
      </w:r>
    </w:p>
    <w:p>
      <w:pPr>
        <w:rPr>
          <w:rFonts w:hint="eastAsia"/>
          <w:color w:val="auto"/>
          <w:sz w:val="28"/>
          <w:szCs w:val="22"/>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center"/>
        <w:textAlignment w:val="auto"/>
        <w:rPr>
          <w:rFonts w:ascii="仿宋" w:hAnsi="仿宋" w:eastAsia="仿宋" w:cs="仿宋"/>
          <w:b/>
          <w:bCs/>
          <w:sz w:val="32"/>
          <w:szCs w:val="15"/>
          <w:lang w:val="zh-CN"/>
        </w:rPr>
      </w:pPr>
      <w:r>
        <w:rPr>
          <w:rFonts w:hint="eastAsia" w:ascii="仿宋" w:hAnsi="仿宋" w:eastAsia="仿宋" w:cs="仿宋"/>
          <w:b/>
          <w:bCs/>
          <w:sz w:val="32"/>
          <w:szCs w:val="15"/>
          <w:lang w:val="zh-CN"/>
        </w:rPr>
        <w:t>节能环保、环境标志产品明细表（若有）</w:t>
      </w:r>
    </w:p>
    <w:p>
      <w:pPr>
        <w:spacing w:line="360" w:lineRule="auto"/>
        <w:ind w:right="-197" w:rightChars="-94"/>
        <w:rPr>
          <w:rFonts w:ascii="仿宋" w:hAnsi="仿宋" w:eastAsia="仿宋" w:cs="仿宋"/>
          <w:b/>
          <w:bCs/>
          <w:sz w:val="24"/>
          <w:szCs w:val="24"/>
        </w:rPr>
      </w:pPr>
      <w:r>
        <w:rPr>
          <w:rFonts w:hint="eastAsia" w:ascii="仿宋" w:hAnsi="仿宋" w:eastAsia="仿宋" w:cs="仿宋"/>
          <w:bCs/>
          <w:kern w:val="0"/>
          <w:sz w:val="24"/>
          <w:szCs w:val="24"/>
        </w:rPr>
        <w:t xml:space="preserve">项目编号：                                            </w:t>
      </w:r>
    </w:p>
    <w:tbl>
      <w:tblPr>
        <w:tblStyle w:val="23"/>
        <w:tblW w:w="8882" w:type="dxa"/>
        <w:jc w:val="center"/>
        <w:tblLayout w:type="fixed"/>
        <w:tblCellMar>
          <w:top w:w="0" w:type="dxa"/>
          <w:left w:w="108" w:type="dxa"/>
          <w:bottom w:w="0" w:type="dxa"/>
          <w:right w:w="108" w:type="dxa"/>
        </w:tblCellMar>
      </w:tblPr>
      <w:tblGrid>
        <w:gridCol w:w="716"/>
        <w:gridCol w:w="1554"/>
        <w:gridCol w:w="1036"/>
        <w:gridCol w:w="1036"/>
        <w:gridCol w:w="716"/>
        <w:gridCol w:w="1676"/>
        <w:gridCol w:w="716"/>
        <w:gridCol w:w="716"/>
        <w:gridCol w:w="716"/>
      </w:tblGrid>
      <w:tr>
        <w:tblPrEx>
          <w:tblCellMar>
            <w:top w:w="0" w:type="dxa"/>
            <w:left w:w="108" w:type="dxa"/>
            <w:bottom w:w="0" w:type="dxa"/>
            <w:right w:w="108" w:type="dxa"/>
          </w:tblCellMar>
        </w:tblPrEx>
        <w:trPr>
          <w:jc w:val="center"/>
        </w:trPr>
        <w:tc>
          <w:tcPr>
            <w:tcW w:w="71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napToGrid w:val="0"/>
              <w:jc w:val="center"/>
              <w:rPr>
                <w:rFonts w:ascii="仿宋" w:hAnsi="仿宋" w:eastAsia="仿宋" w:cs="仿宋"/>
                <w:sz w:val="22"/>
                <w:szCs w:val="22"/>
                <w:lang w:val="zh-CN"/>
              </w:rPr>
            </w:pPr>
            <w:r>
              <w:rPr>
                <w:rFonts w:hint="eastAsia" w:ascii="仿宋" w:hAnsi="仿宋" w:eastAsia="仿宋" w:cs="仿宋"/>
                <w:sz w:val="22"/>
                <w:szCs w:val="22"/>
                <w:lang w:val="zh-CN"/>
              </w:rPr>
              <w:t>序</w:t>
            </w:r>
          </w:p>
          <w:p>
            <w:pPr>
              <w:autoSpaceDE w:val="0"/>
              <w:autoSpaceDN w:val="0"/>
              <w:adjustRightInd w:val="0"/>
              <w:snapToGrid w:val="0"/>
              <w:jc w:val="center"/>
              <w:rPr>
                <w:rFonts w:ascii="仿宋" w:hAnsi="仿宋" w:eastAsia="仿宋" w:cs="仿宋"/>
                <w:sz w:val="22"/>
                <w:szCs w:val="22"/>
              </w:rPr>
            </w:pPr>
            <w:r>
              <w:rPr>
                <w:rFonts w:hint="eastAsia" w:ascii="仿宋" w:hAnsi="仿宋" w:eastAsia="仿宋" w:cs="仿宋"/>
                <w:sz w:val="22"/>
                <w:szCs w:val="22"/>
                <w:lang w:val="zh-CN"/>
              </w:rPr>
              <w:t>号</w:t>
            </w:r>
          </w:p>
        </w:tc>
        <w:tc>
          <w:tcPr>
            <w:tcW w:w="1554"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napToGrid w:val="0"/>
              <w:jc w:val="center"/>
              <w:rPr>
                <w:rFonts w:ascii="仿宋" w:hAnsi="仿宋" w:eastAsia="仿宋" w:cs="仿宋"/>
                <w:sz w:val="22"/>
                <w:szCs w:val="22"/>
                <w:lang w:val="zh-CN"/>
              </w:rPr>
            </w:pPr>
            <w:r>
              <w:rPr>
                <w:rFonts w:hint="eastAsia" w:ascii="仿宋" w:hAnsi="仿宋" w:eastAsia="仿宋" w:cs="仿宋"/>
                <w:sz w:val="22"/>
                <w:szCs w:val="22"/>
                <w:lang w:val="zh-CN"/>
              </w:rPr>
              <w:t>产品</w:t>
            </w:r>
          </w:p>
          <w:p>
            <w:pPr>
              <w:autoSpaceDE w:val="0"/>
              <w:autoSpaceDN w:val="0"/>
              <w:adjustRightInd w:val="0"/>
              <w:snapToGrid w:val="0"/>
              <w:jc w:val="center"/>
              <w:rPr>
                <w:rFonts w:ascii="仿宋" w:hAnsi="仿宋" w:eastAsia="仿宋" w:cs="仿宋"/>
                <w:sz w:val="22"/>
                <w:szCs w:val="22"/>
              </w:rPr>
            </w:pPr>
            <w:r>
              <w:rPr>
                <w:rFonts w:hint="eastAsia" w:ascii="仿宋" w:hAnsi="仿宋" w:eastAsia="仿宋" w:cs="仿宋"/>
                <w:sz w:val="22"/>
                <w:szCs w:val="22"/>
                <w:lang w:val="zh-CN"/>
              </w:rPr>
              <w:t>名称</w:t>
            </w:r>
          </w:p>
        </w:tc>
        <w:tc>
          <w:tcPr>
            <w:tcW w:w="1036" w:type="dxa"/>
            <w:tcBorders>
              <w:top w:val="single" w:color="auto" w:sz="6" w:space="0"/>
              <w:left w:val="single" w:color="auto" w:sz="6" w:space="0"/>
              <w:bottom w:val="single" w:color="auto" w:sz="6" w:space="0"/>
              <w:right w:val="single" w:color="auto" w:sz="4" w:space="0"/>
            </w:tcBorders>
            <w:noWrap w:val="0"/>
            <w:vAlign w:val="center"/>
          </w:tcPr>
          <w:p>
            <w:pPr>
              <w:autoSpaceDE w:val="0"/>
              <w:autoSpaceDN w:val="0"/>
              <w:adjustRightInd w:val="0"/>
              <w:snapToGrid w:val="0"/>
              <w:jc w:val="center"/>
              <w:rPr>
                <w:rFonts w:ascii="仿宋" w:hAnsi="仿宋" w:eastAsia="仿宋" w:cs="仿宋"/>
                <w:sz w:val="22"/>
                <w:szCs w:val="22"/>
              </w:rPr>
            </w:pPr>
            <w:r>
              <w:rPr>
                <w:rFonts w:hint="eastAsia" w:ascii="仿宋" w:hAnsi="仿宋" w:eastAsia="仿宋" w:cs="仿宋"/>
                <w:sz w:val="22"/>
                <w:szCs w:val="22"/>
              </w:rPr>
              <w:t>制造</w:t>
            </w:r>
          </w:p>
          <w:p>
            <w:pPr>
              <w:autoSpaceDE w:val="0"/>
              <w:autoSpaceDN w:val="0"/>
              <w:adjustRightInd w:val="0"/>
              <w:snapToGrid w:val="0"/>
              <w:jc w:val="center"/>
              <w:rPr>
                <w:rFonts w:ascii="仿宋" w:hAnsi="仿宋" w:eastAsia="仿宋" w:cs="仿宋"/>
                <w:sz w:val="22"/>
                <w:szCs w:val="22"/>
              </w:rPr>
            </w:pPr>
            <w:r>
              <w:rPr>
                <w:rFonts w:hint="eastAsia" w:ascii="仿宋" w:hAnsi="仿宋" w:eastAsia="仿宋" w:cs="仿宋"/>
                <w:sz w:val="22"/>
                <w:szCs w:val="22"/>
              </w:rPr>
              <w:t>厂家</w:t>
            </w:r>
          </w:p>
        </w:tc>
        <w:tc>
          <w:tcPr>
            <w:tcW w:w="1036" w:type="dxa"/>
            <w:tcBorders>
              <w:top w:val="single" w:color="auto" w:sz="6" w:space="0"/>
              <w:left w:val="single" w:color="auto" w:sz="4" w:space="0"/>
              <w:bottom w:val="single" w:color="auto" w:sz="6" w:space="0"/>
              <w:right w:val="single" w:color="auto" w:sz="6" w:space="0"/>
            </w:tcBorders>
            <w:noWrap w:val="0"/>
            <w:vAlign w:val="center"/>
          </w:tcPr>
          <w:p>
            <w:pPr>
              <w:autoSpaceDE w:val="0"/>
              <w:autoSpaceDN w:val="0"/>
              <w:adjustRightInd w:val="0"/>
              <w:snapToGrid w:val="0"/>
              <w:jc w:val="center"/>
              <w:rPr>
                <w:rFonts w:ascii="仿宋" w:hAnsi="仿宋" w:eastAsia="仿宋" w:cs="仿宋"/>
                <w:sz w:val="22"/>
                <w:szCs w:val="22"/>
                <w:lang w:val="zh-CN"/>
              </w:rPr>
            </w:pPr>
            <w:r>
              <w:rPr>
                <w:rFonts w:hint="eastAsia" w:ascii="仿宋" w:hAnsi="仿宋" w:eastAsia="仿宋" w:cs="仿宋"/>
                <w:sz w:val="22"/>
                <w:szCs w:val="22"/>
                <w:lang w:val="zh-CN"/>
              </w:rPr>
              <w:t>规格</w:t>
            </w:r>
          </w:p>
          <w:p>
            <w:pPr>
              <w:autoSpaceDE w:val="0"/>
              <w:autoSpaceDN w:val="0"/>
              <w:adjustRightInd w:val="0"/>
              <w:snapToGrid w:val="0"/>
              <w:jc w:val="center"/>
              <w:rPr>
                <w:rFonts w:ascii="仿宋" w:hAnsi="仿宋" w:eastAsia="仿宋" w:cs="仿宋"/>
                <w:sz w:val="22"/>
                <w:szCs w:val="22"/>
              </w:rPr>
            </w:pPr>
            <w:r>
              <w:rPr>
                <w:rFonts w:hint="eastAsia" w:ascii="仿宋" w:hAnsi="仿宋" w:eastAsia="仿宋" w:cs="仿宋"/>
                <w:sz w:val="22"/>
                <w:szCs w:val="22"/>
                <w:lang w:val="zh-CN"/>
              </w:rPr>
              <w:t>型号</w:t>
            </w:r>
          </w:p>
        </w:tc>
        <w:tc>
          <w:tcPr>
            <w:tcW w:w="716"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snapToGrid w:val="0"/>
              <w:jc w:val="center"/>
              <w:rPr>
                <w:rFonts w:ascii="仿宋" w:hAnsi="仿宋" w:eastAsia="仿宋" w:cs="仿宋"/>
                <w:sz w:val="22"/>
                <w:szCs w:val="22"/>
                <w:lang w:val="zh-CN"/>
              </w:rPr>
            </w:pPr>
            <w:r>
              <w:rPr>
                <w:rFonts w:hint="eastAsia" w:ascii="仿宋" w:hAnsi="仿宋" w:eastAsia="仿宋" w:cs="仿宋"/>
                <w:sz w:val="22"/>
                <w:szCs w:val="22"/>
                <w:lang w:val="zh-CN"/>
              </w:rPr>
              <w:t>类</w:t>
            </w:r>
          </w:p>
          <w:p>
            <w:pPr>
              <w:autoSpaceDE w:val="0"/>
              <w:autoSpaceDN w:val="0"/>
              <w:adjustRightInd w:val="0"/>
              <w:snapToGrid w:val="0"/>
              <w:jc w:val="center"/>
              <w:rPr>
                <w:rFonts w:ascii="仿宋" w:hAnsi="仿宋" w:eastAsia="仿宋" w:cs="仿宋"/>
                <w:sz w:val="22"/>
                <w:szCs w:val="22"/>
                <w:lang w:val="zh-CN"/>
              </w:rPr>
            </w:pPr>
            <w:r>
              <w:rPr>
                <w:rFonts w:hint="eastAsia" w:ascii="仿宋" w:hAnsi="仿宋" w:eastAsia="仿宋" w:cs="仿宋"/>
                <w:sz w:val="22"/>
                <w:szCs w:val="22"/>
                <w:lang w:val="zh-CN"/>
              </w:rPr>
              <w:t>别</w:t>
            </w:r>
          </w:p>
        </w:tc>
        <w:tc>
          <w:tcPr>
            <w:tcW w:w="167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napToGrid w:val="0"/>
              <w:jc w:val="center"/>
              <w:rPr>
                <w:rFonts w:ascii="仿宋" w:hAnsi="仿宋" w:eastAsia="仿宋" w:cs="仿宋"/>
                <w:sz w:val="22"/>
                <w:szCs w:val="22"/>
                <w:lang w:val="zh-CN"/>
              </w:rPr>
            </w:pPr>
            <w:r>
              <w:rPr>
                <w:rFonts w:hint="eastAsia" w:ascii="仿宋" w:hAnsi="仿宋" w:eastAsia="仿宋" w:cs="仿宋"/>
                <w:sz w:val="22"/>
                <w:szCs w:val="22"/>
                <w:lang w:val="zh-CN"/>
              </w:rPr>
              <w:t>认证证书</w:t>
            </w:r>
          </w:p>
          <w:p>
            <w:pPr>
              <w:autoSpaceDE w:val="0"/>
              <w:autoSpaceDN w:val="0"/>
              <w:adjustRightInd w:val="0"/>
              <w:snapToGrid w:val="0"/>
              <w:jc w:val="center"/>
              <w:rPr>
                <w:rFonts w:ascii="仿宋" w:hAnsi="仿宋" w:eastAsia="仿宋" w:cs="仿宋"/>
                <w:sz w:val="22"/>
                <w:szCs w:val="22"/>
              </w:rPr>
            </w:pPr>
            <w:r>
              <w:rPr>
                <w:rFonts w:hint="eastAsia" w:ascii="仿宋" w:hAnsi="仿宋" w:eastAsia="仿宋" w:cs="仿宋"/>
                <w:sz w:val="22"/>
                <w:szCs w:val="22"/>
                <w:lang w:val="zh-CN"/>
              </w:rPr>
              <w:t>编号</w:t>
            </w:r>
          </w:p>
        </w:tc>
        <w:tc>
          <w:tcPr>
            <w:tcW w:w="71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napToGrid w:val="0"/>
              <w:jc w:val="center"/>
              <w:rPr>
                <w:rFonts w:ascii="仿宋" w:hAnsi="仿宋" w:eastAsia="仿宋" w:cs="仿宋"/>
                <w:sz w:val="22"/>
                <w:szCs w:val="22"/>
                <w:lang w:val="zh-CN"/>
              </w:rPr>
            </w:pPr>
            <w:r>
              <w:rPr>
                <w:rFonts w:hint="eastAsia" w:ascii="仿宋" w:hAnsi="仿宋" w:eastAsia="仿宋" w:cs="仿宋"/>
                <w:sz w:val="22"/>
                <w:szCs w:val="22"/>
                <w:lang w:val="zh-CN"/>
              </w:rPr>
              <w:t>数</w:t>
            </w:r>
          </w:p>
          <w:p>
            <w:pPr>
              <w:autoSpaceDE w:val="0"/>
              <w:autoSpaceDN w:val="0"/>
              <w:adjustRightInd w:val="0"/>
              <w:snapToGrid w:val="0"/>
              <w:jc w:val="center"/>
              <w:rPr>
                <w:rFonts w:ascii="仿宋" w:hAnsi="仿宋" w:eastAsia="仿宋" w:cs="仿宋"/>
                <w:sz w:val="22"/>
                <w:szCs w:val="22"/>
              </w:rPr>
            </w:pPr>
            <w:r>
              <w:rPr>
                <w:rFonts w:hint="eastAsia" w:ascii="仿宋" w:hAnsi="仿宋" w:eastAsia="仿宋" w:cs="仿宋"/>
                <w:sz w:val="22"/>
                <w:szCs w:val="22"/>
                <w:lang w:val="zh-CN"/>
              </w:rPr>
              <w:t>量</w:t>
            </w:r>
          </w:p>
        </w:tc>
        <w:tc>
          <w:tcPr>
            <w:tcW w:w="71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napToGrid w:val="0"/>
              <w:jc w:val="center"/>
              <w:rPr>
                <w:rFonts w:ascii="仿宋" w:hAnsi="仿宋" w:eastAsia="仿宋" w:cs="仿宋"/>
                <w:sz w:val="22"/>
                <w:szCs w:val="22"/>
                <w:lang w:val="zh-CN"/>
              </w:rPr>
            </w:pPr>
            <w:r>
              <w:rPr>
                <w:rFonts w:hint="eastAsia" w:ascii="仿宋" w:hAnsi="仿宋" w:eastAsia="仿宋" w:cs="仿宋"/>
                <w:sz w:val="22"/>
                <w:szCs w:val="22"/>
                <w:lang w:val="zh-CN"/>
              </w:rPr>
              <w:t>单</w:t>
            </w:r>
          </w:p>
          <w:p>
            <w:pPr>
              <w:autoSpaceDE w:val="0"/>
              <w:autoSpaceDN w:val="0"/>
              <w:adjustRightInd w:val="0"/>
              <w:snapToGrid w:val="0"/>
              <w:jc w:val="center"/>
              <w:rPr>
                <w:rFonts w:ascii="仿宋" w:hAnsi="仿宋" w:eastAsia="仿宋" w:cs="仿宋"/>
                <w:sz w:val="22"/>
                <w:szCs w:val="22"/>
              </w:rPr>
            </w:pPr>
            <w:r>
              <w:rPr>
                <w:rFonts w:hint="eastAsia" w:ascii="仿宋" w:hAnsi="仿宋" w:eastAsia="仿宋" w:cs="仿宋"/>
                <w:sz w:val="22"/>
                <w:szCs w:val="22"/>
                <w:lang w:val="zh-CN"/>
              </w:rPr>
              <w:t>价</w:t>
            </w:r>
          </w:p>
        </w:tc>
        <w:tc>
          <w:tcPr>
            <w:tcW w:w="71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napToGrid w:val="0"/>
              <w:jc w:val="center"/>
              <w:rPr>
                <w:rFonts w:ascii="仿宋" w:hAnsi="仿宋" w:eastAsia="仿宋" w:cs="仿宋"/>
                <w:sz w:val="22"/>
                <w:szCs w:val="22"/>
                <w:lang w:val="zh-CN"/>
              </w:rPr>
            </w:pPr>
            <w:r>
              <w:rPr>
                <w:rFonts w:hint="eastAsia" w:ascii="仿宋" w:hAnsi="仿宋" w:eastAsia="仿宋" w:cs="仿宋"/>
                <w:sz w:val="22"/>
                <w:szCs w:val="22"/>
                <w:lang w:val="zh-CN"/>
              </w:rPr>
              <w:t>总</w:t>
            </w:r>
          </w:p>
          <w:p>
            <w:pPr>
              <w:autoSpaceDE w:val="0"/>
              <w:autoSpaceDN w:val="0"/>
              <w:adjustRightInd w:val="0"/>
              <w:snapToGrid w:val="0"/>
              <w:jc w:val="center"/>
              <w:rPr>
                <w:rFonts w:ascii="仿宋" w:hAnsi="仿宋" w:eastAsia="仿宋" w:cs="仿宋"/>
                <w:sz w:val="22"/>
                <w:szCs w:val="22"/>
              </w:rPr>
            </w:pPr>
            <w:r>
              <w:rPr>
                <w:rFonts w:hint="eastAsia" w:ascii="仿宋" w:hAnsi="仿宋" w:eastAsia="仿宋" w:cs="仿宋"/>
                <w:sz w:val="22"/>
                <w:szCs w:val="22"/>
                <w:lang w:val="zh-CN"/>
              </w:rPr>
              <w:t>价</w:t>
            </w:r>
          </w:p>
        </w:tc>
      </w:tr>
      <w:tr>
        <w:tblPrEx>
          <w:tblCellMar>
            <w:top w:w="0" w:type="dxa"/>
            <w:left w:w="108" w:type="dxa"/>
            <w:bottom w:w="0" w:type="dxa"/>
            <w:right w:w="108" w:type="dxa"/>
          </w:tblCellMar>
        </w:tblPrEx>
        <w:trPr>
          <w:trHeight w:val="379" w:hRule="atLeast"/>
          <w:jc w:val="center"/>
        </w:trPr>
        <w:tc>
          <w:tcPr>
            <w:tcW w:w="716"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snapToGrid w:val="0"/>
              <w:spacing w:line="360" w:lineRule="auto"/>
              <w:rPr>
                <w:rFonts w:ascii="仿宋" w:hAnsi="仿宋" w:eastAsia="仿宋" w:cs="仿宋"/>
                <w:sz w:val="22"/>
                <w:szCs w:val="22"/>
              </w:rPr>
            </w:pPr>
          </w:p>
        </w:tc>
        <w:tc>
          <w:tcPr>
            <w:tcW w:w="1554"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snapToGrid w:val="0"/>
              <w:spacing w:line="360" w:lineRule="auto"/>
              <w:rPr>
                <w:rFonts w:ascii="仿宋" w:hAnsi="仿宋" w:eastAsia="仿宋" w:cs="仿宋"/>
                <w:sz w:val="22"/>
                <w:szCs w:val="22"/>
              </w:rPr>
            </w:pPr>
          </w:p>
        </w:tc>
        <w:tc>
          <w:tcPr>
            <w:tcW w:w="1036" w:type="dxa"/>
            <w:tcBorders>
              <w:top w:val="single" w:color="auto" w:sz="6" w:space="0"/>
              <w:left w:val="single" w:color="auto" w:sz="6" w:space="0"/>
              <w:bottom w:val="single" w:color="auto" w:sz="6" w:space="0"/>
              <w:right w:val="single" w:color="auto" w:sz="4" w:space="0"/>
            </w:tcBorders>
            <w:noWrap w:val="0"/>
            <w:vAlign w:val="top"/>
          </w:tcPr>
          <w:p>
            <w:pPr>
              <w:autoSpaceDE w:val="0"/>
              <w:autoSpaceDN w:val="0"/>
              <w:adjustRightInd w:val="0"/>
              <w:snapToGrid w:val="0"/>
              <w:spacing w:line="360" w:lineRule="auto"/>
              <w:rPr>
                <w:rFonts w:ascii="仿宋" w:hAnsi="仿宋" w:eastAsia="仿宋" w:cs="仿宋"/>
                <w:sz w:val="22"/>
                <w:szCs w:val="22"/>
              </w:rPr>
            </w:pPr>
          </w:p>
        </w:tc>
        <w:tc>
          <w:tcPr>
            <w:tcW w:w="1036" w:type="dxa"/>
            <w:tcBorders>
              <w:top w:val="single" w:color="auto" w:sz="6" w:space="0"/>
              <w:left w:val="single" w:color="auto" w:sz="4" w:space="0"/>
              <w:bottom w:val="single" w:color="auto" w:sz="6" w:space="0"/>
              <w:right w:val="single" w:color="auto" w:sz="6" w:space="0"/>
            </w:tcBorders>
            <w:noWrap w:val="0"/>
            <w:vAlign w:val="top"/>
          </w:tcPr>
          <w:p>
            <w:pPr>
              <w:autoSpaceDE w:val="0"/>
              <w:autoSpaceDN w:val="0"/>
              <w:adjustRightInd w:val="0"/>
              <w:snapToGrid w:val="0"/>
              <w:spacing w:line="360" w:lineRule="auto"/>
              <w:rPr>
                <w:rFonts w:ascii="仿宋" w:hAnsi="仿宋" w:eastAsia="仿宋" w:cs="仿宋"/>
                <w:sz w:val="22"/>
                <w:szCs w:val="22"/>
              </w:rPr>
            </w:pPr>
          </w:p>
        </w:tc>
        <w:tc>
          <w:tcPr>
            <w:tcW w:w="716"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snapToGrid w:val="0"/>
              <w:spacing w:line="360" w:lineRule="auto"/>
              <w:rPr>
                <w:rFonts w:ascii="仿宋" w:hAnsi="仿宋" w:eastAsia="仿宋" w:cs="仿宋"/>
                <w:sz w:val="22"/>
                <w:szCs w:val="22"/>
              </w:rPr>
            </w:pPr>
          </w:p>
        </w:tc>
        <w:tc>
          <w:tcPr>
            <w:tcW w:w="1676"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snapToGrid w:val="0"/>
              <w:spacing w:line="360" w:lineRule="auto"/>
              <w:rPr>
                <w:rFonts w:ascii="仿宋" w:hAnsi="仿宋" w:eastAsia="仿宋" w:cs="仿宋"/>
                <w:sz w:val="22"/>
                <w:szCs w:val="22"/>
              </w:rPr>
            </w:pPr>
          </w:p>
        </w:tc>
        <w:tc>
          <w:tcPr>
            <w:tcW w:w="716"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snapToGrid w:val="0"/>
              <w:spacing w:line="360" w:lineRule="auto"/>
              <w:rPr>
                <w:rFonts w:ascii="仿宋" w:hAnsi="仿宋" w:eastAsia="仿宋" w:cs="仿宋"/>
                <w:sz w:val="22"/>
                <w:szCs w:val="22"/>
              </w:rPr>
            </w:pPr>
          </w:p>
        </w:tc>
        <w:tc>
          <w:tcPr>
            <w:tcW w:w="716"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snapToGrid w:val="0"/>
              <w:spacing w:line="360" w:lineRule="auto"/>
              <w:rPr>
                <w:rFonts w:ascii="仿宋" w:hAnsi="仿宋" w:eastAsia="仿宋" w:cs="仿宋"/>
                <w:sz w:val="22"/>
                <w:szCs w:val="22"/>
              </w:rPr>
            </w:pPr>
          </w:p>
        </w:tc>
        <w:tc>
          <w:tcPr>
            <w:tcW w:w="716"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snapToGrid w:val="0"/>
              <w:spacing w:line="360" w:lineRule="auto"/>
              <w:rPr>
                <w:rFonts w:ascii="仿宋" w:hAnsi="仿宋" w:eastAsia="仿宋" w:cs="仿宋"/>
                <w:sz w:val="22"/>
                <w:szCs w:val="22"/>
              </w:rPr>
            </w:pPr>
          </w:p>
        </w:tc>
      </w:tr>
      <w:tr>
        <w:tblPrEx>
          <w:tblCellMar>
            <w:top w:w="0" w:type="dxa"/>
            <w:left w:w="108" w:type="dxa"/>
            <w:bottom w:w="0" w:type="dxa"/>
            <w:right w:w="108" w:type="dxa"/>
          </w:tblCellMar>
        </w:tblPrEx>
        <w:trPr>
          <w:trHeight w:val="379" w:hRule="atLeast"/>
          <w:jc w:val="center"/>
        </w:trPr>
        <w:tc>
          <w:tcPr>
            <w:tcW w:w="716"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snapToGrid w:val="0"/>
              <w:spacing w:line="360" w:lineRule="auto"/>
              <w:rPr>
                <w:rFonts w:ascii="仿宋" w:hAnsi="仿宋" w:eastAsia="仿宋" w:cs="仿宋"/>
                <w:sz w:val="22"/>
                <w:szCs w:val="22"/>
              </w:rPr>
            </w:pPr>
          </w:p>
        </w:tc>
        <w:tc>
          <w:tcPr>
            <w:tcW w:w="1554"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snapToGrid w:val="0"/>
              <w:spacing w:line="360" w:lineRule="auto"/>
              <w:rPr>
                <w:rFonts w:ascii="仿宋" w:hAnsi="仿宋" w:eastAsia="仿宋" w:cs="仿宋"/>
                <w:sz w:val="22"/>
                <w:szCs w:val="22"/>
              </w:rPr>
            </w:pPr>
          </w:p>
        </w:tc>
        <w:tc>
          <w:tcPr>
            <w:tcW w:w="1036" w:type="dxa"/>
            <w:tcBorders>
              <w:top w:val="single" w:color="auto" w:sz="6" w:space="0"/>
              <w:left w:val="single" w:color="auto" w:sz="6" w:space="0"/>
              <w:bottom w:val="single" w:color="auto" w:sz="6" w:space="0"/>
              <w:right w:val="single" w:color="auto" w:sz="4" w:space="0"/>
            </w:tcBorders>
            <w:noWrap w:val="0"/>
            <w:vAlign w:val="top"/>
          </w:tcPr>
          <w:p>
            <w:pPr>
              <w:autoSpaceDE w:val="0"/>
              <w:autoSpaceDN w:val="0"/>
              <w:adjustRightInd w:val="0"/>
              <w:snapToGrid w:val="0"/>
              <w:spacing w:line="360" w:lineRule="auto"/>
              <w:rPr>
                <w:rFonts w:ascii="仿宋" w:hAnsi="仿宋" w:eastAsia="仿宋" w:cs="仿宋"/>
                <w:sz w:val="22"/>
                <w:szCs w:val="22"/>
              </w:rPr>
            </w:pPr>
          </w:p>
        </w:tc>
        <w:tc>
          <w:tcPr>
            <w:tcW w:w="1036" w:type="dxa"/>
            <w:tcBorders>
              <w:top w:val="single" w:color="auto" w:sz="6" w:space="0"/>
              <w:left w:val="single" w:color="auto" w:sz="4" w:space="0"/>
              <w:bottom w:val="single" w:color="auto" w:sz="6" w:space="0"/>
              <w:right w:val="single" w:color="auto" w:sz="6" w:space="0"/>
            </w:tcBorders>
            <w:noWrap w:val="0"/>
            <w:vAlign w:val="top"/>
          </w:tcPr>
          <w:p>
            <w:pPr>
              <w:autoSpaceDE w:val="0"/>
              <w:autoSpaceDN w:val="0"/>
              <w:adjustRightInd w:val="0"/>
              <w:snapToGrid w:val="0"/>
              <w:spacing w:line="360" w:lineRule="auto"/>
              <w:rPr>
                <w:rFonts w:ascii="仿宋" w:hAnsi="仿宋" w:eastAsia="仿宋" w:cs="仿宋"/>
                <w:sz w:val="22"/>
                <w:szCs w:val="22"/>
              </w:rPr>
            </w:pPr>
          </w:p>
        </w:tc>
        <w:tc>
          <w:tcPr>
            <w:tcW w:w="716"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snapToGrid w:val="0"/>
              <w:spacing w:line="360" w:lineRule="auto"/>
              <w:rPr>
                <w:rFonts w:ascii="仿宋" w:hAnsi="仿宋" w:eastAsia="仿宋" w:cs="仿宋"/>
                <w:sz w:val="22"/>
                <w:szCs w:val="22"/>
              </w:rPr>
            </w:pPr>
          </w:p>
        </w:tc>
        <w:tc>
          <w:tcPr>
            <w:tcW w:w="1676"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snapToGrid w:val="0"/>
              <w:spacing w:line="360" w:lineRule="auto"/>
              <w:rPr>
                <w:rFonts w:ascii="仿宋" w:hAnsi="仿宋" w:eastAsia="仿宋" w:cs="仿宋"/>
                <w:sz w:val="22"/>
                <w:szCs w:val="22"/>
              </w:rPr>
            </w:pPr>
          </w:p>
        </w:tc>
        <w:tc>
          <w:tcPr>
            <w:tcW w:w="716"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snapToGrid w:val="0"/>
              <w:spacing w:line="360" w:lineRule="auto"/>
              <w:rPr>
                <w:rFonts w:ascii="仿宋" w:hAnsi="仿宋" w:eastAsia="仿宋" w:cs="仿宋"/>
                <w:sz w:val="22"/>
                <w:szCs w:val="22"/>
              </w:rPr>
            </w:pPr>
          </w:p>
        </w:tc>
        <w:tc>
          <w:tcPr>
            <w:tcW w:w="716"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snapToGrid w:val="0"/>
              <w:spacing w:line="360" w:lineRule="auto"/>
              <w:rPr>
                <w:rFonts w:ascii="仿宋" w:hAnsi="仿宋" w:eastAsia="仿宋" w:cs="仿宋"/>
                <w:sz w:val="22"/>
                <w:szCs w:val="22"/>
              </w:rPr>
            </w:pPr>
          </w:p>
        </w:tc>
        <w:tc>
          <w:tcPr>
            <w:tcW w:w="716"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snapToGrid w:val="0"/>
              <w:spacing w:line="360" w:lineRule="auto"/>
              <w:rPr>
                <w:rFonts w:ascii="仿宋" w:hAnsi="仿宋" w:eastAsia="仿宋" w:cs="仿宋"/>
                <w:sz w:val="22"/>
                <w:szCs w:val="22"/>
              </w:rPr>
            </w:pPr>
          </w:p>
        </w:tc>
      </w:tr>
      <w:tr>
        <w:tblPrEx>
          <w:tblCellMar>
            <w:top w:w="0" w:type="dxa"/>
            <w:left w:w="108" w:type="dxa"/>
            <w:bottom w:w="0" w:type="dxa"/>
            <w:right w:w="108" w:type="dxa"/>
          </w:tblCellMar>
        </w:tblPrEx>
        <w:trPr>
          <w:trHeight w:val="379" w:hRule="atLeast"/>
          <w:jc w:val="center"/>
        </w:trPr>
        <w:tc>
          <w:tcPr>
            <w:tcW w:w="716"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snapToGrid w:val="0"/>
              <w:spacing w:line="360" w:lineRule="auto"/>
              <w:rPr>
                <w:rFonts w:ascii="仿宋" w:hAnsi="仿宋" w:eastAsia="仿宋" w:cs="仿宋"/>
                <w:sz w:val="22"/>
                <w:szCs w:val="22"/>
              </w:rPr>
            </w:pPr>
          </w:p>
        </w:tc>
        <w:tc>
          <w:tcPr>
            <w:tcW w:w="1554"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snapToGrid w:val="0"/>
              <w:spacing w:line="360" w:lineRule="auto"/>
              <w:rPr>
                <w:rFonts w:ascii="仿宋" w:hAnsi="仿宋" w:eastAsia="仿宋" w:cs="仿宋"/>
                <w:sz w:val="22"/>
                <w:szCs w:val="22"/>
              </w:rPr>
            </w:pPr>
          </w:p>
        </w:tc>
        <w:tc>
          <w:tcPr>
            <w:tcW w:w="1036" w:type="dxa"/>
            <w:tcBorders>
              <w:top w:val="single" w:color="auto" w:sz="6" w:space="0"/>
              <w:left w:val="single" w:color="auto" w:sz="6" w:space="0"/>
              <w:bottom w:val="single" w:color="auto" w:sz="6" w:space="0"/>
              <w:right w:val="single" w:color="auto" w:sz="4" w:space="0"/>
            </w:tcBorders>
            <w:noWrap w:val="0"/>
            <w:vAlign w:val="top"/>
          </w:tcPr>
          <w:p>
            <w:pPr>
              <w:autoSpaceDE w:val="0"/>
              <w:autoSpaceDN w:val="0"/>
              <w:adjustRightInd w:val="0"/>
              <w:snapToGrid w:val="0"/>
              <w:spacing w:line="360" w:lineRule="auto"/>
              <w:rPr>
                <w:rFonts w:ascii="仿宋" w:hAnsi="仿宋" w:eastAsia="仿宋" w:cs="仿宋"/>
                <w:sz w:val="22"/>
                <w:szCs w:val="22"/>
              </w:rPr>
            </w:pPr>
          </w:p>
        </w:tc>
        <w:tc>
          <w:tcPr>
            <w:tcW w:w="1036" w:type="dxa"/>
            <w:tcBorders>
              <w:top w:val="single" w:color="auto" w:sz="6" w:space="0"/>
              <w:left w:val="single" w:color="auto" w:sz="4" w:space="0"/>
              <w:bottom w:val="single" w:color="auto" w:sz="6" w:space="0"/>
              <w:right w:val="single" w:color="auto" w:sz="6" w:space="0"/>
            </w:tcBorders>
            <w:noWrap w:val="0"/>
            <w:vAlign w:val="top"/>
          </w:tcPr>
          <w:p>
            <w:pPr>
              <w:autoSpaceDE w:val="0"/>
              <w:autoSpaceDN w:val="0"/>
              <w:adjustRightInd w:val="0"/>
              <w:snapToGrid w:val="0"/>
              <w:spacing w:line="360" w:lineRule="auto"/>
              <w:rPr>
                <w:rFonts w:ascii="仿宋" w:hAnsi="仿宋" w:eastAsia="仿宋" w:cs="仿宋"/>
                <w:sz w:val="22"/>
                <w:szCs w:val="22"/>
              </w:rPr>
            </w:pPr>
          </w:p>
        </w:tc>
        <w:tc>
          <w:tcPr>
            <w:tcW w:w="716"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snapToGrid w:val="0"/>
              <w:spacing w:line="360" w:lineRule="auto"/>
              <w:rPr>
                <w:rFonts w:ascii="仿宋" w:hAnsi="仿宋" w:eastAsia="仿宋" w:cs="仿宋"/>
                <w:sz w:val="22"/>
                <w:szCs w:val="22"/>
              </w:rPr>
            </w:pPr>
          </w:p>
        </w:tc>
        <w:tc>
          <w:tcPr>
            <w:tcW w:w="1676"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snapToGrid w:val="0"/>
              <w:spacing w:line="360" w:lineRule="auto"/>
              <w:rPr>
                <w:rFonts w:ascii="仿宋" w:hAnsi="仿宋" w:eastAsia="仿宋" w:cs="仿宋"/>
                <w:sz w:val="22"/>
                <w:szCs w:val="22"/>
              </w:rPr>
            </w:pPr>
          </w:p>
        </w:tc>
        <w:tc>
          <w:tcPr>
            <w:tcW w:w="716"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snapToGrid w:val="0"/>
              <w:spacing w:line="360" w:lineRule="auto"/>
              <w:rPr>
                <w:rFonts w:ascii="仿宋" w:hAnsi="仿宋" w:eastAsia="仿宋" w:cs="仿宋"/>
                <w:sz w:val="22"/>
                <w:szCs w:val="22"/>
              </w:rPr>
            </w:pPr>
          </w:p>
        </w:tc>
        <w:tc>
          <w:tcPr>
            <w:tcW w:w="716"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snapToGrid w:val="0"/>
              <w:spacing w:line="360" w:lineRule="auto"/>
              <w:rPr>
                <w:rFonts w:ascii="仿宋" w:hAnsi="仿宋" w:eastAsia="仿宋" w:cs="仿宋"/>
                <w:sz w:val="22"/>
                <w:szCs w:val="22"/>
              </w:rPr>
            </w:pPr>
          </w:p>
        </w:tc>
        <w:tc>
          <w:tcPr>
            <w:tcW w:w="716"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snapToGrid w:val="0"/>
              <w:spacing w:line="360" w:lineRule="auto"/>
              <w:rPr>
                <w:rFonts w:ascii="仿宋" w:hAnsi="仿宋" w:eastAsia="仿宋" w:cs="仿宋"/>
                <w:sz w:val="22"/>
                <w:szCs w:val="22"/>
              </w:rPr>
            </w:pPr>
          </w:p>
        </w:tc>
      </w:tr>
      <w:tr>
        <w:tblPrEx>
          <w:tblCellMar>
            <w:top w:w="0" w:type="dxa"/>
            <w:left w:w="108" w:type="dxa"/>
            <w:bottom w:w="0" w:type="dxa"/>
            <w:right w:w="108" w:type="dxa"/>
          </w:tblCellMar>
        </w:tblPrEx>
        <w:trPr>
          <w:trHeight w:val="379" w:hRule="atLeast"/>
          <w:jc w:val="center"/>
        </w:trPr>
        <w:tc>
          <w:tcPr>
            <w:tcW w:w="716"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snapToGrid w:val="0"/>
              <w:spacing w:line="360" w:lineRule="auto"/>
              <w:rPr>
                <w:rFonts w:ascii="仿宋" w:hAnsi="仿宋" w:eastAsia="仿宋" w:cs="仿宋"/>
                <w:sz w:val="22"/>
                <w:szCs w:val="22"/>
              </w:rPr>
            </w:pPr>
          </w:p>
        </w:tc>
        <w:tc>
          <w:tcPr>
            <w:tcW w:w="1554"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snapToGrid w:val="0"/>
              <w:spacing w:line="360" w:lineRule="auto"/>
              <w:rPr>
                <w:rFonts w:ascii="仿宋" w:hAnsi="仿宋" w:eastAsia="仿宋" w:cs="仿宋"/>
                <w:sz w:val="22"/>
                <w:szCs w:val="22"/>
              </w:rPr>
            </w:pPr>
          </w:p>
        </w:tc>
        <w:tc>
          <w:tcPr>
            <w:tcW w:w="1036" w:type="dxa"/>
            <w:tcBorders>
              <w:top w:val="single" w:color="auto" w:sz="6" w:space="0"/>
              <w:left w:val="single" w:color="auto" w:sz="6" w:space="0"/>
              <w:bottom w:val="single" w:color="auto" w:sz="6" w:space="0"/>
              <w:right w:val="single" w:color="auto" w:sz="4" w:space="0"/>
            </w:tcBorders>
            <w:noWrap w:val="0"/>
            <w:vAlign w:val="top"/>
          </w:tcPr>
          <w:p>
            <w:pPr>
              <w:autoSpaceDE w:val="0"/>
              <w:autoSpaceDN w:val="0"/>
              <w:adjustRightInd w:val="0"/>
              <w:snapToGrid w:val="0"/>
              <w:spacing w:line="360" w:lineRule="auto"/>
              <w:rPr>
                <w:rFonts w:ascii="仿宋" w:hAnsi="仿宋" w:eastAsia="仿宋" w:cs="仿宋"/>
                <w:sz w:val="22"/>
                <w:szCs w:val="22"/>
              </w:rPr>
            </w:pPr>
          </w:p>
        </w:tc>
        <w:tc>
          <w:tcPr>
            <w:tcW w:w="1036" w:type="dxa"/>
            <w:tcBorders>
              <w:top w:val="single" w:color="auto" w:sz="6" w:space="0"/>
              <w:left w:val="single" w:color="auto" w:sz="4" w:space="0"/>
              <w:bottom w:val="single" w:color="auto" w:sz="6" w:space="0"/>
              <w:right w:val="single" w:color="auto" w:sz="6" w:space="0"/>
            </w:tcBorders>
            <w:noWrap w:val="0"/>
            <w:vAlign w:val="top"/>
          </w:tcPr>
          <w:p>
            <w:pPr>
              <w:autoSpaceDE w:val="0"/>
              <w:autoSpaceDN w:val="0"/>
              <w:adjustRightInd w:val="0"/>
              <w:snapToGrid w:val="0"/>
              <w:spacing w:line="360" w:lineRule="auto"/>
              <w:rPr>
                <w:rFonts w:ascii="仿宋" w:hAnsi="仿宋" w:eastAsia="仿宋" w:cs="仿宋"/>
                <w:sz w:val="22"/>
                <w:szCs w:val="22"/>
              </w:rPr>
            </w:pPr>
          </w:p>
        </w:tc>
        <w:tc>
          <w:tcPr>
            <w:tcW w:w="716"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snapToGrid w:val="0"/>
              <w:spacing w:line="360" w:lineRule="auto"/>
              <w:rPr>
                <w:rFonts w:ascii="仿宋" w:hAnsi="仿宋" w:eastAsia="仿宋" w:cs="仿宋"/>
                <w:sz w:val="22"/>
                <w:szCs w:val="22"/>
              </w:rPr>
            </w:pPr>
          </w:p>
        </w:tc>
        <w:tc>
          <w:tcPr>
            <w:tcW w:w="1676"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snapToGrid w:val="0"/>
              <w:spacing w:line="360" w:lineRule="auto"/>
              <w:rPr>
                <w:rFonts w:ascii="仿宋" w:hAnsi="仿宋" w:eastAsia="仿宋" w:cs="仿宋"/>
                <w:sz w:val="22"/>
                <w:szCs w:val="22"/>
              </w:rPr>
            </w:pPr>
          </w:p>
        </w:tc>
        <w:tc>
          <w:tcPr>
            <w:tcW w:w="716"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snapToGrid w:val="0"/>
              <w:spacing w:line="360" w:lineRule="auto"/>
              <w:rPr>
                <w:rFonts w:ascii="仿宋" w:hAnsi="仿宋" w:eastAsia="仿宋" w:cs="仿宋"/>
                <w:sz w:val="22"/>
                <w:szCs w:val="22"/>
              </w:rPr>
            </w:pPr>
          </w:p>
        </w:tc>
        <w:tc>
          <w:tcPr>
            <w:tcW w:w="716"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snapToGrid w:val="0"/>
              <w:spacing w:line="360" w:lineRule="auto"/>
              <w:rPr>
                <w:rFonts w:ascii="仿宋" w:hAnsi="仿宋" w:eastAsia="仿宋" w:cs="仿宋"/>
                <w:sz w:val="22"/>
                <w:szCs w:val="22"/>
              </w:rPr>
            </w:pPr>
          </w:p>
        </w:tc>
        <w:tc>
          <w:tcPr>
            <w:tcW w:w="716"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snapToGrid w:val="0"/>
              <w:spacing w:line="360" w:lineRule="auto"/>
              <w:rPr>
                <w:rFonts w:ascii="仿宋" w:hAnsi="仿宋" w:eastAsia="仿宋" w:cs="仿宋"/>
                <w:sz w:val="22"/>
                <w:szCs w:val="22"/>
              </w:rPr>
            </w:pPr>
          </w:p>
        </w:tc>
      </w:tr>
      <w:tr>
        <w:tblPrEx>
          <w:tblCellMar>
            <w:top w:w="0" w:type="dxa"/>
            <w:left w:w="108" w:type="dxa"/>
            <w:bottom w:w="0" w:type="dxa"/>
            <w:right w:w="108" w:type="dxa"/>
          </w:tblCellMar>
        </w:tblPrEx>
        <w:trPr>
          <w:trHeight w:val="379" w:hRule="atLeast"/>
          <w:jc w:val="center"/>
        </w:trPr>
        <w:tc>
          <w:tcPr>
            <w:tcW w:w="716"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snapToGrid w:val="0"/>
              <w:spacing w:line="360" w:lineRule="auto"/>
              <w:rPr>
                <w:rFonts w:ascii="仿宋" w:hAnsi="仿宋" w:eastAsia="仿宋" w:cs="仿宋"/>
                <w:sz w:val="22"/>
                <w:szCs w:val="22"/>
              </w:rPr>
            </w:pPr>
          </w:p>
        </w:tc>
        <w:tc>
          <w:tcPr>
            <w:tcW w:w="1554"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snapToGrid w:val="0"/>
              <w:spacing w:line="360" w:lineRule="auto"/>
              <w:rPr>
                <w:rFonts w:ascii="仿宋" w:hAnsi="仿宋" w:eastAsia="仿宋" w:cs="仿宋"/>
                <w:sz w:val="22"/>
                <w:szCs w:val="22"/>
              </w:rPr>
            </w:pPr>
          </w:p>
        </w:tc>
        <w:tc>
          <w:tcPr>
            <w:tcW w:w="1036" w:type="dxa"/>
            <w:tcBorders>
              <w:top w:val="single" w:color="auto" w:sz="6" w:space="0"/>
              <w:left w:val="single" w:color="auto" w:sz="6" w:space="0"/>
              <w:bottom w:val="single" w:color="auto" w:sz="6" w:space="0"/>
              <w:right w:val="single" w:color="auto" w:sz="4" w:space="0"/>
            </w:tcBorders>
            <w:noWrap w:val="0"/>
            <w:vAlign w:val="top"/>
          </w:tcPr>
          <w:p>
            <w:pPr>
              <w:autoSpaceDE w:val="0"/>
              <w:autoSpaceDN w:val="0"/>
              <w:adjustRightInd w:val="0"/>
              <w:snapToGrid w:val="0"/>
              <w:spacing w:line="360" w:lineRule="auto"/>
              <w:rPr>
                <w:rFonts w:ascii="仿宋" w:hAnsi="仿宋" w:eastAsia="仿宋" w:cs="仿宋"/>
                <w:sz w:val="22"/>
                <w:szCs w:val="22"/>
              </w:rPr>
            </w:pPr>
          </w:p>
        </w:tc>
        <w:tc>
          <w:tcPr>
            <w:tcW w:w="1036" w:type="dxa"/>
            <w:tcBorders>
              <w:top w:val="single" w:color="auto" w:sz="6" w:space="0"/>
              <w:left w:val="single" w:color="auto" w:sz="4" w:space="0"/>
              <w:bottom w:val="single" w:color="auto" w:sz="6" w:space="0"/>
              <w:right w:val="single" w:color="auto" w:sz="6" w:space="0"/>
            </w:tcBorders>
            <w:noWrap w:val="0"/>
            <w:vAlign w:val="top"/>
          </w:tcPr>
          <w:p>
            <w:pPr>
              <w:autoSpaceDE w:val="0"/>
              <w:autoSpaceDN w:val="0"/>
              <w:adjustRightInd w:val="0"/>
              <w:snapToGrid w:val="0"/>
              <w:spacing w:line="360" w:lineRule="auto"/>
              <w:rPr>
                <w:rFonts w:ascii="仿宋" w:hAnsi="仿宋" w:eastAsia="仿宋" w:cs="仿宋"/>
                <w:sz w:val="22"/>
                <w:szCs w:val="22"/>
              </w:rPr>
            </w:pPr>
          </w:p>
        </w:tc>
        <w:tc>
          <w:tcPr>
            <w:tcW w:w="716"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snapToGrid w:val="0"/>
              <w:spacing w:line="360" w:lineRule="auto"/>
              <w:rPr>
                <w:rFonts w:ascii="仿宋" w:hAnsi="仿宋" w:eastAsia="仿宋" w:cs="仿宋"/>
                <w:sz w:val="22"/>
                <w:szCs w:val="22"/>
              </w:rPr>
            </w:pPr>
          </w:p>
        </w:tc>
        <w:tc>
          <w:tcPr>
            <w:tcW w:w="1676"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snapToGrid w:val="0"/>
              <w:spacing w:line="360" w:lineRule="auto"/>
              <w:rPr>
                <w:rFonts w:ascii="仿宋" w:hAnsi="仿宋" w:eastAsia="仿宋" w:cs="仿宋"/>
                <w:sz w:val="22"/>
                <w:szCs w:val="22"/>
              </w:rPr>
            </w:pPr>
          </w:p>
        </w:tc>
        <w:tc>
          <w:tcPr>
            <w:tcW w:w="716"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snapToGrid w:val="0"/>
              <w:spacing w:line="360" w:lineRule="auto"/>
              <w:rPr>
                <w:rFonts w:ascii="仿宋" w:hAnsi="仿宋" w:eastAsia="仿宋" w:cs="仿宋"/>
                <w:sz w:val="22"/>
                <w:szCs w:val="22"/>
              </w:rPr>
            </w:pPr>
          </w:p>
        </w:tc>
        <w:tc>
          <w:tcPr>
            <w:tcW w:w="716"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snapToGrid w:val="0"/>
              <w:spacing w:line="360" w:lineRule="auto"/>
              <w:rPr>
                <w:rFonts w:ascii="仿宋" w:hAnsi="仿宋" w:eastAsia="仿宋" w:cs="仿宋"/>
                <w:sz w:val="22"/>
                <w:szCs w:val="22"/>
              </w:rPr>
            </w:pPr>
          </w:p>
        </w:tc>
        <w:tc>
          <w:tcPr>
            <w:tcW w:w="716"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snapToGrid w:val="0"/>
              <w:spacing w:line="360" w:lineRule="auto"/>
              <w:rPr>
                <w:rFonts w:ascii="仿宋" w:hAnsi="仿宋" w:eastAsia="仿宋" w:cs="仿宋"/>
                <w:sz w:val="22"/>
                <w:szCs w:val="22"/>
              </w:rPr>
            </w:pPr>
          </w:p>
        </w:tc>
      </w:tr>
      <w:tr>
        <w:tblPrEx>
          <w:tblCellMar>
            <w:top w:w="0" w:type="dxa"/>
            <w:left w:w="108" w:type="dxa"/>
            <w:bottom w:w="0" w:type="dxa"/>
            <w:right w:w="108" w:type="dxa"/>
          </w:tblCellMar>
        </w:tblPrEx>
        <w:trPr>
          <w:trHeight w:val="580" w:hRule="atLeast"/>
          <w:jc w:val="center"/>
        </w:trPr>
        <w:tc>
          <w:tcPr>
            <w:tcW w:w="5058" w:type="dxa"/>
            <w:gridSpan w:val="5"/>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napToGrid w:val="0"/>
              <w:jc w:val="center"/>
              <w:rPr>
                <w:rFonts w:ascii="仿宋" w:hAnsi="仿宋" w:eastAsia="仿宋" w:cs="仿宋"/>
                <w:sz w:val="22"/>
                <w:szCs w:val="22"/>
              </w:rPr>
            </w:pPr>
            <w:r>
              <w:rPr>
                <w:rFonts w:hint="eastAsia" w:ascii="仿宋" w:hAnsi="仿宋" w:eastAsia="仿宋" w:cs="仿宋"/>
                <w:sz w:val="22"/>
                <w:szCs w:val="22"/>
              </w:rPr>
              <w:t>合计（万元人民币）</w:t>
            </w:r>
          </w:p>
        </w:tc>
        <w:tc>
          <w:tcPr>
            <w:tcW w:w="3824" w:type="dxa"/>
            <w:gridSpan w:val="4"/>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napToGrid w:val="0"/>
              <w:jc w:val="center"/>
              <w:rPr>
                <w:rFonts w:ascii="仿宋" w:hAnsi="仿宋" w:eastAsia="仿宋" w:cs="仿宋"/>
                <w:sz w:val="22"/>
                <w:szCs w:val="22"/>
              </w:rPr>
            </w:pPr>
          </w:p>
        </w:tc>
      </w:tr>
      <w:tr>
        <w:tblPrEx>
          <w:tblCellMar>
            <w:top w:w="0" w:type="dxa"/>
            <w:left w:w="108" w:type="dxa"/>
            <w:bottom w:w="0" w:type="dxa"/>
            <w:right w:w="108" w:type="dxa"/>
          </w:tblCellMar>
        </w:tblPrEx>
        <w:trPr>
          <w:trHeight w:val="581" w:hRule="atLeast"/>
          <w:jc w:val="center"/>
        </w:trPr>
        <w:tc>
          <w:tcPr>
            <w:tcW w:w="5058" w:type="dxa"/>
            <w:gridSpan w:val="5"/>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napToGrid w:val="0"/>
              <w:jc w:val="center"/>
              <w:rPr>
                <w:rFonts w:ascii="仿宋" w:hAnsi="仿宋" w:eastAsia="仿宋" w:cs="仿宋"/>
                <w:sz w:val="22"/>
                <w:szCs w:val="22"/>
              </w:rPr>
            </w:pPr>
            <w:r>
              <w:rPr>
                <w:rFonts w:hint="eastAsia" w:ascii="仿宋" w:hAnsi="仿宋" w:eastAsia="仿宋" w:cs="仿宋"/>
                <w:sz w:val="22"/>
                <w:szCs w:val="22"/>
              </w:rPr>
              <w:t>占投标总价的百分比（%）</w:t>
            </w:r>
          </w:p>
        </w:tc>
        <w:tc>
          <w:tcPr>
            <w:tcW w:w="3824" w:type="dxa"/>
            <w:gridSpan w:val="4"/>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napToGrid w:val="0"/>
              <w:jc w:val="center"/>
              <w:rPr>
                <w:rFonts w:ascii="仿宋" w:hAnsi="仿宋" w:eastAsia="仿宋" w:cs="仿宋"/>
                <w:sz w:val="22"/>
                <w:szCs w:val="22"/>
              </w:rPr>
            </w:pPr>
          </w:p>
        </w:tc>
      </w:tr>
    </w:tbl>
    <w:p>
      <w:pPr>
        <w:spacing w:line="360" w:lineRule="auto"/>
        <w:ind w:firstLine="480" w:firstLineChars="200"/>
        <w:rPr>
          <w:rFonts w:ascii="仿宋" w:hAnsi="仿宋" w:eastAsia="仿宋" w:cs="仿宋"/>
          <w:sz w:val="24"/>
          <w:szCs w:val="24"/>
          <w:lang w:val="zh-CN"/>
        </w:rPr>
      </w:pPr>
      <w:r>
        <w:rPr>
          <w:rFonts w:hint="eastAsia" w:ascii="仿宋" w:hAnsi="仿宋" w:eastAsia="仿宋" w:cs="仿宋"/>
          <w:sz w:val="24"/>
          <w:szCs w:val="24"/>
          <w:lang w:val="zh-CN"/>
        </w:rPr>
        <w:t>注：</w:t>
      </w:r>
      <w:r>
        <w:rPr>
          <w:rFonts w:hint="eastAsia" w:ascii="仿宋" w:hAnsi="仿宋" w:eastAsia="仿宋" w:cs="仿宋"/>
          <w:sz w:val="24"/>
          <w:szCs w:val="24"/>
        </w:rPr>
        <w:t>1.</w:t>
      </w:r>
      <w:r>
        <w:rPr>
          <w:rFonts w:hint="eastAsia" w:ascii="仿宋" w:hAnsi="仿宋" w:eastAsia="仿宋" w:cs="仿宋"/>
          <w:sz w:val="24"/>
          <w:szCs w:val="24"/>
          <w:lang w:val="zh-CN"/>
        </w:rPr>
        <w:t>如投标产品为节能环保、环境标志产品，须按格式逐项填写，并附相关证明，否则评审时不予计分。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ascii="仿宋" w:hAnsi="仿宋" w:eastAsia="仿宋" w:cs="仿宋"/>
          <w:sz w:val="24"/>
          <w:szCs w:val="24"/>
          <w:lang w:val="zh-CN"/>
        </w:rPr>
      </w:pPr>
      <w:r>
        <w:rPr>
          <w:rFonts w:hint="eastAsia" w:ascii="仿宋" w:hAnsi="仿宋" w:eastAsia="仿宋" w:cs="仿宋"/>
          <w:sz w:val="24"/>
          <w:szCs w:val="24"/>
        </w:rPr>
        <w:t>2.</w:t>
      </w:r>
      <w:r>
        <w:rPr>
          <w:rFonts w:hint="eastAsia" w:ascii="仿宋" w:hAnsi="仿宋" w:eastAsia="仿宋" w:cs="仿宋"/>
          <w:sz w:val="24"/>
          <w:szCs w:val="24"/>
          <w:lang w:val="zh-CN"/>
        </w:rPr>
        <w:t>类别填写：节能环保产品或环境标志产品。</w:t>
      </w:r>
    </w:p>
    <w:p>
      <w:pPr>
        <w:rPr>
          <w:rFonts w:hint="eastAsia" w:ascii="宋体" w:hAnsi="宋体" w:cs="宋体"/>
          <w:color w:val="auto"/>
          <w:szCs w:val="21"/>
          <w:highlight w:val="none"/>
          <w:lang w:bidi="ar"/>
        </w:rPr>
      </w:pPr>
    </w:p>
    <w:p>
      <w:pPr>
        <w:rPr>
          <w:rFonts w:hint="eastAsia" w:ascii="宋体" w:hAnsi="宋体" w:cs="宋体"/>
          <w:color w:val="auto"/>
          <w:szCs w:val="21"/>
          <w:highlight w:val="none"/>
          <w:lang w:bidi="ar"/>
        </w:rPr>
      </w:pPr>
    </w:p>
    <w:p>
      <w:pPr>
        <w:rPr>
          <w:rFonts w:hint="eastAsia" w:ascii="宋体" w:hAnsi="宋体" w:cs="宋体"/>
          <w:color w:val="auto"/>
          <w:szCs w:val="21"/>
          <w:highlight w:val="none"/>
          <w:lang w:bidi="ar"/>
        </w:rPr>
      </w:pPr>
    </w:p>
    <w:p>
      <w:pPr>
        <w:rPr>
          <w:rFonts w:hint="eastAsia" w:ascii="宋体" w:hAnsi="宋体" w:cs="宋体"/>
          <w:color w:val="auto"/>
          <w:szCs w:val="21"/>
          <w:highlight w:val="none"/>
          <w:lang w:bidi="ar"/>
        </w:rPr>
      </w:pPr>
    </w:p>
    <w:p>
      <w:pPr>
        <w:jc w:val="right"/>
        <w:rPr>
          <w:rFonts w:hint="eastAsia" w:ascii="仿宋" w:hAnsi="仿宋" w:eastAsia="仿宋" w:cs="仿宋"/>
          <w:color w:val="auto"/>
          <w:szCs w:val="21"/>
          <w:highlight w:val="none"/>
        </w:rPr>
      </w:pPr>
      <w:r>
        <w:rPr>
          <w:rFonts w:hint="eastAsia" w:ascii="仿宋" w:hAnsi="仿宋" w:eastAsia="仿宋" w:cs="仿宋"/>
          <w:color w:val="auto"/>
          <w:szCs w:val="21"/>
          <w:highlight w:val="none"/>
          <w:lang w:bidi="ar"/>
        </w:rPr>
        <w:t>投标人：</w:t>
      </w:r>
      <w:r>
        <w:rPr>
          <w:rFonts w:hint="eastAsia" w:ascii="仿宋" w:hAnsi="仿宋" w:eastAsia="仿宋" w:cs="仿宋"/>
          <w:color w:val="auto"/>
          <w:szCs w:val="21"/>
          <w:highlight w:val="none"/>
          <w:u w:val="single"/>
          <w:lang w:bidi="ar"/>
        </w:rPr>
        <w:t xml:space="preserve">          </w:t>
      </w:r>
      <w:r>
        <w:rPr>
          <w:rFonts w:hint="eastAsia" w:ascii="仿宋" w:hAnsi="仿宋" w:eastAsia="仿宋" w:cs="仿宋"/>
          <w:color w:val="auto"/>
          <w:szCs w:val="21"/>
          <w:highlight w:val="none"/>
          <w:u w:val="single"/>
          <w:lang w:val="en-US" w:eastAsia="zh-CN" w:bidi="ar"/>
        </w:rPr>
        <w:t xml:space="preserve">                </w:t>
      </w:r>
      <w:r>
        <w:rPr>
          <w:rFonts w:hint="eastAsia" w:ascii="仿宋" w:hAnsi="仿宋" w:eastAsia="仿宋" w:cs="仿宋"/>
          <w:color w:val="auto"/>
          <w:szCs w:val="21"/>
          <w:highlight w:val="none"/>
          <w:u w:val="single"/>
          <w:lang w:bidi="ar"/>
        </w:rPr>
        <w:t xml:space="preserve">                   </w:t>
      </w:r>
      <w:r>
        <w:rPr>
          <w:rFonts w:hint="eastAsia" w:ascii="仿宋" w:hAnsi="仿宋" w:eastAsia="仿宋" w:cs="仿宋"/>
          <w:color w:val="auto"/>
          <w:szCs w:val="21"/>
          <w:highlight w:val="none"/>
          <w:lang w:bidi="ar"/>
        </w:rPr>
        <w:t>（盖单位章）</w:t>
      </w:r>
    </w:p>
    <w:p>
      <w:pPr>
        <w:spacing w:line="480" w:lineRule="auto"/>
        <w:jc w:val="right"/>
        <w:rPr>
          <w:rFonts w:hint="eastAsia" w:ascii="仿宋" w:hAnsi="仿宋" w:eastAsia="仿宋" w:cs="仿宋"/>
          <w:color w:val="auto"/>
          <w:szCs w:val="21"/>
          <w:highlight w:val="none"/>
        </w:rPr>
      </w:pPr>
      <w:r>
        <w:rPr>
          <w:rFonts w:hint="eastAsia" w:ascii="仿宋" w:hAnsi="仿宋" w:eastAsia="仿宋" w:cs="仿宋"/>
          <w:color w:val="auto"/>
          <w:szCs w:val="21"/>
          <w:highlight w:val="none"/>
          <w:lang w:eastAsia="zh-CN" w:bidi="ar"/>
        </w:rPr>
        <w:t>法定代表人（负责人）</w:t>
      </w:r>
      <w:r>
        <w:rPr>
          <w:rFonts w:hint="eastAsia" w:ascii="仿宋" w:hAnsi="仿宋" w:eastAsia="仿宋" w:cs="仿宋"/>
          <w:color w:val="auto"/>
          <w:szCs w:val="21"/>
          <w:highlight w:val="none"/>
          <w:lang w:bidi="ar"/>
        </w:rPr>
        <w:t>或其委托代理人：</w:t>
      </w:r>
      <w:r>
        <w:rPr>
          <w:rFonts w:hint="eastAsia" w:ascii="仿宋" w:hAnsi="仿宋" w:eastAsia="仿宋" w:cs="仿宋"/>
          <w:color w:val="auto"/>
          <w:szCs w:val="21"/>
          <w:highlight w:val="none"/>
          <w:u w:val="single"/>
          <w:lang w:bidi="ar"/>
        </w:rPr>
        <w:t xml:space="preserve">               </w:t>
      </w:r>
      <w:r>
        <w:rPr>
          <w:rFonts w:hint="eastAsia" w:ascii="仿宋" w:hAnsi="仿宋" w:eastAsia="仿宋" w:cs="仿宋"/>
          <w:color w:val="auto"/>
          <w:szCs w:val="21"/>
          <w:highlight w:val="none"/>
          <w:lang w:bidi="ar"/>
        </w:rPr>
        <w:t xml:space="preserve">（签字或盖章） </w:t>
      </w:r>
    </w:p>
    <w:p>
      <w:pPr>
        <w:spacing w:line="480" w:lineRule="auto"/>
        <w:ind w:firstLine="4620" w:firstLineChars="2200"/>
        <w:jc w:val="right"/>
        <w:rPr>
          <w:rFonts w:hint="eastAsia" w:ascii="仿宋" w:hAnsi="仿宋" w:eastAsia="仿宋" w:cs="仿宋"/>
          <w:color w:val="auto"/>
          <w:szCs w:val="21"/>
          <w:highlight w:val="none"/>
          <w:lang w:bidi="ar"/>
        </w:rPr>
      </w:pPr>
      <w:r>
        <w:rPr>
          <w:rFonts w:hint="eastAsia" w:ascii="仿宋" w:hAnsi="仿宋" w:eastAsia="仿宋" w:cs="仿宋"/>
          <w:color w:val="auto"/>
          <w:szCs w:val="21"/>
          <w:highlight w:val="none"/>
          <w:u w:val="single"/>
          <w:lang w:bidi="ar"/>
        </w:rPr>
        <w:t xml:space="preserve">      </w:t>
      </w:r>
      <w:r>
        <w:rPr>
          <w:rFonts w:hint="eastAsia" w:ascii="仿宋" w:hAnsi="仿宋" w:eastAsia="仿宋" w:cs="仿宋"/>
          <w:color w:val="auto"/>
          <w:szCs w:val="21"/>
          <w:highlight w:val="none"/>
          <w:lang w:bidi="ar"/>
        </w:rPr>
        <w:t>年</w:t>
      </w:r>
      <w:r>
        <w:rPr>
          <w:rFonts w:hint="eastAsia" w:ascii="仿宋" w:hAnsi="仿宋" w:eastAsia="仿宋" w:cs="仿宋"/>
          <w:color w:val="auto"/>
          <w:szCs w:val="21"/>
          <w:highlight w:val="none"/>
          <w:u w:val="single"/>
          <w:lang w:bidi="ar"/>
        </w:rPr>
        <w:t xml:space="preserve">    </w:t>
      </w:r>
      <w:r>
        <w:rPr>
          <w:rFonts w:hint="eastAsia" w:ascii="仿宋" w:hAnsi="仿宋" w:eastAsia="仿宋" w:cs="仿宋"/>
          <w:color w:val="auto"/>
          <w:szCs w:val="21"/>
          <w:highlight w:val="none"/>
          <w:lang w:bidi="ar"/>
        </w:rPr>
        <w:t>月</w:t>
      </w:r>
      <w:r>
        <w:rPr>
          <w:rFonts w:hint="eastAsia" w:ascii="仿宋" w:hAnsi="仿宋" w:eastAsia="仿宋" w:cs="仿宋"/>
          <w:color w:val="auto"/>
          <w:szCs w:val="21"/>
          <w:highlight w:val="none"/>
          <w:u w:val="single"/>
          <w:lang w:bidi="ar"/>
        </w:rPr>
        <w:t xml:space="preserve">    </w:t>
      </w:r>
      <w:r>
        <w:rPr>
          <w:rFonts w:hint="eastAsia" w:ascii="仿宋" w:hAnsi="仿宋" w:eastAsia="仿宋" w:cs="仿宋"/>
          <w:color w:val="auto"/>
          <w:szCs w:val="21"/>
          <w:highlight w:val="none"/>
          <w:lang w:bidi="ar"/>
        </w:rPr>
        <w:t>日</w:t>
      </w:r>
    </w:p>
    <w:p>
      <w:pPr>
        <w:rPr>
          <w:rFonts w:hint="eastAsia"/>
          <w:color w:val="auto"/>
          <w:sz w:val="28"/>
          <w:szCs w:val="22"/>
          <w:highlight w:val="none"/>
          <w:lang w:val="en-US" w:eastAsia="zh-CN"/>
        </w:rPr>
      </w:pPr>
      <w:r>
        <w:rPr>
          <w:rFonts w:hint="eastAsia"/>
          <w:color w:val="auto"/>
          <w:sz w:val="28"/>
          <w:szCs w:val="22"/>
          <w:highlight w:val="none"/>
          <w:lang w:val="en-US" w:eastAsia="zh-CN"/>
        </w:rPr>
        <w:br w:type="page"/>
      </w:r>
    </w:p>
    <w:p>
      <w:pPr>
        <w:pStyle w:val="4"/>
        <w:bidi w:val="0"/>
        <w:ind w:left="0" w:firstLine="0"/>
        <w:rPr>
          <w:rFonts w:hint="eastAsia" w:ascii="宋体" w:hAnsi="宋体" w:eastAsia="宋体"/>
          <w:color w:val="auto"/>
          <w:sz w:val="28"/>
          <w:szCs w:val="22"/>
          <w:highlight w:val="none"/>
          <w:lang w:val="en-US" w:eastAsia="zh-CN"/>
        </w:rPr>
      </w:pPr>
      <w:r>
        <w:rPr>
          <w:rFonts w:hint="eastAsia"/>
          <w:color w:val="auto"/>
          <w:sz w:val="28"/>
          <w:szCs w:val="22"/>
          <w:highlight w:val="none"/>
          <w:lang w:val="en-US" w:eastAsia="zh-CN"/>
        </w:rPr>
        <w:t>七</w:t>
      </w:r>
      <w:r>
        <w:rPr>
          <w:rFonts w:hint="eastAsia" w:ascii="宋体" w:hAnsi="宋体" w:eastAsia="宋体"/>
          <w:color w:val="auto"/>
          <w:sz w:val="28"/>
          <w:szCs w:val="22"/>
          <w:highlight w:val="none"/>
          <w:lang w:val="en-US" w:eastAsia="zh-CN"/>
        </w:rPr>
        <w:t>、投标人认为需要提供的其他资料</w:t>
      </w:r>
      <w:bookmarkEnd w:id="232"/>
    </w:p>
    <w:p>
      <w:pPr>
        <w:pStyle w:val="14"/>
        <w:jc w:val="both"/>
        <w:rPr>
          <w:rFonts w:hint="default"/>
          <w:color w:val="auto"/>
          <w:highlight w:val="none"/>
          <w:lang w:val="en-US" w:eastAsia="zh-CN"/>
        </w:rPr>
      </w:pPr>
      <w:r>
        <w:rPr>
          <w:rFonts w:hint="eastAsia"/>
          <w:color w:val="auto"/>
          <w:highlight w:val="none"/>
          <w:lang w:val="en-US" w:eastAsia="zh-CN"/>
        </w:rPr>
        <w:t>1、承诺书</w:t>
      </w:r>
    </w:p>
    <w:p>
      <w:pPr>
        <w:pStyle w:val="14"/>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hAnsi="宋体" w:cs="宋体"/>
          <w:b/>
          <w:sz w:val="32"/>
        </w:rPr>
      </w:pPr>
    </w:p>
    <w:p>
      <w:pPr>
        <w:pStyle w:val="14"/>
        <w:jc w:val="center"/>
        <w:rPr>
          <w:rFonts w:hint="eastAsia" w:hAnsi="宋体" w:cs="宋体"/>
          <w:b/>
          <w:sz w:val="32"/>
        </w:rPr>
      </w:pPr>
      <w:r>
        <w:rPr>
          <w:rFonts w:hint="eastAsia" w:hAnsi="宋体" w:cs="宋体"/>
          <w:b/>
          <w:sz w:val="32"/>
        </w:rPr>
        <w:t>陕西省政府采购供应商拒绝政府采购领域商业贿赂承诺书</w:t>
      </w:r>
    </w:p>
    <w:p>
      <w:pPr>
        <w:rPr>
          <w:rFonts w:hint="eastAsia" w:ascii="宋体" w:hAnsi="宋体" w:cs="宋体"/>
        </w:rPr>
      </w:pPr>
    </w:p>
    <w:p>
      <w:pPr>
        <w:spacing w:line="360" w:lineRule="auto"/>
        <w:ind w:firstLine="360" w:firstLineChars="150"/>
        <w:rPr>
          <w:rFonts w:hint="eastAsia" w:ascii="宋体" w:hAnsi="宋体" w:cs="宋体"/>
          <w:sz w:val="24"/>
          <w:szCs w:val="28"/>
        </w:rPr>
      </w:pPr>
      <w:r>
        <w:rPr>
          <w:rFonts w:hint="eastAsia" w:ascii="宋体" w:hAnsi="宋体" w:cs="宋体"/>
          <w:sz w:val="24"/>
          <w:szCs w:val="28"/>
        </w:rPr>
        <w:t xml:space="preserve"> 为响应党中央、国务院关于治理政府采购领域商业贿赂行为的号召，我公司在此庄严承诺：</w:t>
      </w:r>
    </w:p>
    <w:p>
      <w:pPr>
        <w:spacing w:line="360" w:lineRule="auto"/>
        <w:ind w:firstLine="480" w:firstLineChars="200"/>
        <w:rPr>
          <w:rFonts w:hint="eastAsia" w:ascii="宋体" w:hAnsi="宋体" w:cs="宋体"/>
          <w:sz w:val="24"/>
          <w:szCs w:val="28"/>
        </w:rPr>
      </w:pPr>
      <w:r>
        <w:rPr>
          <w:rFonts w:hint="eastAsia" w:ascii="宋体" w:hAnsi="宋体" w:cs="宋体"/>
          <w:sz w:val="24"/>
          <w:szCs w:val="28"/>
        </w:rPr>
        <w:t>1、在参与政府采购活动中遵纪守法、诚信经营、公平竞标。</w:t>
      </w:r>
    </w:p>
    <w:p>
      <w:pPr>
        <w:spacing w:line="360" w:lineRule="auto"/>
        <w:ind w:firstLine="480" w:firstLineChars="200"/>
        <w:rPr>
          <w:rFonts w:hint="eastAsia" w:ascii="宋体" w:hAnsi="宋体" w:cs="宋体"/>
          <w:sz w:val="24"/>
          <w:szCs w:val="28"/>
        </w:rPr>
      </w:pPr>
      <w:r>
        <w:rPr>
          <w:rFonts w:hint="eastAsia" w:ascii="宋体" w:hAnsi="宋体" w:cs="宋体"/>
          <w:sz w:val="24"/>
          <w:szCs w:val="28"/>
        </w:rPr>
        <w:t>2、不向政府采购人、采购代理机构和政府采购评审专家进行任何形式的商业贿赂以谋取交易机会。</w:t>
      </w:r>
    </w:p>
    <w:p>
      <w:pPr>
        <w:spacing w:line="360" w:lineRule="auto"/>
        <w:ind w:firstLine="480" w:firstLineChars="200"/>
        <w:rPr>
          <w:rFonts w:hint="eastAsia" w:ascii="宋体" w:hAnsi="宋体" w:cs="宋体"/>
          <w:sz w:val="24"/>
          <w:szCs w:val="28"/>
        </w:rPr>
      </w:pPr>
      <w:r>
        <w:rPr>
          <w:rFonts w:hint="eastAsia" w:ascii="宋体" w:hAnsi="宋体" w:cs="宋体"/>
          <w:sz w:val="24"/>
          <w:szCs w:val="28"/>
        </w:rPr>
        <w:t>3、不向政府采购代理机构和采购人提供虚假资格文件或采用虚假应标方式参与政府采购市场竞争并谋取成交。</w:t>
      </w:r>
    </w:p>
    <w:p>
      <w:pPr>
        <w:spacing w:line="360" w:lineRule="auto"/>
        <w:ind w:firstLine="480" w:firstLineChars="200"/>
        <w:rPr>
          <w:rFonts w:hint="eastAsia" w:ascii="宋体" w:hAnsi="宋体" w:cs="宋体"/>
          <w:sz w:val="24"/>
          <w:szCs w:val="28"/>
        </w:rPr>
      </w:pPr>
      <w:r>
        <w:rPr>
          <w:rFonts w:hint="eastAsia" w:ascii="宋体" w:hAnsi="宋体" w:cs="宋体"/>
          <w:sz w:val="24"/>
          <w:szCs w:val="28"/>
        </w:rPr>
        <w:t>4、不采取“围标、陪标”等商业欺诈手段获得政府采购订单。</w:t>
      </w:r>
    </w:p>
    <w:p>
      <w:pPr>
        <w:spacing w:line="360" w:lineRule="auto"/>
        <w:ind w:firstLine="480" w:firstLineChars="200"/>
        <w:rPr>
          <w:rFonts w:hint="eastAsia" w:ascii="宋体" w:hAnsi="宋体" w:cs="宋体"/>
          <w:sz w:val="24"/>
          <w:szCs w:val="28"/>
        </w:rPr>
      </w:pPr>
      <w:r>
        <w:rPr>
          <w:rFonts w:hint="eastAsia" w:ascii="宋体" w:hAnsi="宋体" w:cs="宋体"/>
          <w:sz w:val="24"/>
          <w:szCs w:val="28"/>
        </w:rPr>
        <w:t>5、不采取不正当手段诋毁、排挤其他供应商。</w:t>
      </w:r>
    </w:p>
    <w:p>
      <w:pPr>
        <w:spacing w:line="360" w:lineRule="auto"/>
        <w:ind w:firstLine="480" w:firstLineChars="200"/>
        <w:rPr>
          <w:rFonts w:hint="eastAsia" w:ascii="宋体" w:hAnsi="宋体" w:cs="宋体"/>
          <w:sz w:val="24"/>
          <w:szCs w:val="28"/>
        </w:rPr>
      </w:pPr>
      <w:r>
        <w:rPr>
          <w:rFonts w:hint="eastAsia" w:ascii="宋体" w:hAnsi="宋体" w:cs="宋体"/>
          <w:sz w:val="24"/>
          <w:szCs w:val="28"/>
        </w:rPr>
        <w:t>6、不在提供商品和服务时“偷梁换柱、以次充好”损害采购人的合法权益。</w:t>
      </w:r>
    </w:p>
    <w:p>
      <w:pPr>
        <w:spacing w:line="360" w:lineRule="auto"/>
        <w:ind w:left="239" w:leftChars="114" w:firstLine="240" w:firstLineChars="100"/>
        <w:rPr>
          <w:rFonts w:hint="eastAsia" w:ascii="宋体" w:hAnsi="宋体" w:cs="宋体"/>
          <w:sz w:val="24"/>
          <w:szCs w:val="28"/>
        </w:rPr>
      </w:pPr>
      <w:r>
        <w:rPr>
          <w:rFonts w:hint="eastAsia" w:ascii="宋体" w:hAnsi="宋体" w:cs="宋体"/>
          <w:sz w:val="24"/>
          <w:szCs w:val="28"/>
        </w:rPr>
        <w:t>7、不与采购人、采购代理机构政府采购评审专家或其他供应商恶意串通，进行质疑和投诉，维护政府采购市场秩序。</w:t>
      </w:r>
    </w:p>
    <w:p>
      <w:pPr>
        <w:spacing w:line="360" w:lineRule="auto"/>
        <w:ind w:left="239" w:leftChars="114" w:firstLine="240" w:firstLineChars="100"/>
        <w:rPr>
          <w:rFonts w:hint="eastAsia" w:ascii="宋体" w:hAnsi="宋体" w:cs="宋体"/>
          <w:sz w:val="24"/>
          <w:szCs w:val="28"/>
        </w:rPr>
      </w:pPr>
      <w:r>
        <w:rPr>
          <w:rFonts w:hint="eastAsia" w:ascii="宋体" w:hAnsi="宋体" w:cs="宋体"/>
          <w:sz w:val="24"/>
          <w:szCs w:val="28"/>
        </w:rPr>
        <w:t>8、尊重和接受政府采购监督管理部门的监督和政府采购代理机构磋商采购要求，承担因违约行为给采购人造成的损失。</w:t>
      </w:r>
    </w:p>
    <w:p>
      <w:pPr>
        <w:spacing w:line="360" w:lineRule="auto"/>
        <w:ind w:firstLine="480" w:firstLineChars="200"/>
        <w:rPr>
          <w:rFonts w:hint="eastAsia" w:ascii="宋体" w:hAnsi="宋体" w:cs="宋体"/>
          <w:sz w:val="24"/>
          <w:szCs w:val="28"/>
        </w:rPr>
      </w:pPr>
      <w:r>
        <w:rPr>
          <w:rFonts w:hint="eastAsia" w:ascii="宋体" w:hAnsi="宋体" w:cs="宋体"/>
          <w:sz w:val="24"/>
          <w:szCs w:val="28"/>
        </w:rPr>
        <w:t>9、不发生其它有悖于政府采购公开、公平、公正和诚信原则的行为。</w:t>
      </w:r>
    </w:p>
    <w:p>
      <w:pPr>
        <w:spacing w:line="360" w:lineRule="auto"/>
        <w:ind w:firstLine="360" w:firstLineChars="150"/>
        <w:rPr>
          <w:rFonts w:hint="eastAsia" w:ascii="宋体" w:hAnsi="宋体" w:cs="宋体"/>
          <w:sz w:val="24"/>
          <w:szCs w:val="28"/>
        </w:rPr>
      </w:pPr>
    </w:p>
    <w:p>
      <w:pPr>
        <w:spacing w:line="360" w:lineRule="auto"/>
        <w:ind w:firstLine="480" w:firstLineChars="200"/>
        <w:rPr>
          <w:rFonts w:hint="eastAsia" w:ascii="宋体" w:hAnsi="宋体" w:cs="宋体"/>
          <w:sz w:val="24"/>
          <w:szCs w:val="28"/>
          <w:u w:val="single"/>
        </w:rPr>
      </w:pPr>
      <w:r>
        <w:rPr>
          <w:rFonts w:hint="eastAsia" w:ascii="宋体" w:hAnsi="宋体" w:cs="宋体"/>
          <w:sz w:val="24"/>
          <w:szCs w:val="28"/>
        </w:rPr>
        <w:t>承诺单位：（盖章）</w:t>
      </w:r>
      <w:r>
        <w:rPr>
          <w:rFonts w:hint="eastAsia" w:ascii="宋体" w:hAnsi="宋体" w:cs="宋体"/>
          <w:sz w:val="24"/>
          <w:szCs w:val="28"/>
          <w:u w:val="single"/>
        </w:rPr>
        <w:t xml:space="preserve">               </w:t>
      </w:r>
    </w:p>
    <w:p>
      <w:pPr>
        <w:spacing w:line="360" w:lineRule="auto"/>
        <w:ind w:firstLine="480" w:firstLineChars="200"/>
        <w:rPr>
          <w:rFonts w:hint="eastAsia" w:ascii="宋体" w:hAnsi="宋体" w:cs="宋体"/>
          <w:sz w:val="24"/>
          <w:szCs w:val="28"/>
        </w:rPr>
      </w:pPr>
      <w:r>
        <w:rPr>
          <w:rFonts w:hint="eastAsia" w:ascii="宋体" w:hAnsi="宋体" w:cs="宋体"/>
          <w:sz w:val="24"/>
          <w:szCs w:val="28"/>
        </w:rPr>
        <w:t>全权代表：（签字）</w:t>
      </w:r>
      <w:r>
        <w:rPr>
          <w:rFonts w:hint="eastAsia" w:ascii="宋体" w:hAnsi="宋体" w:cs="宋体"/>
          <w:sz w:val="24"/>
          <w:szCs w:val="28"/>
          <w:u w:val="single"/>
        </w:rPr>
        <w:t xml:space="preserve">               </w:t>
      </w:r>
    </w:p>
    <w:p>
      <w:pPr>
        <w:spacing w:line="360" w:lineRule="auto"/>
        <w:ind w:firstLine="480" w:firstLineChars="200"/>
        <w:rPr>
          <w:rFonts w:hint="eastAsia" w:ascii="宋体" w:hAnsi="宋体" w:cs="宋体"/>
          <w:sz w:val="24"/>
          <w:szCs w:val="28"/>
        </w:rPr>
      </w:pPr>
      <w:r>
        <w:rPr>
          <w:rFonts w:hint="eastAsia" w:ascii="宋体" w:hAnsi="宋体" w:cs="宋体"/>
          <w:sz w:val="24"/>
          <w:szCs w:val="28"/>
        </w:rPr>
        <w:t>地址：</w:t>
      </w:r>
      <w:r>
        <w:rPr>
          <w:rFonts w:hint="eastAsia" w:ascii="宋体" w:hAnsi="宋体" w:cs="宋体"/>
          <w:sz w:val="24"/>
          <w:szCs w:val="28"/>
          <w:u w:val="single"/>
        </w:rPr>
        <w:t xml:space="preserve">               </w:t>
      </w:r>
      <w:r>
        <w:rPr>
          <w:rFonts w:hint="eastAsia" w:ascii="宋体" w:hAnsi="宋体" w:cs="宋体"/>
          <w:sz w:val="24"/>
          <w:szCs w:val="28"/>
        </w:rPr>
        <w:t xml:space="preserve">                              </w:t>
      </w:r>
    </w:p>
    <w:p>
      <w:pPr>
        <w:spacing w:line="360" w:lineRule="auto"/>
        <w:ind w:firstLine="480" w:firstLineChars="200"/>
        <w:rPr>
          <w:rFonts w:hint="eastAsia" w:ascii="宋体" w:hAnsi="宋体" w:cs="宋体"/>
          <w:sz w:val="24"/>
          <w:szCs w:val="28"/>
        </w:rPr>
      </w:pPr>
      <w:r>
        <w:rPr>
          <w:rFonts w:hint="eastAsia" w:ascii="宋体" w:hAnsi="宋体" w:cs="宋体"/>
          <w:sz w:val="24"/>
          <w:szCs w:val="28"/>
        </w:rPr>
        <w:t>邮编：</w:t>
      </w:r>
      <w:r>
        <w:rPr>
          <w:rFonts w:hint="eastAsia" w:ascii="宋体" w:hAnsi="宋体" w:cs="宋体"/>
          <w:sz w:val="24"/>
          <w:szCs w:val="28"/>
          <w:u w:val="single"/>
        </w:rPr>
        <w:t xml:space="preserve">               </w:t>
      </w:r>
    </w:p>
    <w:p>
      <w:pPr>
        <w:spacing w:line="360" w:lineRule="auto"/>
        <w:ind w:firstLine="480" w:firstLineChars="200"/>
        <w:rPr>
          <w:rFonts w:hint="eastAsia" w:ascii="宋体" w:hAnsi="宋体" w:cs="宋体"/>
          <w:sz w:val="24"/>
          <w:szCs w:val="28"/>
        </w:rPr>
      </w:pPr>
      <w:r>
        <w:rPr>
          <w:rFonts w:hint="eastAsia" w:ascii="宋体" w:hAnsi="宋体" w:cs="宋体"/>
          <w:sz w:val="24"/>
          <w:szCs w:val="28"/>
        </w:rPr>
        <w:t>电话：</w:t>
      </w:r>
      <w:r>
        <w:rPr>
          <w:rFonts w:hint="eastAsia" w:ascii="宋体" w:hAnsi="宋体" w:cs="宋体"/>
          <w:sz w:val="24"/>
          <w:szCs w:val="28"/>
          <w:u w:val="single"/>
        </w:rPr>
        <w:t xml:space="preserve">               </w:t>
      </w:r>
    </w:p>
    <w:p>
      <w:pPr>
        <w:spacing w:line="360" w:lineRule="auto"/>
        <w:ind w:right="480" w:firstLine="480" w:firstLineChars="200"/>
        <w:rPr>
          <w:rFonts w:hint="eastAsia" w:ascii="宋体" w:hAnsi="宋体" w:cs="宋体"/>
          <w:sz w:val="24"/>
          <w:szCs w:val="28"/>
        </w:rPr>
      </w:pPr>
      <w:r>
        <w:rPr>
          <w:rFonts w:hint="eastAsia" w:ascii="宋体" w:hAnsi="宋体" w:cs="宋体"/>
          <w:sz w:val="24"/>
          <w:szCs w:val="28"/>
        </w:rPr>
        <w:t>年  月  日</w:t>
      </w:r>
    </w:p>
    <w:p>
      <w:pPr>
        <w:rPr>
          <w:rFonts w:hint="eastAsia" w:eastAsia="宋体"/>
          <w:color w:val="auto"/>
          <w:highlight w:val="none"/>
          <w:lang w:val="en-US" w:eastAsia="zh-CN"/>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lang w:val="en-US" w:eastAsia="zh-CN"/>
        </w:rPr>
      </w:pPr>
      <w:r>
        <w:rPr>
          <w:rFonts w:hint="eastAsia"/>
          <w:color w:val="auto"/>
          <w:highlight w:val="none"/>
          <w:lang w:val="en-US" w:eastAsia="zh-CN"/>
        </w:rPr>
        <w:br w:type="page"/>
      </w:r>
    </w:p>
    <w:p>
      <w:pPr>
        <w:rPr>
          <w:rFonts w:hint="eastAsia" w:eastAsia="宋体"/>
          <w:color w:val="auto"/>
          <w:highlight w:val="none"/>
          <w:lang w:val="en-US" w:eastAsia="zh-CN"/>
        </w:rPr>
      </w:pPr>
      <w:r>
        <w:rPr>
          <w:rFonts w:hint="eastAsia"/>
          <w:color w:val="auto"/>
          <w:highlight w:val="none"/>
          <w:lang w:val="en-US" w:eastAsia="zh-CN"/>
        </w:rPr>
        <w:t>2、其他资料</w:t>
      </w: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r>
        <w:rPr>
          <w:rFonts w:hint="eastAsia"/>
          <w:color w:val="auto"/>
          <w:highlight w:val="none"/>
        </w:rPr>
        <w:t xml:space="preserve"> </w:t>
      </w:r>
    </w:p>
    <w:p>
      <w:pPr>
        <w:rPr>
          <w:rFonts w:hint="eastAsia"/>
          <w:color w:val="auto"/>
          <w:sz w:val="28"/>
          <w:highlight w:val="none"/>
          <w:lang w:val="en-US" w:eastAsia="zh-CN"/>
        </w:rPr>
      </w:pPr>
      <w:bookmarkStart w:id="233" w:name="_Toc25722"/>
      <w:bookmarkStart w:id="234" w:name="_Toc4505"/>
      <w:r>
        <w:rPr>
          <w:rFonts w:hint="eastAsia"/>
          <w:color w:val="auto"/>
          <w:sz w:val="28"/>
          <w:highlight w:val="none"/>
          <w:lang w:val="en-US" w:eastAsia="zh-CN"/>
        </w:rPr>
        <w:br w:type="page"/>
      </w:r>
    </w:p>
    <w:p>
      <w:pPr>
        <w:pStyle w:val="3"/>
        <w:spacing w:after="156"/>
        <w:jc w:val="center"/>
        <w:rPr>
          <w:rFonts w:hint="eastAsia"/>
          <w:color w:val="auto"/>
          <w:sz w:val="28"/>
          <w:highlight w:val="none"/>
        </w:rPr>
      </w:pPr>
      <w:r>
        <w:rPr>
          <w:rFonts w:hint="eastAsia"/>
          <w:color w:val="auto"/>
          <w:sz w:val="28"/>
          <w:highlight w:val="none"/>
          <w:lang w:val="en-US" w:eastAsia="zh-CN"/>
        </w:rPr>
        <w:t xml:space="preserve">第七章  </w:t>
      </w:r>
      <w:r>
        <w:rPr>
          <w:rFonts w:hint="eastAsia"/>
          <w:color w:val="auto"/>
          <w:sz w:val="28"/>
          <w:highlight w:val="none"/>
        </w:rPr>
        <w:t>质疑和投诉</w:t>
      </w:r>
      <w:bookmarkEnd w:id="233"/>
      <w:bookmarkEnd w:id="234"/>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auto"/>
          <w:sz w:val="21"/>
          <w:szCs w:val="21"/>
          <w:highlight w:val="none"/>
        </w:rPr>
      </w:pPr>
      <w:r>
        <w:rPr>
          <w:rFonts w:hint="eastAsia" w:ascii="宋体" w:hAnsi="宋体"/>
          <w:color w:val="auto"/>
          <w:sz w:val="21"/>
          <w:szCs w:val="21"/>
          <w:highlight w:val="none"/>
        </w:rPr>
        <w:t>（一）严格按照《中华人共和国政府采购法》及其实施条例、《政府采购质疑和投诉办法（财政部第94号令）》、《政府采购货物和服务招标投标管理办法》（财政部87号）、财政部和陕西省财政厅相关管理规定以及相关法规执行。</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auto"/>
          <w:sz w:val="21"/>
          <w:szCs w:val="21"/>
          <w:highlight w:val="none"/>
        </w:rPr>
      </w:pPr>
      <w:r>
        <w:rPr>
          <w:rFonts w:hint="eastAsia" w:ascii="宋体" w:hAnsi="宋体"/>
          <w:color w:val="auto"/>
          <w:sz w:val="21"/>
          <w:szCs w:val="21"/>
          <w:highlight w:val="none"/>
        </w:rPr>
        <w:t>（二）投标人提出质疑应当提交质疑函和必要的证明材料。质疑函应当包括下列内容：</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auto"/>
          <w:sz w:val="21"/>
          <w:szCs w:val="21"/>
          <w:highlight w:val="none"/>
        </w:rPr>
      </w:pPr>
      <w:r>
        <w:rPr>
          <w:rFonts w:hint="eastAsia" w:ascii="宋体" w:hAnsi="宋体"/>
          <w:color w:val="auto"/>
          <w:sz w:val="21"/>
          <w:szCs w:val="21"/>
          <w:highlight w:val="none"/>
        </w:rPr>
        <w:t>1、投标人的姓名或者名称、地址、邮编、联系人及联系电话；</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auto"/>
          <w:sz w:val="21"/>
          <w:szCs w:val="21"/>
          <w:highlight w:val="none"/>
        </w:rPr>
      </w:pPr>
      <w:r>
        <w:rPr>
          <w:rFonts w:hint="eastAsia" w:ascii="宋体" w:hAnsi="宋体"/>
          <w:color w:val="auto"/>
          <w:sz w:val="21"/>
          <w:szCs w:val="21"/>
          <w:highlight w:val="none"/>
        </w:rPr>
        <w:t>2、质疑项目的名称、编号；</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auto"/>
          <w:sz w:val="21"/>
          <w:szCs w:val="21"/>
          <w:highlight w:val="none"/>
        </w:rPr>
      </w:pPr>
      <w:r>
        <w:rPr>
          <w:rFonts w:hint="eastAsia" w:ascii="宋体" w:hAnsi="宋体"/>
          <w:color w:val="auto"/>
          <w:sz w:val="21"/>
          <w:szCs w:val="21"/>
          <w:highlight w:val="none"/>
        </w:rPr>
        <w:t>3、具体、明确的质疑事项和与质疑事项相关的请求；</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auto"/>
          <w:sz w:val="21"/>
          <w:szCs w:val="21"/>
          <w:highlight w:val="none"/>
        </w:rPr>
      </w:pPr>
      <w:r>
        <w:rPr>
          <w:rFonts w:hint="eastAsia" w:ascii="宋体" w:hAnsi="宋体"/>
          <w:color w:val="auto"/>
          <w:sz w:val="21"/>
          <w:szCs w:val="21"/>
          <w:highlight w:val="none"/>
        </w:rPr>
        <w:t>4、事实依据；</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auto"/>
          <w:sz w:val="21"/>
          <w:szCs w:val="21"/>
          <w:highlight w:val="none"/>
        </w:rPr>
      </w:pPr>
      <w:r>
        <w:rPr>
          <w:rFonts w:hint="eastAsia" w:ascii="宋体" w:hAnsi="宋体"/>
          <w:color w:val="auto"/>
          <w:sz w:val="21"/>
          <w:szCs w:val="21"/>
          <w:highlight w:val="none"/>
        </w:rPr>
        <w:t>5、必要的法律依据；</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auto"/>
          <w:sz w:val="21"/>
          <w:szCs w:val="21"/>
          <w:highlight w:val="none"/>
        </w:rPr>
      </w:pPr>
      <w:r>
        <w:rPr>
          <w:rFonts w:hint="eastAsia" w:ascii="宋体" w:hAnsi="宋体"/>
          <w:color w:val="auto"/>
          <w:sz w:val="21"/>
          <w:szCs w:val="21"/>
          <w:highlight w:val="none"/>
        </w:rPr>
        <w:t>6、提出质疑的日期。</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auto"/>
          <w:sz w:val="21"/>
          <w:szCs w:val="21"/>
          <w:highlight w:val="none"/>
        </w:rPr>
      </w:pPr>
      <w:r>
        <w:rPr>
          <w:rFonts w:hint="eastAsia" w:ascii="宋体" w:hAnsi="宋体"/>
          <w:color w:val="auto"/>
          <w:sz w:val="21"/>
          <w:szCs w:val="21"/>
          <w:highlight w:val="none"/>
        </w:rPr>
        <w:t>7、投标人为自然人的，应当由本人签字；投标人为法人或者其他组织的，应当由法定代表人、主要负责人，或者其授权代表签字或者盖章，并加盖公章。</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auto"/>
          <w:sz w:val="21"/>
          <w:szCs w:val="21"/>
          <w:highlight w:val="none"/>
        </w:rPr>
      </w:pPr>
      <w:r>
        <w:rPr>
          <w:rFonts w:hint="eastAsia" w:ascii="宋体" w:hAnsi="宋体"/>
          <w:color w:val="auto"/>
          <w:sz w:val="21"/>
          <w:szCs w:val="21"/>
          <w:highlight w:val="none"/>
        </w:rPr>
        <w:t>8、采购代理机构应当在收到质疑函后7个工作日内作出答复，并以书面形式通知质疑投标人和其他有关投标人。</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auto"/>
          <w:sz w:val="21"/>
          <w:szCs w:val="21"/>
          <w:highlight w:val="none"/>
        </w:rPr>
      </w:pPr>
      <w:r>
        <w:rPr>
          <w:rFonts w:hint="eastAsia" w:ascii="宋体" w:hAnsi="宋体"/>
          <w:color w:val="auto"/>
          <w:sz w:val="21"/>
          <w:szCs w:val="21"/>
          <w:highlight w:val="none"/>
        </w:rPr>
        <w:t>（三）质疑书范本</w:t>
      </w:r>
    </w:p>
    <w:p>
      <w:pPr>
        <w:spacing w:line="360" w:lineRule="auto"/>
        <w:jc w:val="center"/>
        <w:rPr>
          <w:rFonts w:hint="eastAsia" w:ascii="宋体" w:hAnsi="宋体"/>
          <w:b/>
          <w:color w:val="auto"/>
          <w:sz w:val="21"/>
          <w:szCs w:val="21"/>
          <w:highlight w:val="none"/>
        </w:rPr>
      </w:pPr>
      <w:r>
        <w:rPr>
          <w:rFonts w:hint="eastAsia" w:ascii="宋体" w:hAnsi="宋体"/>
          <w:b/>
          <w:color w:val="auto"/>
          <w:sz w:val="21"/>
          <w:szCs w:val="21"/>
          <w:highlight w:val="none"/>
        </w:rPr>
        <w:t>质疑函范本</w:t>
      </w:r>
    </w:p>
    <w:p>
      <w:pPr>
        <w:spacing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一、质疑投标人基本信息</w:t>
      </w:r>
    </w:p>
    <w:p>
      <w:pPr>
        <w:spacing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质疑投标人：</w:t>
      </w:r>
    </w:p>
    <w:p>
      <w:pPr>
        <w:spacing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地址：          邮编：</w:t>
      </w:r>
    </w:p>
    <w:p>
      <w:pPr>
        <w:spacing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联系人：        联系电话：</w:t>
      </w:r>
    </w:p>
    <w:p>
      <w:pPr>
        <w:spacing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授权代表：</w:t>
      </w:r>
    </w:p>
    <w:p>
      <w:pPr>
        <w:spacing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联系电话：</w:t>
      </w:r>
    </w:p>
    <w:p>
      <w:pPr>
        <w:spacing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地址：       邮编：</w:t>
      </w:r>
    </w:p>
    <w:p>
      <w:pPr>
        <w:spacing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二、质疑项目基本情况</w:t>
      </w:r>
    </w:p>
    <w:p>
      <w:pPr>
        <w:spacing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质疑项目的名称：</w:t>
      </w:r>
    </w:p>
    <w:p>
      <w:pPr>
        <w:spacing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质疑项目的编号：    包号：</w:t>
      </w:r>
    </w:p>
    <w:p>
      <w:pPr>
        <w:spacing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采购人名称：</w:t>
      </w:r>
    </w:p>
    <w:p>
      <w:pPr>
        <w:spacing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采购文件获取日期：</w:t>
      </w:r>
    </w:p>
    <w:p>
      <w:pPr>
        <w:spacing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三、质疑事项具体内容</w:t>
      </w:r>
    </w:p>
    <w:p>
      <w:pPr>
        <w:spacing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质疑事项1：</w:t>
      </w:r>
    </w:p>
    <w:p>
      <w:pPr>
        <w:spacing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事实依据：</w:t>
      </w:r>
    </w:p>
    <w:p>
      <w:pPr>
        <w:spacing w:line="360" w:lineRule="auto"/>
        <w:ind w:firstLine="420" w:firstLineChars="200"/>
        <w:rPr>
          <w:rFonts w:ascii="宋体" w:hAnsi="宋体"/>
          <w:color w:val="auto"/>
          <w:sz w:val="21"/>
          <w:szCs w:val="21"/>
          <w:highlight w:val="none"/>
        </w:rPr>
      </w:pPr>
    </w:p>
    <w:p>
      <w:pPr>
        <w:spacing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法律依据：</w:t>
      </w:r>
    </w:p>
    <w:p>
      <w:pPr>
        <w:spacing w:line="360" w:lineRule="auto"/>
        <w:ind w:firstLine="420" w:firstLineChars="200"/>
        <w:rPr>
          <w:rFonts w:ascii="宋体" w:hAnsi="宋体"/>
          <w:color w:val="auto"/>
          <w:sz w:val="21"/>
          <w:szCs w:val="21"/>
          <w:highlight w:val="none"/>
        </w:rPr>
      </w:pPr>
    </w:p>
    <w:p>
      <w:pPr>
        <w:spacing w:line="360" w:lineRule="auto"/>
        <w:ind w:firstLine="420" w:firstLineChars="200"/>
        <w:rPr>
          <w:rFonts w:hint="eastAsia" w:ascii="宋体" w:hAnsi="宋体" w:eastAsia="宋体"/>
          <w:color w:val="auto"/>
          <w:sz w:val="21"/>
          <w:szCs w:val="21"/>
          <w:highlight w:val="none"/>
          <w:lang w:eastAsia="zh-CN"/>
        </w:rPr>
      </w:pPr>
      <w:r>
        <w:rPr>
          <w:rFonts w:hint="eastAsia" w:ascii="宋体" w:hAnsi="宋体"/>
          <w:color w:val="auto"/>
          <w:sz w:val="21"/>
          <w:szCs w:val="21"/>
          <w:highlight w:val="none"/>
        </w:rPr>
        <w:t>质疑事项2</w:t>
      </w:r>
      <w:r>
        <w:rPr>
          <w:rFonts w:hint="eastAsia" w:ascii="宋体" w:hAnsi="宋体"/>
          <w:color w:val="auto"/>
          <w:sz w:val="21"/>
          <w:szCs w:val="21"/>
          <w:highlight w:val="none"/>
          <w:lang w:eastAsia="zh-CN"/>
        </w:rPr>
        <w:t>：</w:t>
      </w:r>
    </w:p>
    <w:p>
      <w:pPr>
        <w:spacing w:line="360" w:lineRule="auto"/>
        <w:ind w:firstLine="420" w:firstLineChars="200"/>
        <w:rPr>
          <w:rFonts w:ascii="宋体" w:hAnsi="宋体"/>
          <w:color w:val="auto"/>
          <w:sz w:val="21"/>
          <w:szCs w:val="21"/>
          <w:highlight w:val="none"/>
        </w:rPr>
      </w:pPr>
      <w:r>
        <w:rPr>
          <w:rFonts w:hint="eastAsia" w:ascii="宋体" w:hAnsi="宋体"/>
          <w:color w:val="auto"/>
          <w:sz w:val="21"/>
          <w:szCs w:val="21"/>
          <w:highlight w:val="none"/>
        </w:rPr>
        <w:t>……</w:t>
      </w:r>
    </w:p>
    <w:p>
      <w:pPr>
        <w:spacing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四、与质疑事项相关的质疑请求</w:t>
      </w:r>
    </w:p>
    <w:p>
      <w:pPr>
        <w:spacing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请求：</w:t>
      </w:r>
    </w:p>
    <w:p>
      <w:pPr>
        <w:spacing w:line="360" w:lineRule="auto"/>
        <w:ind w:firstLine="420" w:firstLineChars="200"/>
        <w:rPr>
          <w:rFonts w:ascii="宋体" w:hAnsi="宋体"/>
          <w:color w:val="auto"/>
          <w:sz w:val="21"/>
          <w:szCs w:val="21"/>
          <w:highlight w:val="none"/>
        </w:rPr>
      </w:pPr>
      <w:r>
        <w:rPr>
          <w:rFonts w:hint="eastAsia" w:ascii="宋体" w:hAnsi="宋体"/>
          <w:color w:val="auto"/>
          <w:sz w:val="21"/>
          <w:szCs w:val="21"/>
          <w:highlight w:val="none"/>
        </w:rPr>
        <w:t xml:space="preserve">签字(签章)：                   公章：                      </w:t>
      </w:r>
    </w:p>
    <w:p>
      <w:pPr>
        <w:spacing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日期：</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auto"/>
          <w:sz w:val="21"/>
          <w:szCs w:val="21"/>
          <w:highlight w:val="none"/>
        </w:rPr>
      </w:pPr>
      <w:r>
        <w:rPr>
          <w:rFonts w:hint="eastAsia" w:ascii="宋体" w:hAnsi="宋体"/>
          <w:color w:val="auto"/>
          <w:sz w:val="21"/>
          <w:szCs w:val="21"/>
          <w:highlight w:val="none"/>
        </w:rPr>
        <w:t>（四）质疑函制作说明：</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auto"/>
          <w:sz w:val="21"/>
          <w:szCs w:val="21"/>
          <w:highlight w:val="none"/>
        </w:rPr>
      </w:pPr>
      <w:r>
        <w:rPr>
          <w:rFonts w:hint="eastAsia" w:ascii="宋体" w:hAnsi="宋体"/>
          <w:color w:val="auto"/>
          <w:sz w:val="21"/>
          <w:szCs w:val="21"/>
          <w:highlight w:val="none"/>
        </w:rPr>
        <w:t>1、投标人提出质疑时，应提交质疑函和必要的证明材料。</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auto"/>
          <w:sz w:val="21"/>
          <w:szCs w:val="21"/>
          <w:highlight w:val="none"/>
        </w:rPr>
      </w:pPr>
      <w:r>
        <w:rPr>
          <w:rFonts w:hint="eastAsia" w:ascii="宋体" w:hAnsi="宋体"/>
          <w:color w:val="auto"/>
          <w:sz w:val="21"/>
          <w:szCs w:val="21"/>
          <w:highlight w:val="none"/>
        </w:rPr>
        <w:t>2、质疑投标人若委托代理人进行质疑的，质疑函应按要求列明“授权代表”的有关内容，并在附件中提交由质疑投标人签署的授权委托书。授权委托书应载明代理人的姓名或者名称、代理事项、具体权限、期限和相关事项。</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auto"/>
          <w:sz w:val="21"/>
          <w:szCs w:val="21"/>
          <w:highlight w:val="none"/>
        </w:rPr>
      </w:pPr>
      <w:r>
        <w:rPr>
          <w:rFonts w:hint="eastAsia" w:ascii="宋体" w:hAnsi="宋体"/>
          <w:color w:val="auto"/>
          <w:sz w:val="21"/>
          <w:szCs w:val="21"/>
          <w:highlight w:val="none"/>
        </w:rPr>
        <w:t>3、质疑投标人若对项目的某一分包进行质疑，质疑函中应列明具体分包号。</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auto"/>
          <w:sz w:val="21"/>
          <w:szCs w:val="21"/>
          <w:highlight w:val="none"/>
        </w:rPr>
      </w:pPr>
      <w:r>
        <w:rPr>
          <w:rFonts w:hint="eastAsia" w:ascii="宋体" w:hAnsi="宋体"/>
          <w:color w:val="auto"/>
          <w:sz w:val="21"/>
          <w:szCs w:val="21"/>
          <w:highlight w:val="none"/>
        </w:rPr>
        <w:t>4、质疑函的质疑事项应具体、明确，并有必要的事实依据和法律依据。</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auto"/>
          <w:sz w:val="21"/>
          <w:szCs w:val="21"/>
          <w:highlight w:val="none"/>
        </w:rPr>
      </w:pPr>
      <w:r>
        <w:rPr>
          <w:rFonts w:hint="eastAsia" w:ascii="宋体" w:hAnsi="宋体"/>
          <w:color w:val="auto"/>
          <w:sz w:val="21"/>
          <w:szCs w:val="21"/>
          <w:highlight w:val="none"/>
        </w:rPr>
        <w:t>5、质疑函的质疑请求应与质疑事项相关。</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auto"/>
          <w:sz w:val="21"/>
          <w:szCs w:val="21"/>
          <w:highlight w:val="none"/>
        </w:rPr>
      </w:pPr>
      <w:r>
        <w:rPr>
          <w:rFonts w:hint="eastAsia" w:ascii="宋体" w:hAnsi="宋体"/>
          <w:color w:val="auto"/>
          <w:sz w:val="21"/>
          <w:szCs w:val="21"/>
          <w:highlight w:val="none"/>
        </w:rPr>
        <w:t>6、质疑投标人为自然人的，质疑函应由本人签字；质疑投标人为法人或者其他组织的，质疑函应由法定代表人、主要负责人，或者其授权代表签字或者盖章，并加盖公章。</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auto"/>
          <w:sz w:val="21"/>
          <w:szCs w:val="21"/>
          <w:highlight w:val="none"/>
        </w:rPr>
      </w:pPr>
      <w:r>
        <w:rPr>
          <w:rFonts w:hint="eastAsia" w:ascii="宋体" w:hAnsi="宋体"/>
          <w:color w:val="auto"/>
          <w:sz w:val="21"/>
          <w:szCs w:val="21"/>
          <w:highlight w:val="none"/>
        </w:rPr>
        <w:t>7、质疑函的接收：</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olor w:val="auto"/>
          <w:sz w:val="21"/>
          <w:szCs w:val="21"/>
          <w:highlight w:val="none"/>
          <w:lang w:eastAsia="zh-CN"/>
        </w:rPr>
      </w:pPr>
      <w:r>
        <w:rPr>
          <w:rFonts w:hint="eastAsia" w:ascii="宋体" w:hAnsi="宋体"/>
          <w:color w:val="auto"/>
          <w:sz w:val="21"/>
          <w:szCs w:val="21"/>
          <w:highlight w:val="none"/>
        </w:rPr>
        <w:t>质疑受理联系电话：029-</w:t>
      </w:r>
      <w:r>
        <w:rPr>
          <w:rFonts w:hint="eastAsia" w:ascii="宋体" w:hAnsi="宋体"/>
          <w:color w:val="auto"/>
          <w:sz w:val="21"/>
          <w:szCs w:val="21"/>
          <w:highlight w:val="none"/>
          <w:lang w:val="en-US" w:eastAsia="zh-CN"/>
        </w:rPr>
        <w:t>89187077</w:t>
      </w:r>
      <w:r>
        <w:rPr>
          <w:rFonts w:hint="eastAsia" w:ascii="宋体" w:hAnsi="宋体"/>
          <w:color w:val="auto"/>
          <w:sz w:val="21"/>
          <w:szCs w:val="21"/>
          <w:highlight w:val="none"/>
        </w:rPr>
        <w:t>，联系人：</w:t>
      </w:r>
      <w:r>
        <w:rPr>
          <w:rFonts w:hint="eastAsia" w:ascii="宋体" w:hAnsi="宋体"/>
          <w:color w:val="auto"/>
          <w:sz w:val="21"/>
          <w:szCs w:val="21"/>
          <w:highlight w:val="none"/>
          <w:lang w:val="en-US" w:eastAsia="zh-CN"/>
        </w:rPr>
        <w:t>赵工</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auto"/>
          <w:sz w:val="21"/>
          <w:szCs w:val="21"/>
          <w:highlight w:val="none"/>
        </w:rPr>
      </w:pPr>
      <w:r>
        <w:rPr>
          <w:rFonts w:hint="eastAsia" w:ascii="宋体" w:hAnsi="宋体"/>
          <w:color w:val="auto"/>
          <w:sz w:val="21"/>
          <w:szCs w:val="21"/>
          <w:highlight w:val="none"/>
        </w:rPr>
        <w:t>（五）有下列情形之一的，属于无效质疑，采购代理机构和采购人可不予受理：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auto"/>
          <w:sz w:val="21"/>
          <w:szCs w:val="21"/>
          <w:highlight w:val="none"/>
        </w:rPr>
      </w:pPr>
      <w:r>
        <w:rPr>
          <w:rFonts w:hint="eastAsia" w:ascii="宋体" w:hAnsi="宋体"/>
          <w:color w:val="auto"/>
          <w:sz w:val="21"/>
          <w:szCs w:val="21"/>
          <w:highlight w:val="none"/>
        </w:rPr>
        <w:t>1、对采购文件提出质疑的质疑人不是依法获取采购文件的投标人；对采购过程、中标或成交结果提出质疑的质疑人不是参与本次政府采购项目的投标人；</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auto"/>
          <w:sz w:val="21"/>
          <w:szCs w:val="21"/>
          <w:highlight w:val="none"/>
        </w:rPr>
      </w:pPr>
      <w:r>
        <w:rPr>
          <w:rFonts w:hint="eastAsia" w:ascii="宋体" w:hAnsi="宋体"/>
          <w:color w:val="auto"/>
          <w:sz w:val="21"/>
          <w:szCs w:val="21"/>
          <w:highlight w:val="none"/>
        </w:rPr>
        <w:t>2、超过法定期限或未以书面形式提出的；</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auto"/>
          <w:sz w:val="21"/>
          <w:szCs w:val="21"/>
          <w:highlight w:val="none"/>
        </w:rPr>
      </w:pPr>
      <w:r>
        <w:rPr>
          <w:rFonts w:hint="eastAsia" w:ascii="宋体" w:hAnsi="宋体"/>
          <w:color w:val="auto"/>
          <w:sz w:val="21"/>
          <w:szCs w:val="21"/>
          <w:highlight w:val="none"/>
        </w:rPr>
        <w:t>3、质疑函未按本章6.6条规定签字及盖章的；</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auto"/>
          <w:sz w:val="21"/>
          <w:szCs w:val="21"/>
          <w:highlight w:val="none"/>
        </w:rPr>
      </w:pPr>
      <w:r>
        <w:rPr>
          <w:rFonts w:hint="eastAsia" w:ascii="宋体" w:hAnsi="宋体"/>
          <w:color w:val="auto"/>
          <w:sz w:val="21"/>
          <w:szCs w:val="21"/>
          <w:highlight w:val="none"/>
        </w:rPr>
        <w:t>4、针对同一采购程序环节又提出其他质疑事项的，或质疑答复后就同一事项再次提出质疑的；</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auto"/>
          <w:sz w:val="21"/>
          <w:szCs w:val="21"/>
          <w:highlight w:val="none"/>
        </w:rPr>
      </w:pPr>
      <w:r>
        <w:rPr>
          <w:rFonts w:hint="eastAsia" w:ascii="宋体" w:hAnsi="宋体"/>
          <w:color w:val="auto"/>
          <w:sz w:val="21"/>
          <w:szCs w:val="21"/>
          <w:highlight w:val="none"/>
        </w:rPr>
        <w:t>5、不符合法律、法规、规章和政府采购监管机构规定的其他条件的。</w:t>
      </w:r>
    </w:p>
    <w:p>
      <w:pPr>
        <w:widowControl/>
        <w:jc w:val="left"/>
        <w:rPr>
          <w:color w:val="auto"/>
          <w:kern w:val="0"/>
          <w:sz w:val="21"/>
          <w:szCs w:val="21"/>
          <w:highlight w:val="none"/>
        </w:rPr>
      </w:pPr>
    </w:p>
    <w:p>
      <w:pPr>
        <w:rPr>
          <w:rFonts w:ascii="宋体" w:hAnsi="宋体"/>
          <w:b/>
          <w:color w:val="auto"/>
          <w:sz w:val="30"/>
          <w:szCs w:val="30"/>
          <w:highlight w:val="none"/>
        </w:rPr>
      </w:pPr>
    </w:p>
    <w:sectPr>
      <w:headerReference r:id="rId11" w:type="default"/>
      <w:pgSz w:w="11906" w:h="16838"/>
      <w:pgMar w:top="1327" w:right="1576" w:bottom="1327" w:left="1576"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0"/>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Sim Sun">
    <w:altName w:val="微软雅黑"/>
    <w:panose1 w:val="00000000000000000000"/>
    <w:charset w:val="86"/>
    <w:family w:val="swiss"/>
    <w:pitch w:val="default"/>
    <w:sig w:usb0="00000000" w:usb1="00000000" w:usb2="00000010" w:usb3="00000000" w:csb0="00040000" w:csb1="00000000"/>
  </w:font>
  <w:font w:name="Arial Unicode MS">
    <w:altName w:val="宋体"/>
    <w:panose1 w:val="020B0604020202020204"/>
    <w:charset w:val="86"/>
    <w:family w:val="swiss"/>
    <w:pitch w:val="default"/>
    <w:sig w:usb0="00000000" w:usb1="00000000" w:usb2="0000003F" w:usb3="00000000" w:csb0="003F01FF"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0000000000000000000"/>
    <w:charset w:val="86"/>
    <w:family w:val="script"/>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1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pPr>
                          <w:r>
                            <w:fldChar w:fldCharType="begin"/>
                          </w:r>
                          <w:r>
                            <w:instrText xml:space="preserve"> PAGE  \* MERGEFORMAT </w:instrText>
                          </w:r>
                          <w:r>
                            <w:fldChar w:fldCharType="separate"/>
                          </w:r>
                          <w:r>
                            <w:t>70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15"/>
                    </w:pPr>
                    <w:r>
                      <w:fldChar w:fldCharType="begin"/>
                    </w:r>
                    <w:r>
                      <w:instrText xml:space="preserve"> PAGE  \* MERGEFORMAT </w:instrText>
                    </w:r>
                    <w:r>
                      <w:fldChar w:fldCharType="separate"/>
                    </w:r>
                    <w:r>
                      <w:t>70</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after="1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after="1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left"/>
      <w:rPr>
        <w:szCs w:val="18"/>
        <w:u w:val="single"/>
      </w:rPr>
    </w:pPr>
    <w:r>
      <w:rPr>
        <w:rFonts w:hint="eastAsia" w:ascii="宋体" w:hAnsi="宋体"/>
        <w:szCs w:val="18"/>
        <w:u w:val="single"/>
        <w:lang w:val="en-US" w:eastAsia="zh-CN"/>
      </w:rPr>
      <w:t>04包：智慧医疗管理系统建设及环境扩容服务项目</w:t>
    </w:r>
    <w:r>
      <w:rPr>
        <w:rFonts w:hint="eastAsia" w:ascii="宋体" w:hAnsi="宋体"/>
        <w:szCs w:val="18"/>
        <w:u w:val="single"/>
      </w:rPr>
      <w:t xml:space="preserve">                    </w:t>
    </w:r>
    <w:r>
      <w:rPr>
        <w:rFonts w:hint="eastAsia" w:ascii="宋体" w:hAnsi="宋体"/>
        <w:szCs w:val="18"/>
        <w:u w:val="single"/>
        <w:lang w:val="en-US" w:eastAsia="zh-CN"/>
      </w:rPr>
      <w:t xml:space="preserve">        </w:t>
    </w:r>
    <w:r>
      <w:rPr>
        <w:rFonts w:hint="eastAsia" w:ascii="宋体" w:hAnsi="宋体"/>
        <w:szCs w:val="18"/>
        <w:u w:val="single"/>
      </w:rPr>
      <w:t xml:space="preserve">          </w:t>
    </w:r>
    <w:r>
      <w:rPr>
        <w:rFonts w:hint="eastAsia" w:ascii="宋体" w:hAnsi="宋体"/>
        <w:szCs w:val="18"/>
        <w:u w:val="single"/>
        <w:lang w:val="en-US" w:eastAsia="zh-CN"/>
      </w:rPr>
      <w:t xml:space="preserve">       </w:t>
    </w:r>
    <w:r>
      <w:rPr>
        <w:rFonts w:hint="eastAsia" w:ascii="宋体" w:hAnsi="宋体"/>
        <w:szCs w:val="18"/>
        <w:u w:val="single"/>
      </w:rPr>
      <w:t>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left"/>
      <w:rPr>
        <w:szCs w:val="18"/>
        <w:u w:val="single"/>
      </w:rPr>
    </w:pPr>
    <w:r>
      <w:rPr>
        <w:rFonts w:hint="eastAsia" w:ascii="宋体" w:hAnsi="宋体"/>
        <w:szCs w:val="18"/>
        <w:u w:val="single"/>
        <w:lang w:val="en-US" w:eastAsia="zh-CN"/>
      </w:rPr>
      <w:t xml:space="preserve">04包：智慧医疗管理系统建设及环境扩容服务项目                                                   </w:t>
    </w:r>
    <w:r>
      <w:rPr>
        <w:rFonts w:hint="eastAsia" w:ascii="宋体" w:hAnsi="宋体"/>
        <w:szCs w:val="18"/>
        <w:u w:val="single"/>
      </w:rPr>
      <w:t xml:space="preserve">                </w:t>
    </w:r>
    <w:r>
      <w:rPr>
        <w:rFonts w:hint="eastAsia" w:ascii="宋体" w:hAnsi="宋体"/>
        <w:szCs w:val="18"/>
        <w:u w:val="single"/>
        <w:lang w:val="en-US" w:eastAsia="zh-CN"/>
      </w:rPr>
      <w:t xml:space="preserve">                         </w:t>
    </w:r>
    <w:r>
      <w:rPr>
        <w:rFonts w:hint="eastAsia" w:ascii="宋体" w:hAnsi="宋体"/>
        <w:szCs w:val="18"/>
        <w:u w:val="single"/>
      </w:rPr>
      <w:t xml:space="preserve">        </w:t>
    </w:r>
    <w:r>
      <w:rPr>
        <w:rFonts w:hint="eastAsia" w:ascii="宋体" w:hAnsi="宋体"/>
        <w:szCs w:val="18"/>
        <w:u w:val="single"/>
        <w:lang w:val="en-US" w:eastAsia="zh-CN"/>
      </w:rPr>
      <w:t xml:space="preserve"> </w:t>
    </w:r>
    <w:r>
      <w:rPr>
        <w:rFonts w:hint="eastAsia" w:ascii="宋体" w:hAnsi="宋体"/>
        <w:szCs w:val="18"/>
        <w:u w:val="single"/>
      </w:rPr>
      <w:t>招标文件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after="160"/>
      <w:rPr>
        <w:sz w:val="6"/>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after="16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left"/>
      <w:rPr>
        <w:szCs w:val="18"/>
        <w:u w:val="single"/>
      </w:rPr>
    </w:pPr>
    <w:r>
      <w:rPr>
        <w:rFonts w:hint="eastAsia" w:ascii="宋体" w:hAnsi="宋体"/>
        <w:szCs w:val="18"/>
        <w:u w:val="single"/>
        <w:lang w:val="en-US" w:eastAsia="zh-CN"/>
      </w:rPr>
      <w:t>04包：智慧医疗管理系统建设及环境扩容服务项目</w:t>
    </w:r>
    <w:r>
      <w:rPr>
        <w:rFonts w:hint="eastAsia" w:ascii="宋体" w:hAnsi="宋体"/>
        <w:szCs w:val="18"/>
        <w:u w:val="single"/>
      </w:rPr>
      <w:t xml:space="preserve">    </w:t>
    </w:r>
    <w:r>
      <w:rPr>
        <w:rFonts w:hint="eastAsia" w:ascii="宋体" w:hAnsi="宋体"/>
        <w:szCs w:val="18"/>
        <w:u w:val="single"/>
        <w:lang w:val="en-US" w:eastAsia="zh-CN"/>
      </w:rPr>
      <w:t xml:space="preserve">       </w:t>
    </w:r>
    <w:r>
      <w:rPr>
        <w:rFonts w:hint="eastAsia" w:ascii="宋体" w:hAnsi="宋体"/>
        <w:szCs w:val="18"/>
        <w:u w:val="single"/>
      </w:rPr>
      <w:t xml:space="preserve">   </w:t>
    </w:r>
    <w:r>
      <w:rPr>
        <w:rFonts w:hint="eastAsia" w:ascii="宋体" w:hAnsi="宋体"/>
        <w:szCs w:val="18"/>
        <w:u w:val="single"/>
        <w:lang w:val="en-US" w:eastAsia="zh-CN"/>
      </w:rPr>
      <w:t xml:space="preserve">                       </w:t>
    </w:r>
    <w:r>
      <w:rPr>
        <w:rFonts w:hint="eastAsia" w:ascii="宋体" w:hAnsi="宋体"/>
        <w:szCs w:val="18"/>
        <w:u w:val="single"/>
      </w:rPr>
      <w:t xml:space="preserve">       </w:t>
    </w:r>
    <w:r>
      <w:rPr>
        <w:rFonts w:hint="eastAsia" w:ascii="宋体" w:hAnsi="宋体"/>
        <w:szCs w:val="18"/>
        <w:u w:val="single"/>
        <w:lang w:val="en-US" w:eastAsia="zh-CN"/>
      </w:rPr>
      <w:t xml:space="preserve"> </w:t>
    </w:r>
    <w:r>
      <w:rPr>
        <w:rFonts w:hint="eastAsia" w:ascii="宋体" w:hAnsi="宋体"/>
        <w:szCs w:val="18"/>
        <w:u w:val="single"/>
      </w:rPr>
      <w:t>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D8B16C"/>
    <w:multiLevelType w:val="singleLevel"/>
    <w:tmpl w:val="98D8B16C"/>
    <w:lvl w:ilvl="0" w:tentative="0">
      <w:start w:val="8"/>
      <w:numFmt w:val="decimal"/>
      <w:suff w:val="nothing"/>
      <w:lvlText w:val="（%1）"/>
      <w:lvlJc w:val="left"/>
    </w:lvl>
  </w:abstractNum>
  <w:abstractNum w:abstractNumId="1">
    <w:nsid w:val="B361BE20"/>
    <w:multiLevelType w:val="singleLevel"/>
    <w:tmpl w:val="B361BE20"/>
    <w:lvl w:ilvl="0" w:tentative="0">
      <w:start w:val="1"/>
      <w:numFmt w:val="chineseCounting"/>
      <w:suff w:val="nothing"/>
      <w:lvlText w:val="%1、"/>
      <w:lvlJc w:val="left"/>
      <w:rPr>
        <w:rFonts w:hint="eastAsia"/>
      </w:rPr>
    </w:lvl>
  </w:abstractNum>
  <w:abstractNum w:abstractNumId="2">
    <w:nsid w:val="F8A4FD41"/>
    <w:multiLevelType w:val="singleLevel"/>
    <w:tmpl w:val="F8A4FD41"/>
    <w:lvl w:ilvl="0" w:tentative="0">
      <w:start w:val="1"/>
      <w:numFmt w:val="decimal"/>
      <w:suff w:val="nothing"/>
      <w:lvlText w:val="%1、"/>
      <w:lvlJc w:val="left"/>
    </w:lvl>
  </w:abstractNum>
  <w:abstractNum w:abstractNumId="3">
    <w:nsid w:val="0362540A"/>
    <w:multiLevelType w:val="singleLevel"/>
    <w:tmpl w:val="0362540A"/>
    <w:lvl w:ilvl="0" w:tentative="0">
      <w:start w:val="4"/>
      <w:numFmt w:val="chineseCounting"/>
      <w:suff w:val="space"/>
      <w:lvlText w:val="第%1章"/>
      <w:lvlJc w:val="left"/>
      <w:rPr>
        <w:rFonts w:hint="eastAsia"/>
      </w:rPr>
    </w:lvl>
  </w:abstractNum>
  <w:abstractNum w:abstractNumId="4">
    <w:nsid w:val="03AC43BB"/>
    <w:multiLevelType w:val="singleLevel"/>
    <w:tmpl w:val="03AC43BB"/>
    <w:lvl w:ilvl="0" w:tentative="0">
      <w:start w:val="1"/>
      <w:numFmt w:val="decimal"/>
      <w:suff w:val="nothing"/>
      <w:lvlText w:val="%1、"/>
      <w:lvlJc w:val="left"/>
    </w:lvl>
  </w:abstractNum>
  <w:abstractNum w:abstractNumId="5">
    <w:nsid w:val="044F7E27"/>
    <w:multiLevelType w:val="multilevel"/>
    <w:tmpl w:val="044F7E27"/>
    <w:lvl w:ilvl="0" w:tentative="0">
      <w:start w:val="1"/>
      <w:numFmt w:val="decimal"/>
      <w:lvlText w:val="%1."/>
      <w:lvlJc w:val="left"/>
      <w:pPr>
        <w:tabs>
          <w:tab w:val="left" w:pos="600"/>
        </w:tabs>
        <w:ind w:left="600" w:hanging="600"/>
      </w:pPr>
      <w:rPr>
        <w:rFonts w:hint="default"/>
      </w:rPr>
    </w:lvl>
    <w:lvl w:ilvl="1" w:tentative="0">
      <w:start w:val="1"/>
      <w:numFmt w:val="decimal"/>
      <w:lvlText w:val="%1.%2）"/>
      <w:lvlJc w:val="left"/>
      <w:pPr>
        <w:tabs>
          <w:tab w:val="left" w:pos="1440"/>
        </w:tabs>
        <w:ind w:left="1440" w:hanging="720"/>
      </w:pPr>
      <w:rPr>
        <w:rFonts w:hint="default"/>
      </w:rPr>
    </w:lvl>
    <w:lvl w:ilvl="2" w:tentative="0">
      <w:start w:val="1"/>
      <w:numFmt w:val="decimal"/>
      <w:lvlText w:val="%1.%2）%3."/>
      <w:lvlJc w:val="left"/>
      <w:pPr>
        <w:tabs>
          <w:tab w:val="left" w:pos="2520"/>
        </w:tabs>
        <w:ind w:left="2520" w:hanging="1080"/>
      </w:pPr>
      <w:rPr>
        <w:rFonts w:hint="default"/>
      </w:rPr>
    </w:lvl>
    <w:lvl w:ilvl="3" w:tentative="0">
      <w:start w:val="1"/>
      <w:numFmt w:val="decimal"/>
      <w:lvlText w:val="%1.%2）%3.%4."/>
      <w:lvlJc w:val="left"/>
      <w:pPr>
        <w:tabs>
          <w:tab w:val="left" w:pos="3240"/>
        </w:tabs>
        <w:ind w:left="3240" w:hanging="1080"/>
      </w:pPr>
      <w:rPr>
        <w:rFonts w:hint="default"/>
      </w:rPr>
    </w:lvl>
    <w:lvl w:ilvl="4" w:tentative="0">
      <w:start w:val="1"/>
      <w:numFmt w:val="decimal"/>
      <w:lvlText w:val="%1.%2）%3.%4.%5."/>
      <w:lvlJc w:val="left"/>
      <w:pPr>
        <w:tabs>
          <w:tab w:val="left" w:pos="4320"/>
        </w:tabs>
        <w:ind w:left="4320" w:hanging="1440"/>
      </w:pPr>
      <w:rPr>
        <w:rFonts w:hint="default"/>
      </w:rPr>
    </w:lvl>
    <w:lvl w:ilvl="5" w:tentative="0">
      <w:start w:val="1"/>
      <w:numFmt w:val="decimal"/>
      <w:lvlText w:val="%1.%2）%3.%4.%5.%6."/>
      <w:lvlJc w:val="left"/>
      <w:pPr>
        <w:tabs>
          <w:tab w:val="left" w:pos="5400"/>
        </w:tabs>
        <w:ind w:left="5400" w:hanging="1800"/>
      </w:pPr>
      <w:rPr>
        <w:rFonts w:hint="default"/>
      </w:rPr>
    </w:lvl>
    <w:lvl w:ilvl="6" w:tentative="0">
      <w:start w:val="1"/>
      <w:numFmt w:val="decimal"/>
      <w:lvlText w:val="%1.%2）%3.%4.%5.%6.%7."/>
      <w:lvlJc w:val="left"/>
      <w:pPr>
        <w:tabs>
          <w:tab w:val="left" w:pos="6120"/>
        </w:tabs>
        <w:ind w:left="6120" w:hanging="1800"/>
      </w:pPr>
      <w:rPr>
        <w:rFonts w:hint="default"/>
      </w:rPr>
    </w:lvl>
    <w:lvl w:ilvl="7" w:tentative="0">
      <w:start w:val="1"/>
      <w:numFmt w:val="decimal"/>
      <w:lvlText w:val="%1.%2）%3.%4.%5.%6.%7.%8."/>
      <w:lvlJc w:val="left"/>
      <w:pPr>
        <w:tabs>
          <w:tab w:val="left" w:pos="7200"/>
        </w:tabs>
        <w:ind w:left="7200" w:hanging="2160"/>
      </w:pPr>
      <w:rPr>
        <w:rFonts w:hint="default"/>
      </w:rPr>
    </w:lvl>
    <w:lvl w:ilvl="8" w:tentative="0">
      <w:start w:val="1"/>
      <w:numFmt w:val="decimal"/>
      <w:lvlText w:val="%1.%2）%3.%4.%5.%6.%7.%8.%9."/>
      <w:lvlJc w:val="left"/>
      <w:pPr>
        <w:tabs>
          <w:tab w:val="left" w:pos="8280"/>
        </w:tabs>
        <w:ind w:left="8280" w:hanging="2520"/>
      </w:pPr>
      <w:rPr>
        <w:rFonts w:hint="default"/>
      </w:rPr>
    </w:lvl>
  </w:abstractNum>
  <w:abstractNum w:abstractNumId="6">
    <w:nsid w:val="0A73531A"/>
    <w:multiLevelType w:val="singleLevel"/>
    <w:tmpl w:val="0A73531A"/>
    <w:lvl w:ilvl="0" w:tentative="0">
      <w:start w:val="1"/>
      <w:numFmt w:val="decimal"/>
      <w:suff w:val="nothing"/>
      <w:lvlText w:val="%1、"/>
      <w:lvlJc w:val="left"/>
    </w:lvl>
  </w:abstractNum>
  <w:abstractNum w:abstractNumId="7">
    <w:nsid w:val="1F830D8D"/>
    <w:multiLevelType w:val="multilevel"/>
    <w:tmpl w:val="1F830D8D"/>
    <w:lvl w:ilvl="0" w:tentative="0">
      <w:start w:val="1"/>
      <w:numFmt w:val="decimal"/>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23757D77"/>
    <w:multiLevelType w:val="multilevel"/>
    <w:tmpl w:val="23757D77"/>
    <w:lvl w:ilvl="0" w:tentative="0">
      <w:start w:val="1"/>
      <w:numFmt w:val="japaneseCounting"/>
      <w:lvlText w:val="%1、"/>
      <w:lvlJc w:val="left"/>
      <w:pPr>
        <w:tabs>
          <w:tab w:val="left" w:pos="420"/>
        </w:tabs>
        <w:ind w:left="420" w:hanging="420"/>
      </w:pPr>
      <w:rPr>
        <w:rFonts w:hint="default"/>
      </w:rPr>
    </w:lvl>
    <w:lvl w:ilvl="1" w:tentative="0">
      <w:start w:val="1"/>
      <w:numFmt w:val="japaneseCounting"/>
      <w:lvlText w:val="第%2章"/>
      <w:lvlJc w:val="left"/>
      <w:pPr>
        <w:tabs>
          <w:tab w:val="left" w:pos="1260"/>
        </w:tabs>
        <w:ind w:left="1260" w:hanging="840"/>
      </w:pPr>
      <w:rPr>
        <w:rFonts w:hint="default"/>
      </w:rPr>
    </w:lvl>
    <w:lvl w:ilvl="2" w:tentative="0">
      <w:start w:val="1"/>
      <w:numFmt w:val="decimal"/>
      <w:lvlText w:val="%3."/>
      <w:lvlJc w:val="left"/>
      <w:pPr>
        <w:tabs>
          <w:tab w:val="left" w:pos="1200"/>
        </w:tabs>
        <w:ind w:left="1200" w:hanging="360"/>
      </w:pPr>
      <w:rPr>
        <w:rFonts w:hint="default"/>
      </w:rPr>
    </w:lvl>
    <w:lvl w:ilvl="3" w:tentative="0">
      <w:start w:val="1"/>
      <w:numFmt w:val="decimal"/>
      <w:lvlText w:val="%4）"/>
      <w:lvlJc w:val="left"/>
      <w:pPr>
        <w:tabs>
          <w:tab w:val="left" w:pos="1620"/>
        </w:tabs>
        <w:ind w:left="1620" w:hanging="360"/>
      </w:pPr>
      <w:rPr>
        <w:rFonts w:hint="default"/>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3E2E255E"/>
    <w:multiLevelType w:val="multilevel"/>
    <w:tmpl w:val="3E2E255E"/>
    <w:lvl w:ilvl="0" w:tentative="0">
      <w:start w:val="1"/>
      <w:numFmt w:val="decimal"/>
      <w:lvlText w:val="%1)"/>
      <w:lvlJc w:val="left"/>
      <w:pPr>
        <w:tabs>
          <w:tab w:val="left" w:pos="5099"/>
        </w:tabs>
        <w:ind w:left="5099" w:hanging="420"/>
      </w:pPr>
      <w:rPr>
        <w:rFonts w:hint="eastAsia"/>
      </w:rPr>
    </w:lvl>
    <w:lvl w:ilvl="1" w:tentative="0">
      <w:start w:val="1"/>
      <w:numFmt w:val="decimal"/>
      <w:lvlText w:val="%2．"/>
      <w:lvlJc w:val="left"/>
      <w:pPr>
        <w:tabs>
          <w:tab w:val="left" w:pos="270"/>
        </w:tabs>
        <w:ind w:left="270" w:hanging="720"/>
      </w:pPr>
      <w:rPr>
        <w:rFonts w:hint="default"/>
      </w:rPr>
    </w:lvl>
    <w:lvl w:ilvl="2" w:tentative="0">
      <w:start w:val="1"/>
      <w:numFmt w:val="lowerRoman"/>
      <w:lvlText w:val="%3."/>
      <w:lvlJc w:val="right"/>
      <w:pPr>
        <w:tabs>
          <w:tab w:val="left" w:pos="390"/>
        </w:tabs>
        <w:ind w:left="390" w:hanging="420"/>
      </w:pPr>
    </w:lvl>
    <w:lvl w:ilvl="3" w:tentative="0">
      <w:start w:val="8"/>
      <w:numFmt w:val="japaneseCounting"/>
      <w:lvlText w:val="第%4章"/>
      <w:lvlJc w:val="left"/>
      <w:pPr>
        <w:tabs>
          <w:tab w:val="left" w:pos="1470"/>
        </w:tabs>
        <w:ind w:left="1470" w:hanging="1080"/>
      </w:pPr>
      <w:rPr>
        <w:rFonts w:hint="eastAsia"/>
      </w:rPr>
    </w:lvl>
    <w:lvl w:ilvl="4" w:tentative="0">
      <w:start w:val="1"/>
      <w:numFmt w:val="japaneseCounting"/>
      <w:lvlText w:val="%5、"/>
      <w:lvlJc w:val="left"/>
      <w:pPr>
        <w:tabs>
          <w:tab w:val="left" w:pos="1290"/>
        </w:tabs>
        <w:ind w:left="1290" w:hanging="480"/>
      </w:pPr>
      <w:rPr>
        <w:rFonts w:hint="default"/>
        <w:u w:val="none"/>
      </w:rPr>
    </w:lvl>
    <w:lvl w:ilvl="5" w:tentative="0">
      <w:start w:val="3"/>
      <w:numFmt w:val="bullet"/>
      <w:lvlText w:val=""/>
      <w:lvlJc w:val="left"/>
      <w:pPr>
        <w:tabs>
          <w:tab w:val="left" w:pos="1590"/>
        </w:tabs>
        <w:ind w:left="1590" w:hanging="360"/>
      </w:pPr>
      <w:rPr>
        <w:rFonts w:hint="default" w:ascii="Wingdings" w:hAnsi="Wingdings" w:eastAsia="宋体" w:cs="Times New Roman"/>
      </w:rPr>
    </w:lvl>
    <w:lvl w:ilvl="6" w:tentative="0">
      <w:start w:val="1"/>
      <w:numFmt w:val="decimal"/>
      <w:lvlText w:val="%7."/>
      <w:lvlJc w:val="left"/>
      <w:pPr>
        <w:tabs>
          <w:tab w:val="left" w:pos="2010"/>
        </w:tabs>
        <w:ind w:left="2010" w:hanging="360"/>
      </w:pPr>
      <w:rPr>
        <w:rFonts w:hint="default"/>
      </w:rPr>
    </w:lvl>
    <w:lvl w:ilvl="7" w:tentative="0">
      <w:start w:val="4"/>
      <w:numFmt w:val="decimal"/>
      <w:lvlText w:val="%8、"/>
      <w:lvlJc w:val="left"/>
      <w:pPr>
        <w:tabs>
          <w:tab w:val="left" w:pos="2430"/>
        </w:tabs>
        <w:ind w:left="2430" w:hanging="360"/>
      </w:pPr>
      <w:rPr>
        <w:rFonts w:hint="default" w:ascii="宋体" w:hAnsi="宋体"/>
        <w:b w:val="0"/>
      </w:rPr>
    </w:lvl>
    <w:lvl w:ilvl="8" w:tentative="0">
      <w:start w:val="4"/>
      <w:numFmt w:val="japaneseCounting"/>
      <w:lvlText w:val="（%9）"/>
      <w:lvlJc w:val="left"/>
      <w:pPr>
        <w:ind w:left="3570" w:hanging="1080"/>
      </w:pPr>
      <w:rPr>
        <w:rFonts w:hint="default"/>
      </w:rPr>
    </w:lvl>
  </w:abstractNum>
  <w:abstractNum w:abstractNumId="10">
    <w:nsid w:val="47ACD4BA"/>
    <w:multiLevelType w:val="singleLevel"/>
    <w:tmpl w:val="47ACD4BA"/>
    <w:lvl w:ilvl="0" w:tentative="0">
      <w:start w:val="1"/>
      <w:numFmt w:val="decimal"/>
      <w:suff w:val="nothing"/>
      <w:lvlText w:val="（%1）"/>
      <w:lvlJc w:val="left"/>
      <w:pPr>
        <w:ind w:left="-270"/>
      </w:pPr>
    </w:lvl>
  </w:abstractNum>
  <w:abstractNum w:abstractNumId="11">
    <w:nsid w:val="71E94226"/>
    <w:multiLevelType w:val="multilevel"/>
    <w:tmpl w:val="71E94226"/>
    <w:lvl w:ilvl="0" w:tentative="0">
      <w:start w:val="1"/>
      <w:numFmt w:val="decimal"/>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7ABB52A2"/>
    <w:multiLevelType w:val="singleLevel"/>
    <w:tmpl w:val="7ABB52A2"/>
    <w:lvl w:ilvl="0" w:tentative="0">
      <w:start w:val="1"/>
      <w:numFmt w:val="decimal"/>
      <w:suff w:val="nothing"/>
      <w:lvlText w:val="%1、"/>
      <w:lvlJc w:val="left"/>
    </w:lvl>
  </w:abstractNum>
  <w:num w:numId="1">
    <w:abstractNumId w:val="12"/>
  </w:num>
  <w:num w:numId="2">
    <w:abstractNumId w:val="4"/>
  </w:num>
  <w:num w:numId="3">
    <w:abstractNumId w:val="6"/>
  </w:num>
  <w:num w:numId="4">
    <w:abstractNumId w:val="3"/>
  </w:num>
  <w:num w:numId="5">
    <w:abstractNumId w:val="1"/>
  </w:num>
  <w:num w:numId="6">
    <w:abstractNumId w:val="11"/>
  </w:num>
  <w:num w:numId="7">
    <w:abstractNumId w:val="7"/>
  </w:num>
  <w:num w:numId="8">
    <w:abstractNumId w:val="0"/>
  </w:num>
  <w:num w:numId="9">
    <w:abstractNumId w:val="8"/>
  </w:num>
  <w:num w:numId="10">
    <w:abstractNumId w:val="9"/>
  </w:num>
  <w:num w:numId="11">
    <w:abstractNumId w:val="5"/>
  </w:num>
  <w:num w:numId="12">
    <w:abstractNumId w:val="2"/>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mI1OTEzMGViMTM0ODA3YjI1ZmVmMjc5MmNhODhhZTMifQ=="/>
  </w:docVars>
  <w:rsids>
    <w:rsidRoot w:val="790E1E9F"/>
    <w:rsid w:val="00040B58"/>
    <w:rsid w:val="00092509"/>
    <w:rsid w:val="00140512"/>
    <w:rsid w:val="00180B14"/>
    <w:rsid w:val="0022181C"/>
    <w:rsid w:val="00272AD2"/>
    <w:rsid w:val="003752C8"/>
    <w:rsid w:val="0042111A"/>
    <w:rsid w:val="00442868"/>
    <w:rsid w:val="004F11C2"/>
    <w:rsid w:val="005079E3"/>
    <w:rsid w:val="00532FAB"/>
    <w:rsid w:val="00704773"/>
    <w:rsid w:val="007A51B4"/>
    <w:rsid w:val="00847DE1"/>
    <w:rsid w:val="00977B14"/>
    <w:rsid w:val="009D55A7"/>
    <w:rsid w:val="00A46D0A"/>
    <w:rsid w:val="00B50FDE"/>
    <w:rsid w:val="00D64AE1"/>
    <w:rsid w:val="00DE5743"/>
    <w:rsid w:val="00DE618D"/>
    <w:rsid w:val="00E54D24"/>
    <w:rsid w:val="00E66362"/>
    <w:rsid w:val="00E7034C"/>
    <w:rsid w:val="00EA6CFD"/>
    <w:rsid w:val="00F26011"/>
    <w:rsid w:val="00FF56BA"/>
    <w:rsid w:val="012810B4"/>
    <w:rsid w:val="013B0DE8"/>
    <w:rsid w:val="013B4944"/>
    <w:rsid w:val="01691756"/>
    <w:rsid w:val="01740E6F"/>
    <w:rsid w:val="01810F86"/>
    <w:rsid w:val="0183453D"/>
    <w:rsid w:val="01934BC3"/>
    <w:rsid w:val="019E4ED3"/>
    <w:rsid w:val="01AA6240"/>
    <w:rsid w:val="01D6466C"/>
    <w:rsid w:val="01FE04CB"/>
    <w:rsid w:val="020236B3"/>
    <w:rsid w:val="02114AB6"/>
    <w:rsid w:val="02144A36"/>
    <w:rsid w:val="02223D56"/>
    <w:rsid w:val="023575E5"/>
    <w:rsid w:val="023E6EF5"/>
    <w:rsid w:val="02571C51"/>
    <w:rsid w:val="0264627D"/>
    <w:rsid w:val="027A3AE6"/>
    <w:rsid w:val="027B51E5"/>
    <w:rsid w:val="028B3470"/>
    <w:rsid w:val="0295522A"/>
    <w:rsid w:val="029A33E1"/>
    <w:rsid w:val="02A055C6"/>
    <w:rsid w:val="02C24513"/>
    <w:rsid w:val="02D0730E"/>
    <w:rsid w:val="02D2030E"/>
    <w:rsid w:val="02DA1FA7"/>
    <w:rsid w:val="02E5311B"/>
    <w:rsid w:val="03261624"/>
    <w:rsid w:val="032D31BF"/>
    <w:rsid w:val="03321D76"/>
    <w:rsid w:val="033577FF"/>
    <w:rsid w:val="03394EB3"/>
    <w:rsid w:val="03433F84"/>
    <w:rsid w:val="03451AAA"/>
    <w:rsid w:val="035717DD"/>
    <w:rsid w:val="035E2B6B"/>
    <w:rsid w:val="036130ED"/>
    <w:rsid w:val="03767EB5"/>
    <w:rsid w:val="03855A35"/>
    <w:rsid w:val="03906A9D"/>
    <w:rsid w:val="03B534AE"/>
    <w:rsid w:val="03BE44B1"/>
    <w:rsid w:val="03E71369"/>
    <w:rsid w:val="03EA2651"/>
    <w:rsid w:val="04014D75"/>
    <w:rsid w:val="041A2F36"/>
    <w:rsid w:val="041D2A27"/>
    <w:rsid w:val="041D47D5"/>
    <w:rsid w:val="0428517E"/>
    <w:rsid w:val="042C4A18"/>
    <w:rsid w:val="043C2B7C"/>
    <w:rsid w:val="043F1ADA"/>
    <w:rsid w:val="0442248D"/>
    <w:rsid w:val="044269C4"/>
    <w:rsid w:val="0476259E"/>
    <w:rsid w:val="0478642B"/>
    <w:rsid w:val="04856EA9"/>
    <w:rsid w:val="049F51EA"/>
    <w:rsid w:val="04A11AE9"/>
    <w:rsid w:val="04A260F9"/>
    <w:rsid w:val="04C2553D"/>
    <w:rsid w:val="04E05EDB"/>
    <w:rsid w:val="04E452F2"/>
    <w:rsid w:val="04F27A0F"/>
    <w:rsid w:val="05013936"/>
    <w:rsid w:val="0505757F"/>
    <w:rsid w:val="05151950"/>
    <w:rsid w:val="051554AC"/>
    <w:rsid w:val="05237BC9"/>
    <w:rsid w:val="05276F07"/>
    <w:rsid w:val="05280002"/>
    <w:rsid w:val="052E656D"/>
    <w:rsid w:val="0539563E"/>
    <w:rsid w:val="053E6F16"/>
    <w:rsid w:val="05551283"/>
    <w:rsid w:val="055F6573"/>
    <w:rsid w:val="056703FD"/>
    <w:rsid w:val="05687CD1"/>
    <w:rsid w:val="0582047C"/>
    <w:rsid w:val="059B00A7"/>
    <w:rsid w:val="05AF463F"/>
    <w:rsid w:val="05B64EE1"/>
    <w:rsid w:val="05D347EA"/>
    <w:rsid w:val="05DD246D"/>
    <w:rsid w:val="05F77580"/>
    <w:rsid w:val="05FF020A"/>
    <w:rsid w:val="05FF5A7E"/>
    <w:rsid w:val="060379FA"/>
    <w:rsid w:val="06416AF5"/>
    <w:rsid w:val="064A4110"/>
    <w:rsid w:val="06587D46"/>
    <w:rsid w:val="065D7487"/>
    <w:rsid w:val="06782196"/>
    <w:rsid w:val="067F3525"/>
    <w:rsid w:val="069D39AB"/>
    <w:rsid w:val="06B4143D"/>
    <w:rsid w:val="06D32584"/>
    <w:rsid w:val="06DF3199"/>
    <w:rsid w:val="06F347DF"/>
    <w:rsid w:val="071501C9"/>
    <w:rsid w:val="071C5217"/>
    <w:rsid w:val="071D5E3B"/>
    <w:rsid w:val="07396532"/>
    <w:rsid w:val="074F7D1F"/>
    <w:rsid w:val="0781151E"/>
    <w:rsid w:val="07852DBD"/>
    <w:rsid w:val="078B414B"/>
    <w:rsid w:val="079052BE"/>
    <w:rsid w:val="079E3E7E"/>
    <w:rsid w:val="079E5C2C"/>
    <w:rsid w:val="07B80FF1"/>
    <w:rsid w:val="07BA6793"/>
    <w:rsid w:val="07E17384"/>
    <w:rsid w:val="08156C5F"/>
    <w:rsid w:val="081F5D77"/>
    <w:rsid w:val="083420ED"/>
    <w:rsid w:val="083C2BF1"/>
    <w:rsid w:val="085E13BB"/>
    <w:rsid w:val="087766B5"/>
    <w:rsid w:val="08950D28"/>
    <w:rsid w:val="08B84ACC"/>
    <w:rsid w:val="08C72A13"/>
    <w:rsid w:val="08C903EA"/>
    <w:rsid w:val="09203EB9"/>
    <w:rsid w:val="0945511E"/>
    <w:rsid w:val="0946032A"/>
    <w:rsid w:val="09491BC8"/>
    <w:rsid w:val="09531A76"/>
    <w:rsid w:val="096864F2"/>
    <w:rsid w:val="099E3B3F"/>
    <w:rsid w:val="09A83C09"/>
    <w:rsid w:val="09E37D9F"/>
    <w:rsid w:val="09E813E1"/>
    <w:rsid w:val="09F57BAF"/>
    <w:rsid w:val="0A0629B5"/>
    <w:rsid w:val="0A0C1573"/>
    <w:rsid w:val="0A157CFC"/>
    <w:rsid w:val="0A161F3D"/>
    <w:rsid w:val="0A2048A8"/>
    <w:rsid w:val="0A3A1614"/>
    <w:rsid w:val="0A43167D"/>
    <w:rsid w:val="0A5C7B97"/>
    <w:rsid w:val="0A6505D0"/>
    <w:rsid w:val="0A943665"/>
    <w:rsid w:val="0A9926DB"/>
    <w:rsid w:val="0AA02C31"/>
    <w:rsid w:val="0AC01333"/>
    <w:rsid w:val="0ADB7197"/>
    <w:rsid w:val="0ADD6A6C"/>
    <w:rsid w:val="0AE41BA8"/>
    <w:rsid w:val="0B0F299D"/>
    <w:rsid w:val="0B3A5E52"/>
    <w:rsid w:val="0B48482D"/>
    <w:rsid w:val="0B642CE9"/>
    <w:rsid w:val="0B660F2D"/>
    <w:rsid w:val="0B7C6285"/>
    <w:rsid w:val="0B8B3E9D"/>
    <w:rsid w:val="0B9B6FB8"/>
    <w:rsid w:val="0B9F01C5"/>
    <w:rsid w:val="0BE21F59"/>
    <w:rsid w:val="0BEE3256"/>
    <w:rsid w:val="0BF70001"/>
    <w:rsid w:val="0C012733"/>
    <w:rsid w:val="0C0B13B7"/>
    <w:rsid w:val="0C116D7F"/>
    <w:rsid w:val="0C1F4E62"/>
    <w:rsid w:val="0C235653"/>
    <w:rsid w:val="0C353733"/>
    <w:rsid w:val="0C3725CC"/>
    <w:rsid w:val="0C427566"/>
    <w:rsid w:val="0C5425F5"/>
    <w:rsid w:val="0C577FD0"/>
    <w:rsid w:val="0C790A16"/>
    <w:rsid w:val="0C821421"/>
    <w:rsid w:val="0C833102"/>
    <w:rsid w:val="0C9A31E7"/>
    <w:rsid w:val="0CAA0BCF"/>
    <w:rsid w:val="0CAC577B"/>
    <w:rsid w:val="0CAF23E1"/>
    <w:rsid w:val="0CEA5470"/>
    <w:rsid w:val="0D156991"/>
    <w:rsid w:val="0D1A0E57"/>
    <w:rsid w:val="0D531267"/>
    <w:rsid w:val="0D55117F"/>
    <w:rsid w:val="0D5708A4"/>
    <w:rsid w:val="0D701E19"/>
    <w:rsid w:val="0D7F205C"/>
    <w:rsid w:val="0D8B0A01"/>
    <w:rsid w:val="0D9E19B3"/>
    <w:rsid w:val="0DB00467"/>
    <w:rsid w:val="0DB0769E"/>
    <w:rsid w:val="0DB724D3"/>
    <w:rsid w:val="0DBE57A2"/>
    <w:rsid w:val="0DDC3D14"/>
    <w:rsid w:val="0DF224B0"/>
    <w:rsid w:val="0E0367E9"/>
    <w:rsid w:val="0E1409F6"/>
    <w:rsid w:val="0E682384"/>
    <w:rsid w:val="0E790F14"/>
    <w:rsid w:val="0E87741A"/>
    <w:rsid w:val="0E9658AF"/>
    <w:rsid w:val="0EB654B0"/>
    <w:rsid w:val="0EB80E42"/>
    <w:rsid w:val="0F0D45F7"/>
    <w:rsid w:val="0F110AE2"/>
    <w:rsid w:val="0F36029A"/>
    <w:rsid w:val="0F501F5F"/>
    <w:rsid w:val="0F5F5CA1"/>
    <w:rsid w:val="0F76307C"/>
    <w:rsid w:val="0F963D6C"/>
    <w:rsid w:val="0F977B31"/>
    <w:rsid w:val="0F9A317D"/>
    <w:rsid w:val="0F9D2C6D"/>
    <w:rsid w:val="0FA425D2"/>
    <w:rsid w:val="0FA525B6"/>
    <w:rsid w:val="0FA638D0"/>
    <w:rsid w:val="0FAB4409"/>
    <w:rsid w:val="0FB53557"/>
    <w:rsid w:val="0FB53958"/>
    <w:rsid w:val="0FBA3368"/>
    <w:rsid w:val="0FBD1CE9"/>
    <w:rsid w:val="0FC46364"/>
    <w:rsid w:val="0FCB77DB"/>
    <w:rsid w:val="0FEB39D9"/>
    <w:rsid w:val="1010343F"/>
    <w:rsid w:val="10125409"/>
    <w:rsid w:val="10507EB4"/>
    <w:rsid w:val="108160EB"/>
    <w:rsid w:val="1095577B"/>
    <w:rsid w:val="109F286E"/>
    <w:rsid w:val="10A122E9"/>
    <w:rsid w:val="111331E7"/>
    <w:rsid w:val="111753C0"/>
    <w:rsid w:val="1131366D"/>
    <w:rsid w:val="114C66F9"/>
    <w:rsid w:val="11665A0D"/>
    <w:rsid w:val="116A6B7F"/>
    <w:rsid w:val="117A6707"/>
    <w:rsid w:val="11AD363C"/>
    <w:rsid w:val="11C13F58"/>
    <w:rsid w:val="11C664AC"/>
    <w:rsid w:val="11D538B0"/>
    <w:rsid w:val="11DA3D05"/>
    <w:rsid w:val="11E84674"/>
    <w:rsid w:val="11E903EC"/>
    <w:rsid w:val="11FA7885"/>
    <w:rsid w:val="1202500A"/>
    <w:rsid w:val="121F2D08"/>
    <w:rsid w:val="122136E2"/>
    <w:rsid w:val="122A0630"/>
    <w:rsid w:val="12314A83"/>
    <w:rsid w:val="12434DD7"/>
    <w:rsid w:val="124675EC"/>
    <w:rsid w:val="124A35D5"/>
    <w:rsid w:val="1250214B"/>
    <w:rsid w:val="12574C83"/>
    <w:rsid w:val="12744159"/>
    <w:rsid w:val="129211F3"/>
    <w:rsid w:val="129506F7"/>
    <w:rsid w:val="129F060D"/>
    <w:rsid w:val="12A241A3"/>
    <w:rsid w:val="12B502CE"/>
    <w:rsid w:val="12B5154F"/>
    <w:rsid w:val="12BB76A9"/>
    <w:rsid w:val="12BD67FA"/>
    <w:rsid w:val="12D31411"/>
    <w:rsid w:val="130A0A84"/>
    <w:rsid w:val="131D3266"/>
    <w:rsid w:val="13207980"/>
    <w:rsid w:val="13434291"/>
    <w:rsid w:val="13855EF2"/>
    <w:rsid w:val="13960100"/>
    <w:rsid w:val="13A0295A"/>
    <w:rsid w:val="13C02C80"/>
    <w:rsid w:val="13C0517C"/>
    <w:rsid w:val="13D10C5C"/>
    <w:rsid w:val="13DD7ADC"/>
    <w:rsid w:val="13FD6689"/>
    <w:rsid w:val="140E5EE8"/>
    <w:rsid w:val="1412542D"/>
    <w:rsid w:val="141A2ADF"/>
    <w:rsid w:val="14294AD0"/>
    <w:rsid w:val="142964F1"/>
    <w:rsid w:val="144468C2"/>
    <w:rsid w:val="14535FF1"/>
    <w:rsid w:val="14691370"/>
    <w:rsid w:val="14733869"/>
    <w:rsid w:val="14A34882"/>
    <w:rsid w:val="14B24AC5"/>
    <w:rsid w:val="14CE4C6C"/>
    <w:rsid w:val="14E530ED"/>
    <w:rsid w:val="14EA24B1"/>
    <w:rsid w:val="14ED7E6C"/>
    <w:rsid w:val="14F111B3"/>
    <w:rsid w:val="15155054"/>
    <w:rsid w:val="15203B5E"/>
    <w:rsid w:val="152139F9"/>
    <w:rsid w:val="1527555B"/>
    <w:rsid w:val="15602773"/>
    <w:rsid w:val="158346B4"/>
    <w:rsid w:val="15A83D5C"/>
    <w:rsid w:val="15B65746"/>
    <w:rsid w:val="15BB2A37"/>
    <w:rsid w:val="15E769F0"/>
    <w:rsid w:val="15E92D38"/>
    <w:rsid w:val="15F1786F"/>
    <w:rsid w:val="15F232AA"/>
    <w:rsid w:val="15F5383B"/>
    <w:rsid w:val="15FF01DE"/>
    <w:rsid w:val="160C3B6A"/>
    <w:rsid w:val="160F4043"/>
    <w:rsid w:val="16157A01"/>
    <w:rsid w:val="1626576B"/>
    <w:rsid w:val="162F5CA0"/>
    <w:rsid w:val="163A0CC8"/>
    <w:rsid w:val="16466544"/>
    <w:rsid w:val="164A384D"/>
    <w:rsid w:val="16504596"/>
    <w:rsid w:val="1651271D"/>
    <w:rsid w:val="16513DF5"/>
    <w:rsid w:val="16526560"/>
    <w:rsid w:val="16824D24"/>
    <w:rsid w:val="16881F81"/>
    <w:rsid w:val="16893F4C"/>
    <w:rsid w:val="16984502"/>
    <w:rsid w:val="16A82CF0"/>
    <w:rsid w:val="16B1079F"/>
    <w:rsid w:val="16D72F09"/>
    <w:rsid w:val="16DF3B6C"/>
    <w:rsid w:val="1706559C"/>
    <w:rsid w:val="1726655E"/>
    <w:rsid w:val="1761165C"/>
    <w:rsid w:val="17726473"/>
    <w:rsid w:val="177928F2"/>
    <w:rsid w:val="17825F07"/>
    <w:rsid w:val="179130B8"/>
    <w:rsid w:val="179C0A16"/>
    <w:rsid w:val="179D18F1"/>
    <w:rsid w:val="17AC3E1E"/>
    <w:rsid w:val="17BA0FAE"/>
    <w:rsid w:val="17C30206"/>
    <w:rsid w:val="17D51F93"/>
    <w:rsid w:val="17DF721D"/>
    <w:rsid w:val="17E51656"/>
    <w:rsid w:val="17EC6540"/>
    <w:rsid w:val="18062DF3"/>
    <w:rsid w:val="180E0186"/>
    <w:rsid w:val="180E64B6"/>
    <w:rsid w:val="181810E3"/>
    <w:rsid w:val="181B0BD3"/>
    <w:rsid w:val="184400AB"/>
    <w:rsid w:val="18446958"/>
    <w:rsid w:val="18470AF1"/>
    <w:rsid w:val="18583BD5"/>
    <w:rsid w:val="185C5B9E"/>
    <w:rsid w:val="18673E19"/>
    <w:rsid w:val="188726CB"/>
    <w:rsid w:val="188B3FAB"/>
    <w:rsid w:val="18B6097C"/>
    <w:rsid w:val="18BB0285"/>
    <w:rsid w:val="18D314AE"/>
    <w:rsid w:val="18ED080F"/>
    <w:rsid w:val="191007D2"/>
    <w:rsid w:val="191616EB"/>
    <w:rsid w:val="19173A91"/>
    <w:rsid w:val="192F728A"/>
    <w:rsid w:val="19441FDC"/>
    <w:rsid w:val="197A4670"/>
    <w:rsid w:val="198E7863"/>
    <w:rsid w:val="199724DC"/>
    <w:rsid w:val="19C53CB5"/>
    <w:rsid w:val="19D25C56"/>
    <w:rsid w:val="19D270A1"/>
    <w:rsid w:val="19D503C2"/>
    <w:rsid w:val="19DC38F9"/>
    <w:rsid w:val="19E35BF1"/>
    <w:rsid w:val="19F17631"/>
    <w:rsid w:val="19F65454"/>
    <w:rsid w:val="1A277D03"/>
    <w:rsid w:val="1A2C70C8"/>
    <w:rsid w:val="1A333611"/>
    <w:rsid w:val="1A3B5428"/>
    <w:rsid w:val="1A432FA7"/>
    <w:rsid w:val="1A450189"/>
    <w:rsid w:val="1A5775BE"/>
    <w:rsid w:val="1A9F6972"/>
    <w:rsid w:val="1AA43102"/>
    <w:rsid w:val="1AA55149"/>
    <w:rsid w:val="1AAA22B0"/>
    <w:rsid w:val="1AFC7CCE"/>
    <w:rsid w:val="1B6F7443"/>
    <w:rsid w:val="1B7E124F"/>
    <w:rsid w:val="1B85318D"/>
    <w:rsid w:val="1B891E70"/>
    <w:rsid w:val="1BA5434E"/>
    <w:rsid w:val="1BCA303C"/>
    <w:rsid w:val="1BCF0653"/>
    <w:rsid w:val="1BFA3188"/>
    <w:rsid w:val="1C084989"/>
    <w:rsid w:val="1C167858"/>
    <w:rsid w:val="1C1E0C92"/>
    <w:rsid w:val="1C27610B"/>
    <w:rsid w:val="1C3D380E"/>
    <w:rsid w:val="1C5446B4"/>
    <w:rsid w:val="1CA0088A"/>
    <w:rsid w:val="1CA62335"/>
    <w:rsid w:val="1CAB69CA"/>
    <w:rsid w:val="1CB235CD"/>
    <w:rsid w:val="1CBE2A37"/>
    <w:rsid w:val="1CBF06C7"/>
    <w:rsid w:val="1CC96E50"/>
    <w:rsid w:val="1CCA79C4"/>
    <w:rsid w:val="1CCB0E1A"/>
    <w:rsid w:val="1CE343B6"/>
    <w:rsid w:val="1CF3211F"/>
    <w:rsid w:val="1CFB38E0"/>
    <w:rsid w:val="1CFE0D30"/>
    <w:rsid w:val="1D0B0DCA"/>
    <w:rsid w:val="1D126A49"/>
    <w:rsid w:val="1D2247B2"/>
    <w:rsid w:val="1D300C7D"/>
    <w:rsid w:val="1D4666F2"/>
    <w:rsid w:val="1D5C5F16"/>
    <w:rsid w:val="1D7417D3"/>
    <w:rsid w:val="1D87456E"/>
    <w:rsid w:val="1DA1112F"/>
    <w:rsid w:val="1DAF24EA"/>
    <w:rsid w:val="1DB95116"/>
    <w:rsid w:val="1DC6065A"/>
    <w:rsid w:val="1DCA7323"/>
    <w:rsid w:val="1DDF7C04"/>
    <w:rsid w:val="1DE52A44"/>
    <w:rsid w:val="1DE55F0B"/>
    <w:rsid w:val="1DF265C8"/>
    <w:rsid w:val="1E1F7EEC"/>
    <w:rsid w:val="1E3E6409"/>
    <w:rsid w:val="1E480248"/>
    <w:rsid w:val="1E4F7FC1"/>
    <w:rsid w:val="1E536208"/>
    <w:rsid w:val="1E562965"/>
    <w:rsid w:val="1E573647"/>
    <w:rsid w:val="1E8079E2"/>
    <w:rsid w:val="1E8A260F"/>
    <w:rsid w:val="1E8B078C"/>
    <w:rsid w:val="1E937AFC"/>
    <w:rsid w:val="1EA5569B"/>
    <w:rsid w:val="1EAC07D7"/>
    <w:rsid w:val="1EBD29E4"/>
    <w:rsid w:val="1ECF2647"/>
    <w:rsid w:val="1EDC571E"/>
    <w:rsid w:val="1EE12B77"/>
    <w:rsid w:val="1EFE632E"/>
    <w:rsid w:val="1F061F30"/>
    <w:rsid w:val="1F095C2A"/>
    <w:rsid w:val="1F1015F8"/>
    <w:rsid w:val="1F274302"/>
    <w:rsid w:val="1F3C3740"/>
    <w:rsid w:val="1F4B7FF0"/>
    <w:rsid w:val="1F6410B2"/>
    <w:rsid w:val="1F666BD8"/>
    <w:rsid w:val="1F9951FF"/>
    <w:rsid w:val="1F9F5C8E"/>
    <w:rsid w:val="1FA461AA"/>
    <w:rsid w:val="1FDE2BEB"/>
    <w:rsid w:val="1FED5158"/>
    <w:rsid w:val="1FF40688"/>
    <w:rsid w:val="20163E43"/>
    <w:rsid w:val="202662F2"/>
    <w:rsid w:val="202A40A9"/>
    <w:rsid w:val="20303E66"/>
    <w:rsid w:val="20452C91"/>
    <w:rsid w:val="204835C8"/>
    <w:rsid w:val="205904EB"/>
    <w:rsid w:val="205F6F15"/>
    <w:rsid w:val="206765A7"/>
    <w:rsid w:val="20885230"/>
    <w:rsid w:val="20987265"/>
    <w:rsid w:val="209A3CD2"/>
    <w:rsid w:val="20AA6925"/>
    <w:rsid w:val="20B56069"/>
    <w:rsid w:val="20B802FC"/>
    <w:rsid w:val="20C32174"/>
    <w:rsid w:val="20C52024"/>
    <w:rsid w:val="20F75857"/>
    <w:rsid w:val="211C51E4"/>
    <w:rsid w:val="21303941"/>
    <w:rsid w:val="2157480F"/>
    <w:rsid w:val="215A6C10"/>
    <w:rsid w:val="215C6A28"/>
    <w:rsid w:val="217353BD"/>
    <w:rsid w:val="217A696B"/>
    <w:rsid w:val="218B79F8"/>
    <w:rsid w:val="21B26104"/>
    <w:rsid w:val="21BF0821"/>
    <w:rsid w:val="21D625E8"/>
    <w:rsid w:val="21DC13D3"/>
    <w:rsid w:val="21EE743D"/>
    <w:rsid w:val="21EF60F0"/>
    <w:rsid w:val="21F4671D"/>
    <w:rsid w:val="220855EF"/>
    <w:rsid w:val="220E0FD7"/>
    <w:rsid w:val="221D2199"/>
    <w:rsid w:val="221E379A"/>
    <w:rsid w:val="22205FE0"/>
    <w:rsid w:val="2265761B"/>
    <w:rsid w:val="228757E3"/>
    <w:rsid w:val="2298179E"/>
    <w:rsid w:val="229A7C7F"/>
    <w:rsid w:val="22B660C8"/>
    <w:rsid w:val="22BE64C7"/>
    <w:rsid w:val="22DB78DD"/>
    <w:rsid w:val="22EF5453"/>
    <w:rsid w:val="231D427D"/>
    <w:rsid w:val="232133B2"/>
    <w:rsid w:val="23314077"/>
    <w:rsid w:val="23437A88"/>
    <w:rsid w:val="2351194D"/>
    <w:rsid w:val="23696C97"/>
    <w:rsid w:val="238B43B7"/>
    <w:rsid w:val="23AB6501"/>
    <w:rsid w:val="23AE6D9F"/>
    <w:rsid w:val="23C860B3"/>
    <w:rsid w:val="23DE7685"/>
    <w:rsid w:val="23ED6185"/>
    <w:rsid w:val="241B110D"/>
    <w:rsid w:val="241D4741"/>
    <w:rsid w:val="24373239"/>
    <w:rsid w:val="244E34B1"/>
    <w:rsid w:val="24651B54"/>
    <w:rsid w:val="24693AC6"/>
    <w:rsid w:val="24760A6A"/>
    <w:rsid w:val="247D6D03"/>
    <w:rsid w:val="248E3007"/>
    <w:rsid w:val="249064A5"/>
    <w:rsid w:val="24B976DF"/>
    <w:rsid w:val="24E32A79"/>
    <w:rsid w:val="24EA3D79"/>
    <w:rsid w:val="24F84776"/>
    <w:rsid w:val="252E799A"/>
    <w:rsid w:val="253F05F7"/>
    <w:rsid w:val="25551BC9"/>
    <w:rsid w:val="25585A84"/>
    <w:rsid w:val="255D6CCF"/>
    <w:rsid w:val="25711C6D"/>
    <w:rsid w:val="257F6C45"/>
    <w:rsid w:val="2587082F"/>
    <w:rsid w:val="25B407F1"/>
    <w:rsid w:val="25D71021"/>
    <w:rsid w:val="25DF1FAF"/>
    <w:rsid w:val="25E44CFA"/>
    <w:rsid w:val="25FD7B6A"/>
    <w:rsid w:val="261B3F35"/>
    <w:rsid w:val="263E08AF"/>
    <w:rsid w:val="266D4CF0"/>
    <w:rsid w:val="26801AA8"/>
    <w:rsid w:val="268C786C"/>
    <w:rsid w:val="26924756"/>
    <w:rsid w:val="269B7FE4"/>
    <w:rsid w:val="26B23E49"/>
    <w:rsid w:val="26BF01D9"/>
    <w:rsid w:val="26CD1869"/>
    <w:rsid w:val="26CF7759"/>
    <w:rsid w:val="26E34FB2"/>
    <w:rsid w:val="26E50D2A"/>
    <w:rsid w:val="26F46D9E"/>
    <w:rsid w:val="27064377"/>
    <w:rsid w:val="27247AA4"/>
    <w:rsid w:val="274375D4"/>
    <w:rsid w:val="27481795"/>
    <w:rsid w:val="275C2176"/>
    <w:rsid w:val="275F6D2E"/>
    <w:rsid w:val="27610BA0"/>
    <w:rsid w:val="276948A4"/>
    <w:rsid w:val="27983C91"/>
    <w:rsid w:val="279B3EA8"/>
    <w:rsid w:val="27A91D58"/>
    <w:rsid w:val="27AB594A"/>
    <w:rsid w:val="27B02F57"/>
    <w:rsid w:val="27D119DB"/>
    <w:rsid w:val="27DA61C4"/>
    <w:rsid w:val="27E71F60"/>
    <w:rsid w:val="281C077C"/>
    <w:rsid w:val="284049FF"/>
    <w:rsid w:val="28422863"/>
    <w:rsid w:val="28427CBE"/>
    <w:rsid w:val="28641ED9"/>
    <w:rsid w:val="28654AE0"/>
    <w:rsid w:val="286D547B"/>
    <w:rsid w:val="287051D9"/>
    <w:rsid w:val="287700A8"/>
    <w:rsid w:val="288075B0"/>
    <w:rsid w:val="288874B8"/>
    <w:rsid w:val="289F315B"/>
    <w:rsid w:val="28B9246E"/>
    <w:rsid w:val="28BF3AB9"/>
    <w:rsid w:val="28CB21A2"/>
    <w:rsid w:val="28D70F5B"/>
    <w:rsid w:val="28E674A7"/>
    <w:rsid w:val="28E950A9"/>
    <w:rsid w:val="28F04484"/>
    <w:rsid w:val="28F33BD2"/>
    <w:rsid w:val="28F37A9E"/>
    <w:rsid w:val="28F87F8F"/>
    <w:rsid w:val="28F9286B"/>
    <w:rsid w:val="29160FCE"/>
    <w:rsid w:val="2953641F"/>
    <w:rsid w:val="295B3526"/>
    <w:rsid w:val="296A19BB"/>
    <w:rsid w:val="296D5007"/>
    <w:rsid w:val="29710E42"/>
    <w:rsid w:val="298D02AE"/>
    <w:rsid w:val="298E7457"/>
    <w:rsid w:val="299912AB"/>
    <w:rsid w:val="29B54AD8"/>
    <w:rsid w:val="29CC1912"/>
    <w:rsid w:val="29D07A70"/>
    <w:rsid w:val="29DB6414"/>
    <w:rsid w:val="29E13956"/>
    <w:rsid w:val="29E65B3B"/>
    <w:rsid w:val="29E67293"/>
    <w:rsid w:val="2A1325E4"/>
    <w:rsid w:val="2A1536D4"/>
    <w:rsid w:val="2A3600E6"/>
    <w:rsid w:val="2A504EBC"/>
    <w:rsid w:val="2A64640A"/>
    <w:rsid w:val="2A6F0BE2"/>
    <w:rsid w:val="2A7F4FF2"/>
    <w:rsid w:val="2AA3130F"/>
    <w:rsid w:val="2AB14EA5"/>
    <w:rsid w:val="2AB56C65"/>
    <w:rsid w:val="2AC77010"/>
    <w:rsid w:val="2ACD5DC2"/>
    <w:rsid w:val="2ADA1C68"/>
    <w:rsid w:val="2AED28A3"/>
    <w:rsid w:val="2AF6306C"/>
    <w:rsid w:val="2AFD1F49"/>
    <w:rsid w:val="2B1971F4"/>
    <w:rsid w:val="2B21615F"/>
    <w:rsid w:val="2B242C3C"/>
    <w:rsid w:val="2B2838DB"/>
    <w:rsid w:val="2B3F5197"/>
    <w:rsid w:val="2B7A20C8"/>
    <w:rsid w:val="2B8054C5"/>
    <w:rsid w:val="2B8E7BE2"/>
    <w:rsid w:val="2B8F74B6"/>
    <w:rsid w:val="2B9B5042"/>
    <w:rsid w:val="2BB17593"/>
    <w:rsid w:val="2BD92684"/>
    <w:rsid w:val="2BE303D8"/>
    <w:rsid w:val="2BE772F2"/>
    <w:rsid w:val="2C3F712F"/>
    <w:rsid w:val="2C4B4A59"/>
    <w:rsid w:val="2C4C0810"/>
    <w:rsid w:val="2C4D6037"/>
    <w:rsid w:val="2C746CD2"/>
    <w:rsid w:val="2C8025B9"/>
    <w:rsid w:val="2C8D0668"/>
    <w:rsid w:val="2CB35427"/>
    <w:rsid w:val="2CB52F4D"/>
    <w:rsid w:val="2CBF1C01"/>
    <w:rsid w:val="2CCD1E63"/>
    <w:rsid w:val="2D03015C"/>
    <w:rsid w:val="2D4C4D2E"/>
    <w:rsid w:val="2D5C786C"/>
    <w:rsid w:val="2D623596"/>
    <w:rsid w:val="2D6329A9"/>
    <w:rsid w:val="2D635F72"/>
    <w:rsid w:val="2D654973"/>
    <w:rsid w:val="2D782EE2"/>
    <w:rsid w:val="2D7C3A6A"/>
    <w:rsid w:val="2D864137"/>
    <w:rsid w:val="2D872B3B"/>
    <w:rsid w:val="2DA01E4F"/>
    <w:rsid w:val="2DBD47AF"/>
    <w:rsid w:val="2DF7019E"/>
    <w:rsid w:val="2E1462E6"/>
    <w:rsid w:val="2E2808AD"/>
    <w:rsid w:val="2E29629D"/>
    <w:rsid w:val="2E3305CD"/>
    <w:rsid w:val="2E4518B4"/>
    <w:rsid w:val="2E505623"/>
    <w:rsid w:val="2E5A3DAC"/>
    <w:rsid w:val="2E5C1E8A"/>
    <w:rsid w:val="2E894691"/>
    <w:rsid w:val="2EBE0773"/>
    <w:rsid w:val="2EC1207D"/>
    <w:rsid w:val="2EE87609"/>
    <w:rsid w:val="2EED492D"/>
    <w:rsid w:val="2EF81B7B"/>
    <w:rsid w:val="2EFE2D30"/>
    <w:rsid w:val="2F207D73"/>
    <w:rsid w:val="2F210D6D"/>
    <w:rsid w:val="2F326AD7"/>
    <w:rsid w:val="2F364819"/>
    <w:rsid w:val="2F4341ED"/>
    <w:rsid w:val="2F522CD5"/>
    <w:rsid w:val="2F6963F3"/>
    <w:rsid w:val="2F6D5D61"/>
    <w:rsid w:val="2F6E5EE1"/>
    <w:rsid w:val="2F9B28CE"/>
    <w:rsid w:val="2FA63021"/>
    <w:rsid w:val="2FB219C5"/>
    <w:rsid w:val="2FE42A5E"/>
    <w:rsid w:val="2FE60F34"/>
    <w:rsid w:val="2FE93BCB"/>
    <w:rsid w:val="300246FB"/>
    <w:rsid w:val="3008185A"/>
    <w:rsid w:val="303E3C11"/>
    <w:rsid w:val="30607673"/>
    <w:rsid w:val="30633FB6"/>
    <w:rsid w:val="306925E3"/>
    <w:rsid w:val="307B1978"/>
    <w:rsid w:val="308005E8"/>
    <w:rsid w:val="30BF3057"/>
    <w:rsid w:val="30C61BCC"/>
    <w:rsid w:val="30C62424"/>
    <w:rsid w:val="30C96FC7"/>
    <w:rsid w:val="30D74727"/>
    <w:rsid w:val="30E80B48"/>
    <w:rsid w:val="30F46739"/>
    <w:rsid w:val="30F8425E"/>
    <w:rsid w:val="3106436D"/>
    <w:rsid w:val="3106646D"/>
    <w:rsid w:val="311409A3"/>
    <w:rsid w:val="311F6719"/>
    <w:rsid w:val="31232B7B"/>
    <w:rsid w:val="312B5ED3"/>
    <w:rsid w:val="312F769E"/>
    <w:rsid w:val="313B4368"/>
    <w:rsid w:val="31661C67"/>
    <w:rsid w:val="31696DE6"/>
    <w:rsid w:val="317540B6"/>
    <w:rsid w:val="31773D8F"/>
    <w:rsid w:val="31C06A7C"/>
    <w:rsid w:val="31C324F9"/>
    <w:rsid w:val="31E00A6C"/>
    <w:rsid w:val="31EC5663"/>
    <w:rsid w:val="31F47DEC"/>
    <w:rsid w:val="320D646B"/>
    <w:rsid w:val="321921D0"/>
    <w:rsid w:val="327644AD"/>
    <w:rsid w:val="329D070B"/>
    <w:rsid w:val="32A0644D"/>
    <w:rsid w:val="32BE5531"/>
    <w:rsid w:val="32C959A4"/>
    <w:rsid w:val="32CC7242"/>
    <w:rsid w:val="32E60304"/>
    <w:rsid w:val="33096E5B"/>
    <w:rsid w:val="332930F1"/>
    <w:rsid w:val="33410490"/>
    <w:rsid w:val="33466FF4"/>
    <w:rsid w:val="334F2EE3"/>
    <w:rsid w:val="336B153C"/>
    <w:rsid w:val="33A919B7"/>
    <w:rsid w:val="33CF0D98"/>
    <w:rsid w:val="33EA2A93"/>
    <w:rsid w:val="341B5D8B"/>
    <w:rsid w:val="3421695E"/>
    <w:rsid w:val="342854F1"/>
    <w:rsid w:val="343A7B15"/>
    <w:rsid w:val="344C4197"/>
    <w:rsid w:val="346076B1"/>
    <w:rsid w:val="34781430"/>
    <w:rsid w:val="349978F3"/>
    <w:rsid w:val="34C77CC1"/>
    <w:rsid w:val="34E42621"/>
    <w:rsid w:val="34FE03F1"/>
    <w:rsid w:val="3516790C"/>
    <w:rsid w:val="351C1540"/>
    <w:rsid w:val="352275ED"/>
    <w:rsid w:val="35281F14"/>
    <w:rsid w:val="352944D8"/>
    <w:rsid w:val="352D00FD"/>
    <w:rsid w:val="35441312"/>
    <w:rsid w:val="3574263E"/>
    <w:rsid w:val="358E07DF"/>
    <w:rsid w:val="359C2EFC"/>
    <w:rsid w:val="35A973C7"/>
    <w:rsid w:val="35CD24EF"/>
    <w:rsid w:val="35E30F15"/>
    <w:rsid w:val="35ED2F28"/>
    <w:rsid w:val="35F03248"/>
    <w:rsid w:val="36175839"/>
    <w:rsid w:val="361A779D"/>
    <w:rsid w:val="36301896"/>
    <w:rsid w:val="365615FC"/>
    <w:rsid w:val="36631C6B"/>
    <w:rsid w:val="367125DA"/>
    <w:rsid w:val="367B0D63"/>
    <w:rsid w:val="367C6504"/>
    <w:rsid w:val="368D6CE8"/>
    <w:rsid w:val="36A53A43"/>
    <w:rsid w:val="36CC4181"/>
    <w:rsid w:val="36DD1A1E"/>
    <w:rsid w:val="36DD5106"/>
    <w:rsid w:val="36E737C1"/>
    <w:rsid w:val="36EF7DCC"/>
    <w:rsid w:val="37217A3A"/>
    <w:rsid w:val="37476E97"/>
    <w:rsid w:val="37733D9D"/>
    <w:rsid w:val="377C7D3E"/>
    <w:rsid w:val="37854A3D"/>
    <w:rsid w:val="378D51F2"/>
    <w:rsid w:val="37D174C2"/>
    <w:rsid w:val="37DD6D4B"/>
    <w:rsid w:val="37E64902"/>
    <w:rsid w:val="37F54B45"/>
    <w:rsid w:val="385775AE"/>
    <w:rsid w:val="38614E39"/>
    <w:rsid w:val="386F66A6"/>
    <w:rsid w:val="388044C8"/>
    <w:rsid w:val="38A65E3F"/>
    <w:rsid w:val="38B63734"/>
    <w:rsid w:val="38C073F1"/>
    <w:rsid w:val="38C537E4"/>
    <w:rsid w:val="38CA5FD2"/>
    <w:rsid w:val="38D9069A"/>
    <w:rsid w:val="38FA6AC4"/>
    <w:rsid w:val="390A4620"/>
    <w:rsid w:val="390F1C37"/>
    <w:rsid w:val="397A79F8"/>
    <w:rsid w:val="398048E2"/>
    <w:rsid w:val="398B4221"/>
    <w:rsid w:val="398E6FFF"/>
    <w:rsid w:val="398F6ADC"/>
    <w:rsid w:val="399A1E48"/>
    <w:rsid w:val="39AD4FF4"/>
    <w:rsid w:val="39EC451F"/>
    <w:rsid w:val="3A1A4D37"/>
    <w:rsid w:val="3A267238"/>
    <w:rsid w:val="3A410516"/>
    <w:rsid w:val="3A5257CB"/>
    <w:rsid w:val="3A60406F"/>
    <w:rsid w:val="3A614E02"/>
    <w:rsid w:val="3A962949"/>
    <w:rsid w:val="3A964CA2"/>
    <w:rsid w:val="3A9746CD"/>
    <w:rsid w:val="3AA91F1E"/>
    <w:rsid w:val="3AB22765"/>
    <w:rsid w:val="3AB42BE8"/>
    <w:rsid w:val="3AC23405"/>
    <w:rsid w:val="3ADD6A3A"/>
    <w:rsid w:val="3ADD708C"/>
    <w:rsid w:val="3AF96667"/>
    <w:rsid w:val="3AFA0DF0"/>
    <w:rsid w:val="3AFE1F54"/>
    <w:rsid w:val="3B2671BD"/>
    <w:rsid w:val="3B3B31B7"/>
    <w:rsid w:val="3B626996"/>
    <w:rsid w:val="3B662E8D"/>
    <w:rsid w:val="3B836161"/>
    <w:rsid w:val="3B903503"/>
    <w:rsid w:val="3B9350CC"/>
    <w:rsid w:val="3B977713"/>
    <w:rsid w:val="3BA34BB8"/>
    <w:rsid w:val="3BA73D0D"/>
    <w:rsid w:val="3BBB1CFC"/>
    <w:rsid w:val="3BD258C9"/>
    <w:rsid w:val="3BDC22A4"/>
    <w:rsid w:val="3BF35840"/>
    <w:rsid w:val="3BFA4E20"/>
    <w:rsid w:val="3C204CE4"/>
    <w:rsid w:val="3C360C30"/>
    <w:rsid w:val="3C504606"/>
    <w:rsid w:val="3C67757D"/>
    <w:rsid w:val="3C7303B6"/>
    <w:rsid w:val="3C756255"/>
    <w:rsid w:val="3C973E85"/>
    <w:rsid w:val="3CCD42E3"/>
    <w:rsid w:val="3CE42D09"/>
    <w:rsid w:val="3D001FC2"/>
    <w:rsid w:val="3D1B7BB4"/>
    <w:rsid w:val="3D2A2466"/>
    <w:rsid w:val="3D580050"/>
    <w:rsid w:val="3D622C7D"/>
    <w:rsid w:val="3D681163"/>
    <w:rsid w:val="3D8E5820"/>
    <w:rsid w:val="3D954E00"/>
    <w:rsid w:val="3DA96C47"/>
    <w:rsid w:val="3DC12D0A"/>
    <w:rsid w:val="3DCE273D"/>
    <w:rsid w:val="3DD1395F"/>
    <w:rsid w:val="3DD206B3"/>
    <w:rsid w:val="3DDA0D9B"/>
    <w:rsid w:val="3DE23DBE"/>
    <w:rsid w:val="3DEC2546"/>
    <w:rsid w:val="3DFE0BF8"/>
    <w:rsid w:val="3E037B09"/>
    <w:rsid w:val="3E151A9D"/>
    <w:rsid w:val="3E300685"/>
    <w:rsid w:val="3E3363B2"/>
    <w:rsid w:val="3E377C66"/>
    <w:rsid w:val="3E392B8C"/>
    <w:rsid w:val="3E4B1963"/>
    <w:rsid w:val="3E4D7489"/>
    <w:rsid w:val="3E502AD5"/>
    <w:rsid w:val="3E693B97"/>
    <w:rsid w:val="3E725142"/>
    <w:rsid w:val="3E740EBA"/>
    <w:rsid w:val="3E872164"/>
    <w:rsid w:val="3E8D5054"/>
    <w:rsid w:val="3E962A3C"/>
    <w:rsid w:val="3E9B631A"/>
    <w:rsid w:val="3EA51073"/>
    <w:rsid w:val="3EAF36D6"/>
    <w:rsid w:val="3ED100BA"/>
    <w:rsid w:val="3EEA7E40"/>
    <w:rsid w:val="3EF03352"/>
    <w:rsid w:val="3EFF06C2"/>
    <w:rsid w:val="3EFF6076"/>
    <w:rsid w:val="3F0F2D51"/>
    <w:rsid w:val="3F49118B"/>
    <w:rsid w:val="3F4F5483"/>
    <w:rsid w:val="3F5934CE"/>
    <w:rsid w:val="3F5C3A2A"/>
    <w:rsid w:val="3F6C7DE3"/>
    <w:rsid w:val="400242A3"/>
    <w:rsid w:val="400C6ED0"/>
    <w:rsid w:val="402B55A8"/>
    <w:rsid w:val="40306ADA"/>
    <w:rsid w:val="40362AC3"/>
    <w:rsid w:val="403A0A98"/>
    <w:rsid w:val="40731583"/>
    <w:rsid w:val="40841FFD"/>
    <w:rsid w:val="408A2349"/>
    <w:rsid w:val="4095494B"/>
    <w:rsid w:val="40955A55"/>
    <w:rsid w:val="40B161DA"/>
    <w:rsid w:val="40C17FB8"/>
    <w:rsid w:val="40C652D1"/>
    <w:rsid w:val="40E65973"/>
    <w:rsid w:val="41072DEF"/>
    <w:rsid w:val="41197AF6"/>
    <w:rsid w:val="41221636"/>
    <w:rsid w:val="412E745D"/>
    <w:rsid w:val="413E03EA"/>
    <w:rsid w:val="413E52D5"/>
    <w:rsid w:val="41615EF2"/>
    <w:rsid w:val="41967135"/>
    <w:rsid w:val="419E7FFC"/>
    <w:rsid w:val="41A424B8"/>
    <w:rsid w:val="41C55588"/>
    <w:rsid w:val="41FF5B9E"/>
    <w:rsid w:val="42097B6B"/>
    <w:rsid w:val="421459BA"/>
    <w:rsid w:val="421D3C7F"/>
    <w:rsid w:val="421F15E9"/>
    <w:rsid w:val="423261F5"/>
    <w:rsid w:val="423E5B89"/>
    <w:rsid w:val="424557E2"/>
    <w:rsid w:val="425B7C9B"/>
    <w:rsid w:val="4269060A"/>
    <w:rsid w:val="426B25D4"/>
    <w:rsid w:val="426E5C20"/>
    <w:rsid w:val="427D7230"/>
    <w:rsid w:val="4282060E"/>
    <w:rsid w:val="429F227D"/>
    <w:rsid w:val="42CB3072"/>
    <w:rsid w:val="42E44134"/>
    <w:rsid w:val="431F26F5"/>
    <w:rsid w:val="432C22FD"/>
    <w:rsid w:val="433F7092"/>
    <w:rsid w:val="434F172D"/>
    <w:rsid w:val="435117C9"/>
    <w:rsid w:val="438973FF"/>
    <w:rsid w:val="439E2535"/>
    <w:rsid w:val="43A01432"/>
    <w:rsid w:val="43BF10A6"/>
    <w:rsid w:val="43C0001A"/>
    <w:rsid w:val="43C7383A"/>
    <w:rsid w:val="43DC279C"/>
    <w:rsid w:val="4413082D"/>
    <w:rsid w:val="4415656C"/>
    <w:rsid w:val="44225E77"/>
    <w:rsid w:val="444E3F5B"/>
    <w:rsid w:val="445664F6"/>
    <w:rsid w:val="44631CF6"/>
    <w:rsid w:val="44A71814"/>
    <w:rsid w:val="44C45FCB"/>
    <w:rsid w:val="44CE29A6"/>
    <w:rsid w:val="44E2127A"/>
    <w:rsid w:val="44ED72D0"/>
    <w:rsid w:val="45156827"/>
    <w:rsid w:val="45433394"/>
    <w:rsid w:val="454964D0"/>
    <w:rsid w:val="454E4597"/>
    <w:rsid w:val="455D3805"/>
    <w:rsid w:val="4565330A"/>
    <w:rsid w:val="457B2B2E"/>
    <w:rsid w:val="45A3635E"/>
    <w:rsid w:val="45B56E0F"/>
    <w:rsid w:val="45E16709"/>
    <w:rsid w:val="45EA22DA"/>
    <w:rsid w:val="460F4CD4"/>
    <w:rsid w:val="46256F3D"/>
    <w:rsid w:val="4642571E"/>
    <w:rsid w:val="46454EEA"/>
    <w:rsid w:val="46575537"/>
    <w:rsid w:val="4665733A"/>
    <w:rsid w:val="46741E5B"/>
    <w:rsid w:val="467F664E"/>
    <w:rsid w:val="468772B0"/>
    <w:rsid w:val="469A321D"/>
    <w:rsid w:val="469D0B34"/>
    <w:rsid w:val="46A77189"/>
    <w:rsid w:val="46B876F6"/>
    <w:rsid w:val="46DA7593"/>
    <w:rsid w:val="46F231F5"/>
    <w:rsid w:val="46F5759C"/>
    <w:rsid w:val="4712006D"/>
    <w:rsid w:val="47121221"/>
    <w:rsid w:val="478F3863"/>
    <w:rsid w:val="47975C19"/>
    <w:rsid w:val="479F062A"/>
    <w:rsid w:val="47BD53BF"/>
    <w:rsid w:val="47C6205A"/>
    <w:rsid w:val="48050DD4"/>
    <w:rsid w:val="480A4FB6"/>
    <w:rsid w:val="48367BDF"/>
    <w:rsid w:val="48421D06"/>
    <w:rsid w:val="48513325"/>
    <w:rsid w:val="48653621"/>
    <w:rsid w:val="48693111"/>
    <w:rsid w:val="487A531F"/>
    <w:rsid w:val="489906A4"/>
    <w:rsid w:val="48A92A8E"/>
    <w:rsid w:val="48B115CF"/>
    <w:rsid w:val="48CC1253"/>
    <w:rsid w:val="48E3663A"/>
    <w:rsid w:val="48F86A8E"/>
    <w:rsid w:val="491A265E"/>
    <w:rsid w:val="491C1505"/>
    <w:rsid w:val="49296771"/>
    <w:rsid w:val="492F1BC7"/>
    <w:rsid w:val="49484DFB"/>
    <w:rsid w:val="495851E9"/>
    <w:rsid w:val="496B110B"/>
    <w:rsid w:val="49884C3C"/>
    <w:rsid w:val="498A3B1A"/>
    <w:rsid w:val="499750CB"/>
    <w:rsid w:val="49A66458"/>
    <w:rsid w:val="49B43FA2"/>
    <w:rsid w:val="49B4602B"/>
    <w:rsid w:val="49C83E68"/>
    <w:rsid w:val="49C87F6A"/>
    <w:rsid w:val="49CF70FC"/>
    <w:rsid w:val="49E0425C"/>
    <w:rsid w:val="49F25388"/>
    <w:rsid w:val="4A0749B4"/>
    <w:rsid w:val="4A0C3D14"/>
    <w:rsid w:val="4A0C644A"/>
    <w:rsid w:val="4A25750C"/>
    <w:rsid w:val="4A3B5070"/>
    <w:rsid w:val="4A4D25BF"/>
    <w:rsid w:val="4A4E5201"/>
    <w:rsid w:val="4A586007"/>
    <w:rsid w:val="4A5B7951"/>
    <w:rsid w:val="4A7F03FF"/>
    <w:rsid w:val="4A8752E4"/>
    <w:rsid w:val="4AA743C5"/>
    <w:rsid w:val="4ACE54AE"/>
    <w:rsid w:val="4AE65179"/>
    <w:rsid w:val="4AE85AB6"/>
    <w:rsid w:val="4B013AD5"/>
    <w:rsid w:val="4B101F6A"/>
    <w:rsid w:val="4B211082"/>
    <w:rsid w:val="4B2D306A"/>
    <w:rsid w:val="4B541BD0"/>
    <w:rsid w:val="4B600A70"/>
    <w:rsid w:val="4BA4013E"/>
    <w:rsid w:val="4BB3441A"/>
    <w:rsid w:val="4BFA0524"/>
    <w:rsid w:val="4BFC1B2B"/>
    <w:rsid w:val="4C0F208F"/>
    <w:rsid w:val="4C746529"/>
    <w:rsid w:val="4C7F1237"/>
    <w:rsid w:val="4C87000A"/>
    <w:rsid w:val="4C87625C"/>
    <w:rsid w:val="4C934C01"/>
    <w:rsid w:val="4CA77A95"/>
    <w:rsid w:val="4CA87496"/>
    <w:rsid w:val="4CBD7ED0"/>
    <w:rsid w:val="4CF62C1F"/>
    <w:rsid w:val="4D080AFB"/>
    <w:rsid w:val="4D0C49B3"/>
    <w:rsid w:val="4D107456"/>
    <w:rsid w:val="4D146BD4"/>
    <w:rsid w:val="4D19055F"/>
    <w:rsid w:val="4D1E3A2B"/>
    <w:rsid w:val="4D215E60"/>
    <w:rsid w:val="4D2C70ED"/>
    <w:rsid w:val="4D357A66"/>
    <w:rsid w:val="4D4D597D"/>
    <w:rsid w:val="4D517CDF"/>
    <w:rsid w:val="4D720CBA"/>
    <w:rsid w:val="4D7D0FCF"/>
    <w:rsid w:val="4D8B0CF2"/>
    <w:rsid w:val="4D8D4D89"/>
    <w:rsid w:val="4DA370C6"/>
    <w:rsid w:val="4DA650F3"/>
    <w:rsid w:val="4DAD0048"/>
    <w:rsid w:val="4DB90697"/>
    <w:rsid w:val="4DBA440F"/>
    <w:rsid w:val="4DDD3A42"/>
    <w:rsid w:val="4DEF786C"/>
    <w:rsid w:val="4E217FEA"/>
    <w:rsid w:val="4E2A50F1"/>
    <w:rsid w:val="4E313F8D"/>
    <w:rsid w:val="4E3349C9"/>
    <w:rsid w:val="4E392BBD"/>
    <w:rsid w:val="4E5557A3"/>
    <w:rsid w:val="4E704ACE"/>
    <w:rsid w:val="4E8011B5"/>
    <w:rsid w:val="4E8D5680"/>
    <w:rsid w:val="4EA01857"/>
    <w:rsid w:val="4EA37538"/>
    <w:rsid w:val="4EAD187E"/>
    <w:rsid w:val="4EAF489E"/>
    <w:rsid w:val="4EC031C0"/>
    <w:rsid w:val="4EDE7C89"/>
    <w:rsid w:val="4EE07EA5"/>
    <w:rsid w:val="4EEC3CA4"/>
    <w:rsid w:val="4F073EC1"/>
    <w:rsid w:val="4F18763F"/>
    <w:rsid w:val="4F283CB4"/>
    <w:rsid w:val="4F2C30EB"/>
    <w:rsid w:val="4F343D4D"/>
    <w:rsid w:val="4F463D78"/>
    <w:rsid w:val="4F4E3061"/>
    <w:rsid w:val="4F5421EB"/>
    <w:rsid w:val="4F60078E"/>
    <w:rsid w:val="4F61543D"/>
    <w:rsid w:val="4F6B3C13"/>
    <w:rsid w:val="4F7C7BCE"/>
    <w:rsid w:val="4F8B77FD"/>
    <w:rsid w:val="4F952A3E"/>
    <w:rsid w:val="4FAD7DD6"/>
    <w:rsid w:val="4FB8672C"/>
    <w:rsid w:val="4FBA66E7"/>
    <w:rsid w:val="4FBB2E06"/>
    <w:rsid w:val="4FC6709B"/>
    <w:rsid w:val="4FC878AF"/>
    <w:rsid w:val="4FE34BAE"/>
    <w:rsid w:val="50036960"/>
    <w:rsid w:val="50083210"/>
    <w:rsid w:val="50187DFE"/>
    <w:rsid w:val="50242014"/>
    <w:rsid w:val="503A35E5"/>
    <w:rsid w:val="503B080B"/>
    <w:rsid w:val="503E6C32"/>
    <w:rsid w:val="50574928"/>
    <w:rsid w:val="506105AA"/>
    <w:rsid w:val="50722D7F"/>
    <w:rsid w:val="50792EE1"/>
    <w:rsid w:val="509B4084"/>
    <w:rsid w:val="50A867A1"/>
    <w:rsid w:val="50C7131D"/>
    <w:rsid w:val="50ED48BA"/>
    <w:rsid w:val="50FB4B23"/>
    <w:rsid w:val="512E314A"/>
    <w:rsid w:val="51343C08"/>
    <w:rsid w:val="51387B25"/>
    <w:rsid w:val="51392FC0"/>
    <w:rsid w:val="515D27EA"/>
    <w:rsid w:val="516839A1"/>
    <w:rsid w:val="516B614C"/>
    <w:rsid w:val="51905BB3"/>
    <w:rsid w:val="5199689F"/>
    <w:rsid w:val="51B60E30"/>
    <w:rsid w:val="51B868DE"/>
    <w:rsid w:val="51BA2C30"/>
    <w:rsid w:val="51C92E73"/>
    <w:rsid w:val="51D11028"/>
    <w:rsid w:val="51E05D03"/>
    <w:rsid w:val="51E864A3"/>
    <w:rsid w:val="51ED0175"/>
    <w:rsid w:val="51F36EE5"/>
    <w:rsid w:val="51F83758"/>
    <w:rsid w:val="520B6D6E"/>
    <w:rsid w:val="520C2D5F"/>
    <w:rsid w:val="520D51E4"/>
    <w:rsid w:val="523C53F3"/>
    <w:rsid w:val="524424F9"/>
    <w:rsid w:val="526E737C"/>
    <w:rsid w:val="527659A4"/>
    <w:rsid w:val="52776BC5"/>
    <w:rsid w:val="52B04C41"/>
    <w:rsid w:val="52B17D4C"/>
    <w:rsid w:val="52B551A5"/>
    <w:rsid w:val="52BA4CC2"/>
    <w:rsid w:val="52BC29D7"/>
    <w:rsid w:val="52D41E8E"/>
    <w:rsid w:val="52E15F9A"/>
    <w:rsid w:val="53146370"/>
    <w:rsid w:val="532A5295"/>
    <w:rsid w:val="53312AE9"/>
    <w:rsid w:val="535344D2"/>
    <w:rsid w:val="53BC636D"/>
    <w:rsid w:val="53E03237"/>
    <w:rsid w:val="53FF492A"/>
    <w:rsid w:val="5407691B"/>
    <w:rsid w:val="54180F40"/>
    <w:rsid w:val="543A3B4F"/>
    <w:rsid w:val="543C1C06"/>
    <w:rsid w:val="5444152C"/>
    <w:rsid w:val="54B10C1B"/>
    <w:rsid w:val="54CD2496"/>
    <w:rsid w:val="54CF2063"/>
    <w:rsid w:val="54D3417A"/>
    <w:rsid w:val="55065893"/>
    <w:rsid w:val="550C37A2"/>
    <w:rsid w:val="55425416"/>
    <w:rsid w:val="55562C6F"/>
    <w:rsid w:val="55626C0A"/>
    <w:rsid w:val="55686E01"/>
    <w:rsid w:val="556A671B"/>
    <w:rsid w:val="5583158B"/>
    <w:rsid w:val="558B0F78"/>
    <w:rsid w:val="558D1CD5"/>
    <w:rsid w:val="5596306C"/>
    <w:rsid w:val="559A0529"/>
    <w:rsid w:val="559E368B"/>
    <w:rsid w:val="55AF2380"/>
    <w:rsid w:val="55B90631"/>
    <w:rsid w:val="55BB6815"/>
    <w:rsid w:val="55D3606E"/>
    <w:rsid w:val="55DA73FC"/>
    <w:rsid w:val="55FB134A"/>
    <w:rsid w:val="560C626C"/>
    <w:rsid w:val="56377DDA"/>
    <w:rsid w:val="56501C97"/>
    <w:rsid w:val="566A450E"/>
    <w:rsid w:val="567D2FDC"/>
    <w:rsid w:val="567D65F5"/>
    <w:rsid w:val="568850AA"/>
    <w:rsid w:val="56AB4D39"/>
    <w:rsid w:val="56BD287A"/>
    <w:rsid w:val="56BE3AB8"/>
    <w:rsid w:val="56C1236A"/>
    <w:rsid w:val="56D8324A"/>
    <w:rsid w:val="56D8626A"/>
    <w:rsid w:val="56E02C2D"/>
    <w:rsid w:val="56F52014"/>
    <w:rsid w:val="56FE68E2"/>
    <w:rsid w:val="57144B90"/>
    <w:rsid w:val="57236B81"/>
    <w:rsid w:val="573E39BB"/>
    <w:rsid w:val="575925A3"/>
    <w:rsid w:val="575B631B"/>
    <w:rsid w:val="577216B2"/>
    <w:rsid w:val="57743881"/>
    <w:rsid w:val="57A41AB1"/>
    <w:rsid w:val="57CA4F33"/>
    <w:rsid w:val="57E91B79"/>
    <w:rsid w:val="581110D0"/>
    <w:rsid w:val="581C28A9"/>
    <w:rsid w:val="582836A2"/>
    <w:rsid w:val="58496326"/>
    <w:rsid w:val="584D5CFC"/>
    <w:rsid w:val="58651AA8"/>
    <w:rsid w:val="58653C20"/>
    <w:rsid w:val="589715D5"/>
    <w:rsid w:val="58BA3729"/>
    <w:rsid w:val="58E467E4"/>
    <w:rsid w:val="58EB36CF"/>
    <w:rsid w:val="590A46ED"/>
    <w:rsid w:val="59123351"/>
    <w:rsid w:val="592A1893"/>
    <w:rsid w:val="593339DC"/>
    <w:rsid w:val="595B0854"/>
    <w:rsid w:val="5981135B"/>
    <w:rsid w:val="59B2243E"/>
    <w:rsid w:val="59B71866"/>
    <w:rsid w:val="59E56370"/>
    <w:rsid w:val="59F36CDF"/>
    <w:rsid w:val="59F9006D"/>
    <w:rsid w:val="5A184997"/>
    <w:rsid w:val="5A1B185F"/>
    <w:rsid w:val="5A207377"/>
    <w:rsid w:val="5A4C63EF"/>
    <w:rsid w:val="5A5B1684"/>
    <w:rsid w:val="5A627595"/>
    <w:rsid w:val="5A655CE7"/>
    <w:rsid w:val="5A753B98"/>
    <w:rsid w:val="5A7C7CC1"/>
    <w:rsid w:val="5A8B16AB"/>
    <w:rsid w:val="5A91549E"/>
    <w:rsid w:val="5AB27ECF"/>
    <w:rsid w:val="5ABA77FD"/>
    <w:rsid w:val="5AD71C43"/>
    <w:rsid w:val="5AE95CEA"/>
    <w:rsid w:val="5AF0321E"/>
    <w:rsid w:val="5B0015B8"/>
    <w:rsid w:val="5B195F76"/>
    <w:rsid w:val="5B1A0996"/>
    <w:rsid w:val="5B1F3B03"/>
    <w:rsid w:val="5B33135D"/>
    <w:rsid w:val="5B370F48"/>
    <w:rsid w:val="5B426771"/>
    <w:rsid w:val="5B557525"/>
    <w:rsid w:val="5B8C73EB"/>
    <w:rsid w:val="5B9067AF"/>
    <w:rsid w:val="5BA1504E"/>
    <w:rsid w:val="5BC175DC"/>
    <w:rsid w:val="5BDC30D6"/>
    <w:rsid w:val="5BDD0396"/>
    <w:rsid w:val="5BF03C12"/>
    <w:rsid w:val="5BFF1FE5"/>
    <w:rsid w:val="5C0C37C1"/>
    <w:rsid w:val="5C1F3489"/>
    <w:rsid w:val="5C2238AB"/>
    <w:rsid w:val="5C273ACF"/>
    <w:rsid w:val="5C4C28DC"/>
    <w:rsid w:val="5C4E644E"/>
    <w:rsid w:val="5C567533"/>
    <w:rsid w:val="5C82259C"/>
    <w:rsid w:val="5C861E69"/>
    <w:rsid w:val="5C956991"/>
    <w:rsid w:val="5CAD1D45"/>
    <w:rsid w:val="5CC606DB"/>
    <w:rsid w:val="5CF52363"/>
    <w:rsid w:val="5CFA0384"/>
    <w:rsid w:val="5D1A0A26"/>
    <w:rsid w:val="5D2C131F"/>
    <w:rsid w:val="5D487342"/>
    <w:rsid w:val="5D703388"/>
    <w:rsid w:val="5D8578A3"/>
    <w:rsid w:val="5DBA58BF"/>
    <w:rsid w:val="5DD27D8A"/>
    <w:rsid w:val="5DFB4772"/>
    <w:rsid w:val="5DFB5EB1"/>
    <w:rsid w:val="5E015742"/>
    <w:rsid w:val="5E053485"/>
    <w:rsid w:val="5E1611EE"/>
    <w:rsid w:val="5E400893"/>
    <w:rsid w:val="5E483371"/>
    <w:rsid w:val="5E7D301B"/>
    <w:rsid w:val="5E99597B"/>
    <w:rsid w:val="5ED510A9"/>
    <w:rsid w:val="5EE30DFC"/>
    <w:rsid w:val="5EFB4DE6"/>
    <w:rsid w:val="5F033224"/>
    <w:rsid w:val="5F292D58"/>
    <w:rsid w:val="5F610B8F"/>
    <w:rsid w:val="5F880F8B"/>
    <w:rsid w:val="5F9E636E"/>
    <w:rsid w:val="5FA14E07"/>
    <w:rsid w:val="5FBB029F"/>
    <w:rsid w:val="5FF71EC3"/>
    <w:rsid w:val="60050E13"/>
    <w:rsid w:val="60065E0F"/>
    <w:rsid w:val="601E082E"/>
    <w:rsid w:val="603242D9"/>
    <w:rsid w:val="60327E35"/>
    <w:rsid w:val="60583379"/>
    <w:rsid w:val="6071095D"/>
    <w:rsid w:val="60730B79"/>
    <w:rsid w:val="607C10F6"/>
    <w:rsid w:val="609B3C2C"/>
    <w:rsid w:val="60CF38D6"/>
    <w:rsid w:val="610E43FE"/>
    <w:rsid w:val="6117523F"/>
    <w:rsid w:val="613025C6"/>
    <w:rsid w:val="61467507"/>
    <w:rsid w:val="6155202D"/>
    <w:rsid w:val="61646714"/>
    <w:rsid w:val="616616D2"/>
    <w:rsid w:val="61A3613F"/>
    <w:rsid w:val="61BA2D18"/>
    <w:rsid w:val="61D07BA7"/>
    <w:rsid w:val="61DB29E0"/>
    <w:rsid w:val="61E72A97"/>
    <w:rsid w:val="61ED04B8"/>
    <w:rsid w:val="620B6B90"/>
    <w:rsid w:val="62124148"/>
    <w:rsid w:val="62377926"/>
    <w:rsid w:val="623937F7"/>
    <w:rsid w:val="624D15EF"/>
    <w:rsid w:val="624F4CCE"/>
    <w:rsid w:val="6268653A"/>
    <w:rsid w:val="626D15F8"/>
    <w:rsid w:val="62841E4B"/>
    <w:rsid w:val="62DF41FE"/>
    <w:rsid w:val="62E15F94"/>
    <w:rsid w:val="62FC19D5"/>
    <w:rsid w:val="63051B4E"/>
    <w:rsid w:val="63215262"/>
    <w:rsid w:val="633D721D"/>
    <w:rsid w:val="63424833"/>
    <w:rsid w:val="634D7A5B"/>
    <w:rsid w:val="6356208C"/>
    <w:rsid w:val="63717246"/>
    <w:rsid w:val="637460DF"/>
    <w:rsid w:val="639C03E7"/>
    <w:rsid w:val="639C3F43"/>
    <w:rsid w:val="63AE1EC8"/>
    <w:rsid w:val="63BC6393"/>
    <w:rsid w:val="63D86537"/>
    <w:rsid w:val="63DB1BC8"/>
    <w:rsid w:val="63EC7817"/>
    <w:rsid w:val="640F6E0B"/>
    <w:rsid w:val="64370110"/>
    <w:rsid w:val="64412D3D"/>
    <w:rsid w:val="64460353"/>
    <w:rsid w:val="645312BC"/>
    <w:rsid w:val="645C0C75"/>
    <w:rsid w:val="645C1924"/>
    <w:rsid w:val="646507D9"/>
    <w:rsid w:val="64763058"/>
    <w:rsid w:val="648669A1"/>
    <w:rsid w:val="648E676F"/>
    <w:rsid w:val="649C61C5"/>
    <w:rsid w:val="64A07A63"/>
    <w:rsid w:val="64A532CB"/>
    <w:rsid w:val="64CF6609"/>
    <w:rsid w:val="64D91D97"/>
    <w:rsid w:val="64E81CE8"/>
    <w:rsid w:val="650C0F95"/>
    <w:rsid w:val="652F4076"/>
    <w:rsid w:val="65385EEE"/>
    <w:rsid w:val="655068C5"/>
    <w:rsid w:val="655748CB"/>
    <w:rsid w:val="65575CDF"/>
    <w:rsid w:val="6558033E"/>
    <w:rsid w:val="655E40F7"/>
    <w:rsid w:val="65814FCA"/>
    <w:rsid w:val="6586374B"/>
    <w:rsid w:val="658C34C1"/>
    <w:rsid w:val="659770B8"/>
    <w:rsid w:val="65A05C19"/>
    <w:rsid w:val="65B20E73"/>
    <w:rsid w:val="65B31A18"/>
    <w:rsid w:val="65C634F9"/>
    <w:rsid w:val="65C94D98"/>
    <w:rsid w:val="65E73191"/>
    <w:rsid w:val="660E6C4E"/>
    <w:rsid w:val="661623E1"/>
    <w:rsid w:val="66393372"/>
    <w:rsid w:val="663C6C3E"/>
    <w:rsid w:val="663E7534"/>
    <w:rsid w:val="664F4B66"/>
    <w:rsid w:val="66535EF2"/>
    <w:rsid w:val="66847AD9"/>
    <w:rsid w:val="66A82BFF"/>
    <w:rsid w:val="66BC66AA"/>
    <w:rsid w:val="66E65712"/>
    <w:rsid w:val="66EE2624"/>
    <w:rsid w:val="66FB71D3"/>
    <w:rsid w:val="67053C42"/>
    <w:rsid w:val="670544F5"/>
    <w:rsid w:val="671D539B"/>
    <w:rsid w:val="673B3E6E"/>
    <w:rsid w:val="67450299"/>
    <w:rsid w:val="6747046A"/>
    <w:rsid w:val="67566EED"/>
    <w:rsid w:val="67587117"/>
    <w:rsid w:val="676841BB"/>
    <w:rsid w:val="677533F8"/>
    <w:rsid w:val="67902011"/>
    <w:rsid w:val="67917B37"/>
    <w:rsid w:val="67D143D7"/>
    <w:rsid w:val="67DA14DE"/>
    <w:rsid w:val="67EB25A8"/>
    <w:rsid w:val="67FC76A6"/>
    <w:rsid w:val="67FD341E"/>
    <w:rsid w:val="680B1697"/>
    <w:rsid w:val="682074F8"/>
    <w:rsid w:val="68246BFD"/>
    <w:rsid w:val="68464B6F"/>
    <w:rsid w:val="685C3E7E"/>
    <w:rsid w:val="68806F6A"/>
    <w:rsid w:val="688558EE"/>
    <w:rsid w:val="688E138F"/>
    <w:rsid w:val="689C7120"/>
    <w:rsid w:val="69006B8C"/>
    <w:rsid w:val="690246C7"/>
    <w:rsid w:val="69270880"/>
    <w:rsid w:val="693B19F0"/>
    <w:rsid w:val="694B3431"/>
    <w:rsid w:val="6958704A"/>
    <w:rsid w:val="69603C65"/>
    <w:rsid w:val="69802285"/>
    <w:rsid w:val="698F23B5"/>
    <w:rsid w:val="69D00DEB"/>
    <w:rsid w:val="69DB1CD7"/>
    <w:rsid w:val="69DB4F4A"/>
    <w:rsid w:val="69EC374B"/>
    <w:rsid w:val="69F525FF"/>
    <w:rsid w:val="6A0E546F"/>
    <w:rsid w:val="6A334ED5"/>
    <w:rsid w:val="6A407E8A"/>
    <w:rsid w:val="6A440E91"/>
    <w:rsid w:val="6A577165"/>
    <w:rsid w:val="6A5E3620"/>
    <w:rsid w:val="6A6E6107"/>
    <w:rsid w:val="6A7A6FA8"/>
    <w:rsid w:val="6ACF10A2"/>
    <w:rsid w:val="6AD95A7D"/>
    <w:rsid w:val="6AE6019A"/>
    <w:rsid w:val="6B2018FE"/>
    <w:rsid w:val="6B2A6550"/>
    <w:rsid w:val="6B2B3DFF"/>
    <w:rsid w:val="6B383F7F"/>
    <w:rsid w:val="6B7B08D6"/>
    <w:rsid w:val="6B8503B6"/>
    <w:rsid w:val="6B882FFF"/>
    <w:rsid w:val="6B99750E"/>
    <w:rsid w:val="6BBA58AE"/>
    <w:rsid w:val="6BC70E8D"/>
    <w:rsid w:val="6BCC758B"/>
    <w:rsid w:val="6BE20961"/>
    <w:rsid w:val="6BEC0EB1"/>
    <w:rsid w:val="6BEC79F6"/>
    <w:rsid w:val="6BF82E98"/>
    <w:rsid w:val="6C1624C4"/>
    <w:rsid w:val="6C2B2308"/>
    <w:rsid w:val="6C403A34"/>
    <w:rsid w:val="6C4E2069"/>
    <w:rsid w:val="6C553829"/>
    <w:rsid w:val="6CA52BA4"/>
    <w:rsid w:val="6CC56897"/>
    <w:rsid w:val="6CDC3602"/>
    <w:rsid w:val="6CE355A2"/>
    <w:rsid w:val="6CEB315D"/>
    <w:rsid w:val="6CFC1EF7"/>
    <w:rsid w:val="6D132C27"/>
    <w:rsid w:val="6D2B458A"/>
    <w:rsid w:val="6D2E263B"/>
    <w:rsid w:val="6D2F407A"/>
    <w:rsid w:val="6D3501CD"/>
    <w:rsid w:val="6D48513C"/>
    <w:rsid w:val="6D584E32"/>
    <w:rsid w:val="6D6535F8"/>
    <w:rsid w:val="6D6C5409"/>
    <w:rsid w:val="6D710E78"/>
    <w:rsid w:val="6D907C75"/>
    <w:rsid w:val="6D944B2A"/>
    <w:rsid w:val="6DC06053"/>
    <w:rsid w:val="6DD469CF"/>
    <w:rsid w:val="6DF80910"/>
    <w:rsid w:val="6E0E3C8F"/>
    <w:rsid w:val="6E1814A6"/>
    <w:rsid w:val="6E190970"/>
    <w:rsid w:val="6E20147C"/>
    <w:rsid w:val="6E2C779A"/>
    <w:rsid w:val="6E3C58DC"/>
    <w:rsid w:val="6E610BAA"/>
    <w:rsid w:val="6E6E2980"/>
    <w:rsid w:val="6E791FA1"/>
    <w:rsid w:val="6E7A26CB"/>
    <w:rsid w:val="6E8201DA"/>
    <w:rsid w:val="6E860B2E"/>
    <w:rsid w:val="6E873778"/>
    <w:rsid w:val="6E9B38FE"/>
    <w:rsid w:val="6EBD02D4"/>
    <w:rsid w:val="6EEA2A6C"/>
    <w:rsid w:val="6EEE4E11"/>
    <w:rsid w:val="6F07018C"/>
    <w:rsid w:val="6F0F5F11"/>
    <w:rsid w:val="6F1D06B8"/>
    <w:rsid w:val="6F493D81"/>
    <w:rsid w:val="6F4F7D4D"/>
    <w:rsid w:val="6F9E1043"/>
    <w:rsid w:val="6FAB7DA4"/>
    <w:rsid w:val="6FB95E7D"/>
    <w:rsid w:val="6FBA32F3"/>
    <w:rsid w:val="6FBB39A3"/>
    <w:rsid w:val="6FEA24DA"/>
    <w:rsid w:val="6FEB16E4"/>
    <w:rsid w:val="6FEE1FCA"/>
    <w:rsid w:val="6FEF4E8E"/>
    <w:rsid w:val="7007308C"/>
    <w:rsid w:val="700C3455"/>
    <w:rsid w:val="700D7F77"/>
    <w:rsid w:val="70281320"/>
    <w:rsid w:val="702920DD"/>
    <w:rsid w:val="70317130"/>
    <w:rsid w:val="7048597B"/>
    <w:rsid w:val="704D60B2"/>
    <w:rsid w:val="705838E8"/>
    <w:rsid w:val="706B361B"/>
    <w:rsid w:val="70700C31"/>
    <w:rsid w:val="707738E7"/>
    <w:rsid w:val="70B22FEB"/>
    <w:rsid w:val="70B76FC3"/>
    <w:rsid w:val="70F640AA"/>
    <w:rsid w:val="70F969E6"/>
    <w:rsid w:val="71440939"/>
    <w:rsid w:val="7164006A"/>
    <w:rsid w:val="71692C8E"/>
    <w:rsid w:val="7169742F"/>
    <w:rsid w:val="71705FC9"/>
    <w:rsid w:val="719E532A"/>
    <w:rsid w:val="71A67C85"/>
    <w:rsid w:val="71B40FF2"/>
    <w:rsid w:val="71B95152"/>
    <w:rsid w:val="71BB3875"/>
    <w:rsid w:val="71E13469"/>
    <w:rsid w:val="71F238C8"/>
    <w:rsid w:val="720D24B0"/>
    <w:rsid w:val="721455EC"/>
    <w:rsid w:val="724B5FFE"/>
    <w:rsid w:val="724C2FD8"/>
    <w:rsid w:val="72591B25"/>
    <w:rsid w:val="725974A3"/>
    <w:rsid w:val="72606A84"/>
    <w:rsid w:val="72A46CC5"/>
    <w:rsid w:val="72DA4A88"/>
    <w:rsid w:val="72F42E4A"/>
    <w:rsid w:val="73003CFA"/>
    <w:rsid w:val="730E2034"/>
    <w:rsid w:val="731A2D6E"/>
    <w:rsid w:val="731C3503"/>
    <w:rsid w:val="73246ED1"/>
    <w:rsid w:val="73305DFD"/>
    <w:rsid w:val="73373C88"/>
    <w:rsid w:val="73504D4A"/>
    <w:rsid w:val="73575892"/>
    <w:rsid w:val="737427E7"/>
    <w:rsid w:val="737A5923"/>
    <w:rsid w:val="73993FFB"/>
    <w:rsid w:val="73A429A0"/>
    <w:rsid w:val="73AA6208"/>
    <w:rsid w:val="73D2063E"/>
    <w:rsid w:val="73E24586"/>
    <w:rsid w:val="73FB49D5"/>
    <w:rsid w:val="7402235F"/>
    <w:rsid w:val="7420168D"/>
    <w:rsid w:val="74273EE1"/>
    <w:rsid w:val="742C5964"/>
    <w:rsid w:val="743957DE"/>
    <w:rsid w:val="74485A21"/>
    <w:rsid w:val="74583ECB"/>
    <w:rsid w:val="746C5CEA"/>
    <w:rsid w:val="747D391D"/>
    <w:rsid w:val="74A0634E"/>
    <w:rsid w:val="74EE2828"/>
    <w:rsid w:val="74FB4049"/>
    <w:rsid w:val="74FE7C75"/>
    <w:rsid w:val="75061B64"/>
    <w:rsid w:val="750F5847"/>
    <w:rsid w:val="75240850"/>
    <w:rsid w:val="75333608"/>
    <w:rsid w:val="753D4E5A"/>
    <w:rsid w:val="754E7067"/>
    <w:rsid w:val="75556648"/>
    <w:rsid w:val="75616D9B"/>
    <w:rsid w:val="7564041E"/>
    <w:rsid w:val="7589250B"/>
    <w:rsid w:val="759224B5"/>
    <w:rsid w:val="759943AA"/>
    <w:rsid w:val="759F7DF7"/>
    <w:rsid w:val="75A1188D"/>
    <w:rsid w:val="75CB1A9A"/>
    <w:rsid w:val="75D21DB7"/>
    <w:rsid w:val="75E659CC"/>
    <w:rsid w:val="75F419BD"/>
    <w:rsid w:val="75FC5F5A"/>
    <w:rsid w:val="76443835"/>
    <w:rsid w:val="76574B06"/>
    <w:rsid w:val="765942D0"/>
    <w:rsid w:val="76911902"/>
    <w:rsid w:val="76960CC6"/>
    <w:rsid w:val="76CA4E14"/>
    <w:rsid w:val="76E03AE4"/>
    <w:rsid w:val="76E4409A"/>
    <w:rsid w:val="76EC08E6"/>
    <w:rsid w:val="76F6691F"/>
    <w:rsid w:val="77011DC1"/>
    <w:rsid w:val="770E0FDA"/>
    <w:rsid w:val="77530965"/>
    <w:rsid w:val="77555743"/>
    <w:rsid w:val="775A7F45"/>
    <w:rsid w:val="77601E75"/>
    <w:rsid w:val="777A05E8"/>
    <w:rsid w:val="778D031B"/>
    <w:rsid w:val="77A339AF"/>
    <w:rsid w:val="77AC0E03"/>
    <w:rsid w:val="77C6382D"/>
    <w:rsid w:val="77C7119B"/>
    <w:rsid w:val="77C80AC5"/>
    <w:rsid w:val="77CB0E43"/>
    <w:rsid w:val="77CD0148"/>
    <w:rsid w:val="77CF5A20"/>
    <w:rsid w:val="77EA6925"/>
    <w:rsid w:val="780C7DF2"/>
    <w:rsid w:val="781874CA"/>
    <w:rsid w:val="781C169F"/>
    <w:rsid w:val="781F26CC"/>
    <w:rsid w:val="78411105"/>
    <w:rsid w:val="78420C74"/>
    <w:rsid w:val="78480063"/>
    <w:rsid w:val="784D3AFD"/>
    <w:rsid w:val="78570929"/>
    <w:rsid w:val="78574485"/>
    <w:rsid w:val="785B2975"/>
    <w:rsid w:val="7862132D"/>
    <w:rsid w:val="789456D9"/>
    <w:rsid w:val="78A17E54"/>
    <w:rsid w:val="78BE2756"/>
    <w:rsid w:val="78C733B9"/>
    <w:rsid w:val="78CB62BA"/>
    <w:rsid w:val="78D17C5F"/>
    <w:rsid w:val="78EC72C3"/>
    <w:rsid w:val="79017226"/>
    <w:rsid w:val="790E1E9F"/>
    <w:rsid w:val="792D61A9"/>
    <w:rsid w:val="795B6727"/>
    <w:rsid w:val="796450AB"/>
    <w:rsid w:val="79764DDF"/>
    <w:rsid w:val="798E4D3A"/>
    <w:rsid w:val="79BC724A"/>
    <w:rsid w:val="79D30393"/>
    <w:rsid w:val="79FC3536"/>
    <w:rsid w:val="7A0B15F1"/>
    <w:rsid w:val="7A252A8D"/>
    <w:rsid w:val="7A5213A8"/>
    <w:rsid w:val="7A582B82"/>
    <w:rsid w:val="7A592736"/>
    <w:rsid w:val="7A792DD8"/>
    <w:rsid w:val="7A8556F5"/>
    <w:rsid w:val="7AA96417"/>
    <w:rsid w:val="7AB160CE"/>
    <w:rsid w:val="7AB24893"/>
    <w:rsid w:val="7ACA7190"/>
    <w:rsid w:val="7ACF5896"/>
    <w:rsid w:val="7AD26045"/>
    <w:rsid w:val="7B1775B2"/>
    <w:rsid w:val="7B3A6448"/>
    <w:rsid w:val="7B524F03"/>
    <w:rsid w:val="7B580C40"/>
    <w:rsid w:val="7B5F3D7C"/>
    <w:rsid w:val="7B740B29"/>
    <w:rsid w:val="7B7B716D"/>
    <w:rsid w:val="7B933A26"/>
    <w:rsid w:val="7B9559F0"/>
    <w:rsid w:val="7B9D2AF7"/>
    <w:rsid w:val="7BA774D1"/>
    <w:rsid w:val="7BBD0AA3"/>
    <w:rsid w:val="7BC6204D"/>
    <w:rsid w:val="7BC63DFB"/>
    <w:rsid w:val="7BCD518A"/>
    <w:rsid w:val="7BFA3AA5"/>
    <w:rsid w:val="7C105077"/>
    <w:rsid w:val="7C1845E1"/>
    <w:rsid w:val="7C224DAA"/>
    <w:rsid w:val="7C253132"/>
    <w:rsid w:val="7C381F99"/>
    <w:rsid w:val="7C4A4A2C"/>
    <w:rsid w:val="7C4C6CA4"/>
    <w:rsid w:val="7C5331B5"/>
    <w:rsid w:val="7C716B68"/>
    <w:rsid w:val="7C725D31"/>
    <w:rsid w:val="7C920181"/>
    <w:rsid w:val="7C991510"/>
    <w:rsid w:val="7CAD113F"/>
    <w:rsid w:val="7CB00608"/>
    <w:rsid w:val="7CD20995"/>
    <w:rsid w:val="7D044D32"/>
    <w:rsid w:val="7D2358FF"/>
    <w:rsid w:val="7D24527D"/>
    <w:rsid w:val="7D3923AB"/>
    <w:rsid w:val="7D561E46"/>
    <w:rsid w:val="7D580FFF"/>
    <w:rsid w:val="7D6513F2"/>
    <w:rsid w:val="7D7C3D15"/>
    <w:rsid w:val="7D800CFB"/>
    <w:rsid w:val="7D937D0D"/>
    <w:rsid w:val="7DAB032B"/>
    <w:rsid w:val="7DC61D5E"/>
    <w:rsid w:val="7DD644B9"/>
    <w:rsid w:val="7E0155BF"/>
    <w:rsid w:val="7E035F1C"/>
    <w:rsid w:val="7E0F1FED"/>
    <w:rsid w:val="7E1C6BE4"/>
    <w:rsid w:val="7E355268"/>
    <w:rsid w:val="7E5804EC"/>
    <w:rsid w:val="7E5A0441"/>
    <w:rsid w:val="7E694F12"/>
    <w:rsid w:val="7E916F06"/>
    <w:rsid w:val="7E936302"/>
    <w:rsid w:val="7E9F23BF"/>
    <w:rsid w:val="7EA06B86"/>
    <w:rsid w:val="7EB02B41"/>
    <w:rsid w:val="7EC16F8B"/>
    <w:rsid w:val="7ED72141"/>
    <w:rsid w:val="7ED77425"/>
    <w:rsid w:val="7EE822DB"/>
    <w:rsid w:val="7EED169F"/>
    <w:rsid w:val="7F0E2B74"/>
    <w:rsid w:val="7F2D5A80"/>
    <w:rsid w:val="7F3E632E"/>
    <w:rsid w:val="7F54171E"/>
    <w:rsid w:val="7F6B19DD"/>
    <w:rsid w:val="7F9B734D"/>
    <w:rsid w:val="7FA36202"/>
    <w:rsid w:val="7FAA57E2"/>
    <w:rsid w:val="7FC411AE"/>
    <w:rsid w:val="7FC92566"/>
    <w:rsid w:val="7FE243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99"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tabs>
        <w:tab w:val="left" w:pos="425"/>
      </w:tabs>
      <w:spacing w:before="340" w:after="330" w:line="576" w:lineRule="auto"/>
      <w:ind w:left="425" w:hanging="425"/>
      <w:outlineLvl w:val="0"/>
    </w:pPr>
    <w:rPr>
      <w:b/>
      <w:kern w:val="44"/>
      <w:sz w:val="44"/>
      <w:szCs w:val="20"/>
    </w:rPr>
  </w:style>
  <w:style w:type="paragraph" w:styleId="4">
    <w:name w:val="heading 2"/>
    <w:basedOn w:val="1"/>
    <w:next w:val="1"/>
    <w:qFormat/>
    <w:uiPriority w:val="0"/>
    <w:pPr>
      <w:keepNext/>
      <w:keepLines/>
      <w:tabs>
        <w:tab w:val="left" w:pos="567"/>
      </w:tabs>
      <w:spacing w:before="120" w:after="120" w:line="360" w:lineRule="auto"/>
      <w:ind w:left="0" w:firstLine="0"/>
      <w:jc w:val="center"/>
      <w:outlineLvl w:val="1"/>
    </w:pPr>
    <w:rPr>
      <w:rFonts w:ascii="宋体" w:hAnsi="宋体" w:eastAsia="宋体"/>
      <w:b/>
      <w:bCs/>
      <w:sz w:val="21"/>
      <w:szCs w:val="18"/>
    </w:rPr>
  </w:style>
  <w:style w:type="paragraph" w:styleId="5">
    <w:name w:val="heading 3"/>
    <w:basedOn w:val="1"/>
    <w:next w:val="1"/>
    <w:qFormat/>
    <w:uiPriority w:val="9"/>
    <w:pPr>
      <w:keepNext/>
      <w:keepLines/>
      <w:tabs>
        <w:tab w:val="left" w:pos="709"/>
      </w:tabs>
      <w:spacing w:line="360" w:lineRule="auto"/>
      <w:ind w:left="0" w:firstLine="709"/>
      <w:outlineLvl w:val="2"/>
    </w:pPr>
    <w:rPr>
      <w:rFonts w:ascii="Times New Roman" w:hAnsi="Times New Roman" w:eastAsia="宋体"/>
      <w:b/>
      <w:bCs/>
      <w:sz w:val="21"/>
      <w:szCs w:val="32"/>
    </w:rPr>
  </w:style>
  <w:style w:type="paragraph" w:styleId="6">
    <w:name w:val="heading 4"/>
    <w:basedOn w:val="1"/>
    <w:next w:val="1"/>
    <w:qFormat/>
    <w:uiPriority w:val="0"/>
    <w:pPr>
      <w:keepNext/>
      <w:keepLines/>
      <w:tabs>
        <w:tab w:val="left" w:pos="851"/>
      </w:tabs>
      <w:spacing w:before="280" w:after="290" w:line="374" w:lineRule="auto"/>
      <w:ind w:left="851" w:hanging="851"/>
      <w:outlineLvl w:val="3"/>
    </w:pPr>
    <w:rPr>
      <w:rFonts w:ascii="Arial" w:hAnsi="Arial" w:eastAsia="黑体"/>
      <w:b/>
      <w:sz w:val="28"/>
      <w:szCs w:val="20"/>
    </w:rPr>
  </w:style>
  <w:style w:type="paragraph" w:styleId="7">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25">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widowControl/>
      <w:spacing w:after="120"/>
      <w:jc w:val="left"/>
    </w:pPr>
  </w:style>
  <w:style w:type="paragraph" w:styleId="8">
    <w:name w:val="Normal Indent"/>
    <w:basedOn w:val="1"/>
    <w:qFormat/>
    <w:uiPriority w:val="0"/>
    <w:pPr>
      <w:ind w:firstLine="420"/>
    </w:pPr>
    <w:rPr>
      <w:rFonts w:ascii="宋体" w:hAnsi="Courier New"/>
      <w:szCs w:val="20"/>
    </w:rPr>
  </w:style>
  <w:style w:type="paragraph" w:styleId="9">
    <w:name w:val="annotation text"/>
    <w:basedOn w:val="1"/>
    <w:qFormat/>
    <w:uiPriority w:val="0"/>
    <w:pPr>
      <w:jc w:val="left"/>
    </w:pPr>
  </w:style>
  <w:style w:type="paragraph" w:styleId="10">
    <w:name w:val="Body Text Indent"/>
    <w:basedOn w:val="1"/>
    <w:qFormat/>
    <w:uiPriority w:val="99"/>
    <w:pPr>
      <w:ind w:firstLine="420" w:firstLineChars="200"/>
    </w:pPr>
  </w:style>
  <w:style w:type="paragraph" w:styleId="11">
    <w:name w:val="Block Text"/>
    <w:basedOn w:val="1"/>
    <w:qFormat/>
    <w:uiPriority w:val="99"/>
    <w:pPr>
      <w:ind w:left="1440" w:leftChars="700" w:right="1440" w:rightChars="700"/>
    </w:pPr>
  </w:style>
  <w:style w:type="paragraph" w:styleId="12">
    <w:name w:val="toc 5"/>
    <w:basedOn w:val="1"/>
    <w:next w:val="1"/>
    <w:qFormat/>
    <w:uiPriority w:val="0"/>
    <w:pPr>
      <w:ind w:left="1680" w:leftChars="800"/>
    </w:pPr>
  </w:style>
  <w:style w:type="paragraph" w:styleId="13">
    <w:name w:val="toc 3"/>
    <w:basedOn w:val="1"/>
    <w:next w:val="1"/>
    <w:qFormat/>
    <w:uiPriority w:val="39"/>
    <w:pPr>
      <w:ind w:left="420"/>
      <w:jc w:val="left"/>
    </w:pPr>
    <w:rPr>
      <w:rFonts w:ascii="Calibri" w:hAnsi="Calibri"/>
      <w:i/>
      <w:iCs/>
      <w:sz w:val="20"/>
      <w:szCs w:val="20"/>
    </w:rPr>
  </w:style>
  <w:style w:type="paragraph" w:styleId="14">
    <w:name w:val="Plain Text"/>
    <w:basedOn w:val="1"/>
    <w:next w:val="1"/>
    <w:qFormat/>
    <w:uiPriority w:val="99"/>
    <w:rPr>
      <w:rFonts w:ascii="宋体" w:hAnsi="Courier New" w:cs="Courier New"/>
      <w:szCs w:val="21"/>
    </w:rPr>
  </w:style>
  <w:style w:type="paragraph" w:styleId="15">
    <w:name w:val="footer"/>
    <w:basedOn w:val="1"/>
    <w:next w:val="1"/>
    <w:qFormat/>
    <w:uiPriority w:val="0"/>
    <w:pPr>
      <w:tabs>
        <w:tab w:val="center" w:pos="4153"/>
        <w:tab w:val="right" w:pos="8306"/>
      </w:tabs>
      <w:snapToGrid w:val="0"/>
      <w:jc w:val="left"/>
    </w:pPr>
    <w:rPr>
      <w:sz w:val="18"/>
    </w:rPr>
  </w:style>
  <w:style w:type="paragraph" w:styleId="1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7">
    <w:name w:val="toc 1"/>
    <w:basedOn w:val="1"/>
    <w:next w:val="1"/>
    <w:qFormat/>
    <w:uiPriority w:val="39"/>
    <w:rPr>
      <w:sz w:val="24"/>
    </w:rPr>
  </w:style>
  <w:style w:type="paragraph" w:styleId="18">
    <w:name w:val="toc 4"/>
    <w:basedOn w:val="1"/>
    <w:next w:val="1"/>
    <w:qFormat/>
    <w:uiPriority w:val="0"/>
    <w:pPr>
      <w:ind w:left="630"/>
      <w:jc w:val="left"/>
    </w:pPr>
    <w:rPr>
      <w:sz w:val="18"/>
      <w:szCs w:val="18"/>
    </w:rPr>
  </w:style>
  <w:style w:type="paragraph" w:styleId="19">
    <w:name w:val="toc 2"/>
    <w:basedOn w:val="1"/>
    <w:next w:val="1"/>
    <w:qFormat/>
    <w:uiPriority w:val="39"/>
    <w:pPr>
      <w:ind w:left="210"/>
      <w:jc w:val="left"/>
    </w:pPr>
    <w:rPr>
      <w:rFonts w:ascii="Calibri" w:hAnsi="Calibri"/>
      <w:smallCaps/>
      <w:sz w:val="20"/>
      <w:szCs w:val="20"/>
    </w:rPr>
  </w:style>
  <w:style w:type="paragraph" w:styleId="20">
    <w:name w:val="Normal (Web)"/>
    <w:basedOn w:val="1"/>
    <w:qFormat/>
    <w:uiPriority w:val="0"/>
    <w:pPr>
      <w:widowControl/>
      <w:spacing w:before="100" w:beforeAutospacing="1" w:after="100" w:afterAutospacing="1"/>
      <w:jc w:val="left"/>
    </w:pPr>
    <w:rPr>
      <w:rFonts w:ascii="宋体" w:hAnsi="宋体"/>
      <w:kern w:val="0"/>
      <w:sz w:val="24"/>
    </w:rPr>
  </w:style>
  <w:style w:type="paragraph" w:styleId="21">
    <w:name w:val="Body Text First Indent"/>
    <w:basedOn w:val="2"/>
    <w:qFormat/>
    <w:uiPriority w:val="0"/>
    <w:pPr>
      <w:widowControl w:val="0"/>
      <w:ind w:firstLine="420" w:firstLineChars="100"/>
      <w:jc w:val="both"/>
    </w:pPr>
  </w:style>
  <w:style w:type="paragraph" w:styleId="22">
    <w:name w:val="Body Text First Indent 2"/>
    <w:basedOn w:val="10"/>
    <w:next w:val="1"/>
    <w:qFormat/>
    <w:uiPriority w:val="99"/>
  </w:style>
  <w:style w:type="table" w:styleId="24">
    <w:name w:val="Table Grid"/>
    <w:basedOn w:val="2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Strong"/>
    <w:basedOn w:val="25"/>
    <w:qFormat/>
    <w:uiPriority w:val="0"/>
    <w:rPr>
      <w:b/>
    </w:rPr>
  </w:style>
  <w:style w:type="character" w:styleId="27">
    <w:name w:val="Hyperlink"/>
    <w:basedOn w:val="25"/>
    <w:qFormat/>
    <w:uiPriority w:val="99"/>
    <w:rPr>
      <w:rFonts w:eastAsia="仿宋_GB2312"/>
      <w:bCs/>
    </w:rPr>
  </w:style>
  <w:style w:type="paragraph" w:customStyle="1" w:styleId="28">
    <w:name w:val="样式 10 磅"/>
    <w:next w:val="18"/>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9">
    <w:name w:val="Default"/>
    <w:qFormat/>
    <w:uiPriority w:val="0"/>
    <w:pPr>
      <w:widowControl w:val="0"/>
      <w:autoSpaceDE w:val="0"/>
      <w:autoSpaceDN w:val="0"/>
      <w:adjustRightInd w:val="0"/>
    </w:pPr>
    <w:rPr>
      <w:rFonts w:ascii="Sim Sun" w:hAnsi="Times New Roman" w:eastAsia="Sim Sun" w:cs="Sim Sun"/>
      <w:color w:val="000000"/>
      <w:sz w:val="24"/>
      <w:szCs w:val="24"/>
      <w:lang w:val="en-US" w:eastAsia="zh-CN" w:bidi="ar-SA"/>
    </w:rPr>
  </w:style>
  <w:style w:type="paragraph" w:customStyle="1" w:styleId="30">
    <w:name w:val="title1"/>
    <w:basedOn w:val="1"/>
    <w:qFormat/>
    <w:uiPriority w:val="0"/>
    <w:pPr>
      <w:widowControl/>
      <w:spacing w:before="100" w:beforeAutospacing="1" w:after="100" w:afterAutospacing="1"/>
      <w:jc w:val="left"/>
    </w:pPr>
    <w:rPr>
      <w:rFonts w:ascii="宋体" w:hAnsi="宋体" w:cs="宋体"/>
      <w:kern w:val="0"/>
      <w:sz w:val="24"/>
    </w:rPr>
  </w:style>
  <w:style w:type="paragraph" w:customStyle="1" w:styleId="31">
    <w:name w:val="正文 New New New New"/>
    <w:qFormat/>
    <w:uiPriority w:val="0"/>
    <w:pPr>
      <w:widowControl w:val="0"/>
      <w:jc w:val="both"/>
    </w:pPr>
    <w:rPr>
      <w:rFonts w:ascii="Times New Roman" w:hAnsi="Times New Roman" w:eastAsia="宋体" w:cs="Times New Roman"/>
      <w:szCs w:val="24"/>
      <w:lang w:val="en-US" w:eastAsia="zh-CN" w:bidi="ar-SA"/>
    </w:rPr>
  </w:style>
  <w:style w:type="paragraph" w:styleId="32">
    <w:name w:val="List Paragraph"/>
    <w:basedOn w:val="1"/>
    <w:qFormat/>
    <w:uiPriority w:val="34"/>
    <w:pPr>
      <w:ind w:firstLine="420" w:firstLineChars="200"/>
    </w:pPr>
  </w:style>
  <w:style w:type="paragraph" w:customStyle="1" w:styleId="33">
    <w:name w:val="样式 标题 2 + Times New Roman 四号 非加粗 段前: 5 磅 段后: 0 磅 行距: 固定值 20..."/>
    <w:basedOn w:val="4"/>
    <w:qFormat/>
    <w:uiPriority w:val="0"/>
    <w:pPr>
      <w:spacing w:before="100" w:after="0" w:line="400" w:lineRule="exact"/>
    </w:pPr>
    <w:rPr>
      <w:rFonts w:ascii="Times New Roman" w:hAnsi="Times New Roman" w:cs="宋体"/>
      <w:b w:val="0"/>
      <w:bCs w:val="0"/>
      <w:szCs w:val="20"/>
    </w:rPr>
  </w:style>
  <w:style w:type="paragraph" w:customStyle="1" w:styleId="34">
    <w:name w:val="WPSOffice手动目录 1"/>
    <w:qFormat/>
    <w:uiPriority w:val="0"/>
    <w:rPr>
      <w:rFonts w:ascii="Times New Roman" w:hAnsi="Times New Roman" w:eastAsia="宋体" w:cs="Times New Roman"/>
      <w:lang w:val="en-US" w:eastAsia="zh-CN" w:bidi="ar-SA"/>
    </w:rPr>
  </w:style>
  <w:style w:type="character" w:customStyle="1" w:styleId="35">
    <w:name w:val="font21"/>
    <w:basedOn w:val="25"/>
    <w:qFormat/>
    <w:uiPriority w:val="0"/>
    <w:rPr>
      <w:rFonts w:hint="eastAsia" w:ascii="宋体" w:hAnsi="宋体" w:eastAsia="宋体" w:cs="宋体"/>
      <w:color w:val="000000"/>
      <w:sz w:val="22"/>
      <w:szCs w:val="22"/>
      <w:u w:val="none"/>
    </w:rPr>
  </w:style>
  <w:style w:type="character" w:customStyle="1" w:styleId="36">
    <w:name w:val="font01"/>
    <w:basedOn w:val="25"/>
    <w:qFormat/>
    <w:uiPriority w:val="0"/>
    <w:rPr>
      <w:rFonts w:hint="eastAsia" w:ascii="宋体" w:hAnsi="宋体" w:eastAsia="宋体" w:cs="宋体"/>
      <w:color w:val="000000"/>
      <w:sz w:val="20"/>
      <w:szCs w:val="20"/>
      <w:u w:val="none"/>
    </w:rPr>
  </w:style>
  <w:style w:type="character" w:customStyle="1" w:styleId="37">
    <w:name w:val="font81"/>
    <w:basedOn w:val="25"/>
    <w:qFormat/>
    <w:uiPriority w:val="0"/>
    <w:rPr>
      <w:rFonts w:hint="default" w:ascii="Times New Roman" w:hAnsi="Times New Roman" w:cs="Times New Roman"/>
      <w:color w:val="000000"/>
      <w:sz w:val="20"/>
      <w:szCs w:val="20"/>
      <w:u w:val="none"/>
    </w:rPr>
  </w:style>
  <w:style w:type="character" w:customStyle="1" w:styleId="38">
    <w:name w:val="font112"/>
    <w:basedOn w:val="25"/>
    <w:qFormat/>
    <w:uiPriority w:val="0"/>
    <w:rPr>
      <w:rFonts w:hint="eastAsia" w:ascii="宋体" w:hAnsi="宋体" w:eastAsia="宋体" w:cs="宋体"/>
      <w:b/>
      <w:bCs/>
      <w:color w:val="000000"/>
      <w:sz w:val="20"/>
      <w:szCs w:val="20"/>
      <w:u w:val="none"/>
    </w:rPr>
  </w:style>
  <w:style w:type="character" w:customStyle="1" w:styleId="39">
    <w:name w:val="font121"/>
    <w:basedOn w:val="25"/>
    <w:qFormat/>
    <w:uiPriority w:val="0"/>
    <w:rPr>
      <w:rFonts w:ascii="宋体" w:hAnsi="宋体" w:eastAsia="宋体" w:cs="宋体"/>
      <w:color w:val="000000"/>
      <w:sz w:val="20"/>
      <w:szCs w:val="20"/>
      <w:u w:val="none"/>
    </w:rPr>
  </w:style>
  <w:style w:type="character" w:customStyle="1" w:styleId="40">
    <w:name w:val="textcontents"/>
    <w:qFormat/>
    <w:uiPriority w:val="0"/>
    <w:rPr>
      <w:rFonts w:cs="Times New Roman"/>
    </w:rPr>
  </w:style>
  <w:style w:type="character" w:customStyle="1" w:styleId="41">
    <w:name w:val="font101"/>
    <w:basedOn w:val="25"/>
    <w:qFormat/>
    <w:uiPriority w:val="0"/>
    <w:rPr>
      <w:rFonts w:hint="eastAsia" w:ascii="宋体" w:hAnsi="宋体" w:eastAsia="宋体" w:cs="宋体"/>
      <w:b/>
      <w:bCs/>
      <w:color w:val="000000"/>
      <w:sz w:val="32"/>
      <w:szCs w:val="32"/>
      <w:u w:val="none"/>
    </w:rPr>
  </w:style>
  <w:style w:type="character" w:customStyle="1" w:styleId="42">
    <w:name w:val="font71"/>
    <w:basedOn w:val="25"/>
    <w:qFormat/>
    <w:uiPriority w:val="0"/>
    <w:rPr>
      <w:rFonts w:hint="eastAsia" w:ascii="宋体" w:hAnsi="宋体" w:eastAsia="宋体" w:cs="宋体"/>
      <w:color w:val="000000"/>
      <w:sz w:val="20"/>
      <w:szCs w:val="20"/>
      <w:u w:val="none"/>
    </w:rPr>
  </w:style>
  <w:style w:type="character" w:customStyle="1" w:styleId="43">
    <w:name w:val="font31"/>
    <w:basedOn w:val="25"/>
    <w:qFormat/>
    <w:uiPriority w:val="0"/>
    <w:rPr>
      <w:rFonts w:hint="default" w:ascii="Times New Roman" w:hAnsi="Times New Roman" w:cs="Times New Roman"/>
      <w:color w:val="000000"/>
      <w:sz w:val="20"/>
      <w:szCs w:val="20"/>
      <w:u w:val="none"/>
    </w:rPr>
  </w:style>
  <w:style w:type="character" w:customStyle="1" w:styleId="44">
    <w:name w:val="font11"/>
    <w:basedOn w:val="25"/>
    <w:qFormat/>
    <w:uiPriority w:val="0"/>
    <w:rPr>
      <w:rFonts w:hint="eastAsia" w:ascii="宋体" w:hAnsi="宋体" w:eastAsia="宋体" w:cs="宋体"/>
      <w:b/>
      <w:bCs/>
      <w:color w:val="000000"/>
      <w:sz w:val="22"/>
      <w:szCs w:val="22"/>
      <w:u w:val="none"/>
    </w:rPr>
  </w:style>
  <w:style w:type="character" w:customStyle="1" w:styleId="45">
    <w:name w:val="font91"/>
    <w:basedOn w:val="25"/>
    <w:qFormat/>
    <w:uiPriority w:val="0"/>
    <w:rPr>
      <w:rFonts w:hint="eastAsia" w:ascii="宋体" w:hAnsi="宋体" w:eastAsia="宋体" w:cs="宋体"/>
      <w:color w:val="000000"/>
      <w:sz w:val="20"/>
      <w:szCs w:val="20"/>
      <w:u w:val="none"/>
    </w:rPr>
  </w:style>
  <w:style w:type="character" w:customStyle="1" w:styleId="46">
    <w:name w:val="font61"/>
    <w:basedOn w:val="25"/>
    <w:qFormat/>
    <w:uiPriority w:val="0"/>
    <w:rPr>
      <w:rFonts w:hint="eastAsia" w:ascii="宋体" w:hAnsi="宋体" w:eastAsia="宋体" w:cs="宋体"/>
      <w:color w:val="000000"/>
      <w:sz w:val="20"/>
      <w:szCs w:val="20"/>
      <w:u w:val="none"/>
    </w:rPr>
  </w:style>
  <w:style w:type="character" w:customStyle="1" w:styleId="47">
    <w:name w:val="font51"/>
    <w:basedOn w:val="25"/>
    <w:qFormat/>
    <w:uiPriority w:val="0"/>
    <w:rPr>
      <w:rFonts w:hint="default" w:ascii="Times New Roman" w:hAnsi="Times New Roman" w:cs="Times New Roman"/>
      <w:color w:val="000000"/>
      <w:sz w:val="20"/>
      <w:szCs w:val="20"/>
      <w:u w:val="none"/>
    </w:rPr>
  </w:style>
  <w:style w:type="paragraph" w:customStyle="1" w:styleId="48">
    <w:name w:val="正文缩进2字符"/>
    <w:basedOn w:val="1"/>
    <w:qFormat/>
    <w:uiPriority w:val="0"/>
    <w:pPr>
      <w:ind w:firstLine="480" w:firstLineChars="200"/>
    </w:pPr>
    <w:rPr>
      <w:rFonts w:cs="宋体"/>
    </w:rPr>
  </w:style>
  <w:style w:type="paragraph" w:customStyle="1" w:styleId="49">
    <w:name w:val="正文 A_0"/>
    <w:qFormat/>
    <w:uiPriority w:val="0"/>
    <w:pPr>
      <w:widowControl w:val="0"/>
      <w:jc w:val="both"/>
    </w:pPr>
    <w:rPr>
      <w:rFonts w:hint="eastAsia" w:ascii="Arial Unicode MS" w:hAnsi="Arial Unicode MS" w:eastAsia="Times New Roman" w:cs="Arial Unicode MS"/>
      <w:color w:val="000000"/>
      <w:kern w:val="2"/>
      <w:sz w:val="21"/>
      <w:szCs w:val="21"/>
      <w:u w:color="000000"/>
      <w:lang w:val="en-US" w:eastAsia="zh-CN" w:bidi="ar-SA"/>
    </w:rPr>
  </w:style>
  <w:style w:type="paragraph" w:customStyle="1" w:styleId="50">
    <w:name w:val="正文_28"/>
    <w:qFormat/>
    <w:uiPriority w:val="0"/>
    <w:rPr>
      <w:rFonts w:ascii="Times New Roman" w:hAnsi="Times New Roman" w:eastAsia="宋体" w:cs="Times New Roman"/>
      <w:sz w:val="24"/>
      <w:szCs w:val="24"/>
      <w:lang w:val="en-US" w:eastAsia="en-US" w:bidi="ar-SA"/>
    </w:rPr>
  </w:style>
  <w:style w:type="paragraph" w:customStyle="1" w:styleId="51">
    <w:name w:val="列出段落1"/>
    <w:basedOn w:val="1"/>
    <w:qFormat/>
    <w:uiPriority w:val="34"/>
    <w:pPr>
      <w:widowControl/>
      <w:spacing w:after="249" w:line="259" w:lineRule="auto"/>
      <w:ind w:left="579" w:firstLine="420" w:firstLineChars="200"/>
      <w:jc w:val="left"/>
    </w:pPr>
    <w:rPr>
      <w:rFonts w:ascii="微软雅黑" w:hAnsi="微软雅黑" w:eastAsia="微软雅黑" w:cs="微软雅黑"/>
      <w:color w:val="000000"/>
      <w:sz w:val="23"/>
      <w:szCs w:val="22"/>
    </w:rPr>
  </w:style>
  <w:style w:type="paragraph" w:customStyle="1" w:styleId="52">
    <w:name w:val="列表段落1"/>
    <w:basedOn w:val="1"/>
    <w:qFormat/>
    <w:uiPriority w:val="34"/>
    <w:pPr>
      <w:ind w:firstLine="420" w:firstLineChars="200"/>
    </w:pPr>
  </w:style>
  <w:style w:type="paragraph" w:customStyle="1" w:styleId="53">
    <w:name w:val="标书正文:  0.74 厘米"/>
    <w:basedOn w:val="1"/>
    <w:qFormat/>
    <w:uiPriority w:val="0"/>
    <w:pPr>
      <w:widowControl/>
      <w:snapToGrid w:val="0"/>
      <w:spacing w:line="360" w:lineRule="auto"/>
      <w:ind w:firstLine="420"/>
      <w:jc w:val="left"/>
    </w:pPr>
    <w:rPr>
      <w:sz w:val="24"/>
      <w:szCs w:val="20"/>
    </w:rPr>
  </w:style>
  <w:style w:type="paragraph" w:styleId="54">
    <w:name w:val="No Spacing"/>
    <w:qFormat/>
    <w:uiPriority w:val="1"/>
    <w:pPr>
      <w:widowControl w:val="0"/>
      <w:adjustRightInd w:val="0"/>
      <w:ind w:firstLine="200" w:firstLineChars="200"/>
      <w:jc w:val="both"/>
      <w:textAlignment w:val="baseline"/>
    </w:pPr>
    <w:rPr>
      <w:rFonts w:ascii="Times New Roman" w:hAnsi="Times New Roman" w:eastAsia="宋体" w:cs="Times New Roman"/>
      <w:sz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1.png"/><Relationship Id="rId12" Type="http://schemas.openxmlformats.org/officeDocument/2006/relationships/theme" Target="theme/theme1.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93</Pages>
  <Words>50158</Words>
  <Characters>54523</Characters>
  <Lines>282</Lines>
  <Paragraphs>79</Paragraphs>
  <TotalTime>0</TotalTime>
  <ScaleCrop>false</ScaleCrop>
  <LinksUpToDate>false</LinksUpToDate>
  <CharactersWithSpaces>57338</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2021-11-15T04:50:00Z</dcterms:created>
  <dc:creator>You fire¥no  fire</dc:creator>
  <cp:lastModifiedBy>You fire¥no  fire</cp:lastModifiedBy>
  <cp:lastPrinted>2023-12-12T08:03:24Z</cp:lastPrinted>
  <dcterms:modified xsi:type="dcterms:W3CDTF">2023-12-12T08:03:27Z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E887BF3DDC8840CDAB5A2950B6E0D06D_13</vt:lpwstr>
  </property>
</Properties>
</file>