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line="360" w:lineRule="auto"/>
        <w:ind w:right="-22" w:firstLine="0" w:firstLineChars="0"/>
        <w:jc w:val="center"/>
        <w:textAlignment w:val="baseline"/>
        <w:outlineLvl w:val="0"/>
        <w:rPr>
          <w:rFonts w:ascii="宋体" w:hAnsi="宋体" w:cs="宋体"/>
          <w:color w:val="000000" w:themeColor="text1"/>
          <w:sz w:val="36"/>
          <w:szCs w:val="36"/>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采购内容及要求</w:t>
      </w:r>
    </w:p>
    <w:p>
      <w:pPr>
        <w:pStyle w:val="4"/>
        <w:spacing w:before="0" w:after="0" w:line="360" w:lineRule="auto"/>
        <w:rPr>
          <w:rFonts w:ascii="宋体" w:hAnsi="宋体" w:eastAsia="宋体" w:cs="宋体"/>
          <w:color w:val="000000" w:themeColor="text1"/>
          <w:szCs w:val="24"/>
          <w14:textFill>
            <w14:solidFill>
              <w14:schemeClr w14:val="tx1"/>
            </w14:solidFill>
          </w14:textFill>
        </w:rPr>
      </w:pPr>
      <w:bookmarkStart w:id="0" w:name="_Toc4391"/>
      <w:r>
        <w:rPr>
          <w:rFonts w:hint="eastAsia" w:ascii="宋体" w:hAnsi="宋体" w:eastAsia="宋体" w:cs="宋体"/>
          <w:color w:val="000000" w:themeColor="text1"/>
          <w:szCs w:val="24"/>
          <w14:textFill>
            <w14:solidFill>
              <w14:schemeClr w14:val="tx1"/>
            </w14:solidFill>
          </w14:textFill>
        </w:rPr>
        <w:t>一、采购内容及技术参数</w:t>
      </w:r>
      <w:bookmarkEnd w:id="0"/>
    </w:p>
    <w:p>
      <w:pPr>
        <w:pStyle w:val="5"/>
        <w:spacing w:before="0" w:after="0"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 采购内容</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的工作目标，主要是针对渭城区文物保护中心文物库房、展厅的文物保存环境现状及实际需求，配置离线手持温、湿度环境检测设备、配置文物储藏柜架、文物囊匣等藏储设施，改善文物储藏条件；针对展厅及库房进行展柜密封胶条更换以及展厅、库房灯光更换，改善提升文物展示储藏条件，形成预防性风险管理机制，有效提升渭城区文物保护中心文物预防性保护能力。</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项目的主要任务是：</w:t>
      </w:r>
    </w:p>
    <w:p>
      <w:pPr>
        <w:pStyle w:val="2"/>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1、针对当前库房文物保存设施现状，为改造和提升文物保存设施条件，为文物库房配置一批符合要求的文物专用储藏柜架；</w:t>
      </w:r>
    </w:p>
    <w:p>
      <w:pPr>
        <w:pStyle w:val="2"/>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2、为珍贵文物设计制作144个文物专用囊匣；</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3、配备必要的手持式温湿度检测仪器，用于定期检测和评估文物保存环境；</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4、展柜密封条更换，提高展柜密封性，努力达到展柜内文物微环境的稳定环境，同时针对展厅及库房内灯光进行更换，使用无紫外线辐射的LED灯光；</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5、制定藏品与资料预防性保护管理制度，设立相关岗位职责，形成藏品与资料保护管理、协调、监测、分析、处理、预案等一系列风险预控机制，全面提升馆藏文物与资料预防性保护水平。</w:t>
      </w:r>
    </w:p>
    <w:p>
      <w:pPr>
        <w:pStyle w:val="5"/>
        <w:spacing w:before="120" w:after="12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1.2 技术参数</w:t>
      </w:r>
    </w:p>
    <w:tbl>
      <w:tblPr>
        <w:tblStyle w:val="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10"/>
        <w:gridCol w:w="992"/>
        <w:gridCol w:w="5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序号</w:t>
            </w:r>
          </w:p>
        </w:tc>
        <w:tc>
          <w:tcPr>
            <w:tcW w:w="2310"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采购项名称</w:t>
            </w:r>
          </w:p>
        </w:tc>
        <w:tc>
          <w:tcPr>
            <w:tcW w:w="992"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数量</w:t>
            </w:r>
          </w:p>
        </w:tc>
        <w:tc>
          <w:tcPr>
            <w:tcW w:w="5510" w:type="dxa"/>
            <w:vAlign w:val="center"/>
          </w:tcPr>
          <w:p>
            <w:pPr>
              <w:widowControl/>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需求条款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1</w:t>
            </w:r>
          </w:p>
        </w:tc>
        <w:tc>
          <w:tcPr>
            <w:tcW w:w="8812" w:type="dxa"/>
            <w:gridSpan w:val="3"/>
            <w:vAlign w:val="center"/>
          </w:tcPr>
          <w:p>
            <w:pPr>
              <w:widowControl/>
              <w:jc w:val="left"/>
              <w:rPr>
                <w:rFonts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环境巡检设备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1.1</w:t>
            </w:r>
          </w:p>
        </w:tc>
        <w:tc>
          <w:tcPr>
            <w:tcW w:w="2310"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便携式温湿度检测仪</w:t>
            </w:r>
          </w:p>
        </w:tc>
        <w:tc>
          <w:tcPr>
            <w:tcW w:w="9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台</w:t>
            </w:r>
          </w:p>
        </w:tc>
        <w:tc>
          <w:tcPr>
            <w:tcW w:w="5510" w:type="dxa"/>
            <w:vAlign w:val="center"/>
          </w:tcPr>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测量范围：-</w:t>
            </w:r>
            <w:r>
              <w:rPr>
                <w:rFonts w:asciiTheme="minorEastAsia" w:hAnsiTheme="minorEastAsia" w:eastAsiaTheme="minorEastAsia"/>
                <w:color w:val="000000" w:themeColor="text1"/>
                <w:szCs w:val="21"/>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60</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100 %</w:t>
            </w:r>
            <w:r>
              <w:rPr>
                <w:rFonts w:hint="eastAsia" w:asciiTheme="minorEastAsia" w:hAnsiTheme="minorEastAsia" w:eastAsiaTheme="minorEastAsia"/>
                <w:color w:val="000000" w:themeColor="text1"/>
                <w:szCs w:val="21"/>
                <w14:textFill>
                  <w14:solidFill>
                    <w14:schemeClr w14:val="tx1"/>
                  </w14:solidFill>
                </w14:textFill>
              </w:rPr>
              <w:t>RH</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精度优于±2％RH /0.2K；</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分辨率0.1％RH /0.1℃；</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长期稳定性＜1％RH。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1.2</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温湿度记录仪</w:t>
            </w:r>
          </w:p>
        </w:tc>
        <w:tc>
          <w:tcPr>
            <w:tcW w:w="9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5</w:t>
            </w:r>
            <w:r>
              <w:rPr>
                <w:rFonts w:hint="eastAsia" w:cs="宋体" w:asciiTheme="minorEastAsia" w:hAnsiTheme="minorEastAsia" w:eastAsiaTheme="minorEastAsia"/>
                <w:color w:val="000000" w:themeColor="text1"/>
                <w:szCs w:val="21"/>
                <w14:textFill>
                  <w14:solidFill>
                    <w14:schemeClr w14:val="tx1"/>
                  </w14:solidFill>
                </w14:textFill>
              </w:rPr>
              <w:t>台</w:t>
            </w:r>
          </w:p>
        </w:tc>
        <w:tc>
          <w:tcPr>
            <w:tcW w:w="5510" w:type="dxa"/>
            <w:vAlign w:val="center"/>
          </w:tcPr>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配</w:t>
            </w:r>
            <w:r>
              <w:rPr>
                <w:rFonts w:asciiTheme="minorEastAsia" w:hAnsiTheme="minorEastAsia" w:eastAsiaTheme="minorEastAsia"/>
                <w:color w:val="000000" w:themeColor="text1"/>
                <w:szCs w:val="21"/>
                <w14:textFill>
                  <w14:solidFill>
                    <w14:schemeClr w14:val="tx1"/>
                  </w14:solidFill>
                </w14:textFill>
              </w:rPr>
              <w:t>温湿度记录仪软件</w:t>
            </w:r>
            <w:r>
              <w:rPr>
                <w:rFonts w:hint="eastAsia" w:asciiTheme="minorEastAsia" w:hAnsiTheme="minorEastAsia" w:eastAsiaTheme="minorEastAsia"/>
                <w:color w:val="000000" w:themeColor="text1"/>
                <w:szCs w:val="21"/>
                <w14:textFill>
                  <w14:solidFill>
                    <w14:schemeClr w14:val="tx1"/>
                  </w14:solidFill>
                </w14:textFill>
              </w:rPr>
              <w:t>1套；</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测量范围：-2</w:t>
            </w:r>
            <w:r>
              <w:rPr>
                <w:rFonts w:asciiTheme="minorEastAsia" w:hAnsiTheme="minorEastAsia" w:eastAsiaTheme="minorEastAsia"/>
                <w:color w:val="000000" w:themeColor="text1"/>
                <w:szCs w:val="21"/>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～55℃/</w:t>
            </w:r>
            <w:r>
              <w:rPr>
                <w:rFonts w:asciiTheme="minorEastAsia" w:hAnsiTheme="minorEastAsia" w:eastAsiaTheme="minorEastAsia"/>
                <w:color w:val="000000" w:themeColor="text1"/>
                <w:szCs w:val="21"/>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100 %</w:t>
            </w:r>
            <w:r>
              <w:rPr>
                <w:rFonts w:hint="eastAsia" w:asciiTheme="minorEastAsia" w:hAnsiTheme="minorEastAsia" w:eastAsiaTheme="minorEastAsia"/>
                <w:color w:val="000000" w:themeColor="text1"/>
                <w:szCs w:val="21"/>
                <w14:textFill>
                  <w14:solidFill>
                    <w14:schemeClr w14:val="tx1"/>
                  </w14:solidFill>
                </w14:textFill>
              </w:rPr>
              <w:t>RH；</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精度优于±2％RH /0.4K；</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分辨率0.1％RH /0.1℃；</w:t>
            </w:r>
          </w:p>
          <w:p>
            <w:pPr>
              <w:widowControl/>
              <w:numPr>
                <w:ilvl w:val="0"/>
                <w:numId w:val="1"/>
              </w:num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储存容量：100万个数据。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2</w:t>
            </w:r>
          </w:p>
        </w:tc>
        <w:tc>
          <w:tcPr>
            <w:tcW w:w="8812" w:type="dxa"/>
            <w:gridSpan w:val="3"/>
            <w:vAlign w:val="center"/>
          </w:tcPr>
          <w:p>
            <w:pPr>
              <w:widowControl/>
              <w:jc w:val="left"/>
              <w:rPr>
                <w:rFonts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文物囊匣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8" w:type="dxa"/>
            <w:gridSpan w:val="4"/>
            <w:vAlign w:val="center"/>
          </w:tcPr>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1、囊匣整体要求：</w:t>
            </w:r>
          </w:p>
          <w:p>
            <w:pPr>
              <w:numPr>
                <w:ilvl w:val="0"/>
                <w:numId w:val="2"/>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整体设计合理、实用，结构稳固，美观大方。方便使用，便于文物存取和移动。</w:t>
            </w:r>
          </w:p>
          <w:p>
            <w:pPr>
              <w:numPr>
                <w:ilvl w:val="0"/>
                <w:numId w:val="2"/>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扣合紧密；对外力或冲击有良好的缓冲作用。</w:t>
            </w:r>
          </w:p>
          <w:p>
            <w:pPr>
              <w:numPr>
                <w:ilvl w:val="0"/>
                <w:numId w:val="2"/>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符合</w:t>
            </w:r>
            <w:r>
              <w:rPr>
                <w:rFonts w:asciiTheme="minorEastAsia" w:hAnsiTheme="minorEastAsia" w:eastAsiaTheme="minorEastAsia"/>
                <w:color w:val="000000" w:themeColor="text1"/>
                <w:szCs w:val="21"/>
                <w14:textFill>
                  <w14:solidFill>
                    <w14:schemeClr w14:val="tx1"/>
                  </w14:solidFill>
                </w14:textFill>
              </w:rPr>
              <w:t>GB/T 4857.</w:t>
            </w: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2008静载荷堆码试验、</w:t>
            </w:r>
            <w:r>
              <w:rPr>
                <w:rFonts w:asciiTheme="minorEastAsia" w:hAnsiTheme="minorEastAsia" w:eastAsiaTheme="minorEastAsia"/>
                <w:color w:val="000000" w:themeColor="text1"/>
                <w:szCs w:val="21"/>
                <w14:textFill>
                  <w14:solidFill>
                    <w14:schemeClr w14:val="tx1"/>
                  </w14:solidFill>
                </w14:textFill>
              </w:rPr>
              <w:t>GB/T 4857.</w:t>
            </w:r>
            <w:r>
              <w:rPr>
                <w:rFonts w:hint="eastAsia" w:asciiTheme="minorEastAsia" w:hAnsiTheme="minorEastAsia" w:eastAsia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2008压力试验、 </w:t>
            </w:r>
            <w:r>
              <w:rPr>
                <w:rFonts w:asciiTheme="minorEastAsia" w:hAnsiTheme="minorEastAsia" w:eastAsiaTheme="minorEastAsia"/>
                <w:color w:val="000000" w:themeColor="text1"/>
                <w:szCs w:val="21"/>
                <w14:textFill>
                  <w14:solidFill>
                    <w14:schemeClr w14:val="tx1"/>
                  </w14:solidFill>
                </w14:textFill>
              </w:rPr>
              <w:t>GB/T 4857.5-1992</w:t>
            </w:r>
            <w:r>
              <w:rPr>
                <w:rFonts w:hint="eastAsia" w:asciiTheme="minorEastAsia" w:hAnsiTheme="minorEastAsia" w:eastAsiaTheme="minorEastAsia"/>
                <w:color w:val="000000" w:themeColor="text1"/>
                <w:szCs w:val="21"/>
                <w14:textFill>
                  <w14:solidFill>
                    <w14:schemeClr w14:val="tx1"/>
                  </w14:solidFill>
                </w14:textFill>
              </w:rPr>
              <w:t>自由落体防撞试验标准，实验过程后，盒体不明显变形，不开裂，外观无明显异常。</w:t>
            </w:r>
          </w:p>
          <w:p>
            <w:pPr>
              <w:numPr>
                <w:ilvl w:val="0"/>
                <w:numId w:val="2"/>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表面平整光洁，材料纤维组织和纹理均匀；没有洞眼、残缺、破损、气泡、硬质块、色彩不均匀等材料病症。</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制作</w:t>
            </w:r>
            <w:r>
              <w:rPr>
                <w:rFonts w:hint="eastAsia" w:asciiTheme="minorEastAsia" w:hAnsiTheme="minorEastAsia" w:eastAsiaTheme="minorEastAsia"/>
                <w:color w:val="000000" w:themeColor="text1"/>
                <w:szCs w:val="21"/>
                <w14:textFill>
                  <w14:solidFill>
                    <w14:schemeClr w14:val="tx1"/>
                  </w14:solidFill>
                </w14:textFill>
              </w:rPr>
              <w:t>囊匣材料：</w:t>
            </w:r>
          </w:p>
          <w:p>
            <w:pPr>
              <w:ind w:left="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制作囊匣的材料应采用无酸的、中性的、惰性的或化学稳定性好的材料；应为博物馆级的或为业界广泛采用的成熟产品。</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囊匣外盒物理性能</w:t>
            </w:r>
          </w:p>
          <w:p>
            <w:pPr>
              <w:numPr>
                <w:ilvl w:val="0"/>
                <w:numId w:val="3"/>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外形设计和制作规矩、齐整；盒壁与盒底的结构能保证足够的牢固性和承重力。盒盖与盒体扣合严密，无翘口或变形。</w:t>
            </w:r>
          </w:p>
          <w:p>
            <w:pPr>
              <w:numPr>
                <w:ilvl w:val="0"/>
                <w:numId w:val="3"/>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囊匣空盒抗压强度：主材为中密度纤维板（澳松板）囊匣的空盒，在承受20kPa压力时，中密度纤维板（澳松板）的囊匣压溃值＞7</w:t>
            </w:r>
            <w:r>
              <w:rPr>
                <w:rFonts w:asciiTheme="minorEastAsia" w:hAnsiTheme="minorEastAsia" w:eastAsiaTheme="minorEastAsia"/>
                <w:color w:val="000000" w:themeColor="text1"/>
                <w:szCs w:val="21"/>
                <w14:textFill>
                  <w14:solidFill>
                    <w14:schemeClr w14:val="tx1"/>
                  </w14:solidFill>
                </w14:textFill>
              </w:rPr>
              <w:t>0000N</w:t>
            </w:r>
            <w:r>
              <w:rPr>
                <w:rFonts w:hint="eastAsia" w:asciiTheme="minorEastAsia" w:hAnsiTheme="minorEastAsia" w:eastAsiaTheme="minorEastAsia"/>
                <w:color w:val="000000" w:themeColor="text1"/>
                <w:szCs w:val="21"/>
                <w14:textFill>
                  <w14:solidFill>
                    <w14:schemeClr w14:val="tx1"/>
                  </w14:solidFill>
                </w14:textFill>
              </w:rPr>
              <w:t>。</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扣合：囊匣的扣件或加固件等配件不能损害到文物。扣合应牢固，保证盒盖与四壁密封性良好；开口设计应避免文物从盒中取放不便而造成损害。</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囊匣内囊</w:t>
            </w:r>
            <w:r>
              <w:rPr>
                <w:rFonts w:hint="eastAsia" w:asciiTheme="minorEastAsia" w:hAnsiTheme="minorEastAsia" w:eastAsiaTheme="minorEastAsia"/>
                <w:color w:val="000000" w:themeColor="text1"/>
                <w:szCs w:val="21"/>
                <w14:textFill>
                  <w14:solidFill>
                    <w14:schemeClr w14:val="tx1"/>
                  </w14:solidFill>
                </w14:textFill>
              </w:rPr>
              <w:t>：</w:t>
            </w:r>
          </w:p>
          <w:p>
            <w:pPr>
              <w:numPr>
                <w:ilvl w:val="0"/>
                <w:numId w:val="4"/>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内囊是直接接触文物的部分，须使用安全可靠、环保的材料，能充分起到减震和缓冲的防护作用，且对文物不产生有害影响。</w:t>
            </w:r>
          </w:p>
          <w:p>
            <w:pPr>
              <w:numPr>
                <w:ilvl w:val="0"/>
                <w:numId w:val="4"/>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包覆面料：须采用质地柔软细腻、无污染物释放、不易产生霉变的无酸材料、天然材料或优质惰性材料。</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填充/缓冲材料：须采用质地柔软、富有弹性、不易产生霉变、不易老化或变形、无有害物质的无酸材料、天然材料或优质惰性材料。</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4、囊匣内囊物理性能：</w:t>
            </w:r>
          </w:p>
          <w:p>
            <w:pPr>
              <w:numPr>
                <w:ilvl w:val="0"/>
                <w:numId w:val="5"/>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内囊应根据文物的质地、大小和保管方式进行设计，分清受力点，使文物完全贴附内囊，内囊与器物呈六面挤合状的紧致的包裹状态，文物在囊匣里不会产生位移，可以最大限度地防止文物在运输或者搬运时因意外受到冲撞所受到的伤害，达到最大限度保护好文物为目的。</w:t>
            </w:r>
          </w:p>
          <w:p>
            <w:pPr>
              <w:numPr>
                <w:ilvl w:val="0"/>
                <w:numId w:val="5"/>
              </w:num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泡绵内囊：</w:t>
            </w:r>
          </w:p>
          <w:p>
            <w:pPr>
              <w:ind w:left="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（1）泡绵的软硬度适中；应与藏品呈均匀接触状，物囊吻合，器物于匣内呈稳固状态。</w:t>
            </w:r>
          </w:p>
          <w:p>
            <w:pPr>
              <w:pStyle w:val="2"/>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（2）泡绵表面不直接接触藏品，应包覆柔软纺织物。</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、囊匣盒体主要材料要求：</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无酸棉纸板</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主材（芯板）：无酸棉纸板。文物装具专用纸板。</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（1）pH值：7.2～8.5。</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（1）纤维构成：棉浆纤维≥30%，不含机械浆。</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（2）金属离子：总含量不高于50mg/kg。</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（1）纸板厚度：主材2.4～2.7mm。</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（2）克重：1500～2000g/㎡。</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（3）紧度：0.5～0.8g/cm³。</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（4）抗张强度（纵/横向）：＞33.5/30.0kN/m。</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中密度纤维板（澳松板）:</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环保性指标：甲醛释放量≤0.05mg/ m³，符合GB/T 39600-2021《人造板及其制品甲醛释放量分级》最高标准（E0）。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(1)密度≥0.7g/cm³。</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(2)含水率：5.0～8.0%。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(3)内结合强度:≥0.6MPa。</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宋锦</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囊匣外表包覆材料。无酸、耐折、抗撕拉、耐摩擦；柔韧性好；纹样组织精密细致，风格古雅大方；有立体感和良好质感。</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（1）p</w:t>
            </w:r>
            <w:r>
              <w:rPr>
                <w:rFonts w:asciiTheme="minorEastAsia" w:hAnsiTheme="minorEastAsia" w:eastAsiaTheme="minorEastAsia"/>
                <w:color w:val="000000" w:themeColor="text1"/>
                <w:szCs w:val="21"/>
                <w14:textFill>
                  <w14:solidFill>
                    <w14:schemeClr w14:val="tx1"/>
                  </w14:solidFill>
                </w14:textFill>
              </w:rPr>
              <w:t>H</w:t>
            </w:r>
            <w:r>
              <w:rPr>
                <w:rFonts w:hint="eastAsia" w:asciiTheme="minorEastAsia" w:hAnsiTheme="minorEastAsia" w:eastAsiaTheme="minorEastAsia"/>
                <w:color w:val="000000" w:themeColor="text1"/>
                <w:szCs w:val="21"/>
                <w14:textFill>
                  <w14:solidFill>
                    <w14:schemeClr w14:val="tx1"/>
                  </w14:solidFill>
                </w14:textFill>
              </w:rPr>
              <w:t>值：5</w:t>
            </w: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7.5</w:t>
            </w:r>
            <w:r>
              <w:rPr>
                <w:rFonts w:hint="eastAsia" w:asciiTheme="minorEastAsia" w:hAnsiTheme="minorEastAsia" w:eastAsiaTheme="minorEastAsia"/>
                <w:color w:val="000000" w:themeColor="text1"/>
                <w:szCs w:val="21"/>
                <w14:textFill>
                  <w14:solidFill>
                    <w14:schemeClr w14:val="tx1"/>
                  </w14:solidFill>
                </w14:textFill>
              </w:rPr>
              <w:t>或中性</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（1）耐水色牢度、耐酸/碱汗渍色牢度、耐干摩擦色牢度等项指标：≥3，符合A类标准。</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（2）宋锦纹样：用户选定；定制</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（1）甲醛含量：甲醛含量须符合国家纺织品GB/T2912.1-2009要求，级别A类；</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（2）不含可分解致癌芳香胺染料。</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（3）无异味。</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 xml:space="preserve">无酸棉布: </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无酸性指标：Ph值：≧7.0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（1）甲醛含量：甲醛含量须符合国家纺织品GB/T2912.1-2009要求，级别A类；</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（2）不含可分解致癌芳香胺染料。</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（3）无异味。</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(1)纤维成分含量：棉含量 100%；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(2)密度：经向≧</w:t>
            </w:r>
            <w:r>
              <w:rPr>
                <w:rFonts w:asciiTheme="minorEastAsia" w:hAnsiTheme="minorEastAsia" w:eastAsiaTheme="minorEastAsia"/>
                <w:color w:val="000000" w:themeColor="text1"/>
                <w:szCs w:val="21"/>
                <w14:textFill>
                  <w14:solidFill>
                    <w14:schemeClr w14:val="tx1"/>
                  </w14:solidFill>
                </w14:textFill>
              </w:rPr>
              <w:t>580</w:t>
            </w:r>
            <w:r>
              <w:rPr>
                <w:rFonts w:hint="eastAsia" w:asciiTheme="minorEastAsia" w:hAnsiTheme="minorEastAsia" w:eastAsiaTheme="minorEastAsia"/>
                <w:color w:val="000000" w:themeColor="text1"/>
                <w:szCs w:val="21"/>
                <w14:textFill>
                  <w14:solidFill>
                    <w14:schemeClr w14:val="tx1"/>
                  </w14:solidFill>
                </w14:textFill>
              </w:rPr>
              <w:t xml:space="preserve">根/10cm，纬向≧ </w:t>
            </w:r>
            <w:r>
              <w:rPr>
                <w:rFonts w:asciiTheme="minorEastAsia" w:hAnsiTheme="minorEastAsia" w:eastAsiaTheme="minorEastAsia"/>
                <w:color w:val="000000" w:themeColor="text1"/>
                <w:szCs w:val="21"/>
                <w14:textFill>
                  <w14:solidFill>
                    <w14:schemeClr w14:val="tx1"/>
                  </w14:solidFill>
                </w14:textFill>
              </w:rPr>
              <w:t>255</w:t>
            </w:r>
            <w:r>
              <w:rPr>
                <w:rFonts w:hint="eastAsia" w:asciiTheme="minorEastAsia" w:hAnsiTheme="minorEastAsia" w:eastAsiaTheme="minorEastAsia"/>
                <w:color w:val="000000" w:themeColor="text1"/>
                <w:szCs w:val="21"/>
                <w14:textFill>
                  <w14:solidFill>
                    <w14:schemeClr w14:val="tx1"/>
                  </w14:solidFill>
                </w14:textFill>
              </w:rPr>
              <w:t>根/10cm。</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(3)耐水色牢度、耐酸/碱汗渍色牢度、耐干摩擦色牢度等项指标：≥3，符合A类标准。</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超细纤维布</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内囊包覆面料。化学稳定性良好的惰性材料；质地柔软丝滑、透气性和回弹性好、抗霉菌、去污性强。</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（1）pH值6.0～8.0。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（1）甲醛含量：甲醛含量须符合国家纺织品GB/T2912.1-2009要求，级别A类；</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（2）不含可分解致癌芳香胺染料。</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（3）无异味。</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）耐水色牢度、耐酸/碱汗渍色牢度、耐干摩擦色牢度等项指标：≥3，符合A类标准。</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（2）灰色、耐脏。</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仿丝棉</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超细仿丝棉。以超细中空涤纶短纤维为主要原料制成；丝光细滑、柔软，回弹性好。不发霉、不生虫。</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（1）pH值：6.5～7.0（水提物）</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（1）甲醛含量：不含。</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（2）不含可分解致癌芳香胺染料。</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（3）无异味。</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）耐水色牢度、耐酸/碱汗渍色牢度、耐干摩擦色牢度等项指标：≥3，符合A类标准。</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无酸卡纸板:</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无酸性指标：pH值8.4～8.7。</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（1）不含游离和水解的甲醛。</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（2）纤维构成：纯木浆纤维（化学浆），无废旧浆（检测报告的纤维配比中如含有“机械浆”，可判定为废旧浆）。</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物理指标：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（1）厚度：0.6</w:t>
            </w: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～0.</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 xml:space="preserve">mm。 </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（2）克重：54</w:t>
            </w:r>
            <w:r>
              <w:rPr>
                <w:rFonts w:asciiTheme="minorEastAsia" w:hAnsiTheme="minorEastAsia" w:eastAsiaTheme="minorEastAsia"/>
                <w:color w:val="000000" w:themeColor="text1"/>
                <w:szCs w:val="21"/>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～5</w:t>
            </w:r>
            <w:r>
              <w:rPr>
                <w:rFonts w:asciiTheme="minorEastAsia" w:hAnsiTheme="minorEastAsia" w:eastAsiaTheme="minorEastAsia"/>
                <w:color w:val="000000" w:themeColor="text1"/>
                <w:szCs w:val="21"/>
                <w14:textFill>
                  <w14:solidFill>
                    <w14:schemeClr w14:val="tx1"/>
                  </w14:solidFill>
                </w14:textFill>
              </w:rPr>
              <w:t>60</w:t>
            </w:r>
            <w:r>
              <w:rPr>
                <w:rFonts w:hint="eastAsia" w:asciiTheme="minorEastAsia" w:hAnsiTheme="minorEastAsia" w:eastAsiaTheme="minorEastAsia"/>
                <w:color w:val="000000" w:themeColor="text1"/>
                <w:szCs w:val="21"/>
                <w14:textFill>
                  <w14:solidFill>
                    <w14:schemeClr w14:val="tx1"/>
                  </w14:solidFill>
                </w14:textFill>
              </w:rPr>
              <w:t>g/㎡。</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（3）紧度：0.80～0.88g/cm3。</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（4）抗张强度（纵/横向）：≥30.0/17.7kN/m。</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（5）卡伯值（硬度）：＜1.2。</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环保PE泡绵（电子交联P</w:t>
            </w:r>
            <w:r>
              <w:rPr>
                <w:rFonts w:asciiTheme="minorEastAsia" w:hAnsiTheme="minorEastAsia" w:eastAsiaTheme="minorEastAsia"/>
                <w:b/>
                <w:bCs/>
                <w:color w:val="000000" w:themeColor="text1"/>
                <w:szCs w:val="21"/>
                <w14:textFill>
                  <w14:solidFill>
                    <w14:schemeClr w14:val="tx1"/>
                  </w14:solidFill>
                </w14:textFill>
              </w:rPr>
              <w:t>E</w:t>
            </w:r>
            <w:r>
              <w:rPr>
                <w:rFonts w:hint="eastAsia" w:asciiTheme="minorEastAsia" w:hAnsiTheme="minorEastAsia" w:eastAsiaTheme="minorEastAsia"/>
                <w:b/>
                <w:bCs/>
                <w:color w:val="000000" w:themeColor="text1"/>
                <w:szCs w:val="21"/>
                <w14:textFill>
                  <w14:solidFill>
                    <w14:schemeClr w14:val="tx1"/>
                  </w14:solidFill>
                </w14:textFill>
              </w:rPr>
              <w:t>泡棉）:</w:t>
            </w:r>
          </w:p>
          <w:p>
            <w:pPr>
              <w:ind w:firstLine="210" w:firstLineChars="1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使用物理发泡技术生产的PE泡绵，不使用化学发泡剂。无毒、无臭、无污染物质析出，化学稳 定性好；不易老化和变色。</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无酸性指标：pH值6.0～7.0。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(1)不含甲醛。</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(2)不含苯类、醚类、重金属等物质。</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文保专用白胶（无酸白胶）:</w:t>
            </w:r>
          </w:p>
          <w:p>
            <w:pPr>
              <w:ind w:firstLine="210" w:firstLineChars="1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胶粘性能好，不发脆，不发霉；有适度韧性；无刺激性异味。</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无酸性指标：pH值7.0～9.0。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（1）不含甲醛、苯类物质；</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（2）不含增塑剂（</w:t>
            </w:r>
            <w:r>
              <w:rPr>
                <w:rFonts w:asciiTheme="minorEastAsia" w:hAnsiTheme="minorEastAsia" w:eastAsiaTheme="minorEastAsia"/>
                <w:color w:val="000000" w:themeColor="text1"/>
                <w:szCs w:val="21"/>
                <w14:textFill>
                  <w14:solidFill>
                    <w14:schemeClr w14:val="tx1"/>
                  </w14:solidFill>
                </w14:textFill>
              </w:rPr>
              <w:t>DBP</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BBP</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DEHP</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DINP</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DNOP</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DIDP</w:t>
            </w:r>
            <w:r>
              <w:rPr>
                <w:rFonts w:hint="eastAsia" w:asciiTheme="minorEastAsia" w:hAnsiTheme="minorEastAsia" w:eastAsiaTheme="minorEastAsia"/>
                <w:color w:val="000000" w:themeColor="text1"/>
                <w:szCs w:val="21"/>
                <w14:textFill>
                  <w14:solidFill>
                    <w14:schemeClr w14:val="tx1"/>
                  </w14:solidFill>
                </w14:textFill>
              </w:rPr>
              <w:t>等）</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（3）不含金属离子（铜、铁）。</w:t>
            </w:r>
          </w:p>
          <w:p>
            <w:pP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热熔胶（E</w:t>
            </w:r>
            <w:r>
              <w:rPr>
                <w:rFonts w:asciiTheme="minorEastAsia" w:hAnsiTheme="minorEastAsia" w:eastAsiaTheme="minorEastAsia"/>
                <w:b/>
                <w:bCs/>
                <w:color w:val="000000" w:themeColor="text1"/>
                <w:szCs w:val="21"/>
                <w14:textFill>
                  <w14:solidFill>
                    <w14:schemeClr w14:val="tx1"/>
                  </w14:solidFill>
                </w14:textFill>
              </w:rPr>
              <w:t>VA</w:t>
            </w:r>
            <w:r>
              <w:rPr>
                <w:rFonts w:hint="eastAsia" w:asciiTheme="minorEastAsia" w:hAnsiTheme="minorEastAsia" w:eastAsiaTheme="minorEastAsia"/>
                <w:b/>
                <w:bCs/>
                <w:color w:val="000000" w:themeColor="text1"/>
                <w:szCs w:val="21"/>
                <w14:textFill>
                  <w14:solidFill>
                    <w14:schemeClr w14:val="tx1"/>
                  </w14:solidFill>
                </w14:textFill>
              </w:rPr>
              <w:t>）</w:t>
            </w:r>
          </w:p>
          <w:p>
            <w:pPr>
              <w:ind w:firstLine="210" w:firstLineChars="1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环保型EVA热熔胶。高纯度EVA材料，透明，无臭，无毒，无腐蚀性；热稳定性好，无炭化现象。</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无酸性指标：pH值</w:t>
            </w: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.0～</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.0。</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环保性指标：</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（1）不含增塑剂（DBP、BBP、DEHP、DINP、DNOP、DIDP等）。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序号</w:t>
            </w:r>
          </w:p>
        </w:tc>
        <w:tc>
          <w:tcPr>
            <w:tcW w:w="231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名称</w:t>
            </w:r>
          </w:p>
        </w:tc>
        <w:tc>
          <w:tcPr>
            <w:tcW w:w="992"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数量</w:t>
            </w:r>
          </w:p>
        </w:tc>
        <w:tc>
          <w:tcPr>
            <w:tcW w:w="5510" w:type="dxa"/>
            <w:vAlign w:val="center"/>
          </w:tcPr>
          <w:p>
            <w:pPr>
              <w:pStyle w:val="2"/>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规格（mm）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1</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992"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120</w:t>
            </w:r>
            <w:r>
              <w:rPr>
                <w:rFonts w:hint="eastAsia" w:asciiTheme="minorEastAsia" w:hAnsiTheme="minorEastAsia" w:eastAsiaTheme="minorEastAsia"/>
                <w:color w:val="000000" w:themeColor="text1"/>
                <w:szCs w:val="21"/>
                <w14:textFill>
                  <w14:solidFill>
                    <w14:schemeClr w14:val="tx1"/>
                  </w14:solidFill>
                </w14:textFill>
              </w:rPr>
              <w:t>个</w:t>
            </w:r>
          </w:p>
        </w:tc>
        <w:tc>
          <w:tcPr>
            <w:tcW w:w="5510" w:type="dxa"/>
            <w:vAlign w:val="center"/>
          </w:tcPr>
          <w:p>
            <w:pPr>
              <w:pStyle w:val="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详见附件文物囊匣清单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2.2</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992"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24</w:t>
            </w:r>
            <w:r>
              <w:rPr>
                <w:rFonts w:hint="eastAsia" w:asciiTheme="minorEastAsia" w:hAnsiTheme="minorEastAsia" w:eastAsiaTheme="minorEastAsia"/>
                <w:color w:val="000000" w:themeColor="text1"/>
                <w:szCs w:val="21"/>
                <w14:textFill>
                  <w14:solidFill>
                    <w14:schemeClr w14:val="tx1"/>
                  </w14:solidFill>
                </w14:textFill>
              </w:rPr>
              <w:t>个</w:t>
            </w:r>
          </w:p>
        </w:tc>
        <w:tc>
          <w:tcPr>
            <w:tcW w:w="5510" w:type="dxa"/>
            <w:vAlign w:val="center"/>
          </w:tcPr>
          <w:p>
            <w:pPr>
              <w:pStyle w:val="2"/>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详见附件文物囊匣清单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三</w:t>
            </w:r>
          </w:p>
        </w:tc>
        <w:tc>
          <w:tcPr>
            <w:tcW w:w="8812" w:type="dxa"/>
            <w:gridSpan w:val="3"/>
            <w:vAlign w:val="center"/>
          </w:tcPr>
          <w:p>
            <w:pPr>
              <w:widowControl/>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文物储藏柜架及材料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3.1</w:t>
            </w:r>
          </w:p>
        </w:tc>
        <w:tc>
          <w:tcPr>
            <w:tcW w:w="231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多功能文物储藏柜</w:t>
            </w:r>
          </w:p>
        </w:tc>
        <w:tc>
          <w:tcPr>
            <w:tcW w:w="9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24</w:t>
            </w:r>
            <w:r>
              <w:rPr>
                <w:rFonts w:hint="eastAsia" w:cs="宋体" w:asciiTheme="minorEastAsia" w:hAnsiTheme="minorEastAsia" w:eastAsiaTheme="minorEastAsia"/>
                <w:color w:val="000000" w:themeColor="text1"/>
                <w:szCs w:val="21"/>
                <w14:textFill>
                  <w14:solidFill>
                    <w14:schemeClr w14:val="tx1"/>
                  </w14:solidFill>
                </w14:textFill>
              </w:rPr>
              <w:t>台</w:t>
            </w:r>
          </w:p>
        </w:tc>
        <w:tc>
          <w:tcPr>
            <w:tcW w:w="5510" w:type="dxa"/>
            <w:vAlign w:val="center"/>
          </w:tcPr>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1．规格：长1200*深800*高2200mm；</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内部结构：文物储藏柜每套设备5层文物存放台，设备分为上下两层门；文物存放台（存放台为整块钢板，不许有焊接及任何固定配件）内安装15mm厚的香樟木板外包亚麻布或纯棉布（香樟木可起到防虫、防潮、防腐等功效，外包亚麻布或纯棉布可减少文物与木质之间的摩擦率），每层存放台高度可根据文物尺寸自由调整，便于文物的有序存放，文物存放台匀载重正压力大于120kg不应有损坏和明显变形；</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3外形简洁、大方美观，四周作圆弧处理，拆装方便、灵活、耐用。文物存取处采用暗扣与锁结合的结构，结合紧密、美观、耐腐蚀，锁采用锁芯、拉手锌材质为合金结构，锁、拉手、连动装置一体化设计；</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4设备性能</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（1）可拆装框体钢结构，框架结构，整体焊接，组合式装配。在架体外装有文物防尘板，合拢后无空缝，达到了防火、防尘、防盗、防震、防光等要求。</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（2）底座为重型框架底座，采用整体桥梁式焊接，稳固牢靠。</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（3）香樟木板表面平整，并且经过干燥、防虫、防腐处理。</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（4）柜体稳定坚固，使用灵活可靠。</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（5）双层柜门前后封板，开关轻便、没有噪声。</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（6）组件拆装方便，所有部件外观平滑，没有外露尖角、毛刺。</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（7）存放台每层均匀载重正压力大于120kg，每层自由调整，便于存放尺寸较大的物品。</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（8）每标准节的高层门开启110度及搁板完全抽出并施加120kg向下正压力时，柜体不会有任何倾斜。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3.2</w:t>
            </w:r>
          </w:p>
        </w:tc>
        <w:tc>
          <w:tcPr>
            <w:tcW w:w="231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标准文物存储架</w:t>
            </w:r>
          </w:p>
        </w:tc>
        <w:tc>
          <w:tcPr>
            <w:tcW w:w="9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台</w:t>
            </w:r>
          </w:p>
        </w:tc>
        <w:tc>
          <w:tcPr>
            <w:tcW w:w="5510" w:type="dxa"/>
            <w:vAlign w:val="center"/>
          </w:tcPr>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1.</w:t>
            </w:r>
            <w:r>
              <w:rPr>
                <w:rFonts w:hint="eastAsia" w:cs="宋体" w:asciiTheme="minorEastAsia" w:hAnsiTheme="minorEastAsia" w:eastAsiaTheme="minorEastAsia"/>
                <w:color w:val="000000" w:themeColor="text1"/>
                <w:szCs w:val="21"/>
                <w14:textFill>
                  <w14:solidFill>
                    <w14:schemeClr w14:val="tx1"/>
                  </w14:solidFill>
                </w14:textFill>
              </w:rPr>
              <w:t>规格：不小于1500mm×600mm×2200mm；</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结构：主体结构分底框主拉杆、立柱、层板主拉杆、顶板主拉杆、搁板、包裹板等组成，采用框架底座，可拆开运输安装；</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五层含顶梁式结构，搁板均匀承重200Kg。全负载载重要求：每标准节在全负载(每块单面搁板均匀载重200kg，整体框架承重1000Kg)的情况下，架体、立柱没有任何变形，架体不产生倾斜现象，经48小时，搁板最大挠度不能超过1mm，卸载后不能有任何裂纹及变形，残余变形量&lt;0.1mm；</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外形简洁、大方美观，四周作圆弧处理，拆装方便、灵活、耐用。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3.3</w:t>
            </w:r>
          </w:p>
        </w:tc>
        <w:tc>
          <w:tcPr>
            <w:tcW w:w="2310"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文物减震推车</w:t>
            </w:r>
          </w:p>
        </w:tc>
        <w:tc>
          <w:tcPr>
            <w:tcW w:w="9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2个</w:t>
            </w:r>
          </w:p>
        </w:tc>
        <w:tc>
          <w:tcPr>
            <w:tcW w:w="5510" w:type="dxa"/>
            <w:vAlign w:val="center"/>
          </w:tcPr>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文物推车上下两层结构，有推手，下层增加护板，底部四万向轮，万向轮下带弹簧，当有重物放置，起到减震解压作用。主要部件材料为工业级304不锈钢。</w:t>
            </w:r>
          </w:p>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基本规格：</w:t>
            </w:r>
          </w:p>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尺寸：不小于长70*宽50*高90cm；</w:t>
            </w:r>
          </w:p>
          <w:p>
            <w:pPr>
              <w:widowControl/>
              <w:jc w:val="left"/>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层板净尺寸：不小于65*45cm。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3.4</w:t>
            </w:r>
          </w:p>
        </w:tc>
        <w:tc>
          <w:tcPr>
            <w:tcW w:w="2310" w:type="dxa"/>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库房专用登高梯</w:t>
            </w:r>
          </w:p>
        </w:tc>
        <w:tc>
          <w:tcPr>
            <w:tcW w:w="99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个</w:t>
            </w:r>
          </w:p>
        </w:tc>
        <w:tc>
          <w:tcPr>
            <w:tcW w:w="5510" w:type="dxa"/>
            <w:vAlign w:val="center"/>
          </w:tcPr>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规格：长100*宽59*高150cm ；</w:t>
            </w:r>
          </w:p>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载重：承重350kg；</w:t>
            </w:r>
          </w:p>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轮子：配4寸静音轮；</w:t>
            </w:r>
          </w:p>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材料：圆管25*25*1.5mm；</w:t>
            </w:r>
          </w:p>
          <w:p>
            <w:pPr>
              <w:widowControl/>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踏板：防滑花纹板；</w:t>
            </w:r>
          </w:p>
          <w:p>
            <w:pPr>
              <w:widowControl/>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配4个万向轮，配防松螺帽。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四</w:t>
            </w:r>
          </w:p>
        </w:tc>
        <w:tc>
          <w:tcPr>
            <w:tcW w:w="8812" w:type="dxa"/>
            <w:gridSpan w:val="3"/>
            <w:vAlign w:val="center"/>
          </w:tcPr>
          <w:p>
            <w:pPr>
              <w:widowControl/>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展厅、库房器材及辅料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4.1</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展柜密封条</w:t>
            </w:r>
          </w:p>
        </w:tc>
        <w:tc>
          <w:tcPr>
            <w:tcW w:w="992"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300米</w:t>
            </w:r>
          </w:p>
        </w:tc>
        <w:tc>
          <w:tcPr>
            <w:tcW w:w="5510"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对展柜密封胶条进行更换，根据展柜类型选择合适的密封胶条样式；</w:t>
            </w:r>
            <w:bookmarkStart w:id="5" w:name="_GoBack"/>
            <w:bookmarkEnd w:id="5"/>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文物展柜应使用有机硅材质的密封胶和密封条，应满足材料环境安全性检验无毒无害和对文物无不良影响。材料安全性应达到长期使用等级；</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3、文物展柜使用的密封胶应符合国标GB 16776的规定；</w:t>
            </w:r>
          </w:p>
          <w:p>
            <w:pPr>
              <w:pStyle w:val="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文物展柜使用的密封条应表面光滑，无明显的机械杂质。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4.2</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展厅灯光</w:t>
            </w:r>
          </w:p>
        </w:tc>
        <w:tc>
          <w:tcPr>
            <w:tcW w:w="992"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32个</w:t>
            </w:r>
          </w:p>
        </w:tc>
        <w:tc>
          <w:tcPr>
            <w:tcW w:w="5510"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LED照明系统，色温恒定3000k-4000K之间可选，照度可调节。照度在≤400lux范围内可调，可整组或分段调节。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4.3</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展厅灯光辅材</w:t>
            </w:r>
          </w:p>
        </w:tc>
        <w:tc>
          <w:tcPr>
            <w:tcW w:w="992"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46米</w:t>
            </w:r>
          </w:p>
        </w:tc>
        <w:tc>
          <w:tcPr>
            <w:tcW w:w="5510"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展厅灯光辅材，含灯光驱动及线路。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rPr>
                <w:rFonts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4.4</w:t>
            </w:r>
          </w:p>
        </w:tc>
        <w:tc>
          <w:tcPr>
            <w:tcW w:w="2310"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库房灯光</w:t>
            </w:r>
          </w:p>
        </w:tc>
        <w:tc>
          <w:tcPr>
            <w:tcW w:w="992" w:type="dxa"/>
            <w:vAlign w:val="center"/>
          </w:tcPr>
          <w:p>
            <w:pPr>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18个</w:t>
            </w:r>
          </w:p>
        </w:tc>
        <w:tc>
          <w:tcPr>
            <w:tcW w:w="5510"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嵌入式LED平板灯，</w:t>
            </w:r>
            <w:bookmarkStart w:id="1" w:name="_Toc488483148"/>
          </w:p>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规格：600*600mm；</w:t>
            </w:r>
            <w:bookmarkEnd w:id="1"/>
          </w:p>
          <w:p>
            <w:pPr>
              <w:rPr>
                <w:rFonts w:cs="宋体" w:asciiTheme="minorEastAsia" w:hAnsiTheme="minorEastAsia" w:eastAsiaTheme="minorEastAsia"/>
                <w:color w:val="000000" w:themeColor="text1"/>
                <w:szCs w:val="21"/>
                <w14:textFill>
                  <w14:solidFill>
                    <w14:schemeClr w14:val="tx1"/>
                  </w14:solidFill>
                </w14:textFill>
              </w:rPr>
            </w:pPr>
            <w:bookmarkStart w:id="2" w:name="_Toc488483149"/>
            <w:r>
              <w:rPr>
                <w:rFonts w:hint="eastAsia" w:cs="宋体" w:asciiTheme="minorEastAsia" w:hAnsiTheme="minorEastAsia" w:eastAsiaTheme="minorEastAsia"/>
                <w:color w:val="000000" w:themeColor="text1"/>
                <w:szCs w:val="21"/>
                <w14:textFill>
                  <w14:solidFill>
                    <w14:schemeClr w14:val="tx1"/>
                  </w14:solidFill>
                </w14:textFill>
              </w:rPr>
              <w:t>材质：铝材+PMMA；</w:t>
            </w:r>
            <w:bookmarkEnd w:id="2"/>
          </w:p>
          <w:p>
            <w:pPr>
              <w:rPr>
                <w:rFonts w:cs="宋体" w:asciiTheme="minorEastAsia" w:hAnsiTheme="minorEastAsia" w:eastAsiaTheme="minorEastAsia"/>
                <w:color w:val="000000" w:themeColor="text1"/>
                <w:szCs w:val="21"/>
                <w14:textFill>
                  <w14:solidFill>
                    <w14:schemeClr w14:val="tx1"/>
                  </w14:solidFill>
                </w14:textFill>
              </w:rPr>
            </w:pPr>
            <w:bookmarkStart w:id="3" w:name="_Toc488483150"/>
            <w:r>
              <w:rPr>
                <w:rFonts w:hint="eastAsia" w:cs="宋体" w:asciiTheme="minorEastAsia" w:hAnsiTheme="minorEastAsia" w:eastAsiaTheme="minorEastAsia"/>
                <w:color w:val="000000" w:themeColor="text1"/>
                <w:szCs w:val="21"/>
                <w14:textFill>
                  <w14:solidFill>
                    <w14:schemeClr w14:val="tx1"/>
                  </w14:solidFill>
                </w14:textFill>
              </w:rPr>
              <w:t>色温：3300K/6000K</w:t>
            </w:r>
            <w:bookmarkEnd w:id="3"/>
            <w:r>
              <w:rPr>
                <w:rFonts w:hint="eastAsia" w:cs="宋体" w:asciiTheme="minorEastAsia" w:hAnsiTheme="minorEastAsia" w:eastAsiaTheme="minorEastAsia"/>
                <w:color w:val="000000" w:themeColor="text1"/>
                <w:szCs w:val="21"/>
                <w14:textFill>
                  <w14:solidFill>
                    <w14:schemeClr w14:val="tx1"/>
                  </w14:solidFill>
                </w14:textFill>
              </w:rPr>
              <w:t>；</w:t>
            </w:r>
          </w:p>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光源3014LED芯片；</w:t>
            </w:r>
          </w:p>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功率：≥32W。</w:t>
            </w:r>
          </w:p>
        </w:tc>
      </w:tr>
    </w:tbl>
    <w:p>
      <w:pPr>
        <w:pStyle w:val="2"/>
        <w:rPr>
          <w:color w:val="000000" w:themeColor="text1"/>
          <w14:textFill>
            <w14:solidFill>
              <w14:schemeClr w14:val="tx1"/>
            </w14:solidFill>
          </w14:textFill>
        </w:rPr>
      </w:pPr>
    </w:p>
    <w:p>
      <w:pPr>
        <w:pStyle w:val="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附：文物囊匣清单：</w:t>
      </w:r>
    </w:p>
    <w:tbl>
      <w:tblPr>
        <w:tblStyle w:val="6"/>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409"/>
        <w:gridCol w:w="1843"/>
        <w:gridCol w:w="992"/>
        <w:gridCol w:w="155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988" w:type="dxa"/>
            <w:shd w:val="clear" w:color="auto" w:fill="auto"/>
            <w:noWrap/>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序号</w:t>
            </w:r>
          </w:p>
        </w:tc>
        <w:tc>
          <w:tcPr>
            <w:tcW w:w="2409"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名称</w:t>
            </w:r>
          </w:p>
        </w:tc>
        <w:tc>
          <w:tcPr>
            <w:tcW w:w="1843"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规格（mm）</w:t>
            </w:r>
          </w:p>
        </w:tc>
        <w:tc>
          <w:tcPr>
            <w:tcW w:w="992"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单位</w:t>
            </w:r>
          </w:p>
        </w:tc>
        <w:tc>
          <w:tcPr>
            <w:tcW w:w="1551"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数量(个）</w:t>
            </w:r>
          </w:p>
        </w:tc>
        <w:tc>
          <w:tcPr>
            <w:tcW w:w="880" w:type="dxa"/>
            <w:shd w:val="clear" w:color="auto" w:fill="auto"/>
            <w:noWrap/>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100×100×50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100×100×100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100×100×150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150×100×150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150×150×50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150×150×150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150×150×200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200×100×50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200×100×100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200×150×150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200×200×200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17</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200×200×250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200×200×300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19</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200×200×400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250×100×50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250×150×50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250×150×150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23</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24</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250×250×150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26</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250×250×250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27</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250×250×350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28</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250×250×450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29</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300×250×250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300×300×50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300×300×100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300×300×150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33</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300×300×250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34</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300×300×300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350×200×200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36</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350×300×200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350×350×100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38</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350×350×150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39</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450×450×150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40</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500×150×100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41</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550×150×100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42</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150×150×50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43</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200×200×50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44</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250×250×50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45</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翻盖式囊匣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300×300×50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46</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100×100×50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47</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150×100×50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48</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150×100×100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49</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300×150×50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300×200×100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51</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350×150×100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52</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350×250×100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53</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350×300×300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54</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400×300×100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55</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多宝格式囊匣</w:t>
            </w: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600×400×150</w:t>
            </w: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88"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小计</w:t>
            </w:r>
          </w:p>
        </w:tc>
        <w:tc>
          <w:tcPr>
            <w:tcW w:w="2409"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1843"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p>
        </w:tc>
        <w:tc>
          <w:tcPr>
            <w:tcW w:w="992"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1551" w:type="dxa"/>
            <w:shd w:val="clear" w:color="auto" w:fill="auto"/>
            <w:noWrap/>
            <w:vAlign w:val="bottom"/>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44</w:t>
            </w:r>
          </w:p>
        </w:tc>
        <w:tc>
          <w:tcPr>
            <w:tcW w:w="880" w:type="dxa"/>
            <w:shd w:val="clear" w:color="auto" w:fill="auto"/>
            <w:noWrap/>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bl>
    <w:p>
      <w:pPr>
        <w:pStyle w:val="3"/>
        <w:ind w:firstLine="210"/>
        <w:rPr>
          <w:color w:val="000000" w:themeColor="text1"/>
          <w14:textFill>
            <w14:solidFill>
              <w14:schemeClr w14:val="tx1"/>
            </w14:solidFill>
          </w14:textFill>
        </w:rPr>
      </w:pPr>
    </w:p>
    <w:p>
      <w:pPr>
        <w:pStyle w:val="4"/>
        <w:spacing w:before="0" w:after="0" w:line="360" w:lineRule="auto"/>
        <w:rPr>
          <w:rFonts w:hint="eastAsia" w:ascii="宋体" w:hAnsi="宋体" w:eastAsia="宋体" w:cs="宋体"/>
          <w:color w:val="000000" w:themeColor="text1"/>
          <w:szCs w:val="24"/>
          <w14:textFill>
            <w14:solidFill>
              <w14:schemeClr w14:val="tx1"/>
            </w14:solidFill>
          </w14:textFill>
        </w:rPr>
      </w:pPr>
      <w:bookmarkStart w:id="4" w:name="_Toc24104"/>
      <w:r>
        <w:rPr>
          <w:rFonts w:hint="eastAsia" w:ascii="宋体" w:hAnsi="宋体" w:eastAsia="宋体" w:cs="宋体"/>
          <w:color w:val="000000" w:themeColor="text1"/>
          <w:szCs w:val="24"/>
          <w:lang w:val="en-US" w:eastAsia="zh-CN"/>
          <w14:textFill>
            <w14:solidFill>
              <w14:schemeClr w14:val="tx1"/>
            </w14:solidFill>
          </w14:textFill>
        </w:rPr>
        <w:t>二</w:t>
      </w:r>
      <w:r>
        <w:rPr>
          <w:rFonts w:hint="eastAsia" w:ascii="宋体" w:hAnsi="宋体" w:eastAsia="宋体" w:cs="宋体"/>
          <w:color w:val="000000" w:themeColor="text1"/>
          <w:szCs w:val="24"/>
          <w14:textFill>
            <w14:solidFill>
              <w14:schemeClr w14:val="tx1"/>
            </w14:solidFill>
          </w14:textFill>
        </w:rPr>
        <w:t>、商务要求</w:t>
      </w:r>
      <w:bookmarkEnd w:id="4"/>
    </w:p>
    <w:p>
      <w:pPr>
        <w:pStyle w:val="5"/>
        <w:spacing w:before="0"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 交付使用地点及项目工期</w:t>
      </w:r>
    </w:p>
    <w:p>
      <w:pPr>
        <w:widowControl/>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交付使用地点为：渭城区文物保护中心或甲方指定地点。</w:t>
      </w:r>
    </w:p>
    <w:p>
      <w:pPr>
        <w:widowControl/>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合同履行期限：合同签订后 180 日历天。</w:t>
      </w:r>
    </w:p>
    <w:p>
      <w:pPr>
        <w:pStyle w:val="2"/>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.2付款方式</w:t>
      </w:r>
    </w:p>
    <w:p>
      <w:pPr>
        <w:widowControl/>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1.合同签订之日起七个工作日内，甲方向乙方支付合同总金额40%作为预付款；</w:t>
      </w:r>
    </w:p>
    <w:p>
      <w:pPr>
        <w:widowControl/>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2.所有设备到达甲方指定地点后七个工作日内，甲方向乙方支付合同总金额的40%；</w:t>
      </w:r>
    </w:p>
    <w:p>
      <w:pPr>
        <w:widowControl/>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3.设备安装完成并通过现场验收后七个工作日内，甲方向乙方支付合同总金额的20%。</w:t>
      </w:r>
    </w:p>
    <w:p>
      <w:pPr>
        <w:pStyle w:val="5"/>
        <w:spacing w:before="0"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.4售后服务</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提供所投产品至少包含1年的上门保修，终身维修。保修期自设备安装调试完成运行正常之日起计算。供应商在此项目后期的维护中，若出现系统故障，服务商应4小时内响应，48小时内到场排除故障并保证系统正常运行；</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在维护期内对采购方技术人员提供操作和维护培训，提供技术咨询服务。保修期内设备出现故障，免费更换配件及维修。保修期外设备出现故障，厂家提供优于市场价的备品备件等内容的服务条款详细方案；</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3．提供现场技术培训服务。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685DB5"/>
    <w:multiLevelType w:val="multilevel"/>
    <w:tmpl w:val="72685DB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RjMmQ4ZjhjYzczN2RhM2M5MWFiN2Q1NmRmNTEifQ=="/>
  </w:docVars>
  <w:rsids>
    <w:rsidRoot w:val="6C8A7DBA"/>
    <w:rsid w:val="6C8A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qFormat/>
    <w:uiPriority w:val="99"/>
    <w:pPr>
      <w:spacing w:before="260" w:after="260" w:line="416" w:lineRule="atLeast"/>
      <w:outlineLvl w:val="1"/>
    </w:pPr>
    <w:rPr>
      <w:rFonts w:ascii="Cambria" w:hAnsi="Cambria"/>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Tahoma" w:hAnsi="Tahoma"/>
    </w:rPr>
  </w:style>
  <w:style w:type="paragraph" w:styleId="3">
    <w:name w:val="Body Text First Indent"/>
    <w:basedOn w:val="2"/>
    <w:qFormat/>
    <w:uiPriority w:val="0"/>
    <w:pPr>
      <w:spacing w:after="120" w:line="240" w:lineRule="auto"/>
      <w:ind w:firstLine="100" w:firstLineChars="100"/>
    </w:pPr>
  </w:style>
  <w:style w:type="paragraph" w:styleId="8">
    <w:name w:val="List Paragraph"/>
    <w:basedOn w:val="1"/>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2023-06-20T01:28:00Z</dcterms:created>
  <dc:creator>早睡早起</dc:creator>
  <cp:lastModifiedBy>早睡早起</cp:lastModifiedBy>
  <dcterms:modified xsi:type="dcterms:W3CDTF">2023-06-20T01:29:34Z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E8EE3E0024964735941FADBF8C6A116B_11</vt:lpwstr>
  </property>
</Properties>
</file>