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240" w:lineRule="auto"/>
        <w:ind w:left="0" w:leftChars="0" w:right="-532" w:rightChars="-190" w:firstLine="0" w:firstLineChars="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项目编号：YC23001014（ZBA）</w:t>
      </w:r>
    </w:p>
    <w:p>
      <w:pPr>
        <w:spacing w:before="159" w:after="159"/>
        <w:ind w:left="0" w:leftChars="0" w:firstLine="0" w:firstLineChars="0"/>
        <w:jc w:val="center"/>
        <w:rPr>
          <w:rFonts w:hint="eastAsia" w:ascii="宋体" w:hAnsi="宋体" w:eastAsia="宋体" w:cs="宋体"/>
          <w:b/>
          <w:bCs/>
          <w:color w:val="auto"/>
          <w:sz w:val="44"/>
          <w:szCs w:val="44"/>
          <w:highlight w:val="none"/>
        </w:rPr>
      </w:pPr>
    </w:p>
    <w:p>
      <w:pPr>
        <w:spacing w:beforeLines="0" w:afterLines="0" w:line="240" w:lineRule="auto"/>
        <w:ind w:left="0" w:leftChars="0"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三原县2023年部分公路工程设计项目</w:t>
      </w:r>
    </w:p>
    <w:p>
      <w:pPr>
        <w:tabs>
          <w:tab w:val="left" w:pos="2070"/>
          <w:tab w:val="center" w:pos="4365"/>
        </w:tabs>
        <w:snapToGrid w:val="0"/>
        <w:spacing w:before="159" w:after="159"/>
        <w:ind w:left="6" w:firstLine="1124"/>
        <w:jc w:val="center"/>
        <w:rPr>
          <w:rFonts w:hint="default" w:ascii="宋体" w:hAnsi="宋体" w:cs="宋体"/>
          <w:b/>
          <w:color w:val="auto"/>
          <w:sz w:val="56"/>
          <w:szCs w:val="56"/>
          <w:highlight w:val="none"/>
          <w:lang w:val="en-US" w:eastAsia="zh-CN"/>
        </w:rPr>
      </w:pPr>
      <w:bookmarkStart w:id="969" w:name="_GoBack"/>
      <w:bookmarkEnd w:id="969"/>
    </w:p>
    <w:p>
      <w:pPr>
        <w:widowControl/>
        <w:spacing w:beforeLines="0" w:afterLines="0" w:line="900" w:lineRule="exact"/>
        <w:ind w:left="0" w:leftChars="0" w:firstLine="0" w:firstLineChars="0"/>
        <w:jc w:val="center"/>
        <w:rPr>
          <w:rFonts w:hint="eastAsia" w:ascii="宋体" w:hAnsi="宋体" w:eastAsia="宋体" w:cs="宋体"/>
          <w:b/>
          <w:bCs/>
          <w:color w:val="auto"/>
          <w:kern w:val="0"/>
          <w:sz w:val="84"/>
          <w:szCs w:val="84"/>
          <w:highlight w:val="none"/>
        </w:rPr>
      </w:pPr>
      <w:r>
        <w:rPr>
          <w:rFonts w:hint="eastAsia" w:ascii="宋体" w:hAnsi="宋体" w:eastAsia="宋体" w:cs="宋体"/>
          <w:b/>
          <w:bCs/>
          <w:color w:val="auto"/>
          <w:kern w:val="0"/>
          <w:sz w:val="84"/>
          <w:szCs w:val="84"/>
          <w:highlight w:val="none"/>
        </w:rPr>
        <w:t>竞争性磋商文件</w:t>
      </w:r>
    </w:p>
    <w:p>
      <w:pPr>
        <w:spacing w:before="303" w:line="227"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pacing w:val="29"/>
          <w:sz w:val="35"/>
          <w:szCs w:val="35"/>
          <w:highlight w:val="none"/>
        </w:rPr>
        <w:t>(</w:t>
      </w:r>
      <w:r>
        <w:rPr>
          <w:rFonts w:hint="eastAsia" w:ascii="宋体" w:hAnsi="宋体" w:eastAsia="宋体" w:cs="宋体"/>
          <w:color w:val="auto"/>
          <w:spacing w:val="27"/>
          <w:sz w:val="35"/>
          <w:szCs w:val="35"/>
          <w:highlight w:val="none"/>
        </w:rPr>
        <w:t>专门面向</w:t>
      </w:r>
      <w:r>
        <w:rPr>
          <w:rFonts w:hint="eastAsia" w:ascii="宋体" w:hAnsi="宋体" w:eastAsia="宋体" w:cs="宋体"/>
          <w:color w:val="auto"/>
          <w:spacing w:val="27"/>
          <w:sz w:val="35"/>
          <w:szCs w:val="35"/>
          <w:highlight w:val="none"/>
          <w:lang w:eastAsia="zh-CN"/>
        </w:rPr>
        <w:t>中、</w:t>
      </w:r>
      <w:r>
        <w:rPr>
          <w:rFonts w:hint="eastAsia" w:ascii="宋体" w:hAnsi="宋体" w:eastAsia="宋体" w:cs="宋体"/>
          <w:color w:val="auto"/>
          <w:spacing w:val="27"/>
          <w:sz w:val="35"/>
          <w:szCs w:val="35"/>
          <w:highlight w:val="none"/>
        </w:rPr>
        <w:t>小企业)</w:t>
      </w:r>
    </w:p>
    <w:p>
      <w:pPr>
        <w:tabs>
          <w:tab w:val="left" w:pos="2070"/>
          <w:tab w:val="center" w:pos="4365"/>
        </w:tabs>
        <w:snapToGrid w:val="0"/>
        <w:spacing w:before="159" w:after="159"/>
        <w:ind w:left="0" w:leftChars="0" w:firstLine="0" w:firstLineChars="0"/>
        <w:rPr>
          <w:rFonts w:hint="eastAsia" w:ascii="宋体" w:hAnsi="宋体" w:eastAsia="宋体" w:cs="宋体"/>
          <w:b/>
          <w:color w:val="auto"/>
          <w:sz w:val="36"/>
          <w:szCs w:val="36"/>
          <w:highlight w:val="none"/>
        </w:rPr>
      </w:pPr>
      <w:r>
        <w:rPr>
          <w:rFonts w:hint="eastAsia" w:ascii="宋体" w:hAnsi="宋体" w:eastAsia="宋体" w:cs="宋体"/>
          <w:color w:val="auto"/>
          <w:kern w:val="0"/>
          <w:sz w:val="72"/>
          <w:szCs w:val="72"/>
          <w:highlight w:val="none"/>
        </w:rPr>
        <w:drawing>
          <wp:anchor distT="0" distB="0" distL="114300" distR="114300" simplePos="0" relativeHeight="251659264" behindDoc="0" locked="0" layoutInCell="1" allowOverlap="1">
            <wp:simplePos x="0" y="0"/>
            <wp:positionH relativeFrom="column">
              <wp:posOffset>1665605</wp:posOffset>
            </wp:positionH>
            <wp:positionV relativeFrom="paragraph">
              <wp:posOffset>40005</wp:posOffset>
            </wp:positionV>
            <wp:extent cx="2495550" cy="2019300"/>
            <wp:effectExtent l="0" t="0" r="0" b="0"/>
            <wp:wrapSquare wrapText="bothSides"/>
            <wp:docPr id="4"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logo"/>
                    <pic:cNvPicPr>
                      <a:picLocks noChangeAspect="1"/>
                    </pic:cNvPicPr>
                  </pic:nvPicPr>
                  <pic:blipFill>
                    <a:blip r:embed="rId12" cstate="print"/>
                    <a:stretch>
                      <a:fillRect/>
                    </a:stretch>
                  </pic:blipFill>
                  <pic:spPr>
                    <a:xfrm>
                      <a:off x="0" y="0"/>
                      <a:ext cx="2495550" cy="2019300"/>
                    </a:xfrm>
                    <a:prstGeom prst="rect">
                      <a:avLst/>
                    </a:prstGeom>
                    <a:noFill/>
                    <a:ln>
                      <a:noFill/>
                    </a:ln>
                  </pic:spPr>
                </pic:pic>
              </a:graphicData>
            </a:graphic>
          </wp:anchor>
        </w:drawing>
      </w:r>
    </w:p>
    <w:p>
      <w:pPr>
        <w:pStyle w:val="10"/>
        <w:spacing w:before="159" w:after="159"/>
        <w:ind w:left="6" w:firstLine="723"/>
        <w:rPr>
          <w:rFonts w:hint="eastAsia" w:ascii="宋体" w:hAnsi="宋体" w:eastAsia="宋体" w:cs="宋体"/>
          <w:b/>
          <w:color w:val="auto"/>
          <w:sz w:val="36"/>
          <w:szCs w:val="36"/>
          <w:highlight w:val="none"/>
        </w:rPr>
      </w:pPr>
    </w:p>
    <w:p>
      <w:pPr>
        <w:pStyle w:val="48"/>
        <w:spacing w:before="159" w:after="159"/>
        <w:ind w:left="6" w:firstLine="723"/>
        <w:rPr>
          <w:rFonts w:hint="eastAsia" w:ascii="宋体" w:hAnsi="宋体" w:eastAsia="宋体" w:cs="宋体"/>
          <w:b/>
          <w:color w:val="auto"/>
          <w:sz w:val="36"/>
          <w:szCs w:val="36"/>
          <w:highlight w:val="none"/>
        </w:rPr>
      </w:pPr>
    </w:p>
    <w:p>
      <w:pPr>
        <w:pStyle w:val="50"/>
        <w:ind w:firstLine="723"/>
        <w:rPr>
          <w:rFonts w:hint="eastAsia" w:ascii="宋体" w:hAnsi="宋体" w:eastAsia="宋体" w:cs="宋体"/>
          <w:b/>
          <w:color w:val="auto"/>
          <w:sz w:val="36"/>
          <w:szCs w:val="36"/>
          <w:highlight w:val="none"/>
        </w:rPr>
      </w:pPr>
    </w:p>
    <w:p>
      <w:pPr>
        <w:spacing w:before="159" w:after="159"/>
        <w:ind w:left="6" w:firstLine="723"/>
        <w:rPr>
          <w:rFonts w:hint="eastAsia" w:ascii="宋体" w:hAnsi="宋体" w:eastAsia="宋体" w:cs="宋体"/>
          <w:b/>
          <w:color w:val="auto"/>
          <w:sz w:val="36"/>
          <w:szCs w:val="36"/>
          <w:highlight w:val="none"/>
        </w:rPr>
      </w:pPr>
    </w:p>
    <w:p>
      <w:pPr>
        <w:pStyle w:val="7"/>
        <w:rPr>
          <w:rFonts w:hint="eastAsia" w:ascii="宋体" w:hAnsi="宋体" w:eastAsia="宋体" w:cs="宋体"/>
          <w:color w:val="auto"/>
          <w:highlight w:val="none"/>
        </w:rPr>
      </w:pPr>
    </w:p>
    <w:p>
      <w:pPr>
        <w:pStyle w:val="48"/>
        <w:spacing w:before="159" w:after="159"/>
        <w:ind w:left="0" w:leftChars="0" w:firstLine="0" w:firstLineChars="0"/>
        <w:jc w:val="both"/>
        <w:rPr>
          <w:rFonts w:hint="eastAsia" w:ascii="宋体" w:hAnsi="宋体" w:eastAsia="宋体" w:cs="宋体"/>
          <w:color w:val="auto"/>
          <w:highlight w:val="none"/>
        </w:rPr>
      </w:pPr>
    </w:p>
    <w:p>
      <w:pPr>
        <w:spacing w:before="159" w:after="159" w:line="600" w:lineRule="exact"/>
        <w:ind w:left="300" w:leftChars="107" w:firstLine="1795" w:firstLineChars="596"/>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采  购  人</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eastAsia="zh-CN"/>
        </w:rPr>
        <w:t>三原县交通运输局</w:t>
      </w:r>
    </w:p>
    <w:p>
      <w:pPr>
        <w:widowControl/>
        <w:spacing w:before="159" w:after="159" w:line="600" w:lineRule="exact"/>
        <w:ind w:left="300" w:leftChars="107" w:firstLine="1795" w:firstLineChars="596"/>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采购代理机构</w:t>
      </w:r>
      <w:r>
        <w:rPr>
          <w:rFonts w:hint="eastAsia" w:ascii="宋体" w:hAnsi="宋体" w:eastAsia="宋体" w:cs="宋体"/>
          <w:b/>
          <w:color w:val="auto"/>
          <w:sz w:val="30"/>
          <w:szCs w:val="30"/>
          <w:highlight w:val="none"/>
        </w:rPr>
        <w:t>：亿诚建设项目管理有限公司</w:t>
      </w:r>
    </w:p>
    <w:p>
      <w:pPr>
        <w:spacing w:before="159" w:after="159"/>
        <w:ind w:left="0" w:leftChars="0" w:firstLine="2108" w:firstLineChars="700"/>
        <w:jc w:val="left"/>
        <w:rPr>
          <w:rFonts w:hint="eastAsia" w:ascii="宋体" w:hAnsi="宋体" w:eastAsia="宋体" w:cs="宋体"/>
          <w:b/>
          <w:bCs/>
          <w:color w:val="auto"/>
          <w:sz w:val="48"/>
          <w:szCs w:val="32"/>
          <w:highlight w:val="none"/>
        </w:rPr>
      </w:pPr>
      <w:r>
        <w:rPr>
          <w:rFonts w:hint="eastAsia" w:ascii="宋体" w:hAnsi="宋体" w:eastAsia="宋体" w:cs="宋体"/>
          <w:b/>
          <w:color w:val="auto"/>
          <w:sz w:val="30"/>
          <w:szCs w:val="30"/>
          <w:highlight w:val="none"/>
        </w:rPr>
        <w:t>日        期：二〇</w:t>
      </w: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月</w:t>
      </w:r>
    </w:p>
    <w:p>
      <w:pPr>
        <w:spacing w:before="159" w:after="159"/>
        <w:ind w:left="0" w:leftChars="0" w:firstLine="0" w:firstLineChars="0"/>
        <w:jc w:val="center"/>
        <w:rPr>
          <w:rFonts w:hint="eastAsia" w:ascii="宋体" w:hAnsi="宋体" w:eastAsia="宋体" w:cs="宋体"/>
          <w:b/>
          <w:bCs/>
          <w:color w:val="auto"/>
          <w:sz w:val="48"/>
          <w:szCs w:val="32"/>
          <w:highlight w:val="none"/>
        </w:rPr>
      </w:pPr>
    </w:p>
    <w:p>
      <w:pPr>
        <w:pStyle w:val="25"/>
        <w:rPr>
          <w:rFonts w:hint="eastAsia" w:ascii="宋体" w:hAnsi="宋体" w:eastAsia="宋体" w:cs="宋体"/>
        </w:rPr>
      </w:pPr>
    </w:p>
    <w:p>
      <w:pPr>
        <w:spacing w:before="159" w:after="159"/>
        <w:ind w:left="0" w:leftChars="0" w:firstLine="0" w:firstLineChars="0"/>
        <w:jc w:val="center"/>
        <w:rPr>
          <w:rFonts w:hint="eastAsia" w:ascii="宋体" w:hAnsi="宋体" w:eastAsia="宋体" w:cs="宋体"/>
          <w:color w:val="auto"/>
          <w:highlight w:val="none"/>
        </w:rPr>
      </w:pPr>
      <w:r>
        <w:rPr>
          <w:rFonts w:hint="eastAsia" w:ascii="宋体" w:hAnsi="宋体" w:eastAsia="宋体" w:cs="宋体"/>
          <w:b/>
          <w:bCs/>
          <w:color w:val="auto"/>
          <w:sz w:val="48"/>
          <w:szCs w:val="32"/>
          <w:highlight w:val="none"/>
        </w:rPr>
        <w:t>目    录</w:t>
      </w:r>
    </w:p>
    <w:sdt>
      <w:sdtPr>
        <w:rPr>
          <w:rFonts w:hint="eastAsia" w:ascii="宋体" w:hAnsi="宋体" w:eastAsia="宋体" w:cs="宋体"/>
          <w:color w:val="auto"/>
          <w:sz w:val="21"/>
          <w:highlight w:val="none"/>
        </w:rPr>
        <w:id w:val="147456160"/>
      </w:sdtPr>
      <w:sdtEndPr>
        <w:rPr>
          <w:rFonts w:hint="eastAsia" w:ascii="宋体" w:hAnsi="宋体" w:eastAsia="宋体" w:cs="宋体"/>
          <w:color w:val="auto"/>
          <w:sz w:val="28"/>
          <w:szCs w:val="28"/>
          <w:highlight w:val="none"/>
        </w:rPr>
      </w:sdtEndPr>
      <w:sdtContent>
        <w:p>
          <w:pPr>
            <w:spacing w:beforeLines="0" w:afterLines="0" w:line="240" w:lineRule="auto"/>
            <w:ind w:left="0" w:leftChars="0" w:firstLine="0" w:firstLineChars="0"/>
            <w:jc w:val="center"/>
            <w:rPr>
              <w:rFonts w:hint="eastAsia" w:ascii="宋体" w:hAnsi="宋体" w:eastAsia="宋体" w:cs="宋体"/>
              <w:color w:val="auto"/>
              <w:highlight w:val="none"/>
            </w:rPr>
          </w:pPr>
        </w:p>
        <w:p>
          <w:pPr>
            <w:pStyle w:val="45"/>
            <w:tabs>
              <w:tab w:val="right" w:leader="middleDot" w:pos="8788"/>
            </w:tabs>
            <w:spacing w:line="72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"_Toc26164"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fldChar w:fldCharType="end"/>
          </w:r>
        </w:p>
        <w:p>
          <w:pPr>
            <w:pStyle w:val="45"/>
            <w:tabs>
              <w:tab w:val="right" w:leader="middleDot" w:pos="8788"/>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"_Toc5659"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 xml:space="preserve">第二章  </w:t>
          </w:r>
          <w:r>
            <w:rPr>
              <w:rFonts w:hint="eastAsia" w:ascii="宋体" w:hAnsi="宋体" w:eastAsia="宋体" w:cs="宋体"/>
              <w:color w:val="auto"/>
              <w:kern w:val="44"/>
              <w:sz w:val="28"/>
              <w:szCs w:val="28"/>
              <w:highlight w:val="none"/>
              <w:lang w:val="en-US" w:eastAsia="zh-CN"/>
            </w:rPr>
            <w:t>磋商须知及前附表</w:t>
          </w:r>
          <w:r>
            <w:rPr>
              <w:rFonts w:hint="eastAsia" w:ascii="宋体" w:hAnsi="宋体" w:eastAsia="宋体" w:cs="宋体"/>
              <w:color w:val="auto"/>
              <w:sz w:val="28"/>
              <w:szCs w:val="28"/>
              <w:highlight w:val="none"/>
            </w:rPr>
            <w:fldChar w:fldCharType="end"/>
          </w:r>
        </w:p>
        <w:p>
          <w:pPr>
            <w:pStyle w:val="45"/>
            <w:tabs>
              <w:tab w:val="right" w:leader="middleDot" w:pos="8788"/>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"_Toc12402"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8"/>
              <w:szCs w:val="28"/>
              <w:highlight w:val="none"/>
            </w:rPr>
            <w:t>第三章  评审办法</w:t>
          </w:r>
          <w:r>
            <w:rPr>
              <w:rFonts w:hint="eastAsia" w:ascii="宋体" w:hAnsi="宋体" w:eastAsia="宋体" w:cs="宋体"/>
              <w:color w:val="auto"/>
              <w:sz w:val="28"/>
              <w:szCs w:val="28"/>
              <w:highlight w:val="none"/>
            </w:rPr>
            <w:fldChar w:fldCharType="end"/>
          </w:r>
        </w:p>
        <w:p>
          <w:pPr>
            <w:pStyle w:val="45"/>
            <w:tabs>
              <w:tab w:val="right" w:leader="middleDot" w:pos="8788"/>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"_Toc5623"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8"/>
              <w:szCs w:val="28"/>
              <w:highlight w:val="none"/>
            </w:rPr>
            <w:t xml:space="preserve">第四章  </w:t>
          </w:r>
          <w:r>
            <w:rPr>
              <w:rFonts w:hint="eastAsia" w:ascii="宋体" w:hAnsi="宋体" w:eastAsia="宋体" w:cs="宋体"/>
              <w:color w:val="auto"/>
              <w:kern w:val="44"/>
              <w:sz w:val="28"/>
              <w:szCs w:val="28"/>
              <w:highlight w:val="none"/>
              <w:lang w:val="en-US" w:eastAsia="zh-CN"/>
            </w:rPr>
            <w:t>合同条款及合同文件格式</w:t>
          </w:r>
          <w:r>
            <w:rPr>
              <w:rFonts w:hint="eastAsia" w:ascii="宋体" w:hAnsi="宋体" w:eastAsia="宋体" w:cs="宋体"/>
              <w:color w:val="auto"/>
              <w:sz w:val="28"/>
              <w:szCs w:val="28"/>
              <w:highlight w:val="none"/>
            </w:rPr>
            <w:fldChar w:fldCharType="end"/>
          </w:r>
        </w:p>
        <w:p>
          <w:pPr>
            <w:pStyle w:val="45"/>
            <w:tabs>
              <w:tab w:val="right" w:leader="middleDot" w:pos="8788"/>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"_Toc28604"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 w:val="28"/>
              <w:szCs w:val="28"/>
              <w:highlight w:val="none"/>
            </w:rPr>
            <w:t>第</w:t>
          </w:r>
          <w:r>
            <w:rPr>
              <w:rFonts w:hint="eastAsia" w:ascii="宋体" w:hAnsi="宋体" w:eastAsia="宋体" w:cs="宋体"/>
              <w:bCs/>
              <w:color w:val="auto"/>
              <w:kern w:val="2"/>
              <w:sz w:val="28"/>
              <w:szCs w:val="28"/>
              <w:highlight w:val="none"/>
              <w:lang w:val="en-US" w:eastAsia="zh-CN"/>
            </w:rPr>
            <w:t>五</w:t>
          </w:r>
          <w:r>
            <w:rPr>
              <w:rFonts w:hint="eastAsia" w:ascii="宋体" w:hAnsi="宋体" w:eastAsia="宋体" w:cs="宋体"/>
              <w:bCs/>
              <w:color w:val="auto"/>
              <w:kern w:val="2"/>
              <w:sz w:val="28"/>
              <w:szCs w:val="28"/>
              <w:highlight w:val="none"/>
            </w:rPr>
            <w:t xml:space="preserve">章  </w:t>
          </w:r>
          <w:r>
            <w:rPr>
              <w:rFonts w:hint="eastAsia" w:ascii="宋体" w:hAnsi="宋体" w:cs="宋体"/>
              <w:bCs/>
              <w:color w:val="auto"/>
              <w:kern w:val="2"/>
              <w:sz w:val="28"/>
              <w:szCs w:val="28"/>
              <w:highlight w:val="none"/>
              <w:lang w:val="en-US" w:eastAsia="zh-CN"/>
            </w:rPr>
            <w:t>采购内容及</w:t>
          </w:r>
          <w:r>
            <w:rPr>
              <w:rFonts w:hint="eastAsia" w:ascii="宋体" w:hAnsi="宋体" w:eastAsia="宋体" w:cs="宋体"/>
              <w:color w:val="auto"/>
              <w:kern w:val="44"/>
              <w:sz w:val="28"/>
              <w:szCs w:val="28"/>
              <w:highlight w:val="none"/>
              <w:lang w:val="en-US" w:eastAsia="zh-CN"/>
            </w:rPr>
            <w:t>要求</w:t>
          </w:r>
          <w:r>
            <w:rPr>
              <w:rFonts w:hint="eastAsia" w:ascii="宋体" w:hAnsi="宋体" w:eastAsia="宋体" w:cs="宋体"/>
              <w:color w:val="auto"/>
              <w:sz w:val="28"/>
              <w:szCs w:val="28"/>
              <w:highlight w:val="none"/>
            </w:rPr>
            <w:fldChar w:fldCharType="end"/>
          </w:r>
        </w:p>
        <w:p>
          <w:pPr>
            <w:pStyle w:val="45"/>
            <w:tabs>
              <w:tab w:val="right" w:leader="middleDot" w:pos="8788"/>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8"/>
              <w:szCs w:val="28"/>
              <w:highlight w:val="none"/>
            </w:rPr>
            <w:t>第</w:t>
          </w:r>
          <w:r>
            <w:rPr>
              <w:rFonts w:hint="eastAsia" w:ascii="宋体" w:hAnsi="宋体" w:eastAsia="宋体" w:cs="宋体"/>
              <w:color w:val="auto"/>
              <w:kern w:val="44"/>
              <w:sz w:val="28"/>
              <w:szCs w:val="28"/>
              <w:highlight w:val="none"/>
              <w:lang w:val="en-US" w:eastAsia="zh-CN"/>
            </w:rPr>
            <w:t>六</w:t>
          </w:r>
          <w:r>
            <w:rPr>
              <w:rFonts w:hint="eastAsia" w:ascii="宋体" w:hAnsi="宋体" w:eastAsia="宋体" w:cs="宋体"/>
              <w:color w:val="auto"/>
              <w:kern w:val="44"/>
              <w:sz w:val="28"/>
              <w:szCs w:val="28"/>
              <w:highlight w:val="none"/>
            </w:rPr>
            <w:t>章  竞争性磋商响应文件格式</w:t>
          </w:r>
          <w:r>
            <w:rPr>
              <w:rFonts w:hint="eastAsia" w:ascii="宋体" w:hAnsi="宋体" w:eastAsia="宋体" w:cs="宋体"/>
              <w:color w:val="auto"/>
              <w:sz w:val="28"/>
              <w:szCs w:val="28"/>
              <w:highlight w:val="none"/>
            </w:rPr>
            <w:fldChar w:fldCharType="end"/>
          </w:r>
        </w:p>
        <w:p>
          <w:pPr>
            <w:spacing w:before="159" w:after="159" w:line="600" w:lineRule="auto"/>
            <w:ind w:left="6" w:firstLine="560"/>
            <w:rPr>
              <w:rFonts w:hint="eastAsia" w:ascii="宋体" w:hAnsi="宋体" w:eastAsia="宋体" w:cs="宋体"/>
              <w:color w:val="auto"/>
              <w:highlight w:val="none"/>
            </w:rPr>
          </w:pPr>
          <w:r>
            <w:rPr>
              <w:rFonts w:hint="eastAsia" w:ascii="宋体" w:hAnsi="宋体" w:eastAsia="宋体" w:cs="宋体"/>
              <w:color w:val="auto"/>
              <w:szCs w:val="28"/>
              <w:highlight w:val="none"/>
            </w:rPr>
            <w:fldChar w:fldCharType="end"/>
          </w:r>
        </w:p>
      </w:sdtContent>
    </w:sdt>
    <w:p>
      <w:pPr>
        <w:spacing w:before="159" w:after="159" w:line="600" w:lineRule="auto"/>
        <w:ind w:left="6"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4"/>
        <w:spacing w:before="159" w:after="159"/>
        <w:ind w:left="6" w:firstLine="480"/>
        <w:rPr>
          <w:rFonts w:hint="eastAsia" w:ascii="宋体" w:hAnsi="宋体" w:eastAsia="宋体" w:cs="宋体"/>
          <w:color w:val="auto"/>
          <w:sz w:val="24"/>
          <w:szCs w:val="24"/>
          <w:highlight w:val="none"/>
        </w:rPr>
      </w:pPr>
    </w:p>
    <w:p>
      <w:pPr>
        <w:pStyle w:val="24"/>
        <w:spacing w:before="159" w:after="159"/>
        <w:ind w:left="6" w:firstLine="480"/>
        <w:rPr>
          <w:rFonts w:hint="eastAsia" w:ascii="宋体" w:hAnsi="宋体" w:eastAsia="宋体" w:cs="宋体"/>
          <w:color w:val="auto"/>
          <w:sz w:val="24"/>
          <w:szCs w:val="24"/>
          <w:highlight w:val="none"/>
        </w:rPr>
      </w:pPr>
    </w:p>
    <w:p>
      <w:pPr>
        <w:pStyle w:val="24"/>
        <w:spacing w:before="159" w:after="159"/>
        <w:ind w:left="6" w:firstLine="480"/>
        <w:rPr>
          <w:rFonts w:hint="eastAsia" w:ascii="宋体" w:hAnsi="宋体" w:eastAsia="宋体" w:cs="宋体"/>
          <w:color w:val="auto"/>
          <w:sz w:val="24"/>
          <w:szCs w:val="24"/>
          <w:highlight w:val="none"/>
        </w:rPr>
      </w:pPr>
    </w:p>
    <w:p>
      <w:pPr>
        <w:tabs>
          <w:tab w:val="left" w:pos="7867"/>
        </w:tabs>
        <w:spacing w:before="159" w:after="159"/>
        <w:ind w:left="6" w:firstLine="560"/>
        <w:rPr>
          <w:rFonts w:hint="eastAsia" w:ascii="宋体" w:hAnsi="宋体" w:eastAsia="宋体" w:cs="宋体"/>
          <w:color w:val="auto"/>
          <w:highlight w:val="none"/>
        </w:rPr>
      </w:pPr>
    </w:p>
    <w:p>
      <w:pPr>
        <w:tabs>
          <w:tab w:val="left" w:pos="7867"/>
        </w:tabs>
        <w:spacing w:before="159" w:after="159"/>
        <w:ind w:left="6" w:firstLine="560"/>
        <w:rPr>
          <w:rFonts w:hint="eastAsia" w:ascii="宋体" w:hAnsi="宋体" w:eastAsia="宋体" w:cs="宋体"/>
          <w:color w:val="auto"/>
          <w:highlight w:val="none"/>
        </w:rPr>
      </w:pPr>
    </w:p>
    <w:p>
      <w:pPr>
        <w:tabs>
          <w:tab w:val="left" w:pos="7867"/>
        </w:tabs>
        <w:spacing w:before="159" w:after="159"/>
        <w:ind w:left="6" w:firstLine="560"/>
        <w:rPr>
          <w:rFonts w:hint="eastAsia" w:ascii="宋体" w:hAnsi="宋体" w:eastAsia="宋体" w:cs="宋体"/>
          <w:color w:val="auto"/>
          <w:highlight w:val="none"/>
        </w:rPr>
      </w:pPr>
      <w:r>
        <w:rPr>
          <w:rFonts w:hint="eastAsia" w:ascii="宋体" w:hAnsi="宋体" w:eastAsia="宋体" w:cs="宋体"/>
          <w:color w:val="auto"/>
          <w:highlight w:val="none"/>
        </w:rPr>
        <w:tab/>
      </w:r>
    </w:p>
    <w:p>
      <w:pPr>
        <w:spacing w:before="159" w:after="159"/>
        <w:ind w:left="6" w:firstLine="560"/>
        <w:rPr>
          <w:rFonts w:hint="eastAsia" w:ascii="宋体" w:hAnsi="宋体" w:eastAsia="宋体" w:cs="宋体"/>
          <w:color w:val="auto"/>
          <w:highlight w:val="none"/>
        </w:rPr>
      </w:pPr>
    </w:p>
    <w:p>
      <w:pPr>
        <w:tabs>
          <w:tab w:val="left" w:pos="4721"/>
        </w:tabs>
        <w:spacing w:before="159" w:after="159"/>
        <w:ind w:left="0" w:leftChars="0" w:firstLine="0" w:firstLineChars="0"/>
        <w:rPr>
          <w:rFonts w:hint="eastAsia" w:ascii="宋体" w:hAnsi="宋体" w:eastAsia="宋体" w:cs="宋体"/>
          <w:color w:val="auto"/>
          <w:highlight w:val="none"/>
        </w:rPr>
      </w:pPr>
    </w:p>
    <w:p>
      <w:pPr>
        <w:pStyle w:val="2"/>
        <w:spacing w:beforeLines="0" w:afterLines="0" w:line="240" w:lineRule="auto"/>
        <w:ind w:left="0" w:leftChars="0" w:firstLine="0" w:firstLineChars="0"/>
        <w:rPr>
          <w:rFonts w:hint="eastAsia" w:ascii="宋体" w:hAnsi="宋体" w:eastAsia="宋体" w:cs="宋体"/>
          <w:color w:val="auto"/>
          <w:sz w:val="44"/>
          <w:szCs w:val="44"/>
          <w:highlight w:val="none"/>
        </w:rPr>
        <w:sectPr>
          <w:footerReference r:id="rId5"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0" w:name="_Toc32245_WPSOffice_Level1"/>
      <w:bookmarkStart w:id="1" w:name="_Toc26164"/>
    </w:p>
    <w:p>
      <w:pPr>
        <w:pStyle w:val="2"/>
        <w:spacing w:beforeLines="0" w:afterLines="0" w:line="240" w:lineRule="auto"/>
        <w:ind w:left="0" w:leftChars="0" w:firstLine="0" w:firstLineChars="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第一章   竞争性磋商公告</w:t>
      </w:r>
      <w:bookmarkEnd w:id="0"/>
      <w:bookmarkEnd w:id="1"/>
    </w:p>
    <w:p>
      <w:pPr>
        <w:keepNext w:val="0"/>
        <w:keepLines w:val="0"/>
        <w:pageBreakBefore w:val="0"/>
        <w:widowControl/>
        <w:kinsoku/>
        <w:wordWrap/>
        <w:overflowPunct/>
        <w:topLinePunct w:val="0"/>
        <w:autoSpaceDE/>
        <w:autoSpaceDN/>
        <w:bidi w:val="0"/>
        <w:spacing w:beforeLines="0" w:afterLines="0" w:line="440" w:lineRule="exact"/>
        <w:ind w:left="0" w:leftChars="0" w:right="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项目概况</w:t>
      </w:r>
    </w:p>
    <w:p>
      <w:pPr>
        <w:pStyle w:val="15"/>
        <w:adjustRightInd w:val="0"/>
        <w:snapToGrid w:val="0"/>
        <w:spacing w:before="120" w:beforeLines="50" w:line="360" w:lineRule="auto"/>
        <w:ind w:firstLine="480" w:firstLineChars="200"/>
        <w:jc w:val="both"/>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三原县2023年部分公路工程设计项目采购项目的潜在供应商应在西安市雁塔区吉祥路135号（亿诚建设项目管理有限公司招标部）获取采购文件，并于</w:t>
      </w:r>
      <w:r>
        <w:rPr>
          <w:rFonts w:hint="eastAsia" w:ascii="宋体" w:hAnsi="宋体" w:eastAsia="宋体" w:cs="宋体"/>
          <w:i w:val="0"/>
          <w:iCs w:val="0"/>
          <w:caps w:val="0"/>
          <w:color w:val="auto"/>
          <w:spacing w:val="0"/>
          <w:sz w:val="24"/>
          <w:szCs w:val="24"/>
          <w:highlight w:val="none"/>
          <w:shd w:val="clear" w:color="auto" w:fill="FFFFFF"/>
          <w:vertAlign w:val="baseline"/>
        </w:rPr>
        <w:t>2023年03月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24</w:t>
      </w:r>
      <w:r>
        <w:rPr>
          <w:rFonts w:hint="eastAsia" w:ascii="宋体" w:hAnsi="宋体" w:eastAsia="宋体" w:cs="宋体"/>
          <w:i w:val="0"/>
          <w:iCs w:val="0"/>
          <w:caps w:val="0"/>
          <w:color w:val="auto"/>
          <w:spacing w:val="0"/>
          <w:sz w:val="24"/>
          <w:szCs w:val="24"/>
          <w:highlight w:val="none"/>
          <w:shd w:val="clear" w:color="auto" w:fill="FFFFFF"/>
          <w:vertAlign w:val="baseline"/>
        </w:rPr>
        <w:t>日14时00分</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pPr>
      <w:r>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一、项目基本情况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项目编号：YC23001014（ZBA）</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项目名称：</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三原县2023年部分公路工程设计项目</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采购方式：竞争性磋商</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预算金额：</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790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采购需求：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三马路东里至双槐段改建工程设计</w:t>
      </w:r>
      <w:r>
        <w:rPr>
          <w:rFonts w:hint="eastAsia" w:ascii="宋体" w:hAnsi="宋体" w:eastAsia="宋体" w:cs="宋体"/>
          <w:i w:val="0"/>
          <w:iCs w:val="0"/>
          <w:caps w:val="0"/>
          <w:color w:val="auto"/>
          <w:spacing w:val="0"/>
          <w:sz w:val="24"/>
          <w:szCs w:val="24"/>
          <w:highlight w:val="none"/>
          <w:shd w:val="clear" w:color="auto" w:fill="FFFFFF"/>
          <w:vertAlign w:val="baseline"/>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合同包预算金额：</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240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合同包最高限价：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240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tbl>
      <w:tblPr>
        <w:tblStyle w:val="26"/>
        <w:tblW w:w="9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6"/>
        <w:gridCol w:w="2511"/>
        <w:gridCol w:w="1462"/>
        <w:gridCol w:w="787"/>
        <w:gridCol w:w="1301"/>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blHeader/>
        </w:trPr>
        <w:tc>
          <w:tcPr>
            <w:tcW w:w="5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25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4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7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3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5" w:hRule="atLeast"/>
        </w:trPr>
        <w:tc>
          <w:tcPr>
            <w:tcW w:w="5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25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三马路东里至双槐段改建工程设计</w:t>
            </w:r>
          </w:p>
        </w:tc>
        <w:tc>
          <w:tcPr>
            <w:tcW w:w="14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改建工程设计</w:t>
            </w:r>
          </w:p>
        </w:tc>
        <w:tc>
          <w:tcPr>
            <w:tcW w:w="7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1项</w:t>
            </w:r>
          </w:p>
        </w:tc>
        <w:tc>
          <w:tcPr>
            <w:tcW w:w="13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240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240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w:t>
            </w:r>
          </w:p>
        </w:tc>
      </w:tr>
    </w:tbl>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right="0" w:firstLine="480" w:firstLineChars="200"/>
        <w:jc w:val="both"/>
        <w:textAlignment w:val="baseline"/>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84" w:lineRule="atLeast"/>
        <w:ind w:right="0" w:firstLine="480" w:firstLineChars="200"/>
        <w:jc w:val="left"/>
        <w:textAlignment w:val="baseline"/>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t>合同履行期限：自合同签订之日起30日历天内。</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朱峪路等桥至朱家湾段改建工程设计</w:t>
      </w:r>
      <w:r>
        <w:rPr>
          <w:rFonts w:hint="eastAsia" w:ascii="宋体" w:hAnsi="宋体" w:eastAsia="宋体" w:cs="宋体"/>
          <w:i w:val="0"/>
          <w:iCs w:val="0"/>
          <w:caps w:val="0"/>
          <w:color w:val="auto"/>
          <w:spacing w:val="0"/>
          <w:sz w:val="24"/>
          <w:szCs w:val="24"/>
          <w:highlight w:val="none"/>
          <w:shd w:val="clear" w:color="auto" w:fill="FFFFFF"/>
          <w:vertAlign w:val="baseline"/>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合同包预算金额：</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300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合同包最高限价：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300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tbl>
      <w:tblPr>
        <w:tblStyle w:val="26"/>
        <w:tblW w:w="9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3"/>
        <w:gridCol w:w="2575"/>
        <w:gridCol w:w="1426"/>
        <w:gridCol w:w="784"/>
        <w:gridCol w:w="1279"/>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blHeader/>
        </w:trPr>
        <w:tc>
          <w:tcPr>
            <w:tcW w:w="5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2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4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7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2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5" w:hRule="atLeast"/>
        </w:trPr>
        <w:tc>
          <w:tcPr>
            <w:tcW w:w="5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w:t>
            </w:r>
          </w:p>
        </w:tc>
        <w:tc>
          <w:tcPr>
            <w:tcW w:w="2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朱峪路等桥至朱家湾段改建工程设计</w:t>
            </w:r>
          </w:p>
        </w:tc>
        <w:tc>
          <w:tcPr>
            <w:tcW w:w="14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改建工程设计</w:t>
            </w:r>
          </w:p>
        </w:tc>
        <w:tc>
          <w:tcPr>
            <w:tcW w:w="7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1项</w:t>
            </w:r>
          </w:p>
        </w:tc>
        <w:tc>
          <w:tcPr>
            <w:tcW w:w="12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300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300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w:t>
            </w:r>
          </w:p>
        </w:tc>
      </w:tr>
    </w:tbl>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right="0" w:firstLine="480" w:firstLineChars="200"/>
        <w:jc w:val="both"/>
        <w:textAlignment w:val="baseline"/>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84" w:lineRule="atLeast"/>
        <w:ind w:right="0" w:firstLine="480" w:firstLineChars="200"/>
        <w:jc w:val="left"/>
        <w:textAlignment w:val="baseline"/>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t>合同履行期限：自合同签订之日起30日历天内。</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孟店桥建设工程设计</w:t>
      </w:r>
      <w:r>
        <w:rPr>
          <w:rFonts w:hint="eastAsia" w:ascii="宋体" w:hAnsi="宋体" w:eastAsia="宋体" w:cs="宋体"/>
          <w:i w:val="0"/>
          <w:iCs w:val="0"/>
          <w:caps w:val="0"/>
          <w:color w:val="auto"/>
          <w:spacing w:val="0"/>
          <w:sz w:val="24"/>
          <w:szCs w:val="24"/>
          <w:highlight w:val="none"/>
          <w:shd w:val="clear" w:color="auto" w:fill="FFFFFF"/>
          <w:vertAlign w:val="baseline"/>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合同包预算金额：</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250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合同包最高限价：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250</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tbl>
      <w:tblPr>
        <w:tblStyle w:val="26"/>
        <w:tblW w:w="9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8"/>
        <w:gridCol w:w="2031"/>
        <w:gridCol w:w="2008"/>
        <w:gridCol w:w="819"/>
        <w:gridCol w:w="1451"/>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Header/>
        </w:trPr>
        <w:tc>
          <w:tcPr>
            <w:tcW w:w="6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20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20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8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4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5" w:hRule="atLeast"/>
        </w:trPr>
        <w:tc>
          <w:tcPr>
            <w:tcW w:w="6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3-1</w:t>
            </w:r>
          </w:p>
        </w:tc>
        <w:tc>
          <w:tcPr>
            <w:tcW w:w="20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孟店桥建设工程设计</w:t>
            </w:r>
          </w:p>
        </w:tc>
        <w:tc>
          <w:tcPr>
            <w:tcW w:w="20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改建工程设计</w:t>
            </w:r>
          </w:p>
        </w:tc>
        <w:tc>
          <w:tcPr>
            <w:tcW w:w="8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1项</w:t>
            </w:r>
          </w:p>
        </w:tc>
        <w:tc>
          <w:tcPr>
            <w:tcW w:w="14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详见采购文件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250</w:t>
            </w:r>
            <w:r>
              <w:rPr>
                <w:rFonts w:hint="eastAsia" w:ascii="宋体" w:hAnsi="宋体" w:eastAsia="宋体" w:cs="宋体"/>
                <w:i w:val="0"/>
                <w:iCs w:val="0"/>
                <w:caps w:val="0"/>
                <w:color w:val="auto"/>
                <w:spacing w:val="0"/>
                <w:sz w:val="21"/>
                <w:szCs w:val="21"/>
                <w:highlight w:val="none"/>
                <w:shd w:val="clear" w:color="auto" w:fill="FFFFFF"/>
                <w:vertAlign w:val="baseline"/>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1"/>
                <w:szCs w:val="21"/>
                <w:highlight w:val="none"/>
                <w:shd w:val="clear" w:color="auto" w:fill="FFFFFF"/>
                <w:vertAlign w:val="baseline"/>
              </w:rPr>
              <w:t>00.00</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250</w:t>
            </w:r>
            <w:r>
              <w:rPr>
                <w:rFonts w:hint="eastAsia" w:ascii="宋体" w:hAnsi="宋体" w:eastAsia="宋体" w:cs="宋体"/>
                <w:i w:val="0"/>
                <w:iCs w:val="0"/>
                <w:caps w:val="0"/>
                <w:color w:val="auto"/>
                <w:spacing w:val="0"/>
                <w:sz w:val="21"/>
                <w:szCs w:val="21"/>
                <w:highlight w:val="none"/>
                <w:shd w:val="clear" w:color="auto" w:fill="FFFFFF"/>
                <w:vertAlign w:val="baseline"/>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1"/>
                <w:szCs w:val="21"/>
                <w:highlight w:val="none"/>
                <w:shd w:val="clear" w:color="auto" w:fill="FFFFFF"/>
                <w:vertAlign w:val="baseline"/>
              </w:rPr>
              <w:t>00.00</w:t>
            </w:r>
          </w:p>
        </w:tc>
      </w:tr>
    </w:tbl>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right="0" w:firstLine="480" w:firstLineChars="200"/>
        <w:jc w:val="both"/>
        <w:textAlignment w:val="baseline"/>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84" w:lineRule="atLeast"/>
        <w:ind w:right="0" w:firstLine="480" w:firstLineChars="20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b w:val="0"/>
          <w:i w:val="0"/>
          <w:iCs w:val="0"/>
          <w:caps w:val="0"/>
          <w:color w:val="auto"/>
          <w:spacing w:val="0"/>
          <w:kern w:val="0"/>
          <w:sz w:val="24"/>
          <w:szCs w:val="24"/>
          <w:highlight w:val="none"/>
          <w:shd w:val="clear" w:color="auto" w:fill="FFFFFF"/>
          <w:vertAlign w:val="baseline"/>
          <w:lang w:val="en-US" w:eastAsia="zh-CN" w:bidi="ar"/>
        </w:rPr>
        <w:t>合同履行期限：自合同签订之日起30日历天内。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pPr>
      <w:r>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二、申请人的资格要求：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1.满足《中华人民共和国政府采购法》第二十二条规定;</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2.落实政府采购政策需满足的资格要求：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合同包1(三马路东里至双槐段改建工程设计)落实政府采购政策需满足的资格要求如下: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详见本公告“其它补充事宜”。</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合同包2(朱峪路等桥至朱家湾段改建工程设计)落实政府采购政策需满足的资格要求如下: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详见本公告“其它补充事宜”。</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合同包3(孟店桥建设工程设计)落实政府采购政策需满足的资格要求如下: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详见本公告“其它补充事宜”。</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3.本项目的特定资格要求：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合同包1(三马路东里至双槐段改建工程设计)特定资格要求如下:</w:t>
      </w:r>
    </w:p>
    <w:p>
      <w:pPr>
        <w:pStyle w:val="2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具有独立承担民事责任能力的法人或其他组织，提供合法有效的营业执照；</w:t>
      </w:r>
    </w:p>
    <w:p>
      <w:pPr>
        <w:pStyle w:val="2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供应商具备建设行政主管部门核发的有效的公路行业（公路）专业丙级及以上设计资质，项目负责人须具备公路行业相关专业高级职称；</w:t>
      </w:r>
    </w:p>
    <w:p>
      <w:pPr>
        <w:pStyle w:val="2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应授权合法的人员参加投标全过程，其中法定代表人/负责人直接投标，须提交法定代表人/负责人身份证明书和身份证。法定代表人/负责人授权代表参加投标的，须出具法定代表人/负责人授权书及授权代表身份证；</w:t>
      </w:r>
    </w:p>
    <w:p>
      <w:pPr>
        <w:pStyle w:val="2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具有良好的商业信誉和健全的财务会计制度(提供2021年度或2022年度经会计事务所或审计机构审计的财务审计报告（成立时间至响应文件递交截止时间不足一年的可提供成立后任意时段的资产负债表）或在投标截止时间前12个月内其开户银行出具的资信证明及开户银行证明材料）；</w:t>
      </w:r>
    </w:p>
    <w:p>
      <w:pPr>
        <w:pStyle w:val="2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有依法缴纳税收和社会保障资金的良好记录（提供投标截止时间前12个月内任意一个月依法缴纳税收和社保证明（社会保障资金缴存单据或社保机构开具的社会保险参保缴费情况证明），依法免税的应提供相关证明材料，依法不需要缴纳社会保障资金的应提供相关证明材料）；</w:t>
      </w:r>
    </w:p>
    <w:p>
      <w:pPr>
        <w:pStyle w:val="2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参加政府采购活动前三年内，在经营活动中没有重大违法记录的声明；</w:t>
      </w:r>
    </w:p>
    <w:p>
      <w:pPr>
        <w:pStyle w:val="2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竞争性磋商文件</w:t>
      </w:r>
      <w:r>
        <w:rPr>
          <w:rFonts w:hint="eastAsia" w:ascii="宋体" w:hAnsi="宋体" w:eastAsia="宋体" w:cs="宋体"/>
          <w:i w:val="0"/>
          <w:iCs w:val="0"/>
          <w:caps w:val="0"/>
          <w:color w:val="auto"/>
          <w:spacing w:val="0"/>
          <w:sz w:val="24"/>
          <w:szCs w:val="24"/>
          <w:highlight w:val="none"/>
          <w:shd w:val="clear" w:color="auto" w:fill="FFFFFF"/>
          <w:vertAlign w:val="baseline"/>
        </w:rPr>
        <w:t>当日起至开标截止前任意一天内的查询结果网页截图并加盖公章）；</w:t>
      </w:r>
    </w:p>
    <w:p>
      <w:pPr>
        <w:pStyle w:val="2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本项目不接受联合体投标。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合同包2(朱峪路等桥至朱家湾段改建工程设计)特定资格要求如下:</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200"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（1）具有独立承担民事责任能力的法人或其他组织，提供合法有效的营业执照；</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（2）供应商具备建设行政主管部门核发的有效的公路行业（公路）专业丙级及以上资质，项目负责人须具备公路行业相关专业高级职称；</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供应商应授权合法的人员参加投标全过程，其中法定代表人/负责人直接投标，须提交法定代表人/负责人身份证明书和身份证。法定代表人/负责人授权代表参加投标的，须出具法定代表人/负责人授权书及授权代表身份证；</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具有良好的商业信誉和健全的财务会计制度(提供2021年度或2022年度经会计事务所或审计机构审计的财务审计报告（成立时间至响应文件递交截止时间不足一年的可提供成立后任意时段的资产负债表）或在投标截止时间前12个月内其开户银行出具的资信证明及开户银行证明材料）；</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5）有依法缴纳税收和社会保障资金的良好记录（提供投标截止时间前12个月内任意一个月依法缴纳税收和社保证明（社会保障资金缴存单据或社保机构开具的社会保险参保缴费情况证明），依法免税的应提供相关证明材料，依法不需要缴纳社会保障资金的应提供相关证明材料）；   </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（6）参加政府采购活动前三年内，在经营活动中没有重大违法记录的声明；</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（7）</w:t>
      </w:r>
      <w:r>
        <w:rPr>
          <w:rFonts w:hint="eastAsia" w:ascii="宋体" w:hAnsi="宋体" w:eastAsia="宋体" w:cs="宋体"/>
          <w:i w:val="0"/>
          <w:iCs w:val="0"/>
          <w:caps w:val="0"/>
          <w:color w:val="auto"/>
          <w:spacing w:val="0"/>
          <w:sz w:val="24"/>
          <w:szCs w:val="24"/>
          <w:highlight w:val="none"/>
          <w:shd w:val="clear" w:color="auto" w:fill="FFFFFF"/>
          <w:vertAlign w:val="baseli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竞争性磋商文件</w:t>
      </w:r>
      <w:r>
        <w:rPr>
          <w:rFonts w:hint="eastAsia" w:ascii="宋体" w:hAnsi="宋体" w:eastAsia="宋体" w:cs="宋体"/>
          <w:i w:val="0"/>
          <w:iCs w:val="0"/>
          <w:caps w:val="0"/>
          <w:color w:val="auto"/>
          <w:spacing w:val="0"/>
          <w:sz w:val="24"/>
          <w:szCs w:val="24"/>
          <w:highlight w:val="none"/>
          <w:shd w:val="clear" w:color="auto" w:fill="FFFFFF"/>
          <w:vertAlign w:val="baseline"/>
        </w:rPr>
        <w:t>当日起至开标截止前任意一天内的查询结果网页截图并加盖公章）；</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8</w:t>
      </w:r>
      <w:r>
        <w:rPr>
          <w:rFonts w:hint="eastAsia" w:ascii="宋体" w:hAnsi="宋体" w:eastAsia="宋体" w:cs="宋体"/>
          <w:i w:val="0"/>
          <w:iCs w:val="0"/>
          <w:caps w:val="0"/>
          <w:color w:val="auto"/>
          <w:spacing w:val="0"/>
          <w:sz w:val="24"/>
          <w:szCs w:val="24"/>
          <w:highlight w:val="none"/>
          <w:shd w:val="clear" w:color="auto" w:fill="FFFFFF"/>
          <w:vertAlign w:val="baseline"/>
        </w:rPr>
        <w:t>）本项目不接受联合体投标。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合同包3(孟店桥建设工程设计)特定资格要求如下:</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200"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（1）具有独立承担民事责任能力的法人或其他组织，提供合法有效的营业执照；</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（2）供应商具备建设行政主管部门核发的有效的公路行业（公路）专业乙级及以上资质，项目负责人须具备公路行业相关专业高级职称；</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供应商应授权合法的人员参加投标全过程，其中法定代表人/负责人直接投标，须提交法定代表人/负责人身份证明书和身份证。法定代表人/负责人授权代表参加投标的，须出具法定代表人/负责人授权书及授权代表身份证；</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具有良好的商业信誉和健全的财务会计制度(提供2021年度或2022年度经会计事务所或审计机构审计的财务审计报告（成立时间至响应文件递交截止时间不足一年的可提供成立后任意时段的资产负债表）或在投标截止时间前12个月内其开户银行出具的资信证明及开户银行证明材料）；</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5）有依法缴纳税收和社会保障资金的良好记录（提供投标截止时间前12个月内任意一个月依法缴纳税收和社保证明（社会保障资金缴存单据或社保机构开具的社会保险参保缴费情况证明），依法免税的应提供相关证明材料，依法不需要缴纳社会保障资金的应提供相关证明材料）；    </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（6）参加政府采购活动前三年内，在经营活动中没有重大违法记录的声明；</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（7）</w:t>
      </w:r>
      <w:r>
        <w:rPr>
          <w:rFonts w:hint="eastAsia" w:ascii="宋体" w:hAnsi="宋体" w:eastAsia="宋体" w:cs="宋体"/>
          <w:i w:val="0"/>
          <w:iCs w:val="0"/>
          <w:caps w:val="0"/>
          <w:color w:val="auto"/>
          <w:spacing w:val="0"/>
          <w:sz w:val="24"/>
          <w:szCs w:val="24"/>
          <w:highlight w:val="none"/>
          <w:shd w:val="clear" w:color="auto" w:fill="FFFFFF"/>
          <w:vertAlign w:val="baseli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竞争性磋商文件</w:t>
      </w:r>
      <w:r>
        <w:rPr>
          <w:rFonts w:hint="eastAsia" w:ascii="宋体" w:hAnsi="宋体" w:eastAsia="宋体" w:cs="宋体"/>
          <w:i w:val="0"/>
          <w:iCs w:val="0"/>
          <w:caps w:val="0"/>
          <w:color w:val="auto"/>
          <w:spacing w:val="0"/>
          <w:sz w:val="24"/>
          <w:szCs w:val="24"/>
          <w:highlight w:val="none"/>
          <w:shd w:val="clear" w:color="auto" w:fill="FFFFFF"/>
          <w:vertAlign w:val="baseline"/>
        </w:rPr>
        <w:t>当日起至开标截止前任意一天内的查询结果网页截图并加盖公章）；</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8</w:t>
      </w:r>
      <w:r>
        <w:rPr>
          <w:rFonts w:hint="eastAsia" w:ascii="宋体" w:hAnsi="宋体" w:eastAsia="宋体" w:cs="宋体"/>
          <w:i w:val="0"/>
          <w:iCs w:val="0"/>
          <w:caps w:val="0"/>
          <w:color w:val="auto"/>
          <w:spacing w:val="0"/>
          <w:sz w:val="24"/>
          <w:szCs w:val="24"/>
          <w:highlight w:val="none"/>
          <w:shd w:val="clear" w:color="auto" w:fill="FFFFFF"/>
          <w:vertAlign w:val="baseline"/>
        </w:rPr>
        <w:t>）本项目不接受联合体投标。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pPr>
      <w:r>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三、获取采购文件</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时间：2023年03月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14</w:t>
      </w:r>
      <w:r>
        <w:rPr>
          <w:rFonts w:hint="eastAsia" w:ascii="宋体" w:hAnsi="宋体" w:eastAsia="宋体" w:cs="宋体"/>
          <w:i w:val="0"/>
          <w:iCs w:val="0"/>
          <w:caps w:val="0"/>
          <w:color w:val="auto"/>
          <w:spacing w:val="0"/>
          <w:sz w:val="24"/>
          <w:szCs w:val="24"/>
          <w:highlight w:val="none"/>
          <w:shd w:val="clear" w:color="auto" w:fill="FFFFFF"/>
          <w:vertAlign w:val="baseline"/>
        </w:rPr>
        <w:t>日至2023年03月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w:t>
      </w:r>
      <w:r>
        <w:rPr>
          <w:rFonts w:hint="eastAsia" w:ascii="宋体" w:hAnsi="宋体" w:eastAsia="宋体" w:cs="宋体"/>
          <w:i w:val="0"/>
          <w:iCs w:val="0"/>
          <w:caps w:val="0"/>
          <w:color w:val="auto"/>
          <w:spacing w:val="0"/>
          <w:sz w:val="24"/>
          <w:szCs w:val="24"/>
          <w:highlight w:val="none"/>
          <w:shd w:val="clear" w:color="auto" w:fill="FFFFFF"/>
          <w:vertAlign w:val="baseline"/>
        </w:rPr>
        <w:t>日，每天上午09:00:00至12:00:0</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下午14:00:00至17:00:00（北京时间）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途径：</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西安市雁塔区吉祥路135号（亿诚建设项目管理有限公司招标部）</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方式：现场获取</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color w:val="auto"/>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售价：0元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pPr>
      <w:r>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四、响应文件提交</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截止时间：2023年03月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24</w:t>
      </w:r>
      <w:r>
        <w:rPr>
          <w:rFonts w:hint="eastAsia" w:ascii="宋体" w:hAnsi="宋体" w:eastAsia="宋体" w:cs="宋体"/>
          <w:i w:val="0"/>
          <w:iCs w:val="0"/>
          <w:caps w:val="0"/>
          <w:color w:val="auto"/>
          <w:spacing w:val="0"/>
          <w:sz w:val="24"/>
          <w:szCs w:val="24"/>
          <w:highlight w:val="none"/>
          <w:shd w:val="clear" w:color="auto" w:fill="FFFFFF"/>
          <w:vertAlign w:val="baseline"/>
        </w:rPr>
        <w:t>日14时00分00秒（北京时间）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西安市雁塔区吉祥路135号（亿诚建设项目管理有限公司七楼会议室）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pPr>
      <w:r>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五、开启</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时间：2023年03月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24</w:t>
      </w:r>
      <w:r>
        <w:rPr>
          <w:rFonts w:hint="eastAsia" w:ascii="宋体" w:hAnsi="宋体" w:eastAsia="宋体" w:cs="宋体"/>
          <w:i w:val="0"/>
          <w:iCs w:val="0"/>
          <w:caps w:val="0"/>
          <w:color w:val="auto"/>
          <w:spacing w:val="0"/>
          <w:sz w:val="24"/>
          <w:szCs w:val="24"/>
          <w:highlight w:val="none"/>
          <w:shd w:val="clear" w:color="auto" w:fill="FFFFFF"/>
          <w:vertAlign w:val="baseline"/>
        </w:rPr>
        <w:t>日14时00分00秒（北京时间）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西安市雁塔区吉祥路135号（亿诚建设项目管理有限公司七楼会议室）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pPr>
      <w:r>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六、公告期限</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pPr>
      <w:r>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七、其他补充事宜</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1、供应商购买采购文件时须携带单位介绍信、经办人身份证原件及复印件加盖公章。供应商应按照陕西省财政厅关于政府采购供应商注册登记有关事项的通知要求，通过陕西省政府采购网注册登记加入陕西省政府采购供应商库否则无法发布成交公告。</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2、依据《中华人民共和国政府采购法》和《中华人民共和国政府采购实施条例》的有关规定，落实政府采购政策：1</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、《节能产品政府采购实施意见》（财库〔2004〕185号）；2</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、《财政部司法部关于政府采购支持监狱企业发展有关问题的通知》（财库〔2014〕68号）；3</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、《财政部、民政部、中国残疾人联合会关于促进残疾人就业政府采购政策的通知》财库〔2017〕141号；4</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、《国务院办公厅关于建立政府强制采购节能产品制度的通知》（国办发〔2007〕51号）；5</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、《环境标志产品政府采购实施的意见》（财库〔2006〕90号）</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6</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7</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、陕西省财政厅关于印发《陕西省中小企业政府采购信用融资办法》（陕财办采〔2018〕23号）</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8、《政府采购促进中小企业发展管理办法》（财库〔2020〕46号）；9</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、《关于进一步加大政府采购支持中小企业力度的通知》（财库〔2022〕19号）；10</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、其他需要落实的政府采购政策。</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3、本项目为专门面向中小企业采购，</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应为中型企业或小型、微型企业或监狱企业或残疾人福利性单位。</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为中型、小型、微型企业的，提供《中小企业声明函》；</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为监狱企业的，应提供监狱企业的证明文件；</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为残疾人福利性单位的，应提供《残疾人福利性单位声明函》。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pPr>
      <w:r>
        <w:rPr>
          <w:rStyle w:val="2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八、对本次招标提出询问，请按以下方式联系。</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1.采购人信息</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名称：三原县交通运输局</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地址：三原县汽车北站2楼</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联系方式：029-32853111</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2.采购代理机构信息</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名称：亿诚建设项目管理有限公司</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地址：陕西省西安市雁塔区吉祥路135号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联系方式：029-88223565</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3.项目联系方式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项目联系人：董海龙、蒋斌</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电话：029-88223565</w:t>
      </w:r>
    </w:p>
    <w:p>
      <w:pPr>
        <w:pStyle w:val="25"/>
        <w:autoSpaceDE w:val="0"/>
        <w:autoSpaceDN w:val="0"/>
        <w:spacing w:beforeLines="0" w:afterLines="0" w:line="420" w:lineRule="exact"/>
        <w:ind w:left="0" w:leftChars="0" w:firstLine="0" w:firstLineChars="0"/>
        <w:outlineLvl w:val="2"/>
        <w:rPr>
          <w:rFonts w:hint="eastAsia" w:ascii="宋体" w:hAnsi="宋体" w:eastAsia="宋体" w:cs="宋体"/>
          <w:color w:val="auto"/>
          <w:sz w:val="24"/>
          <w:szCs w:val="24"/>
          <w:highlight w:val="none"/>
        </w:rPr>
      </w:pPr>
    </w:p>
    <w:p>
      <w:pPr>
        <w:pStyle w:val="25"/>
        <w:autoSpaceDE w:val="0"/>
        <w:autoSpaceDN w:val="0"/>
        <w:spacing w:beforeLines="0" w:afterLines="0" w:line="420" w:lineRule="exact"/>
        <w:ind w:left="0" w:leftChars="0" w:firstLine="0" w:firstLineChars="0"/>
        <w:outlineLvl w:val="2"/>
        <w:rPr>
          <w:rFonts w:hint="eastAsia" w:ascii="宋体" w:hAnsi="宋体" w:eastAsia="宋体" w:cs="宋体"/>
          <w:color w:val="auto"/>
          <w:sz w:val="24"/>
          <w:szCs w:val="24"/>
          <w:highlight w:val="none"/>
        </w:rPr>
      </w:pPr>
    </w:p>
    <w:p>
      <w:pPr>
        <w:pStyle w:val="25"/>
        <w:autoSpaceDE w:val="0"/>
        <w:autoSpaceDN w:val="0"/>
        <w:spacing w:beforeLines="0" w:afterLines="0" w:line="420" w:lineRule="exact"/>
        <w:ind w:left="0" w:leftChars="0" w:firstLine="0" w:firstLineChars="0"/>
        <w:outlineLvl w:val="2"/>
        <w:rPr>
          <w:rFonts w:hint="eastAsia" w:ascii="宋体" w:hAnsi="宋体" w:eastAsia="宋体" w:cs="宋体"/>
          <w:color w:val="auto"/>
          <w:sz w:val="24"/>
          <w:szCs w:val="24"/>
          <w:highlight w:val="none"/>
        </w:rPr>
      </w:pPr>
    </w:p>
    <w:p>
      <w:pPr>
        <w:pStyle w:val="25"/>
        <w:autoSpaceDE w:val="0"/>
        <w:autoSpaceDN w:val="0"/>
        <w:spacing w:beforeLines="0" w:afterLines="0" w:line="420" w:lineRule="exact"/>
        <w:ind w:left="0" w:leftChars="0" w:firstLine="0" w:firstLineChars="0"/>
        <w:outlineLvl w:val="2"/>
        <w:rPr>
          <w:rFonts w:hint="eastAsia" w:ascii="宋体" w:hAnsi="宋体" w:eastAsia="宋体" w:cs="宋体"/>
          <w:color w:val="auto"/>
          <w:sz w:val="24"/>
          <w:szCs w:val="24"/>
          <w:highlight w:val="none"/>
        </w:rPr>
      </w:pPr>
    </w:p>
    <w:p>
      <w:pPr>
        <w:spacing w:beforeLines="0" w:afterLines="0" w:line="240" w:lineRule="auto"/>
        <w:ind w:left="0" w:leftChars="0" w:firstLine="0" w:firstLineChars="0"/>
        <w:jc w:val="center"/>
        <w:outlineLvl w:val="0"/>
        <w:rPr>
          <w:rFonts w:hint="eastAsia" w:ascii="宋体" w:hAnsi="宋体" w:eastAsia="宋体" w:cs="宋体"/>
          <w:color w:val="auto"/>
          <w:highlight w:val="none"/>
        </w:rPr>
      </w:pPr>
      <w:bookmarkStart w:id="2" w:name="_Toc5659"/>
      <w:r>
        <w:rPr>
          <w:rFonts w:hint="eastAsia" w:ascii="宋体" w:hAnsi="宋体" w:eastAsia="宋体" w:cs="宋体"/>
          <w:b/>
          <w:bCs/>
          <w:color w:val="auto"/>
          <w:sz w:val="44"/>
          <w:szCs w:val="44"/>
          <w:highlight w:val="none"/>
        </w:rPr>
        <w:t>第二章 供应商须知</w:t>
      </w:r>
      <w:bookmarkEnd w:id="2"/>
    </w:p>
    <w:p>
      <w:pPr>
        <w:pStyle w:val="10"/>
        <w:spacing w:beforeLines="0" w:afterLines="0" w:line="240" w:lineRule="auto"/>
        <w:ind w:left="0" w:lef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供应商须知前附表</w:t>
      </w:r>
    </w:p>
    <w:tbl>
      <w:tblPr>
        <w:tblStyle w:val="26"/>
        <w:tblW w:w="9704" w:type="dxa"/>
        <w:jc w:val="center"/>
        <w:tblLayout w:type="fixed"/>
        <w:tblCellMar>
          <w:top w:w="0" w:type="dxa"/>
          <w:left w:w="108" w:type="dxa"/>
          <w:bottom w:w="0" w:type="dxa"/>
          <w:right w:w="108" w:type="dxa"/>
        </w:tblCellMar>
      </w:tblPr>
      <w:tblGrid>
        <w:gridCol w:w="1197"/>
        <w:gridCol w:w="2421"/>
        <w:gridCol w:w="6086"/>
      </w:tblGrid>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名称：三原县交通运输局</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地址：三原县汽车北站2楼</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联系方式：029-32853111</w:t>
            </w:r>
          </w:p>
        </w:tc>
      </w:tr>
      <w:tr>
        <w:tblPrEx>
          <w:tblCellMar>
            <w:top w:w="0" w:type="dxa"/>
            <w:left w:w="108" w:type="dxa"/>
            <w:bottom w:w="0" w:type="dxa"/>
            <w:right w:w="108" w:type="dxa"/>
          </w:tblCellMar>
        </w:tblPrEx>
        <w:trPr>
          <w:trHeight w:val="2092"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名称：亿诚建设项目管理有限公司</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地址：西安市雁塔区吉祥路135号</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联系人：</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董海龙、蒋斌</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电　话：029-</w:t>
            </w:r>
            <w:r>
              <w:rPr>
                <w:rFonts w:hint="eastAsia" w:ascii="宋体" w:hAnsi="宋体" w:eastAsia="宋体" w:cs="宋体"/>
                <w:bCs/>
                <w:color w:val="auto"/>
                <w:sz w:val="24"/>
                <w:szCs w:val="24"/>
                <w:highlight w:val="none"/>
                <w:lang w:val="en-US" w:eastAsia="zh-CN"/>
              </w:rPr>
              <w:t>88223565</w:t>
            </w:r>
          </w:p>
        </w:tc>
      </w:tr>
      <w:tr>
        <w:tblPrEx>
          <w:tblCellMar>
            <w:top w:w="0" w:type="dxa"/>
            <w:left w:w="108" w:type="dxa"/>
            <w:bottom w:w="0" w:type="dxa"/>
            <w:right w:w="108" w:type="dxa"/>
          </w:tblCellMar>
        </w:tblPrEx>
        <w:trPr>
          <w:trHeight w:val="56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三原县2023年部分公路工程设计项目</w:t>
            </w:r>
          </w:p>
        </w:tc>
      </w:tr>
      <w:tr>
        <w:tblPrEx>
          <w:tblCellMar>
            <w:top w:w="0" w:type="dxa"/>
            <w:left w:w="108" w:type="dxa"/>
            <w:bottom w:w="0" w:type="dxa"/>
            <w:right w:w="108" w:type="dxa"/>
          </w:tblCellMar>
        </w:tblPrEx>
        <w:trPr>
          <w:trHeight w:val="56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合同包1建设地点：三原县鲁桥镇、陵前镇辖区内；</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合同包2建设地点：三原县大程镇辖区内；</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合同3建设地点：三原县鲁桥镇辖区内</w:t>
            </w:r>
          </w:p>
        </w:tc>
      </w:tr>
      <w:tr>
        <w:tblPrEx>
          <w:tblCellMar>
            <w:top w:w="0" w:type="dxa"/>
            <w:left w:w="108" w:type="dxa"/>
            <w:bottom w:w="0" w:type="dxa"/>
            <w:right w:w="108" w:type="dxa"/>
          </w:tblCellMar>
        </w:tblPrEx>
        <w:trPr>
          <w:trHeight w:val="56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合同包1：</w:t>
            </w:r>
            <w:r>
              <w:rPr>
                <w:rFonts w:hint="eastAsia" w:ascii="宋体" w:hAnsi="宋体" w:eastAsia="宋体" w:cs="宋体"/>
                <w:color w:val="auto"/>
                <w:sz w:val="24"/>
                <w:szCs w:val="24"/>
                <w:highlight w:val="none"/>
              </w:rPr>
              <w:t>三马路东里至双槐段改建工程，项目全长7.75公里，路基宽度7.5米，三级公里技术标准，沥青混凝土路面，主要设计路基、路面、桥涵及交安工程等</w:t>
            </w:r>
            <w:r>
              <w:rPr>
                <w:rFonts w:hint="eastAsia" w:ascii="宋体" w:hAnsi="宋体" w:eastAsia="宋体" w:cs="宋体"/>
                <w:color w:val="auto"/>
                <w:sz w:val="24"/>
                <w:szCs w:val="24"/>
                <w:highlight w:val="none"/>
                <w:lang w:eastAsia="zh-CN"/>
              </w:rPr>
              <w:t>。</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合同包2：</w:t>
            </w:r>
            <w:r>
              <w:rPr>
                <w:rFonts w:hint="eastAsia" w:ascii="宋体" w:hAnsi="宋体" w:eastAsia="宋体" w:cs="宋体"/>
                <w:color w:val="auto"/>
                <w:sz w:val="24"/>
                <w:szCs w:val="24"/>
                <w:highlight w:val="none"/>
              </w:rPr>
              <w:t>朱峪路等桥至朱家湾改建工程，项目全长9.908公里，路基宽度7.5米，三级公路技术标准，沥青混凝土路面，主要设计路基、路面、桥涵及交安工程等</w:t>
            </w:r>
            <w:r>
              <w:rPr>
                <w:rFonts w:hint="eastAsia" w:ascii="宋体" w:hAnsi="宋体" w:eastAsia="宋体" w:cs="宋体"/>
                <w:color w:val="auto"/>
                <w:sz w:val="24"/>
                <w:szCs w:val="24"/>
                <w:highlight w:val="none"/>
                <w:lang w:eastAsia="zh-CN"/>
              </w:rPr>
              <w:t>。</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合同包3：</w:t>
            </w:r>
            <w:r>
              <w:rPr>
                <w:rFonts w:hint="eastAsia" w:ascii="宋体" w:hAnsi="宋体" w:eastAsia="宋体" w:cs="宋体"/>
                <w:color w:val="auto"/>
                <w:sz w:val="24"/>
                <w:szCs w:val="24"/>
                <w:highlight w:val="none"/>
              </w:rPr>
              <w:t>孟店桥建设工程，项目全长326米，路基宽度7.5米，主要设计桥梁及引线工程等。采购主要内容为工程施工图设计及相关后续服务。</w:t>
            </w:r>
          </w:p>
        </w:tc>
      </w:tr>
      <w:tr>
        <w:tblPrEx>
          <w:tblCellMar>
            <w:top w:w="0" w:type="dxa"/>
            <w:left w:w="108" w:type="dxa"/>
            <w:bottom w:w="0" w:type="dxa"/>
            <w:right w:w="108" w:type="dxa"/>
          </w:tblCellMar>
        </w:tblPrEx>
        <w:trPr>
          <w:trHeight w:val="56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申请上级资金及自筹</w:t>
            </w:r>
          </w:p>
        </w:tc>
      </w:tr>
      <w:tr>
        <w:tblPrEx>
          <w:tblCellMar>
            <w:top w:w="0" w:type="dxa"/>
            <w:left w:w="108" w:type="dxa"/>
            <w:bottom w:w="0" w:type="dxa"/>
            <w:right w:w="108" w:type="dxa"/>
          </w:tblCellMar>
        </w:tblPrEx>
        <w:trPr>
          <w:trHeight w:val="56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采购范围</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本工程竞争性磋商文件所包含的全部内容</w:t>
            </w:r>
          </w:p>
        </w:tc>
      </w:tr>
      <w:tr>
        <w:tblPrEx>
          <w:tblCellMar>
            <w:top w:w="0" w:type="dxa"/>
            <w:left w:w="108" w:type="dxa"/>
            <w:bottom w:w="0" w:type="dxa"/>
            <w:right w:w="108" w:type="dxa"/>
          </w:tblCellMar>
        </w:tblPrEx>
        <w:trPr>
          <w:trHeight w:val="56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设计周期</w:t>
            </w:r>
          </w:p>
        </w:tc>
        <w:tc>
          <w:tcPr>
            <w:tcW w:w="6086"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84" w:lineRule="atLeast"/>
              <w:ind w:left="0" w:leftChars="0" w:right="0" w:firstLine="0" w:firstLineChars="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各标段设计周期均为：自合同签订之日起30日历天内。</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质量达到现行合格标准，符合国家、行业、地方规定以及竞争性磋商文件规定的质量和安全标准要求。</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供应商资质条件</w:t>
            </w:r>
          </w:p>
        </w:tc>
        <w:tc>
          <w:tcPr>
            <w:tcW w:w="6086"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40" w:lineRule="exact"/>
              <w:ind w:left="0" w:leftChars="0" w:right="0" w:firstLine="0" w:firstLineChars="0"/>
              <w:jc w:val="left"/>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合同包1(三马路东里至双槐段改建工程设计)</w:t>
            </w:r>
            <w:r>
              <w:rPr>
                <w:rFonts w:hint="eastAsia" w:ascii="宋体" w:hAnsi="宋体" w:eastAsia="宋体" w:cs="宋体"/>
                <w:color w:val="auto"/>
                <w:kern w:val="2"/>
                <w:sz w:val="24"/>
                <w:szCs w:val="24"/>
                <w:highlight w:val="none"/>
                <w:lang w:val="en-US" w:eastAsia="zh-CN"/>
              </w:rPr>
              <w:t>：</w:t>
            </w:r>
          </w:p>
          <w:p>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Chars="0" w:right="0" w:rightChars="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1、满足《中华人民共和国政府采购法》第二十二条规定;</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2、具有独立承担民事责任能力的法人或其他组织，提供合法有效的营业执照；</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3、供应商具备建设行政主管部门核发的有效的公路行业（公路）专业丙级及以上设计资质，项目负责人须具备公路行业相关专业高级职称；</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供应商应授权合法的人员参加投标全过程，其中法定代表人/负责人直接投标，须提交法定代表人/负责人身份证明书和身份证。法定代表人/负责人授权代表参加投标的，须出具法定代表人/负责人授权书及授权代表身份证；</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具有良好的商业信誉和健全的财务会计制度(提供2021年度或2022年度经会计事务所或审计机构审计的财务审计报告（成立时间至响应文件递交截止时间不足一年的可提供成立后任意时段的资产负债表）或在投标截止时间前12个月内其开户银行出具的资信证明及开户银行证明材料）；</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6、有依法缴纳税收和社会保障资金的良好记录（提供投标截止时间前12个月内任意一个月依法缴纳税收和社保证明（社会保障资金缴存单据或社保机构开具的社会保险参保缴费情况证明），依法免税的应提供相关证明材料，依法不需要缴纳社会保障资金的应提供相关证明材料）；</w:t>
            </w:r>
          </w:p>
          <w:p>
            <w:pPr>
              <w:pStyle w:val="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40" w:lineRule="exact"/>
              <w:ind w:left="0" w:leftChars="0" w:right="0" w:firstLine="0" w:firstLineChars="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7、参加政府采购活动前三年内，在经营活动中没有重大违法记录的声明；</w:t>
            </w:r>
          </w:p>
          <w:p>
            <w:pPr>
              <w:pStyle w:val="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40" w:lineRule="exact"/>
              <w:ind w:left="0" w:leftChars="0" w:right="0" w:firstLine="0" w:firstLineChars="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8、</w:t>
            </w:r>
            <w:r>
              <w:rPr>
                <w:rFonts w:hint="eastAsia" w:ascii="宋体" w:hAnsi="宋体" w:eastAsia="宋体" w:cs="宋体"/>
                <w:i w:val="0"/>
                <w:iCs w:val="0"/>
                <w:caps w:val="0"/>
                <w:color w:val="auto"/>
                <w:spacing w:val="0"/>
                <w:sz w:val="24"/>
                <w:szCs w:val="24"/>
                <w:highlight w:val="none"/>
                <w:shd w:val="clear" w:color="auto" w:fill="FFFFFF"/>
                <w:vertAlign w:val="baseli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竞争性磋商文件</w:t>
            </w:r>
            <w:r>
              <w:rPr>
                <w:rFonts w:hint="eastAsia" w:ascii="宋体" w:hAnsi="宋体" w:eastAsia="宋体" w:cs="宋体"/>
                <w:i w:val="0"/>
                <w:iCs w:val="0"/>
                <w:caps w:val="0"/>
                <w:color w:val="auto"/>
                <w:spacing w:val="0"/>
                <w:sz w:val="24"/>
                <w:szCs w:val="24"/>
                <w:highlight w:val="none"/>
                <w:shd w:val="clear" w:color="auto" w:fill="FFFFFF"/>
                <w:vertAlign w:val="baseline"/>
              </w:rPr>
              <w:t>当日起至开标截止前任意一天内的查询结果网页截图并加盖公章）；</w:t>
            </w:r>
          </w:p>
          <w:p>
            <w:pPr>
              <w:pStyle w:val="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40" w:lineRule="exact"/>
              <w:ind w:left="0" w:leftChars="0" w:right="0" w:firstLine="0" w:firstLineChars="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合同包2(朱峪路等桥至朱家湾段改建工程设计)：</w:t>
            </w:r>
          </w:p>
          <w:p>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Chars="0" w:right="0" w:rightChars="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1、满足《中华人民共和国政府采购法》第二十二条规定;</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2、具有独立承担民事责任能力的法人或其他组织，提供合法有效的营业执照；</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3、供应商具备建设行政主管部门核发的有效的公路行业（公路）专业丙级及以上设计资质，项目负责人须具备公路行业相关专业高级职称；</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供应商应授权合法的人员参加投标全过程，其中法定代表人/负责人直接投标，须提交法定代表人/负责人身份证明书和身份证。法定代表人/负责人授权代表参加投标的，须出具法定代表人/负责人授权书及授权代表身份证；</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具有良好的商业信誉和健全的财务会计制度(提供2021年度或2022年度经会计事务所或审计机构审计的财务审计报告（成立时间至响应文件递交截止时间不足一年的可提供成立后任意时段的资产负债表）或在投标截止时间前12个月内其开户银行出具的资信证明及开户银行证明材料）；</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6、有依法缴纳税收和社会保障资金的良好记录（提供投标截止时间前12个月内任意一个月依法缴纳税收和社保证明（社会保障资金缴存单据或社保机构开具的社会保险参保缴费情况证明），依法免税的应提供相关证明材料，依法不需要缴纳社会保障资金的应提供相关证明材料）；</w:t>
            </w:r>
          </w:p>
          <w:p>
            <w:pPr>
              <w:pStyle w:val="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40" w:lineRule="exact"/>
              <w:ind w:left="0" w:leftChars="0" w:right="0" w:firstLine="0" w:firstLineChars="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7、参加政府采购活动前三年内，在经营活动中没有重大违法记录的声明；</w:t>
            </w:r>
          </w:p>
          <w:p>
            <w:pPr>
              <w:pStyle w:val="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40" w:lineRule="exact"/>
              <w:ind w:left="0" w:leftChars="0" w:right="0" w:firstLine="0" w:firstLineChars="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8、</w:t>
            </w:r>
            <w:r>
              <w:rPr>
                <w:rFonts w:hint="eastAsia" w:ascii="宋体" w:hAnsi="宋体" w:eastAsia="宋体" w:cs="宋体"/>
                <w:i w:val="0"/>
                <w:iCs w:val="0"/>
                <w:caps w:val="0"/>
                <w:color w:val="auto"/>
                <w:spacing w:val="0"/>
                <w:sz w:val="24"/>
                <w:szCs w:val="24"/>
                <w:highlight w:val="none"/>
                <w:shd w:val="clear" w:color="auto" w:fill="FFFFFF"/>
                <w:vertAlign w:val="baseli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竞争性磋商文件</w:t>
            </w:r>
            <w:r>
              <w:rPr>
                <w:rFonts w:hint="eastAsia" w:ascii="宋体" w:hAnsi="宋体" w:eastAsia="宋体" w:cs="宋体"/>
                <w:i w:val="0"/>
                <w:iCs w:val="0"/>
                <w:caps w:val="0"/>
                <w:color w:val="auto"/>
                <w:spacing w:val="0"/>
                <w:sz w:val="24"/>
                <w:szCs w:val="24"/>
                <w:highlight w:val="none"/>
                <w:shd w:val="clear" w:color="auto" w:fill="FFFFFF"/>
                <w:vertAlign w:val="baseline"/>
              </w:rPr>
              <w:t>当日起至开标截止前任意一天内的查询结果网页截图并加盖公章）；</w:t>
            </w:r>
          </w:p>
          <w:p>
            <w:pPr>
              <w:pStyle w:val="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40" w:lineRule="exact"/>
              <w:ind w:left="0" w:leftChars="0" w:right="0" w:firstLine="0" w:firstLineChars="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合同包3(孟店桥建设工程设计)：</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1、具有独立承担民事责任能力的法人或其他组织，提供合法有效的营业执照；</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2、供应商具备建设行政主管部门核发的有效的公路行业（公路）专业乙级及以上资质，项目负责人须具备公路行业相关专业高级职称；</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供应商应授权合法的人员参加投标全过程，其中法定代表人/负责人直接投标，须提交法定代表人/负责人身份证明书和身份证。法定代表人/负责人授权代表参加投标的，须出具法定代表人/负责人授权书及授权代表身份证；</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具有良好的商业信誉和健全的财务会计制度(提供2021年度或2022年度经会计事务所或审计机构审计的财务审计报告（成立时间至响应文件递交截止时间不足一年的可提供成立后任意时段的资产负债表）或在投标截止时间前12个月内其开户银行出具的资信证明及开户银行证明材料）；</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5、有依法缴纳税收和社会保障资金的良好记录（提供投标截止时间前12个月内任意一个月依法缴纳税收和社保证明（社会保障资金缴存单据或社保机构开具的社会保险参保缴费情况证明），依法免税的应提供相关证明材料，依法不需要缴纳社会保障资金的应提供相关证明材料）；    </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6、参加政府采购活动前三年内，在经营活动中没有重大违法记录的声明；</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7、</w:t>
            </w:r>
            <w:r>
              <w:rPr>
                <w:rFonts w:hint="eastAsia" w:ascii="宋体" w:hAnsi="宋体" w:eastAsia="宋体" w:cs="宋体"/>
                <w:i w:val="0"/>
                <w:iCs w:val="0"/>
                <w:caps w:val="0"/>
                <w:color w:val="auto"/>
                <w:spacing w:val="0"/>
                <w:sz w:val="24"/>
                <w:szCs w:val="24"/>
                <w:highlight w:val="none"/>
                <w:shd w:val="clear" w:color="auto" w:fill="FFFFFF"/>
                <w:vertAlign w:val="baseli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竞争性磋商文件</w:t>
            </w:r>
            <w:r>
              <w:rPr>
                <w:rFonts w:hint="eastAsia" w:ascii="宋体" w:hAnsi="宋体" w:eastAsia="宋体" w:cs="宋体"/>
                <w:i w:val="0"/>
                <w:iCs w:val="0"/>
                <w:caps w:val="0"/>
                <w:color w:val="auto"/>
                <w:spacing w:val="0"/>
                <w:sz w:val="24"/>
                <w:szCs w:val="24"/>
                <w:highlight w:val="none"/>
                <w:shd w:val="clear" w:color="auto" w:fill="FFFFFF"/>
                <w:vertAlign w:val="baseline"/>
              </w:rPr>
              <w:t>当日起至开标截止前任意一天内的查询结果网页截图并加盖公章）；</w:t>
            </w:r>
          </w:p>
        </w:tc>
      </w:tr>
      <w:tr>
        <w:tblPrEx>
          <w:tblCellMar>
            <w:top w:w="0" w:type="dxa"/>
            <w:left w:w="108" w:type="dxa"/>
            <w:bottom w:w="0" w:type="dxa"/>
            <w:right w:w="108" w:type="dxa"/>
          </w:tblCellMar>
        </w:tblPrEx>
        <w:trPr>
          <w:trHeight w:val="56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086" w:type="dxa"/>
            <w:tcBorders>
              <w:top w:val="single" w:color="auto" w:sz="4" w:space="0"/>
              <w:left w:val="single" w:color="auto" w:sz="4" w:space="0"/>
              <w:bottom w:val="single" w:color="auto" w:sz="4" w:space="0"/>
              <w:right w:val="single" w:color="auto" w:sz="4" w:space="0"/>
            </w:tcBorders>
            <w:vAlign w:val="center"/>
          </w:tcPr>
          <w:p>
            <w:pPr>
              <w:pStyle w:val="56"/>
              <w:keepLines w:val="0"/>
              <w:pageBreakBefore w:val="0"/>
              <w:kinsoku/>
              <w:wordWrap/>
              <w:overflowPunct/>
              <w:topLinePunct w:val="0"/>
              <w:autoSpaceDE/>
              <w:autoSpaceDN/>
              <w:bidi w:val="0"/>
              <w:spacing w:line="400" w:lineRule="exact"/>
              <w:ind w:left="0" w:leftChars="0" w:right="0" w:rightChars="0" w:firstLine="0" w:firstLineChars="0"/>
              <w:jc w:val="left"/>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不组织统一踏勘，供应商可自行前往项目实际地点踏勘，且在踏勘过程中所产生的任何费用及安全问题由供应商自行全部承担。</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已领取本竞争性磋商文件的供应商对本竞争性磋商文件有疑问需要采购人或采购代理机构回复的</w:t>
            </w:r>
            <w:r>
              <w:rPr>
                <w:rFonts w:hint="eastAsia" w:ascii="宋体" w:hAnsi="宋体" w:eastAsia="宋体" w:cs="宋体"/>
                <w:color w:val="auto"/>
                <w:kern w:val="0"/>
                <w:sz w:val="24"/>
                <w:szCs w:val="24"/>
                <w:highlight w:val="none"/>
              </w:rPr>
              <w:t>各供应商应开标前三天，向采购代理机构指定邮箱提交全部的word版电子文件以及加盖公章的扫描件，发送至采购代理机构邮箱的书面答疑问题如缺少材料或逾期提交的，采购代理机构将不予接收且不予进行回复。指定邮箱为：ycjszb2007@163.com</w:t>
            </w:r>
            <w:r>
              <w:rPr>
                <w:rFonts w:hint="eastAsia" w:ascii="宋体" w:hAnsi="宋体" w:eastAsia="宋体" w:cs="宋体"/>
                <w:color w:val="auto"/>
                <w:kern w:val="0"/>
                <w:sz w:val="24"/>
                <w:szCs w:val="24"/>
                <w:highlight w:val="none"/>
                <w:lang w:eastAsia="zh-CN"/>
              </w:rPr>
              <w:t>。</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不满足评审办法中初步评审标准的，视为发生重大偏离，其磋商被否决。其余偏离视为细微偏离，磋商小组将通过澄清方式对细微偏离进行澄清或修改。</w:t>
            </w:r>
          </w:p>
        </w:tc>
      </w:tr>
      <w:tr>
        <w:tblPrEx>
          <w:tblCellMar>
            <w:top w:w="0" w:type="dxa"/>
            <w:left w:w="108" w:type="dxa"/>
            <w:bottom w:w="0" w:type="dxa"/>
            <w:right w:w="108" w:type="dxa"/>
          </w:tblCellMar>
        </w:tblPrEx>
        <w:trPr>
          <w:trHeight w:val="449"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竞争性磋商响应文件电子</w:t>
            </w:r>
            <w:r>
              <w:rPr>
                <w:rFonts w:hint="eastAsia" w:ascii="宋体" w:hAnsi="宋体" w:eastAsia="宋体" w:cs="宋体"/>
                <w:color w:val="auto"/>
                <w:sz w:val="24"/>
                <w:szCs w:val="24"/>
                <w:highlight w:val="none"/>
                <w:lang w:eastAsia="zh-CN"/>
              </w:rPr>
              <w:t>版</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adjustRightInd w:val="0"/>
              <w:snapToGrid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①竞争性磋商响应文件电子版。</w:t>
            </w:r>
          </w:p>
          <w:p>
            <w:pPr>
              <w:keepLines w:val="0"/>
              <w:pageBreakBefore w:val="0"/>
              <w:kinsoku/>
              <w:wordWrap/>
              <w:overflowPunct/>
              <w:topLinePunct w:val="0"/>
              <w:autoSpaceDE/>
              <w:autoSpaceDN/>
              <w:bidi w:val="0"/>
              <w:adjustRightInd w:val="0"/>
              <w:snapToGrid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②密封方式：电子版单独密封于1个信封内放置于“正本”的密封袋中。</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磋商报价其他要求</w:t>
            </w:r>
          </w:p>
        </w:tc>
        <w:tc>
          <w:tcPr>
            <w:tcW w:w="6086" w:type="dxa"/>
            <w:tcBorders>
              <w:top w:val="single" w:color="auto" w:sz="4" w:space="0"/>
              <w:left w:val="single" w:color="auto" w:sz="4" w:space="0"/>
              <w:bottom w:val="single" w:color="auto" w:sz="4" w:space="0"/>
              <w:right w:val="single" w:color="auto" w:sz="4" w:space="0"/>
            </w:tcBorders>
          </w:tcPr>
          <w:p>
            <w:pPr>
              <w:tabs>
                <w:tab w:val="left" w:pos="0"/>
              </w:tabs>
              <w:autoSpaceDE w:val="0"/>
              <w:autoSpaceDN w:val="0"/>
              <w:adjustRightInd w:val="0"/>
              <w:snapToGrid w:val="0"/>
              <w:spacing w:beforeLines="0" w:afterLines="0" w:line="420" w:lineRule="exact"/>
              <w:ind w:left="0" w:leftChars="0" w:firstLine="0" w:firstLineChars="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磋商报价是指完成本项目的所有费用，本项目报价为含税总报价，应包 含完成本项目内容所需的一切费用，采购人不再支付其他费用，以磋商文件的内 容和要求作为磋商依据；</w:t>
            </w:r>
          </w:p>
          <w:p>
            <w:pPr>
              <w:tabs>
                <w:tab w:val="left" w:pos="0"/>
              </w:tabs>
              <w:autoSpaceDE w:val="0"/>
              <w:autoSpaceDN w:val="0"/>
              <w:adjustRightInd w:val="0"/>
              <w:snapToGrid w:val="0"/>
              <w:spacing w:beforeLines="0" w:afterLines="0" w:line="420" w:lineRule="exact"/>
              <w:ind w:left="0" w:leftChars="0" w:firstLine="0" w:firstLineChars="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供应商应在磋商文件中的磋商一览表上，标明项目报价、服务期限等； 任何有选择的报价不予接受；</w:t>
            </w:r>
          </w:p>
          <w:p>
            <w:pPr>
              <w:tabs>
                <w:tab w:val="left" w:pos="0"/>
              </w:tabs>
              <w:autoSpaceDE w:val="0"/>
              <w:autoSpaceDN w:val="0"/>
              <w:adjustRightInd w:val="0"/>
              <w:snapToGrid w:val="0"/>
              <w:spacing w:beforeLines="0" w:afterLines="0" w:line="420" w:lineRule="exact"/>
              <w:ind w:left="0" w:leftChars="0" w:firstLine="0" w:firstLineChars="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磋商一览表应有供应商公章及法定代表人或被授权人的签字或盖章；</w:t>
            </w:r>
          </w:p>
          <w:p>
            <w:pPr>
              <w:tabs>
                <w:tab w:val="left" w:pos="0"/>
              </w:tabs>
              <w:autoSpaceDE w:val="0"/>
              <w:autoSpaceDN w:val="0"/>
              <w:adjustRightInd w:val="0"/>
              <w:snapToGrid w:val="0"/>
              <w:spacing w:beforeLines="0" w:afterLines="0" w:line="420" w:lineRule="exact"/>
              <w:ind w:left="0" w:leftChars="0" w:firstLine="0" w:firstLineChars="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磋商一览表中标明的价格，在合同执行过程中，不得以任何理由变更；</w:t>
            </w:r>
          </w:p>
          <w:p>
            <w:pPr>
              <w:tabs>
                <w:tab w:val="left" w:pos="0"/>
              </w:tabs>
              <w:autoSpaceDE w:val="0"/>
              <w:autoSpaceDN w:val="0"/>
              <w:adjustRightInd w:val="0"/>
              <w:snapToGrid w:val="0"/>
              <w:spacing w:beforeLines="0" w:afterLines="0" w:line="420" w:lineRule="exact"/>
              <w:ind w:left="0" w:leftChars="0" w:firstLine="0" w:firstLineChars="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凡因供应商对磋商文件阅读不深、理解不透、误解、疏漏、或因市场行 情了解不清造成的后果和风险均由供应商自负；</w:t>
            </w:r>
          </w:p>
          <w:p>
            <w:pPr>
              <w:tabs>
                <w:tab w:val="left" w:pos="0"/>
              </w:tabs>
              <w:autoSpaceDE w:val="0"/>
              <w:autoSpaceDN w:val="0"/>
              <w:adjustRightInd w:val="0"/>
              <w:snapToGrid w:val="0"/>
              <w:spacing w:beforeLines="0" w:afterLines="0" w:line="420" w:lineRule="exact"/>
              <w:ind w:left="0" w:leftChars="0" w:firstLine="0" w:firstLineChars="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最低报价不是成交的唯一依据。 </w:t>
            </w:r>
          </w:p>
          <w:p>
            <w:pPr>
              <w:tabs>
                <w:tab w:val="left" w:pos="0"/>
              </w:tabs>
              <w:autoSpaceDE w:val="0"/>
              <w:autoSpaceDN w:val="0"/>
              <w:adjustRightInd w:val="0"/>
              <w:snapToGrid w:val="0"/>
              <w:spacing w:beforeLines="0" w:afterLines="0" w:line="420" w:lineRule="exact"/>
              <w:ind w:left="0" w:leftChars="0" w:firstLine="0" w:firstLineChars="0"/>
              <w:outlineLvl w:val="2"/>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当磋商小组认为某个供应商的报价明显低于其他通过符合性审查供应 商的报价，有可能影响服务质量和不能诚信履约的，应要求该供应商在磋商现场 合理的时间内提供书面说明，必要时提交相关证明材料；供应商不能证明其报价 合理的，磋商小组将其作为无效磋商处理。</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采购预算及最高限价</w:t>
            </w:r>
          </w:p>
        </w:tc>
        <w:tc>
          <w:tcPr>
            <w:tcW w:w="6086" w:type="dxa"/>
            <w:tcBorders>
              <w:top w:val="single" w:color="auto" w:sz="4" w:space="0"/>
              <w:left w:val="single" w:color="auto" w:sz="4" w:space="0"/>
              <w:bottom w:val="single" w:color="auto" w:sz="4" w:space="0"/>
              <w:right w:val="single" w:color="auto" w:sz="4" w:space="0"/>
            </w:tcBorders>
            <w:vAlign w:val="center"/>
          </w:tcPr>
          <w:p>
            <w:pPr>
              <w:pStyle w:val="56"/>
              <w:keepLines w:val="0"/>
              <w:pageBreakBefore w:val="0"/>
              <w:numPr>
                <w:ilvl w:val="0"/>
                <w:numId w:val="2"/>
              </w:numPr>
              <w:kinsoku/>
              <w:wordWrap/>
              <w:overflowPunct/>
              <w:topLinePunct w:val="0"/>
              <w:autoSpaceDE/>
              <w:autoSpaceDN/>
              <w:bidi w:val="0"/>
              <w:spacing w:line="400" w:lineRule="exact"/>
              <w:ind w:left="0" w:leftChars="0" w:right="0" w:rightChars="0" w:firstLine="0" w:firstLineChars="0"/>
              <w:jc w:val="left"/>
              <w:outlineLvl w:val="9"/>
              <w:rPr>
                <w:rFonts w:hint="eastAsia" w:ascii="宋体" w:hAnsi="宋体" w:eastAsia="宋体" w:cs="宋体"/>
                <w:color w:val="auto"/>
                <w:kern w:val="2"/>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合同包1(三马路东里至双槐段改建工程设计)</w:t>
            </w:r>
            <w:r>
              <w:rPr>
                <w:rFonts w:hint="eastAsia" w:ascii="宋体" w:hAnsi="宋体" w:eastAsia="宋体" w:cs="宋体"/>
                <w:color w:val="auto"/>
                <w:kern w:val="2"/>
                <w:sz w:val="24"/>
                <w:szCs w:val="24"/>
                <w:highlight w:val="none"/>
                <w:lang w:val="en-US" w:eastAsia="zh-CN"/>
              </w:rPr>
              <w:t>采购预算价为240000.00元;</w:t>
            </w:r>
            <w:r>
              <w:rPr>
                <w:rFonts w:hint="eastAsia" w:ascii="宋体" w:hAnsi="宋体" w:eastAsia="宋体" w:cs="宋体"/>
                <w:color w:val="auto"/>
                <w:kern w:val="2"/>
                <w:sz w:val="24"/>
                <w:szCs w:val="24"/>
                <w:highlight w:val="none"/>
              </w:rPr>
              <w:t>本</w:t>
            </w:r>
            <w:r>
              <w:rPr>
                <w:rFonts w:hint="eastAsia" w:ascii="宋体" w:hAnsi="宋体" w:eastAsia="宋体" w:cs="宋体"/>
                <w:color w:val="auto"/>
                <w:kern w:val="2"/>
                <w:sz w:val="24"/>
                <w:szCs w:val="24"/>
                <w:highlight w:val="none"/>
                <w:lang w:val="en-US" w:eastAsia="zh-CN"/>
              </w:rPr>
              <w:t>标包</w:t>
            </w:r>
            <w:r>
              <w:rPr>
                <w:rFonts w:hint="eastAsia" w:ascii="宋体" w:hAnsi="宋体" w:eastAsia="宋体" w:cs="宋体"/>
                <w:color w:val="auto"/>
                <w:kern w:val="2"/>
                <w:sz w:val="24"/>
                <w:szCs w:val="24"/>
                <w:highlight w:val="none"/>
              </w:rPr>
              <w:t>最高限价为</w:t>
            </w:r>
            <w:r>
              <w:rPr>
                <w:rFonts w:hint="eastAsia" w:ascii="宋体" w:hAnsi="宋体" w:eastAsia="宋体" w:cs="宋体"/>
                <w:color w:val="auto"/>
                <w:kern w:val="2"/>
                <w:sz w:val="24"/>
                <w:szCs w:val="24"/>
                <w:highlight w:val="none"/>
                <w:lang w:val="en-US" w:eastAsia="zh-CN"/>
              </w:rPr>
              <w:t>240000.00</w:t>
            </w:r>
            <w:r>
              <w:rPr>
                <w:rFonts w:hint="eastAsia" w:ascii="宋体" w:hAnsi="宋体" w:eastAsia="宋体" w:cs="宋体"/>
                <w:color w:val="auto"/>
                <w:kern w:val="2"/>
                <w:sz w:val="24"/>
                <w:szCs w:val="24"/>
                <w:highlight w:val="none"/>
              </w:rPr>
              <w:t>元。</w:t>
            </w:r>
          </w:p>
          <w:p>
            <w:pPr>
              <w:pStyle w:val="56"/>
              <w:keepLines w:val="0"/>
              <w:pageBreakBefore w:val="0"/>
              <w:numPr>
                <w:ilvl w:val="0"/>
                <w:numId w:val="2"/>
              </w:numPr>
              <w:kinsoku/>
              <w:wordWrap/>
              <w:overflowPunct/>
              <w:topLinePunct w:val="0"/>
              <w:autoSpaceDE/>
              <w:autoSpaceDN/>
              <w:bidi w:val="0"/>
              <w:spacing w:line="400" w:lineRule="exact"/>
              <w:ind w:left="0" w:leftChars="0" w:right="0" w:rightChars="0" w:firstLine="0" w:firstLineChars="0"/>
              <w:jc w:val="left"/>
              <w:outlineLvl w:val="9"/>
              <w:rPr>
                <w:rFonts w:hint="eastAsia" w:ascii="宋体" w:hAnsi="宋体" w:eastAsia="宋体" w:cs="宋体"/>
                <w:color w:val="auto"/>
                <w:kern w:val="2"/>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朱峪路等桥至朱家湾段改建工程设计</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color w:val="auto"/>
                <w:kern w:val="2"/>
                <w:sz w:val="24"/>
                <w:szCs w:val="24"/>
                <w:highlight w:val="none"/>
                <w:lang w:val="en-US" w:eastAsia="zh-CN"/>
              </w:rPr>
              <w:t>采购预算价为300000.00元;</w:t>
            </w:r>
            <w:r>
              <w:rPr>
                <w:rFonts w:hint="eastAsia" w:ascii="宋体" w:hAnsi="宋体" w:eastAsia="宋体" w:cs="宋体"/>
                <w:color w:val="auto"/>
                <w:kern w:val="2"/>
                <w:sz w:val="24"/>
                <w:szCs w:val="24"/>
                <w:highlight w:val="none"/>
              </w:rPr>
              <w:t>本</w:t>
            </w:r>
            <w:r>
              <w:rPr>
                <w:rFonts w:hint="eastAsia" w:ascii="宋体" w:hAnsi="宋体" w:eastAsia="宋体" w:cs="宋体"/>
                <w:color w:val="auto"/>
                <w:kern w:val="2"/>
                <w:sz w:val="24"/>
                <w:szCs w:val="24"/>
                <w:highlight w:val="none"/>
                <w:lang w:val="en-US" w:eastAsia="zh-CN"/>
              </w:rPr>
              <w:t>标包</w:t>
            </w:r>
            <w:r>
              <w:rPr>
                <w:rFonts w:hint="eastAsia" w:ascii="宋体" w:hAnsi="宋体" w:eastAsia="宋体" w:cs="宋体"/>
                <w:color w:val="auto"/>
                <w:kern w:val="2"/>
                <w:sz w:val="24"/>
                <w:szCs w:val="24"/>
                <w:highlight w:val="none"/>
              </w:rPr>
              <w:t>最高限价为</w:t>
            </w:r>
            <w:r>
              <w:rPr>
                <w:rFonts w:hint="eastAsia" w:ascii="宋体" w:hAnsi="宋体" w:eastAsia="宋体" w:cs="宋体"/>
                <w:color w:val="auto"/>
                <w:kern w:val="2"/>
                <w:sz w:val="24"/>
                <w:szCs w:val="24"/>
                <w:highlight w:val="none"/>
                <w:lang w:val="en-US" w:eastAsia="zh-CN"/>
              </w:rPr>
              <w:t>300000.00</w:t>
            </w:r>
            <w:r>
              <w:rPr>
                <w:rFonts w:hint="eastAsia" w:ascii="宋体" w:hAnsi="宋体" w:eastAsia="宋体" w:cs="宋体"/>
                <w:color w:val="auto"/>
                <w:kern w:val="2"/>
                <w:sz w:val="24"/>
                <w:szCs w:val="24"/>
                <w:highlight w:val="none"/>
              </w:rPr>
              <w:t>元。</w:t>
            </w:r>
          </w:p>
          <w:p>
            <w:pPr>
              <w:pStyle w:val="56"/>
              <w:keepLines w:val="0"/>
              <w:pageBreakBefore w:val="0"/>
              <w:numPr>
                <w:ilvl w:val="0"/>
                <w:numId w:val="2"/>
              </w:numPr>
              <w:kinsoku/>
              <w:wordWrap/>
              <w:overflowPunct/>
              <w:topLinePunct w:val="0"/>
              <w:autoSpaceDE/>
              <w:autoSpaceDN/>
              <w:bidi w:val="0"/>
              <w:spacing w:line="400" w:lineRule="exact"/>
              <w:ind w:left="0" w:leftChars="0" w:right="0" w:rightChars="0" w:firstLine="0" w:firstLineChars="0"/>
              <w:jc w:val="left"/>
              <w:outlineLvl w:val="9"/>
              <w:rPr>
                <w:rFonts w:hint="eastAsia" w:ascii="宋体" w:hAnsi="宋体" w:eastAsia="宋体" w:cs="宋体"/>
                <w:color w:val="auto"/>
                <w:kern w:val="2"/>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孟店桥建设工程设计</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color w:val="auto"/>
                <w:kern w:val="2"/>
                <w:sz w:val="24"/>
                <w:szCs w:val="24"/>
                <w:highlight w:val="none"/>
                <w:lang w:val="en-US" w:eastAsia="zh-CN"/>
              </w:rPr>
              <w:t>采购预算价为250000.00元;</w:t>
            </w:r>
            <w:r>
              <w:rPr>
                <w:rFonts w:hint="eastAsia" w:ascii="宋体" w:hAnsi="宋体" w:eastAsia="宋体" w:cs="宋体"/>
                <w:color w:val="auto"/>
                <w:kern w:val="2"/>
                <w:sz w:val="24"/>
                <w:szCs w:val="24"/>
                <w:highlight w:val="none"/>
              </w:rPr>
              <w:t>本</w:t>
            </w:r>
            <w:r>
              <w:rPr>
                <w:rFonts w:hint="eastAsia" w:ascii="宋体" w:hAnsi="宋体" w:eastAsia="宋体" w:cs="宋体"/>
                <w:color w:val="auto"/>
                <w:kern w:val="2"/>
                <w:sz w:val="24"/>
                <w:szCs w:val="24"/>
                <w:highlight w:val="none"/>
                <w:lang w:val="en-US" w:eastAsia="zh-CN"/>
              </w:rPr>
              <w:t>标包</w:t>
            </w:r>
            <w:r>
              <w:rPr>
                <w:rFonts w:hint="eastAsia" w:ascii="宋体" w:hAnsi="宋体" w:eastAsia="宋体" w:cs="宋体"/>
                <w:color w:val="auto"/>
                <w:kern w:val="2"/>
                <w:sz w:val="24"/>
                <w:szCs w:val="24"/>
                <w:highlight w:val="none"/>
              </w:rPr>
              <w:t>最高限价为</w:t>
            </w:r>
            <w:r>
              <w:rPr>
                <w:rFonts w:hint="eastAsia" w:ascii="宋体" w:hAnsi="宋体" w:eastAsia="宋体" w:cs="宋体"/>
                <w:color w:val="auto"/>
                <w:kern w:val="2"/>
                <w:sz w:val="24"/>
                <w:szCs w:val="24"/>
                <w:highlight w:val="none"/>
                <w:lang w:val="en-US" w:eastAsia="zh-CN"/>
              </w:rPr>
              <w:t>250000.00</w:t>
            </w:r>
            <w:r>
              <w:rPr>
                <w:rFonts w:hint="eastAsia" w:ascii="宋体" w:hAnsi="宋体" w:eastAsia="宋体" w:cs="宋体"/>
                <w:color w:val="auto"/>
                <w:kern w:val="2"/>
                <w:sz w:val="24"/>
                <w:szCs w:val="24"/>
                <w:highlight w:val="none"/>
              </w:rPr>
              <w:t>元。</w:t>
            </w:r>
          </w:p>
          <w:p>
            <w:pPr>
              <w:pStyle w:val="56"/>
              <w:keepLines w:val="0"/>
              <w:pageBreakBefore w:val="0"/>
              <w:kinsoku/>
              <w:wordWrap/>
              <w:overflowPunct/>
              <w:topLinePunct w:val="0"/>
              <w:autoSpaceDE/>
              <w:autoSpaceDN/>
              <w:bidi w:val="0"/>
              <w:spacing w:line="400" w:lineRule="exact"/>
              <w:ind w:left="0" w:leftChars="0" w:right="0" w:rightChars="0" w:firstLine="0" w:firstLineChars="0"/>
              <w:jc w:val="left"/>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备注：磋商报价超过</w:t>
            </w:r>
            <w:r>
              <w:rPr>
                <w:rFonts w:hint="eastAsia" w:ascii="宋体" w:hAnsi="宋体" w:eastAsia="宋体" w:cs="宋体"/>
                <w:color w:val="auto"/>
                <w:kern w:val="2"/>
                <w:sz w:val="24"/>
                <w:szCs w:val="24"/>
                <w:highlight w:val="none"/>
                <w:lang w:val="en-US" w:eastAsia="zh-CN"/>
              </w:rPr>
              <w:t>最高限价</w:t>
            </w:r>
            <w:r>
              <w:rPr>
                <w:rFonts w:hint="eastAsia" w:ascii="宋体" w:hAnsi="宋体" w:eastAsia="宋体" w:cs="宋体"/>
                <w:color w:val="auto"/>
                <w:kern w:val="2"/>
                <w:sz w:val="24"/>
                <w:szCs w:val="24"/>
                <w:highlight w:val="none"/>
              </w:rPr>
              <w:t>的，按照无效磋商处理。</w:t>
            </w:r>
          </w:p>
        </w:tc>
      </w:tr>
      <w:tr>
        <w:tblPrEx>
          <w:tblCellMar>
            <w:top w:w="0" w:type="dxa"/>
            <w:left w:w="108" w:type="dxa"/>
            <w:bottom w:w="0" w:type="dxa"/>
            <w:right w:w="108" w:type="dxa"/>
          </w:tblCellMar>
        </w:tblPrEx>
        <w:trPr>
          <w:trHeight w:val="56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自竞争性磋商响应文件递交截止之日起90天。</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本项目各标包无需缴纳投标保证金。</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供应商磋商现场须带资料原件</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法定代表人授权委托书（附法定代表人及授权代理人身份证复印件）及被授权人身份证原件。</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是否允许递交备选磋商方案</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签字或盖章要求</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纸质版竞争性磋商响应文件封面及其它有要求的部位应加盖供应商公章并经法定代表人或其委托代理人签字或盖章。</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竞争性磋商响应文件份数</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正本一份、副本两份、电子版二份（光盘或U盘）</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3.7.5</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纸质竞争性磋商响应文件装订要求</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磋商响应文件的正本、副本须分开装订成册并分别密封，两份副本须密封于一个密封袋中（封袋不得有破损），电子版响应文件（</w:t>
            </w:r>
            <w:r>
              <w:rPr>
                <w:rFonts w:hint="eastAsia" w:ascii="宋体" w:hAnsi="宋体" w:eastAsia="宋体" w:cs="宋体"/>
                <w:color w:val="auto"/>
                <w:sz w:val="24"/>
                <w:szCs w:val="24"/>
                <w:highlight w:val="none"/>
                <w:lang w:val="en-US" w:eastAsia="zh-CN"/>
              </w:rPr>
              <w:t>光盘或U盘</w:t>
            </w:r>
            <w:r>
              <w:rPr>
                <w:rFonts w:hint="eastAsia" w:ascii="宋体" w:hAnsi="宋体" w:eastAsia="宋体" w:cs="宋体"/>
                <w:color w:val="auto"/>
                <w:sz w:val="24"/>
                <w:szCs w:val="24"/>
                <w:highlight w:val="none"/>
              </w:rPr>
              <w:t>）</w:t>
            </w:r>
            <w:r>
              <w:rPr>
                <w:rFonts w:hint="eastAsia" w:ascii="宋体" w:hAnsi="宋体" w:eastAsia="宋体" w:cs="宋体"/>
                <w:color w:val="auto"/>
                <w:kern w:val="1"/>
                <w:sz w:val="24"/>
                <w:szCs w:val="24"/>
                <w:highlight w:val="none"/>
              </w:rPr>
              <w:t>封装在正本文件中，</w:t>
            </w:r>
            <w:r>
              <w:rPr>
                <w:rFonts w:hint="eastAsia" w:ascii="宋体" w:hAnsi="宋体" w:eastAsia="宋体" w:cs="宋体"/>
                <w:color w:val="auto"/>
                <w:sz w:val="24"/>
                <w:szCs w:val="24"/>
                <w:highlight w:val="none"/>
              </w:rPr>
              <w:t>且在封袋正面标明“正本”“副本”，装订应牢固、不易拆散和换页，</w:t>
            </w:r>
            <w:r>
              <w:rPr>
                <w:rFonts w:hint="eastAsia" w:ascii="宋体" w:hAnsi="宋体" w:eastAsia="宋体" w:cs="宋体"/>
                <w:b/>
                <w:bCs/>
                <w:color w:val="auto"/>
                <w:sz w:val="24"/>
                <w:szCs w:val="24"/>
                <w:highlight w:val="none"/>
              </w:rPr>
              <w:t>活页装订的响应文件无效。</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“电子版”内容要求：</w:t>
            </w:r>
            <w:r>
              <w:rPr>
                <w:rFonts w:hint="eastAsia" w:ascii="宋体" w:hAnsi="宋体" w:eastAsia="宋体" w:cs="宋体"/>
                <w:bCs/>
                <w:color w:val="auto"/>
                <w:kern w:val="1"/>
                <w:sz w:val="24"/>
                <w:szCs w:val="24"/>
                <w:highlight w:val="none"/>
              </w:rPr>
              <w:t>磋商响应文件</w:t>
            </w:r>
            <w:r>
              <w:rPr>
                <w:rFonts w:hint="eastAsia" w:ascii="宋体" w:hAnsi="宋体" w:eastAsia="宋体" w:cs="宋体"/>
                <w:bCs/>
                <w:color w:val="auto"/>
                <w:sz w:val="24"/>
                <w:szCs w:val="24"/>
                <w:highlight w:val="none"/>
              </w:rPr>
              <w:t>全部内容，密封要求：密封于正本标袋内，载体：</w:t>
            </w:r>
            <w:r>
              <w:rPr>
                <w:rFonts w:hint="eastAsia" w:ascii="宋体" w:hAnsi="宋体" w:eastAsia="宋体" w:cs="宋体"/>
                <w:color w:val="auto"/>
                <w:sz w:val="24"/>
                <w:szCs w:val="24"/>
                <w:highlight w:val="none"/>
                <w:lang w:val="en-US" w:eastAsia="zh-CN"/>
              </w:rPr>
              <w:t>光盘或U盘</w:t>
            </w:r>
            <w:r>
              <w:rPr>
                <w:rFonts w:hint="eastAsia" w:ascii="宋体" w:hAnsi="宋体" w:eastAsia="宋体" w:cs="宋体"/>
                <w:bCs/>
                <w:color w:val="auto"/>
                <w:sz w:val="24"/>
                <w:szCs w:val="24"/>
                <w:highlight w:val="none"/>
              </w:rPr>
              <w:t>。</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textAlignment w:val="baseline"/>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注：1、封袋须密封，正面应标明供应商全称、项目名称、项目编号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标包号</w:t>
            </w:r>
            <w:r>
              <w:rPr>
                <w:rFonts w:hint="eastAsia" w:ascii="宋体" w:hAnsi="宋体" w:eastAsia="宋体" w:cs="宋体"/>
                <w:color w:val="auto"/>
                <w:sz w:val="24"/>
                <w:szCs w:val="24"/>
                <w:highlight w:val="none"/>
              </w:rPr>
              <w:t>以及在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分前不得开启，</w:t>
            </w:r>
            <w:r>
              <w:rPr>
                <w:rFonts w:hint="eastAsia" w:ascii="宋体" w:hAnsi="宋体" w:eastAsia="宋体" w:cs="宋体"/>
                <w:b/>
                <w:bCs/>
                <w:color w:val="auto"/>
                <w:kern w:val="0"/>
                <w:sz w:val="24"/>
                <w:szCs w:val="24"/>
                <w:highlight w:val="none"/>
              </w:rPr>
              <w:t>如果未按上述规定进行密封，供应商的磋商响应文件有权被拒绝</w:t>
            </w:r>
            <w:r>
              <w:rPr>
                <w:rFonts w:hint="eastAsia" w:ascii="宋体" w:hAnsi="宋体" w:eastAsia="宋体" w:cs="宋体"/>
                <w:color w:val="auto"/>
                <w:sz w:val="24"/>
                <w:szCs w:val="24"/>
                <w:highlight w:val="none"/>
              </w:rPr>
              <w:t>。</w:t>
            </w:r>
          </w:p>
          <w:p>
            <w:pPr>
              <w:keepLines w:val="0"/>
              <w:pageBreakBefore w:val="0"/>
              <w:tabs>
                <w:tab w:val="left" w:pos="0"/>
              </w:tabs>
              <w:kinsoku/>
              <w:wordWrap/>
              <w:overflowPunct/>
              <w:topLinePunct w:val="0"/>
              <w:autoSpaceDE/>
              <w:autoSpaceDN/>
              <w:bidi w:val="0"/>
              <w:spacing w:beforeLines="0" w:afterLines="0" w:line="400" w:lineRule="exact"/>
              <w:ind w:left="0" w:leftChars="0" w:right="0" w:rightChars="0" w:firstLine="0" w:firstLineChars="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2、如果供应商未按上述要求密封及加写标记，造成磋商响应文件误投或过早启封，自行承担其磋商响应文件被视为无效磋商响应文件的风险。</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3、不授受邮寄的磋商响应文件。</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纸质竞争性磋商响应文件封套上写明</w:t>
            </w:r>
          </w:p>
        </w:tc>
        <w:tc>
          <w:tcPr>
            <w:tcW w:w="6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正本/副本</w:t>
            </w:r>
          </w:p>
          <w:p>
            <w:pPr>
              <w:keepNext w:val="0"/>
              <w:keepLines w:val="0"/>
              <w:widowControl w:val="0"/>
              <w:suppressLineNumbers w:val="0"/>
              <w:spacing w:before="0" w:beforeLines="50" w:beforeAutospacing="0" w:after="0" w:afterLines="50" w:afterAutospacing="0" w:line="360" w:lineRule="auto"/>
              <w:ind w:left="0" w:leftChars="0" w:right="0" w:firstLine="0" w:firstLineChars="0"/>
              <w:jc w:val="both"/>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pStyle w:val="3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竞争性磋商响应文件</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项目编号：</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标包号：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3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w:t>
            </w:r>
            <w:r>
              <w:rPr>
                <w:rFonts w:hint="eastAsia" w:ascii="宋体" w:hAnsi="宋体" w:eastAsia="宋体" w:cs="宋体"/>
                <w:sz w:val="24"/>
                <w:szCs w:val="24"/>
              </w:rPr>
              <w:t>文件在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分前不得开启</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竞争性磋商响应文件递交地点</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西安市雁塔区吉祥路135号（亿诚建设项目管理有限公司7楼）</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是否退还竞争性磋商响应文件</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i w:val="0"/>
                <w:iCs w:val="0"/>
                <w:caps w:val="0"/>
                <w:color w:val="auto"/>
                <w:spacing w:val="0"/>
                <w:sz w:val="24"/>
                <w:szCs w:val="24"/>
                <w:highlight w:val="none"/>
                <w:shd w:val="clear" w:color="auto" w:fill="FFFFFF"/>
                <w:vertAlign w:val="baseline"/>
              </w:rPr>
              <w:t>2023年03月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24</w:t>
            </w:r>
            <w:r>
              <w:rPr>
                <w:rFonts w:hint="eastAsia" w:ascii="宋体" w:hAnsi="宋体" w:eastAsia="宋体" w:cs="宋体"/>
                <w:i w:val="0"/>
                <w:iCs w:val="0"/>
                <w:caps w:val="0"/>
                <w:color w:val="auto"/>
                <w:spacing w:val="0"/>
                <w:sz w:val="24"/>
                <w:szCs w:val="24"/>
                <w:highlight w:val="none"/>
                <w:shd w:val="clear" w:color="auto" w:fill="FFFFFF"/>
                <w:vertAlign w:val="baseline"/>
              </w:rPr>
              <w:t>日14时00分00秒（北京时间）</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西安市雁塔区吉祥路135号</w:t>
            </w:r>
          </w:p>
        </w:tc>
      </w:tr>
      <w:tr>
        <w:tblPrEx>
          <w:tblCellMar>
            <w:top w:w="0" w:type="dxa"/>
            <w:left w:w="108" w:type="dxa"/>
            <w:bottom w:w="0" w:type="dxa"/>
            <w:right w:w="108" w:type="dxa"/>
          </w:tblCellMar>
        </w:tblPrEx>
        <w:trPr>
          <w:trHeight w:val="416"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磋商小组的组建</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tabs>
                <w:tab w:val="left" w:pos="0"/>
              </w:tabs>
              <w:kinsoku/>
              <w:wordWrap/>
              <w:overflowPunct/>
              <w:topLinePunct w:val="0"/>
              <w:autoSpaceDE/>
              <w:autoSpaceDN/>
              <w:bidi w:val="0"/>
              <w:spacing w:beforeLines="0" w:afterLines="0" w:line="400" w:lineRule="exact"/>
              <w:ind w:left="0" w:leftChars="0" w:right="0" w:rightChars="0" w:firstLine="0" w:firstLineChars="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磋商小组组建：</w:t>
            </w:r>
            <w:r>
              <w:rPr>
                <w:rFonts w:hint="eastAsia" w:ascii="宋体" w:hAnsi="宋体" w:eastAsia="宋体" w:cs="宋体"/>
                <w:color w:val="auto"/>
                <w:sz w:val="24"/>
                <w:szCs w:val="24"/>
                <w:highlight w:val="none"/>
                <w:lang w:val="zh-CN"/>
              </w:rPr>
              <w:t>本项目磋商小组为</w:t>
            </w:r>
            <w:r>
              <w:rPr>
                <w:rFonts w:hint="eastAsia" w:ascii="宋体" w:hAnsi="宋体" w:eastAsia="宋体" w:cs="宋体"/>
                <w:color w:val="auto"/>
                <w:sz w:val="24"/>
                <w:szCs w:val="24"/>
                <w:highlight w:val="none"/>
              </w:rPr>
              <w:t xml:space="preserve"> 3 人</w:t>
            </w:r>
            <w:r>
              <w:rPr>
                <w:rFonts w:hint="eastAsia" w:ascii="宋体" w:hAnsi="宋体" w:eastAsia="宋体" w:cs="宋体"/>
                <w:color w:val="auto"/>
                <w:sz w:val="24"/>
                <w:szCs w:val="24"/>
                <w:highlight w:val="none"/>
                <w:lang w:eastAsia="zh-CN"/>
              </w:rPr>
              <w:t>或以上单数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磋商小组成员在省级以上财政部门设立的政府采购评审专家库中随机抽取，其中评审专家不得少于成员总数的三分之二，磋商小组成员与供应商有利害关系的应当回避。参照《中华人民共和国政府采购》 、《政府采购竞争性磋商采购方式管理暂行办法》、财政部规章及政府采购项目所在地有关法规、规章等有关规定组建磋商小组。</w:t>
            </w:r>
            <w:r>
              <w:rPr>
                <w:rFonts w:hint="eastAsia" w:ascii="宋体" w:hAnsi="宋体" w:eastAsia="宋体" w:cs="宋体"/>
                <w:color w:val="auto"/>
                <w:sz w:val="24"/>
                <w:szCs w:val="24"/>
                <w:highlight w:val="none"/>
              </w:rPr>
              <w:t xml:space="preserve"> </w:t>
            </w:r>
          </w:p>
          <w:p>
            <w:pPr>
              <w:keepLines w:val="0"/>
              <w:pageBreakBefore w:val="0"/>
              <w:tabs>
                <w:tab w:val="left" w:pos="0"/>
              </w:tabs>
              <w:kinsoku/>
              <w:wordWrap/>
              <w:overflowPunct/>
              <w:topLinePunct w:val="0"/>
              <w:autoSpaceDE/>
              <w:autoSpaceDN/>
              <w:bidi w:val="0"/>
              <w:spacing w:beforeLines="0" w:afterLines="0" w:line="400" w:lineRule="exact"/>
              <w:ind w:left="0" w:leftChars="0" w:right="0" w:rightChars="0" w:firstLine="0" w:firstLineChars="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磋商小组确定方式：评审前24小时内在</w:t>
            </w:r>
            <w:r>
              <w:rPr>
                <w:rFonts w:hint="eastAsia" w:ascii="宋体" w:hAnsi="宋体" w:eastAsia="宋体" w:cs="宋体"/>
                <w:color w:val="auto"/>
                <w:sz w:val="24"/>
                <w:szCs w:val="24"/>
                <w:highlight w:val="none"/>
                <w:lang w:val="en-US" w:eastAsia="zh-CN"/>
              </w:rPr>
              <w:t>陕西省政府采购</w:t>
            </w:r>
            <w:r>
              <w:rPr>
                <w:rFonts w:hint="eastAsia" w:ascii="宋体" w:hAnsi="宋体" w:eastAsia="宋体" w:cs="宋体"/>
                <w:color w:val="auto"/>
                <w:sz w:val="24"/>
                <w:szCs w:val="24"/>
                <w:highlight w:val="none"/>
              </w:rPr>
              <w:t>专家库中随机抽取技术、经济方面的专家。</w:t>
            </w:r>
          </w:p>
        </w:tc>
      </w:tr>
      <w:tr>
        <w:tblPrEx>
          <w:tblCellMar>
            <w:top w:w="0" w:type="dxa"/>
            <w:left w:w="108" w:type="dxa"/>
            <w:bottom w:w="0" w:type="dxa"/>
            <w:right w:w="108" w:type="dxa"/>
          </w:tblCellMar>
        </w:tblPrEx>
        <w:trPr>
          <w:trHeight w:val="880" w:hRule="atLeast"/>
          <w:jc w:val="center"/>
        </w:trPr>
        <w:tc>
          <w:tcPr>
            <w:tcW w:w="1197" w:type="dxa"/>
            <w:tcBorders>
              <w:top w:val="single" w:color="auto" w:sz="4" w:space="0"/>
              <w:left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421" w:type="dxa"/>
            <w:tcBorders>
              <w:top w:val="single" w:color="auto" w:sz="4" w:space="0"/>
              <w:left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是否授权磋商小组确定成交人</w:t>
            </w:r>
          </w:p>
        </w:tc>
        <w:tc>
          <w:tcPr>
            <w:tcW w:w="6086" w:type="dxa"/>
            <w:tcBorders>
              <w:top w:val="single" w:color="auto" w:sz="4" w:space="0"/>
              <w:left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否，推荐的成交人候选人数量为3个。</w:t>
            </w:r>
          </w:p>
        </w:tc>
      </w:tr>
      <w:tr>
        <w:tblPrEx>
          <w:tblCellMar>
            <w:top w:w="0" w:type="dxa"/>
            <w:left w:w="108" w:type="dxa"/>
            <w:bottom w:w="0" w:type="dxa"/>
            <w:right w:w="108" w:type="dxa"/>
          </w:tblCellMar>
        </w:tblPrEx>
        <w:trPr>
          <w:trHeight w:val="56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CellMar>
            <w:top w:w="0" w:type="dxa"/>
            <w:left w:w="108" w:type="dxa"/>
            <w:bottom w:w="0" w:type="dxa"/>
            <w:right w:w="108" w:type="dxa"/>
          </w:tblCellMar>
        </w:tblPrEx>
        <w:trPr>
          <w:trHeight w:val="58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242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需要补充的其他内容</w:t>
            </w:r>
          </w:p>
        </w:tc>
        <w:tc>
          <w:tcPr>
            <w:tcW w:w="608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知识产权：构成本竞争性磋商文件各个组成部分的文件，未经采购人书面同意，供应商不得擅自复印和用于非本采购项目所需的其他目的。采购人全部或者部分使用未成交供应商中的技术成果或技术方案时，需征得其书面同意，并不得擅自复印或提供给第三人；</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本项目招标代理服务费依据《国家计委关于印发采购代理服务收费管理暂行办法的通知》（计价格【2002】1980号）和《国家发改委关于降低部分建设项目收费标准规范收费行为等有关问题的通知》（发改价格【2011】534号）文件规定标准收取。以上费用由成交供应商</w:t>
            </w:r>
            <w:r>
              <w:rPr>
                <w:rFonts w:hint="eastAsia" w:ascii="宋体" w:hAnsi="宋体" w:eastAsia="宋体" w:cs="宋体"/>
                <w:color w:val="auto"/>
                <w:sz w:val="24"/>
                <w:szCs w:val="24"/>
                <w:highlight w:val="none"/>
                <w:lang w:val="zh-CN"/>
              </w:rPr>
              <w:t>支付。</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、成交供应商在领取成交通知证书前，须向采购代理机构一次性支付；费用以转账、电汇或现金等形式缴纳。</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账户信息：</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名称:亿诚建设项目管理有限公司        </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地址:陕西省西安市雁塔区吉祥路135号</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电话:029-88190369</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开户行:中国民生银行西安吉祥路支行 </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账号:699295538</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10.4本竞争性磋商文件未明确的其他事项，按照有关法律、法规或省市有关规定执行。本竞争性磋商文件由采购人和采购代理机构负责解释。</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10.5</w:t>
            </w:r>
            <w:r>
              <w:rPr>
                <w:rFonts w:hint="eastAsia" w:ascii="宋体" w:hAnsi="宋体" w:eastAsia="宋体" w:cs="宋体"/>
                <w:color w:val="auto"/>
                <w:sz w:val="24"/>
                <w:szCs w:val="24"/>
                <w:highlight w:val="none"/>
              </w:rPr>
              <w:t>供应商应按照陕西省财政厅关于政府采购供应商注册登记有关事项的通知要求，通过陕西省政府采购网注册登记加入陕西省政府采购供应商库否则无法发布成交公告。</w:t>
            </w:r>
          </w:p>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10.6本项目为专门面向中小企业，采购标的对应的中小企业划分标准所属行业：其他为列明行业。</w:t>
            </w:r>
          </w:p>
        </w:tc>
      </w:tr>
      <w:tr>
        <w:tblPrEx>
          <w:tblCellMar>
            <w:top w:w="0" w:type="dxa"/>
            <w:left w:w="108" w:type="dxa"/>
            <w:bottom w:w="0" w:type="dxa"/>
            <w:right w:w="108" w:type="dxa"/>
          </w:tblCellMar>
        </w:tblPrEx>
        <w:trPr>
          <w:trHeight w:val="1206" w:hRule="atLeast"/>
          <w:jc w:val="center"/>
        </w:trPr>
        <w:tc>
          <w:tcPr>
            <w:tcW w:w="9704" w:type="dxa"/>
            <w:gridSpan w:val="3"/>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beforeLines="0" w:afterLines="0" w:line="400" w:lineRule="exact"/>
              <w:ind w:left="0" w:leftChars="0" w:right="0" w:rightChars="0" w:firstLine="0" w:firstLineChars="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本表是对供应商须知的提示、补充和修改，如有矛盾，应以本表为准。如本表未说明的，以本竞争性磋商文件内容为准。</w:t>
            </w:r>
          </w:p>
        </w:tc>
      </w:tr>
    </w:tbl>
    <w:p>
      <w:pPr>
        <w:autoSpaceDE w:val="0"/>
        <w:autoSpaceDN w:val="0"/>
        <w:spacing w:beforeLines="0" w:afterLines="0" w:line="500" w:lineRule="exact"/>
        <w:ind w:left="0" w:leftChars="0" w:firstLine="0" w:firstLineChars="0"/>
        <w:jc w:val="center"/>
        <w:outlineLvl w:val="2"/>
        <w:rPr>
          <w:rFonts w:hint="eastAsia" w:ascii="宋体" w:hAnsi="宋体" w:eastAsia="宋体" w:cs="宋体"/>
          <w:b/>
          <w:bCs/>
          <w:color w:val="auto"/>
          <w:sz w:val="32"/>
          <w:szCs w:val="32"/>
          <w:highlight w:val="none"/>
        </w:rPr>
      </w:pPr>
    </w:p>
    <w:p>
      <w:pPr>
        <w:autoSpaceDE w:val="0"/>
        <w:autoSpaceDN w:val="0"/>
        <w:spacing w:beforeLines="0" w:afterLines="0" w:line="500" w:lineRule="exact"/>
        <w:ind w:left="0" w:leftChars="0" w:firstLine="0" w:firstLineChars="0"/>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供应商须知</w:t>
      </w:r>
    </w:p>
    <w:p>
      <w:pPr>
        <w:pStyle w:val="40"/>
        <w:keepNext w:val="0"/>
        <w:keepLines w:val="0"/>
        <w:autoSpaceDE w:val="0"/>
        <w:autoSpaceDN w:val="0"/>
        <w:spacing w:beforeLines="0" w:afterLines="0" w:line="420" w:lineRule="exact"/>
        <w:ind w:left="0" w:leftChars="0" w:firstLine="482"/>
        <w:jc w:val="both"/>
        <w:outlineLvl w:val="2"/>
        <w:rPr>
          <w:rFonts w:hint="eastAsia" w:ascii="宋体" w:hAnsi="宋体" w:eastAsia="宋体" w:cs="宋体"/>
          <w:b/>
          <w:color w:val="auto"/>
          <w:sz w:val="24"/>
          <w:szCs w:val="24"/>
          <w:highlight w:val="none"/>
        </w:rPr>
      </w:pPr>
      <w:bookmarkStart w:id="3" w:name="_Toc18068347"/>
      <w:bookmarkStart w:id="4" w:name="_Toc513557027"/>
      <w:bookmarkStart w:id="5" w:name="_Toc18068614"/>
      <w:bookmarkStart w:id="6" w:name="_Toc1811"/>
      <w:bookmarkStart w:id="7" w:name="_Toc13065121"/>
      <w:bookmarkStart w:id="8" w:name="_Toc24962"/>
      <w:bookmarkStart w:id="9" w:name="_Toc18473"/>
      <w:r>
        <w:rPr>
          <w:rFonts w:hint="eastAsia" w:ascii="宋体" w:hAnsi="宋体" w:eastAsia="宋体" w:cs="宋体"/>
          <w:b/>
          <w:color w:val="auto"/>
          <w:sz w:val="24"/>
          <w:szCs w:val="24"/>
          <w:highlight w:val="none"/>
        </w:rPr>
        <w:t>一、总则</w:t>
      </w:r>
      <w:bookmarkEnd w:id="3"/>
      <w:bookmarkEnd w:id="4"/>
      <w:bookmarkEnd w:id="5"/>
    </w:p>
    <w:p>
      <w:pPr>
        <w:pStyle w:val="42"/>
        <w:keepNext w:val="0"/>
        <w:keepLines w:val="0"/>
        <w:autoSpaceDE w:val="0"/>
        <w:autoSpaceDN w:val="0"/>
        <w:spacing w:beforeLines="0" w:afterLines="0" w:line="420" w:lineRule="exact"/>
        <w:ind w:left="0" w:leftChars="0" w:firstLine="482"/>
        <w:rPr>
          <w:rFonts w:hint="eastAsia" w:ascii="宋体" w:hAnsi="宋体" w:eastAsia="宋体" w:cs="宋体"/>
          <w:b/>
          <w:bCs/>
          <w:color w:val="auto"/>
          <w:szCs w:val="24"/>
          <w:highlight w:val="none"/>
        </w:rPr>
      </w:pPr>
      <w:bookmarkStart w:id="10" w:name="_Toc152045530"/>
      <w:bookmarkStart w:id="11" w:name="_Toc144974498"/>
      <w:bookmarkStart w:id="12" w:name="_Toc18068348"/>
      <w:bookmarkStart w:id="13" w:name="_Toc179632547"/>
      <w:bookmarkStart w:id="14" w:name="_Toc152042306"/>
      <w:bookmarkStart w:id="15" w:name="_Toc18068615"/>
      <w:r>
        <w:rPr>
          <w:rFonts w:hint="eastAsia" w:ascii="宋体" w:hAnsi="宋体" w:eastAsia="宋体" w:cs="宋体"/>
          <w:b/>
          <w:bCs/>
          <w:color w:val="auto"/>
          <w:szCs w:val="24"/>
          <w:highlight w:val="none"/>
        </w:rPr>
        <w:t>1</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1</w:t>
      </w:r>
      <w:r>
        <w:rPr>
          <w:rFonts w:hint="eastAsia" w:ascii="宋体" w:hAnsi="宋体" w:eastAsia="宋体" w:cs="宋体"/>
          <w:b/>
          <w:bCs/>
          <w:color w:val="auto"/>
          <w:szCs w:val="24"/>
          <w:highlight w:val="none"/>
        </w:rPr>
        <w:t>、项目概况</w:t>
      </w:r>
      <w:bookmarkEnd w:id="10"/>
      <w:bookmarkEnd w:id="11"/>
      <w:bookmarkEnd w:id="12"/>
      <w:bookmarkEnd w:id="13"/>
      <w:bookmarkEnd w:id="14"/>
      <w:bookmarkEnd w:id="1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16" w:name="_Toc18068616"/>
      <w:bookmarkStart w:id="17" w:name="_Toc18068349"/>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根据《中华人民共和国政府采购法》以及有关法律、法规和规章的规定，本项目已具备采购条件，现对本工程</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进行采购。</w:t>
      </w:r>
      <w:bookmarkEnd w:id="16"/>
      <w:bookmarkEnd w:id="17"/>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18" w:name="_Toc18068350"/>
      <w:bookmarkStart w:id="19" w:name="_Toc1806861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1.2 本项目采购人：见供应商须知前附表。</w:t>
      </w:r>
      <w:bookmarkEnd w:id="18"/>
      <w:bookmarkEnd w:id="19"/>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20" w:name="_Toc18068351"/>
      <w:bookmarkStart w:id="21" w:name="_Toc18068618"/>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 本项目采购代理机构：见供应商须知前附表。</w:t>
      </w:r>
      <w:bookmarkEnd w:id="20"/>
      <w:bookmarkEnd w:id="21"/>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22" w:name="_Toc18068352"/>
      <w:bookmarkStart w:id="23" w:name="_Toc1806861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1.4 本项目名称：见供应商须知前附表。</w:t>
      </w:r>
      <w:bookmarkEnd w:id="22"/>
      <w:bookmarkEnd w:id="23"/>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24" w:name="_Toc18068620"/>
      <w:bookmarkStart w:id="25" w:name="_Toc18068353"/>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1.5 本项目建设地点：见供应商须知前附表。</w:t>
      </w:r>
      <w:bookmarkEnd w:id="24"/>
      <w:bookmarkEnd w:id="2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26" w:name="_Toc18068621"/>
      <w:bookmarkStart w:id="27" w:name="_Toc18068354"/>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1.6 本项目</w:t>
      </w:r>
      <w:r>
        <w:rPr>
          <w:rFonts w:hint="eastAsia" w:ascii="宋体" w:hAnsi="宋体" w:eastAsia="宋体" w:cs="宋体"/>
          <w:color w:val="auto"/>
          <w:sz w:val="24"/>
          <w:szCs w:val="24"/>
          <w:highlight w:val="none"/>
          <w:lang w:val="en-US" w:eastAsia="zh-CN"/>
        </w:rPr>
        <w:t>概况</w:t>
      </w:r>
      <w:r>
        <w:rPr>
          <w:rFonts w:hint="eastAsia" w:ascii="宋体" w:hAnsi="宋体" w:eastAsia="宋体" w:cs="宋体"/>
          <w:color w:val="auto"/>
          <w:sz w:val="24"/>
          <w:szCs w:val="24"/>
          <w:highlight w:val="none"/>
        </w:rPr>
        <w:t>：见供应商须知前附表。</w:t>
      </w:r>
      <w:bookmarkEnd w:id="26"/>
      <w:bookmarkEnd w:id="27"/>
      <w:bookmarkStart w:id="28" w:name="_Toc18068355"/>
      <w:bookmarkStart w:id="29" w:name="_Toc152045531"/>
      <w:bookmarkStart w:id="30" w:name="_Toc18068622"/>
      <w:bookmarkStart w:id="31" w:name="_Toc179632548"/>
      <w:bookmarkStart w:id="32" w:name="_Toc144974499"/>
      <w:bookmarkStart w:id="33" w:name="_Toc152042307"/>
    </w:p>
    <w:p>
      <w:pPr>
        <w:autoSpaceDE w:val="0"/>
        <w:autoSpaceDN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2、资金来源和落实情况</w:t>
      </w:r>
      <w:bookmarkEnd w:id="28"/>
      <w:bookmarkEnd w:id="29"/>
      <w:bookmarkEnd w:id="30"/>
      <w:bookmarkEnd w:id="31"/>
      <w:bookmarkEnd w:id="32"/>
      <w:bookmarkEnd w:id="33"/>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34" w:name="_Toc18068623"/>
      <w:bookmarkStart w:id="35" w:name="_Toc18068356"/>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2.1 本项目的资金来源：见供应商须知前附表。</w:t>
      </w:r>
      <w:bookmarkEnd w:id="34"/>
      <w:bookmarkEnd w:id="3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36" w:name="_Toc18068624"/>
      <w:bookmarkStart w:id="37" w:name="_Toc1806835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2.2 本项目的资金落实情况：见供应商须知前附表。</w:t>
      </w:r>
      <w:bookmarkEnd w:id="36"/>
      <w:bookmarkEnd w:id="37"/>
      <w:bookmarkStart w:id="38" w:name="_Toc18068358"/>
      <w:bookmarkStart w:id="39" w:name="_Toc144974500"/>
      <w:bookmarkStart w:id="40" w:name="_Toc152042308"/>
      <w:bookmarkStart w:id="41" w:name="_Toc18068625"/>
      <w:bookmarkStart w:id="42" w:name="_Toc152045532"/>
      <w:bookmarkStart w:id="43" w:name="_Toc179632549"/>
    </w:p>
    <w:p>
      <w:pPr>
        <w:autoSpaceDE w:val="0"/>
        <w:autoSpaceDN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3、采购范围、计划工期和质量要求</w:t>
      </w:r>
      <w:bookmarkEnd w:id="38"/>
      <w:bookmarkEnd w:id="39"/>
      <w:bookmarkEnd w:id="40"/>
      <w:bookmarkEnd w:id="41"/>
      <w:bookmarkEnd w:id="42"/>
      <w:bookmarkEnd w:id="43"/>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44" w:name="_Toc18068626"/>
      <w:bookmarkStart w:id="45" w:name="_Toc1806835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3.1 本次采购范围：见供应商须知前附表。</w:t>
      </w:r>
      <w:bookmarkEnd w:id="44"/>
      <w:bookmarkEnd w:id="4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46" w:name="_Toc18068360"/>
      <w:bookmarkStart w:id="47" w:name="_Toc1806862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3.2 本项目的计划工期：见供应商须知前附表。</w:t>
      </w:r>
      <w:bookmarkEnd w:id="46"/>
      <w:bookmarkEnd w:id="47"/>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48" w:name="_Toc18068628"/>
      <w:bookmarkStart w:id="49" w:name="_Toc18068361"/>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3.3 本项目的质量要求：见供应商须知前附表。</w:t>
      </w:r>
      <w:bookmarkEnd w:id="48"/>
      <w:bookmarkEnd w:id="49"/>
    </w:p>
    <w:p>
      <w:pPr>
        <w:autoSpaceDE w:val="0"/>
        <w:autoSpaceDN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bookmarkStart w:id="50" w:name="_Toc152042309"/>
      <w:bookmarkStart w:id="51" w:name="_Toc144974501"/>
      <w:bookmarkStart w:id="52" w:name="_Toc152045533"/>
      <w:bookmarkStart w:id="53" w:name="_Toc179632550"/>
      <w:bookmarkStart w:id="54" w:name="_Toc18068362"/>
      <w:bookmarkStart w:id="55" w:name="_Toc18068629"/>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、供应商资格要求</w:t>
      </w:r>
      <w:bookmarkEnd w:id="50"/>
      <w:bookmarkEnd w:id="51"/>
      <w:bookmarkEnd w:id="52"/>
      <w:bookmarkEnd w:id="53"/>
      <w:bookmarkEnd w:id="54"/>
      <w:bookmarkEnd w:id="5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56" w:name="_Toc18068363"/>
      <w:bookmarkStart w:id="57" w:name="_Toc18068630"/>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.1 具备承担本项目</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的资格要求：见供应商须知前附表。</w:t>
      </w:r>
      <w:bookmarkEnd w:id="56"/>
      <w:bookmarkEnd w:id="57"/>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58" w:name="_Toc18068634"/>
      <w:bookmarkStart w:id="59" w:name="_Toc18068367"/>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.2 供应商不得存在下列情形之一：</w:t>
      </w:r>
      <w:bookmarkEnd w:id="58"/>
      <w:bookmarkEnd w:id="59"/>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60" w:name="_Toc18068368"/>
      <w:bookmarkStart w:id="61" w:name="_Toc18068635"/>
      <w:r>
        <w:rPr>
          <w:rFonts w:hint="eastAsia" w:ascii="宋体" w:hAnsi="宋体" w:eastAsia="宋体" w:cs="宋体"/>
          <w:color w:val="auto"/>
          <w:sz w:val="24"/>
          <w:szCs w:val="24"/>
          <w:highlight w:val="none"/>
        </w:rPr>
        <w:t>（1）为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不具有独立法人资格的附属机构（单位）；</w:t>
      </w:r>
      <w:bookmarkEnd w:id="60"/>
      <w:bookmarkEnd w:id="61"/>
      <w:r>
        <w:rPr>
          <w:rFonts w:hint="eastAsia" w:ascii="宋体" w:hAnsi="宋体" w:eastAsia="宋体" w:cs="宋体"/>
          <w:color w:val="auto"/>
          <w:sz w:val="24"/>
          <w:szCs w:val="24"/>
          <w:highlight w:val="none"/>
        </w:rPr>
        <w:t xml:space="preserve"> </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62" w:name="_Toc18068369"/>
      <w:bookmarkStart w:id="63" w:name="_Toc18068636"/>
      <w:r>
        <w:rPr>
          <w:rFonts w:hint="eastAsia" w:ascii="宋体" w:hAnsi="宋体" w:eastAsia="宋体" w:cs="宋体"/>
          <w:color w:val="auto"/>
          <w:sz w:val="24"/>
          <w:szCs w:val="24"/>
          <w:highlight w:val="none"/>
        </w:rPr>
        <w:t>（2）与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存在利害关系且可能影响招标公正性；</w:t>
      </w:r>
      <w:bookmarkEnd w:id="62"/>
      <w:bookmarkEnd w:id="63"/>
      <w:r>
        <w:rPr>
          <w:rFonts w:hint="eastAsia" w:ascii="宋体" w:hAnsi="宋体" w:eastAsia="宋体" w:cs="宋体"/>
          <w:color w:val="auto"/>
          <w:sz w:val="24"/>
          <w:szCs w:val="24"/>
          <w:highlight w:val="none"/>
        </w:rPr>
        <w:t xml:space="preserve"> </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64" w:name="_Toc18068370"/>
      <w:bookmarkStart w:id="65" w:name="_Toc18068637"/>
      <w:r>
        <w:rPr>
          <w:rFonts w:hint="eastAsia" w:ascii="宋体" w:hAnsi="宋体" w:eastAsia="宋体" w:cs="宋体"/>
          <w:color w:val="auto"/>
          <w:sz w:val="24"/>
          <w:szCs w:val="24"/>
          <w:highlight w:val="none"/>
        </w:rPr>
        <w:t>（3）与本</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为同一个单位负责人；</w:t>
      </w:r>
      <w:bookmarkEnd w:id="64"/>
      <w:bookmarkEnd w:id="6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66" w:name="_Toc18068638"/>
      <w:bookmarkStart w:id="67" w:name="_Toc18068371"/>
      <w:r>
        <w:rPr>
          <w:rFonts w:hint="eastAsia" w:ascii="宋体" w:hAnsi="宋体" w:eastAsia="宋体" w:cs="宋体"/>
          <w:color w:val="auto"/>
          <w:sz w:val="24"/>
          <w:szCs w:val="24"/>
          <w:highlight w:val="none"/>
        </w:rPr>
        <w:t>（4）与本</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存在控股、管理关系；</w:t>
      </w:r>
      <w:bookmarkEnd w:id="66"/>
      <w:bookmarkEnd w:id="67"/>
      <w:r>
        <w:rPr>
          <w:rFonts w:hint="eastAsia" w:ascii="宋体" w:hAnsi="宋体" w:eastAsia="宋体" w:cs="宋体"/>
          <w:color w:val="auto"/>
          <w:sz w:val="24"/>
          <w:szCs w:val="24"/>
          <w:highlight w:val="none"/>
        </w:rPr>
        <w:t xml:space="preserve"> </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68" w:name="_Toc18068639"/>
      <w:bookmarkStart w:id="69" w:name="_Toc18068372"/>
      <w:r>
        <w:rPr>
          <w:rFonts w:hint="eastAsia" w:ascii="宋体" w:hAnsi="宋体" w:eastAsia="宋体" w:cs="宋体"/>
          <w:color w:val="auto"/>
          <w:sz w:val="24"/>
          <w:szCs w:val="24"/>
          <w:highlight w:val="none"/>
        </w:rPr>
        <w:t>（5）为本</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的代建人；</w:t>
      </w:r>
      <w:bookmarkEnd w:id="68"/>
      <w:bookmarkEnd w:id="69"/>
      <w:r>
        <w:rPr>
          <w:rFonts w:hint="eastAsia" w:ascii="宋体" w:hAnsi="宋体" w:eastAsia="宋体" w:cs="宋体"/>
          <w:color w:val="auto"/>
          <w:sz w:val="24"/>
          <w:szCs w:val="24"/>
          <w:highlight w:val="none"/>
        </w:rPr>
        <w:t xml:space="preserve"> </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70" w:name="_Toc18068373"/>
      <w:bookmarkStart w:id="71" w:name="_Toc18068640"/>
      <w:r>
        <w:rPr>
          <w:rFonts w:hint="eastAsia" w:ascii="宋体" w:hAnsi="宋体" w:eastAsia="宋体" w:cs="宋体"/>
          <w:color w:val="auto"/>
          <w:sz w:val="24"/>
          <w:szCs w:val="24"/>
          <w:highlight w:val="none"/>
        </w:rPr>
        <w:t>（6）与本</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的代建人或</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同为一个法定代表人；</w:t>
      </w:r>
      <w:bookmarkEnd w:id="70"/>
      <w:bookmarkEnd w:id="71"/>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72" w:name="_Toc18068374"/>
      <w:bookmarkStart w:id="73" w:name="_Toc18068641"/>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的代建人或</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存在控股或参股关系；</w:t>
      </w:r>
      <w:bookmarkEnd w:id="72"/>
      <w:bookmarkEnd w:id="73"/>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74" w:name="_Toc18068375"/>
      <w:bookmarkStart w:id="75" w:name="_Toc18068642"/>
      <w:r>
        <w:rPr>
          <w:rFonts w:hint="eastAsia" w:ascii="宋体" w:hAnsi="宋体" w:eastAsia="宋体" w:cs="宋体"/>
          <w:color w:val="auto"/>
          <w:sz w:val="24"/>
          <w:szCs w:val="24"/>
          <w:highlight w:val="none"/>
        </w:rPr>
        <w:t>（8）被依法暂停或者取消投标资格；</w:t>
      </w:r>
      <w:bookmarkEnd w:id="74"/>
      <w:bookmarkEnd w:id="7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76" w:name="_Toc18068643"/>
      <w:bookmarkStart w:id="77" w:name="_Toc18068376"/>
      <w:r>
        <w:rPr>
          <w:rFonts w:hint="eastAsia" w:ascii="宋体" w:hAnsi="宋体" w:eastAsia="宋体" w:cs="宋体"/>
          <w:color w:val="auto"/>
          <w:sz w:val="24"/>
          <w:szCs w:val="24"/>
          <w:highlight w:val="none"/>
        </w:rPr>
        <w:t>（9）被责令停产停业、暂扣或者吊销许可证、暂扣或者吊销执照；</w:t>
      </w:r>
      <w:bookmarkEnd w:id="76"/>
      <w:bookmarkEnd w:id="77"/>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78" w:name="_Toc18068644"/>
      <w:bookmarkStart w:id="79" w:name="_Toc18068377"/>
      <w:r>
        <w:rPr>
          <w:rFonts w:hint="eastAsia" w:ascii="宋体" w:hAnsi="宋体" w:eastAsia="宋体" w:cs="宋体"/>
          <w:color w:val="auto"/>
          <w:sz w:val="24"/>
          <w:szCs w:val="24"/>
          <w:highlight w:val="none"/>
        </w:rPr>
        <w:t>（10）进入清算程序，或被宣告破产，或其他丧失履约能力的情形；</w:t>
      </w:r>
      <w:bookmarkEnd w:id="78"/>
      <w:bookmarkEnd w:id="79"/>
      <w:r>
        <w:rPr>
          <w:rFonts w:hint="eastAsia" w:ascii="宋体" w:hAnsi="宋体" w:eastAsia="宋体" w:cs="宋体"/>
          <w:color w:val="auto"/>
          <w:sz w:val="24"/>
          <w:szCs w:val="24"/>
          <w:highlight w:val="none"/>
        </w:rPr>
        <w:t xml:space="preserve"> </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80" w:name="_Toc18068647"/>
      <w:bookmarkStart w:id="81" w:name="_Toc18068380"/>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）在最近三年内有骗取中标或严重违约或重大工程质量问题的。</w:t>
      </w:r>
      <w:bookmarkEnd w:id="80"/>
      <w:bookmarkEnd w:id="81"/>
    </w:p>
    <w:p>
      <w:pPr>
        <w:pStyle w:val="11"/>
        <w:rPr>
          <w:rFonts w:hint="eastAsia" w:ascii="宋体" w:hAnsi="宋体" w:eastAsia="宋体" w:cs="宋体"/>
          <w:color w:val="auto"/>
          <w:highlight w:val="none"/>
        </w:rPr>
      </w:pPr>
      <w:r>
        <w:rPr>
          <w:rFonts w:hint="eastAsia" w:ascii="宋体" w:hAnsi="宋体" w:eastAsia="宋体" w:cs="宋体"/>
          <w:color w:val="auto"/>
          <w:sz w:val="24"/>
          <w:szCs w:val="24"/>
          <w:highlight w:val="none"/>
        </w:rPr>
        <w:t>1.4.3本项目不接受联合体磋商</w:t>
      </w:r>
    </w:p>
    <w:p>
      <w:pPr>
        <w:pStyle w:val="42"/>
        <w:keepNext w:val="0"/>
        <w:keepLines w:val="0"/>
        <w:autoSpaceDE w:val="0"/>
        <w:autoSpaceDN w:val="0"/>
        <w:spacing w:beforeLines="0" w:afterLines="0" w:line="420" w:lineRule="exact"/>
        <w:ind w:left="0" w:leftChars="0" w:firstLine="482"/>
        <w:rPr>
          <w:rFonts w:hint="eastAsia" w:ascii="宋体" w:hAnsi="宋体" w:eastAsia="宋体" w:cs="宋体"/>
          <w:b/>
          <w:bCs/>
          <w:color w:val="auto"/>
          <w:szCs w:val="24"/>
          <w:highlight w:val="none"/>
        </w:rPr>
      </w:pPr>
      <w:bookmarkStart w:id="82" w:name="_Toc179632552"/>
      <w:bookmarkStart w:id="83" w:name="_Toc18068648"/>
      <w:bookmarkStart w:id="84" w:name="_Toc18068381"/>
      <w:bookmarkStart w:id="85" w:name="_Toc144974503"/>
      <w:bookmarkStart w:id="86" w:name="_Toc152042311"/>
      <w:bookmarkStart w:id="87" w:name="_Toc152045535"/>
      <w:r>
        <w:rPr>
          <w:rFonts w:hint="eastAsia" w:ascii="宋体" w:hAnsi="宋体" w:eastAsia="宋体" w:cs="宋体"/>
          <w:b/>
          <w:bCs/>
          <w:color w:val="auto"/>
          <w:szCs w:val="24"/>
          <w:highlight w:val="none"/>
          <w:lang w:val="en-US" w:eastAsia="zh-CN"/>
        </w:rPr>
        <w:t>1.5</w:t>
      </w:r>
      <w:r>
        <w:rPr>
          <w:rFonts w:hint="eastAsia" w:ascii="宋体" w:hAnsi="宋体" w:eastAsia="宋体" w:cs="宋体"/>
          <w:b/>
          <w:bCs/>
          <w:color w:val="auto"/>
          <w:szCs w:val="24"/>
          <w:highlight w:val="none"/>
        </w:rPr>
        <w:t>、费用承担</w:t>
      </w:r>
      <w:bookmarkEnd w:id="82"/>
      <w:bookmarkEnd w:id="83"/>
      <w:bookmarkEnd w:id="84"/>
      <w:bookmarkEnd w:id="85"/>
      <w:bookmarkEnd w:id="86"/>
      <w:bookmarkEnd w:id="87"/>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88" w:name="_Toc18068382"/>
      <w:bookmarkStart w:id="89" w:name="_Toc18068649"/>
      <w:r>
        <w:rPr>
          <w:rFonts w:hint="eastAsia" w:ascii="宋体" w:hAnsi="宋体" w:eastAsia="宋体" w:cs="宋体"/>
          <w:color w:val="auto"/>
          <w:sz w:val="24"/>
          <w:szCs w:val="24"/>
          <w:highlight w:val="none"/>
          <w:lang w:val="en-US" w:eastAsia="zh-CN"/>
        </w:rPr>
        <w:t>1.5.1</w:t>
      </w:r>
      <w:r>
        <w:rPr>
          <w:rFonts w:hint="eastAsia" w:ascii="宋体" w:hAnsi="宋体" w:eastAsia="宋体" w:cs="宋体"/>
          <w:color w:val="auto"/>
          <w:sz w:val="24"/>
          <w:szCs w:val="24"/>
          <w:highlight w:val="none"/>
        </w:rPr>
        <w:t>供应商准备和参加投标活动发生的费用自理。</w:t>
      </w:r>
      <w:bookmarkEnd w:id="88"/>
      <w:bookmarkEnd w:id="89"/>
    </w:p>
    <w:p>
      <w:pPr>
        <w:pStyle w:val="42"/>
        <w:keepNext w:val="0"/>
        <w:keepLines w:val="0"/>
        <w:autoSpaceDE w:val="0"/>
        <w:autoSpaceDN w:val="0"/>
        <w:spacing w:beforeLines="0" w:afterLines="0" w:line="420" w:lineRule="exact"/>
        <w:ind w:left="0" w:leftChars="0" w:firstLine="482"/>
        <w:rPr>
          <w:rFonts w:hint="eastAsia" w:ascii="宋体" w:hAnsi="宋体" w:eastAsia="宋体" w:cs="宋体"/>
          <w:b/>
          <w:bCs/>
          <w:color w:val="auto"/>
          <w:szCs w:val="24"/>
          <w:highlight w:val="none"/>
        </w:rPr>
      </w:pPr>
      <w:bookmarkStart w:id="90" w:name="_Toc152045536"/>
      <w:bookmarkStart w:id="91" w:name="_Toc18068650"/>
      <w:bookmarkStart w:id="92" w:name="_Toc144974504"/>
      <w:bookmarkStart w:id="93" w:name="_Toc18068383"/>
      <w:bookmarkStart w:id="94" w:name="_Toc152042312"/>
      <w:bookmarkStart w:id="95" w:name="_Toc179632553"/>
      <w:r>
        <w:rPr>
          <w:rFonts w:hint="eastAsia" w:ascii="宋体" w:hAnsi="宋体" w:eastAsia="宋体" w:cs="宋体"/>
          <w:b/>
          <w:bCs/>
          <w:color w:val="auto"/>
          <w:szCs w:val="24"/>
          <w:highlight w:val="none"/>
          <w:lang w:val="en-US" w:eastAsia="zh-CN"/>
        </w:rPr>
        <w:t>1.6</w:t>
      </w:r>
      <w:r>
        <w:rPr>
          <w:rFonts w:hint="eastAsia" w:ascii="宋体" w:hAnsi="宋体" w:eastAsia="宋体" w:cs="宋体"/>
          <w:b/>
          <w:bCs/>
          <w:color w:val="auto"/>
          <w:szCs w:val="24"/>
          <w:highlight w:val="none"/>
        </w:rPr>
        <w:t>、保密</w:t>
      </w:r>
      <w:bookmarkEnd w:id="90"/>
      <w:bookmarkEnd w:id="91"/>
      <w:bookmarkEnd w:id="92"/>
      <w:bookmarkEnd w:id="93"/>
      <w:bookmarkEnd w:id="94"/>
      <w:bookmarkEnd w:id="9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96" w:name="_Toc18068384"/>
      <w:bookmarkStart w:id="97" w:name="_Toc18068651"/>
      <w:r>
        <w:rPr>
          <w:rFonts w:hint="eastAsia" w:ascii="宋体" w:hAnsi="宋体" w:eastAsia="宋体" w:cs="宋体"/>
          <w:color w:val="auto"/>
          <w:sz w:val="24"/>
          <w:szCs w:val="24"/>
          <w:highlight w:val="none"/>
          <w:lang w:val="en-US" w:eastAsia="zh-CN"/>
        </w:rPr>
        <w:t>1.6.1</w:t>
      </w:r>
      <w:r>
        <w:rPr>
          <w:rFonts w:hint="eastAsia" w:ascii="宋体" w:hAnsi="宋体" w:eastAsia="宋体" w:cs="宋体"/>
          <w:color w:val="auto"/>
          <w:sz w:val="24"/>
          <w:szCs w:val="24"/>
          <w:highlight w:val="none"/>
        </w:rPr>
        <w:t>参与采购活动的各方应对竞争性磋商文件和竞争性磋商响应文件中的商业和技术等秘密保密，违者应对由此造成的后果承担法律责任。</w:t>
      </w:r>
      <w:bookmarkEnd w:id="96"/>
      <w:bookmarkEnd w:id="97"/>
      <w:r>
        <w:rPr>
          <w:rFonts w:hint="eastAsia" w:ascii="宋体" w:hAnsi="宋体" w:eastAsia="宋体" w:cs="宋体"/>
          <w:color w:val="auto"/>
          <w:sz w:val="24"/>
          <w:szCs w:val="24"/>
          <w:highlight w:val="none"/>
        </w:rPr>
        <w:t xml:space="preserve"> </w:t>
      </w:r>
    </w:p>
    <w:p>
      <w:pPr>
        <w:pStyle w:val="42"/>
        <w:keepNext w:val="0"/>
        <w:keepLines w:val="0"/>
        <w:autoSpaceDE w:val="0"/>
        <w:autoSpaceDN w:val="0"/>
        <w:spacing w:beforeLines="0" w:afterLines="0" w:line="420" w:lineRule="exact"/>
        <w:ind w:left="0" w:leftChars="0" w:firstLine="482"/>
        <w:rPr>
          <w:rFonts w:hint="eastAsia" w:ascii="宋体" w:hAnsi="宋体" w:eastAsia="宋体" w:cs="宋体"/>
          <w:b/>
          <w:bCs/>
          <w:color w:val="auto"/>
          <w:szCs w:val="24"/>
          <w:highlight w:val="none"/>
        </w:rPr>
      </w:pPr>
      <w:bookmarkStart w:id="98" w:name="_Toc144974505"/>
      <w:bookmarkStart w:id="99" w:name="_Toc179632554"/>
      <w:bookmarkStart w:id="100" w:name="_Toc18068385"/>
      <w:bookmarkStart w:id="101" w:name="_Toc18068652"/>
      <w:bookmarkStart w:id="102" w:name="_Toc152042313"/>
      <w:bookmarkStart w:id="103" w:name="_Toc152045537"/>
      <w:r>
        <w:rPr>
          <w:rFonts w:hint="eastAsia" w:ascii="宋体" w:hAnsi="宋体" w:eastAsia="宋体" w:cs="宋体"/>
          <w:b/>
          <w:bCs/>
          <w:color w:val="auto"/>
          <w:szCs w:val="24"/>
          <w:highlight w:val="none"/>
          <w:lang w:val="en-US" w:eastAsia="zh-CN"/>
        </w:rPr>
        <w:t>1.7</w:t>
      </w:r>
      <w:r>
        <w:rPr>
          <w:rFonts w:hint="eastAsia" w:ascii="宋体" w:hAnsi="宋体" w:eastAsia="宋体" w:cs="宋体"/>
          <w:b/>
          <w:bCs/>
          <w:color w:val="auto"/>
          <w:szCs w:val="24"/>
          <w:highlight w:val="none"/>
        </w:rPr>
        <w:t>、语言</w:t>
      </w:r>
      <w:bookmarkEnd w:id="98"/>
      <w:r>
        <w:rPr>
          <w:rFonts w:hint="eastAsia" w:ascii="宋体" w:hAnsi="宋体" w:eastAsia="宋体" w:cs="宋体"/>
          <w:b/>
          <w:bCs/>
          <w:color w:val="auto"/>
          <w:szCs w:val="24"/>
          <w:highlight w:val="none"/>
        </w:rPr>
        <w:t>文字</w:t>
      </w:r>
      <w:bookmarkEnd w:id="99"/>
      <w:bookmarkEnd w:id="100"/>
      <w:bookmarkEnd w:id="101"/>
      <w:bookmarkEnd w:id="102"/>
      <w:bookmarkEnd w:id="103"/>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104" w:name="_Toc18068653"/>
      <w:bookmarkStart w:id="105" w:name="_Toc18068386"/>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rPr>
        <w:t>除专用术语外，与采购投标有关的语言均使用中文。必要时专用术语应附有中文注释。</w:t>
      </w:r>
      <w:bookmarkEnd w:id="104"/>
      <w:bookmarkEnd w:id="105"/>
    </w:p>
    <w:p>
      <w:pPr>
        <w:pStyle w:val="42"/>
        <w:keepNext w:val="0"/>
        <w:keepLines w:val="0"/>
        <w:autoSpaceDE w:val="0"/>
        <w:autoSpaceDN w:val="0"/>
        <w:spacing w:beforeLines="0" w:afterLines="0" w:line="420" w:lineRule="exact"/>
        <w:ind w:left="0" w:leftChars="0" w:firstLine="482"/>
        <w:rPr>
          <w:rFonts w:hint="eastAsia" w:ascii="宋体" w:hAnsi="宋体" w:eastAsia="宋体" w:cs="宋体"/>
          <w:b/>
          <w:bCs/>
          <w:color w:val="auto"/>
          <w:szCs w:val="24"/>
          <w:highlight w:val="none"/>
        </w:rPr>
      </w:pPr>
      <w:bookmarkStart w:id="106" w:name="_Toc18068387"/>
      <w:bookmarkStart w:id="107" w:name="_Toc144974506"/>
      <w:bookmarkStart w:id="108" w:name="_Toc179632555"/>
      <w:bookmarkStart w:id="109" w:name="_Toc152042314"/>
      <w:bookmarkStart w:id="110" w:name="_Toc152045538"/>
      <w:bookmarkStart w:id="111" w:name="_Toc18068654"/>
      <w:r>
        <w:rPr>
          <w:rFonts w:hint="eastAsia" w:ascii="宋体" w:hAnsi="宋体" w:eastAsia="宋体" w:cs="宋体"/>
          <w:b/>
          <w:bCs/>
          <w:color w:val="auto"/>
          <w:szCs w:val="24"/>
          <w:highlight w:val="none"/>
          <w:lang w:val="en-US" w:eastAsia="zh-CN"/>
        </w:rPr>
        <w:t>1.8</w:t>
      </w:r>
      <w:r>
        <w:rPr>
          <w:rFonts w:hint="eastAsia" w:ascii="宋体" w:hAnsi="宋体" w:eastAsia="宋体" w:cs="宋体"/>
          <w:b/>
          <w:bCs/>
          <w:color w:val="auto"/>
          <w:szCs w:val="24"/>
          <w:highlight w:val="none"/>
        </w:rPr>
        <w:t>、计量单位</w:t>
      </w:r>
      <w:bookmarkEnd w:id="106"/>
      <w:bookmarkEnd w:id="107"/>
      <w:bookmarkEnd w:id="108"/>
      <w:bookmarkEnd w:id="109"/>
      <w:bookmarkEnd w:id="110"/>
      <w:bookmarkEnd w:id="111"/>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112" w:name="_Toc18068655"/>
      <w:bookmarkStart w:id="113" w:name="_Toc18068388"/>
      <w:r>
        <w:rPr>
          <w:rFonts w:hint="eastAsia" w:ascii="宋体" w:hAnsi="宋体" w:eastAsia="宋体" w:cs="宋体"/>
          <w:color w:val="auto"/>
          <w:sz w:val="24"/>
          <w:szCs w:val="24"/>
          <w:highlight w:val="none"/>
          <w:lang w:val="en-US" w:eastAsia="zh-CN"/>
        </w:rPr>
        <w:t>1.8.1</w:t>
      </w:r>
      <w:r>
        <w:rPr>
          <w:rFonts w:hint="eastAsia" w:ascii="宋体" w:hAnsi="宋体" w:eastAsia="宋体" w:cs="宋体"/>
          <w:color w:val="auto"/>
          <w:sz w:val="24"/>
          <w:szCs w:val="24"/>
          <w:highlight w:val="none"/>
        </w:rPr>
        <w:t>所有计量均采用中华人民共和国法定计量单位。</w:t>
      </w:r>
      <w:bookmarkEnd w:id="112"/>
      <w:bookmarkEnd w:id="113"/>
    </w:p>
    <w:p>
      <w:pPr>
        <w:pStyle w:val="42"/>
        <w:keepNext w:val="0"/>
        <w:keepLines w:val="0"/>
        <w:autoSpaceDE w:val="0"/>
        <w:autoSpaceDN w:val="0"/>
        <w:spacing w:beforeLines="0" w:afterLines="0" w:line="420" w:lineRule="exact"/>
        <w:ind w:left="0" w:leftChars="0" w:firstLine="482"/>
        <w:rPr>
          <w:rFonts w:hint="eastAsia" w:ascii="宋体" w:hAnsi="宋体" w:eastAsia="宋体" w:cs="宋体"/>
          <w:b/>
          <w:bCs/>
          <w:color w:val="auto"/>
          <w:szCs w:val="24"/>
          <w:highlight w:val="none"/>
        </w:rPr>
      </w:pPr>
      <w:bookmarkStart w:id="114" w:name="_Toc144974507"/>
      <w:bookmarkStart w:id="115" w:name="_Toc152042315"/>
      <w:bookmarkStart w:id="116" w:name="_Toc179632556"/>
      <w:bookmarkStart w:id="117" w:name="_Toc18068656"/>
      <w:bookmarkStart w:id="118" w:name="_Toc152045539"/>
      <w:bookmarkStart w:id="119" w:name="_Toc18068389"/>
      <w:r>
        <w:rPr>
          <w:rFonts w:hint="eastAsia" w:ascii="宋体" w:hAnsi="宋体" w:eastAsia="宋体" w:cs="宋体"/>
          <w:b/>
          <w:bCs/>
          <w:color w:val="auto"/>
          <w:szCs w:val="24"/>
          <w:highlight w:val="none"/>
        </w:rPr>
        <w:t>1</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9</w:t>
      </w:r>
      <w:r>
        <w:rPr>
          <w:rFonts w:hint="eastAsia" w:ascii="宋体" w:hAnsi="宋体" w:eastAsia="宋体" w:cs="宋体"/>
          <w:b/>
          <w:bCs/>
          <w:color w:val="auto"/>
          <w:szCs w:val="24"/>
          <w:highlight w:val="none"/>
        </w:rPr>
        <w:t>、踏勘现场</w:t>
      </w:r>
      <w:bookmarkEnd w:id="114"/>
      <w:bookmarkEnd w:id="115"/>
      <w:bookmarkEnd w:id="116"/>
      <w:bookmarkEnd w:id="117"/>
      <w:bookmarkEnd w:id="118"/>
      <w:bookmarkEnd w:id="119"/>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120" w:name="_Toc18068657"/>
      <w:bookmarkStart w:id="121" w:name="_Toc18068390"/>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 踏勘现场：见供应商须知前附表。</w:t>
      </w:r>
      <w:bookmarkEnd w:id="120"/>
      <w:bookmarkEnd w:id="121"/>
      <w:r>
        <w:rPr>
          <w:rFonts w:hint="eastAsia" w:ascii="宋体" w:hAnsi="宋体" w:eastAsia="宋体" w:cs="宋体"/>
          <w:color w:val="auto"/>
          <w:sz w:val="24"/>
          <w:szCs w:val="24"/>
          <w:highlight w:val="none"/>
        </w:rPr>
        <w:t xml:space="preserve"> </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122" w:name="_Toc18068391"/>
      <w:bookmarkStart w:id="123" w:name="_Toc18068658"/>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 供应商踏勘现场发生的费用自理。</w:t>
      </w:r>
      <w:bookmarkEnd w:id="122"/>
      <w:bookmarkEnd w:id="123"/>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bookmarkStart w:id="124" w:name="_Toc18068392"/>
      <w:bookmarkStart w:id="125" w:name="_Toc18068659"/>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 除采购人的原因外，供应商自行负责在踏勘现场中所发生的人员伤亡和财产损失。</w:t>
      </w:r>
      <w:bookmarkEnd w:id="124"/>
      <w:bookmarkEnd w:id="12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26" w:name="_Toc18068660"/>
      <w:bookmarkStart w:id="127" w:name="_Toc18068393"/>
      <w:r>
        <w:rPr>
          <w:rFonts w:hint="eastAsia" w:ascii="宋体" w:hAnsi="宋体" w:eastAsia="宋体" w:cs="宋体"/>
          <w:color w:val="auto"/>
          <w:sz w:val="24"/>
          <w:szCs w:val="24"/>
          <w:highlight w:val="none"/>
          <w:lang w:val="en-US" w:eastAsia="zh-CN"/>
        </w:rPr>
        <w:t>1.9.4 采购人在踏勘现场中介绍的工程场地和相关的周边环境情况，供应商在编制竞争性磋商响应文件时参考，采购人不对供应商据此作出的判断和决策负责。</w:t>
      </w:r>
      <w:bookmarkEnd w:id="126"/>
      <w:bookmarkEnd w:id="127"/>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28" w:name="_Toc179632557"/>
      <w:bookmarkStart w:id="129" w:name="_Toc144974508"/>
      <w:bookmarkStart w:id="130" w:name="_Toc11162518"/>
      <w:bookmarkStart w:id="131" w:name="_Toc11161031"/>
      <w:bookmarkStart w:id="132" w:name="_Toc11162035"/>
      <w:bookmarkStart w:id="133" w:name="_Toc11161330"/>
      <w:bookmarkStart w:id="134" w:name="_Toc152042316"/>
      <w:bookmarkStart w:id="135" w:name="_Toc152045540"/>
      <w:r>
        <w:rPr>
          <w:rFonts w:hint="eastAsia" w:ascii="宋体" w:hAnsi="宋体" w:eastAsia="宋体" w:cs="宋体"/>
          <w:color w:val="auto"/>
          <w:sz w:val="24"/>
          <w:szCs w:val="24"/>
          <w:highlight w:val="none"/>
          <w:lang w:val="en-US" w:eastAsia="zh-CN"/>
        </w:rPr>
        <w:t>1.10 答疑</w:t>
      </w:r>
      <w:bookmarkEnd w:id="128"/>
      <w:bookmarkEnd w:id="129"/>
      <w:bookmarkEnd w:id="130"/>
      <w:bookmarkEnd w:id="131"/>
      <w:bookmarkEnd w:id="132"/>
      <w:bookmarkEnd w:id="133"/>
      <w:bookmarkEnd w:id="134"/>
      <w:bookmarkEnd w:id="13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36" w:name="_Toc11161032"/>
      <w:bookmarkStart w:id="137" w:name="_Toc11162036"/>
      <w:bookmarkStart w:id="138" w:name="_Toc11162519"/>
      <w:bookmarkStart w:id="139" w:name="_Toc11161331"/>
      <w:r>
        <w:rPr>
          <w:rFonts w:hint="eastAsia" w:ascii="宋体" w:hAnsi="宋体" w:eastAsia="宋体" w:cs="宋体"/>
          <w:color w:val="auto"/>
          <w:sz w:val="24"/>
          <w:szCs w:val="24"/>
          <w:highlight w:val="none"/>
          <w:lang w:val="en-US" w:eastAsia="zh-CN"/>
        </w:rPr>
        <w:t>见磋商须知前附表。</w:t>
      </w:r>
      <w:bookmarkEnd w:id="136"/>
      <w:bookmarkEnd w:id="137"/>
      <w:bookmarkEnd w:id="138"/>
      <w:bookmarkEnd w:id="139"/>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40" w:name="_Toc11162520"/>
      <w:bookmarkStart w:id="141" w:name="_Toc11161033"/>
      <w:bookmarkStart w:id="142" w:name="_Toc11161332"/>
      <w:bookmarkStart w:id="143" w:name="_Toc11162037"/>
      <w:r>
        <w:rPr>
          <w:rFonts w:hint="eastAsia" w:ascii="宋体" w:hAnsi="宋体" w:eastAsia="宋体" w:cs="宋体"/>
          <w:color w:val="auto"/>
          <w:sz w:val="24"/>
          <w:szCs w:val="24"/>
          <w:highlight w:val="none"/>
          <w:lang w:val="en-US" w:eastAsia="zh-CN"/>
        </w:rPr>
        <w:t>答疑内容为竞争性磋商文件的组成部分。</w:t>
      </w:r>
      <w:bookmarkEnd w:id="140"/>
      <w:bookmarkEnd w:id="141"/>
      <w:bookmarkEnd w:id="142"/>
      <w:bookmarkEnd w:id="143"/>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44" w:name="_Toc152042317"/>
      <w:bookmarkStart w:id="145" w:name="_Toc152045541"/>
      <w:bookmarkStart w:id="146" w:name="_Toc11161333"/>
      <w:bookmarkStart w:id="147" w:name="_Toc144974509"/>
      <w:bookmarkStart w:id="148" w:name="_Toc179632558"/>
      <w:bookmarkStart w:id="149" w:name="_Toc11161034"/>
      <w:bookmarkStart w:id="150" w:name="_Toc11162521"/>
      <w:bookmarkStart w:id="151" w:name="_Toc11162038"/>
      <w:r>
        <w:rPr>
          <w:rFonts w:hint="eastAsia" w:ascii="宋体" w:hAnsi="宋体" w:eastAsia="宋体" w:cs="宋体"/>
          <w:color w:val="auto"/>
          <w:sz w:val="24"/>
          <w:szCs w:val="24"/>
          <w:highlight w:val="none"/>
          <w:lang w:val="en-US" w:eastAsia="zh-CN"/>
        </w:rPr>
        <w:t>1.11 分包</w:t>
      </w:r>
      <w:bookmarkEnd w:id="144"/>
      <w:bookmarkEnd w:id="145"/>
      <w:bookmarkEnd w:id="146"/>
      <w:bookmarkEnd w:id="147"/>
      <w:bookmarkEnd w:id="148"/>
      <w:bookmarkEnd w:id="149"/>
      <w:bookmarkEnd w:id="150"/>
      <w:bookmarkEnd w:id="151"/>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52" w:name="_Toc11162522"/>
      <w:bookmarkStart w:id="153" w:name="_Toc11162039"/>
      <w:bookmarkStart w:id="154" w:name="_Toc11161035"/>
      <w:bookmarkStart w:id="155" w:name="_Toc11161334"/>
      <w:bookmarkStart w:id="156" w:name="_Toc179632559"/>
      <w:r>
        <w:rPr>
          <w:rFonts w:hint="eastAsia" w:ascii="宋体" w:hAnsi="宋体" w:eastAsia="宋体" w:cs="宋体"/>
          <w:color w:val="auto"/>
          <w:sz w:val="24"/>
          <w:szCs w:val="24"/>
          <w:highlight w:val="none"/>
          <w:lang w:val="en-US" w:eastAsia="zh-CN"/>
        </w:rPr>
        <w:t>以暂估价形式包括在总承包范围内的专业分包工程、货物属于依法必须进行采购的项目范围且达到国家规定规模标准的，应当依法进行采购。</w:t>
      </w:r>
      <w:bookmarkEnd w:id="152"/>
      <w:bookmarkEnd w:id="153"/>
      <w:bookmarkEnd w:id="154"/>
      <w:bookmarkEnd w:id="15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57" w:name="_Toc11161335"/>
      <w:bookmarkStart w:id="158" w:name="_Toc11162040"/>
      <w:bookmarkStart w:id="159" w:name="_Toc11162523"/>
      <w:bookmarkStart w:id="160" w:name="_Toc11161036"/>
      <w:r>
        <w:rPr>
          <w:rFonts w:hint="eastAsia" w:ascii="宋体" w:hAnsi="宋体" w:eastAsia="宋体" w:cs="宋体"/>
          <w:color w:val="auto"/>
          <w:sz w:val="24"/>
          <w:szCs w:val="24"/>
          <w:highlight w:val="none"/>
          <w:lang w:val="en-US" w:eastAsia="zh-CN"/>
        </w:rPr>
        <w:t>1.12 偏离</w:t>
      </w:r>
      <w:bookmarkEnd w:id="156"/>
      <w:bookmarkEnd w:id="157"/>
      <w:bookmarkEnd w:id="158"/>
      <w:bookmarkEnd w:id="159"/>
      <w:bookmarkEnd w:id="160"/>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61" w:name="_Toc11162524"/>
      <w:bookmarkStart w:id="162" w:name="_Toc11162041"/>
      <w:bookmarkStart w:id="163" w:name="_Toc11161336"/>
      <w:bookmarkStart w:id="164" w:name="_Toc11161037"/>
      <w:r>
        <w:rPr>
          <w:rFonts w:hint="eastAsia" w:ascii="宋体" w:hAnsi="宋体" w:eastAsia="宋体" w:cs="宋体"/>
          <w:color w:val="auto"/>
          <w:sz w:val="24"/>
          <w:szCs w:val="24"/>
          <w:highlight w:val="none"/>
          <w:lang w:val="en-US" w:eastAsia="zh-CN"/>
        </w:rPr>
        <w:t>见磋商须知前附表。</w:t>
      </w:r>
      <w:bookmarkEnd w:id="161"/>
      <w:bookmarkEnd w:id="162"/>
      <w:bookmarkEnd w:id="163"/>
      <w:bookmarkEnd w:id="164"/>
    </w:p>
    <w:p>
      <w:pPr>
        <w:autoSpaceDE w:val="0"/>
        <w:autoSpaceDN w:val="0"/>
        <w:spacing w:beforeLines="0" w:afterLines="0" w:line="420" w:lineRule="exact"/>
        <w:ind w:left="0" w:leftChars="0" w:firstLine="482"/>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、竞争性磋商文件</w:t>
      </w:r>
      <w:bookmarkEnd w:id="6"/>
      <w:bookmarkEnd w:id="7"/>
      <w:bookmarkEnd w:id="8"/>
      <w:bookmarkEnd w:id="9"/>
      <w:bookmarkStart w:id="165" w:name="_Toc5801"/>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、竞争性磋商文件的构成</w:t>
      </w:r>
      <w:bookmarkEnd w:id="16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竞争性磋商文件是供应商准备磋商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66" w:name="_Toc11161041"/>
      <w:bookmarkStart w:id="167" w:name="_Toc11161340"/>
      <w:bookmarkStart w:id="168" w:name="_Toc11162528"/>
      <w:bookmarkStart w:id="169" w:name="_Toc11162045"/>
      <w:r>
        <w:rPr>
          <w:rFonts w:hint="eastAsia" w:ascii="宋体" w:hAnsi="宋体" w:eastAsia="宋体" w:cs="宋体"/>
          <w:color w:val="auto"/>
          <w:sz w:val="24"/>
          <w:szCs w:val="24"/>
          <w:highlight w:val="none"/>
          <w:lang w:val="en-US" w:eastAsia="zh-CN"/>
        </w:rPr>
        <w:t>（1）竞争性磋商公告；</w:t>
      </w:r>
      <w:bookmarkEnd w:id="166"/>
      <w:bookmarkEnd w:id="167"/>
      <w:bookmarkEnd w:id="168"/>
      <w:bookmarkEnd w:id="169"/>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70" w:name="_Toc11161042"/>
      <w:bookmarkStart w:id="171" w:name="_Toc11162046"/>
      <w:bookmarkStart w:id="172" w:name="_Toc11161341"/>
      <w:bookmarkStart w:id="173" w:name="_Toc11162529"/>
      <w:r>
        <w:rPr>
          <w:rFonts w:hint="eastAsia" w:ascii="宋体" w:hAnsi="宋体" w:eastAsia="宋体" w:cs="宋体"/>
          <w:color w:val="auto"/>
          <w:sz w:val="24"/>
          <w:szCs w:val="24"/>
          <w:highlight w:val="none"/>
          <w:lang w:val="en-US" w:eastAsia="zh-CN"/>
        </w:rPr>
        <w:t>（2）磋商须知及前附表；</w:t>
      </w:r>
      <w:bookmarkEnd w:id="170"/>
      <w:bookmarkEnd w:id="171"/>
      <w:bookmarkEnd w:id="172"/>
      <w:bookmarkEnd w:id="173"/>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74" w:name="_Toc11162047"/>
      <w:bookmarkStart w:id="175" w:name="_Toc11162530"/>
      <w:bookmarkStart w:id="176" w:name="_Toc11161043"/>
      <w:bookmarkStart w:id="177" w:name="_Toc11161342"/>
      <w:r>
        <w:rPr>
          <w:rFonts w:hint="eastAsia" w:ascii="宋体" w:hAnsi="宋体" w:eastAsia="宋体" w:cs="宋体"/>
          <w:color w:val="auto"/>
          <w:sz w:val="24"/>
          <w:szCs w:val="24"/>
          <w:highlight w:val="none"/>
          <w:lang w:val="en-US" w:eastAsia="zh-CN"/>
        </w:rPr>
        <w:t>（3）评审办法；</w:t>
      </w:r>
      <w:bookmarkEnd w:id="174"/>
      <w:bookmarkEnd w:id="175"/>
      <w:bookmarkEnd w:id="176"/>
      <w:bookmarkEnd w:id="177"/>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78" w:name="_Toc11161343"/>
      <w:bookmarkStart w:id="179" w:name="_Toc11162531"/>
      <w:bookmarkStart w:id="180" w:name="_Toc11161044"/>
      <w:bookmarkStart w:id="181" w:name="_Toc11162048"/>
      <w:r>
        <w:rPr>
          <w:rFonts w:hint="eastAsia" w:ascii="宋体" w:hAnsi="宋体" w:eastAsia="宋体" w:cs="宋体"/>
          <w:color w:val="auto"/>
          <w:sz w:val="24"/>
          <w:szCs w:val="24"/>
          <w:highlight w:val="none"/>
          <w:lang w:val="en-US" w:eastAsia="zh-CN"/>
        </w:rPr>
        <w:t>（4）合同条款及合同文件格式；</w:t>
      </w:r>
      <w:bookmarkEnd w:id="178"/>
      <w:bookmarkEnd w:id="179"/>
      <w:bookmarkEnd w:id="180"/>
      <w:bookmarkEnd w:id="181"/>
      <w:r>
        <w:rPr>
          <w:rFonts w:hint="eastAsia" w:ascii="宋体" w:hAnsi="宋体" w:eastAsia="宋体" w:cs="宋体"/>
          <w:color w:val="auto"/>
          <w:sz w:val="24"/>
          <w:szCs w:val="24"/>
          <w:highlight w:val="none"/>
          <w:lang w:val="en-US" w:eastAsia="zh-CN"/>
        </w:rPr>
        <w:t xml:space="preserve"> </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82" w:name="_Toc11162051"/>
      <w:bookmarkStart w:id="183" w:name="_Toc11161047"/>
      <w:bookmarkStart w:id="184" w:name="_Toc11162534"/>
      <w:bookmarkStart w:id="185" w:name="_Toc11161346"/>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采购内容及要求</w:t>
      </w:r>
      <w:r>
        <w:rPr>
          <w:rFonts w:hint="eastAsia" w:ascii="宋体" w:hAnsi="宋体" w:eastAsia="宋体" w:cs="宋体"/>
          <w:color w:val="auto"/>
          <w:sz w:val="24"/>
          <w:szCs w:val="24"/>
          <w:highlight w:val="none"/>
          <w:lang w:val="en-US" w:eastAsia="zh-CN"/>
        </w:rPr>
        <w:t>等；</w:t>
      </w:r>
      <w:bookmarkEnd w:id="182"/>
      <w:bookmarkEnd w:id="183"/>
      <w:bookmarkEnd w:id="184"/>
      <w:bookmarkEnd w:id="18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86" w:name="_Toc11162535"/>
      <w:bookmarkStart w:id="187" w:name="_Toc11161347"/>
      <w:bookmarkStart w:id="188" w:name="_Toc11161048"/>
      <w:bookmarkStart w:id="189" w:name="_Toc11162052"/>
      <w:r>
        <w:rPr>
          <w:rFonts w:hint="eastAsia" w:ascii="宋体" w:hAnsi="宋体" w:eastAsia="宋体" w:cs="宋体"/>
          <w:color w:val="auto"/>
          <w:sz w:val="24"/>
          <w:szCs w:val="24"/>
          <w:highlight w:val="none"/>
          <w:lang w:val="en-US" w:eastAsia="zh-CN"/>
        </w:rPr>
        <w:t>（6）竞争性磋商响应文件格式。</w:t>
      </w:r>
      <w:bookmarkEnd w:id="186"/>
      <w:bookmarkEnd w:id="187"/>
      <w:bookmarkEnd w:id="188"/>
      <w:bookmarkEnd w:id="189"/>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90" w:name="_Toc11162536"/>
      <w:bookmarkStart w:id="191" w:name="_Toc11162053"/>
      <w:bookmarkStart w:id="192" w:name="_Toc11161049"/>
      <w:bookmarkStart w:id="193" w:name="_Toc11161348"/>
      <w:bookmarkStart w:id="194" w:name="_Toc19797"/>
      <w:r>
        <w:rPr>
          <w:rFonts w:hint="eastAsia" w:ascii="宋体" w:hAnsi="宋体" w:eastAsia="宋体" w:cs="宋体"/>
          <w:color w:val="auto"/>
          <w:sz w:val="24"/>
          <w:szCs w:val="24"/>
          <w:highlight w:val="none"/>
          <w:lang w:val="en-US" w:eastAsia="zh-CN"/>
        </w:rPr>
        <w:t>根据本章第1.10款、第2.2款和第2.3款对竞争性磋商文件所作的澄清、修改，构成竞争性磋商文件的组成部分。</w:t>
      </w:r>
      <w:bookmarkEnd w:id="190"/>
      <w:bookmarkEnd w:id="191"/>
      <w:bookmarkEnd w:id="192"/>
      <w:bookmarkEnd w:id="193"/>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发标时，随竞争性磋商文件一并发给各供应商本项目的“工程量清单电子版（如有）”。各供应商应无条件的使用竞争性磋商响应文件电子版，及时检查光盘是否可用，并承担不利后果。不得对工程量、原表格形式进行增删、隐藏等改动，如改动，即为废标。</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95" w:name="_Toc11161349"/>
      <w:bookmarkStart w:id="196" w:name="_Toc11162054"/>
      <w:bookmarkStart w:id="197" w:name="_Toc11162537"/>
      <w:bookmarkStart w:id="198" w:name="_Toc11161050"/>
      <w:r>
        <w:rPr>
          <w:rFonts w:hint="eastAsia" w:ascii="宋体" w:hAnsi="宋体" w:eastAsia="宋体" w:cs="宋体"/>
          <w:color w:val="auto"/>
          <w:sz w:val="24"/>
          <w:szCs w:val="24"/>
          <w:highlight w:val="none"/>
          <w:lang w:val="en-US" w:eastAsia="zh-CN"/>
        </w:rPr>
        <w:t>2.1.3供应商应及时购买并获取竞争性磋商文件，否则引起的一切后果由供应商自负。</w:t>
      </w:r>
      <w:bookmarkEnd w:id="195"/>
      <w:bookmarkEnd w:id="196"/>
      <w:bookmarkEnd w:id="197"/>
      <w:bookmarkEnd w:id="198"/>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2、竞争性磋商文件的澄清</w:t>
      </w:r>
      <w:bookmarkEnd w:id="194"/>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199" w:name="_Toc11161351"/>
      <w:bookmarkStart w:id="200" w:name="_Toc11162539"/>
      <w:bookmarkStart w:id="201" w:name="_Toc11162056"/>
      <w:bookmarkStart w:id="202" w:name="_Toc11161052"/>
      <w:bookmarkStart w:id="203" w:name="_Toc6390"/>
      <w:r>
        <w:rPr>
          <w:rFonts w:hint="eastAsia" w:ascii="宋体" w:hAnsi="宋体" w:eastAsia="宋体" w:cs="宋体"/>
          <w:color w:val="auto"/>
          <w:sz w:val="24"/>
          <w:szCs w:val="24"/>
          <w:highlight w:val="none"/>
          <w:lang w:val="en-US" w:eastAsia="zh-CN"/>
        </w:rPr>
        <w:t>2.2.1供应商应仔细阅读和检查竞争性磋商文件的全部内容。如发现缺页或附件不全，应及时向采购人提出，以便补齐。如有疑问，按照前附表要求向采购人提出疑问，要求采购人对竞争性磋商文件予以澄清。</w:t>
      </w:r>
      <w:bookmarkEnd w:id="199"/>
      <w:bookmarkEnd w:id="200"/>
      <w:bookmarkEnd w:id="201"/>
      <w:bookmarkEnd w:id="202"/>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04" w:name="_Toc11161352"/>
      <w:bookmarkStart w:id="205" w:name="_Toc11162540"/>
      <w:bookmarkStart w:id="206" w:name="_Toc11161053"/>
      <w:bookmarkStart w:id="207" w:name="_Toc11162057"/>
      <w:r>
        <w:rPr>
          <w:rFonts w:hint="eastAsia" w:ascii="宋体" w:hAnsi="宋体" w:eastAsia="宋体" w:cs="宋体"/>
          <w:color w:val="auto"/>
          <w:sz w:val="24"/>
          <w:szCs w:val="24"/>
          <w:highlight w:val="none"/>
          <w:lang w:val="en-US" w:eastAsia="zh-CN"/>
        </w:rPr>
        <w:t>2.2.2 竞争性磋商文件的澄清按照相关法律法规规定的时间回复，但不指明澄清问题的来源。</w:t>
      </w:r>
      <w:bookmarkEnd w:id="204"/>
      <w:bookmarkEnd w:id="205"/>
      <w:bookmarkEnd w:id="206"/>
      <w:bookmarkEnd w:id="207"/>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08" w:name="_Toc11161054"/>
      <w:bookmarkStart w:id="209" w:name="_Toc11162058"/>
      <w:bookmarkStart w:id="210" w:name="_Toc11161353"/>
      <w:bookmarkStart w:id="211" w:name="_Toc11162541"/>
      <w:r>
        <w:rPr>
          <w:rFonts w:hint="eastAsia" w:ascii="宋体" w:hAnsi="宋体" w:eastAsia="宋体" w:cs="宋体"/>
          <w:color w:val="auto"/>
          <w:sz w:val="24"/>
          <w:szCs w:val="24"/>
          <w:highlight w:val="none"/>
          <w:lang w:val="en-US" w:eastAsia="zh-CN"/>
        </w:rPr>
        <w:t>2.2.3 供应商应及时领取并获取澄清和修改后的竞争性磋商文件，未按澄清和修改后的竞争性磋商文件编制的竞争性磋商响应文件有可能被磋商小组否决。</w:t>
      </w:r>
      <w:bookmarkEnd w:id="208"/>
      <w:bookmarkEnd w:id="209"/>
      <w:bookmarkEnd w:id="210"/>
      <w:bookmarkEnd w:id="211"/>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3、竞争性磋商文件的修改</w:t>
      </w:r>
      <w:bookmarkEnd w:id="203"/>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12" w:name="_Toc11162060"/>
      <w:bookmarkStart w:id="213" w:name="_Toc11161355"/>
      <w:bookmarkStart w:id="214" w:name="_Toc11161056"/>
      <w:bookmarkStart w:id="215" w:name="_Toc11162543"/>
      <w:bookmarkStart w:id="216" w:name="_Toc31188"/>
      <w:r>
        <w:rPr>
          <w:rFonts w:hint="eastAsia" w:ascii="宋体" w:hAnsi="宋体" w:eastAsia="宋体" w:cs="宋体"/>
          <w:color w:val="auto"/>
          <w:sz w:val="24"/>
          <w:szCs w:val="24"/>
          <w:highlight w:val="none"/>
          <w:lang w:val="en-US" w:eastAsia="zh-CN"/>
        </w:rPr>
        <w:t>2.3.1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bookmarkEnd w:id="212"/>
      <w:bookmarkEnd w:id="213"/>
      <w:bookmarkEnd w:id="214"/>
      <w:bookmarkEnd w:id="215"/>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17" w:name="_Toc11161057"/>
      <w:bookmarkStart w:id="218" w:name="_Toc11162544"/>
      <w:bookmarkStart w:id="219" w:name="_Toc11161356"/>
      <w:bookmarkStart w:id="220" w:name="_Toc11162061"/>
      <w:r>
        <w:rPr>
          <w:rFonts w:hint="eastAsia" w:ascii="宋体" w:hAnsi="宋体" w:eastAsia="宋体" w:cs="宋体"/>
          <w:color w:val="auto"/>
          <w:sz w:val="24"/>
          <w:szCs w:val="24"/>
          <w:highlight w:val="none"/>
          <w:lang w:val="en-US" w:eastAsia="zh-CN"/>
        </w:rPr>
        <w:t>2.3.2 供应商应及时登录相应网站查看本项目的采购变更信息，否则引起的一切后果由供应商自负。</w:t>
      </w:r>
      <w:bookmarkEnd w:id="217"/>
      <w:bookmarkEnd w:id="218"/>
      <w:bookmarkEnd w:id="219"/>
      <w:bookmarkEnd w:id="220"/>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21" w:name="_Toc11162545"/>
      <w:bookmarkStart w:id="222" w:name="_Toc11161058"/>
      <w:bookmarkStart w:id="223" w:name="_Toc11161357"/>
      <w:bookmarkStart w:id="224" w:name="_Toc11162062"/>
      <w:r>
        <w:rPr>
          <w:rFonts w:hint="eastAsia" w:ascii="宋体" w:hAnsi="宋体" w:eastAsia="宋体" w:cs="宋体"/>
          <w:color w:val="auto"/>
          <w:sz w:val="24"/>
          <w:szCs w:val="24"/>
          <w:highlight w:val="none"/>
          <w:lang w:val="en-US" w:eastAsia="zh-CN"/>
        </w:rPr>
        <w:t>2.3.3 竞争性磋商文件、竞争性磋商文件澄清（答疑）纪要、竞争性磋商文件修改（补充）文件等内容均以发布的为准。当竞争性磋商文件、竞争性磋商文件澄清（答疑）纪要、竞争性磋商文件修改（补充）文件在同一内容的表述上不一致时，以时间在后的为准。</w:t>
      </w:r>
      <w:bookmarkEnd w:id="221"/>
      <w:bookmarkEnd w:id="222"/>
      <w:bookmarkEnd w:id="223"/>
      <w:bookmarkEnd w:id="224"/>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4、竞争性磋商文件的获取</w:t>
      </w:r>
      <w:bookmarkEnd w:id="216"/>
    </w:p>
    <w:p>
      <w:pPr>
        <w:tabs>
          <w:tab w:val="left" w:pos="0"/>
        </w:tabs>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4.1 供应商必须从采购代理机构获取竞争性磋商文件，供应商自行转让或复制竞争性磋商文件视为无效。竞争性磋商文件一经售出，一律不退，仅作为本次竞争性磋商使用。</w:t>
      </w:r>
    </w:p>
    <w:p>
      <w:pPr>
        <w:tabs>
          <w:tab w:val="left" w:pos="0"/>
        </w:tabs>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4.2 供应商获取竞争性磋商文件后，应仔细检查竞争性磋商文件的所有内容，如有残缺等问题应在获得磋商文件3日内向采购代理机构提出，否则，由此引起的损失由供应商自行承担。</w:t>
      </w:r>
      <w:bookmarkStart w:id="225" w:name="_Toc7841"/>
      <w:bookmarkStart w:id="226" w:name="_Toc25919"/>
      <w:bookmarkStart w:id="227" w:name="_Toc13065122"/>
      <w:bookmarkStart w:id="228" w:name="_Toc23299"/>
    </w:p>
    <w:p>
      <w:pPr>
        <w:pStyle w:val="10"/>
        <w:autoSpaceDE w:val="0"/>
        <w:autoSpaceDN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5、本磋商文件的解释权归采购代理机构及采购人。</w:t>
      </w:r>
    </w:p>
    <w:p>
      <w:pPr>
        <w:pStyle w:val="10"/>
        <w:autoSpaceDE w:val="0"/>
        <w:autoSpaceDN w:val="0"/>
        <w:spacing w:beforeLines="0" w:afterLines="0" w:line="420" w:lineRule="exact"/>
        <w:ind w:left="0" w:leftChars="0" w:firstLine="482"/>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、磋商响应文件</w:t>
      </w:r>
      <w:bookmarkEnd w:id="225"/>
      <w:bookmarkEnd w:id="226"/>
      <w:bookmarkEnd w:id="227"/>
      <w:bookmarkEnd w:id="228"/>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bookmarkStart w:id="229" w:name="_Toc17549"/>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、磋商响应文件的编制</w:t>
      </w:r>
      <w:bookmarkEnd w:id="229"/>
    </w:p>
    <w:p>
      <w:pPr>
        <w:tabs>
          <w:tab w:val="left" w:pos="0"/>
        </w:tabs>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磋商响应文件必须根据采购代理机构发售的竞争性磋商文件</w:t>
      </w:r>
      <w:r>
        <w:rPr>
          <w:rFonts w:hint="eastAsia" w:ascii="宋体" w:hAnsi="宋体" w:eastAsia="宋体" w:cs="宋体"/>
          <w:color w:val="auto"/>
          <w:spacing w:val="-4"/>
          <w:kern w:val="24"/>
          <w:sz w:val="24"/>
          <w:highlight w:val="none"/>
        </w:rPr>
        <w:t>第六章中提供的“竞争性磋商响应文件格式”填写相关内容。</w:t>
      </w:r>
      <w:r>
        <w:rPr>
          <w:rFonts w:hint="eastAsia" w:ascii="宋体" w:hAnsi="宋体" w:eastAsia="宋体" w:cs="宋体"/>
          <w:color w:val="auto"/>
          <w:sz w:val="24"/>
          <w:szCs w:val="24"/>
          <w:highlight w:val="none"/>
        </w:rPr>
        <w:t>具体包括：</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磋商响应函</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第一次磋商报价表</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分项报价表</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供应商资格证明文件</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（合同）商务主要条款响应偏差表</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拟投入本项目的主要负责人简历表</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参与本项目主要人员表</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对本项目的理解</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技术方案</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质量保证</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十一</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近年业绩的有关证明材料</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十二</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供应商企业关系关联承诺书</w:t>
      </w:r>
    </w:p>
    <w:p>
      <w:pPr>
        <w:tabs>
          <w:tab w:val="left" w:pos="0"/>
        </w:tabs>
        <w:autoSpaceDE w:val="0"/>
        <w:autoSpaceDN w:val="0"/>
        <w:adjustRightInd w:val="0"/>
        <w:snapToGrid w:val="0"/>
        <w:spacing w:beforeLines="0" w:afterLines="0" w:line="420" w:lineRule="exact"/>
        <w:ind w:left="0" w:leftChars="0" w:firstLine="482"/>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十三</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供应商廉洁自律承诺书</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十四</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供应商认为有必要补充说明的事项</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（十五）</w:t>
      </w:r>
      <w:r>
        <w:rPr>
          <w:rFonts w:hint="eastAsia" w:ascii="宋体" w:hAnsi="宋体" w:eastAsia="宋体" w:cs="宋体"/>
          <w:color w:val="auto"/>
          <w:sz w:val="24"/>
          <w:szCs w:val="24"/>
          <w:highlight w:val="none"/>
          <w:lang w:val="en-US" w:eastAsia="zh-CN"/>
        </w:rPr>
        <w:t>供应商承诺书</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3.1.2</w:t>
      </w:r>
      <w:r>
        <w:rPr>
          <w:rFonts w:hint="eastAsia" w:ascii="宋体" w:hAnsi="宋体" w:eastAsia="宋体" w:cs="宋体"/>
          <w:b/>
          <w:bCs/>
          <w:color w:val="auto"/>
          <w:sz w:val="24"/>
          <w:szCs w:val="24"/>
          <w:highlight w:val="none"/>
        </w:rPr>
        <w:t xml:space="preserve">竞争性磋商响应文件电子标书： </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30" w:name="_Toc11161091"/>
      <w:bookmarkStart w:id="231" w:name="_Toc11162578"/>
      <w:bookmarkStart w:id="232" w:name="_Toc11161390"/>
      <w:bookmarkStart w:id="233" w:name="_Toc11162095"/>
      <w:r>
        <w:rPr>
          <w:rFonts w:hint="eastAsia" w:ascii="宋体" w:hAnsi="宋体" w:eastAsia="宋体" w:cs="宋体"/>
          <w:color w:val="auto"/>
          <w:sz w:val="24"/>
          <w:szCs w:val="24"/>
          <w:highlight w:val="none"/>
          <w:lang w:val="en-US" w:eastAsia="zh-CN"/>
        </w:rPr>
        <w:t>竞争性磋商响应文件电子标书是竞争性磋商响应文件的组成部分，供应商应无条件使用竞争性磋商文件中的格式，不按统一规定填报电子竞争性磋商响应文件，造成评审软件无法判别时，将按无效竞争性磋商响应文件处理。其他见“磋商须知前附表”。</w:t>
      </w:r>
      <w:bookmarkEnd w:id="230"/>
      <w:bookmarkEnd w:id="231"/>
      <w:bookmarkEnd w:id="232"/>
      <w:bookmarkEnd w:id="233"/>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、磋商报价</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rPr>
      </w:pPr>
      <w:bookmarkStart w:id="234" w:name="_Toc19668"/>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.1 磋商报价是指完成本项目的所有费用，本项目报价为含税总报价，应包 含完成本项目内容所需的一切费用，采购人不再支付其他费用，以磋商文件的内 容和要求作为磋商依据；</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.2 供应商应在磋商文件中的磋商一览表上，标明项目报价、服务期限等； 任何有选择的报价不予接受；</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3 磋商一览表应有供应商公章及法定代表人或被授权人的签字或盖章；</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4 磋商一览表中标明的价格，在合同执行过程中，不得以任何理由变更；</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5 凡因供应商对磋商文件阅读不深、理解不透、误解、疏漏、或因市场行 情了解不清造成的后果和风险均由供应商自负；</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 xml:space="preserve">6 最低报价不是成交的唯一依据。 </w:t>
      </w:r>
    </w:p>
    <w:p>
      <w:pPr>
        <w:tabs>
          <w:tab w:val="left" w:pos="0"/>
        </w:tabs>
        <w:autoSpaceDE w:val="0"/>
        <w:autoSpaceDN w:val="0"/>
        <w:adjustRightInd w:val="0"/>
        <w:snapToGrid w:val="0"/>
        <w:spacing w:beforeLines="0" w:afterLines="0" w:line="420" w:lineRule="exac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3.2.7 </w:t>
      </w:r>
      <w:r>
        <w:rPr>
          <w:rFonts w:hint="eastAsia" w:ascii="宋体" w:hAnsi="宋体" w:eastAsia="宋体" w:cs="宋体"/>
          <w:color w:val="auto"/>
          <w:sz w:val="24"/>
          <w:szCs w:val="24"/>
          <w:highlight w:val="none"/>
        </w:rPr>
        <w:t>当磋商小组认为某个供应商的报价明显低于其他通过符合性审查供应 商的报价，有可能影响服务质量和不能诚信履约的，应要求该供应商在磋商现场 合理的时间内提供书面说明，必要时提交相关证明材料；供应商不能证明其报价 合理的，磋商小组将其作为无效磋商处理。</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、磋商有效期</w:t>
      </w:r>
      <w:bookmarkEnd w:id="234"/>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.1 磋商有效期：见供应商须知前附表，磋商有效期短于此规定期限的磋商响应文件，视为无效文件，其磋商响应文件将被拒绝。成交单位的磋商响应文件有效期延长至合同执行完毕。</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.2 在磋商有效期内，供应商的磋商响应文件保持有效，供应商不得要求撤销或修改其磋商响应文件。</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.3 磋商有效期从磋商之日起计算。</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w:t>
      </w:r>
      <w:r>
        <w:rPr>
          <w:rFonts w:hint="eastAsia" w:ascii="宋体" w:hAnsi="宋体" w:eastAsia="宋体" w:cs="宋体"/>
          <w:b/>
          <w:bCs/>
          <w:color w:val="auto"/>
          <w:sz w:val="24"/>
          <w:szCs w:val="24"/>
          <w:highlight w:val="none"/>
        </w:rPr>
        <w:t>、磋商保证金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无</w:t>
      </w:r>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lang w:val="en-US" w:eastAsia="zh-CN"/>
        </w:rPr>
      </w:pPr>
      <w:bookmarkStart w:id="235" w:name="_Toc152042327"/>
      <w:bookmarkStart w:id="236" w:name="_Toc179632569"/>
      <w:bookmarkStart w:id="237" w:name="_Toc144974519"/>
      <w:bookmarkStart w:id="238" w:name="_Toc152045551"/>
      <w:bookmarkStart w:id="239" w:name="_Toc11161110"/>
      <w:bookmarkStart w:id="240" w:name="_Toc11162114"/>
      <w:bookmarkStart w:id="241" w:name="_Toc11161409"/>
      <w:bookmarkStart w:id="242" w:name="_Toc11162597"/>
      <w:r>
        <w:rPr>
          <w:rFonts w:hint="eastAsia" w:ascii="宋体" w:hAnsi="宋体" w:eastAsia="宋体" w:cs="宋体"/>
          <w:b/>
          <w:bCs/>
          <w:color w:val="auto"/>
          <w:sz w:val="24"/>
          <w:szCs w:val="24"/>
          <w:highlight w:val="none"/>
          <w:lang w:val="en-US" w:eastAsia="zh-CN"/>
        </w:rPr>
        <w:t>3.5 资格审查资料</w:t>
      </w:r>
      <w:bookmarkEnd w:id="235"/>
      <w:bookmarkEnd w:id="236"/>
      <w:bookmarkEnd w:id="237"/>
      <w:bookmarkEnd w:id="238"/>
      <w:r>
        <w:rPr>
          <w:rFonts w:hint="eastAsia" w:ascii="宋体" w:hAnsi="宋体" w:eastAsia="宋体" w:cs="宋体"/>
          <w:b/>
          <w:bCs/>
          <w:color w:val="auto"/>
          <w:sz w:val="24"/>
          <w:szCs w:val="24"/>
          <w:highlight w:val="none"/>
          <w:lang w:val="en-US" w:eastAsia="zh-CN"/>
        </w:rPr>
        <w:t>原件（见磋商须知前附表）</w:t>
      </w:r>
      <w:bookmarkEnd w:id="239"/>
      <w:bookmarkEnd w:id="240"/>
      <w:bookmarkEnd w:id="241"/>
      <w:bookmarkEnd w:id="242"/>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lang w:val="en-US" w:eastAsia="zh-CN"/>
        </w:rPr>
      </w:pPr>
      <w:bookmarkStart w:id="243" w:name="_Toc11162115"/>
      <w:bookmarkStart w:id="244" w:name="_Toc11162598"/>
      <w:bookmarkStart w:id="245" w:name="_Toc179632571"/>
      <w:bookmarkStart w:id="246" w:name="_Toc11161410"/>
      <w:bookmarkStart w:id="247" w:name="_Toc11161111"/>
      <w:bookmarkStart w:id="248" w:name="_Toc152042329"/>
      <w:bookmarkStart w:id="249" w:name="_Toc152045553"/>
      <w:bookmarkStart w:id="250" w:name="_Toc144974521"/>
      <w:r>
        <w:rPr>
          <w:rFonts w:hint="eastAsia" w:ascii="宋体" w:hAnsi="宋体" w:eastAsia="宋体" w:cs="宋体"/>
          <w:b/>
          <w:bCs/>
          <w:color w:val="auto"/>
          <w:sz w:val="24"/>
          <w:szCs w:val="24"/>
          <w:highlight w:val="none"/>
          <w:lang w:val="en-US" w:eastAsia="zh-CN"/>
        </w:rPr>
        <w:t>3.6 备选磋商方案</w:t>
      </w:r>
      <w:bookmarkEnd w:id="243"/>
      <w:bookmarkEnd w:id="244"/>
      <w:bookmarkEnd w:id="245"/>
      <w:bookmarkEnd w:id="246"/>
      <w:bookmarkEnd w:id="247"/>
      <w:bookmarkEnd w:id="248"/>
      <w:bookmarkEnd w:id="249"/>
      <w:bookmarkEnd w:id="250"/>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51" w:name="_Toc11161112"/>
      <w:bookmarkStart w:id="252" w:name="_Toc11162599"/>
      <w:bookmarkStart w:id="253" w:name="_Toc11161411"/>
      <w:bookmarkStart w:id="254" w:name="_Toc11162116"/>
      <w:r>
        <w:rPr>
          <w:rFonts w:hint="eastAsia" w:ascii="宋体" w:hAnsi="宋体" w:eastAsia="宋体" w:cs="宋体"/>
          <w:color w:val="auto"/>
          <w:sz w:val="24"/>
          <w:szCs w:val="24"/>
          <w:highlight w:val="none"/>
          <w:lang w:val="en-US" w:eastAsia="zh-CN"/>
        </w:rPr>
        <w:t>除磋商须知前附表另有规定外，供应商不得递交备选磋商方案。</w:t>
      </w:r>
      <w:bookmarkEnd w:id="251"/>
      <w:bookmarkEnd w:id="252"/>
      <w:bookmarkEnd w:id="253"/>
      <w:bookmarkEnd w:id="254"/>
    </w:p>
    <w:p>
      <w:pPr>
        <w:tabs>
          <w:tab w:val="left" w:pos="0"/>
        </w:tabs>
        <w:autoSpaceDE w:val="0"/>
        <w:autoSpaceDN w:val="0"/>
        <w:adjustRightInd w:val="0"/>
        <w:snapToGrid w:val="0"/>
        <w:spacing w:beforeLines="0" w:afterLines="0" w:line="420" w:lineRule="exact"/>
        <w:ind w:left="0" w:leftChars="0" w:firstLine="482"/>
        <w:outlineLvl w:val="2"/>
        <w:rPr>
          <w:rFonts w:hint="eastAsia" w:ascii="宋体" w:hAnsi="宋体" w:eastAsia="宋体" w:cs="宋体"/>
          <w:b/>
          <w:bCs/>
          <w:color w:val="auto"/>
          <w:sz w:val="24"/>
          <w:szCs w:val="24"/>
          <w:highlight w:val="none"/>
          <w:lang w:val="en-US" w:eastAsia="zh-CN"/>
        </w:rPr>
      </w:pPr>
      <w:bookmarkStart w:id="255" w:name="_Toc179632572"/>
      <w:bookmarkStart w:id="256" w:name="_Toc11162117"/>
      <w:bookmarkStart w:id="257" w:name="_Toc11161113"/>
      <w:bookmarkStart w:id="258" w:name="_Toc144974522"/>
      <w:bookmarkStart w:id="259" w:name="_Toc11161412"/>
      <w:bookmarkStart w:id="260" w:name="_Toc152042330"/>
      <w:bookmarkStart w:id="261" w:name="_Toc11162600"/>
      <w:bookmarkStart w:id="262" w:name="_Toc152045554"/>
      <w:bookmarkStart w:id="263" w:name="_Toc12402"/>
      <w:r>
        <w:rPr>
          <w:rFonts w:hint="eastAsia" w:ascii="宋体" w:hAnsi="宋体" w:eastAsia="宋体" w:cs="宋体"/>
          <w:b/>
          <w:bCs/>
          <w:color w:val="auto"/>
          <w:sz w:val="24"/>
          <w:szCs w:val="24"/>
          <w:highlight w:val="none"/>
          <w:lang w:val="en-US" w:eastAsia="zh-CN"/>
        </w:rPr>
        <w:t>3.7 竞争性磋商响应文件的编制</w:t>
      </w:r>
      <w:bookmarkEnd w:id="255"/>
      <w:bookmarkEnd w:id="256"/>
      <w:bookmarkEnd w:id="257"/>
      <w:bookmarkEnd w:id="258"/>
      <w:bookmarkEnd w:id="259"/>
      <w:bookmarkEnd w:id="260"/>
      <w:bookmarkEnd w:id="261"/>
      <w:bookmarkEnd w:id="26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3.7.1竞争性磋商响应文件应按“竞争性磋商响应文件格式”进行编写，如有必要，可以增加附页，作为竞争性磋商响应文件的组成部分。其中，磋商函附录在满足竞争性磋商文件实质性要求的基础上，可以提出比竞争性磋商文件要求更有利于采购人的承诺。</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64" w:name="_Toc11162118"/>
      <w:bookmarkStart w:id="265" w:name="_Toc11161114"/>
      <w:bookmarkStart w:id="266" w:name="_Toc11162601"/>
      <w:bookmarkStart w:id="267" w:name="_Toc11161413"/>
      <w:r>
        <w:rPr>
          <w:rFonts w:hint="eastAsia" w:ascii="宋体" w:hAnsi="宋体" w:eastAsia="宋体" w:cs="宋体"/>
          <w:color w:val="auto"/>
          <w:sz w:val="24"/>
          <w:szCs w:val="24"/>
          <w:highlight w:val="none"/>
          <w:lang w:val="en-US" w:eastAsia="zh-CN"/>
        </w:rPr>
        <w:t>3.7.2 竞争性磋商响应文件应当对竞争性磋商文件有关工期、磋商有效期、质量要求、</w:t>
      </w:r>
      <w:r>
        <w:rPr>
          <w:rFonts w:hint="eastAsia" w:ascii="宋体" w:hAnsi="宋体" w:cs="宋体"/>
          <w:color w:val="auto"/>
          <w:sz w:val="24"/>
          <w:szCs w:val="24"/>
          <w:highlight w:val="none"/>
          <w:lang w:val="en-US" w:eastAsia="zh-CN"/>
        </w:rPr>
        <w:t>采购内容及要求</w:t>
      </w:r>
      <w:r>
        <w:rPr>
          <w:rFonts w:hint="eastAsia" w:ascii="宋体" w:hAnsi="宋体" w:eastAsia="宋体" w:cs="宋体"/>
          <w:color w:val="auto"/>
          <w:sz w:val="24"/>
          <w:szCs w:val="24"/>
          <w:highlight w:val="none"/>
          <w:lang w:val="en-US" w:eastAsia="zh-CN"/>
        </w:rPr>
        <w:t>、采购范围等实质性内容作出响应。</w:t>
      </w:r>
      <w:bookmarkEnd w:id="264"/>
      <w:bookmarkEnd w:id="265"/>
      <w:bookmarkEnd w:id="266"/>
      <w:bookmarkEnd w:id="267"/>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68" w:name="_Toc11162119"/>
      <w:bookmarkStart w:id="269" w:name="_Toc11161414"/>
      <w:bookmarkStart w:id="270" w:name="_Toc11162602"/>
      <w:bookmarkStart w:id="271" w:name="_Toc11161115"/>
      <w:r>
        <w:rPr>
          <w:rFonts w:hint="eastAsia" w:ascii="宋体" w:hAnsi="宋体" w:eastAsia="宋体" w:cs="宋体"/>
          <w:color w:val="auto"/>
          <w:sz w:val="24"/>
          <w:szCs w:val="24"/>
          <w:highlight w:val="none"/>
          <w:lang w:val="en-US" w:eastAsia="zh-CN"/>
        </w:rPr>
        <w:t>3.7.3纸质竞争性磋商响应文件应用不褪色的材料书写或打印，文件封面及其它有要求的部位应加盖供应商印章并经法定代表人或其委托代理人签字或盖章。由委托代理人签字或盖章的竞争性磋商响应文件中须同时提交供应商签署的授权代理委托书。供应商签署授权代理委托书格式、签字、盖章、及内容均应符合要求，否则竞争性磋商响应文件签署授权代理委托书无效。竞争性磋商响应文件应尽量避免涂改、行间插字或删除。如果出现上述情况，改动之处应加盖单位章或由供应商的法定代表人或其授权的代理人签字确认。签字或盖章的具体要求见磋商须知前附表，签章意为签字并盖章。</w:t>
      </w:r>
      <w:bookmarkEnd w:id="268"/>
      <w:bookmarkEnd w:id="269"/>
      <w:bookmarkEnd w:id="270"/>
      <w:bookmarkEnd w:id="271"/>
      <w:r>
        <w:rPr>
          <w:rFonts w:hint="eastAsia" w:ascii="宋体" w:hAnsi="宋体" w:eastAsia="宋体" w:cs="宋体"/>
          <w:color w:val="auto"/>
          <w:sz w:val="24"/>
          <w:szCs w:val="24"/>
          <w:highlight w:val="none"/>
          <w:lang w:val="en-US" w:eastAsia="zh-CN"/>
        </w:rPr>
        <w:t xml:space="preserve"> </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72" w:name="_Toc11161116"/>
      <w:bookmarkStart w:id="273" w:name="_Toc11162120"/>
      <w:bookmarkStart w:id="274" w:name="_Toc11162603"/>
      <w:bookmarkStart w:id="275" w:name="_Toc11161415"/>
      <w:r>
        <w:rPr>
          <w:rFonts w:hint="eastAsia" w:ascii="宋体" w:hAnsi="宋体" w:eastAsia="宋体" w:cs="宋体"/>
          <w:color w:val="auto"/>
          <w:sz w:val="24"/>
          <w:szCs w:val="24"/>
          <w:highlight w:val="none"/>
          <w:lang w:val="en-US" w:eastAsia="zh-CN"/>
        </w:rPr>
        <w:t>3.7.4 纸质竞争性磋商响应文件正本、副本份数见磋商须知前附表。正本和副本的封面上应清楚地标记“正本”或“副本”的字样。</w:t>
      </w:r>
      <w:bookmarkEnd w:id="272"/>
      <w:bookmarkEnd w:id="273"/>
      <w:bookmarkEnd w:id="274"/>
      <w:bookmarkEnd w:id="275"/>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76" w:name="_Toc11161416"/>
      <w:bookmarkStart w:id="277" w:name="_Toc11162121"/>
      <w:bookmarkStart w:id="278" w:name="_Toc11161117"/>
      <w:bookmarkStart w:id="279" w:name="_Toc11162604"/>
      <w:r>
        <w:rPr>
          <w:rFonts w:hint="eastAsia" w:ascii="宋体" w:hAnsi="宋体" w:eastAsia="宋体" w:cs="宋体"/>
          <w:color w:val="auto"/>
          <w:sz w:val="24"/>
          <w:szCs w:val="24"/>
          <w:highlight w:val="none"/>
          <w:lang w:val="en-US" w:eastAsia="zh-CN"/>
        </w:rPr>
        <w:t>3.7.5 纸质竞争性磋商响应文件的正本与副本应分别装订成册，并编制目录，具体装订要求见磋商须知前附表规定。</w:t>
      </w:r>
      <w:bookmarkEnd w:id="276"/>
      <w:bookmarkEnd w:id="277"/>
      <w:bookmarkEnd w:id="278"/>
      <w:bookmarkEnd w:id="279"/>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供应商应按本须知前附表所规定的份数提交竞争性磋商响应文件。</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争性磋商响应文件的正本和副本均需用A4纸打印，字迹应清晰易于辨认，并应在竞争性磋商响应文件封面的右上角清楚地注明“正本”或“副本”，竞争性磋商响应文件的正本与副本应分别胶装成册，电子竞争性磋商响应文件单独密封并放置于磋商响应文件正本中。</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除供应商对错误处必须修改外，全套竞争性磋商响应文件应无涂改或行间插字和增删。如有修改，修改处应由供应商的法定代表人、委托代理人签字或盖章。</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80" w:name="_Toc11162122"/>
      <w:bookmarkStart w:id="281" w:name="_Toc11161118"/>
      <w:bookmarkStart w:id="282" w:name="_Toc11162605"/>
      <w:bookmarkStart w:id="283" w:name="_Toc11161417"/>
      <w:r>
        <w:rPr>
          <w:rFonts w:hint="eastAsia" w:ascii="宋体" w:hAnsi="宋体" w:eastAsia="宋体" w:cs="宋体"/>
          <w:color w:val="auto"/>
          <w:sz w:val="24"/>
          <w:szCs w:val="24"/>
          <w:highlight w:val="none"/>
          <w:lang w:val="en-US" w:eastAsia="zh-CN"/>
        </w:rPr>
        <w:t>3.7.6电子竞争性磋商响应文件的编制要求见磋商须知前附表。</w:t>
      </w:r>
      <w:bookmarkEnd w:id="280"/>
      <w:bookmarkEnd w:id="281"/>
      <w:bookmarkEnd w:id="282"/>
      <w:bookmarkEnd w:id="283"/>
    </w:p>
    <w:p>
      <w:pPr>
        <w:pStyle w:val="40"/>
        <w:spacing w:line="360" w:lineRule="auto"/>
        <w:ind w:firstLine="482" w:firstLineChars="200"/>
        <w:jc w:val="both"/>
        <w:outlineLvl w:val="2"/>
        <w:rPr>
          <w:rFonts w:hint="eastAsia" w:ascii="宋体" w:hAnsi="宋体" w:eastAsia="宋体" w:cs="宋体"/>
          <w:b/>
          <w:color w:val="auto"/>
          <w:sz w:val="24"/>
          <w:szCs w:val="24"/>
          <w:highlight w:val="none"/>
        </w:rPr>
      </w:pPr>
      <w:bookmarkStart w:id="284" w:name="_Toc152045555"/>
      <w:bookmarkStart w:id="285" w:name="_Toc152042331"/>
      <w:bookmarkStart w:id="286" w:name="_Toc144974523"/>
      <w:bookmarkStart w:id="287" w:name="_Toc179632573"/>
      <w:bookmarkStart w:id="288" w:name="_Toc510859895"/>
      <w:bookmarkStart w:id="289" w:name="_Toc363119281"/>
      <w:bookmarkStart w:id="290" w:name="_Toc510859689"/>
      <w:bookmarkStart w:id="291" w:name="_Toc513557030"/>
      <w:bookmarkStart w:id="292" w:name="_Toc11162123"/>
      <w:bookmarkStart w:id="293" w:name="_Toc11156041"/>
      <w:bookmarkStart w:id="294" w:name="_Toc11162606"/>
      <w:bookmarkStart w:id="295" w:name="_Toc11161418"/>
      <w:bookmarkStart w:id="296" w:name="_Toc11161119"/>
      <w:r>
        <w:rPr>
          <w:rFonts w:hint="eastAsia" w:ascii="宋体" w:hAnsi="宋体" w:eastAsia="宋体" w:cs="宋体"/>
          <w:b/>
          <w:color w:val="auto"/>
          <w:sz w:val="24"/>
          <w:szCs w:val="24"/>
          <w:highlight w:val="none"/>
        </w:rPr>
        <w:t xml:space="preserve">4. </w:t>
      </w:r>
      <w:bookmarkEnd w:id="284"/>
      <w:bookmarkEnd w:id="285"/>
      <w:bookmarkEnd w:id="286"/>
      <w:bookmarkEnd w:id="287"/>
      <w:bookmarkEnd w:id="288"/>
      <w:bookmarkEnd w:id="289"/>
      <w:bookmarkEnd w:id="290"/>
      <w:bookmarkEnd w:id="291"/>
      <w:r>
        <w:rPr>
          <w:rFonts w:hint="eastAsia" w:ascii="宋体" w:hAnsi="宋体" w:eastAsia="宋体" w:cs="宋体"/>
          <w:b/>
          <w:color w:val="auto"/>
          <w:sz w:val="24"/>
          <w:szCs w:val="24"/>
          <w:highlight w:val="none"/>
        </w:rPr>
        <w:t>磋商响应</w:t>
      </w:r>
      <w:bookmarkEnd w:id="292"/>
      <w:bookmarkEnd w:id="293"/>
      <w:bookmarkEnd w:id="294"/>
      <w:bookmarkEnd w:id="295"/>
      <w:bookmarkEnd w:id="296"/>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297" w:name="_Toc179632574"/>
      <w:bookmarkStart w:id="298" w:name="_Toc144974524"/>
      <w:bookmarkStart w:id="299" w:name="_Toc11161419"/>
      <w:bookmarkStart w:id="300" w:name="_Toc152042332"/>
      <w:bookmarkStart w:id="301" w:name="_Toc11162607"/>
      <w:bookmarkStart w:id="302" w:name="_Toc11162124"/>
      <w:bookmarkStart w:id="303" w:name="_Toc11161120"/>
      <w:bookmarkStart w:id="304" w:name="_Toc152045556"/>
      <w:r>
        <w:rPr>
          <w:rFonts w:hint="eastAsia" w:ascii="宋体" w:hAnsi="宋体" w:eastAsia="宋体" w:cs="宋体"/>
          <w:color w:val="auto"/>
          <w:sz w:val="24"/>
          <w:szCs w:val="24"/>
          <w:highlight w:val="none"/>
          <w:lang w:val="en-US" w:eastAsia="zh-CN"/>
        </w:rPr>
        <w:t>4.1 竞争性磋商响应文件的密封和标记</w:t>
      </w:r>
      <w:bookmarkEnd w:id="297"/>
      <w:bookmarkEnd w:id="298"/>
      <w:bookmarkEnd w:id="299"/>
      <w:bookmarkEnd w:id="300"/>
      <w:bookmarkEnd w:id="301"/>
      <w:bookmarkEnd w:id="302"/>
      <w:bookmarkEnd w:id="303"/>
      <w:bookmarkEnd w:id="304"/>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05" w:name="_Toc11161121"/>
      <w:bookmarkStart w:id="306" w:name="_Toc11162125"/>
      <w:bookmarkStart w:id="307" w:name="_Toc11161420"/>
      <w:bookmarkStart w:id="308" w:name="_Toc11162608"/>
      <w:r>
        <w:rPr>
          <w:rFonts w:hint="eastAsia" w:ascii="宋体" w:hAnsi="宋体" w:eastAsia="宋体" w:cs="宋体"/>
          <w:color w:val="auto"/>
          <w:sz w:val="24"/>
          <w:szCs w:val="24"/>
          <w:highlight w:val="none"/>
          <w:lang w:val="en-US" w:eastAsia="zh-CN"/>
        </w:rPr>
        <w:t>4.1.1纸质竞争性磋商响应文件、磋商响应文件电子版磋商须知前附表第3.7.5项要求密封，加贴封条，标明磋商响应文件和磋商响应文件电子版字样，并在封套的封口处加盖供应商公章和法定代表人（或委托代理人）印章。</w:t>
      </w:r>
      <w:bookmarkEnd w:id="305"/>
      <w:bookmarkEnd w:id="306"/>
      <w:bookmarkEnd w:id="307"/>
      <w:bookmarkEnd w:id="30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09" w:name="_Toc11161421"/>
      <w:bookmarkStart w:id="310" w:name="_Toc11162126"/>
      <w:bookmarkStart w:id="311" w:name="_Toc11162609"/>
      <w:bookmarkStart w:id="312" w:name="_Toc11161122"/>
      <w:r>
        <w:rPr>
          <w:rFonts w:hint="eastAsia" w:ascii="宋体" w:hAnsi="宋体" w:eastAsia="宋体" w:cs="宋体"/>
          <w:color w:val="auto"/>
          <w:sz w:val="24"/>
          <w:szCs w:val="24"/>
          <w:highlight w:val="none"/>
          <w:lang w:val="en-US" w:eastAsia="zh-CN"/>
        </w:rPr>
        <w:t>4.1.2 纸质竞争性磋商响应文件的封套上应清楚地标记“正本”或“副本”字样，封套上应写明的其他内容见磋商须知前附表。</w:t>
      </w:r>
      <w:bookmarkEnd w:id="309"/>
      <w:bookmarkEnd w:id="310"/>
      <w:bookmarkEnd w:id="311"/>
      <w:bookmarkEnd w:id="31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13" w:name="_Toc11162610"/>
      <w:bookmarkStart w:id="314" w:name="_Toc11162127"/>
      <w:bookmarkStart w:id="315" w:name="_Toc11161422"/>
      <w:bookmarkStart w:id="316" w:name="_Toc11161123"/>
      <w:r>
        <w:rPr>
          <w:rFonts w:hint="eastAsia" w:ascii="宋体" w:hAnsi="宋体" w:eastAsia="宋体" w:cs="宋体"/>
          <w:color w:val="auto"/>
          <w:sz w:val="24"/>
          <w:szCs w:val="24"/>
          <w:highlight w:val="none"/>
          <w:lang w:val="en-US" w:eastAsia="zh-CN"/>
        </w:rPr>
        <w:t>4.1.3 未按本章第4.1.1项或第4.1.2项要求密封和加写标记的竞争性磋商响应文件，采购人不予受理。</w:t>
      </w:r>
      <w:bookmarkEnd w:id="313"/>
      <w:bookmarkEnd w:id="314"/>
      <w:bookmarkEnd w:id="315"/>
      <w:bookmarkEnd w:id="316"/>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17" w:name="_Toc11162614"/>
      <w:bookmarkStart w:id="318" w:name="_Toc152042333"/>
      <w:bookmarkStart w:id="319" w:name="_Toc11161127"/>
      <w:bookmarkStart w:id="320" w:name="_Toc11162131"/>
      <w:bookmarkStart w:id="321" w:name="_Toc144974525"/>
      <w:bookmarkStart w:id="322" w:name="_Toc152045557"/>
      <w:bookmarkStart w:id="323" w:name="_Toc11161426"/>
      <w:bookmarkStart w:id="324" w:name="_Toc179632575"/>
      <w:r>
        <w:rPr>
          <w:rFonts w:hint="eastAsia" w:ascii="宋体" w:hAnsi="宋体" w:eastAsia="宋体" w:cs="宋体"/>
          <w:color w:val="auto"/>
          <w:sz w:val="24"/>
          <w:szCs w:val="24"/>
          <w:highlight w:val="none"/>
          <w:lang w:val="en-US" w:eastAsia="zh-CN"/>
        </w:rPr>
        <w:t>4.2 竞争性磋商响应文件的递交</w:t>
      </w:r>
      <w:bookmarkEnd w:id="317"/>
      <w:bookmarkEnd w:id="318"/>
      <w:bookmarkEnd w:id="319"/>
      <w:bookmarkEnd w:id="320"/>
      <w:bookmarkEnd w:id="321"/>
      <w:bookmarkEnd w:id="322"/>
      <w:bookmarkEnd w:id="323"/>
      <w:bookmarkEnd w:id="324"/>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25" w:name="_Toc11161128"/>
      <w:bookmarkStart w:id="326" w:name="_Toc11162132"/>
      <w:bookmarkStart w:id="327" w:name="_Toc11161427"/>
      <w:bookmarkStart w:id="328" w:name="_Toc11162615"/>
      <w:r>
        <w:rPr>
          <w:rFonts w:hint="eastAsia" w:ascii="宋体" w:hAnsi="宋体" w:eastAsia="宋体" w:cs="宋体"/>
          <w:color w:val="auto"/>
          <w:sz w:val="24"/>
          <w:szCs w:val="24"/>
          <w:highlight w:val="none"/>
          <w:lang w:val="en-US" w:eastAsia="zh-CN"/>
        </w:rPr>
        <w:t>4.2.1 供应商应在本章第2.2.2项规定的磋商截止时间前递交竞争性磋商响应文件。</w:t>
      </w:r>
      <w:bookmarkEnd w:id="325"/>
      <w:bookmarkEnd w:id="326"/>
      <w:bookmarkEnd w:id="327"/>
      <w:bookmarkEnd w:id="32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29" w:name="_Toc11161129"/>
      <w:bookmarkStart w:id="330" w:name="_Toc11161428"/>
      <w:bookmarkStart w:id="331" w:name="_Toc11162133"/>
      <w:bookmarkStart w:id="332" w:name="_Toc11162616"/>
      <w:r>
        <w:rPr>
          <w:rFonts w:hint="eastAsia" w:ascii="宋体" w:hAnsi="宋体" w:eastAsia="宋体" w:cs="宋体"/>
          <w:color w:val="auto"/>
          <w:sz w:val="24"/>
          <w:szCs w:val="24"/>
          <w:highlight w:val="none"/>
          <w:lang w:val="en-US" w:eastAsia="zh-CN"/>
        </w:rPr>
        <w:t>4.2.2 供应商递交竞争性磋商响应文件的地点：见磋商须知前附表。</w:t>
      </w:r>
      <w:bookmarkEnd w:id="329"/>
      <w:bookmarkEnd w:id="330"/>
      <w:bookmarkEnd w:id="331"/>
      <w:bookmarkEnd w:id="33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33" w:name="_Toc11161429"/>
      <w:bookmarkStart w:id="334" w:name="_Toc11162617"/>
      <w:bookmarkStart w:id="335" w:name="_Toc11162134"/>
      <w:bookmarkStart w:id="336" w:name="_Toc11161130"/>
      <w:r>
        <w:rPr>
          <w:rFonts w:hint="eastAsia" w:ascii="宋体" w:hAnsi="宋体" w:eastAsia="宋体" w:cs="宋体"/>
          <w:color w:val="auto"/>
          <w:sz w:val="24"/>
          <w:szCs w:val="24"/>
          <w:highlight w:val="none"/>
          <w:lang w:val="en-US" w:eastAsia="zh-CN"/>
        </w:rPr>
        <w:t>4.2.3 除磋商须知前附表另有规定外，供应商所递交的竞争性磋商响应文件不予退还。</w:t>
      </w:r>
      <w:bookmarkEnd w:id="333"/>
      <w:bookmarkEnd w:id="334"/>
      <w:bookmarkEnd w:id="335"/>
      <w:bookmarkEnd w:id="336"/>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37" w:name="_Toc11162619"/>
      <w:bookmarkStart w:id="338" w:name="_Toc11162136"/>
      <w:bookmarkStart w:id="339" w:name="_Toc11161431"/>
      <w:bookmarkStart w:id="340" w:name="_Toc11161132"/>
      <w:r>
        <w:rPr>
          <w:rFonts w:hint="eastAsia" w:ascii="宋体" w:hAnsi="宋体" w:eastAsia="宋体" w:cs="宋体"/>
          <w:color w:val="auto"/>
          <w:sz w:val="24"/>
          <w:szCs w:val="24"/>
          <w:highlight w:val="none"/>
          <w:lang w:val="en-US" w:eastAsia="zh-CN"/>
        </w:rPr>
        <w:t>4.2.4 逾期送达的或者未送达指定地点的竞争性磋商响应文件，采购人不予受理。</w:t>
      </w:r>
      <w:bookmarkEnd w:id="337"/>
      <w:bookmarkEnd w:id="338"/>
      <w:bookmarkEnd w:id="339"/>
      <w:bookmarkEnd w:id="340"/>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41" w:name="_Toc11161133"/>
      <w:bookmarkStart w:id="342" w:name="_Toc11161432"/>
      <w:bookmarkStart w:id="343" w:name="_Toc11162137"/>
      <w:bookmarkStart w:id="344" w:name="_Toc152042334"/>
      <w:bookmarkStart w:id="345" w:name="_Toc11162620"/>
      <w:bookmarkStart w:id="346" w:name="_Toc179632576"/>
      <w:bookmarkStart w:id="347" w:name="_Toc144974526"/>
      <w:bookmarkStart w:id="348" w:name="_Toc152045558"/>
      <w:r>
        <w:rPr>
          <w:rFonts w:hint="eastAsia" w:ascii="宋体" w:hAnsi="宋体" w:eastAsia="宋体" w:cs="宋体"/>
          <w:color w:val="auto"/>
          <w:sz w:val="24"/>
          <w:szCs w:val="24"/>
          <w:highlight w:val="none"/>
          <w:lang w:val="en-US" w:eastAsia="zh-CN"/>
        </w:rPr>
        <w:t>4.3竞争性磋商响应文件的修改与撤回</w:t>
      </w:r>
      <w:bookmarkEnd w:id="341"/>
      <w:bookmarkEnd w:id="342"/>
      <w:bookmarkEnd w:id="343"/>
      <w:bookmarkEnd w:id="344"/>
      <w:bookmarkEnd w:id="345"/>
      <w:bookmarkEnd w:id="346"/>
      <w:bookmarkEnd w:id="347"/>
      <w:bookmarkEnd w:id="34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49" w:name="_Toc11162621"/>
      <w:bookmarkStart w:id="350" w:name="_Toc11161433"/>
      <w:bookmarkStart w:id="351" w:name="_Toc11161134"/>
      <w:bookmarkStart w:id="352" w:name="_Toc11162138"/>
      <w:r>
        <w:rPr>
          <w:rFonts w:hint="eastAsia" w:ascii="宋体" w:hAnsi="宋体" w:eastAsia="宋体" w:cs="宋体"/>
          <w:color w:val="auto"/>
          <w:sz w:val="24"/>
          <w:szCs w:val="24"/>
          <w:highlight w:val="none"/>
          <w:lang w:val="en-US" w:eastAsia="zh-CN"/>
        </w:rPr>
        <w:t>4.3.1 在本章第2.2.2项规定的磋商截止时间前，供应商可以修改或撤回已递交的竞争性磋商响应文件，最终竞争性磋商响应文件以磋商截止时间前完成递交或上传最后一份竞争性磋商响应文件为准。</w:t>
      </w:r>
      <w:bookmarkEnd w:id="349"/>
      <w:bookmarkEnd w:id="350"/>
      <w:bookmarkEnd w:id="351"/>
      <w:bookmarkEnd w:id="35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53" w:name="_Toc11161135"/>
      <w:bookmarkStart w:id="354" w:name="_Toc11162622"/>
      <w:bookmarkStart w:id="355" w:name="_Toc11162139"/>
      <w:bookmarkStart w:id="356" w:name="_Toc11161434"/>
      <w:r>
        <w:rPr>
          <w:rFonts w:hint="eastAsia" w:ascii="宋体" w:hAnsi="宋体" w:eastAsia="宋体" w:cs="宋体"/>
          <w:color w:val="auto"/>
          <w:sz w:val="24"/>
          <w:szCs w:val="24"/>
          <w:highlight w:val="none"/>
          <w:lang w:val="en-US" w:eastAsia="zh-CN"/>
        </w:rPr>
        <w:t>4.3.2 供应商修改或撤回已递交竞争性磋商响应文件的书面通知应由法定代表人或其授权代理人签字并加盖公章。</w:t>
      </w:r>
      <w:bookmarkEnd w:id="353"/>
      <w:bookmarkEnd w:id="354"/>
      <w:bookmarkEnd w:id="355"/>
      <w:bookmarkEnd w:id="356"/>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57" w:name="_Toc11161136"/>
      <w:bookmarkStart w:id="358" w:name="_Toc11161435"/>
      <w:bookmarkStart w:id="359" w:name="_Toc11162140"/>
      <w:bookmarkStart w:id="360" w:name="_Toc11162623"/>
      <w:r>
        <w:rPr>
          <w:rFonts w:hint="eastAsia" w:ascii="宋体" w:hAnsi="宋体" w:eastAsia="宋体" w:cs="宋体"/>
          <w:color w:val="auto"/>
          <w:sz w:val="24"/>
          <w:szCs w:val="24"/>
          <w:highlight w:val="none"/>
          <w:lang w:val="en-US" w:eastAsia="zh-CN"/>
        </w:rPr>
        <w:t>4.3.3 修改的内容为竞争性磋商响应文件的组成部分。修改的竞争性磋商响应文件应按照本章第3条、第4条规定进行编制、密封、标记和递交，并标明“修改”字样。</w:t>
      </w:r>
      <w:bookmarkEnd w:id="357"/>
      <w:bookmarkEnd w:id="358"/>
      <w:bookmarkEnd w:id="359"/>
      <w:bookmarkEnd w:id="360"/>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61" w:name="_Toc11162624"/>
      <w:bookmarkStart w:id="362" w:name="_Toc11161436"/>
      <w:bookmarkStart w:id="363" w:name="_Toc11161137"/>
      <w:bookmarkStart w:id="364" w:name="_Toc11162141"/>
      <w:r>
        <w:rPr>
          <w:rFonts w:hint="eastAsia" w:ascii="宋体" w:hAnsi="宋体" w:eastAsia="宋体" w:cs="宋体"/>
          <w:color w:val="auto"/>
          <w:sz w:val="24"/>
          <w:szCs w:val="24"/>
          <w:highlight w:val="none"/>
          <w:lang w:val="en-US" w:eastAsia="zh-CN"/>
        </w:rPr>
        <w:t>4.3.4在磋商截止时间之后，供应商不得补充、修改竞争性磋商响应文件。</w:t>
      </w:r>
      <w:bookmarkEnd w:id="361"/>
      <w:bookmarkEnd w:id="362"/>
      <w:bookmarkEnd w:id="363"/>
      <w:bookmarkEnd w:id="364"/>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65" w:name="_Toc11161437"/>
      <w:bookmarkStart w:id="366" w:name="_Toc11162625"/>
      <w:bookmarkStart w:id="367" w:name="_Toc11161138"/>
      <w:bookmarkStart w:id="368" w:name="_Toc11162142"/>
      <w:r>
        <w:rPr>
          <w:rFonts w:hint="eastAsia" w:ascii="宋体" w:hAnsi="宋体" w:eastAsia="宋体" w:cs="宋体"/>
          <w:color w:val="auto"/>
          <w:sz w:val="24"/>
          <w:szCs w:val="24"/>
          <w:highlight w:val="none"/>
          <w:lang w:val="en-US" w:eastAsia="zh-CN"/>
        </w:rPr>
        <w:t>4.3.5在磋商截止时间至磋商有效期满之前，供应商不得撤回其竞争性磋商响应文件，否则其磋商保证金将被没收。</w:t>
      </w:r>
      <w:bookmarkEnd w:id="365"/>
      <w:bookmarkEnd w:id="366"/>
      <w:bookmarkEnd w:id="367"/>
      <w:bookmarkEnd w:id="36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69" w:name="_Toc11162143"/>
      <w:bookmarkStart w:id="370" w:name="_Toc11161438"/>
      <w:bookmarkStart w:id="371" w:name="_Toc11161139"/>
      <w:bookmarkStart w:id="372" w:name="_Toc11162626"/>
      <w:r>
        <w:rPr>
          <w:rFonts w:hint="eastAsia" w:ascii="宋体" w:hAnsi="宋体" w:eastAsia="宋体" w:cs="宋体"/>
          <w:color w:val="auto"/>
          <w:sz w:val="24"/>
          <w:szCs w:val="24"/>
          <w:highlight w:val="none"/>
          <w:lang w:val="en-US" w:eastAsia="zh-CN"/>
        </w:rPr>
        <w:t>4.4竞争性磋商响应文件材料的更新</w:t>
      </w:r>
      <w:bookmarkEnd w:id="369"/>
      <w:bookmarkEnd w:id="370"/>
      <w:bookmarkEnd w:id="371"/>
      <w:bookmarkEnd w:id="37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73" w:name="_Toc11161439"/>
      <w:bookmarkStart w:id="374" w:name="_Toc11162144"/>
      <w:bookmarkStart w:id="375" w:name="_Toc11161140"/>
      <w:bookmarkStart w:id="376" w:name="_Toc11162627"/>
      <w:r>
        <w:rPr>
          <w:rFonts w:hint="eastAsia" w:ascii="宋体" w:hAnsi="宋体" w:eastAsia="宋体" w:cs="宋体"/>
          <w:color w:val="auto"/>
          <w:sz w:val="24"/>
          <w:szCs w:val="24"/>
          <w:highlight w:val="none"/>
          <w:lang w:val="en-US" w:eastAsia="zh-CN"/>
        </w:rPr>
        <w:t>4.4.1供应商在提交竞争性磋商响应文件时，如竞争性磋商响应文件的内容发生重大变化，供应商须对其重新更新，以证明其仍能满足竞争性磋商响应文件资格评审标准，并且所提供的材料是经过采购人确认的。如果在评审时供应商已经不能达到竞争性磋商响应文件中资格评审标准，其磋商将被拒绝。</w:t>
      </w:r>
      <w:bookmarkEnd w:id="373"/>
      <w:bookmarkEnd w:id="374"/>
      <w:bookmarkEnd w:id="375"/>
      <w:bookmarkEnd w:id="376"/>
    </w:p>
    <w:p>
      <w:pPr>
        <w:pStyle w:val="40"/>
        <w:spacing w:line="360" w:lineRule="auto"/>
        <w:ind w:firstLine="482" w:firstLineChars="200"/>
        <w:jc w:val="both"/>
        <w:outlineLvl w:val="2"/>
        <w:rPr>
          <w:rFonts w:hint="eastAsia" w:ascii="宋体" w:hAnsi="宋体" w:eastAsia="宋体" w:cs="宋体"/>
          <w:b/>
          <w:color w:val="auto"/>
          <w:sz w:val="24"/>
          <w:szCs w:val="24"/>
          <w:highlight w:val="none"/>
        </w:rPr>
      </w:pPr>
      <w:bookmarkStart w:id="377" w:name="_Toc11161440"/>
      <w:bookmarkStart w:id="378" w:name="_Toc11162145"/>
      <w:bookmarkStart w:id="379" w:name="_Toc11156042"/>
      <w:bookmarkStart w:id="380" w:name="_Toc513557031"/>
      <w:bookmarkStart w:id="381" w:name="_Toc11162628"/>
      <w:bookmarkStart w:id="382" w:name="_Toc510859690"/>
      <w:bookmarkStart w:id="383" w:name="_Toc179632577"/>
      <w:bookmarkStart w:id="384" w:name="_Toc152045559"/>
      <w:bookmarkStart w:id="385" w:name="_Toc152042335"/>
      <w:bookmarkStart w:id="386" w:name="_Toc11161141"/>
      <w:bookmarkStart w:id="387" w:name="_Toc363119282"/>
      <w:bookmarkStart w:id="388" w:name="_Toc510859896"/>
      <w:bookmarkStart w:id="389" w:name="_Toc144974527"/>
      <w:r>
        <w:rPr>
          <w:rFonts w:hint="eastAsia" w:ascii="宋体" w:hAnsi="宋体" w:eastAsia="宋体" w:cs="宋体"/>
          <w:b/>
          <w:color w:val="auto"/>
          <w:sz w:val="24"/>
          <w:szCs w:val="24"/>
          <w:highlight w:val="none"/>
        </w:rPr>
        <w:t>5. 磋商</w:t>
      </w:r>
      <w:bookmarkEnd w:id="377"/>
      <w:bookmarkEnd w:id="378"/>
      <w:bookmarkEnd w:id="379"/>
      <w:bookmarkEnd w:id="380"/>
      <w:bookmarkEnd w:id="381"/>
      <w:bookmarkEnd w:id="382"/>
      <w:bookmarkEnd w:id="383"/>
      <w:bookmarkEnd w:id="384"/>
      <w:bookmarkEnd w:id="385"/>
      <w:bookmarkEnd w:id="386"/>
      <w:bookmarkEnd w:id="387"/>
      <w:bookmarkEnd w:id="388"/>
      <w:bookmarkEnd w:id="389"/>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90" w:name="_Toc179632578"/>
      <w:bookmarkStart w:id="391" w:name="_Toc11162629"/>
      <w:bookmarkStart w:id="392" w:name="_Toc11161142"/>
      <w:bookmarkStart w:id="393" w:name="_Toc11161441"/>
      <w:bookmarkStart w:id="394" w:name="_Toc152045560"/>
      <w:bookmarkStart w:id="395" w:name="_Toc152042336"/>
      <w:bookmarkStart w:id="396" w:name="_Toc11162146"/>
      <w:bookmarkStart w:id="397" w:name="_Toc144974528"/>
      <w:r>
        <w:rPr>
          <w:rFonts w:hint="eastAsia" w:ascii="宋体" w:hAnsi="宋体" w:eastAsia="宋体" w:cs="宋体"/>
          <w:color w:val="auto"/>
          <w:sz w:val="24"/>
          <w:szCs w:val="24"/>
          <w:highlight w:val="none"/>
          <w:lang w:val="en-US" w:eastAsia="zh-CN"/>
        </w:rPr>
        <w:t>5.1 磋商时间和地点</w:t>
      </w:r>
      <w:bookmarkEnd w:id="390"/>
      <w:bookmarkEnd w:id="391"/>
      <w:bookmarkEnd w:id="392"/>
      <w:bookmarkEnd w:id="393"/>
      <w:bookmarkEnd w:id="394"/>
      <w:bookmarkEnd w:id="395"/>
      <w:bookmarkEnd w:id="396"/>
      <w:bookmarkEnd w:id="397"/>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398" w:name="_Toc11161143"/>
      <w:bookmarkStart w:id="399" w:name="_Toc11161442"/>
      <w:bookmarkStart w:id="400" w:name="_Toc11162630"/>
      <w:bookmarkStart w:id="401" w:name="_Toc11162147"/>
      <w:r>
        <w:rPr>
          <w:rFonts w:hint="eastAsia" w:ascii="宋体" w:hAnsi="宋体" w:eastAsia="宋体" w:cs="宋体"/>
          <w:color w:val="auto"/>
          <w:sz w:val="24"/>
          <w:szCs w:val="24"/>
          <w:highlight w:val="none"/>
          <w:lang w:val="en-US" w:eastAsia="zh-CN"/>
        </w:rPr>
        <w:t>采购人在规定的磋商截止时间（磋商时间）和磋商须知前附表规定的地点组织竞争性磋商，并邀请所有供应商的法定代表人或其委托代理人准时参加。</w:t>
      </w:r>
      <w:bookmarkEnd w:id="398"/>
      <w:bookmarkEnd w:id="399"/>
      <w:bookmarkEnd w:id="400"/>
      <w:bookmarkEnd w:id="401"/>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02" w:name="_Toc11162148"/>
      <w:bookmarkStart w:id="403" w:name="_Toc11161443"/>
      <w:bookmarkStart w:id="404" w:name="_Toc11161144"/>
      <w:bookmarkStart w:id="405" w:name="_Toc144974529"/>
      <w:bookmarkStart w:id="406" w:name="_Toc152042337"/>
      <w:bookmarkStart w:id="407" w:name="_Toc152045561"/>
      <w:bookmarkStart w:id="408" w:name="_Toc11162631"/>
      <w:bookmarkStart w:id="409" w:name="_Toc179632579"/>
      <w:r>
        <w:rPr>
          <w:rFonts w:hint="eastAsia" w:ascii="宋体" w:hAnsi="宋体" w:eastAsia="宋体" w:cs="宋体"/>
          <w:color w:val="auto"/>
          <w:sz w:val="24"/>
          <w:szCs w:val="24"/>
          <w:highlight w:val="none"/>
          <w:lang w:val="en-US" w:eastAsia="zh-CN"/>
        </w:rPr>
        <w:t>5.2 磋商程序</w:t>
      </w:r>
      <w:bookmarkEnd w:id="402"/>
      <w:bookmarkEnd w:id="403"/>
      <w:bookmarkEnd w:id="404"/>
      <w:bookmarkEnd w:id="405"/>
      <w:bookmarkEnd w:id="406"/>
      <w:bookmarkEnd w:id="407"/>
      <w:bookmarkEnd w:id="408"/>
      <w:bookmarkEnd w:id="409"/>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10" w:name="_Toc11162632"/>
      <w:bookmarkStart w:id="411" w:name="_Toc11161145"/>
      <w:bookmarkStart w:id="412" w:name="_Toc11162149"/>
      <w:bookmarkStart w:id="413" w:name="_Toc11161444"/>
      <w:r>
        <w:rPr>
          <w:rFonts w:hint="eastAsia" w:ascii="宋体" w:hAnsi="宋体" w:eastAsia="宋体" w:cs="宋体"/>
          <w:color w:val="auto"/>
          <w:sz w:val="24"/>
          <w:szCs w:val="24"/>
          <w:highlight w:val="none"/>
          <w:lang w:val="en-US" w:eastAsia="zh-CN"/>
        </w:rPr>
        <w:t>主持人按下列程序进行磋商会议：</w:t>
      </w:r>
      <w:bookmarkEnd w:id="410"/>
      <w:bookmarkEnd w:id="411"/>
      <w:bookmarkEnd w:id="412"/>
      <w:bookmarkEnd w:id="413"/>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14" w:name="_Toc11161445"/>
      <w:bookmarkStart w:id="415" w:name="_Toc11161146"/>
      <w:bookmarkStart w:id="416" w:name="_Toc11162633"/>
      <w:bookmarkStart w:id="417" w:name="_Toc11162150"/>
      <w:bookmarkStart w:id="418" w:name="_Toc144974530"/>
      <w:bookmarkStart w:id="419" w:name="_Toc152045562"/>
      <w:bookmarkStart w:id="420" w:name="_Toc179632580"/>
      <w:bookmarkStart w:id="421" w:name="_Toc152042338"/>
      <w:r>
        <w:rPr>
          <w:rFonts w:hint="eastAsia" w:ascii="宋体" w:hAnsi="宋体" w:eastAsia="宋体" w:cs="宋体"/>
          <w:color w:val="auto"/>
          <w:sz w:val="24"/>
          <w:szCs w:val="24"/>
          <w:highlight w:val="none"/>
          <w:lang w:val="en-US" w:eastAsia="zh-CN"/>
        </w:rPr>
        <w:t>1）介绍参加会议的单位领导和来宾；</w:t>
      </w:r>
      <w:bookmarkEnd w:id="414"/>
      <w:bookmarkEnd w:id="415"/>
      <w:bookmarkEnd w:id="416"/>
      <w:bookmarkEnd w:id="417"/>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22" w:name="_Toc11162634"/>
      <w:bookmarkStart w:id="423" w:name="_Toc11161446"/>
      <w:bookmarkStart w:id="424" w:name="_Toc11161147"/>
      <w:bookmarkStart w:id="425" w:name="_Toc11162151"/>
      <w:r>
        <w:rPr>
          <w:rFonts w:hint="eastAsia" w:ascii="宋体" w:hAnsi="宋体" w:eastAsia="宋体" w:cs="宋体"/>
          <w:color w:val="auto"/>
          <w:sz w:val="24"/>
          <w:szCs w:val="24"/>
          <w:highlight w:val="none"/>
          <w:lang w:val="en-US" w:eastAsia="zh-CN"/>
        </w:rPr>
        <w:t>2）介绍参加磋商会议的供应商；</w:t>
      </w:r>
      <w:bookmarkEnd w:id="422"/>
      <w:bookmarkEnd w:id="423"/>
      <w:bookmarkEnd w:id="424"/>
      <w:bookmarkEnd w:id="425"/>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26" w:name="_Toc11161148"/>
      <w:bookmarkStart w:id="427" w:name="_Toc11162635"/>
      <w:bookmarkStart w:id="428" w:name="_Toc11161447"/>
      <w:bookmarkStart w:id="429" w:name="_Toc11162152"/>
      <w:r>
        <w:rPr>
          <w:rFonts w:hint="eastAsia" w:ascii="宋体" w:hAnsi="宋体" w:eastAsia="宋体" w:cs="宋体"/>
          <w:color w:val="auto"/>
          <w:sz w:val="24"/>
          <w:szCs w:val="24"/>
          <w:highlight w:val="none"/>
          <w:lang w:val="en-US" w:eastAsia="zh-CN"/>
        </w:rPr>
        <w:t>3）宣布会议纪律；</w:t>
      </w:r>
      <w:bookmarkEnd w:id="426"/>
      <w:bookmarkEnd w:id="427"/>
      <w:bookmarkEnd w:id="428"/>
      <w:bookmarkEnd w:id="429"/>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30" w:name="_Toc11161448"/>
      <w:bookmarkStart w:id="431" w:name="_Toc11161149"/>
      <w:bookmarkStart w:id="432" w:name="_Toc11162636"/>
      <w:bookmarkStart w:id="433" w:name="_Toc11162153"/>
      <w:r>
        <w:rPr>
          <w:rFonts w:hint="eastAsia" w:ascii="宋体" w:hAnsi="宋体" w:eastAsia="宋体" w:cs="宋体"/>
          <w:color w:val="auto"/>
          <w:sz w:val="24"/>
          <w:szCs w:val="24"/>
          <w:highlight w:val="none"/>
          <w:lang w:val="en-US" w:eastAsia="zh-CN"/>
        </w:rPr>
        <w:t>4）宣布监督、监标、记录人员名单；</w:t>
      </w:r>
      <w:bookmarkEnd w:id="430"/>
      <w:bookmarkEnd w:id="431"/>
      <w:bookmarkEnd w:id="432"/>
      <w:bookmarkEnd w:id="433"/>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34" w:name="_Toc11162154"/>
      <w:bookmarkStart w:id="435" w:name="_Toc11162637"/>
      <w:bookmarkStart w:id="436" w:name="_Toc11161150"/>
      <w:bookmarkStart w:id="437" w:name="_Toc11161449"/>
      <w:r>
        <w:rPr>
          <w:rFonts w:hint="eastAsia" w:ascii="宋体" w:hAnsi="宋体" w:eastAsia="宋体" w:cs="宋体"/>
          <w:color w:val="auto"/>
          <w:sz w:val="24"/>
          <w:szCs w:val="24"/>
          <w:highlight w:val="none"/>
          <w:lang w:val="en-US" w:eastAsia="zh-CN"/>
        </w:rPr>
        <w:t>5）由监标人及各供应商代表共同查验竞争性磋商响应文件密封完整性，并宣布查验结果；</w:t>
      </w:r>
      <w:bookmarkEnd w:id="434"/>
      <w:bookmarkEnd w:id="435"/>
      <w:bookmarkEnd w:id="436"/>
      <w:bookmarkEnd w:id="437"/>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38" w:name="_Toc11161152"/>
      <w:bookmarkStart w:id="439" w:name="_Toc11162156"/>
      <w:bookmarkStart w:id="440" w:name="_Toc11162639"/>
      <w:bookmarkStart w:id="441" w:name="_Toc11161451"/>
      <w:r>
        <w:rPr>
          <w:rFonts w:hint="eastAsia" w:ascii="宋体" w:hAnsi="宋体" w:eastAsia="宋体" w:cs="宋体"/>
          <w:color w:val="auto"/>
          <w:sz w:val="24"/>
          <w:szCs w:val="24"/>
          <w:highlight w:val="none"/>
          <w:lang w:val="en-US" w:eastAsia="zh-CN"/>
        </w:rPr>
        <w:t>6）</w:t>
      </w:r>
      <w:bookmarkEnd w:id="438"/>
      <w:bookmarkEnd w:id="439"/>
      <w:bookmarkEnd w:id="440"/>
      <w:bookmarkEnd w:id="441"/>
      <w:r>
        <w:rPr>
          <w:rFonts w:hint="eastAsia" w:ascii="宋体" w:hAnsi="宋体" w:eastAsia="宋体" w:cs="宋体"/>
          <w:color w:val="auto"/>
          <w:sz w:val="24"/>
          <w:szCs w:val="24"/>
          <w:highlight w:val="none"/>
          <w:lang w:val="en-US" w:eastAsia="zh-CN"/>
        </w:rPr>
        <w:t>开启响应文件后，由采购人或采购代理机构依法对供应商的资格部分进行审查，缺项或一项不符合要求即不合格，不合格的供应商其投标无效，休会；</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42" w:name="_Toc363119283"/>
      <w:bookmarkStart w:id="443" w:name="_Toc510859897"/>
      <w:bookmarkStart w:id="444" w:name="_Toc510859691"/>
      <w:bookmarkStart w:id="445" w:name="_Toc513557032"/>
      <w:bookmarkStart w:id="446" w:name="_Toc11161475"/>
      <w:bookmarkStart w:id="447" w:name="_Toc11162180"/>
      <w:bookmarkStart w:id="448" w:name="_Toc11161176"/>
      <w:bookmarkStart w:id="449" w:name="_Toc11156043"/>
      <w:bookmarkStart w:id="450" w:name="_Toc11162663"/>
      <w:r>
        <w:rPr>
          <w:rFonts w:hint="eastAsia" w:ascii="宋体" w:hAnsi="宋体" w:eastAsia="宋体" w:cs="宋体"/>
          <w:color w:val="auto"/>
          <w:sz w:val="24"/>
          <w:szCs w:val="24"/>
          <w:highlight w:val="none"/>
          <w:lang w:val="en-US" w:eastAsia="zh-CN"/>
        </w:rPr>
        <w:t>7）磋商；</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8）评审；</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9）会议结束。</w:t>
      </w:r>
    </w:p>
    <w:p>
      <w:pPr>
        <w:pStyle w:val="40"/>
        <w:spacing w:line="360" w:lineRule="auto"/>
        <w:ind w:firstLine="482" w:firstLineChars="200"/>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评</w:t>
      </w:r>
      <w:bookmarkEnd w:id="418"/>
      <w:bookmarkEnd w:id="419"/>
      <w:bookmarkEnd w:id="420"/>
      <w:bookmarkEnd w:id="421"/>
      <w:bookmarkEnd w:id="442"/>
      <w:bookmarkEnd w:id="443"/>
      <w:bookmarkEnd w:id="444"/>
      <w:bookmarkEnd w:id="445"/>
      <w:r>
        <w:rPr>
          <w:rFonts w:hint="eastAsia" w:ascii="宋体" w:hAnsi="宋体" w:eastAsia="宋体" w:cs="宋体"/>
          <w:b/>
          <w:color w:val="auto"/>
          <w:sz w:val="24"/>
          <w:szCs w:val="24"/>
          <w:highlight w:val="none"/>
        </w:rPr>
        <w:t>审</w:t>
      </w:r>
      <w:bookmarkEnd w:id="446"/>
      <w:bookmarkEnd w:id="447"/>
      <w:bookmarkEnd w:id="448"/>
      <w:bookmarkEnd w:id="449"/>
      <w:bookmarkEnd w:id="450"/>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51" w:name="_Toc152045563"/>
      <w:bookmarkStart w:id="452" w:name="_Toc179632581"/>
      <w:bookmarkStart w:id="453" w:name="_Toc144974531"/>
      <w:bookmarkStart w:id="454" w:name="_Toc152042339"/>
      <w:bookmarkStart w:id="455" w:name="_Toc11162664"/>
      <w:bookmarkStart w:id="456" w:name="_Toc11161476"/>
      <w:bookmarkStart w:id="457" w:name="_Toc11162181"/>
      <w:bookmarkStart w:id="458" w:name="_Toc11161177"/>
      <w:r>
        <w:rPr>
          <w:rFonts w:hint="eastAsia" w:ascii="宋体" w:hAnsi="宋体" w:eastAsia="宋体" w:cs="宋体"/>
          <w:color w:val="auto"/>
          <w:sz w:val="24"/>
          <w:szCs w:val="24"/>
          <w:highlight w:val="none"/>
          <w:lang w:val="en-US" w:eastAsia="zh-CN"/>
        </w:rPr>
        <w:t xml:space="preserve">6.1 </w:t>
      </w:r>
      <w:bookmarkEnd w:id="451"/>
      <w:bookmarkEnd w:id="452"/>
      <w:bookmarkEnd w:id="453"/>
      <w:bookmarkEnd w:id="454"/>
      <w:r>
        <w:rPr>
          <w:rFonts w:hint="eastAsia" w:ascii="宋体" w:hAnsi="宋体" w:eastAsia="宋体" w:cs="宋体"/>
          <w:color w:val="auto"/>
          <w:sz w:val="24"/>
          <w:szCs w:val="24"/>
          <w:highlight w:val="none"/>
          <w:lang w:val="en-US" w:eastAsia="zh-CN"/>
        </w:rPr>
        <w:t>磋商小组</w:t>
      </w:r>
      <w:bookmarkEnd w:id="455"/>
      <w:bookmarkEnd w:id="456"/>
      <w:bookmarkEnd w:id="457"/>
      <w:bookmarkEnd w:id="45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59" w:name="_Toc11161178"/>
      <w:bookmarkStart w:id="460" w:name="_Toc11161477"/>
      <w:bookmarkStart w:id="461" w:name="_Toc11162665"/>
      <w:bookmarkStart w:id="462" w:name="_Toc11162182"/>
      <w:r>
        <w:rPr>
          <w:rFonts w:hint="eastAsia" w:ascii="宋体" w:hAnsi="宋体" w:eastAsia="宋体" w:cs="宋体"/>
          <w:color w:val="auto"/>
          <w:sz w:val="24"/>
          <w:szCs w:val="24"/>
          <w:highlight w:val="none"/>
          <w:lang w:val="en-US" w:eastAsia="zh-CN"/>
        </w:rPr>
        <w:t>6.1.1评审由采购人依法组建的磋商小组负责。磋商小组由采购人或其委托的采购代理机构熟悉相关业务的代表，以及有关技术、经济等方面的专家组成。磋商小组成员人数以及技术、经济等方面专家的确定方式见磋商须知前附表。</w:t>
      </w:r>
      <w:bookmarkEnd w:id="459"/>
      <w:bookmarkEnd w:id="460"/>
      <w:bookmarkEnd w:id="461"/>
      <w:bookmarkEnd w:id="46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63" w:name="_Toc11161179"/>
      <w:bookmarkStart w:id="464" w:name="_Toc11162183"/>
      <w:bookmarkStart w:id="465" w:name="_Toc11162666"/>
      <w:bookmarkStart w:id="466" w:name="_Toc11161478"/>
      <w:r>
        <w:rPr>
          <w:rFonts w:hint="eastAsia" w:ascii="宋体" w:hAnsi="宋体" w:eastAsia="宋体" w:cs="宋体"/>
          <w:color w:val="auto"/>
          <w:sz w:val="24"/>
          <w:szCs w:val="24"/>
          <w:highlight w:val="none"/>
          <w:lang w:val="en-US" w:eastAsia="zh-CN"/>
        </w:rPr>
        <w:t>6.1.2 磋商小组成员有下列情形之一的，应当回避：</w:t>
      </w:r>
      <w:bookmarkEnd w:id="463"/>
      <w:bookmarkEnd w:id="464"/>
      <w:bookmarkEnd w:id="465"/>
      <w:bookmarkEnd w:id="466"/>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67" w:name="_Toc11162184"/>
      <w:bookmarkStart w:id="468" w:name="_Toc11161479"/>
      <w:bookmarkStart w:id="469" w:name="_Toc11162667"/>
      <w:bookmarkStart w:id="470" w:name="_Toc11161180"/>
      <w:r>
        <w:rPr>
          <w:rFonts w:hint="eastAsia" w:ascii="宋体" w:hAnsi="宋体" w:eastAsia="宋体" w:cs="宋体"/>
          <w:color w:val="auto"/>
          <w:sz w:val="24"/>
          <w:szCs w:val="24"/>
          <w:highlight w:val="none"/>
          <w:lang w:val="en-US" w:eastAsia="zh-CN"/>
        </w:rPr>
        <w:t>（1）采购人或供应商的主要负责人的近亲属；</w:t>
      </w:r>
      <w:bookmarkEnd w:id="467"/>
      <w:bookmarkEnd w:id="468"/>
      <w:bookmarkEnd w:id="469"/>
      <w:bookmarkEnd w:id="470"/>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71" w:name="_Toc11162668"/>
      <w:bookmarkStart w:id="472" w:name="_Toc11161480"/>
      <w:bookmarkStart w:id="473" w:name="_Toc11161181"/>
      <w:bookmarkStart w:id="474" w:name="_Toc11162185"/>
      <w:r>
        <w:rPr>
          <w:rFonts w:hint="eastAsia" w:ascii="宋体" w:hAnsi="宋体" w:eastAsia="宋体" w:cs="宋体"/>
          <w:color w:val="auto"/>
          <w:sz w:val="24"/>
          <w:szCs w:val="24"/>
          <w:highlight w:val="none"/>
          <w:lang w:val="en-US" w:eastAsia="zh-CN"/>
        </w:rPr>
        <w:t>（2）项目主管部门或者行政监督部门的人员；</w:t>
      </w:r>
      <w:bookmarkEnd w:id="471"/>
      <w:bookmarkEnd w:id="472"/>
      <w:bookmarkEnd w:id="473"/>
      <w:bookmarkEnd w:id="474"/>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75" w:name="_Toc11161481"/>
      <w:bookmarkStart w:id="476" w:name="_Toc11161182"/>
      <w:bookmarkStart w:id="477" w:name="_Toc11162669"/>
      <w:bookmarkStart w:id="478" w:name="_Toc11162186"/>
      <w:r>
        <w:rPr>
          <w:rFonts w:hint="eastAsia" w:ascii="宋体" w:hAnsi="宋体" w:eastAsia="宋体" w:cs="宋体"/>
          <w:color w:val="auto"/>
          <w:sz w:val="24"/>
          <w:szCs w:val="24"/>
          <w:highlight w:val="none"/>
          <w:lang w:val="en-US" w:eastAsia="zh-CN"/>
        </w:rPr>
        <w:t>（3）与供应商有经济利益关系，可能影响对投标公正评审的；</w:t>
      </w:r>
      <w:bookmarkEnd w:id="475"/>
      <w:bookmarkEnd w:id="476"/>
      <w:bookmarkEnd w:id="477"/>
      <w:bookmarkEnd w:id="47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79" w:name="_Toc11162187"/>
      <w:bookmarkStart w:id="480" w:name="_Toc11162670"/>
      <w:bookmarkStart w:id="481" w:name="_Toc11161482"/>
      <w:bookmarkStart w:id="482" w:name="_Toc11161183"/>
      <w:r>
        <w:rPr>
          <w:rFonts w:hint="eastAsia" w:ascii="宋体" w:hAnsi="宋体" w:eastAsia="宋体" w:cs="宋体"/>
          <w:color w:val="auto"/>
          <w:sz w:val="24"/>
          <w:szCs w:val="24"/>
          <w:highlight w:val="none"/>
          <w:lang w:val="en-US" w:eastAsia="zh-CN"/>
        </w:rPr>
        <w:t>（4）曾因在采购、评审以及其他与采购投标有关活动中从事违法行为而受过行政处罚或刑事处罚的。</w:t>
      </w:r>
      <w:bookmarkEnd w:id="479"/>
      <w:bookmarkEnd w:id="480"/>
      <w:bookmarkEnd w:id="481"/>
      <w:bookmarkEnd w:id="48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83" w:name="_Toc11161483"/>
      <w:bookmarkStart w:id="484" w:name="_Toc144974532"/>
      <w:bookmarkStart w:id="485" w:name="_Toc11162671"/>
      <w:bookmarkStart w:id="486" w:name="_Toc179632582"/>
      <w:bookmarkStart w:id="487" w:name="_Toc11162188"/>
      <w:bookmarkStart w:id="488" w:name="_Toc152042340"/>
      <w:bookmarkStart w:id="489" w:name="_Toc152045564"/>
      <w:bookmarkStart w:id="490" w:name="_Toc11161184"/>
      <w:r>
        <w:rPr>
          <w:rFonts w:hint="eastAsia" w:ascii="宋体" w:hAnsi="宋体" w:eastAsia="宋体" w:cs="宋体"/>
          <w:color w:val="auto"/>
          <w:sz w:val="24"/>
          <w:szCs w:val="24"/>
          <w:highlight w:val="none"/>
          <w:lang w:val="en-US" w:eastAsia="zh-CN"/>
        </w:rPr>
        <w:t>6.2 评审原则</w:t>
      </w:r>
      <w:bookmarkEnd w:id="483"/>
      <w:bookmarkEnd w:id="484"/>
      <w:bookmarkEnd w:id="485"/>
      <w:bookmarkEnd w:id="486"/>
      <w:bookmarkEnd w:id="487"/>
      <w:bookmarkEnd w:id="488"/>
      <w:bookmarkEnd w:id="489"/>
      <w:bookmarkEnd w:id="490"/>
      <w:r>
        <w:rPr>
          <w:rFonts w:hint="eastAsia" w:ascii="宋体" w:hAnsi="宋体" w:eastAsia="宋体" w:cs="宋体"/>
          <w:color w:val="auto"/>
          <w:sz w:val="24"/>
          <w:szCs w:val="24"/>
          <w:highlight w:val="none"/>
          <w:lang w:val="en-US" w:eastAsia="zh-CN"/>
        </w:rPr>
        <w:tab/>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91" w:name="_Toc11162189"/>
      <w:bookmarkStart w:id="492" w:name="_Toc11161484"/>
      <w:bookmarkStart w:id="493" w:name="_Toc11161185"/>
      <w:bookmarkStart w:id="494" w:name="_Toc11162672"/>
      <w:r>
        <w:rPr>
          <w:rFonts w:hint="eastAsia" w:ascii="宋体" w:hAnsi="宋体" w:eastAsia="宋体" w:cs="宋体"/>
          <w:color w:val="auto"/>
          <w:sz w:val="24"/>
          <w:szCs w:val="24"/>
          <w:highlight w:val="none"/>
          <w:lang w:val="en-US" w:eastAsia="zh-CN"/>
        </w:rPr>
        <w:t>评审活动遵循公平、公正、科学和择优的原则。</w:t>
      </w:r>
      <w:bookmarkEnd w:id="491"/>
      <w:bookmarkEnd w:id="492"/>
      <w:bookmarkEnd w:id="493"/>
      <w:bookmarkEnd w:id="494"/>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495" w:name="_Toc144974533"/>
      <w:bookmarkStart w:id="496" w:name="_Toc11162673"/>
      <w:bookmarkStart w:id="497" w:name="_Toc152045565"/>
      <w:bookmarkStart w:id="498" w:name="_Toc11161485"/>
      <w:bookmarkStart w:id="499" w:name="_Toc179632583"/>
      <w:bookmarkStart w:id="500" w:name="_Toc11161186"/>
      <w:bookmarkStart w:id="501" w:name="_Toc152042341"/>
      <w:bookmarkStart w:id="502" w:name="_Toc11162190"/>
      <w:r>
        <w:rPr>
          <w:rFonts w:hint="eastAsia" w:ascii="宋体" w:hAnsi="宋体" w:eastAsia="宋体" w:cs="宋体"/>
          <w:color w:val="auto"/>
          <w:sz w:val="24"/>
          <w:szCs w:val="24"/>
          <w:highlight w:val="none"/>
          <w:lang w:val="en-US" w:eastAsia="zh-CN"/>
        </w:rPr>
        <w:t>6.3 评审</w:t>
      </w:r>
      <w:bookmarkEnd w:id="495"/>
      <w:bookmarkEnd w:id="496"/>
      <w:bookmarkEnd w:id="497"/>
      <w:bookmarkEnd w:id="498"/>
      <w:bookmarkEnd w:id="499"/>
      <w:bookmarkEnd w:id="500"/>
      <w:bookmarkEnd w:id="501"/>
      <w:bookmarkEnd w:id="50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03" w:name="_Toc11161187"/>
      <w:bookmarkStart w:id="504" w:name="_Toc11161486"/>
      <w:bookmarkStart w:id="505" w:name="_Toc11162191"/>
      <w:bookmarkStart w:id="506" w:name="_Toc11162674"/>
      <w:r>
        <w:rPr>
          <w:rFonts w:hint="eastAsia" w:ascii="宋体" w:hAnsi="宋体" w:eastAsia="宋体" w:cs="宋体"/>
          <w:color w:val="auto"/>
          <w:sz w:val="24"/>
          <w:szCs w:val="24"/>
          <w:highlight w:val="none"/>
          <w:lang w:val="en-US" w:eastAsia="zh-CN"/>
        </w:rPr>
        <w:t>6.3.1磋商小组按照第三章“评审办法”规定的方法、评审因素、标准和程序对竞争性磋商响应文件进行评审。第三章“评审办法”没有规定的方法、评审因素和标准，不作为评审依据。</w:t>
      </w:r>
      <w:bookmarkEnd w:id="503"/>
      <w:bookmarkEnd w:id="504"/>
      <w:bookmarkEnd w:id="505"/>
      <w:bookmarkEnd w:id="506"/>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07" w:name="_Toc11161188"/>
      <w:bookmarkStart w:id="508" w:name="_Toc11162192"/>
      <w:bookmarkStart w:id="509" w:name="_Toc11162675"/>
      <w:bookmarkStart w:id="510" w:name="_Toc11161487"/>
      <w:r>
        <w:rPr>
          <w:rFonts w:hint="eastAsia" w:ascii="宋体" w:hAnsi="宋体" w:eastAsia="宋体" w:cs="宋体"/>
          <w:color w:val="auto"/>
          <w:sz w:val="24"/>
          <w:szCs w:val="24"/>
          <w:highlight w:val="none"/>
          <w:lang w:val="en-US" w:eastAsia="zh-CN"/>
        </w:rPr>
        <w:t>6.3.2评审过程的保密</w:t>
      </w:r>
      <w:bookmarkEnd w:id="507"/>
      <w:bookmarkEnd w:id="508"/>
      <w:bookmarkEnd w:id="509"/>
      <w:bookmarkEnd w:id="510"/>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11" w:name="_Toc11162193"/>
      <w:bookmarkStart w:id="512" w:name="_Toc11161189"/>
      <w:bookmarkStart w:id="513" w:name="_Toc11161488"/>
      <w:bookmarkStart w:id="514" w:name="_Toc11162676"/>
      <w:r>
        <w:rPr>
          <w:rFonts w:hint="eastAsia" w:ascii="宋体" w:hAnsi="宋体" w:eastAsia="宋体" w:cs="宋体"/>
          <w:color w:val="auto"/>
          <w:sz w:val="24"/>
          <w:szCs w:val="24"/>
          <w:highlight w:val="none"/>
          <w:lang w:val="en-US" w:eastAsia="zh-CN"/>
        </w:rPr>
        <w:t>（1） 磋商后，直至授予成交人合同为止，凡属于对竞争性磋商响应文件的审查、补遗、评价和比较的有关资料以及成交人候选人的推荐情况等均严格保密。</w:t>
      </w:r>
      <w:bookmarkEnd w:id="511"/>
      <w:bookmarkEnd w:id="512"/>
      <w:bookmarkEnd w:id="513"/>
      <w:bookmarkEnd w:id="514"/>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15" w:name="_Toc11162677"/>
      <w:bookmarkStart w:id="516" w:name="_Toc11161190"/>
      <w:bookmarkStart w:id="517" w:name="_Toc11161489"/>
      <w:bookmarkStart w:id="518" w:name="_Toc11162194"/>
      <w:r>
        <w:rPr>
          <w:rFonts w:hint="eastAsia" w:ascii="宋体" w:hAnsi="宋体" w:eastAsia="宋体" w:cs="宋体"/>
          <w:color w:val="auto"/>
          <w:sz w:val="24"/>
          <w:szCs w:val="24"/>
          <w:highlight w:val="none"/>
          <w:lang w:val="en-US" w:eastAsia="zh-CN"/>
        </w:rPr>
        <w:t>（2） 在竞争性磋商响应文件的评审、成交人候选人推荐以及授予合同的过程中，供应商向采购人和磋商小组施加影响的任何行为，都将会导致其磋商被拒绝直至取消其中标资格。</w:t>
      </w:r>
      <w:bookmarkEnd w:id="515"/>
      <w:bookmarkEnd w:id="516"/>
      <w:bookmarkEnd w:id="517"/>
      <w:bookmarkEnd w:id="51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19" w:name="_Toc11162678"/>
      <w:bookmarkStart w:id="520" w:name="_Toc11162195"/>
      <w:bookmarkStart w:id="521" w:name="_Toc11161490"/>
      <w:bookmarkStart w:id="522" w:name="_Toc11161191"/>
      <w:r>
        <w:rPr>
          <w:rFonts w:hint="eastAsia" w:ascii="宋体" w:hAnsi="宋体" w:eastAsia="宋体" w:cs="宋体"/>
          <w:color w:val="auto"/>
          <w:sz w:val="24"/>
          <w:szCs w:val="24"/>
          <w:highlight w:val="none"/>
          <w:lang w:val="en-US" w:eastAsia="zh-CN"/>
        </w:rPr>
        <w:t>（3） 成交人确定后，采购人不对未成交人就评审过程以及未能中标原因作出任何解释。未成交人不得向磋商小组组成人员或其他有关人员索问评审过程的情况和材料。</w:t>
      </w:r>
      <w:bookmarkEnd w:id="519"/>
      <w:bookmarkEnd w:id="520"/>
      <w:bookmarkEnd w:id="521"/>
      <w:bookmarkEnd w:id="522"/>
      <w:bookmarkStart w:id="523" w:name="_Toc179632584"/>
      <w:bookmarkStart w:id="524" w:name="_Toc152042342"/>
      <w:bookmarkStart w:id="525" w:name="_Toc144974534"/>
      <w:bookmarkStart w:id="526" w:name="_Toc152045566"/>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27" w:name="_Toc11162679"/>
      <w:bookmarkStart w:id="528" w:name="_Toc11161491"/>
      <w:bookmarkStart w:id="529" w:name="_Toc11161192"/>
      <w:bookmarkStart w:id="530" w:name="_Toc11162196"/>
      <w:r>
        <w:rPr>
          <w:rFonts w:hint="eastAsia" w:ascii="宋体" w:hAnsi="宋体" w:eastAsia="宋体" w:cs="宋体"/>
          <w:color w:val="auto"/>
          <w:sz w:val="24"/>
          <w:szCs w:val="24"/>
          <w:highlight w:val="none"/>
          <w:lang w:val="en-US" w:eastAsia="zh-CN"/>
        </w:rPr>
        <w:t>6.3.3竞争性磋商响应文件的澄清</w:t>
      </w:r>
      <w:bookmarkEnd w:id="527"/>
      <w:bookmarkEnd w:id="528"/>
      <w:bookmarkEnd w:id="529"/>
      <w:bookmarkEnd w:id="530"/>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31" w:name="_Toc11161193"/>
      <w:bookmarkStart w:id="532" w:name="_Toc11162197"/>
      <w:bookmarkStart w:id="533" w:name="_Toc11162680"/>
      <w:bookmarkStart w:id="534" w:name="_Toc11161492"/>
      <w:r>
        <w:rPr>
          <w:rFonts w:hint="eastAsia" w:ascii="宋体" w:hAnsi="宋体" w:eastAsia="宋体" w:cs="宋体"/>
          <w:color w:val="auto"/>
          <w:sz w:val="24"/>
          <w:szCs w:val="24"/>
          <w:highlight w:val="none"/>
          <w:lang w:val="en-US" w:eastAsia="zh-CN"/>
        </w:rPr>
        <w:t>（1）为有助于竞争性磋商响应文件的审查、评价和比较，磋商小组可以书面形式要求供应商对竞争性磋商响应文件不明确的内容作必要的澄清或说明，供应商应采用书面形式进行澄清或说明，但不得超出竞争性磋商响应文件的范围或竞争性磋商响应文件的实质性内容。根据本须知第6.3.4条规定，凡属于磋商小组在评审中发现的计算错误进行核实的修改不在此列。</w:t>
      </w:r>
      <w:bookmarkEnd w:id="531"/>
      <w:bookmarkEnd w:id="532"/>
      <w:bookmarkEnd w:id="533"/>
      <w:bookmarkEnd w:id="534"/>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35" w:name="_Toc11162681"/>
      <w:bookmarkStart w:id="536" w:name="_Toc11161194"/>
      <w:bookmarkStart w:id="537" w:name="_Toc11161493"/>
      <w:bookmarkStart w:id="538" w:name="_Toc11162198"/>
      <w:r>
        <w:rPr>
          <w:rFonts w:hint="eastAsia" w:ascii="宋体" w:hAnsi="宋体" w:eastAsia="宋体" w:cs="宋体"/>
          <w:color w:val="auto"/>
          <w:sz w:val="24"/>
          <w:szCs w:val="24"/>
          <w:highlight w:val="none"/>
          <w:lang w:val="en-US" w:eastAsia="zh-CN"/>
        </w:rPr>
        <w:t>（2）磋商小组认为有必要时，可向供应商进行询标。</w:t>
      </w:r>
      <w:bookmarkEnd w:id="535"/>
      <w:bookmarkEnd w:id="536"/>
      <w:bookmarkEnd w:id="537"/>
      <w:bookmarkEnd w:id="53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39" w:name="_Toc11162199"/>
      <w:bookmarkStart w:id="540" w:name="_Toc11162682"/>
      <w:bookmarkStart w:id="541" w:name="_Toc11161195"/>
      <w:bookmarkStart w:id="542" w:name="_Toc11161494"/>
      <w:r>
        <w:rPr>
          <w:rFonts w:hint="eastAsia" w:ascii="宋体" w:hAnsi="宋体" w:eastAsia="宋体" w:cs="宋体"/>
          <w:color w:val="auto"/>
          <w:sz w:val="24"/>
          <w:szCs w:val="24"/>
          <w:highlight w:val="none"/>
          <w:lang w:val="en-US" w:eastAsia="zh-CN"/>
        </w:rPr>
        <w:t>6.3.4竞争性磋商响应文件计算错误的修正</w:t>
      </w:r>
      <w:bookmarkEnd w:id="539"/>
      <w:bookmarkEnd w:id="540"/>
      <w:bookmarkEnd w:id="541"/>
      <w:bookmarkEnd w:id="54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43" w:name="_Toc11162683"/>
      <w:bookmarkStart w:id="544" w:name="_Toc11162200"/>
      <w:bookmarkStart w:id="545" w:name="_Toc11161196"/>
      <w:bookmarkStart w:id="546" w:name="_Toc11161495"/>
      <w:r>
        <w:rPr>
          <w:rFonts w:hint="eastAsia" w:ascii="宋体" w:hAnsi="宋体" w:eastAsia="宋体" w:cs="宋体"/>
          <w:color w:val="auto"/>
          <w:sz w:val="24"/>
          <w:szCs w:val="24"/>
          <w:highlight w:val="none"/>
          <w:lang w:val="en-US" w:eastAsia="zh-CN"/>
        </w:rPr>
        <w:t>（1）磋商小组将对确定为实质上响应竞争性磋商文件要求的竞争性磋商响应文件进行校核，看其是否有计算或表达上的错误，修正错误的原则如下：</w:t>
      </w:r>
      <w:bookmarkEnd w:id="543"/>
      <w:bookmarkEnd w:id="544"/>
      <w:bookmarkEnd w:id="545"/>
      <w:bookmarkEnd w:id="546"/>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47" w:name="_Toc11162201"/>
      <w:bookmarkStart w:id="548" w:name="_Toc11162684"/>
      <w:bookmarkStart w:id="549" w:name="_Toc11161496"/>
      <w:bookmarkStart w:id="550" w:name="_Toc11161197"/>
      <w:r>
        <w:rPr>
          <w:rFonts w:hint="eastAsia" w:ascii="宋体" w:hAnsi="宋体" w:eastAsia="宋体" w:cs="宋体"/>
          <w:color w:val="auto"/>
          <w:sz w:val="24"/>
          <w:szCs w:val="24"/>
          <w:highlight w:val="none"/>
          <w:lang w:val="en-US" w:eastAsia="zh-CN"/>
        </w:rPr>
        <w:t>当单价与数量的乘积与合价不一致时，以单价为准，除非磋商小组认为单价有明显的小数点错误，此时应以标出的合价为准，并修改单价。</w:t>
      </w:r>
      <w:bookmarkEnd w:id="547"/>
      <w:bookmarkEnd w:id="548"/>
      <w:bookmarkEnd w:id="549"/>
      <w:bookmarkEnd w:id="550"/>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51" w:name="_Toc11162202"/>
      <w:bookmarkStart w:id="552" w:name="_Toc11162685"/>
      <w:bookmarkStart w:id="553" w:name="_Toc11161198"/>
      <w:bookmarkStart w:id="554" w:name="_Toc11161497"/>
      <w:r>
        <w:rPr>
          <w:rFonts w:hint="eastAsia" w:ascii="宋体" w:hAnsi="宋体" w:eastAsia="宋体" w:cs="宋体"/>
          <w:color w:val="auto"/>
          <w:sz w:val="24"/>
          <w:szCs w:val="24"/>
          <w:highlight w:val="none"/>
          <w:lang w:val="en-US" w:eastAsia="zh-CN"/>
        </w:rPr>
        <w:t>（2）按上述修正错误的原则及方法调整或修正竞争性磋商响应文件的磋商报价，供应商同意后，调整后的磋商报价对供应商起约束作用。如果供应商不接受修正后的报价，则其磋商将被拒绝，并不影响评审工作。</w:t>
      </w:r>
      <w:bookmarkEnd w:id="551"/>
      <w:bookmarkEnd w:id="552"/>
      <w:bookmarkEnd w:id="553"/>
      <w:bookmarkEnd w:id="554"/>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55" w:name="_Toc11161498"/>
      <w:bookmarkStart w:id="556" w:name="_Toc11161199"/>
      <w:bookmarkStart w:id="557" w:name="_Toc11162203"/>
      <w:bookmarkStart w:id="558" w:name="_Toc11162686"/>
      <w:r>
        <w:rPr>
          <w:rFonts w:hint="eastAsia" w:ascii="宋体" w:hAnsi="宋体" w:eastAsia="宋体" w:cs="宋体"/>
          <w:color w:val="auto"/>
          <w:sz w:val="24"/>
          <w:szCs w:val="24"/>
          <w:highlight w:val="none"/>
          <w:lang w:val="en-US" w:eastAsia="zh-CN"/>
        </w:rPr>
        <w:t>6.3.5竞争性磋商响应文件的评审、比较和否决</w:t>
      </w:r>
      <w:bookmarkEnd w:id="555"/>
      <w:bookmarkEnd w:id="556"/>
      <w:bookmarkEnd w:id="557"/>
      <w:bookmarkEnd w:id="55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59" w:name="_Toc11162204"/>
      <w:bookmarkStart w:id="560" w:name="_Toc11161499"/>
      <w:bookmarkStart w:id="561" w:name="_Toc11162687"/>
      <w:bookmarkStart w:id="562" w:name="_Toc11161200"/>
      <w:r>
        <w:rPr>
          <w:rFonts w:hint="eastAsia" w:ascii="宋体" w:hAnsi="宋体" w:eastAsia="宋体" w:cs="宋体"/>
          <w:color w:val="auto"/>
          <w:sz w:val="24"/>
          <w:szCs w:val="24"/>
          <w:highlight w:val="none"/>
          <w:lang w:val="en-US" w:eastAsia="zh-CN"/>
        </w:rPr>
        <w:t>（1）磋商小组仅对在实质上响应竞争性磋商文件要求的竞争性磋商响应文件进行评估和比较。未响应竞争性磋商文件和合同条款的竞争性磋商响应文件，不得进行评审。</w:t>
      </w:r>
      <w:bookmarkEnd w:id="559"/>
      <w:bookmarkEnd w:id="560"/>
      <w:bookmarkEnd w:id="561"/>
      <w:bookmarkEnd w:id="56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63" w:name="_Toc11161500"/>
      <w:bookmarkStart w:id="564" w:name="_Toc11162688"/>
      <w:bookmarkStart w:id="565" w:name="_Toc11162205"/>
      <w:bookmarkStart w:id="566" w:name="_Toc11161201"/>
      <w:r>
        <w:rPr>
          <w:rFonts w:hint="eastAsia" w:ascii="宋体" w:hAnsi="宋体" w:eastAsia="宋体" w:cs="宋体"/>
          <w:color w:val="auto"/>
          <w:sz w:val="24"/>
          <w:szCs w:val="24"/>
          <w:highlight w:val="none"/>
          <w:lang w:val="en-US" w:eastAsia="zh-CN"/>
        </w:rPr>
        <w:t>（2）在评审过程中，磋商小组可以书面形式要求供应商就竞争性磋商响应文件中含义不明确的内容进行书面说明并提供相关材料。</w:t>
      </w:r>
      <w:bookmarkEnd w:id="563"/>
      <w:bookmarkEnd w:id="564"/>
      <w:bookmarkEnd w:id="565"/>
      <w:bookmarkEnd w:id="566"/>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67" w:name="_Toc11162206"/>
      <w:bookmarkStart w:id="568" w:name="_Toc11162689"/>
      <w:bookmarkStart w:id="569" w:name="_Toc11161202"/>
      <w:bookmarkStart w:id="570" w:name="_Toc11161501"/>
      <w:r>
        <w:rPr>
          <w:rFonts w:hint="eastAsia" w:ascii="宋体" w:hAnsi="宋体" w:eastAsia="宋体" w:cs="宋体"/>
          <w:color w:val="auto"/>
          <w:sz w:val="24"/>
          <w:szCs w:val="24"/>
          <w:highlight w:val="none"/>
          <w:lang w:val="en-US" w:eastAsia="zh-CN"/>
        </w:rPr>
        <w:t>（3）磋商小组依据本次评审标准和方法，对竞争性磋商响应文件进行评审，向采购人提出书面评审报告，并根据得分由高到低的顺序，推荐成交人候选人。</w:t>
      </w:r>
      <w:bookmarkEnd w:id="567"/>
      <w:bookmarkEnd w:id="568"/>
      <w:bookmarkEnd w:id="569"/>
      <w:bookmarkEnd w:id="570"/>
    </w:p>
    <w:p>
      <w:pPr>
        <w:pStyle w:val="40"/>
        <w:spacing w:line="360" w:lineRule="auto"/>
        <w:ind w:firstLine="482" w:firstLineChars="200"/>
        <w:jc w:val="both"/>
        <w:outlineLvl w:val="2"/>
        <w:rPr>
          <w:rFonts w:hint="eastAsia" w:ascii="宋体" w:hAnsi="宋体" w:eastAsia="宋体" w:cs="宋体"/>
          <w:b/>
          <w:bCs w:val="0"/>
          <w:color w:val="auto"/>
          <w:sz w:val="24"/>
          <w:szCs w:val="24"/>
          <w:highlight w:val="none"/>
        </w:rPr>
      </w:pPr>
      <w:bookmarkStart w:id="571" w:name="_Toc510859692"/>
      <w:bookmarkStart w:id="572" w:name="_Toc510859898"/>
      <w:bookmarkStart w:id="573" w:name="_Toc11156044"/>
      <w:bookmarkStart w:id="574" w:name="_Toc363119284"/>
      <w:bookmarkStart w:id="575" w:name="_Toc513557033"/>
      <w:bookmarkStart w:id="576" w:name="_Toc11162690"/>
      <w:bookmarkStart w:id="577" w:name="_Toc11161502"/>
      <w:bookmarkStart w:id="578" w:name="_Toc11161203"/>
      <w:bookmarkStart w:id="579" w:name="_Toc11162207"/>
      <w:r>
        <w:rPr>
          <w:rFonts w:hint="eastAsia" w:ascii="宋体" w:hAnsi="宋体" w:eastAsia="宋体" w:cs="宋体"/>
          <w:b/>
          <w:bCs w:val="0"/>
          <w:color w:val="auto"/>
          <w:sz w:val="24"/>
          <w:szCs w:val="24"/>
          <w:highlight w:val="none"/>
        </w:rPr>
        <w:t>7. 合同授予</w:t>
      </w:r>
      <w:bookmarkEnd w:id="523"/>
      <w:bookmarkEnd w:id="524"/>
      <w:bookmarkEnd w:id="525"/>
      <w:bookmarkEnd w:id="526"/>
      <w:bookmarkEnd w:id="571"/>
      <w:bookmarkEnd w:id="572"/>
      <w:bookmarkEnd w:id="573"/>
      <w:bookmarkEnd w:id="574"/>
      <w:bookmarkEnd w:id="575"/>
      <w:bookmarkEnd w:id="576"/>
      <w:bookmarkEnd w:id="577"/>
      <w:bookmarkEnd w:id="578"/>
      <w:bookmarkEnd w:id="579"/>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80" w:name="_Toc152045567"/>
      <w:bookmarkStart w:id="581" w:name="_Toc11162208"/>
      <w:bookmarkStart w:id="582" w:name="_Toc11161503"/>
      <w:bookmarkStart w:id="583" w:name="_Toc179632585"/>
      <w:bookmarkStart w:id="584" w:name="_Toc11162691"/>
      <w:bookmarkStart w:id="585" w:name="_Toc144974535"/>
      <w:bookmarkStart w:id="586" w:name="_Toc11161204"/>
      <w:bookmarkStart w:id="587" w:name="_Toc152042343"/>
      <w:r>
        <w:rPr>
          <w:rFonts w:hint="eastAsia" w:ascii="宋体" w:hAnsi="宋体" w:eastAsia="宋体" w:cs="宋体"/>
          <w:color w:val="auto"/>
          <w:sz w:val="24"/>
          <w:szCs w:val="24"/>
          <w:highlight w:val="none"/>
          <w:lang w:val="en-US" w:eastAsia="zh-CN"/>
        </w:rPr>
        <w:t>7.1 定标方式</w:t>
      </w:r>
      <w:bookmarkEnd w:id="580"/>
      <w:bookmarkEnd w:id="581"/>
      <w:bookmarkEnd w:id="582"/>
      <w:bookmarkEnd w:id="583"/>
      <w:bookmarkEnd w:id="584"/>
      <w:bookmarkEnd w:id="585"/>
      <w:bookmarkEnd w:id="586"/>
      <w:bookmarkEnd w:id="587"/>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88" w:name="_Toc11162209"/>
      <w:bookmarkStart w:id="589" w:name="_Toc11162692"/>
      <w:bookmarkStart w:id="590" w:name="_Toc11161205"/>
      <w:bookmarkStart w:id="591" w:name="_Toc11161504"/>
      <w:r>
        <w:rPr>
          <w:rFonts w:hint="eastAsia" w:ascii="宋体" w:hAnsi="宋体" w:eastAsia="宋体" w:cs="宋体"/>
          <w:color w:val="auto"/>
          <w:sz w:val="24"/>
          <w:szCs w:val="24"/>
          <w:highlight w:val="none"/>
          <w:lang w:val="en-US" w:eastAsia="zh-CN"/>
        </w:rPr>
        <w:t>除磋商须知前附表规定磋商小组直接确定成交人外，采购人依据磋商小组推荐的成交候选人确定成交人，磋商小组推荐成交候选人的人数见磋商须知前附表。</w:t>
      </w:r>
      <w:bookmarkEnd w:id="588"/>
      <w:bookmarkEnd w:id="589"/>
      <w:bookmarkEnd w:id="590"/>
      <w:bookmarkEnd w:id="591"/>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592" w:name="_Toc11162693"/>
      <w:bookmarkStart w:id="593" w:name="_Toc11162210"/>
      <w:bookmarkStart w:id="594" w:name="_Toc11161505"/>
      <w:bookmarkStart w:id="595" w:name="_Toc152045568"/>
      <w:bookmarkStart w:id="596" w:name="_Toc179632586"/>
      <w:bookmarkStart w:id="597" w:name="_Toc11161206"/>
      <w:bookmarkStart w:id="598" w:name="_Toc144974536"/>
      <w:bookmarkStart w:id="599" w:name="_Toc152042344"/>
      <w:r>
        <w:rPr>
          <w:rFonts w:hint="eastAsia" w:ascii="宋体" w:hAnsi="宋体" w:eastAsia="宋体" w:cs="宋体"/>
          <w:color w:val="auto"/>
          <w:sz w:val="24"/>
          <w:szCs w:val="24"/>
          <w:highlight w:val="none"/>
          <w:lang w:val="en-US" w:eastAsia="zh-CN"/>
        </w:rPr>
        <w:t>7.2 成交通知</w:t>
      </w:r>
      <w:bookmarkEnd w:id="592"/>
      <w:bookmarkEnd w:id="593"/>
      <w:bookmarkEnd w:id="594"/>
      <w:bookmarkEnd w:id="595"/>
      <w:bookmarkEnd w:id="596"/>
      <w:bookmarkEnd w:id="597"/>
      <w:bookmarkEnd w:id="598"/>
      <w:bookmarkEnd w:id="599"/>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00" w:name="_Toc11162694"/>
      <w:bookmarkStart w:id="601" w:name="_Toc11161506"/>
      <w:bookmarkStart w:id="602" w:name="_Toc11162211"/>
      <w:bookmarkStart w:id="603" w:name="_Toc11161207"/>
      <w:r>
        <w:rPr>
          <w:rFonts w:hint="eastAsia" w:ascii="宋体" w:hAnsi="宋体" w:eastAsia="宋体" w:cs="宋体"/>
          <w:color w:val="auto"/>
          <w:sz w:val="24"/>
          <w:szCs w:val="24"/>
          <w:highlight w:val="none"/>
          <w:lang w:val="en-US" w:eastAsia="zh-CN"/>
        </w:rPr>
        <w:t>7.2.1在本章规定的磋商有效期内，采购人将对成交候选人公示，公示期为1日。</w:t>
      </w:r>
      <w:bookmarkEnd w:id="600"/>
      <w:bookmarkEnd w:id="601"/>
      <w:bookmarkEnd w:id="602"/>
      <w:bookmarkEnd w:id="603"/>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04" w:name="_Toc11161507"/>
      <w:bookmarkStart w:id="605" w:name="_Toc11161208"/>
      <w:bookmarkStart w:id="606" w:name="_Toc11162695"/>
      <w:bookmarkStart w:id="607" w:name="_Toc11162212"/>
      <w:r>
        <w:rPr>
          <w:rFonts w:hint="eastAsia" w:ascii="宋体" w:hAnsi="宋体" w:eastAsia="宋体" w:cs="宋体"/>
          <w:color w:val="auto"/>
          <w:sz w:val="24"/>
          <w:szCs w:val="24"/>
          <w:highlight w:val="none"/>
          <w:lang w:val="en-US" w:eastAsia="zh-CN"/>
        </w:rPr>
        <w:t>7.2.2在公示期内，未接到供应商对评审结果提出异议或未接到采购行政监督部门通知采购人在招投标活动中有违法行为时，公示期满后，采购人将向第一成交候选人发出成交通知书，并向相关机构备案。</w:t>
      </w:r>
      <w:bookmarkEnd w:id="604"/>
      <w:bookmarkEnd w:id="605"/>
      <w:bookmarkEnd w:id="606"/>
      <w:bookmarkEnd w:id="607"/>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08" w:name="_Toc152042345"/>
      <w:bookmarkStart w:id="609" w:name="_Toc11161508"/>
      <w:bookmarkStart w:id="610" w:name="_Toc179632587"/>
      <w:bookmarkStart w:id="611" w:name="_Toc152045569"/>
      <w:bookmarkStart w:id="612" w:name="_Toc11162696"/>
      <w:bookmarkStart w:id="613" w:name="_Toc11161209"/>
      <w:bookmarkStart w:id="614" w:name="_Toc11162213"/>
      <w:bookmarkStart w:id="615" w:name="_Toc144974537"/>
      <w:r>
        <w:rPr>
          <w:rFonts w:hint="eastAsia" w:ascii="宋体" w:hAnsi="宋体" w:eastAsia="宋体" w:cs="宋体"/>
          <w:color w:val="auto"/>
          <w:sz w:val="24"/>
          <w:szCs w:val="24"/>
          <w:highlight w:val="none"/>
          <w:lang w:val="en-US" w:eastAsia="zh-CN"/>
        </w:rPr>
        <w:t>7.3 履约担保</w:t>
      </w:r>
      <w:bookmarkEnd w:id="608"/>
      <w:bookmarkEnd w:id="609"/>
      <w:bookmarkEnd w:id="610"/>
      <w:bookmarkEnd w:id="611"/>
      <w:bookmarkEnd w:id="612"/>
      <w:bookmarkEnd w:id="613"/>
      <w:bookmarkEnd w:id="614"/>
      <w:bookmarkEnd w:id="615"/>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16" w:name="_Toc11161210"/>
      <w:bookmarkStart w:id="617" w:name="_Toc11162697"/>
      <w:bookmarkStart w:id="618" w:name="_Toc11162214"/>
      <w:bookmarkStart w:id="619" w:name="_Toc11161509"/>
      <w:r>
        <w:rPr>
          <w:rFonts w:hint="eastAsia" w:ascii="宋体" w:hAnsi="宋体" w:eastAsia="宋体" w:cs="宋体"/>
          <w:color w:val="auto"/>
          <w:sz w:val="24"/>
          <w:szCs w:val="24"/>
          <w:highlight w:val="none"/>
          <w:lang w:val="en-US" w:eastAsia="zh-CN"/>
        </w:rPr>
        <w:t>7.3.1在签订合同前，成交人应按磋商须知前附表规定的金额、担保形式和竞争性磋商文件第四章“合同条款及格式”规定的履约担保格式向采购人提交履约担保。联合体中标的，其履约担保由牵头人递交，并应符合磋商须知前附表规定的金额、担保形式和竞争性磋商文件第四章“合同条款及格式”规定的履约担保格式要求。</w:t>
      </w:r>
      <w:bookmarkEnd w:id="616"/>
      <w:bookmarkEnd w:id="617"/>
      <w:bookmarkEnd w:id="618"/>
      <w:bookmarkEnd w:id="619"/>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20" w:name="_Toc11162215"/>
      <w:bookmarkStart w:id="621" w:name="_Toc11161510"/>
      <w:bookmarkStart w:id="622" w:name="_Toc11161211"/>
      <w:bookmarkStart w:id="623" w:name="_Toc11162698"/>
      <w:r>
        <w:rPr>
          <w:rFonts w:hint="eastAsia" w:ascii="宋体" w:hAnsi="宋体" w:eastAsia="宋体" w:cs="宋体"/>
          <w:color w:val="auto"/>
          <w:sz w:val="24"/>
          <w:szCs w:val="24"/>
          <w:highlight w:val="none"/>
          <w:lang w:val="en-US" w:eastAsia="zh-CN"/>
        </w:rPr>
        <w:t>7.3.2 成交人不能按本章第7.3.1项要求提交履约担保的，视为放弃成交，其磋商保证金不予退还，给采购人造成的损失超过磋商保证金数额的，成交人还应当对超过部分予以赔偿。</w:t>
      </w:r>
      <w:bookmarkEnd w:id="620"/>
      <w:bookmarkEnd w:id="621"/>
      <w:bookmarkEnd w:id="622"/>
      <w:bookmarkEnd w:id="623"/>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24" w:name="_Toc11161511"/>
      <w:bookmarkStart w:id="625" w:name="_Toc11162699"/>
      <w:bookmarkStart w:id="626" w:name="_Toc11161212"/>
      <w:bookmarkStart w:id="627" w:name="_Toc11162216"/>
      <w:r>
        <w:rPr>
          <w:rFonts w:hint="eastAsia" w:ascii="宋体" w:hAnsi="宋体" w:eastAsia="宋体" w:cs="宋体"/>
          <w:color w:val="auto"/>
          <w:sz w:val="24"/>
          <w:szCs w:val="24"/>
          <w:highlight w:val="none"/>
          <w:lang w:val="en-US" w:eastAsia="zh-CN"/>
        </w:rPr>
        <w:t>7.4支付担保</w:t>
      </w:r>
      <w:bookmarkEnd w:id="624"/>
      <w:bookmarkEnd w:id="625"/>
      <w:bookmarkEnd w:id="626"/>
      <w:bookmarkEnd w:id="627"/>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28" w:name="_Toc11162700"/>
      <w:bookmarkStart w:id="629" w:name="_Toc11161512"/>
      <w:bookmarkStart w:id="630" w:name="_Toc11162217"/>
      <w:bookmarkStart w:id="631" w:name="_Toc11161213"/>
      <w:r>
        <w:rPr>
          <w:rFonts w:hint="eastAsia" w:ascii="宋体" w:hAnsi="宋体" w:eastAsia="宋体" w:cs="宋体"/>
          <w:color w:val="auto"/>
          <w:sz w:val="24"/>
          <w:szCs w:val="24"/>
          <w:highlight w:val="none"/>
          <w:lang w:val="en-US" w:eastAsia="zh-CN"/>
        </w:rPr>
        <w:t>采购人按前附表规定的金额及担保形式向成交人提交支付担保。</w:t>
      </w:r>
      <w:bookmarkEnd w:id="628"/>
      <w:bookmarkEnd w:id="629"/>
      <w:bookmarkEnd w:id="630"/>
      <w:bookmarkEnd w:id="631"/>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32" w:name="_Toc11161513"/>
      <w:bookmarkStart w:id="633" w:name="_Toc11162701"/>
      <w:bookmarkStart w:id="634" w:name="_Toc11161214"/>
      <w:bookmarkStart w:id="635" w:name="_Toc144974538"/>
      <w:bookmarkStart w:id="636" w:name="_Toc179632588"/>
      <w:bookmarkStart w:id="637" w:name="_Toc152042346"/>
      <w:bookmarkStart w:id="638" w:name="_Toc152045570"/>
      <w:bookmarkStart w:id="639" w:name="_Toc11162218"/>
      <w:r>
        <w:rPr>
          <w:rFonts w:hint="eastAsia" w:ascii="宋体" w:hAnsi="宋体" w:eastAsia="宋体" w:cs="宋体"/>
          <w:color w:val="auto"/>
          <w:sz w:val="24"/>
          <w:szCs w:val="24"/>
          <w:highlight w:val="none"/>
          <w:lang w:val="en-US" w:eastAsia="zh-CN"/>
        </w:rPr>
        <w:t>7.5签订合同</w:t>
      </w:r>
      <w:bookmarkEnd w:id="632"/>
      <w:bookmarkEnd w:id="633"/>
      <w:bookmarkEnd w:id="634"/>
      <w:bookmarkEnd w:id="635"/>
      <w:bookmarkEnd w:id="636"/>
      <w:bookmarkEnd w:id="637"/>
      <w:bookmarkEnd w:id="638"/>
      <w:bookmarkEnd w:id="639"/>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40" w:name="_Toc11161215"/>
      <w:bookmarkStart w:id="641" w:name="_Toc11162219"/>
      <w:bookmarkStart w:id="642" w:name="_Toc11162702"/>
      <w:bookmarkStart w:id="643" w:name="_Toc11161514"/>
      <w:r>
        <w:rPr>
          <w:rFonts w:hint="eastAsia" w:ascii="宋体" w:hAnsi="宋体" w:eastAsia="宋体" w:cs="宋体"/>
          <w:color w:val="auto"/>
          <w:sz w:val="24"/>
          <w:szCs w:val="24"/>
          <w:highlight w:val="none"/>
          <w:lang w:val="en-US" w:eastAsia="zh-CN"/>
        </w:rPr>
        <w:t>7.5.1采购人和成交人应当自成交通知书发出之日起30日内，根据竞争性磋商文件和成交人的竞争性磋商响应文件订立书面合同。成交人无正当理由拒签合同的，采购人取消其成交资格，其磋商保证金不予退还；给采购人造成的损失超过磋商保证金数额的，成交人还应当对超过部分予以赔偿。</w:t>
      </w:r>
      <w:bookmarkEnd w:id="640"/>
      <w:bookmarkEnd w:id="641"/>
      <w:bookmarkEnd w:id="642"/>
      <w:bookmarkEnd w:id="643"/>
      <w:r>
        <w:rPr>
          <w:rFonts w:hint="eastAsia" w:ascii="宋体" w:hAnsi="宋体" w:eastAsia="宋体" w:cs="宋体"/>
          <w:color w:val="auto"/>
          <w:sz w:val="24"/>
          <w:szCs w:val="24"/>
          <w:highlight w:val="none"/>
          <w:lang w:val="en-US" w:eastAsia="zh-CN"/>
        </w:rPr>
        <w:t xml:space="preserve"> </w:t>
      </w:r>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44" w:name="_Toc11161216"/>
      <w:bookmarkStart w:id="645" w:name="_Toc11161515"/>
      <w:bookmarkStart w:id="646" w:name="_Toc11162703"/>
      <w:bookmarkStart w:id="647" w:name="_Toc11162220"/>
      <w:r>
        <w:rPr>
          <w:rFonts w:hint="eastAsia" w:ascii="宋体" w:hAnsi="宋体" w:eastAsia="宋体" w:cs="宋体"/>
          <w:color w:val="auto"/>
          <w:sz w:val="24"/>
          <w:szCs w:val="24"/>
          <w:highlight w:val="none"/>
          <w:lang w:val="en-US" w:eastAsia="zh-CN"/>
        </w:rPr>
        <w:t>7.5.2 发出成交通知书后，采购人无正当理由拒签合同的，采购人向成交人退还磋商保证金；给成交人造成损失的，还应当赔偿损失。</w:t>
      </w:r>
      <w:bookmarkEnd w:id="644"/>
      <w:bookmarkEnd w:id="645"/>
      <w:bookmarkEnd w:id="646"/>
      <w:bookmarkEnd w:id="647"/>
      <w:r>
        <w:rPr>
          <w:rFonts w:hint="eastAsia" w:ascii="宋体" w:hAnsi="宋体" w:eastAsia="宋体" w:cs="宋体"/>
          <w:color w:val="auto"/>
          <w:sz w:val="24"/>
          <w:szCs w:val="24"/>
          <w:highlight w:val="none"/>
          <w:lang w:val="en-US" w:eastAsia="zh-CN"/>
        </w:rPr>
        <w:t xml:space="preserve"> </w:t>
      </w:r>
    </w:p>
    <w:p>
      <w:pPr>
        <w:pStyle w:val="40"/>
        <w:spacing w:line="360" w:lineRule="auto"/>
        <w:ind w:firstLine="482" w:firstLineChars="200"/>
        <w:jc w:val="both"/>
        <w:outlineLvl w:val="2"/>
        <w:rPr>
          <w:rFonts w:hint="eastAsia" w:ascii="宋体" w:hAnsi="宋体" w:eastAsia="宋体" w:cs="宋体"/>
          <w:b/>
          <w:color w:val="auto"/>
          <w:sz w:val="24"/>
          <w:szCs w:val="24"/>
          <w:highlight w:val="none"/>
        </w:rPr>
      </w:pPr>
      <w:bookmarkStart w:id="648" w:name="_Toc11161516"/>
      <w:bookmarkStart w:id="649" w:name="_Toc11161217"/>
      <w:bookmarkStart w:id="650" w:name="_Toc11156045"/>
      <w:bookmarkStart w:id="651" w:name="_Toc11162221"/>
      <w:bookmarkStart w:id="652" w:name="_Toc144974539"/>
      <w:bookmarkStart w:id="653" w:name="_Toc152042347"/>
      <w:bookmarkStart w:id="654" w:name="_Toc363119285"/>
      <w:bookmarkStart w:id="655" w:name="_Toc152045571"/>
      <w:bookmarkStart w:id="656" w:name="_Toc11162704"/>
      <w:bookmarkStart w:id="657" w:name="_Toc513557034"/>
      <w:bookmarkStart w:id="658" w:name="_Toc510859693"/>
      <w:bookmarkStart w:id="659" w:name="_Toc510859899"/>
      <w:bookmarkStart w:id="660" w:name="_Toc179632589"/>
      <w:r>
        <w:rPr>
          <w:rFonts w:hint="eastAsia" w:ascii="宋体" w:hAnsi="宋体" w:eastAsia="宋体" w:cs="宋体"/>
          <w:b/>
          <w:color w:val="auto"/>
          <w:sz w:val="24"/>
          <w:szCs w:val="24"/>
          <w:highlight w:val="none"/>
        </w:rPr>
        <w:t>8. 重新组织采购和不再组织采购</w:t>
      </w:r>
      <w:bookmarkEnd w:id="648"/>
      <w:bookmarkEnd w:id="649"/>
      <w:bookmarkEnd w:id="650"/>
      <w:bookmarkEnd w:id="651"/>
      <w:bookmarkEnd w:id="652"/>
      <w:bookmarkEnd w:id="653"/>
      <w:bookmarkEnd w:id="654"/>
      <w:bookmarkEnd w:id="655"/>
      <w:bookmarkEnd w:id="656"/>
      <w:bookmarkEnd w:id="657"/>
      <w:bookmarkEnd w:id="658"/>
      <w:bookmarkEnd w:id="659"/>
      <w:bookmarkEnd w:id="660"/>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61" w:name="_Toc11162222"/>
      <w:bookmarkStart w:id="662" w:name="_Toc144974540"/>
      <w:bookmarkStart w:id="663" w:name="_Toc11162705"/>
      <w:bookmarkStart w:id="664" w:name="_Toc152042348"/>
      <w:bookmarkStart w:id="665" w:name="_Toc11161218"/>
      <w:bookmarkStart w:id="666" w:name="_Toc179632590"/>
      <w:bookmarkStart w:id="667" w:name="_Toc11161517"/>
      <w:bookmarkStart w:id="668" w:name="_Toc152045572"/>
      <w:r>
        <w:rPr>
          <w:rFonts w:hint="eastAsia" w:ascii="宋体" w:hAnsi="宋体" w:eastAsia="宋体" w:cs="宋体"/>
          <w:color w:val="auto"/>
          <w:sz w:val="24"/>
          <w:szCs w:val="24"/>
          <w:highlight w:val="none"/>
          <w:lang w:val="en-US" w:eastAsia="zh-CN"/>
        </w:rPr>
        <w:t>8.1 重新组织采购</w:t>
      </w:r>
      <w:bookmarkEnd w:id="661"/>
      <w:bookmarkEnd w:id="662"/>
      <w:bookmarkEnd w:id="663"/>
      <w:bookmarkEnd w:id="664"/>
      <w:bookmarkEnd w:id="665"/>
      <w:bookmarkEnd w:id="666"/>
      <w:bookmarkEnd w:id="667"/>
      <w:bookmarkEnd w:id="66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69" w:name="_Toc11161219"/>
      <w:bookmarkStart w:id="670" w:name="_Toc11162223"/>
      <w:bookmarkStart w:id="671" w:name="_Toc11162706"/>
      <w:bookmarkStart w:id="672" w:name="_Toc11161518"/>
      <w:r>
        <w:rPr>
          <w:rFonts w:hint="eastAsia" w:ascii="宋体" w:hAnsi="宋体" w:eastAsia="宋体" w:cs="宋体"/>
          <w:color w:val="auto"/>
          <w:sz w:val="24"/>
          <w:szCs w:val="24"/>
          <w:highlight w:val="none"/>
          <w:lang w:val="en-US" w:eastAsia="zh-CN"/>
        </w:rPr>
        <w:t>有下列情形之一的，采购人将重新组织采购：</w:t>
      </w:r>
      <w:bookmarkEnd w:id="669"/>
      <w:bookmarkEnd w:id="670"/>
      <w:bookmarkEnd w:id="671"/>
      <w:bookmarkEnd w:id="67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73" w:name="_Toc11162707"/>
      <w:bookmarkStart w:id="674" w:name="_Toc11161519"/>
      <w:bookmarkStart w:id="675" w:name="_Toc11162224"/>
      <w:bookmarkStart w:id="676" w:name="_Toc11161220"/>
      <w:r>
        <w:rPr>
          <w:rFonts w:hint="eastAsia" w:ascii="宋体" w:hAnsi="宋体" w:eastAsia="宋体" w:cs="宋体"/>
          <w:color w:val="auto"/>
          <w:sz w:val="24"/>
          <w:szCs w:val="24"/>
          <w:highlight w:val="none"/>
          <w:lang w:val="en-US" w:eastAsia="zh-CN"/>
        </w:rPr>
        <w:t>（1）通过资格预审或审查的供应商少于3个的；</w:t>
      </w:r>
      <w:bookmarkEnd w:id="673"/>
      <w:bookmarkEnd w:id="674"/>
      <w:bookmarkEnd w:id="675"/>
      <w:bookmarkEnd w:id="676"/>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77" w:name="_Toc11162708"/>
      <w:bookmarkStart w:id="678" w:name="_Toc11161221"/>
      <w:bookmarkStart w:id="679" w:name="_Toc11162225"/>
      <w:bookmarkStart w:id="680" w:name="_Toc11161520"/>
      <w:r>
        <w:rPr>
          <w:rFonts w:hint="eastAsia" w:ascii="宋体" w:hAnsi="宋体" w:eastAsia="宋体" w:cs="宋体"/>
          <w:color w:val="auto"/>
          <w:sz w:val="24"/>
          <w:szCs w:val="24"/>
          <w:highlight w:val="none"/>
          <w:lang w:val="en-US" w:eastAsia="zh-CN"/>
        </w:rPr>
        <w:t>（2）磋商截止时间止，供应商少于3个的；</w:t>
      </w:r>
      <w:bookmarkEnd w:id="677"/>
      <w:bookmarkEnd w:id="678"/>
      <w:bookmarkEnd w:id="679"/>
      <w:bookmarkEnd w:id="680"/>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81" w:name="_Toc11161222"/>
      <w:bookmarkStart w:id="682" w:name="_Toc11162226"/>
      <w:bookmarkStart w:id="683" w:name="_Toc11162709"/>
      <w:bookmarkStart w:id="684" w:name="_Toc11161521"/>
      <w:r>
        <w:rPr>
          <w:rFonts w:hint="eastAsia" w:ascii="宋体" w:hAnsi="宋体" w:eastAsia="宋体" w:cs="宋体"/>
          <w:color w:val="auto"/>
          <w:sz w:val="24"/>
          <w:szCs w:val="24"/>
          <w:highlight w:val="none"/>
          <w:lang w:val="en-US" w:eastAsia="zh-CN"/>
        </w:rPr>
        <w:t>（3）经磋商小组评审后否决所有投标的。</w:t>
      </w:r>
      <w:bookmarkEnd w:id="681"/>
      <w:bookmarkEnd w:id="682"/>
      <w:bookmarkEnd w:id="683"/>
      <w:bookmarkEnd w:id="684"/>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85" w:name="_Toc152045573"/>
      <w:bookmarkStart w:id="686" w:name="_Toc11161522"/>
      <w:bookmarkStart w:id="687" w:name="_Toc152042349"/>
      <w:bookmarkStart w:id="688" w:name="_Toc179632591"/>
      <w:bookmarkStart w:id="689" w:name="_Toc11162710"/>
      <w:bookmarkStart w:id="690" w:name="_Toc144974541"/>
      <w:bookmarkStart w:id="691" w:name="_Toc11161223"/>
      <w:bookmarkStart w:id="692" w:name="_Toc11162227"/>
      <w:r>
        <w:rPr>
          <w:rFonts w:hint="eastAsia" w:ascii="宋体" w:hAnsi="宋体" w:eastAsia="宋体" w:cs="宋体"/>
          <w:color w:val="auto"/>
          <w:sz w:val="24"/>
          <w:szCs w:val="24"/>
          <w:highlight w:val="none"/>
          <w:lang w:val="en-US" w:eastAsia="zh-CN"/>
        </w:rPr>
        <w:t>8.2 不再组织采购</w:t>
      </w:r>
      <w:bookmarkEnd w:id="685"/>
      <w:bookmarkEnd w:id="686"/>
      <w:bookmarkEnd w:id="687"/>
      <w:bookmarkEnd w:id="688"/>
      <w:bookmarkEnd w:id="689"/>
      <w:bookmarkEnd w:id="690"/>
      <w:bookmarkEnd w:id="691"/>
      <w:bookmarkEnd w:id="69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693" w:name="_Toc11162228"/>
      <w:bookmarkStart w:id="694" w:name="_Toc11162711"/>
      <w:bookmarkStart w:id="695" w:name="_Toc11161224"/>
      <w:bookmarkStart w:id="696" w:name="_Toc11161523"/>
      <w:r>
        <w:rPr>
          <w:rFonts w:hint="eastAsia" w:ascii="宋体" w:hAnsi="宋体" w:eastAsia="宋体" w:cs="宋体"/>
          <w:color w:val="auto"/>
          <w:sz w:val="24"/>
          <w:szCs w:val="24"/>
          <w:highlight w:val="none"/>
          <w:lang w:val="en-US" w:eastAsia="zh-CN"/>
        </w:rPr>
        <w:t>重新组织采购再次失败的，属于必须审批或核准的工程建设项目，经原审批或核准部门批准后不再进行采购。</w:t>
      </w:r>
      <w:bookmarkEnd w:id="693"/>
      <w:bookmarkEnd w:id="694"/>
      <w:bookmarkEnd w:id="695"/>
      <w:bookmarkEnd w:id="696"/>
    </w:p>
    <w:p>
      <w:pPr>
        <w:pStyle w:val="40"/>
        <w:spacing w:line="360" w:lineRule="auto"/>
        <w:ind w:firstLine="482" w:firstLineChars="200"/>
        <w:jc w:val="both"/>
        <w:outlineLvl w:val="2"/>
        <w:rPr>
          <w:rFonts w:hint="eastAsia" w:ascii="宋体" w:hAnsi="宋体" w:eastAsia="宋体" w:cs="宋体"/>
          <w:b/>
          <w:color w:val="auto"/>
          <w:sz w:val="24"/>
          <w:szCs w:val="24"/>
          <w:highlight w:val="none"/>
        </w:rPr>
      </w:pPr>
      <w:bookmarkStart w:id="697" w:name="_Toc363119286"/>
      <w:bookmarkStart w:id="698" w:name="_Toc11162712"/>
      <w:bookmarkStart w:id="699" w:name="_Toc152042350"/>
      <w:bookmarkStart w:id="700" w:name="_Toc152045574"/>
      <w:bookmarkStart w:id="701" w:name="_Toc11162229"/>
      <w:bookmarkStart w:id="702" w:name="_Toc11161524"/>
      <w:bookmarkStart w:id="703" w:name="_Toc11156046"/>
      <w:bookmarkStart w:id="704" w:name="_Toc510859900"/>
      <w:bookmarkStart w:id="705" w:name="_Toc510859694"/>
      <w:bookmarkStart w:id="706" w:name="_Toc513557035"/>
      <w:bookmarkStart w:id="707" w:name="_Toc144974542"/>
      <w:bookmarkStart w:id="708" w:name="_Toc179632592"/>
      <w:bookmarkStart w:id="709" w:name="_Toc11161225"/>
      <w:r>
        <w:rPr>
          <w:rFonts w:hint="eastAsia" w:ascii="宋体" w:hAnsi="宋体" w:eastAsia="宋体" w:cs="宋体"/>
          <w:b/>
          <w:color w:val="auto"/>
          <w:sz w:val="24"/>
          <w:szCs w:val="24"/>
          <w:highlight w:val="none"/>
        </w:rPr>
        <w:t>9. 纪律和监督</w:t>
      </w:r>
      <w:bookmarkEnd w:id="697"/>
      <w:bookmarkEnd w:id="698"/>
      <w:bookmarkEnd w:id="699"/>
      <w:bookmarkEnd w:id="700"/>
      <w:bookmarkEnd w:id="701"/>
      <w:bookmarkEnd w:id="702"/>
      <w:bookmarkEnd w:id="703"/>
      <w:bookmarkEnd w:id="704"/>
      <w:bookmarkEnd w:id="705"/>
      <w:bookmarkEnd w:id="706"/>
      <w:bookmarkEnd w:id="707"/>
      <w:bookmarkEnd w:id="708"/>
      <w:bookmarkEnd w:id="709"/>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710" w:name="_Toc11162230"/>
      <w:bookmarkStart w:id="711" w:name="_Toc152045575"/>
      <w:bookmarkStart w:id="712" w:name="_Toc11162713"/>
      <w:bookmarkStart w:id="713" w:name="_Toc11161226"/>
      <w:bookmarkStart w:id="714" w:name="_Toc11161525"/>
      <w:bookmarkStart w:id="715" w:name="_Toc144974543"/>
      <w:bookmarkStart w:id="716" w:name="_Toc152042351"/>
      <w:bookmarkStart w:id="717" w:name="_Toc179632593"/>
      <w:r>
        <w:rPr>
          <w:rFonts w:hint="eastAsia" w:ascii="宋体" w:hAnsi="宋体" w:eastAsia="宋体" w:cs="宋体"/>
          <w:color w:val="auto"/>
          <w:sz w:val="24"/>
          <w:szCs w:val="24"/>
          <w:highlight w:val="none"/>
          <w:lang w:val="en-US" w:eastAsia="zh-CN"/>
        </w:rPr>
        <w:t>9.1 对采购人的纪律要求</w:t>
      </w:r>
      <w:bookmarkEnd w:id="710"/>
      <w:bookmarkEnd w:id="711"/>
      <w:bookmarkEnd w:id="712"/>
      <w:bookmarkEnd w:id="713"/>
      <w:bookmarkEnd w:id="714"/>
      <w:bookmarkEnd w:id="715"/>
      <w:bookmarkEnd w:id="716"/>
      <w:bookmarkEnd w:id="717"/>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718" w:name="_Toc11161526"/>
      <w:bookmarkStart w:id="719" w:name="_Toc11162714"/>
      <w:bookmarkStart w:id="720" w:name="_Toc11161227"/>
      <w:bookmarkStart w:id="721" w:name="_Toc11162231"/>
      <w:r>
        <w:rPr>
          <w:rFonts w:hint="eastAsia" w:ascii="宋体" w:hAnsi="宋体" w:eastAsia="宋体" w:cs="宋体"/>
          <w:color w:val="auto"/>
          <w:sz w:val="24"/>
          <w:szCs w:val="24"/>
          <w:highlight w:val="none"/>
          <w:lang w:val="en-US" w:eastAsia="zh-CN"/>
        </w:rPr>
        <w:t>采购人不得泄漏采购投标活动中应当保密的情况和资料，不得与供应商串通损害国家利益、社会公共利益或者他人合法权益。</w:t>
      </w:r>
      <w:bookmarkEnd w:id="718"/>
      <w:bookmarkEnd w:id="719"/>
      <w:bookmarkEnd w:id="720"/>
      <w:bookmarkEnd w:id="721"/>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722" w:name="_Toc144974544"/>
      <w:bookmarkStart w:id="723" w:name="_Toc179632594"/>
      <w:bookmarkStart w:id="724" w:name="_Toc152042352"/>
      <w:bookmarkStart w:id="725" w:name="_Toc11162715"/>
      <w:bookmarkStart w:id="726" w:name="_Toc152045576"/>
      <w:bookmarkStart w:id="727" w:name="_Toc11161228"/>
      <w:bookmarkStart w:id="728" w:name="_Toc11162232"/>
      <w:bookmarkStart w:id="729" w:name="_Toc11161527"/>
      <w:r>
        <w:rPr>
          <w:rFonts w:hint="eastAsia" w:ascii="宋体" w:hAnsi="宋体" w:eastAsia="宋体" w:cs="宋体"/>
          <w:color w:val="auto"/>
          <w:sz w:val="24"/>
          <w:szCs w:val="24"/>
          <w:highlight w:val="none"/>
          <w:lang w:val="en-US" w:eastAsia="zh-CN"/>
        </w:rPr>
        <w:t>9.2 对供应商的纪律要求</w:t>
      </w:r>
      <w:bookmarkEnd w:id="722"/>
      <w:bookmarkEnd w:id="723"/>
      <w:bookmarkEnd w:id="724"/>
      <w:bookmarkEnd w:id="725"/>
      <w:bookmarkEnd w:id="726"/>
      <w:bookmarkEnd w:id="727"/>
      <w:bookmarkEnd w:id="728"/>
      <w:bookmarkEnd w:id="729"/>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730" w:name="_Toc11161528"/>
      <w:bookmarkStart w:id="731" w:name="_Toc11161229"/>
      <w:bookmarkStart w:id="732" w:name="_Toc11162716"/>
      <w:bookmarkStart w:id="733" w:name="_Toc11162233"/>
      <w:r>
        <w:rPr>
          <w:rFonts w:hint="eastAsia" w:ascii="宋体" w:hAnsi="宋体" w:eastAsia="宋体" w:cs="宋体"/>
          <w:color w:val="auto"/>
          <w:sz w:val="24"/>
          <w:szCs w:val="24"/>
          <w:highlight w:val="none"/>
          <w:lang w:val="en-US" w:eastAsia="zh-CN"/>
        </w:rPr>
        <w:t>供应商不得相互串通磋商或者与采购人串通磋商，不得向采购人或者磋商小组成员行贿谋取成交，不得以他人名义磋商或者以其他方式弄虚作假骗取成交；供应商不得以任何方式干扰、影响评审工作。</w:t>
      </w:r>
      <w:bookmarkEnd w:id="730"/>
      <w:bookmarkEnd w:id="731"/>
      <w:bookmarkEnd w:id="732"/>
      <w:bookmarkEnd w:id="733"/>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734" w:name="_Toc11161230"/>
      <w:bookmarkStart w:id="735" w:name="_Toc152045577"/>
      <w:bookmarkStart w:id="736" w:name="_Toc152042353"/>
      <w:bookmarkStart w:id="737" w:name="_Toc11162717"/>
      <w:bookmarkStart w:id="738" w:name="_Toc11161529"/>
      <w:bookmarkStart w:id="739" w:name="_Toc144974545"/>
      <w:bookmarkStart w:id="740" w:name="_Toc11162234"/>
      <w:bookmarkStart w:id="741" w:name="_Toc179632595"/>
      <w:r>
        <w:rPr>
          <w:rFonts w:hint="eastAsia" w:ascii="宋体" w:hAnsi="宋体" w:eastAsia="宋体" w:cs="宋体"/>
          <w:color w:val="auto"/>
          <w:sz w:val="24"/>
          <w:szCs w:val="24"/>
          <w:highlight w:val="none"/>
          <w:lang w:val="en-US" w:eastAsia="zh-CN"/>
        </w:rPr>
        <w:t>9.3 对磋商小组成员的纪律要求</w:t>
      </w:r>
      <w:bookmarkEnd w:id="734"/>
      <w:bookmarkEnd w:id="735"/>
      <w:bookmarkEnd w:id="736"/>
      <w:bookmarkEnd w:id="737"/>
      <w:bookmarkEnd w:id="738"/>
      <w:bookmarkEnd w:id="739"/>
      <w:bookmarkEnd w:id="740"/>
      <w:bookmarkEnd w:id="741"/>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742" w:name="_Toc11161530"/>
      <w:bookmarkStart w:id="743" w:name="_Toc11162718"/>
      <w:bookmarkStart w:id="744" w:name="_Toc11162235"/>
      <w:bookmarkStart w:id="745" w:name="_Toc11161231"/>
      <w:r>
        <w:rPr>
          <w:rFonts w:hint="eastAsia" w:ascii="宋体" w:hAnsi="宋体" w:eastAsia="宋体" w:cs="宋体"/>
          <w:color w:val="auto"/>
          <w:sz w:val="24"/>
          <w:szCs w:val="24"/>
          <w:highlight w:val="none"/>
          <w:lang w:val="en-US" w:eastAsia="zh-CN"/>
        </w:rPr>
        <w:t>磋商小组成员不得收受他人的财物或者其他好处，不得向他人透漏对竞争性磋商响应文件的评审和比较、成交人候选人的推荐情况以及评审有关的其他情况。在评审活动中，磋商小组成员不得擅离职守，影响评审程序正常进行，不得使用第三章“评审办法”没有规定的评审因素和标准进行评审。</w:t>
      </w:r>
      <w:bookmarkEnd w:id="742"/>
      <w:bookmarkEnd w:id="743"/>
      <w:bookmarkEnd w:id="744"/>
      <w:bookmarkEnd w:id="745"/>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746" w:name="_Toc152042354"/>
      <w:bookmarkStart w:id="747" w:name="_Toc179632596"/>
      <w:bookmarkStart w:id="748" w:name="_Toc11161531"/>
      <w:bookmarkStart w:id="749" w:name="_Toc11161232"/>
      <w:bookmarkStart w:id="750" w:name="_Toc11162719"/>
      <w:bookmarkStart w:id="751" w:name="_Toc152045578"/>
      <w:bookmarkStart w:id="752" w:name="_Toc11162236"/>
      <w:bookmarkStart w:id="753" w:name="_Toc144974546"/>
      <w:r>
        <w:rPr>
          <w:rFonts w:hint="eastAsia" w:ascii="宋体" w:hAnsi="宋体" w:eastAsia="宋体" w:cs="宋体"/>
          <w:color w:val="auto"/>
          <w:sz w:val="24"/>
          <w:szCs w:val="24"/>
          <w:highlight w:val="none"/>
          <w:lang w:val="en-US" w:eastAsia="zh-CN"/>
        </w:rPr>
        <w:t>9.4 对与评审活动有关的工作人员的纪律要求</w:t>
      </w:r>
      <w:bookmarkEnd w:id="746"/>
      <w:bookmarkEnd w:id="747"/>
      <w:bookmarkEnd w:id="748"/>
      <w:bookmarkEnd w:id="749"/>
      <w:bookmarkEnd w:id="750"/>
      <w:bookmarkEnd w:id="751"/>
      <w:bookmarkEnd w:id="752"/>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754" w:name="_Toc11161233"/>
      <w:bookmarkStart w:id="755" w:name="_Toc11161532"/>
      <w:bookmarkStart w:id="756" w:name="_Toc152042355"/>
      <w:bookmarkStart w:id="757" w:name="_Toc11162237"/>
      <w:bookmarkStart w:id="758" w:name="_Toc11162720"/>
      <w:r>
        <w:rPr>
          <w:rFonts w:hint="eastAsia" w:ascii="宋体" w:hAnsi="宋体" w:eastAsia="宋体" w:cs="宋体"/>
          <w:color w:val="auto"/>
          <w:sz w:val="24"/>
          <w:szCs w:val="24"/>
          <w:highlight w:val="none"/>
          <w:lang w:val="en-US" w:eastAsia="zh-CN"/>
        </w:rPr>
        <w:t>与评审活动有关的工作人员不得收受他人的财物或者其他好处，不得向他人透漏对竞争性磋商响应文件的评审和比较、成交人候选人的推荐情况以及评审有关的其他情况。在评审活动中，与评审活动有关的工作人员不得擅离职守，影响评审程序正常进行。</w:t>
      </w:r>
      <w:bookmarkEnd w:id="754"/>
      <w:bookmarkEnd w:id="755"/>
      <w:bookmarkEnd w:id="756"/>
      <w:bookmarkEnd w:id="757"/>
      <w:bookmarkEnd w:id="75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759" w:name="_Toc11162721"/>
      <w:bookmarkStart w:id="760" w:name="_Toc152042356"/>
      <w:bookmarkStart w:id="761" w:name="_Toc152045579"/>
      <w:bookmarkStart w:id="762" w:name="_Toc11162238"/>
      <w:bookmarkStart w:id="763" w:name="_Toc11161533"/>
      <w:bookmarkStart w:id="764" w:name="_Toc11161234"/>
      <w:bookmarkStart w:id="765" w:name="_Toc179632597"/>
      <w:r>
        <w:rPr>
          <w:rFonts w:hint="eastAsia" w:ascii="宋体" w:hAnsi="宋体" w:eastAsia="宋体" w:cs="宋体"/>
          <w:color w:val="auto"/>
          <w:sz w:val="24"/>
          <w:szCs w:val="24"/>
          <w:highlight w:val="none"/>
          <w:lang w:val="en-US" w:eastAsia="zh-CN"/>
        </w:rPr>
        <w:t>9.5 投诉</w:t>
      </w:r>
      <w:bookmarkEnd w:id="753"/>
      <w:bookmarkEnd w:id="759"/>
      <w:bookmarkEnd w:id="760"/>
      <w:bookmarkEnd w:id="761"/>
      <w:bookmarkEnd w:id="762"/>
      <w:bookmarkEnd w:id="763"/>
      <w:bookmarkEnd w:id="764"/>
      <w:bookmarkEnd w:id="765"/>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bookmarkStart w:id="766" w:name="_Toc11161534"/>
      <w:bookmarkStart w:id="767" w:name="_Toc11162722"/>
      <w:bookmarkStart w:id="768" w:name="_Toc11161235"/>
      <w:bookmarkStart w:id="769" w:name="_Toc11162239"/>
      <w:r>
        <w:rPr>
          <w:rFonts w:hint="eastAsia" w:ascii="宋体" w:hAnsi="宋体" w:eastAsia="宋体" w:cs="宋体"/>
          <w:color w:val="auto"/>
          <w:sz w:val="24"/>
          <w:szCs w:val="24"/>
          <w:highlight w:val="none"/>
          <w:lang w:val="en-US" w:eastAsia="zh-CN"/>
        </w:rPr>
        <w:t>供应商和其他利害关系人认为本次采购活动违反法律、法规和规章规定的，有权向有关行政监督部门投诉。</w:t>
      </w:r>
      <w:bookmarkEnd w:id="766"/>
      <w:bookmarkEnd w:id="767"/>
      <w:bookmarkEnd w:id="768"/>
      <w:bookmarkEnd w:id="769"/>
      <w:bookmarkStart w:id="770" w:name="_Toc144974547"/>
      <w:bookmarkStart w:id="771" w:name="_Toc152042357"/>
      <w:bookmarkStart w:id="772" w:name="_Toc363119287"/>
      <w:bookmarkStart w:id="773" w:name="_Toc152045580"/>
      <w:bookmarkStart w:id="774" w:name="_Toc179632598"/>
    </w:p>
    <w:bookmarkEnd w:id="770"/>
    <w:bookmarkEnd w:id="771"/>
    <w:bookmarkEnd w:id="772"/>
    <w:bookmarkEnd w:id="773"/>
    <w:bookmarkEnd w:id="774"/>
    <w:p>
      <w:pPr>
        <w:pStyle w:val="40"/>
        <w:spacing w:line="360" w:lineRule="auto"/>
        <w:ind w:firstLine="482" w:firstLineChars="200"/>
        <w:jc w:val="both"/>
        <w:outlineLvl w:val="2"/>
        <w:rPr>
          <w:rFonts w:hint="eastAsia" w:ascii="宋体" w:hAnsi="宋体" w:eastAsia="宋体" w:cs="宋体"/>
          <w:b/>
          <w:color w:val="auto"/>
          <w:sz w:val="24"/>
          <w:szCs w:val="24"/>
          <w:highlight w:val="none"/>
        </w:rPr>
      </w:pPr>
      <w:bookmarkStart w:id="775" w:name="_Toc511585909"/>
      <w:bookmarkStart w:id="776" w:name="_Toc14321"/>
      <w:bookmarkStart w:id="777" w:name="_Toc18818"/>
      <w:bookmarkStart w:id="778" w:name="_Toc6198"/>
      <w:r>
        <w:rPr>
          <w:rFonts w:hint="eastAsia" w:ascii="宋体" w:hAnsi="宋体" w:eastAsia="宋体" w:cs="宋体"/>
          <w:b/>
          <w:color w:val="auto"/>
          <w:sz w:val="24"/>
          <w:szCs w:val="24"/>
          <w:highlight w:val="none"/>
        </w:rPr>
        <w:t>10. 需要补充的其他内容</w:t>
      </w:r>
      <w:bookmarkEnd w:id="775"/>
      <w:bookmarkEnd w:id="776"/>
      <w:bookmarkEnd w:id="777"/>
      <w:bookmarkEnd w:id="778"/>
    </w:p>
    <w:p>
      <w:pPr>
        <w:autoSpaceDE w:val="0"/>
        <w:autoSpaceDN w:val="0"/>
        <w:adjustRightInd w:val="0"/>
        <w:snapToGrid w:val="0"/>
        <w:spacing w:beforeLines="0" w:afterLines="0" w:line="420" w:lineRule="exact"/>
        <w:ind w:left="0" w:leftChars="0" w:firstLine="48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p>
      <w:pPr>
        <w:pStyle w:val="10"/>
        <w:rPr>
          <w:rFonts w:hint="eastAsia" w:ascii="宋体" w:hAnsi="宋体" w:eastAsia="宋体" w:cs="宋体"/>
          <w:b/>
          <w:color w:val="auto"/>
          <w:kern w:val="44"/>
          <w:sz w:val="44"/>
          <w:szCs w:val="44"/>
          <w:highlight w:val="none"/>
        </w:rPr>
      </w:pPr>
    </w:p>
    <w:p>
      <w:pPr>
        <w:spacing w:beforeLines="0" w:afterLines="0" w:line="500" w:lineRule="exact"/>
        <w:ind w:left="0" w:leftChars="0" w:firstLine="0" w:firstLineChars="0"/>
        <w:jc w:val="both"/>
        <w:outlineLvl w:val="0"/>
        <w:rPr>
          <w:rFonts w:hint="eastAsia" w:ascii="宋体" w:hAnsi="宋体" w:eastAsia="宋体" w:cs="宋体"/>
          <w:b/>
          <w:color w:val="auto"/>
          <w:kern w:val="44"/>
          <w:sz w:val="44"/>
          <w:szCs w:val="44"/>
          <w:highlight w:val="none"/>
        </w:rPr>
      </w:pPr>
    </w:p>
    <w:p>
      <w:pPr>
        <w:pStyle w:val="1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5"/>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5"/>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5"/>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5"/>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5"/>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5"/>
        <w:rPr>
          <w:rFonts w:hint="eastAsia" w:ascii="宋体" w:hAnsi="宋体" w:eastAsia="宋体" w:cs="宋体"/>
        </w:rPr>
      </w:pPr>
    </w:p>
    <w:p>
      <w:pPr>
        <w:numPr>
          <w:ilvl w:val="0"/>
          <w:numId w:val="3"/>
        </w:numPr>
        <w:spacing w:beforeLines="0" w:afterLines="0" w:line="500" w:lineRule="exact"/>
        <w:ind w:left="0" w:leftChars="0" w:firstLine="0" w:firstLineChars="0"/>
        <w:jc w:val="center"/>
        <w:outlineLvl w:val="0"/>
        <w:rPr>
          <w:rFonts w:hint="eastAsia" w:ascii="宋体" w:hAnsi="宋体" w:eastAsia="宋体" w:cs="宋体"/>
          <w:b/>
          <w:color w:val="auto"/>
          <w:kern w:val="44"/>
          <w:sz w:val="44"/>
          <w:szCs w:val="44"/>
          <w:highlight w:val="none"/>
          <w:lang w:val="en-US" w:eastAsia="zh-CN"/>
        </w:rPr>
      </w:pPr>
      <w:r>
        <w:rPr>
          <w:rFonts w:hint="eastAsia" w:ascii="宋体" w:hAnsi="宋体" w:eastAsia="宋体" w:cs="宋体"/>
          <w:b/>
          <w:color w:val="auto"/>
          <w:kern w:val="44"/>
          <w:sz w:val="44"/>
          <w:szCs w:val="44"/>
          <w:highlight w:val="none"/>
        </w:rPr>
        <w:t>评审办法</w:t>
      </w:r>
      <w:bookmarkEnd w:id="263"/>
    </w:p>
    <w:p>
      <w:pPr>
        <w:pStyle w:val="1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44"/>
          <w:sz w:val="21"/>
          <w:szCs w:val="21"/>
          <w:highlight w:val="none"/>
          <w:lang w:val="en-US" w:eastAsia="zh-CN"/>
        </w:rPr>
        <w:t>一、初步审查前附表</w:t>
      </w:r>
    </w:p>
    <w:tbl>
      <w:tblPr>
        <w:tblStyle w:val="26"/>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661"/>
        <w:gridCol w:w="1734"/>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82" w:type="dxa"/>
            <w:gridSpan w:val="2"/>
            <w:vAlign w:val="center"/>
          </w:tcPr>
          <w:p>
            <w:pPr>
              <w:adjustRightInd w:val="0"/>
              <w:snapToGrid w:val="0"/>
              <w:spacing w:line="33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601" w:type="dxa"/>
            <w:vAlign w:val="center"/>
          </w:tcPr>
          <w:p>
            <w:pPr>
              <w:adjustRightInd w:val="0"/>
              <w:snapToGrid w:val="0"/>
              <w:spacing w:line="33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restart"/>
            <w:vAlign w:val="center"/>
          </w:tcPr>
          <w:p>
            <w:pPr>
              <w:adjustRightInd w:val="0"/>
              <w:snapToGrid w:val="0"/>
              <w:spacing w:line="336"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661" w:type="dxa"/>
            <w:vMerge w:val="restart"/>
            <w:vAlign w:val="center"/>
          </w:tcPr>
          <w:p>
            <w:pPr>
              <w:adjustRightInd w:val="0"/>
              <w:snapToGrid w:val="0"/>
              <w:spacing w:line="336" w:lineRule="auto"/>
              <w:ind w:left="0" w:leftChars="0"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资格评审标准</w:t>
            </w: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基本要求</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ind w:left="0" w:leftChars="0" w:firstLine="0" w:firstLineChars="0"/>
              <w:jc w:val="both"/>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ind w:left="0" w:leftChars="0" w:firstLine="0" w:firstLineChars="0"/>
              <w:jc w:val="both"/>
              <w:rPr>
                <w:rFonts w:hint="eastAsia" w:ascii="宋体" w:hAnsi="宋体" w:eastAsia="宋体" w:cs="宋体"/>
                <w:color w:val="auto"/>
                <w:sz w:val="21"/>
                <w:szCs w:val="21"/>
                <w:highlight w:val="none"/>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具有独立承担民事责任能力的法人或其他组织，提供合法有效的营业执照；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Merge w:val="restart"/>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资质等级</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合同包1(三马路东里至双槐段改建工程设计)：</w:t>
            </w:r>
          </w:p>
          <w:p>
            <w:pPr>
              <w:adjustRightInd w:val="0"/>
              <w:snapToGrid w:val="0"/>
              <w:spacing w:line="336" w:lineRule="auto"/>
              <w:ind w:left="0" w:leftChars="0" w:firstLine="0" w:firstLineChars="0"/>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供应商具备建设行政主管部门核发的有效的公路行业（公路）专业丙级及以上设计资质；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Merge w:val="continue"/>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en-US" w:eastAsia="zh-CN"/>
              </w:rPr>
            </w:pPr>
          </w:p>
        </w:tc>
        <w:tc>
          <w:tcPr>
            <w:tcW w:w="5601" w:type="dxa"/>
            <w:vAlign w:val="center"/>
          </w:tcPr>
          <w:p>
            <w:pPr>
              <w:adjustRightInd w:val="0"/>
              <w:snapToGrid w:val="0"/>
              <w:spacing w:line="336" w:lineRule="auto"/>
              <w:ind w:left="0" w:leftChars="0" w:firstLine="0" w:firstLineChars="0"/>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合同包2(朱峪路等桥至朱家湾段改建工程设计)：</w:t>
            </w:r>
          </w:p>
          <w:p>
            <w:pPr>
              <w:adjustRightInd w:val="0"/>
              <w:snapToGrid w:val="0"/>
              <w:spacing w:line="336" w:lineRule="auto"/>
              <w:ind w:left="0" w:leftChars="0" w:firstLine="0" w:firstLineChars="0"/>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供应商具备建设行政主管部门核发的有效的公路行业（公路）专业丙级及以上资质；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Merge w:val="continue"/>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en-US" w:eastAsia="zh-CN"/>
              </w:rPr>
            </w:pPr>
          </w:p>
        </w:tc>
        <w:tc>
          <w:tcPr>
            <w:tcW w:w="5601" w:type="dxa"/>
            <w:vAlign w:val="center"/>
          </w:tcPr>
          <w:p>
            <w:pPr>
              <w:adjustRightInd w:val="0"/>
              <w:snapToGrid w:val="0"/>
              <w:spacing w:line="336" w:lineRule="auto"/>
              <w:ind w:left="0" w:leftChars="0" w:firstLine="0" w:firstLineChars="0"/>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合同包3(孟店桥建设工程设计)：供应商具备建设行政主管部门核发的有效的公路行业（公路）专业乙级及以上资质；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项目负责人资格要求</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项目负责人须具备公路行业相关专业高级职称；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财务报告要求</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具有良好的商业信誉和健全的财务会计制度(提供近三年任意一年度经会计事务所或审计机构审计的财务审计报告（成立时间至响应文件递交截止时间不足一年的可提供成立后任意时段的资产负债表）或在投标截止时间前12个月内其开户银行出具的资信证明及开户银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税收和社保要求</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有依法缴纳税收和社会保障资金的良好记录（提供投标截止时间前12个月内任意一个月依法缴纳税收和社保证明（社会保障资金缴存单据或社保机构开具的社会保险参保缴费情况证明），依法免税的应提供相关证明材料，依法不需要缴纳社会保障资金的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重大违法记录的声明</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参加政府采购活动前三年内，在经营活动中没有重大违法记录的声明；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中小企业声明函</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本项目为专门面向中小企业采购，供应商为中小企业的，提供《中小企业声明函》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lang w:val="en-US" w:eastAsia="zh-CN"/>
              </w:rPr>
              <w:t>信誉要求</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竞争性磋商文件</w:t>
            </w:r>
            <w:r>
              <w:rPr>
                <w:rFonts w:hint="eastAsia" w:ascii="宋体" w:hAnsi="宋体" w:eastAsia="宋体" w:cs="宋体"/>
                <w:i w:val="0"/>
                <w:iCs w:val="0"/>
                <w:caps w:val="0"/>
                <w:color w:val="auto"/>
                <w:spacing w:val="0"/>
                <w:sz w:val="21"/>
                <w:szCs w:val="21"/>
                <w:highlight w:val="none"/>
                <w:shd w:val="clear" w:color="auto" w:fill="FFFFFF"/>
                <w:vertAlign w:val="baseline"/>
              </w:rPr>
              <w:t>当日起至开标截止前任意一天内的查询结果网页截图并加盖公章）；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联合体协议书</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restart"/>
            <w:vAlign w:val="center"/>
          </w:tcPr>
          <w:p>
            <w:pPr>
              <w:adjustRightInd w:val="0"/>
              <w:snapToGrid w:val="0"/>
              <w:spacing w:line="336"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661" w:type="dxa"/>
            <w:vMerge w:val="restart"/>
            <w:vAlign w:val="center"/>
          </w:tcPr>
          <w:p>
            <w:pPr>
              <w:adjustRightInd w:val="0"/>
              <w:snapToGrid w:val="0"/>
              <w:spacing w:line="336"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磋商响应函签字盖章</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有法定代表人或委托代理人签字(或盖章)并加盖单位章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竞争性磋商响应文件格式</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“竞争性磋商响应文件格式”的要求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每次报价只能有一个有效报价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restart"/>
            <w:vAlign w:val="center"/>
          </w:tcPr>
          <w:p>
            <w:pPr>
              <w:adjustRightInd w:val="0"/>
              <w:snapToGrid w:val="0"/>
              <w:spacing w:line="336"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661" w:type="dxa"/>
            <w:vMerge w:val="restart"/>
            <w:vAlign w:val="center"/>
          </w:tcPr>
          <w:p>
            <w:pPr>
              <w:adjustRightInd w:val="0"/>
              <w:snapToGrid w:val="0"/>
              <w:spacing w:line="336"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设计周期</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质量标准</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rPr>
            </w:pPr>
          </w:p>
        </w:tc>
        <w:tc>
          <w:tcPr>
            <w:tcW w:w="1661" w:type="dxa"/>
            <w:vMerge w:val="continue"/>
            <w:vAlign w:val="center"/>
          </w:tcPr>
          <w:p>
            <w:pPr>
              <w:adjustRightInd w:val="0"/>
              <w:snapToGrid w:val="0"/>
              <w:spacing w:line="336" w:lineRule="auto"/>
              <w:jc w:val="center"/>
              <w:rPr>
                <w:rFonts w:hint="eastAsia" w:ascii="宋体" w:hAnsi="宋体" w:eastAsia="宋体" w:cs="宋体"/>
                <w:color w:val="auto"/>
                <w:sz w:val="21"/>
                <w:szCs w:val="21"/>
                <w:highlight w:val="none"/>
                <w:shd w:val="pct10" w:color="auto" w:fill="FFFFFF"/>
              </w:rPr>
            </w:pPr>
          </w:p>
        </w:tc>
        <w:tc>
          <w:tcPr>
            <w:tcW w:w="1734"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有效磋商价格</w:t>
            </w:r>
          </w:p>
        </w:tc>
        <w:tc>
          <w:tcPr>
            <w:tcW w:w="5601"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小于等于本项目的采购预算及最高限价。</w:t>
            </w:r>
          </w:p>
        </w:tc>
      </w:tr>
    </w:tbl>
    <w:p>
      <w:pPr>
        <w:tabs>
          <w:tab w:val="left" w:pos="9030"/>
        </w:tabs>
        <w:snapToGrid w:val="0"/>
        <w:spacing w:line="360" w:lineRule="auto"/>
        <w:ind w:right="-65"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注：</w:t>
      </w:r>
      <w:r>
        <w:rPr>
          <w:rFonts w:hint="eastAsia" w:ascii="宋体" w:hAnsi="宋体" w:eastAsia="宋体" w:cs="宋体"/>
          <w:b/>
          <w:bCs/>
          <w:color w:val="auto"/>
          <w:spacing w:val="0"/>
          <w:w w:val="100"/>
          <w:position w:val="0"/>
          <w:sz w:val="21"/>
          <w:szCs w:val="21"/>
          <w:highlight w:val="none"/>
          <w:lang w:eastAsia="zh-CN"/>
        </w:rPr>
        <w:t>依据法律法规和磋商文件的规定，对响应文件中的资格证明文件等进行</w:t>
      </w:r>
      <w:r>
        <w:rPr>
          <w:rFonts w:hint="eastAsia" w:ascii="宋体" w:hAnsi="宋体" w:eastAsia="宋体" w:cs="宋体"/>
          <w:b/>
          <w:bCs/>
          <w:color w:val="auto"/>
          <w:spacing w:val="0"/>
          <w:w w:val="100"/>
          <w:position w:val="0"/>
          <w:sz w:val="21"/>
          <w:szCs w:val="21"/>
          <w:highlight w:val="none"/>
          <w:lang w:val="en-US" w:eastAsia="zh-CN"/>
        </w:rPr>
        <w:t>初步</w:t>
      </w:r>
      <w:r>
        <w:rPr>
          <w:rFonts w:hint="eastAsia" w:ascii="宋体" w:hAnsi="宋体" w:eastAsia="宋体" w:cs="宋体"/>
          <w:b/>
          <w:bCs/>
          <w:color w:val="auto"/>
          <w:spacing w:val="0"/>
          <w:w w:val="100"/>
          <w:position w:val="0"/>
          <w:sz w:val="21"/>
          <w:szCs w:val="21"/>
          <w:highlight w:val="none"/>
          <w:lang w:eastAsia="zh-CN"/>
        </w:rPr>
        <w:t>审查，审查内容</w:t>
      </w:r>
      <w:r>
        <w:rPr>
          <w:rFonts w:hint="eastAsia" w:ascii="宋体" w:hAnsi="宋体" w:eastAsia="宋体" w:cs="宋体"/>
          <w:b/>
          <w:bCs/>
          <w:color w:val="auto"/>
          <w:spacing w:val="0"/>
          <w:w w:val="100"/>
          <w:position w:val="0"/>
          <w:sz w:val="21"/>
          <w:szCs w:val="21"/>
          <w:highlight w:val="none"/>
          <w:lang w:val="en-US" w:eastAsia="zh-CN"/>
        </w:rPr>
        <w:t>见“初步审查前附表”中的资格审查标准</w:t>
      </w:r>
      <w:r>
        <w:rPr>
          <w:rFonts w:hint="eastAsia" w:ascii="宋体" w:hAnsi="宋体" w:eastAsia="宋体" w:cs="宋体"/>
          <w:b/>
          <w:bCs/>
          <w:color w:val="auto"/>
          <w:spacing w:val="0"/>
          <w:w w:val="100"/>
          <w:position w:val="0"/>
          <w:sz w:val="21"/>
          <w:szCs w:val="21"/>
          <w:highlight w:val="none"/>
          <w:lang w:eastAsia="zh-CN"/>
        </w:rPr>
        <w:t xml:space="preserve">。 </w:t>
      </w:r>
    </w:p>
    <w:p>
      <w:pPr>
        <w:tabs>
          <w:tab w:val="left" w:pos="360"/>
          <w:tab w:val="left" w:pos="540"/>
          <w:tab w:val="left" w:pos="3600"/>
          <w:tab w:val="left" w:pos="3780"/>
          <w:tab w:val="left" w:pos="8460"/>
          <w:tab w:val="left" w:pos="9180"/>
        </w:tabs>
        <w:autoSpaceDE w:val="0"/>
        <w:autoSpaceDN w:val="0"/>
        <w:spacing w:beforeLines="0" w:afterLines="0" w:line="420" w:lineRule="exact"/>
        <w:ind w:left="0" w:leftChars="0" w:firstLine="482"/>
        <w:outlineLvl w:val="2"/>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一、总则</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为了做好本项目的评审工作，保证项目评审工作的正常有序进行，维护采购人、供应商的合法权益，依据《中华人民共和国政府采购法》及其它相关法律法规，本着公开、公平、公正的原则，制定评审办法。</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本次项目评审采用综合评分法作为对供应商磋商响应文件的比较方法。</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第三条 </w:t>
      </w:r>
      <w:r>
        <w:rPr>
          <w:rFonts w:hint="eastAsia" w:ascii="宋体" w:hAnsi="宋体" w:eastAsia="宋体" w:cs="宋体"/>
          <w:color w:val="auto"/>
          <w:kern w:val="0"/>
          <w:sz w:val="24"/>
          <w:szCs w:val="24"/>
          <w:highlight w:val="none"/>
        </w:rPr>
        <w:t>采购人将根据本次采购项目的特点，参照《中华人民共和国政府采购法》及</w:t>
      </w:r>
      <w:r>
        <w:rPr>
          <w:rFonts w:hint="eastAsia" w:ascii="宋体" w:hAnsi="宋体" w:eastAsia="宋体" w:cs="宋体"/>
          <w:color w:val="auto"/>
          <w:sz w:val="24"/>
          <w:szCs w:val="24"/>
          <w:highlight w:val="none"/>
        </w:rPr>
        <w:t>《政府采购竞争性磋商采购方式管理暂行办法》</w:t>
      </w:r>
      <w:r>
        <w:rPr>
          <w:rFonts w:hint="eastAsia" w:ascii="宋体" w:hAnsi="宋体" w:eastAsia="宋体" w:cs="宋体"/>
          <w:color w:val="auto"/>
          <w:kern w:val="0"/>
          <w:sz w:val="24"/>
          <w:szCs w:val="24"/>
          <w:highlight w:val="none"/>
        </w:rPr>
        <w:t>等有关规定组建磋商小组。</w:t>
      </w:r>
      <w:r>
        <w:rPr>
          <w:rFonts w:hint="eastAsia" w:ascii="宋体" w:hAnsi="宋体" w:eastAsia="宋体" w:cs="宋体"/>
          <w:bCs/>
          <w:color w:val="auto"/>
          <w:kern w:val="1"/>
          <w:sz w:val="24"/>
          <w:szCs w:val="24"/>
          <w:highlight w:val="none"/>
        </w:rPr>
        <w:t>采购人或者采购代理机构应当从省级以上财政部门设立的政府采购评审专家库中，通过随机方式抽取评审专家，并负责组织不少于</w:t>
      </w:r>
      <w:r>
        <w:rPr>
          <w:rFonts w:hint="eastAsia" w:ascii="宋体" w:hAnsi="宋体" w:eastAsia="宋体" w:cs="宋体"/>
          <w:bCs/>
          <w:color w:val="auto"/>
          <w:kern w:val="1"/>
          <w:sz w:val="24"/>
          <w:szCs w:val="24"/>
          <w:highlight w:val="none"/>
          <w:u w:val="single"/>
        </w:rPr>
        <w:t xml:space="preserve"> 3 </w:t>
      </w:r>
      <w:r>
        <w:rPr>
          <w:rFonts w:hint="eastAsia" w:ascii="宋体" w:hAnsi="宋体" w:eastAsia="宋体" w:cs="宋体"/>
          <w:bCs/>
          <w:color w:val="auto"/>
          <w:kern w:val="1"/>
          <w:sz w:val="24"/>
          <w:szCs w:val="24"/>
          <w:highlight w:val="none"/>
        </w:rPr>
        <w:t>人组成的磋商小组，</w:t>
      </w:r>
      <w:r>
        <w:rPr>
          <w:rFonts w:hint="eastAsia" w:ascii="宋体" w:hAnsi="宋体" w:eastAsia="宋体" w:cs="宋体"/>
          <w:color w:val="auto"/>
          <w:kern w:val="0"/>
          <w:sz w:val="24"/>
          <w:szCs w:val="24"/>
          <w:highlight w:val="none"/>
        </w:rPr>
        <w:t>磋商小组由采购人代表和有关技术、经济等方面的专家组成。磋商小组负责评审活动。</w:t>
      </w:r>
      <w:r>
        <w:rPr>
          <w:rFonts w:hint="eastAsia" w:ascii="宋体" w:hAnsi="宋体" w:eastAsia="宋体" w:cs="宋体"/>
          <w:bCs/>
          <w:color w:val="auto"/>
          <w:kern w:val="1"/>
          <w:sz w:val="24"/>
          <w:szCs w:val="24"/>
          <w:highlight w:val="none"/>
        </w:rPr>
        <w:t>在磋商小组中技术、经济类专家人数不少于专家总人数的2/3，采购代理机构负责磋商过程中的记录、联络及磋商小组交办的其他工作。</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评委会按照“客观公正，实事求是”的原则，</w:t>
      </w:r>
      <w:r>
        <w:rPr>
          <w:rFonts w:hint="eastAsia" w:ascii="宋体" w:hAnsi="宋体" w:eastAsia="宋体" w:cs="宋体"/>
          <w:color w:val="auto"/>
          <w:kern w:val="0"/>
          <w:sz w:val="24"/>
          <w:szCs w:val="24"/>
          <w:highlight w:val="none"/>
        </w:rPr>
        <w:t>对各供应商的</w:t>
      </w:r>
      <w:r>
        <w:rPr>
          <w:rFonts w:hint="eastAsia" w:ascii="宋体" w:hAnsi="宋体" w:eastAsia="宋体" w:cs="宋体"/>
          <w:color w:val="auto"/>
          <w:sz w:val="24"/>
          <w:szCs w:val="24"/>
          <w:highlight w:val="none"/>
        </w:rPr>
        <w:t>磋商响应文件的符合性及响应性进行评审。</w:t>
      </w:r>
    </w:p>
    <w:p>
      <w:pPr>
        <w:autoSpaceDE w:val="0"/>
        <w:autoSpaceDN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二、评审方法</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中华人民共和国政府采购法》、中华人民共和国2015年第658号国务院令、《中华人民共和国政府采购法实施条例》和中华人民共和国财政部财库〔2014〕214号文件《政府采购竞争性磋商采购方式管理暂行办法》的规定，竞争性磋商小组采用综合评分法对提交最后报价的供应商的磋商响应文件和最后报价进行综合评分，按照评审得分由高到低顺序推荐3名成交候选人。</w:t>
      </w:r>
    </w:p>
    <w:p>
      <w:pPr>
        <w:autoSpaceDE w:val="0"/>
        <w:autoSpaceDN w:val="0"/>
        <w:spacing w:beforeLines="0" w:afterLines="0" w:line="420" w:lineRule="exact"/>
        <w:ind w:left="0" w:leftChars="0" w:firstLine="48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三、评审程序</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审查分为初步评审和详细评审。分别按照以下内容对磋商响应文件进行检查，一项不合格即按照无效响应处理。</w:t>
      </w:r>
    </w:p>
    <w:p>
      <w:pPr>
        <w:numPr>
          <w:ilvl w:val="0"/>
          <w:numId w:val="4"/>
        </w:num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初步评审：</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采购人和采购代理机构</w:t>
      </w:r>
      <w:r>
        <w:rPr>
          <w:rFonts w:hint="eastAsia" w:ascii="宋体" w:hAnsi="宋体" w:eastAsia="宋体" w:cs="宋体"/>
          <w:color w:val="auto"/>
          <w:sz w:val="24"/>
          <w:szCs w:val="24"/>
          <w:highlight w:val="none"/>
          <w:lang w:val="en-US" w:eastAsia="zh-CN"/>
        </w:rPr>
        <w:t>根据“初步审查前附表”中的资格审查标准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必备资质证明文件进行审查，签字确认检查结果。不符合</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要求的资格审查按无效文件处理，不得进入后续评审工作。</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lang w:eastAsia="zh-CN"/>
        </w:rPr>
        <w:t>竞争性磋商小组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形式性和响应性根据“初步审查前附表”中的要求</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的要求，无显著的差异或保留。</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2、响应文件审查</w:t>
      </w:r>
    </w:p>
    <w:p>
      <w:pPr>
        <w:tabs>
          <w:tab w:val="left" w:pos="9030"/>
        </w:tabs>
        <w:snapToGrid w:val="0"/>
        <w:spacing w:line="360" w:lineRule="auto"/>
        <w:ind w:right="-65"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响应文件审查合格的为实质性响应磋商文件要求的供应商。</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3、详细评审</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评标办法</w:t>
      </w:r>
      <w:r>
        <w:rPr>
          <w:rFonts w:hint="eastAsia" w:ascii="宋体" w:hAnsi="宋体" w:eastAsia="宋体" w:cs="宋体"/>
          <w:color w:val="auto"/>
          <w:sz w:val="24"/>
          <w:szCs w:val="24"/>
          <w:highlight w:val="none"/>
        </w:rPr>
        <w:t>对实质性响应磋商文件要求的供应商的磋商响应文件进行评审。</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4、澄清有关问题</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在对磋商响应文件的有效性、完整性和响应程度进行审查时，可以要求供应商对磋商响应文件中含义不明确、同类问题表述不一致或者有明显文字和计算错误的内容等作出必要的澄清、说明或者更正。供应商的澄清、说明或者更正不得超出磋商响应文件的范围或者改变磋商响应文件的实质性内容。</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要求磋商报价人澄清、说明或者更正磋商响应文件的，应当以书面形式提出。磋商报价人的澄清、说明或者更正应当由法定代表人或其授权代表签字或者加盖公章。由授权代表签字的，应当提供法定代表人授权书。</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5、磋商小组逐一与实质性响应磋商文件要求的供应商进行磋商。</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、比较、评价：</w:t>
      </w:r>
    </w:p>
    <w:p>
      <w:pPr>
        <w:autoSpaceDE w:val="0"/>
        <w:autoSpaceDN w:val="0"/>
        <w:spacing w:beforeLines="0" w:afterLines="0" w:line="420" w:lineRule="exact"/>
        <w:ind w:left="0" w:leftChars="0"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6.1 </w:t>
      </w:r>
      <w:r>
        <w:rPr>
          <w:rFonts w:hint="eastAsia" w:ascii="宋体" w:hAnsi="宋体" w:eastAsia="宋体" w:cs="宋体"/>
          <w:color w:val="auto"/>
          <w:sz w:val="24"/>
          <w:szCs w:val="24"/>
          <w:highlight w:val="none"/>
        </w:rPr>
        <w:t>对所有实质性响应文件进行了评审价确认之后，由竞争性磋商小组各成员按照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第三章 评标办法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详细评审表中的</w:t>
      </w:r>
      <w:r>
        <w:rPr>
          <w:rFonts w:hint="eastAsia" w:ascii="宋体" w:hAnsi="宋体" w:eastAsia="宋体" w:cs="宋体"/>
          <w:color w:val="auto"/>
          <w:sz w:val="24"/>
          <w:szCs w:val="24"/>
          <w:highlight w:val="none"/>
        </w:rPr>
        <w:t>《评审因素及量化指标》独立进行</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w:t>
      </w:r>
    </w:p>
    <w:tbl>
      <w:tblPr>
        <w:tblStyle w:val="26"/>
        <w:tblpPr w:leftFromText="180" w:rightFromText="180" w:vertAnchor="text" w:horzAnchor="page" w:tblpX="1399" w:tblpY="41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727" w:type="dxa"/>
            <w:vAlign w:val="center"/>
          </w:tcPr>
          <w:p>
            <w:pPr>
              <w:spacing w:line="360" w:lineRule="auto"/>
              <w:ind w:left="0" w:lef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详细审查类别</w:t>
            </w:r>
          </w:p>
        </w:tc>
        <w:tc>
          <w:tcPr>
            <w:tcW w:w="7560"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评审因素及量化指标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27"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价格</w:t>
            </w:r>
          </w:p>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分)</w:t>
            </w:r>
          </w:p>
        </w:tc>
        <w:tc>
          <w:tcPr>
            <w:tcW w:w="7560"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满足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eastAsia="zh-CN"/>
              </w:rPr>
              <w:t>文件内容及技术要求且</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val="zh-CN" w:eastAsia="zh-CN"/>
              </w:rPr>
              <w:t>最低的投标价为评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lang w:val="zh-CN" w:eastAsia="zh-CN"/>
              </w:rPr>
              <w:t>基准价，其价格分为满分。</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报价得分=（评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lang w:val="zh-CN" w:eastAsia="zh-CN"/>
              </w:rPr>
              <w:t>基准价／</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注：本项目为专门面向中小企业项目，专门面向中小企业采购的项目，不在执行价格评审优惠的扶持政策。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727"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对本项目的理解</w:t>
            </w:r>
          </w:p>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560"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针对本项目现状的理解程度，</w:t>
            </w:r>
            <w:r>
              <w:rPr>
                <w:rFonts w:hint="eastAsia" w:ascii="宋体" w:hAnsi="宋体" w:eastAsia="宋体" w:cs="宋体"/>
                <w:color w:val="auto"/>
                <w:sz w:val="21"/>
                <w:szCs w:val="21"/>
                <w:highlight w:val="none"/>
                <w:lang w:val="en-US" w:eastAsia="zh-CN"/>
              </w:rPr>
              <w:t>方案内容</w:t>
            </w:r>
            <w:r>
              <w:rPr>
                <w:rFonts w:hint="eastAsia" w:ascii="宋体" w:hAnsi="宋体" w:eastAsia="宋体" w:cs="宋体"/>
                <w:color w:val="auto"/>
                <w:sz w:val="21"/>
                <w:szCs w:val="21"/>
                <w:highlight w:val="none"/>
                <w:lang w:val="zh-CN" w:eastAsia="zh-CN"/>
              </w:rPr>
              <w:t>具体、完整、详细、全面、可行，得</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lang w:val="zh-CN" w:eastAsia="zh-CN"/>
              </w:rPr>
              <w:t>分；方案内容欠缺、薄弱，得</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zh-CN" w:eastAsia="zh-CN"/>
              </w:rPr>
              <w:t>分。</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2、针对本项目发展目标的分析，</w:t>
            </w:r>
            <w:r>
              <w:rPr>
                <w:rFonts w:hint="eastAsia" w:ascii="宋体" w:hAnsi="宋体" w:eastAsia="宋体" w:cs="宋体"/>
                <w:color w:val="auto"/>
                <w:sz w:val="21"/>
                <w:szCs w:val="21"/>
                <w:highlight w:val="none"/>
                <w:lang w:val="en-US" w:eastAsia="zh-CN"/>
              </w:rPr>
              <w:t>方案内容</w:t>
            </w:r>
            <w:r>
              <w:rPr>
                <w:rFonts w:hint="eastAsia" w:ascii="宋体" w:hAnsi="宋体" w:eastAsia="宋体" w:cs="宋体"/>
                <w:color w:val="auto"/>
                <w:sz w:val="21"/>
                <w:szCs w:val="21"/>
                <w:highlight w:val="none"/>
                <w:lang w:val="zh-CN" w:eastAsia="zh-CN"/>
              </w:rPr>
              <w:t>具体、完整、详细、全面、可行，得</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lang w:val="zh-CN" w:eastAsia="zh-CN"/>
              </w:rPr>
              <w:t>分；方案内容欠缺、薄弱，得</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zh-CN" w:eastAsia="zh-CN"/>
              </w:rPr>
              <w:t>分。</w:t>
            </w:r>
          </w:p>
          <w:p>
            <w:pPr>
              <w:adjustRightInd w:val="0"/>
              <w:snapToGrid w:val="0"/>
              <w:spacing w:line="336" w:lineRule="auto"/>
              <w:ind w:left="0" w:leftChars="0" w:firstLine="0" w:firstLineChars="0"/>
              <w:rPr>
                <w:rFonts w:hint="eastAsia" w:ascii="宋体" w:hAnsi="宋体" w:eastAsia="宋体" w:cs="宋体"/>
                <w:color w:val="auto"/>
                <w:highlight w:val="none"/>
                <w:lang w:val="en-US"/>
              </w:rPr>
            </w:pPr>
            <w:r>
              <w:rPr>
                <w:rFonts w:hint="eastAsia" w:ascii="宋体" w:hAnsi="宋体" w:eastAsia="宋体" w:cs="宋体"/>
                <w:color w:val="auto"/>
                <w:sz w:val="21"/>
                <w:szCs w:val="21"/>
                <w:highlight w:val="none"/>
                <w:lang w:val="en-US" w:eastAsia="zh-CN"/>
              </w:rPr>
              <w:t>注：以上内容若有缺项、漏项，该项计0分。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7"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w:t>
            </w:r>
          </w:p>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tc>
        <w:tc>
          <w:tcPr>
            <w:tcW w:w="7560"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1、设计</w:t>
            </w:r>
            <w:r>
              <w:rPr>
                <w:rFonts w:hint="eastAsia" w:ascii="宋体" w:hAnsi="宋体" w:eastAsia="宋体" w:cs="宋体"/>
                <w:color w:val="auto"/>
                <w:sz w:val="21"/>
                <w:szCs w:val="21"/>
                <w:highlight w:val="none"/>
                <w:lang w:val="zh-CN" w:eastAsia="zh-CN"/>
              </w:rPr>
              <w:t>方案内容全面完整、科学可行，思路清晰、准确，</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val="zh-CN" w:eastAsia="zh-CN"/>
              </w:rPr>
              <w:t>国家规范及磋商文件要求，</w:t>
            </w:r>
            <w:r>
              <w:rPr>
                <w:rFonts w:hint="eastAsia" w:ascii="宋体" w:hAnsi="宋体" w:eastAsia="宋体" w:cs="宋体"/>
                <w:color w:val="auto"/>
                <w:sz w:val="21"/>
                <w:szCs w:val="21"/>
                <w:highlight w:val="none"/>
                <w:lang w:val="en-US" w:eastAsia="zh-CN"/>
              </w:rPr>
              <w:t>内容全面、思路清晰得8-12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内容较为全面、思路基本可行得4-7</w:t>
            </w:r>
            <w:r>
              <w:rPr>
                <w:rFonts w:hint="eastAsia" w:ascii="宋体" w:hAnsi="宋体" w:eastAsia="宋体" w:cs="宋体"/>
                <w:color w:val="auto"/>
                <w:sz w:val="21"/>
                <w:szCs w:val="21"/>
                <w:highlight w:val="none"/>
                <w:lang w:val="zh-CN" w:eastAsia="zh-CN"/>
              </w:rPr>
              <w:t>分；内容欠缺、薄弱，得</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val="zh-CN" w:eastAsia="zh-CN"/>
              </w:rPr>
              <w:t>分；</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对于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eastAsia="zh-CN"/>
              </w:rPr>
              <w:t>的内容、重点及难点具有清晰准确的认识，</w:t>
            </w:r>
            <w:r>
              <w:rPr>
                <w:rFonts w:hint="eastAsia" w:ascii="宋体" w:hAnsi="宋体" w:eastAsia="宋体" w:cs="宋体"/>
                <w:color w:val="auto"/>
                <w:sz w:val="21"/>
                <w:szCs w:val="21"/>
                <w:highlight w:val="none"/>
                <w:lang w:val="en-US" w:eastAsia="zh-CN"/>
              </w:rPr>
              <w:t>内容全面、重点突出得7-10</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内容较为全面、思路基本可行得3-6</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lang w:val="zh-CN" w:eastAsia="zh-CN"/>
              </w:rPr>
              <w:t>欠缺，</w:t>
            </w:r>
            <w:r>
              <w:rPr>
                <w:rFonts w:hint="eastAsia" w:ascii="宋体" w:hAnsi="宋体" w:eastAsia="宋体" w:cs="宋体"/>
                <w:color w:val="auto"/>
                <w:sz w:val="21"/>
                <w:szCs w:val="21"/>
                <w:highlight w:val="none"/>
                <w:lang w:val="en-US" w:eastAsia="zh-CN"/>
              </w:rPr>
              <w:t>基本满足文件要求</w:t>
            </w:r>
            <w:r>
              <w:rPr>
                <w:rFonts w:hint="eastAsia" w:ascii="宋体" w:hAnsi="宋体" w:eastAsia="宋体" w:cs="宋体"/>
                <w:color w:val="auto"/>
                <w:sz w:val="21"/>
                <w:szCs w:val="21"/>
                <w:highlight w:val="none"/>
                <w:lang w:val="zh-CN" w:eastAsia="zh-CN"/>
              </w:rPr>
              <w:t>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进度控制方案科学、合理，</w:t>
            </w:r>
            <w:r>
              <w:rPr>
                <w:rFonts w:hint="eastAsia" w:ascii="宋体" w:hAnsi="宋体" w:eastAsia="宋体" w:cs="宋体"/>
                <w:color w:val="auto"/>
                <w:sz w:val="21"/>
                <w:szCs w:val="21"/>
                <w:highlight w:val="none"/>
                <w:lang w:val="en-US" w:eastAsia="zh-CN"/>
              </w:rPr>
              <w:t>方案内容科学、合理得7-10</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方案内容基本可行得3-6</w:t>
            </w:r>
            <w:r>
              <w:rPr>
                <w:rFonts w:hint="eastAsia" w:ascii="宋体" w:hAnsi="宋体" w:eastAsia="宋体" w:cs="宋体"/>
                <w:color w:val="auto"/>
                <w:sz w:val="21"/>
                <w:szCs w:val="21"/>
                <w:highlight w:val="none"/>
                <w:lang w:val="zh-CN" w:eastAsia="zh-CN"/>
              </w:rPr>
              <w:t>分；方案内容欠缺、薄弱得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质量控制方案全面，细致，</w:t>
            </w:r>
            <w:r>
              <w:rPr>
                <w:rFonts w:hint="eastAsia" w:ascii="宋体" w:hAnsi="宋体" w:eastAsia="宋体" w:cs="宋体"/>
                <w:color w:val="auto"/>
                <w:sz w:val="21"/>
                <w:szCs w:val="21"/>
                <w:highlight w:val="none"/>
                <w:lang w:val="en-US" w:eastAsia="zh-CN"/>
              </w:rPr>
              <w:t>方案内容全面、细致得7-10</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方案内容基本可行得3-6</w:t>
            </w:r>
            <w:r>
              <w:rPr>
                <w:rFonts w:hint="eastAsia" w:ascii="宋体" w:hAnsi="宋体" w:eastAsia="宋体" w:cs="宋体"/>
                <w:color w:val="auto"/>
                <w:sz w:val="21"/>
                <w:szCs w:val="21"/>
                <w:highlight w:val="none"/>
                <w:lang w:val="zh-CN" w:eastAsia="zh-CN"/>
              </w:rPr>
              <w:t>分；方案内容欠缺、薄弱得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服务承诺全面可行，</w:t>
            </w:r>
            <w:r>
              <w:rPr>
                <w:rFonts w:hint="eastAsia" w:ascii="宋体" w:hAnsi="宋体" w:eastAsia="宋体" w:cs="宋体"/>
                <w:color w:val="auto"/>
                <w:sz w:val="21"/>
                <w:szCs w:val="21"/>
                <w:highlight w:val="none"/>
                <w:lang w:val="en-US" w:eastAsia="zh-CN"/>
              </w:rPr>
              <w:t>内容全面得5-8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内容基本可行得2-4</w:t>
            </w:r>
            <w:r>
              <w:rPr>
                <w:rFonts w:hint="eastAsia" w:ascii="宋体" w:hAnsi="宋体" w:eastAsia="宋体" w:cs="宋体"/>
                <w:color w:val="auto"/>
                <w:sz w:val="21"/>
                <w:szCs w:val="21"/>
                <w:highlight w:val="none"/>
                <w:lang w:val="zh-CN" w:eastAsia="zh-CN"/>
              </w:rPr>
              <w:t>分；内容欠缺、薄弱得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注：以上内容若有缺项、漏项，该项计0分。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27"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质量保证</w:t>
            </w:r>
          </w:p>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lang w:val="zh-CN" w:eastAsia="zh-CN"/>
              </w:rPr>
              <w:t>）</w:t>
            </w:r>
          </w:p>
        </w:tc>
        <w:tc>
          <w:tcPr>
            <w:tcW w:w="7560"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1、有完善的服务保障措施，包括组织保障、人员保障、设备保障等，</w:t>
            </w:r>
            <w:r>
              <w:rPr>
                <w:rFonts w:hint="eastAsia" w:ascii="宋体" w:hAnsi="宋体" w:eastAsia="宋体" w:cs="宋体"/>
                <w:color w:val="auto"/>
                <w:sz w:val="21"/>
                <w:szCs w:val="21"/>
                <w:highlight w:val="none"/>
                <w:lang w:val="en-US" w:eastAsia="zh-CN"/>
              </w:rPr>
              <w:t>内容全面合理得1-3</w:t>
            </w:r>
            <w:r>
              <w:rPr>
                <w:rFonts w:hint="eastAsia" w:ascii="宋体" w:hAnsi="宋体" w:eastAsia="宋体" w:cs="宋体"/>
                <w:color w:val="auto"/>
                <w:sz w:val="21"/>
                <w:szCs w:val="21"/>
                <w:highlight w:val="none"/>
                <w:lang w:val="zh-CN" w:eastAsia="zh-CN"/>
              </w:rPr>
              <w:t>分。</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提出有利于采购人降低成本及提高服务质量且切实可行措施。</w:t>
            </w:r>
            <w:r>
              <w:rPr>
                <w:rFonts w:hint="eastAsia" w:ascii="宋体" w:hAnsi="宋体" w:eastAsia="宋体" w:cs="宋体"/>
                <w:color w:val="auto"/>
                <w:sz w:val="21"/>
                <w:szCs w:val="21"/>
                <w:highlight w:val="none"/>
                <w:lang w:val="en-US" w:eastAsia="zh-CN"/>
              </w:rPr>
              <w:t>内容全面合理得1-3</w:t>
            </w:r>
            <w:r>
              <w:rPr>
                <w:rFonts w:hint="eastAsia" w:ascii="宋体" w:hAnsi="宋体" w:eastAsia="宋体" w:cs="宋体"/>
                <w:color w:val="auto"/>
                <w:sz w:val="21"/>
                <w:szCs w:val="21"/>
                <w:highlight w:val="none"/>
                <w:lang w:val="zh-CN" w:eastAsia="zh-CN"/>
              </w:rPr>
              <w:t>分。</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对本项目</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val="zh-CN" w:eastAsia="zh-CN"/>
              </w:rPr>
              <w:t>出合理化建议，有助于项目工作更加顺利进行，</w:t>
            </w:r>
            <w:r>
              <w:rPr>
                <w:rFonts w:hint="eastAsia" w:ascii="宋体" w:hAnsi="宋体" w:eastAsia="宋体" w:cs="宋体"/>
                <w:color w:val="auto"/>
                <w:sz w:val="21"/>
                <w:szCs w:val="21"/>
                <w:highlight w:val="none"/>
                <w:lang w:val="en-US" w:eastAsia="zh-CN"/>
              </w:rPr>
              <w:t>内容全面合理得1-2</w:t>
            </w:r>
            <w:r>
              <w:rPr>
                <w:rFonts w:hint="eastAsia" w:ascii="宋体" w:hAnsi="宋体" w:eastAsia="宋体" w:cs="宋体"/>
                <w:color w:val="auto"/>
                <w:sz w:val="21"/>
                <w:szCs w:val="21"/>
                <w:highlight w:val="none"/>
                <w:lang w:val="zh-CN" w:eastAsia="zh-CN"/>
              </w:rPr>
              <w:t>分。</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注：以上内容若有缺项、漏项，该项计0分。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727"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项目组成人员（12分）</w:t>
            </w:r>
          </w:p>
        </w:tc>
        <w:tc>
          <w:tcPr>
            <w:tcW w:w="7560"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项目负责人</w:t>
            </w:r>
            <w:r>
              <w:rPr>
                <w:rFonts w:hint="eastAsia" w:ascii="宋体" w:hAnsi="宋体" w:eastAsia="宋体" w:cs="宋体"/>
                <w:color w:val="auto"/>
                <w:sz w:val="21"/>
                <w:szCs w:val="21"/>
                <w:highlight w:val="none"/>
                <w:lang w:val="en-US" w:eastAsia="zh-CN"/>
              </w:rPr>
              <w:t>具有近三年</w:t>
            </w:r>
            <w:r>
              <w:rPr>
                <w:rFonts w:hint="eastAsia" w:ascii="宋体" w:hAnsi="宋体" w:eastAsia="宋体" w:cs="宋体"/>
                <w:color w:val="auto"/>
                <w:sz w:val="21"/>
                <w:szCs w:val="21"/>
                <w:highlight w:val="none"/>
                <w:lang w:val="zh-CN" w:eastAsia="zh-CN"/>
              </w:rPr>
              <w:t>（以合同签订时间为准）</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lang w:val="zh-CN" w:eastAsia="zh-CN"/>
              </w:rPr>
              <w:t>项目业绩</w:t>
            </w:r>
            <w:r>
              <w:rPr>
                <w:rFonts w:hint="eastAsia" w:ascii="宋体" w:hAnsi="宋体" w:eastAsia="宋体" w:cs="宋体"/>
                <w:color w:val="auto"/>
                <w:sz w:val="21"/>
                <w:szCs w:val="21"/>
                <w:highlight w:val="none"/>
                <w:lang w:val="en-US" w:eastAsia="zh-CN"/>
              </w:rPr>
              <w:t xml:space="preserve">合同复印件加盖公章（合同中须体现项目负责人姓名），每提供一个得2分，此项满分4分； </w:t>
            </w:r>
          </w:p>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.项目团队具有丰富的相关领域工作经验，人员配备齐全、合理得5-8分，人员配备基本满足项目实施得1-4分。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727" w:type="dxa"/>
            <w:vAlign w:val="center"/>
          </w:tcPr>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pPr>
              <w:adjustRightInd w:val="0"/>
              <w:snapToGrid w:val="0"/>
              <w:spacing w:line="33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7560" w:type="dxa"/>
            <w:vAlign w:val="center"/>
          </w:tcPr>
          <w:p>
            <w:pPr>
              <w:adjustRightInd w:val="0"/>
              <w:snapToGrid w:val="0"/>
              <w:spacing w:line="336"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近三年</w:t>
            </w:r>
            <w:r>
              <w:rPr>
                <w:rFonts w:hint="eastAsia" w:ascii="宋体" w:hAnsi="宋体" w:eastAsia="宋体" w:cs="宋体"/>
                <w:color w:val="auto"/>
                <w:sz w:val="21"/>
                <w:szCs w:val="21"/>
                <w:highlight w:val="none"/>
                <w:lang w:val="zh-CN" w:eastAsia="zh-CN"/>
              </w:rPr>
              <w:t>具有（以合同签订时间为准）</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lang w:val="zh-CN" w:eastAsia="zh-CN"/>
              </w:rPr>
              <w:t>项目业绩，响应文件中提供合同复印件加盖公章，每提供一个得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分。</w:t>
            </w:r>
          </w:p>
        </w:tc>
      </w:tr>
    </w:tbl>
    <w:p>
      <w:pPr>
        <w:autoSpaceDE w:val="0"/>
        <w:autoSpaceDN w:val="0"/>
        <w:spacing w:beforeLines="0" w:afterLines="0" w:line="420" w:lineRule="exact"/>
        <w:ind w:left="0" w:leftChars="0" w:firstLine="0" w:firstLineChars="0"/>
        <w:jc w:val="center"/>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详细评审表</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6.2磋商小组在评审过程中，发现响应文件出现下列情况之一者，按以下原则修正：</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6.2.1 大写金额与小写金额不一致的，以大写金额为准；</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6.2.2 总价金额与按单价汇总金额不一致的，以单价金额计算结果为准；</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6.2.3 单价金额小数点有明显错位的，应以总价为准，并修改单价；</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6.2.4 对不同文字文本响应文件的解释发生异议的，以中文文本为准；</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6.2.5 文字与图表不一致的，以文字为准；</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6.2.6 正本与副本不一致的，以正本为准；</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、对于符合政策性优惠的，其评标价按照以下规则进行计算调整。</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小企业的价格评分标准</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w:t>
      </w:r>
      <w:r>
        <w:rPr>
          <w:rFonts w:hint="eastAsia" w:ascii="宋体" w:hAnsi="宋体" w:eastAsia="宋体" w:cs="宋体"/>
          <w:color w:val="auto"/>
          <w:sz w:val="21"/>
          <w:szCs w:val="21"/>
          <w:highlight w:val="none"/>
          <w:lang w:eastAsia="zh-CN"/>
        </w:rPr>
        <w:t>中型、</w:t>
      </w:r>
      <w:r>
        <w:rPr>
          <w:rFonts w:hint="eastAsia" w:ascii="宋体" w:hAnsi="宋体" w:eastAsia="宋体" w:cs="宋体"/>
          <w:color w:val="auto"/>
          <w:sz w:val="21"/>
          <w:szCs w:val="21"/>
          <w:highlight w:val="none"/>
        </w:rPr>
        <w:t>小型企业产品的价格给予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%的扣除，用扣除后的价格参与评审，其评标价=投标报价*（1-</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（2）参加本项目的</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小企业须提供《中小企业声明函》，未提供的不视为</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小企业。</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须做出承诺，保证真实性，如有虚假，将依法承担相应责任。</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监狱企业的价格评分标准</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政府采购活动中，监狱企业视同小型、微型企业，享受预留份额、评审中价格扣除等政府采购促进中小企业发展的政府采购政策。对监狱企业产品的价格给予3%的扣除，用扣除后的价格参与评审，其评标价=投标报价*（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（2）监狱企业属于小型、微型企业的，不重复享受政策。 </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（3）监狱企业参加政府采购活动时，应当提供由省级以上监狱管理局、戒毒管理局（含新疆生产建设兵团）出具的属于监狱企业的证明文件。</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（4）监狱企业按《财政部司法部关于政府采购支持监狱企业发展有关问题的通知》（财库〔2014〕68号）文件规定标准执行。</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 残疾人福利性单位的价格评分标准</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%的扣除，用扣除后的价格参与评审，其评标价=投标报价*（1-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（2）残疾人福利性单位属于小型、微型企业的，不重复享受政策。</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（3）符合条件的残疾人福利性单位在参加政府采购活动时，应当提供本通知规定的《残疾人福利性单位声明函》，并对声明的真实性负责，未提供的不视为残疾人福利性单位。</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 节能产品、环境标志产品政策</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的品目为政府强制采购的节能产品，其他品目为政府优先采购的节能产品。投标响应的所有产品进入节能产品政府采购品目清单（有效期内）的，其评审价=投标报价*（1-3%）；（不是所有产品的不享受此项优惠）。</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（2）环境标志产品根据《财政部国家环保总局联合印发&lt;关于环境标志产品政府采购实施的意见&gt;》（财库【2006】90号）的规定，以“中国政府采购网”（http://www.</w:t>
      </w:r>
    </w:p>
    <w:p>
      <w:pPr>
        <w:autoSpaceDE w:val="0"/>
        <w:autoSpaceDN w:val="0"/>
        <w:spacing w:beforeLines="0" w:afterLines="0" w:line="420" w:lineRule="exact"/>
        <w:ind w:left="0" w:leftChars="0" w:firstLine="0" w:firstLineChars="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ccgp.gov.cn/）公布的最新一期环境标志产品政府采购清单为准。环保清单所列产品为政府优先采购产品。投标响应的所有产品进入环境标志产品政府采购品目清单（有效期内）的，其评审价=投标报价*（1-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%）；（不是所有产品的不享受此项优惠）。</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 对于不享受以上政策性优惠价格调整的，其评审价=报价人提交的磋商最终报价</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8、推荐成交候选人名单</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汇总磋商小组成员对每个磋商报价人的综合得分，按照评审得分由高到低顺序推荐3名成交候选人。</w:t>
      </w:r>
    </w:p>
    <w:p>
      <w:pPr>
        <w:autoSpaceDE w:val="0"/>
        <w:autoSpaceDN w:val="0"/>
        <w:spacing w:beforeLines="0" w:afterLines="0" w:line="420" w:lineRule="exact"/>
        <w:ind w:left="0" w:leftChars="0" w:firstLine="482"/>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四、否决投标条件</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1、总则</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本附件所集中列示的否决投标条件，是本章“评审办法”的组成部分，是对本章正文部分所规定的否决投标条件的总结和补充，如果出现相互矛盾的情况，以本章正文部分的规定为准。</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2、否决投标条件</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供应商或其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有下列情形之一的，否决其投标：</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有串通投标或弄虚作假或有其他违法行为的；</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不按磋商小组要求澄清、说明或补正的；</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在资格评审、符合性评审中，不符合评审办法前附表中规定的任何一项评审标准的；</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磋商响应文件完整性不符合竞争性磋商文件规定的；</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未按磋商文件规定的格式填写，或者关键内容不全或关键字迹模糊、无法辨认的；</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供应商递交两份或多份内容不同的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，或在一份</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中对同一招标项目有两个或多个报价的；</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磋商小组认定供应商以低于成本报价竞标的，且供应商不能合理说明或者不能提供相应证明材料的；</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 响应文件电子版与文字版报价数据不一致的；</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供应商私自改动磋商文件提供的工程量清单中的工程数量的；</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 其他经磋商小组确认的未能实质性响应竞争性磋商文件要求的；</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法律、法规及行业有规定的其他情形。</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3、串通投标</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有下列情形之一的，属于供应商相互串通投标：</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（1）供应商之间协商磋商报价等响应文件的实质性内容；</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（2）供应商之间约定中标人；</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（3）供应商之间约定部分供应商放弃投标或者中标；</w:t>
      </w:r>
    </w:p>
    <w:p>
      <w:pPr>
        <w:autoSpaceDE w:val="0"/>
        <w:autoSpaceDN w:val="0"/>
        <w:spacing w:beforeLines="0" w:afterLines="0" w:line="420" w:lineRule="exact"/>
        <w:ind w:left="0" w:leftChars="0" w:firstLine="480"/>
        <w:outlineLvl w:val="2"/>
        <w:rPr>
          <w:rFonts w:hint="eastAsia" w:ascii="宋体" w:hAnsi="宋体" w:eastAsia="宋体" w:cs="宋体"/>
          <w:color w:val="auto"/>
          <w:spacing w:val="-11"/>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pacing w:val="-6"/>
          <w:sz w:val="21"/>
          <w:szCs w:val="21"/>
          <w:highlight w:val="none"/>
        </w:rPr>
        <w:t>属于同一集团、协会、商会等组织成员的供应商按照该组织要求协同进行磋商</w:t>
      </w:r>
      <w:r>
        <w:rPr>
          <w:rFonts w:hint="eastAsia" w:ascii="宋体" w:hAnsi="宋体" w:eastAsia="宋体" w:cs="宋体"/>
          <w:color w:val="auto"/>
          <w:spacing w:val="-11"/>
          <w:sz w:val="21"/>
          <w:szCs w:val="21"/>
          <w:highlight w:val="none"/>
        </w:rPr>
        <w:t>；</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（5）供应商之间为谋取中标或者排斥特定供应商而采取的其他联合行动。</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有下列情形之一的，视为供应商相互串通投标：</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（2）不同供应商委托同一单位或者个人办理投标事宜；</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（3）不同供应商的响应文件载明的项目管理成员为同一人；</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（4）不同供应商的响应文件异常一致或者投标报价呈规律性差异；</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（6）不同供应商的磋商保证金从同一单位或者个人的账户转出；</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（7）不同供应商的响应文件由同一电脑编制、上传、或磋商报价用同一个预算编制软件密码锁制作或出自同一电子文档。</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4、弄虚作假</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供应商有下列情形之一的，属于弄虚作假的行为：</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使用伪造、变造的许可证件；</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提供虚假的财务状况或者业绩；</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提供虚假的项目负责人或者主要技术人员简历、劳动关系证明；</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提供虚假的信用状况；</w:t>
      </w:r>
    </w:p>
    <w:p>
      <w:pPr>
        <w:autoSpaceDE w:val="0"/>
        <w:autoSpaceDN w:val="0"/>
        <w:spacing w:beforeLines="0" w:afterLines="0" w:line="420" w:lineRule="exact"/>
        <w:ind w:left="0" w:leftChars="0" w:firstLine="48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其他弄虚作假的行为。</w:t>
      </w:r>
    </w:p>
    <w:p>
      <w:pPr>
        <w:autoSpaceDE w:val="0"/>
        <w:autoSpaceDN w:val="0"/>
        <w:spacing w:beforeLines="0" w:afterLines="0" w:line="500" w:lineRule="exact"/>
        <w:ind w:left="0" w:leftChars="0" w:firstLine="480"/>
        <w:rPr>
          <w:rFonts w:hint="eastAsia" w:ascii="宋体" w:hAnsi="宋体" w:eastAsia="宋体" w:cs="宋体"/>
          <w:color w:val="auto"/>
          <w:sz w:val="24"/>
          <w:szCs w:val="24"/>
          <w:highlight w:val="none"/>
        </w:rPr>
      </w:pPr>
    </w:p>
    <w:p>
      <w:pPr>
        <w:spacing w:before="156" w:after="156"/>
        <w:ind w:left="0" w:leftChars="0" w:firstLine="0" w:firstLineChars="0"/>
        <w:jc w:val="center"/>
        <w:outlineLvl w:val="0"/>
        <w:rPr>
          <w:rFonts w:hint="eastAsia" w:ascii="宋体" w:hAnsi="宋体" w:eastAsia="宋体" w:cs="宋体"/>
          <w:b/>
          <w:color w:val="auto"/>
          <w:kern w:val="44"/>
          <w:sz w:val="44"/>
          <w:szCs w:val="44"/>
          <w:highlight w:val="none"/>
        </w:rPr>
      </w:pPr>
      <w:bookmarkStart w:id="779" w:name="_Toc18401"/>
      <w:bookmarkStart w:id="780" w:name="_Toc5623"/>
    </w:p>
    <w:p>
      <w:pPr>
        <w:pStyle w:val="10"/>
        <w:rPr>
          <w:rFonts w:hint="eastAsia" w:ascii="宋体" w:hAnsi="宋体" w:eastAsia="宋体" w:cs="宋体"/>
          <w:b/>
          <w:color w:val="auto"/>
          <w:kern w:val="44"/>
          <w:sz w:val="44"/>
          <w:szCs w:val="44"/>
          <w:highlight w:val="none"/>
        </w:rPr>
      </w:pPr>
    </w:p>
    <w:p>
      <w:pPr>
        <w:pStyle w:val="22"/>
        <w:rPr>
          <w:rFonts w:hint="eastAsia" w:ascii="宋体" w:hAnsi="宋体" w:eastAsia="宋体" w:cs="宋体"/>
          <w:b/>
          <w:color w:val="auto"/>
          <w:kern w:val="44"/>
          <w:sz w:val="44"/>
          <w:szCs w:val="44"/>
          <w:highlight w:val="none"/>
        </w:rPr>
      </w:pPr>
    </w:p>
    <w:p>
      <w:pPr>
        <w:pStyle w:val="22"/>
        <w:rPr>
          <w:rFonts w:hint="eastAsia" w:ascii="宋体" w:hAnsi="宋体" w:eastAsia="宋体" w:cs="宋体"/>
          <w:b/>
          <w:color w:val="auto"/>
          <w:kern w:val="44"/>
          <w:sz w:val="44"/>
          <w:szCs w:val="44"/>
          <w:highlight w:val="none"/>
        </w:rPr>
      </w:pPr>
    </w:p>
    <w:p>
      <w:pPr>
        <w:pStyle w:val="22"/>
        <w:rPr>
          <w:rFonts w:hint="eastAsia" w:ascii="宋体" w:hAnsi="宋体" w:eastAsia="宋体" w:cs="宋体"/>
          <w:b/>
          <w:color w:val="auto"/>
          <w:kern w:val="44"/>
          <w:sz w:val="44"/>
          <w:szCs w:val="44"/>
          <w:highlight w:val="none"/>
        </w:rPr>
      </w:pPr>
    </w:p>
    <w:p>
      <w:pPr>
        <w:pStyle w:val="22"/>
        <w:rPr>
          <w:rFonts w:hint="eastAsia" w:ascii="宋体" w:hAnsi="宋体" w:eastAsia="宋体" w:cs="宋体"/>
          <w:b/>
          <w:color w:val="auto"/>
          <w:kern w:val="44"/>
          <w:sz w:val="44"/>
          <w:szCs w:val="44"/>
          <w:highlight w:val="none"/>
        </w:rPr>
      </w:pPr>
    </w:p>
    <w:p>
      <w:pPr>
        <w:spacing w:before="156" w:after="156"/>
        <w:ind w:left="0" w:leftChars="0" w:firstLine="0" w:firstLineChars="0"/>
        <w:jc w:val="center"/>
        <w:outlineLvl w:val="0"/>
        <w:rPr>
          <w:rFonts w:hint="eastAsia" w:ascii="宋体" w:hAnsi="宋体" w:eastAsia="宋体" w:cs="宋体"/>
          <w:b/>
          <w:color w:val="auto"/>
          <w:kern w:val="44"/>
          <w:sz w:val="44"/>
          <w:szCs w:val="44"/>
          <w:highlight w:val="none"/>
        </w:rPr>
      </w:pPr>
      <w:r>
        <w:rPr>
          <w:rFonts w:hint="eastAsia" w:ascii="宋体" w:hAnsi="宋体" w:eastAsia="宋体" w:cs="宋体"/>
          <w:b/>
          <w:color w:val="auto"/>
          <w:kern w:val="44"/>
          <w:sz w:val="44"/>
          <w:szCs w:val="44"/>
          <w:highlight w:val="none"/>
        </w:rPr>
        <w:t>第四章  合同文本</w:t>
      </w:r>
      <w:bookmarkEnd w:id="779"/>
      <w:r>
        <w:rPr>
          <w:rFonts w:hint="eastAsia" w:ascii="宋体" w:hAnsi="宋体" w:eastAsia="宋体" w:cs="宋体"/>
          <w:b/>
          <w:color w:val="auto"/>
          <w:kern w:val="44"/>
          <w:sz w:val="44"/>
          <w:szCs w:val="44"/>
          <w:highlight w:val="none"/>
        </w:rPr>
        <w:t>及主要条款</w:t>
      </w:r>
      <w:bookmarkEnd w:id="780"/>
    </w:p>
    <w:p>
      <w:pPr>
        <w:tabs>
          <w:tab w:val="left" w:pos="5040"/>
        </w:tabs>
        <w:spacing w:line="480" w:lineRule="atLeast"/>
        <w:jc w:val="center"/>
        <w:rPr>
          <w:rFonts w:hint="eastAsia" w:ascii="宋体" w:hAnsi="宋体" w:eastAsia="宋体" w:cs="宋体"/>
          <w:color w:val="auto"/>
          <w:sz w:val="28"/>
          <w:szCs w:val="28"/>
        </w:rPr>
      </w:pPr>
      <w:bookmarkStart w:id="781" w:name="_Toc2976"/>
      <w:r>
        <w:rPr>
          <w:rFonts w:hint="eastAsia" w:ascii="宋体" w:hAnsi="宋体" w:eastAsia="宋体" w:cs="宋体"/>
          <w:color w:val="auto"/>
          <w:sz w:val="28"/>
          <w:szCs w:val="28"/>
        </w:rPr>
        <w:t>(最终以甲乙双方实际协商签</w:t>
      </w:r>
      <w:r>
        <w:rPr>
          <w:rFonts w:hint="eastAsia" w:ascii="宋体" w:hAnsi="宋体" w:eastAsia="宋体" w:cs="宋体"/>
          <w:color w:val="auto"/>
          <w:sz w:val="28"/>
          <w:szCs w:val="28"/>
          <w:lang w:eastAsia="zh-CN"/>
        </w:rPr>
        <w:t>定</w:t>
      </w:r>
      <w:r>
        <w:rPr>
          <w:rFonts w:hint="eastAsia" w:ascii="宋体" w:hAnsi="宋体" w:eastAsia="宋体" w:cs="宋体"/>
          <w:color w:val="auto"/>
          <w:sz w:val="28"/>
          <w:szCs w:val="28"/>
        </w:rPr>
        <w:t>协议为准)</w:t>
      </w:r>
    </w:p>
    <w:p>
      <w:pPr>
        <w:numPr>
          <w:ilvl w:val="0"/>
          <w:numId w:val="0"/>
        </w:numPr>
        <w:adjustRightInd w:val="0"/>
        <w:spacing w:line="480" w:lineRule="exact"/>
        <w:jc w:val="both"/>
        <w:rPr>
          <w:rFonts w:hint="eastAsia" w:ascii="宋体" w:hAnsi="宋体" w:eastAsia="宋体" w:cs="宋体"/>
          <w:b/>
          <w:color w:val="auto"/>
          <w:sz w:val="30"/>
          <w:szCs w:val="30"/>
        </w:rPr>
      </w:pPr>
    </w:p>
    <w:p>
      <w:pPr>
        <w:keepNext w:val="0"/>
        <w:keepLines w:val="0"/>
        <w:pageBreakBefore w:val="0"/>
        <w:widowControl w:val="0"/>
        <w:kinsoku/>
        <w:wordWrap/>
        <w:overflowPunct/>
        <w:topLinePunct w:val="0"/>
        <w:autoSpaceDE/>
        <w:autoSpaceDN/>
        <w:bidi w:val="0"/>
        <w:adjustRightInd w:val="0"/>
        <w:spacing w:line="640" w:lineRule="exact"/>
        <w:jc w:val="center"/>
        <w:textAlignment w:val="baseline"/>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合同主要条款</w:t>
      </w:r>
    </w:p>
    <w:p>
      <w:pPr>
        <w:pStyle w:val="10"/>
        <w:rPr>
          <w:rFonts w:hint="eastAsia" w:ascii="宋体" w:hAnsi="宋体" w:eastAsia="宋体" w:cs="宋体"/>
          <w:b/>
          <w:color w:val="auto"/>
          <w:sz w:val="32"/>
          <w:szCs w:val="32"/>
          <w:highlight w:val="none"/>
        </w:rPr>
      </w:pPr>
    </w:p>
    <w:p>
      <w:pPr>
        <w:rPr>
          <w:rFonts w:hint="eastAsia" w:ascii="宋体" w:hAnsi="宋体" w:eastAsia="宋体" w:cs="宋体"/>
        </w:rPr>
      </w:pPr>
    </w:p>
    <w:p>
      <w:pPr>
        <w:spacing w:line="56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u w:val="single"/>
        </w:rPr>
        <w:t xml:space="preserve">            </w:t>
      </w:r>
      <w:r>
        <w:rPr>
          <w:rFonts w:hint="eastAsia" w:ascii="宋体" w:hAnsi="宋体" w:eastAsia="宋体" w:cs="宋体"/>
          <w:b/>
          <w:bCs/>
          <w:color w:val="auto"/>
          <w:sz w:val="48"/>
          <w:szCs w:val="48"/>
          <w:highlight w:val="none"/>
        </w:rPr>
        <w:t>设计合同</w:t>
      </w:r>
    </w:p>
    <w:p>
      <w:pPr>
        <w:topLinePunct/>
        <w:adjustRightInd w:val="0"/>
        <w:spacing w:line="360" w:lineRule="exact"/>
        <w:ind w:left="902" w:hanging="482"/>
        <w:jc w:val="center"/>
        <w:rPr>
          <w:rFonts w:hint="eastAsia" w:ascii="宋体" w:hAnsi="宋体" w:eastAsia="宋体" w:cs="宋体"/>
          <w:b/>
          <w:color w:val="auto"/>
          <w:kern w:val="0"/>
          <w:position w:val="-3"/>
          <w:sz w:val="24"/>
          <w:highlight w:val="none"/>
        </w:rPr>
      </w:pPr>
    </w:p>
    <w:p>
      <w:pPr>
        <w:pStyle w:val="10"/>
        <w:rPr>
          <w:rFonts w:hint="eastAsia" w:ascii="宋体" w:hAnsi="宋体" w:eastAsia="宋体" w:cs="宋体"/>
          <w:b/>
          <w:color w:val="auto"/>
          <w:position w:val="-3"/>
          <w:sz w:val="24"/>
          <w:highlight w:val="none"/>
        </w:rPr>
      </w:pPr>
    </w:p>
    <w:p>
      <w:pPr>
        <w:rPr>
          <w:rFonts w:hint="eastAsia" w:ascii="宋体" w:hAnsi="宋体" w:eastAsia="宋体" w:cs="宋体"/>
          <w:b/>
          <w:color w:val="auto"/>
          <w:kern w:val="0"/>
          <w:position w:val="-3"/>
          <w:sz w:val="24"/>
          <w:highlight w:val="none"/>
        </w:rPr>
      </w:pPr>
    </w:p>
    <w:p>
      <w:pPr>
        <w:pStyle w:val="10"/>
        <w:rPr>
          <w:rFonts w:hint="eastAsia" w:ascii="宋体" w:hAnsi="宋体" w:eastAsia="宋体" w:cs="宋体"/>
          <w:b/>
          <w:color w:val="auto"/>
          <w:position w:val="-3"/>
          <w:sz w:val="24"/>
          <w:highlight w:val="none"/>
        </w:rPr>
      </w:pPr>
    </w:p>
    <w:p>
      <w:pPr>
        <w:rPr>
          <w:rFonts w:hint="eastAsia" w:ascii="宋体" w:hAnsi="宋体" w:eastAsia="宋体" w:cs="宋体"/>
          <w:b/>
          <w:color w:val="auto"/>
          <w:kern w:val="0"/>
          <w:position w:val="-3"/>
          <w:sz w:val="24"/>
          <w:highlight w:val="none"/>
        </w:rPr>
      </w:pPr>
    </w:p>
    <w:p>
      <w:pPr>
        <w:pStyle w:val="10"/>
        <w:rPr>
          <w:rFonts w:hint="eastAsia" w:ascii="宋体" w:hAnsi="宋体" w:eastAsia="宋体" w:cs="宋体"/>
          <w:b/>
          <w:color w:val="auto"/>
          <w:position w:val="-3"/>
          <w:sz w:val="24"/>
          <w:highlight w:val="none"/>
        </w:rPr>
      </w:pPr>
    </w:p>
    <w:p>
      <w:pPr>
        <w:rPr>
          <w:rFonts w:hint="eastAsia" w:ascii="宋体" w:hAnsi="宋体" w:eastAsia="宋体" w:cs="宋体"/>
          <w:b/>
          <w:color w:val="auto"/>
          <w:kern w:val="0"/>
          <w:position w:val="-3"/>
          <w:sz w:val="24"/>
          <w:highlight w:val="none"/>
        </w:rPr>
      </w:pPr>
    </w:p>
    <w:p>
      <w:pPr>
        <w:ind w:left="0" w:leftChars="0" w:firstLine="0" w:firstLineChars="0"/>
        <w:rPr>
          <w:rFonts w:hint="eastAsia" w:ascii="宋体" w:hAnsi="宋体" w:eastAsia="宋体" w:cs="宋体"/>
          <w:color w:val="auto"/>
          <w:sz w:val="30"/>
          <w:szCs w:val="30"/>
          <w:highlight w:val="none"/>
        </w:rPr>
      </w:pPr>
    </w:p>
    <w:p>
      <w:pPr>
        <w:ind w:firstLine="2100" w:firstLineChars="700"/>
        <w:rPr>
          <w:rFonts w:hint="eastAsia" w:ascii="宋体" w:hAnsi="宋体" w:eastAsia="宋体" w:cs="宋体"/>
          <w:b/>
          <w:color w:val="auto"/>
          <w:kern w:val="0"/>
          <w:position w:val="-3"/>
          <w:sz w:val="30"/>
          <w:szCs w:val="30"/>
          <w:highlight w:val="none"/>
        </w:rPr>
      </w:pPr>
      <w:r>
        <w:rPr>
          <w:sz w:val="30"/>
        </w:rPr>
        <mc:AlternateContent>
          <mc:Choice Requires="wps">
            <w:drawing>
              <wp:anchor distT="0" distB="0" distL="114300" distR="114300" simplePos="0" relativeHeight="251664384" behindDoc="0" locked="0" layoutInCell="1" allowOverlap="1">
                <wp:simplePos x="0" y="0"/>
                <wp:positionH relativeFrom="column">
                  <wp:posOffset>2220595</wp:posOffset>
                </wp:positionH>
                <wp:positionV relativeFrom="paragraph">
                  <wp:posOffset>217805</wp:posOffset>
                </wp:positionV>
                <wp:extent cx="2063750" cy="6350"/>
                <wp:effectExtent l="0" t="0" r="0" b="0"/>
                <wp:wrapNone/>
                <wp:docPr id="6" name="直接连接符 6"/>
                <wp:cNvGraphicFramePr/>
                <a:graphic xmlns:a="http://schemas.openxmlformats.org/drawingml/2006/main">
                  <a:graphicData uri="http://schemas.microsoft.com/office/word/2010/wordprocessingShape">
                    <wps:wsp>
                      <wps:cNvCnPr/>
                      <wps:spPr>
                        <a:xfrm>
                          <a:off x="0" y="0"/>
                          <a:ext cx="2063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5pt;margin-top:17.15pt;height:0.5pt;width:162.5pt;z-index:251664384;mso-width-relative:page;mso-height-relative:page;" filled="f" stroked="t" coordsize="21600,21600" o:gfxdata="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1G5HPXAAAACQEA&#10;AA8AAAAAAAAAAQAgAAAAIgAAAGRycy9kb3ducmV2LnhtbFBLAQIUABQAAAAIAIdO4kA8DVLt4gEA&#10;ALQDAAAOAAAAAAAAAAEAIAAAACYBAABkcnMvZTJvRG9jLnhtbFBLBQYAAAAABgAGAFkBAAB6BQAA&#10;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sz w:val="30"/>
          <w:szCs w:val="30"/>
          <w:highlight w:val="none"/>
        </w:rPr>
        <w:t>发 包 人：</w:t>
      </w:r>
      <w:r>
        <w:rPr>
          <w:rFonts w:hint="eastAsia" w:ascii="宋体" w:hAnsi="宋体" w:eastAsia="宋体" w:cs="宋体"/>
          <w:b/>
          <w:bCs/>
          <w:color w:val="auto"/>
          <w:sz w:val="30"/>
          <w:szCs w:val="30"/>
          <w:highlight w:val="none"/>
          <w:u w:val="single"/>
        </w:rPr>
        <w:t xml:space="preserve">                </w:t>
      </w:r>
    </w:p>
    <w:p>
      <w:pPr>
        <w:pStyle w:val="10"/>
        <w:ind w:firstLine="2100" w:firstLineChars="700"/>
        <w:rPr>
          <w:rFonts w:hint="eastAsia" w:ascii="宋体" w:hAnsi="宋体" w:eastAsia="宋体" w:cs="宋体"/>
          <w:b/>
          <w:bCs/>
          <w:color w:val="auto"/>
          <w:sz w:val="30"/>
          <w:szCs w:val="30"/>
          <w:highlight w:val="none"/>
          <w:u w:val="single"/>
        </w:rPr>
      </w:pPr>
      <w:r>
        <w:rPr>
          <w:sz w:val="30"/>
        </w:rPr>
        <mc:AlternateContent>
          <mc:Choice Requires="wps">
            <w:drawing>
              <wp:anchor distT="0" distB="0" distL="114300" distR="114300" simplePos="0" relativeHeight="251665408" behindDoc="0" locked="0" layoutInCell="1" allowOverlap="1">
                <wp:simplePos x="0" y="0"/>
                <wp:positionH relativeFrom="column">
                  <wp:posOffset>2239645</wp:posOffset>
                </wp:positionH>
                <wp:positionV relativeFrom="paragraph">
                  <wp:posOffset>234315</wp:posOffset>
                </wp:positionV>
                <wp:extent cx="2063750" cy="6350"/>
                <wp:effectExtent l="0" t="0" r="0" b="0"/>
                <wp:wrapNone/>
                <wp:docPr id="7" name="直接连接符 7"/>
                <wp:cNvGraphicFramePr/>
                <a:graphic xmlns:a="http://schemas.openxmlformats.org/drawingml/2006/main">
                  <a:graphicData uri="http://schemas.microsoft.com/office/word/2010/wordprocessingShape">
                    <wps:wsp>
                      <wps:cNvCnPr/>
                      <wps:spPr>
                        <a:xfrm>
                          <a:off x="0" y="0"/>
                          <a:ext cx="2063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6.35pt;margin-top:18.45pt;height:0.5pt;width:162.5pt;z-index:251665408;mso-width-relative:page;mso-height-relative:page;" filled="f" stroked="t" coordsize="21600,21600" o:gfxdata="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rqTB1wAAAAkB&#10;AAAPAAAAAAAAAAEAIAAAACIAAABkcnMvZG93bnJldi54bWxQSwECFAAUAAAACACHTuJAKTLdl+MB&#10;AAC0AwAADgAAAAAAAAABACAAAAAmAQAAZHJzL2Uyb0RvYy54bWxQSwUGAAAAAAYABgBZAQAAewUA&#10;A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sz w:val="30"/>
          <w:szCs w:val="30"/>
          <w:highlight w:val="none"/>
        </w:rPr>
        <w:t>设 计 人：</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b/>
          <w:bCs/>
          <w:color w:val="auto"/>
          <w:sz w:val="30"/>
          <w:szCs w:val="30"/>
          <w:highlight w:val="none"/>
          <w:u w:val="single"/>
        </w:rPr>
        <w:t xml:space="preserve">                </w:t>
      </w:r>
    </w:p>
    <w:p>
      <w:pPr>
        <w:tabs>
          <w:tab w:val="left" w:pos="1419"/>
          <w:tab w:val="left" w:pos="2379"/>
          <w:tab w:val="left" w:pos="3359"/>
        </w:tabs>
        <w:ind w:firstLine="2100" w:firstLineChars="700"/>
        <w:jc w:val="left"/>
        <w:rPr>
          <w:rFonts w:hint="eastAsia" w:ascii="宋体" w:hAnsi="宋体" w:eastAsia="宋体" w:cs="宋体"/>
          <w:color w:val="auto"/>
          <w:sz w:val="30"/>
          <w:szCs w:val="30"/>
          <w:highlight w:val="none"/>
        </w:rPr>
      </w:pPr>
      <w:r>
        <w:rPr>
          <w:sz w:val="30"/>
        </w:rPr>
        <mc:AlternateContent>
          <mc:Choice Requires="wps">
            <w:drawing>
              <wp:anchor distT="0" distB="0" distL="114300" distR="114300" simplePos="0" relativeHeight="251663360" behindDoc="0" locked="0" layoutInCell="1" allowOverlap="1">
                <wp:simplePos x="0" y="0"/>
                <wp:positionH relativeFrom="column">
                  <wp:posOffset>2226945</wp:posOffset>
                </wp:positionH>
                <wp:positionV relativeFrom="paragraph">
                  <wp:posOffset>219075</wp:posOffset>
                </wp:positionV>
                <wp:extent cx="2063750" cy="6350"/>
                <wp:effectExtent l="0" t="0" r="0" b="0"/>
                <wp:wrapNone/>
                <wp:docPr id="5" name="直接连接符 5"/>
                <wp:cNvGraphicFramePr/>
                <a:graphic xmlns:a="http://schemas.openxmlformats.org/drawingml/2006/main">
                  <a:graphicData uri="http://schemas.microsoft.com/office/word/2010/wordprocessingShape">
                    <wps:wsp>
                      <wps:cNvCnPr/>
                      <wps:spPr>
                        <a:xfrm>
                          <a:off x="3383280" y="8176895"/>
                          <a:ext cx="2063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5.35pt;margin-top:17.25pt;height:0.5pt;width:162.5pt;z-index:251663360;mso-width-relative:page;mso-height-relative:page;" filled="f" stroked="t" coordsize="21600,21600" o:gfxdata="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pfTm1gAAAAkBAAAPAAAAAAAAAAEAIAAAACIAAABkcnMvZG93bnJldi54bWxQSwECFAAUAAAA&#10;CACHTuJAOnEM3fABAADAAwAADgAAAAAAAAABACAAAAAlAQAAZHJzL2Uyb0RvYy54bWxQSwUGAAAA&#10;AAYABgBZAQAAhwUAA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sz w:val="30"/>
          <w:szCs w:val="30"/>
          <w:highlight w:val="none"/>
        </w:rPr>
        <w:t>签订日期：</w:t>
      </w:r>
      <w:r>
        <w:rPr>
          <w:rFonts w:hint="eastAsia" w:ascii="宋体" w:hAnsi="宋体" w:eastAsia="宋体" w:cs="宋体"/>
          <w:b/>
          <w:bCs/>
          <w:color w:val="auto"/>
          <w:sz w:val="30"/>
          <w:szCs w:val="30"/>
          <w:highlight w:val="none"/>
          <w:u w:val="single"/>
        </w:rPr>
        <w:t xml:space="preserve">                </w:t>
      </w:r>
    </w:p>
    <w:p>
      <w:pPr>
        <w:rPr>
          <w:rFonts w:hint="eastAsia" w:ascii="宋体" w:hAnsi="宋体" w:eastAsia="宋体" w:cs="宋体"/>
          <w:b/>
          <w:bCs/>
          <w:color w:val="auto"/>
          <w:sz w:val="48"/>
          <w:szCs w:val="48"/>
          <w:highlight w:val="none"/>
          <w:u w:val="single"/>
        </w:rPr>
      </w:pPr>
    </w:p>
    <w:p>
      <w:pPr>
        <w:pStyle w:val="10"/>
        <w:rPr>
          <w:rFonts w:hint="eastAsia" w:ascii="宋体" w:hAnsi="宋体" w:eastAsia="宋体" w:cs="宋体"/>
          <w:color w:val="auto"/>
          <w:highlight w:val="none"/>
        </w:rPr>
      </w:pP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spacing w:line="500" w:lineRule="exact"/>
        <w:rPr>
          <w:rFonts w:hint="eastAsia" w:ascii="宋体" w:hAnsi="宋体" w:eastAsia="宋体" w:cs="宋体"/>
          <w:b/>
          <w:color w:val="auto"/>
          <w:kern w:val="0"/>
          <w:position w:val="-3"/>
          <w:sz w:val="24"/>
          <w:szCs w:val="24"/>
          <w:highlight w:val="none"/>
        </w:rPr>
      </w:pPr>
      <w:r>
        <w:rPr>
          <w:sz w:val="30"/>
        </w:rPr>
        <mc:AlternateContent>
          <mc:Choice Requires="wps">
            <w:drawing>
              <wp:anchor distT="0" distB="0" distL="114300" distR="114300" simplePos="0" relativeHeight="251666432" behindDoc="0" locked="0" layoutInCell="1" allowOverlap="1">
                <wp:simplePos x="0" y="0"/>
                <wp:positionH relativeFrom="column">
                  <wp:posOffset>1125220</wp:posOffset>
                </wp:positionH>
                <wp:positionV relativeFrom="paragraph">
                  <wp:posOffset>273685</wp:posOffset>
                </wp:positionV>
                <wp:extent cx="2063750" cy="635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063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8.6pt;margin-top:21.55pt;height:0.5pt;width:162.5pt;z-index:251666432;mso-width-relative:page;mso-height-relative:page;" filled="f" stroked="t" coordsize="21600,21600" o:gfxdata="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1bzNfWAAAACQEA&#10;AA8AAAAAAAAAAQAgAAAAIgAAAGRycy9kb3ducmV2LnhtbFBLAQIUABQAAAAIAIdO4kB4nz9Q4wEA&#10;ALYDAAAOAAAAAAAAAAEAIAAAACUBAABkcnMvZTJvRG9jLnhtbFBLBQYAAAAABgAGAFkBAAB6BQAA&#10;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sz w:val="24"/>
          <w:szCs w:val="24"/>
          <w:highlight w:val="none"/>
          <w:lang w:val="en-US" w:eastAsia="zh-CN" w:bidi="ar-SA"/>
        </w:rPr>
        <w:t>发 包 人</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rPr>
        <w:t xml:space="preserve">              </w:t>
      </w:r>
    </w:p>
    <w:p>
      <w:pPr>
        <w:pStyle w:val="10"/>
        <w:spacing w:line="500" w:lineRule="exact"/>
        <w:rPr>
          <w:rFonts w:hint="eastAsia" w:ascii="宋体" w:hAnsi="宋体" w:eastAsia="宋体" w:cs="宋体"/>
          <w:b/>
          <w:bCs/>
          <w:color w:val="auto"/>
          <w:sz w:val="24"/>
          <w:szCs w:val="24"/>
          <w:highlight w:val="none"/>
          <w:u w:val="single"/>
        </w:rPr>
      </w:pPr>
      <w:r>
        <w:rPr>
          <w:sz w:val="30"/>
        </w:rPr>
        <mc:AlternateContent>
          <mc:Choice Requires="wps">
            <w:drawing>
              <wp:anchor distT="0" distB="0" distL="114300" distR="114300" simplePos="0" relativeHeight="251667456" behindDoc="0" locked="0" layoutInCell="1" allowOverlap="1">
                <wp:simplePos x="0" y="0"/>
                <wp:positionH relativeFrom="column">
                  <wp:posOffset>1159510</wp:posOffset>
                </wp:positionH>
                <wp:positionV relativeFrom="paragraph">
                  <wp:posOffset>236855</wp:posOffset>
                </wp:positionV>
                <wp:extent cx="2063750" cy="635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063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1.3pt;margin-top:18.65pt;height:0.5pt;width:162.5pt;z-index:251667456;mso-width-relative:page;mso-height-relative:page;" filled="f" stroked="t" coordsize="21600,21600" o:gfxdata="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72T/LWAAAACQEA&#10;AA8AAAAAAAAAAQAgAAAAIgAAAGRycy9kb3ducmV2LnhtbFBLAQIUABQAAAAIAIdO4kCSw2CP4wEA&#10;ALYDAAAOAAAAAAAAAAEAIAAAACUBAABkcnMvZTJvRG9jLnhtbFBLBQYAAAAABgAGAFkBAAB6BQAA&#10;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sz w:val="24"/>
          <w:szCs w:val="24"/>
          <w:highlight w:val="none"/>
        </w:rPr>
        <w:t>设 计 人：</w:t>
      </w:r>
      <w:r>
        <w:rPr>
          <w:rFonts w:hint="eastAsia" w:ascii="宋体" w:hAnsi="宋体" w:eastAsia="宋体" w:cs="宋体"/>
          <w:b/>
          <w:bCs/>
          <w:color w:val="auto"/>
          <w:sz w:val="24"/>
          <w:szCs w:val="24"/>
          <w:highlight w:val="none"/>
          <w:u w:val="single"/>
        </w:rPr>
        <w:t xml:space="preserve">               </w:t>
      </w:r>
    </w:p>
    <w:p>
      <w:pPr>
        <w:spacing w:line="5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发包人委托设计人承担</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，经双方协商一致，签订本合同。</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本合同依据下列文件签订：</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lang w:val="en-US" w:eastAsia="zh-CN"/>
        </w:rPr>
        <w:t>&lt;合同编&gt;</w:t>
      </w:r>
      <w:r>
        <w:rPr>
          <w:rFonts w:hint="eastAsia" w:ascii="宋体" w:hAnsi="宋体" w:eastAsia="宋体" w:cs="宋体"/>
          <w:color w:val="auto"/>
          <w:sz w:val="24"/>
          <w:szCs w:val="24"/>
          <w:highlight w:val="none"/>
        </w:rPr>
        <w:t>》、《建设工程勘察设计市场管理规定》。</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1.2国家及地方有关建设工程勘察设计管理法规和规章。</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本合同设计项目的名称、规模、投资及设计费</w:t>
      </w:r>
      <w:r>
        <w:rPr>
          <w:rFonts w:hint="eastAsia" w:ascii="宋体" w:hAnsi="宋体" w:eastAsia="宋体" w:cs="宋体"/>
          <w:color w:val="auto"/>
          <w:sz w:val="24"/>
          <w:szCs w:val="24"/>
          <w:highlight w:val="none"/>
          <w:lang w:val="en-US" w:eastAsia="zh-CN"/>
        </w:rPr>
        <w:t>/设计费率</w:t>
      </w:r>
      <w:r>
        <w:rPr>
          <w:rFonts w:hint="eastAsia" w:ascii="宋体" w:hAnsi="宋体" w:eastAsia="宋体" w:cs="宋体"/>
          <w:color w:val="auto"/>
          <w:sz w:val="24"/>
          <w:szCs w:val="24"/>
          <w:highlight w:val="none"/>
        </w:rPr>
        <w:t>：</w:t>
      </w:r>
    </w:p>
    <w:p>
      <w:pPr>
        <w:pStyle w:val="10"/>
        <w:tabs>
          <w:tab w:val="left" w:pos="3219"/>
        </w:tabs>
        <w:spacing w:line="500" w:lineRule="exact"/>
        <w:ind w:left="0" w:leftChars="0" w:firstLine="600" w:firstLineChars="200"/>
        <w:rPr>
          <w:rFonts w:hint="eastAsia" w:ascii="宋体" w:hAnsi="宋体" w:eastAsia="宋体" w:cs="宋体"/>
          <w:color w:val="auto"/>
          <w:sz w:val="24"/>
          <w:szCs w:val="24"/>
          <w:highlight w:val="none"/>
        </w:rPr>
      </w:pPr>
      <w:r>
        <w:rPr>
          <w:sz w:val="30"/>
        </w:rPr>
        <mc:AlternateContent>
          <mc:Choice Requires="wps">
            <w:drawing>
              <wp:anchor distT="0" distB="0" distL="114300" distR="114300" simplePos="0" relativeHeight="251668480" behindDoc="0" locked="0" layoutInCell="1" allowOverlap="1">
                <wp:simplePos x="0" y="0"/>
                <wp:positionH relativeFrom="column">
                  <wp:posOffset>1208405</wp:posOffset>
                </wp:positionH>
                <wp:positionV relativeFrom="paragraph">
                  <wp:posOffset>264795</wp:posOffset>
                </wp:positionV>
                <wp:extent cx="2063750" cy="635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2063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15pt;margin-top:20.85pt;height:0.5pt;width:162.5pt;z-index:251668480;mso-width-relative:page;mso-height-relative:page;" filled="f" stroked="t" coordsize="21600,21600" o:gfxdata="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tBorHWAAAACQEA&#10;AA8AAAAAAAAAAQAgAAAAIgAAAGRycy9kb3ducmV2LnhtbFBLAQIUABQAAAAIAIdO4kCYjl9a4wEA&#10;ALYDAAAOAAAAAAAAAAEAIAAAACUBAABkcnMvZTJvRG9jLnhtbFBLBQYAAAAABgAGAFkBAAB6BQAA&#10;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pStyle w:val="10"/>
        <w:tabs>
          <w:tab w:val="left" w:pos="3219"/>
        </w:tabs>
        <w:spacing w:line="500" w:lineRule="exact"/>
        <w:ind w:firstLine="600" w:firstLineChars="200"/>
        <w:rPr>
          <w:rFonts w:hint="eastAsia" w:ascii="宋体" w:hAnsi="宋体" w:eastAsia="宋体" w:cs="宋体"/>
          <w:color w:val="auto"/>
          <w:sz w:val="24"/>
          <w:szCs w:val="24"/>
          <w:highlight w:val="none"/>
        </w:rPr>
      </w:pPr>
      <w:r>
        <w:rPr>
          <w:sz w:val="30"/>
        </w:rPr>
        <mc:AlternateContent>
          <mc:Choice Requires="wps">
            <w:drawing>
              <wp:anchor distT="0" distB="0" distL="114300" distR="114300" simplePos="0" relativeHeight="251669504" behindDoc="0" locked="0" layoutInCell="1" allowOverlap="1">
                <wp:simplePos x="0" y="0"/>
                <wp:positionH relativeFrom="column">
                  <wp:posOffset>903605</wp:posOffset>
                </wp:positionH>
                <wp:positionV relativeFrom="paragraph">
                  <wp:posOffset>266065</wp:posOffset>
                </wp:positionV>
                <wp:extent cx="2063750" cy="635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063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1.15pt;margin-top:20.95pt;height:0.5pt;width:162.5pt;z-index:251669504;mso-width-relative:page;mso-height-relative:page;" filled="f" stroked="t" coordsize="21600,21600" o:gfxdata="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dL/e1wAAAAkB&#10;AAAPAAAAAAAAAAEAIAAAACIAAABkcnMvZG93bnJldi54bWxQSwECFAAUAAAACACHTuJA7SDwNeMB&#10;AAC2AwAADgAAAAAAAAABACAAAAAmAQAAZHJzL2Uyb0RvYy54bWxQSwUGAAAAAAYABgBZAQAAewUA&#10;A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sz w:val="24"/>
          <w:szCs w:val="24"/>
          <w:highlight w:val="none"/>
        </w:rPr>
        <w:t>规模：</w:t>
      </w:r>
      <w:r>
        <w:rPr>
          <w:rFonts w:hint="eastAsia" w:ascii="宋体" w:hAnsi="宋体" w:eastAsia="宋体" w:cs="宋体"/>
          <w:color w:val="auto"/>
          <w:sz w:val="24"/>
          <w:szCs w:val="24"/>
          <w:highlight w:val="none"/>
          <w:u w:val="single"/>
        </w:rPr>
        <w:t xml:space="preserve">                              </w:t>
      </w:r>
    </w:p>
    <w:p>
      <w:pPr>
        <w:pStyle w:val="10"/>
        <w:tabs>
          <w:tab w:val="left" w:pos="3219"/>
        </w:tabs>
        <w:spacing w:line="500" w:lineRule="exact"/>
        <w:ind w:firstLine="600" w:firstLineChars="200"/>
        <w:rPr>
          <w:rFonts w:hint="eastAsia" w:ascii="宋体" w:hAnsi="宋体" w:eastAsia="宋体" w:cs="宋体"/>
          <w:color w:val="auto"/>
          <w:sz w:val="24"/>
          <w:szCs w:val="24"/>
          <w:highlight w:val="none"/>
        </w:rPr>
      </w:pPr>
      <w:r>
        <w:rPr>
          <w:sz w:val="30"/>
        </w:rPr>
        <mc:AlternateContent>
          <mc:Choice Requires="wps">
            <w:drawing>
              <wp:anchor distT="0" distB="0" distL="114300" distR="114300" simplePos="0" relativeHeight="251670528" behindDoc="0" locked="0" layoutInCell="1" allowOverlap="1">
                <wp:simplePos x="0" y="0"/>
                <wp:positionH relativeFrom="column">
                  <wp:posOffset>1124585</wp:posOffset>
                </wp:positionH>
                <wp:positionV relativeFrom="paragraph">
                  <wp:posOffset>274320</wp:posOffset>
                </wp:positionV>
                <wp:extent cx="2063750" cy="635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2063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8.55pt;margin-top:21.6pt;height:0.5pt;width:162.5pt;z-index:251670528;mso-width-relative:page;mso-height-relative:page;" filled="f" stroked="t" coordsize="21600,21600" o:gfxdata="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Dlt3WAAAACQEA&#10;AA8AAAAAAAAAAQAgAAAAIgAAAGRycy9kb3ducmV2LnhtbFBLAQIUABQAAAAIAIdO4kBy0gCF4wEA&#10;ALYDAAAOAAAAAAAAAAEAIAAAACUBAABkcnMvZTJvRG9jLnhtbFBLBQYAAAAABgAGAFkBAAB6BQAA&#10;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sz w:val="24"/>
          <w:szCs w:val="24"/>
          <w:highlight w:val="none"/>
        </w:rPr>
        <w:t>投资额度：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0"/>
        <w:tabs>
          <w:tab w:val="left" w:pos="3219"/>
        </w:tabs>
        <w:spacing w:line="500" w:lineRule="exact"/>
        <w:ind w:firstLine="600" w:firstLineChars="200"/>
        <w:rPr>
          <w:rFonts w:hint="eastAsia" w:ascii="宋体" w:hAnsi="宋体" w:eastAsia="宋体" w:cs="宋体"/>
          <w:color w:val="auto"/>
          <w:sz w:val="24"/>
          <w:szCs w:val="24"/>
          <w:highlight w:val="none"/>
        </w:rPr>
      </w:pPr>
      <w:r>
        <w:rPr>
          <w:sz w:val="30"/>
        </w:rPr>
        <mc:AlternateContent>
          <mc:Choice Requires="wps">
            <w:drawing>
              <wp:anchor distT="0" distB="0" distL="114300" distR="114300" simplePos="0" relativeHeight="251671552" behindDoc="0" locked="0" layoutInCell="1" allowOverlap="1">
                <wp:simplePos x="0" y="0"/>
                <wp:positionH relativeFrom="column">
                  <wp:posOffset>1664970</wp:posOffset>
                </wp:positionH>
                <wp:positionV relativeFrom="paragraph">
                  <wp:posOffset>254635</wp:posOffset>
                </wp:positionV>
                <wp:extent cx="2063750" cy="635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2063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1.1pt;margin-top:20.05pt;height:0.5pt;width:162.5pt;z-index:251671552;mso-width-relative:page;mso-height-relative:page;" filled="f" stroked="t" coordsize="21600,21600" o:gfxdata="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p9hovWAAAACQEA&#10;AA8AAAAAAAAAAQAgAAAAIgAAAGRycy9kb3ducmV2LnhtbFBLAQIUABQAAAAIAIdO4kAHfK/q4wEA&#10;ALYDAAAOAAAAAAAAAAEAIAAAACUBAABkcnMvZTJvRG9jLnhtbFBLBQYAAAAABgAGAFkBAAB6BQAA&#10;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sz w:val="24"/>
          <w:szCs w:val="24"/>
          <w:highlight w:val="none"/>
        </w:rPr>
        <w:t>设计费</w:t>
      </w:r>
      <w:r>
        <w:rPr>
          <w:rFonts w:hint="eastAsia" w:ascii="宋体" w:hAnsi="宋体" w:eastAsia="宋体" w:cs="宋体"/>
          <w:color w:val="auto"/>
          <w:sz w:val="24"/>
          <w:szCs w:val="24"/>
          <w:highlight w:val="none"/>
          <w:lang w:val="en-US" w:eastAsia="zh-CN"/>
        </w:rPr>
        <w:t>/设计费率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发包人应向设计人提交的有关资料及文件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167"/>
        <w:gridCol w:w="1761"/>
        <w:gridCol w:w="1761"/>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67"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资料及文件名称</w:t>
            </w:r>
          </w:p>
        </w:tc>
        <w:tc>
          <w:tcPr>
            <w:tcW w:w="1761"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1761"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提交日期</w:t>
            </w:r>
          </w:p>
        </w:tc>
        <w:tc>
          <w:tcPr>
            <w:tcW w:w="1763"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67"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c>
          <w:tcPr>
            <w:tcW w:w="1761"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c>
          <w:tcPr>
            <w:tcW w:w="1761"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c>
          <w:tcPr>
            <w:tcW w:w="1763"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67"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c>
          <w:tcPr>
            <w:tcW w:w="1761"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c>
          <w:tcPr>
            <w:tcW w:w="1761"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c>
          <w:tcPr>
            <w:tcW w:w="1763"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67"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c>
          <w:tcPr>
            <w:tcW w:w="1761"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c>
          <w:tcPr>
            <w:tcW w:w="1761"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c>
          <w:tcPr>
            <w:tcW w:w="1763" w:type="dxa"/>
            <w:noWrap w:val="0"/>
            <w:vAlign w:val="center"/>
          </w:tcPr>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p>
        </w:tc>
      </w:tr>
    </w:tbl>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设计人应向发包人交付的设计资料及文件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231"/>
        <w:gridCol w:w="1751"/>
        <w:gridCol w:w="1751"/>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31"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资料及文件名称</w:t>
            </w:r>
          </w:p>
        </w:tc>
        <w:tc>
          <w:tcPr>
            <w:tcW w:w="1751"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1751"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提交日期</w:t>
            </w:r>
          </w:p>
        </w:tc>
        <w:tc>
          <w:tcPr>
            <w:tcW w:w="1752"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31"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c>
          <w:tcPr>
            <w:tcW w:w="1751"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c>
          <w:tcPr>
            <w:tcW w:w="1751"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c>
          <w:tcPr>
            <w:tcW w:w="1752"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31"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c>
          <w:tcPr>
            <w:tcW w:w="1751"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c>
          <w:tcPr>
            <w:tcW w:w="1751"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c>
          <w:tcPr>
            <w:tcW w:w="1752"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noWrap w:val="0"/>
            <w:vAlign w:val="center"/>
          </w:tcPr>
          <w:p>
            <w:pPr>
              <w:pStyle w:val="10"/>
              <w:tabs>
                <w:tab w:val="left" w:pos="3219"/>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31"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c>
          <w:tcPr>
            <w:tcW w:w="1751"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c>
          <w:tcPr>
            <w:tcW w:w="1751"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c>
          <w:tcPr>
            <w:tcW w:w="1752" w:type="dxa"/>
            <w:noWrap w:val="0"/>
            <w:vAlign w:val="center"/>
          </w:tcPr>
          <w:p>
            <w:pPr>
              <w:tabs>
                <w:tab w:val="left" w:pos="5925"/>
                <w:tab w:val="left" w:pos="6345"/>
                <w:tab w:val="left" w:pos="8020"/>
              </w:tabs>
              <w:topLinePunct/>
              <w:adjustRightInd w:val="0"/>
              <w:jc w:val="center"/>
              <w:rPr>
                <w:rFonts w:hint="eastAsia" w:ascii="宋体" w:hAnsi="宋体" w:eastAsia="宋体" w:cs="宋体"/>
                <w:color w:val="auto"/>
                <w:kern w:val="0"/>
                <w:sz w:val="24"/>
                <w:szCs w:val="24"/>
                <w:highlight w:val="none"/>
              </w:rPr>
            </w:pPr>
          </w:p>
        </w:tc>
      </w:tr>
    </w:tbl>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合同价款及支付方式</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5.1合同价款</w:t>
      </w:r>
    </w:p>
    <w:p>
      <w:pPr>
        <w:pStyle w:val="10"/>
        <w:tabs>
          <w:tab w:val="left" w:pos="3219"/>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合同价款为供应商中标金额，中标金额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元</w:t>
      </w:r>
      <w:r>
        <w:rPr>
          <w:rFonts w:hint="eastAsia" w:ascii="宋体" w:hAnsi="宋体" w:eastAsia="宋体" w:cs="宋体"/>
          <w:color w:val="auto"/>
          <w:sz w:val="24"/>
          <w:szCs w:val="24"/>
          <w:highlight w:val="none"/>
          <w:lang w:eastAsia="zh-CN"/>
        </w:rPr>
        <w:t>，合同总价一次包死，包括本项目所需一切费用。</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支付方式</w:t>
      </w:r>
    </w:p>
    <w:p>
      <w:pPr>
        <w:pStyle w:val="10"/>
        <w:tabs>
          <w:tab w:val="left" w:pos="3219"/>
        </w:tabs>
        <w:spacing w:line="500" w:lineRule="exact"/>
        <w:ind w:firstLine="468" w:firstLineChars="200"/>
        <w:rPr>
          <w:rFonts w:hint="eastAsia" w:ascii="宋体" w:hAnsi="宋体" w:eastAsia="宋体" w:cs="宋体"/>
          <w:color w:val="auto"/>
          <w:spacing w:val="-3"/>
          <w:sz w:val="24"/>
          <w:szCs w:val="24"/>
          <w:highlight w:val="none"/>
          <w:lang w:val="zh-CN"/>
        </w:rPr>
      </w:pPr>
      <w:r>
        <w:rPr>
          <w:rFonts w:hint="eastAsia" w:ascii="宋体" w:hAnsi="宋体" w:eastAsia="宋体" w:cs="宋体"/>
          <w:color w:val="auto"/>
          <w:spacing w:val="-3"/>
          <w:sz w:val="24"/>
          <w:szCs w:val="24"/>
          <w:highlight w:val="none"/>
          <w:lang w:val="zh-CN"/>
        </w:rPr>
        <w:t>本设计项目无预付款；</w:t>
      </w:r>
      <w:r>
        <w:rPr>
          <w:rFonts w:hint="eastAsia" w:ascii="宋体" w:hAnsi="宋体" w:eastAsia="宋体" w:cs="宋体"/>
          <w:color w:val="auto"/>
          <w:spacing w:val="-3"/>
          <w:sz w:val="24"/>
          <w:szCs w:val="24"/>
          <w:highlight w:val="none"/>
          <w:lang w:val="en-US" w:eastAsia="zh-CN"/>
        </w:rPr>
        <w:t>工程设计阶段完成后一次性付款</w:t>
      </w:r>
      <w:r>
        <w:rPr>
          <w:rFonts w:hint="eastAsia" w:ascii="宋体" w:hAnsi="宋体" w:eastAsia="宋体" w:cs="宋体"/>
          <w:color w:val="auto"/>
          <w:spacing w:val="-3"/>
          <w:sz w:val="24"/>
          <w:szCs w:val="24"/>
          <w:highlight w:val="none"/>
          <w:lang w:val="zh-CN"/>
        </w:rPr>
        <w:t>。付款时乙方同时开具等额增值税发票。</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双方责任</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6.1发包人责任：</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6.1.1发包人按本合同第三条规定的内容，在规定的时间内向设计人提交资料及文件，并对其完整性、正确性及时限负责，发包人不得要求设计人违反国家有关标准进行设计。</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发包人提交上述资料及文件超过规定期限15天以内，设计人按合同第四条规定交付设计文件时间顺延；超过规定期限15天以上时，设计人员有权重新确定提交设计文件的时间。</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6.1.2发包人变更委托设计项目、规模、条件或因提交的资料错误，或所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资料作较大修改，以致造成设计人设计需返工时，双方除需另行协商签订补充合同（或另订合同）、重新明确有关条款外，发包人应按设计人所耗工作量向设计人支付设计费。</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6.1.3发包人要求设计人比合同规定时间提前提交付设计资料及文件时，如果设计人能够做到，发包人应根据设计人提前投入的工作量，向设计人支付赶工费。</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6.1.4发包人应为派赴现场处理有关设计问题的工作人员，提供必要的工作生活及交通等方便条件。</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6.2设计人责任：</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6.2.1设计人应按照国家技术规范、标准、规程及发包人提出的设</w:t>
      </w:r>
      <w:r>
        <w:rPr>
          <w:rFonts w:hint="eastAsia" w:ascii="宋体" w:hAnsi="宋体" w:eastAsia="宋体" w:cs="宋体"/>
          <w:color w:val="auto"/>
          <w:spacing w:val="-2"/>
          <w:sz w:val="24"/>
          <w:szCs w:val="24"/>
          <w:highlight w:val="none"/>
        </w:rPr>
        <w:t>计要求，进行工程</w:t>
      </w:r>
      <w:r>
        <w:rPr>
          <w:rFonts w:hint="eastAsia" w:ascii="宋体" w:hAnsi="宋体" w:eastAsia="宋体" w:cs="宋体"/>
          <w:color w:val="auto"/>
          <w:sz w:val="24"/>
          <w:szCs w:val="24"/>
          <w:highlight w:val="none"/>
        </w:rPr>
        <w:t>设计</w:t>
      </w:r>
      <w:r>
        <w:rPr>
          <w:rFonts w:hint="eastAsia" w:ascii="宋体" w:hAnsi="宋体" w:eastAsia="宋体" w:cs="宋体"/>
          <w:color w:val="auto"/>
          <w:spacing w:val="-2"/>
          <w:sz w:val="24"/>
          <w:szCs w:val="24"/>
          <w:highlight w:val="none"/>
        </w:rPr>
        <w:t>，按合同规定的</w:t>
      </w:r>
      <w:r>
        <w:rPr>
          <w:rFonts w:hint="eastAsia" w:ascii="宋体" w:hAnsi="宋体" w:eastAsia="宋体" w:cs="宋体"/>
          <w:color w:val="auto"/>
          <w:sz w:val="24"/>
          <w:szCs w:val="24"/>
          <w:highlight w:val="none"/>
        </w:rPr>
        <w:t>进度</w:t>
      </w:r>
      <w:r>
        <w:rPr>
          <w:rFonts w:hint="eastAsia" w:ascii="宋体" w:hAnsi="宋体" w:eastAsia="宋体" w:cs="宋体"/>
          <w:color w:val="auto"/>
          <w:spacing w:val="-2"/>
          <w:sz w:val="24"/>
          <w:szCs w:val="24"/>
          <w:highlight w:val="none"/>
        </w:rPr>
        <w:t>要求提交质量合格的设计资料，</w:t>
      </w:r>
      <w:r>
        <w:rPr>
          <w:rFonts w:hint="eastAsia" w:ascii="宋体" w:hAnsi="宋体" w:eastAsia="宋体" w:cs="宋体"/>
          <w:color w:val="auto"/>
          <w:spacing w:val="5"/>
          <w:sz w:val="24"/>
          <w:szCs w:val="24"/>
          <w:highlight w:val="none"/>
        </w:rPr>
        <w:t>并对其负责。</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6.2.2设计人采用的主要技术标准为：国家相关现行规范。</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设计人按本合同第二条和第四条规定的内容、进度及份数</w:t>
      </w:r>
      <w:r>
        <w:rPr>
          <w:rFonts w:hint="eastAsia" w:ascii="宋体" w:hAnsi="宋体" w:eastAsia="宋体" w:cs="宋体"/>
          <w:color w:val="auto"/>
          <w:spacing w:val="-18"/>
          <w:sz w:val="24"/>
          <w:szCs w:val="24"/>
          <w:highlight w:val="none"/>
        </w:rPr>
        <w:t>向</w:t>
      </w:r>
      <w:r>
        <w:rPr>
          <w:rFonts w:hint="eastAsia" w:ascii="宋体" w:hAnsi="宋体" w:eastAsia="宋体" w:cs="宋体"/>
          <w:color w:val="auto"/>
          <w:sz w:val="24"/>
          <w:szCs w:val="24"/>
          <w:highlight w:val="none"/>
        </w:rPr>
        <w:t>发包人交付设计资料及文件。</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w:t>
      </w:r>
      <w:r>
        <w:rPr>
          <w:rFonts w:hint="eastAsia" w:ascii="宋体" w:hAnsi="宋体" w:eastAsia="宋体" w:cs="宋体"/>
          <w:color w:val="auto"/>
          <w:spacing w:val="-18"/>
          <w:sz w:val="24"/>
          <w:szCs w:val="24"/>
          <w:highlight w:val="none"/>
        </w:rPr>
        <w:t>人</w:t>
      </w:r>
      <w:r>
        <w:rPr>
          <w:rFonts w:hint="eastAsia" w:ascii="宋体" w:hAnsi="宋体" w:eastAsia="宋体" w:cs="宋体"/>
          <w:color w:val="auto"/>
          <w:sz w:val="24"/>
          <w:szCs w:val="24"/>
          <w:highlight w:val="none"/>
        </w:rPr>
        <w:t>适当收取咨询服务费，收费额由双方商定。</w:t>
      </w:r>
    </w:p>
    <w:p>
      <w:pPr>
        <w:pStyle w:val="10"/>
        <w:tabs>
          <w:tab w:val="left" w:pos="3219"/>
        </w:tabs>
        <w:spacing w:line="500" w:lineRule="exact"/>
        <w:ind w:firstLine="480" w:firstLineChars="200"/>
        <w:rPr>
          <w:rFonts w:hint="eastAsia" w:ascii="宋体" w:hAnsi="宋体" w:eastAsia="宋体" w:cs="宋体"/>
          <w:color w:val="auto"/>
          <w:spacing w:val="-18"/>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设计人应保护发包人的知识产权，不得向第三人泄露、转</w:t>
      </w:r>
      <w:r>
        <w:rPr>
          <w:rFonts w:hint="eastAsia" w:ascii="宋体" w:hAnsi="宋体" w:eastAsia="宋体" w:cs="宋体"/>
          <w:color w:val="auto"/>
          <w:spacing w:val="-18"/>
          <w:sz w:val="24"/>
          <w:szCs w:val="24"/>
          <w:highlight w:val="none"/>
        </w:rPr>
        <w:t>让</w:t>
      </w:r>
      <w:r>
        <w:rPr>
          <w:rFonts w:hint="eastAsia" w:ascii="宋体" w:hAnsi="宋体" w:eastAsia="宋体" w:cs="宋体"/>
          <w:color w:val="auto"/>
          <w:sz w:val="24"/>
          <w:szCs w:val="24"/>
          <w:highlight w:val="none"/>
        </w:rPr>
        <w:t>发包人提交的产品图纸等技术经济资料。如发生以上情况并给发包人造成经济损失，发包人有权向设计人索赔</w:t>
      </w:r>
      <w:r>
        <w:rPr>
          <w:rFonts w:hint="eastAsia" w:ascii="宋体" w:hAnsi="宋体" w:eastAsia="宋体" w:cs="宋体"/>
          <w:color w:val="auto"/>
          <w:spacing w:val="-18"/>
          <w:sz w:val="24"/>
          <w:szCs w:val="24"/>
          <w:highlight w:val="none"/>
        </w:rPr>
        <w:t>。</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违约责任：</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7.1在合同履行期间，发包人要求终止或解除合同，设计人未开始设计工作的，不退还发包人已付的定金；已开始设计工作的，发包人应根据设计人已进行的实际工作量，不足一半时，按该阶段设计费的一半支付</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超过一半时，按该阶段设计费的全部支付。</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7.2发包人应按本合同第五条规定的金额和时间向设计人支付设计费，每逾期支付一天，应承担应支付金额千分之二的逾期违约金。</w:t>
      </w:r>
    </w:p>
    <w:p>
      <w:pPr>
        <w:pStyle w:val="10"/>
        <w:tabs>
          <w:tab w:val="left" w:pos="3219"/>
        </w:tabs>
        <w:spacing w:line="500" w:lineRule="exact"/>
        <w:ind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7.3设计人对设计资料及文件出现的遗漏或错误负责修改或补充。</w:t>
      </w:r>
      <w:r>
        <w:rPr>
          <w:rFonts w:hint="eastAsia" w:ascii="宋体" w:hAnsi="宋体" w:eastAsia="宋体" w:cs="宋体"/>
          <w:color w:val="auto"/>
          <w:sz w:val="24"/>
          <w:szCs w:val="24"/>
          <w:highlight w:val="none"/>
        </w:rPr>
        <w:t>由于设计人员错误造成工程质量事故损失，设计人除负责采取补救措施外，应免收直接受损失部分的设计费，损失严重的根据损失的程度和设计人责任大小向发包人支付赔偿金。</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7.3由于设计人自身原因，延误了按本合同第四条规定的设计资料及设计的文件交付时间，每延误一天，应减收该项目应收设计费的千分之二；</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7.4合同生效后，设计人要求终止或解除合同，设计人应双倍返还定金。</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其他</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8.1发包人要求设计人派专人留驻施工现场进行配合与解决有关问题时，双方应另行签订补充协议或技术咨询服务合同。</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8.2设计人为本合同项目所采用的国家或地方标准图，由发包人自费向有关出版部门购买。本合同第四条规定设计人交付的设计文件份数超过《工程设计收费标准》规定的份数，设计人员另收工本费。</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8.3甲方委托乙方承担本合同内容之外的工作服务，另行支付费用。</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8.4由于不可抗力因素致使合同无法履行时，双方应及时协商解决。</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8.5本合同在履行过程中发生的争议，由双方当事人协商解决，协商不成时，按下列第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种方式解决：</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（一）提交</w:t>
      </w:r>
      <w:r>
        <w:rPr>
          <w:rFonts w:hint="eastAsia" w:ascii="宋体" w:hAnsi="宋体" w:eastAsia="宋体" w:cs="宋体"/>
          <w:color w:val="auto"/>
          <w:sz w:val="24"/>
          <w:szCs w:val="24"/>
          <w:highlight w:val="none"/>
          <w:lang w:eastAsia="zh-CN"/>
        </w:rPr>
        <w:t>合同签订</w:t>
      </w:r>
      <w:r>
        <w:rPr>
          <w:rFonts w:hint="eastAsia" w:ascii="宋体" w:hAnsi="宋体" w:eastAsia="宋体" w:cs="宋体"/>
          <w:color w:val="auto"/>
          <w:sz w:val="24"/>
          <w:szCs w:val="24"/>
          <w:highlight w:val="none"/>
        </w:rPr>
        <w:t>地仲裁委员会仲裁；</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（二）依法向人民法院起诉。</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8.6本合同一式</w:t>
      </w:r>
      <w:r>
        <w:rPr>
          <w:rFonts w:hint="eastAsia" w:ascii="宋体" w:hAnsi="宋体" w:eastAsia="宋体" w:cs="宋体"/>
          <w:color w:val="auto"/>
          <w:sz w:val="24"/>
          <w:szCs w:val="24"/>
          <w:highlight w:val="none"/>
          <w:lang w:eastAsia="zh-CN"/>
        </w:rPr>
        <w:t>四份</w:t>
      </w: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份，设计人</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份。</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8.7本合同经双方签章并在发包人向设计人支付定金后生效。</w:t>
      </w:r>
    </w:p>
    <w:p>
      <w:pPr>
        <w:pStyle w:val="10"/>
        <w:tabs>
          <w:tab w:val="left" w:pos="3219"/>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8.8本合同未尽事宜，双方可</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补充协议，有关协议及双方认可的来往电报、传真、会议纪要等，均为本合同组成部分，与本合同具有同等法律效力。</w:t>
      </w:r>
    </w:p>
    <w:p>
      <w:pPr>
        <w:pStyle w:val="10"/>
        <w:tabs>
          <w:tab w:val="left" w:pos="3219"/>
        </w:tabs>
        <w:spacing w:line="500" w:lineRule="exact"/>
        <w:ind w:firstLine="520" w:firstLineChars="20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8.9</w:t>
      </w:r>
      <w:r>
        <w:rPr>
          <w:rFonts w:hint="eastAsia" w:ascii="宋体" w:hAnsi="宋体" w:eastAsia="宋体" w:cs="宋体"/>
          <w:color w:val="auto"/>
          <w:spacing w:val="10"/>
          <w:sz w:val="24"/>
          <w:szCs w:val="24"/>
          <w:highlight w:val="none"/>
          <w:lang w:eastAsia="zh-CN"/>
        </w:rPr>
        <w:t>其他</w:t>
      </w:r>
      <w:r>
        <w:rPr>
          <w:rFonts w:hint="eastAsia" w:ascii="宋体" w:hAnsi="宋体" w:eastAsia="宋体" w:cs="宋体"/>
          <w:color w:val="auto"/>
          <w:spacing w:val="10"/>
          <w:sz w:val="24"/>
          <w:szCs w:val="24"/>
          <w:highlight w:val="none"/>
        </w:rPr>
        <w:t>约定事项：</w:t>
      </w:r>
    </w:p>
    <w:p>
      <w:pPr>
        <w:pStyle w:val="10"/>
        <w:tabs>
          <w:tab w:val="left" w:pos="3219"/>
        </w:tabs>
        <w:spacing w:line="500" w:lineRule="exact"/>
        <w:ind w:firstLine="52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本工程所用到的相关</w:t>
      </w:r>
      <w:r>
        <w:rPr>
          <w:rFonts w:hint="eastAsia" w:ascii="宋体" w:hAnsi="宋体" w:eastAsia="宋体" w:cs="宋体"/>
          <w:color w:val="auto"/>
          <w:sz w:val="24"/>
          <w:szCs w:val="24"/>
          <w:highlight w:val="none"/>
        </w:rPr>
        <w:t>专业</w:t>
      </w:r>
      <w:r>
        <w:rPr>
          <w:rFonts w:hint="eastAsia" w:ascii="宋体" w:hAnsi="宋体" w:eastAsia="宋体" w:cs="宋体"/>
          <w:color w:val="auto"/>
          <w:spacing w:val="10"/>
          <w:sz w:val="24"/>
          <w:szCs w:val="24"/>
          <w:highlight w:val="none"/>
        </w:rPr>
        <w:t>资质均</w:t>
      </w:r>
      <w:r>
        <w:rPr>
          <w:rFonts w:hint="eastAsia" w:ascii="宋体" w:hAnsi="宋体" w:eastAsia="宋体" w:cs="宋体"/>
          <w:color w:val="auto"/>
          <w:spacing w:val="10"/>
          <w:sz w:val="24"/>
          <w:szCs w:val="24"/>
          <w:highlight w:val="none"/>
          <w:lang w:eastAsia="zh-CN"/>
        </w:rPr>
        <w:t>由</w:t>
      </w:r>
      <w:r>
        <w:rPr>
          <w:rFonts w:hint="eastAsia" w:ascii="宋体" w:hAnsi="宋体" w:eastAsia="宋体" w:cs="宋体"/>
          <w:color w:val="auto"/>
          <w:spacing w:val="10"/>
          <w:sz w:val="24"/>
          <w:szCs w:val="24"/>
          <w:highlight w:val="none"/>
        </w:rPr>
        <w:t>乙方提供，必须满足相关规定。</w:t>
      </w:r>
    </w:p>
    <w:p>
      <w:pPr>
        <w:pStyle w:val="10"/>
        <w:keepNext w:val="0"/>
        <w:keepLines w:val="0"/>
        <w:pageBreakBefore w:val="0"/>
        <w:widowControl w:val="0"/>
        <w:tabs>
          <w:tab w:val="left" w:pos="6639"/>
        </w:tabs>
        <w:kinsoku/>
        <w:wordWrap/>
        <w:overflowPunct/>
        <w:topLinePunct w:val="0"/>
        <w:autoSpaceDE/>
        <w:autoSpaceDN/>
        <w:bidi w:val="0"/>
        <w:adjustRightInd/>
        <w:snapToGrid/>
        <w:spacing w:before="41" w:line="240" w:lineRule="exact"/>
        <w:textAlignment w:val="auto"/>
        <w:rPr>
          <w:rFonts w:hint="eastAsia" w:ascii="宋体" w:hAnsi="宋体" w:eastAsia="宋体" w:cs="宋体"/>
          <w:color w:val="auto"/>
          <w:sz w:val="24"/>
          <w:szCs w:val="24"/>
          <w:highlight w:val="none"/>
        </w:rPr>
      </w:pPr>
    </w:p>
    <w:p>
      <w:pPr>
        <w:pStyle w:val="10"/>
        <w:keepNext w:val="0"/>
        <w:keepLines w:val="0"/>
        <w:pageBreakBefore w:val="0"/>
        <w:widowControl w:val="0"/>
        <w:tabs>
          <w:tab w:val="left" w:pos="6639"/>
        </w:tabs>
        <w:kinsoku/>
        <w:wordWrap/>
        <w:overflowPunct/>
        <w:topLinePunct w:val="0"/>
        <w:autoSpaceDE/>
        <w:autoSpaceDN/>
        <w:bidi w:val="0"/>
        <w:adjustRightInd/>
        <w:snapToGrid/>
        <w:spacing w:beforeLines="0" w:afterLines="0"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发包人名称：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设计人名称：</w:t>
      </w:r>
    </w:p>
    <w:p>
      <w:pPr>
        <w:pStyle w:val="10"/>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pPr>
        <w:pStyle w:val="10"/>
        <w:keepNext w:val="0"/>
        <w:keepLines w:val="0"/>
        <w:pageBreakBefore w:val="0"/>
        <w:widowControl w:val="0"/>
        <w:tabs>
          <w:tab w:val="left" w:pos="6859"/>
        </w:tabs>
        <w:kinsoku/>
        <w:wordWrap/>
        <w:overflowPunct/>
        <w:topLinePunct w:val="0"/>
        <w:autoSpaceDE/>
        <w:autoSpaceDN/>
        <w:bidi w:val="0"/>
        <w:adjustRightInd/>
        <w:snapToGrid/>
        <w:spacing w:beforeLines="0" w:afterLines="0"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w:t>
      </w:r>
    </w:p>
    <w:p>
      <w:pPr>
        <w:pStyle w:val="10"/>
        <w:keepNext w:val="0"/>
        <w:keepLines w:val="0"/>
        <w:pageBreakBefore w:val="0"/>
        <w:widowControl w:val="0"/>
        <w:tabs>
          <w:tab w:val="left" w:pos="6859"/>
        </w:tabs>
        <w:kinsoku/>
        <w:wordWrap/>
        <w:overflowPunct/>
        <w:topLinePunct w:val="0"/>
        <w:autoSpaceDE/>
        <w:autoSpaceDN/>
        <w:bidi w:val="0"/>
        <w:adjustRightInd/>
        <w:snapToGrid/>
        <w:spacing w:beforeLines="0" w:afterLines="0"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p>
    <w:p>
      <w:pPr>
        <w:pStyle w:val="10"/>
        <w:keepNext w:val="0"/>
        <w:keepLines w:val="0"/>
        <w:pageBreakBefore w:val="0"/>
        <w:widowControl w:val="0"/>
        <w:tabs>
          <w:tab w:val="left" w:pos="1239"/>
          <w:tab w:val="left" w:pos="6879"/>
          <w:tab w:val="left" w:pos="7539"/>
        </w:tabs>
        <w:kinsoku/>
        <w:wordWrap/>
        <w:overflowPunct/>
        <w:topLinePunct w:val="0"/>
        <w:autoSpaceDE/>
        <w:autoSpaceDN/>
        <w:bidi w:val="0"/>
        <w:adjustRightInd/>
        <w:snapToGrid/>
        <w:spacing w:beforeLines="0" w:afterLines="0"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住    所：</w:t>
      </w:r>
    </w:p>
    <w:p>
      <w:pPr>
        <w:pStyle w:val="10"/>
        <w:keepNext w:val="0"/>
        <w:keepLines w:val="0"/>
        <w:pageBreakBefore w:val="0"/>
        <w:widowControl w:val="0"/>
        <w:tabs>
          <w:tab w:val="left" w:pos="7079"/>
        </w:tabs>
        <w:kinsoku/>
        <w:wordWrap/>
        <w:overflowPunct/>
        <w:topLinePunct w:val="0"/>
        <w:autoSpaceDE/>
        <w:autoSpaceDN/>
        <w:bidi w:val="0"/>
        <w:adjustRightInd/>
        <w:snapToGrid/>
        <w:spacing w:beforeLines="0" w:afterLines="0"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p>
    <w:p>
      <w:pPr>
        <w:pStyle w:val="10"/>
        <w:keepNext w:val="0"/>
        <w:keepLines w:val="0"/>
        <w:pageBreakBefore w:val="0"/>
        <w:widowControl w:val="0"/>
        <w:tabs>
          <w:tab w:val="left" w:pos="1679"/>
          <w:tab w:val="left" w:pos="7079"/>
          <w:tab w:val="left" w:pos="8219"/>
        </w:tabs>
        <w:kinsoku/>
        <w:wordWrap/>
        <w:overflowPunct/>
        <w:topLinePunct w:val="0"/>
        <w:autoSpaceDE/>
        <w:autoSpaceDN/>
        <w:bidi w:val="0"/>
        <w:adjustRightInd/>
        <w:snapToGrid/>
        <w:spacing w:beforeLines="0" w:afterLines="0"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p>
    <w:p>
      <w:pPr>
        <w:pStyle w:val="10"/>
        <w:keepNext w:val="0"/>
        <w:keepLines w:val="0"/>
        <w:pageBreakBefore w:val="0"/>
        <w:widowControl w:val="0"/>
        <w:tabs>
          <w:tab w:val="left" w:pos="1679"/>
          <w:tab w:val="left" w:pos="7079"/>
          <w:tab w:val="left" w:pos="8219"/>
        </w:tabs>
        <w:kinsoku/>
        <w:wordWrap/>
        <w:overflowPunct/>
        <w:topLinePunct w:val="0"/>
        <w:autoSpaceDE/>
        <w:autoSpaceDN/>
        <w:bidi w:val="0"/>
        <w:adjustRightInd/>
        <w:snapToGrid/>
        <w:spacing w:beforeLines="0" w:afterLines="0"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    真：</w:t>
      </w:r>
    </w:p>
    <w:p>
      <w:pPr>
        <w:pStyle w:val="10"/>
        <w:keepNext w:val="0"/>
        <w:keepLines w:val="0"/>
        <w:pageBreakBefore w:val="0"/>
        <w:widowControl w:val="0"/>
        <w:tabs>
          <w:tab w:val="left" w:pos="7079"/>
        </w:tabs>
        <w:kinsoku/>
        <w:wordWrap/>
        <w:overflowPunct/>
        <w:topLinePunct w:val="0"/>
        <w:autoSpaceDE/>
        <w:autoSpaceDN/>
        <w:bidi w:val="0"/>
        <w:adjustRightInd/>
        <w:snapToGrid/>
        <w:spacing w:beforeLines="0" w:afterLines="0"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p>
    <w:p>
      <w:pPr>
        <w:pStyle w:val="10"/>
        <w:keepNext w:val="0"/>
        <w:keepLines w:val="0"/>
        <w:pageBreakBefore w:val="0"/>
        <w:widowControl w:val="0"/>
        <w:tabs>
          <w:tab w:val="left" w:pos="7079"/>
        </w:tabs>
        <w:kinsoku/>
        <w:wordWrap/>
        <w:overflowPunct/>
        <w:topLinePunct w:val="0"/>
        <w:autoSpaceDE/>
        <w:autoSpaceDN/>
        <w:bidi w:val="0"/>
        <w:adjustRightInd/>
        <w:snapToGrid/>
        <w:spacing w:beforeLines="0" w:afterLines="0"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银行账号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银行账号</w:t>
      </w:r>
      <w:r>
        <w:rPr>
          <w:rFonts w:hint="eastAsia" w:ascii="宋体" w:hAnsi="宋体" w:eastAsia="宋体" w:cs="宋体"/>
          <w:color w:val="auto"/>
          <w:sz w:val="24"/>
          <w:szCs w:val="24"/>
          <w:highlight w:val="none"/>
        </w:rPr>
        <w:t>：</w:t>
      </w:r>
    </w:p>
    <w:p>
      <w:pPr>
        <w:pStyle w:val="10"/>
        <w:keepNext w:val="0"/>
        <w:keepLines w:val="0"/>
        <w:pageBreakBefore w:val="0"/>
        <w:widowControl w:val="0"/>
        <w:kinsoku/>
        <w:wordWrap/>
        <w:overflowPunct/>
        <w:topLinePunct w:val="0"/>
        <w:autoSpaceDE/>
        <w:autoSpaceDN/>
        <w:bidi w:val="0"/>
        <w:adjustRightInd/>
        <w:snapToGrid/>
        <w:spacing w:before="213" w:line="240" w:lineRule="exact"/>
        <w:ind w:left="340" w:firstLine="960" w:firstLineChars="400"/>
        <w:textAlignment w:val="auto"/>
        <w:rPr>
          <w:rFonts w:hint="eastAsia" w:ascii="宋体" w:hAnsi="宋体" w:eastAsia="宋体" w:cs="宋体"/>
          <w:color w:val="auto"/>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213" w:line="2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rPr>
          <w:rFonts w:hint="eastAsia" w:ascii="宋体" w:hAnsi="宋体" w:eastAsia="宋体" w:cs="宋体"/>
          <w:sz w:val="21"/>
          <w:szCs w:val="21"/>
        </w:rPr>
      </w:pPr>
    </w:p>
    <w:p>
      <w:pPr>
        <w:numPr>
          <w:ilvl w:val="0"/>
          <w:numId w:val="0"/>
        </w:numPr>
        <w:spacing w:before="156" w:after="156"/>
        <w:ind w:leftChars="0"/>
        <w:jc w:val="center"/>
        <w:outlineLvl w:val="0"/>
        <w:rPr>
          <w:rFonts w:hint="eastAsia" w:ascii="宋体" w:hAnsi="宋体" w:eastAsia="宋体" w:cs="宋体"/>
          <w:b/>
          <w:color w:val="auto"/>
          <w:kern w:val="44"/>
          <w:sz w:val="44"/>
          <w:szCs w:val="44"/>
          <w:highlight w:val="none"/>
          <w:lang w:val="en-US" w:eastAsia="zh-CN"/>
        </w:rPr>
      </w:pPr>
    </w:p>
    <w:p>
      <w:pPr>
        <w:numPr>
          <w:ilvl w:val="0"/>
          <w:numId w:val="0"/>
        </w:numPr>
        <w:spacing w:before="156" w:after="156"/>
        <w:ind w:leftChars="0"/>
        <w:jc w:val="center"/>
        <w:outlineLvl w:val="0"/>
        <w:rPr>
          <w:rFonts w:hint="eastAsia" w:ascii="宋体" w:hAnsi="宋体" w:eastAsia="宋体" w:cs="宋体"/>
          <w:b/>
          <w:color w:val="auto"/>
          <w:kern w:val="44"/>
          <w:sz w:val="44"/>
          <w:szCs w:val="44"/>
          <w:highlight w:val="none"/>
          <w:lang w:val="en-US" w:eastAsia="zh-CN"/>
        </w:rPr>
      </w:pPr>
    </w:p>
    <w:p>
      <w:pPr>
        <w:pStyle w:val="10"/>
        <w:rPr>
          <w:rFonts w:hint="eastAsia" w:ascii="宋体" w:hAnsi="宋体" w:eastAsia="宋体" w:cs="宋体"/>
          <w:b/>
          <w:color w:val="auto"/>
          <w:kern w:val="44"/>
          <w:sz w:val="44"/>
          <w:szCs w:val="44"/>
          <w:highlight w:val="none"/>
          <w:lang w:val="en-US" w:eastAsia="zh-CN"/>
        </w:rPr>
      </w:pPr>
    </w:p>
    <w:p>
      <w:pPr>
        <w:rPr>
          <w:rFonts w:hint="eastAsia" w:ascii="宋体" w:hAnsi="宋体" w:eastAsia="宋体" w:cs="宋体"/>
          <w:b/>
          <w:color w:val="auto"/>
          <w:kern w:val="44"/>
          <w:sz w:val="44"/>
          <w:szCs w:val="44"/>
          <w:highlight w:val="none"/>
          <w:lang w:val="en-US" w:eastAsia="zh-CN"/>
        </w:rPr>
      </w:pPr>
    </w:p>
    <w:p>
      <w:pPr>
        <w:pStyle w:val="10"/>
        <w:rPr>
          <w:rFonts w:hint="eastAsia" w:ascii="宋体" w:hAnsi="宋体" w:eastAsia="宋体" w:cs="宋体"/>
          <w:b/>
          <w:color w:val="auto"/>
          <w:kern w:val="44"/>
          <w:sz w:val="44"/>
          <w:szCs w:val="44"/>
          <w:highlight w:val="none"/>
          <w:lang w:val="en-US" w:eastAsia="zh-CN"/>
        </w:rPr>
      </w:pPr>
    </w:p>
    <w:p>
      <w:pPr>
        <w:rPr>
          <w:rFonts w:hint="eastAsia"/>
          <w:lang w:val="en-US" w:eastAsia="zh-CN"/>
        </w:rPr>
      </w:pPr>
    </w:p>
    <w:p>
      <w:pPr>
        <w:numPr>
          <w:ilvl w:val="0"/>
          <w:numId w:val="0"/>
        </w:numPr>
        <w:spacing w:before="156" w:after="156"/>
        <w:ind w:leftChars="0"/>
        <w:jc w:val="center"/>
        <w:outlineLvl w:val="0"/>
        <w:rPr>
          <w:rFonts w:hint="eastAsia" w:ascii="宋体" w:hAnsi="宋体" w:eastAsia="宋体" w:cs="宋体"/>
          <w:b/>
          <w:color w:val="auto"/>
          <w:kern w:val="44"/>
          <w:sz w:val="44"/>
          <w:szCs w:val="44"/>
          <w:highlight w:val="none"/>
          <w:lang w:val="en-US" w:eastAsia="zh-CN"/>
        </w:rPr>
      </w:pPr>
      <w:r>
        <w:rPr>
          <w:rFonts w:hint="eastAsia" w:ascii="宋体" w:hAnsi="宋体" w:eastAsia="宋体" w:cs="宋体"/>
          <w:b/>
          <w:color w:val="auto"/>
          <w:kern w:val="44"/>
          <w:sz w:val="44"/>
          <w:szCs w:val="44"/>
          <w:highlight w:val="none"/>
          <w:lang w:val="en-US" w:eastAsia="zh-CN"/>
        </w:rPr>
        <w:t>第五章 采购内容及要求</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firstLine="482"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bCs/>
          <w:color w:val="auto"/>
          <w:sz w:val="24"/>
        </w:rPr>
        <w:t>1、项目名称：</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三原县2023年部分公路工程设计项目</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rPr>
        <w:t>2、采购内容：</w:t>
      </w:r>
      <w:r>
        <w:rPr>
          <w:rFonts w:hint="eastAsia" w:ascii="宋体" w:hAnsi="宋体" w:eastAsia="宋体" w:cs="宋体"/>
          <w:color w:val="auto"/>
          <w:sz w:val="24"/>
          <w:szCs w:val="24"/>
          <w:highlight w:val="none"/>
          <w:lang w:val="en-US" w:eastAsia="zh-CN"/>
        </w:rPr>
        <w:t>合同包1：</w:t>
      </w:r>
      <w:r>
        <w:rPr>
          <w:rFonts w:hint="eastAsia" w:ascii="宋体" w:hAnsi="宋体" w:eastAsia="宋体" w:cs="宋体"/>
          <w:color w:val="auto"/>
          <w:sz w:val="24"/>
          <w:szCs w:val="24"/>
          <w:highlight w:val="none"/>
        </w:rPr>
        <w:t>三马路东里至双槐段改建工程，项目全长7.75公里，路基宽度7.5米，三级公里技术标准，沥青混凝土路面，主要设计路基、路面、桥涵及交安工程等</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合同包2：</w:t>
      </w:r>
      <w:r>
        <w:rPr>
          <w:rFonts w:hint="eastAsia" w:ascii="宋体" w:hAnsi="宋体" w:eastAsia="宋体" w:cs="宋体"/>
          <w:color w:val="auto"/>
          <w:sz w:val="24"/>
          <w:szCs w:val="24"/>
          <w:highlight w:val="none"/>
        </w:rPr>
        <w:t>朱峪路等桥至朱家湾改建工程，项目全长9.908公里，路基宽度7.5米，三级公路技术标准，沥青混凝土路面，主要设计路基、路面、桥涵及交安工程等</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合同包3：</w:t>
      </w:r>
      <w:r>
        <w:rPr>
          <w:rFonts w:hint="eastAsia" w:ascii="宋体" w:hAnsi="宋体" w:eastAsia="宋体" w:cs="宋体"/>
          <w:color w:val="auto"/>
          <w:sz w:val="24"/>
          <w:szCs w:val="24"/>
          <w:highlight w:val="none"/>
        </w:rPr>
        <w:t>孟店桥建设工程，项目全长326米，路基宽度7.5米，主要设计桥梁及引线工程等。采购主要内容为工程施工图设计及相关后续服务。</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firstLine="482" w:firstLineChars="200"/>
        <w:jc w:val="left"/>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rPr>
        <w:t>3、</w:t>
      </w:r>
      <w:r>
        <w:rPr>
          <w:rFonts w:hint="eastAsia" w:ascii="宋体" w:hAnsi="宋体" w:eastAsia="宋体" w:cs="宋体"/>
          <w:b/>
          <w:bCs/>
          <w:color w:val="auto"/>
          <w:sz w:val="24"/>
          <w:lang w:eastAsia="zh-CN"/>
        </w:rPr>
        <w:t>设计周期</w:t>
      </w:r>
      <w:r>
        <w:rPr>
          <w:rFonts w:hint="eastAsia" w:ascii="宋体" w:hAnsi="宋体" w:eastAsia="宋体" w:cs="宋体"/>
          <w:b/>
          <w:bCs/>
          <w:color w:val="auto"/>
          <w:sz w:val="24"/>
        </w:rPr>
        <w:t>：</w:t>
      </w:r>
      <w:r>
        <w:rPr>
          <w:rFonts w:hint="eastAsia" w:ascii="宋体" w:hAnsi="宋体" w:eastAsia="宋体" w:cs="宋体"/>
          <w:b w:val="0"/>
          <w:bCs w:val="0"/>
          <w:color w:val="auto"/>
          <w:kern w:val="2"/>
          <w:sz w:val="24"/>
          <w:szCs w:val="24"/>
          <w:highlight w:val="none"/>
          <w:lang w:val="en-US" w:eastAsia="zh-CN" w:bidi="ar-SA"/>
        </w:rPr>
        <w:t>各标段设计周期均为：自合同签订之日起30日历天内。</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firstLine="482" w:firstLineChars="200"/>
        <w:jc w:val="left"/>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rPr>
        <w:t>4、</w:t>
      </w:r>
      <w:r>
        <w:rPr>
          <w:rFonts w:hint="eastAsia" w:ascii="宋体" w:hAnsi="宋体" w:cs="宋体"/>
          <w:b/>
          <w:bCs/>
          <w:color w:val="auto"/>
          <w:sz w:val="24"/>
          <w:lang w:val="en-US" w:eastAsia="zh-CN"/>
        </w:rPr>
        <w:t>商务及</w:t>
      </w:r>
      <w:r>
        <w:rPr>
          <w:rFonts w:hint="eastAsia" w:ascii="宋体" w:hAnsi="宋体" w:eastAsia="宋体" w:cs="宋体"/>
          <w:b/>
          <w:bCs/>
          <w:color w:val="auto"/>
          <w:sz w:val="24"/>
        </w:rPr>
        <w:t>服务要求</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）付款条件（进度和方式）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工程设计阶段完成后一次性付款</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甲方在验收备案设计图纸审核过程中若发现错误或异议处，乙方须配合甲方无偿进行方案修改，直至验收合格。</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（3）采购标的需实现的采购目标：</w:t>
      </w:r>
      <w:r>
        <w:rPr>
          <w:rFonts w:hint="eastAsia" w:ascii="宋体" w:hAnsi="宋体" w:eastAsia="宋体" w:cs="宋体"/>
          <w:color w:val="auto"/>
          <w:sz w:val="24"/>
          <w:szCs w:val="24"/>
          <w:highlight w:val="none"/>
          <w:lang w:eastAsia="zh-CN"/>
        </w:rPr>
        <w:t>满足</w:t>
      </w:r>
      <w:r>
        <w:rPr>
          <w:rFonts w:hint="eastAsia" w:ascii="宋体" w:hAnsi="宋体" w:eastAsia="宋体" w:cs="宋体"/>
          <w:color w:val="auto"/>
          <w:sz w:val="24"/>
          <w:szCs w:val="24"/>
          <w:highlight w:val="none"/>
          <w:lang w:val="en-US" w:eastAsia="zh-CN"/>
        </w:rPr>
        <w:t>2023年部分公路工程设计需要</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需执行的标准要求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满足相关技术规范及深度要求。</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）成果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成果应包括施工图设计文件、预算文件及电子版文件。</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00" w:lineRule="exact"/>
        <w:ind w:firstLine="560" w:firstLineChars="200"/>
        <w:jc w:val="left"/>
        <w:textAlignment w:val="auto"/>
        <w:rPr>
          <w:rFonts w:hint="eastAsia" w:ascii="宋体" w:hAnsi="宋体" w:eastAsia="宋体" w:cs="宋体"/>
          <w:color w:val="auto"/>
          <w:highlight w:val="none"/>
          <w:lang w:val="en-US" w:eastAsia="zh-CN"/>
        </w:rPr>
      </w:pPr>
    </w:p>
    <w:p>
      <w:pPr>
        <w:pStyle w:val="11"/>
        <w:widowControl w:val="0"/>
        <w:numPr>
          <w:ilvl w:val="0"/>
          <w:numId w:val="0"/>
        </w:numPr>
        <w:spacing w:beforeLines="50" w:after="120" w:afterLines="50" w:line="360" w:lineRule="auto"/>
        <w:jc w:val="both"/>
        <w:rPr>
          <w:rFonts w:hint="eastAsia" w:ascii="宋体" w:hAnsi="宋体" w:eastAsia="宋体" w:cs="宋体"/>
          <w:color w:val="auto"/>
          <w:highlight w:val="none"/>
          <w:lang w:val="en-US" w:eastAsia="zh-CN"/>
        </w:rPr>
      </w:pPr>
    </w:p>
    <w:p>
      <w:pPr>
        <w:pStyle w:val="11"/>
        <w:widowControl w:val="0"/>
        <w:numPr>
          <w:ilvl w:val="0"/>
          <w:numId w:val="0"/>
        </w:numPr>
        <w:spacing w:beforeLines="50" w:after="120" w:afterLines="50" w:line="360" w:lineRule="auto"/>
        <w:jc w:val="both"/>
        <w:rPr>
          <w:rFonts w:hint="eastAsia" w:ascii="宋体" w:hAnsi="宋体" w:eastAsia="宋体" w:cs="宋体"/>
          <w:color w:val="auto"/>
          <w:highlight w:val="none"/>
          <w:lang w:val="en-US" w:eastAsia="zh-CN"/>
        </w:rPr>
      </w:pPr>
    </w:p>
    <w:p>
      <w:pPr>
        <w:pStyle w:val="11"/>
        <w:widowControl w:val="0"/>
        <w:numPr>
          <w:ilvl w:val="0"/>
          <w:numId w:val="0"/>
        </w:numPr>
        <w:spacing w:beforeLines="50" w:after="120" w:afterLines="50" w:line="360" w:lineRule="auto"/>
        <w:jc w:val="both"/>
        <w:rPr>
          <w:rFonts w:hint="eastAsia" w:ascii="宋体" w:hAnsi="宋体" w:eastAsia="宋体" w:cs="宋体"/>
          <w:color w:val="auto"/>
          <w:highlight w:val="none"/>
          <w:lang w:val="en-US" w:eastAsia="zh-CN"/>
        </w:rPr>
      </w:pPr>
    </w:p>
    <w:p>
      <w:pPr>
        <w:pStyle w:val="12"/>
        <w:rPr>
          <w:rFonts w:hint="eastAsia" w:ascii="宋体" w:hAnsi="宋体" w:eastAsia="宋体" w:cs="宋体"/>
          <w:color w:val="auto"/>
          <w:highlight w:val="none"/>
          <w:lang w:val="en-US" w:eastAsia="zh-CN"/>
        </w:rPr>
      </w:pPr>
    </w:p>
    <w:p>
      <w:pPr>
        <w:pStyle w:val="12"/>
        <w:rPr>
          <w:rFonts w:hint="eastAsia" w:ascii="宋体" w:hAnsi="宋体" w:eastAsia="宋体" w:cs="宋体"/>
          <w:color w:val="auto"/>
          <w:highlight w:val="none"/>
          <w:lang w:val="en-US" w:eastAsia="zh-CN"/>
        </w:rPr>
      </w:pPr>
    </w:p>
    <w:p>
      <w:pPr>
        <w:pStyle w:val="12"/>
        <w:rPr>
          <w:rFonts w:hint="eastAsia" w:ascii="宋体" w:hAnsi="宋体" w:eastAsia="宋体" w:cs="宋体"/>
          <w:color w:val="auto"/>
          <w:highlight w:val="none"/>
          <w:lang w:val="en-US" w:eastAsia="zh-CN"/>
        </w:rPr>
      </w:pPr>
    </w:p>
    <w:p>
      <w:pPr>
        <w:pStyle w:val="11"/>
        <w:widowControl w:val="0"/>
        <w:numPr>
          <w:ilvl w:val="0"/>
          <w:numId w:val="0"/>
        </w:numPr>
        <w:spacing w:beforeLines="50" w:after="120" w:afterLines="50" w:line="360" w:lineRule="auto"/>
        <w:jc w:val="both"/>
        <w:rPr>
          <w:rFonts w:hint="eastAsia" w:ascii="宋体" w:hAnsi="宋体" w:eastAsia="宋体" w:cs="宋体"/>
          <w:color w:val="auto"/>
          <w:highlight w:val="none"/>
          <w:lang w:val="en-US" w:eastAsia="zh-CN"/>
        </w:rPr>
      </w:pPr>
    </w:p>
    <w:p>
      <w:pPr>
        <w:spacing w:before="156" w:after="156"/>
        <w:ind w:left="0" w:leftChars="0" w:firstLine="0" w:firstLineChars="0"/>
        <w:jc w:val="center"/>
        <w:outlineLvl w:val="0"/>
        <w:rPr>
          <w:rFonts w:hint="eastAsia" w:ascii="宋体" w:hAnsi="宋体" w:eastAsia="宋体" w:cs="宋体"/>
          <w:b/>
          <w:bCs/>
          <w:color w:val="auto"/>
          <w:sz w:val="44"/>
          <w:szCs w:val="44"/>
          <w:highlight w:val="none"/>
        </w:rPr>
      </w:pPr>
      <w:r>
        <w:rPr>
          <w:rFonts w:hint="eastAsia" w:ascii="宋体" w:hAnsi="宋体" w:eastAsia="宋体" w:cs="宋体"/>
          <w:b/>
          <w:color w:val="auto"/>
          <w:kern w:val="44"/>
          <w:sz w:val="44"/>
          <w:szCs w:val="44"/>
          <w:highlight w:val="none"/>
          <w:lang w:val="en-US" w:eastAsia="zh-CN"/>
        </w:rPr>
        <w:t xml:space="preserve">第六章 </w:t>
      </w:r>
      <w:r>
        <w:rPr>
          <w:rFonts w:hint="eastAsia" w:ascii="宋体" w:hAnsi="宋体" w:eastAsia="宋体" w:cs="宋体"/>
          <w:b/>
          <w:color w:val="auto"/>
          <w:kern w:val="44"/>
          <w:sz w:val="44"/>
          <w:szCs w:val="44"/>
          <w:highlight w:val="none"/>
        </w:rPr>
        <w:t>竞争性磋商响应文件格式</w:t>
      </w:r>
      <w:bookmarkEnd w:id="781"/>
    </w:p>
    <w:p>
      <w:pPr>
        <w:spacing w:before="156" w:after="156"/>
        <w:ind w:left="0" w:leftChars="0" w:firstLine="0" w:firstLineChars="0"/>
        <w:jc w:val="center"/>
        <w:rPr>
          <w:rFonts w:hint="eastAsia" w:ascii="宋体" w:hAnsi="宋体" w:eastAsia="宋体" w:cs="宋体"/>
          <w:b/>
          <w:bCs/>
          <w:color w:val="auto"/>
          <w:sz w:val="48"/>
          <w:szCs w:val="32"/>
          <w:highlight w:val="none"/>
        </w:rPr>
      </w:pPr>
    </w:p>
    <w:p>
      <w:pPr>
        <w:pStyle w:val="10"/>
        <w:spacing w:before="156" w:after="156"/>
        <w:ind w:left="0" w:leftChars="0" w:firstLine="0" w:firstLineChars="0"/>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三原县2023年部分公路工程设计项目</w:t>
      </w:r>
    </w:p>
    <w:p>
      <w:pPr>
        <w:spacing w:before="156" w:after="156"/>
        <w:ind w:left="6" w:firstLine="560"/>
        <w:rPr>
          <w:rFonts w:hint="eastAsia" w:ascii="宋体" w:hAnsi="宋体" w:eastAsia="宋体" w:cs="宋体"/>
          <w:color w:val="auto"/>
          <w:highlight w:val="none"/>
        </w:rPr>
      </w:pPr>
    </w:p>
    <w:p>
      <w:pPr>
        <w:pStyle w:val="10"/>
        <w:spacing w:before="156" w:after="156"/>
        <w:ind w:left="0" w:leftChars="0" w:firstLine="0" w:firstLineChars="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竞争性磋商响应文件</w:t>
      </w:r>
    </w:p>
    <w:p>
      <w:pPr>
        <w:spacing w:before="156" w:after="156"/>
        <w:ind w:left="6" w:firstLine="1446"/>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项目编号：</w:t>
      </w:r>
    </w:p>
    <w:p>
      <w:pPr>
        <w:pStyle w:val="25"/>
        <w:jc w:val="center"/>
        <w:rPr>
          <w:rFonts w:hint="eastAsia" w:ascii="宋体" w:hAnsi="宋体" w:eastAsia="宋体" w:cs="宋体"/>
          <w:color w:val="auto"/>
          <w:highlight w:val="none"/>
          <w:u w:val="single"/>
          <w:lang w:val="en-US" w:eastAsia="zh-CN"/>
        </w:rPr>
      </w:pPr>
      <w:r>
        <w:rPr>
          <w:rFonts w:hint="eastAsia" w:ascii="宋体" w:hAnsi="宋体" w:eastAsia="宋体" w:cs="宋体"/>
          <w:b/>
          <w:bCs/>
          <w:color w:val="auto"/>
          <w:sz w:val="28"/>
          <w:szCs w:val="28"/>
          <w:highlight w:val="none"/>
          <w:lang w:val="en-US" w:eastAsia="zh-CN"/>
        </w:rPr>
        <w:t>标包号：</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none"/>
          <w:lang w:val="en-US" w:eastAsia="zh-CN"/>
        </w:rPr>
        <w:t>标包</w:t>
      </w:r>
    </w:p>
    <w:p>
      <w:pPr>
        <w:spacing w:before="156" w:after="156"/>
        <w:ind w:left="0" w:leftChars="0" w:firstLine="0" w:firstLineChars="0"/>
        <w:rPr>
          <w:rFonts w:hint="eastAsia" w:ascii="宋体" w:hAnsi="宋体" w:eastAsia="宋体" w:cs="宋体"/>
          <w:color w:val="auto"/>
          <w:highlight w:val="none"/>
        </w:rPr>
      </w:pPr>
    </w:p>
    <w:p>
      <w:pPr>
        <w:pStyle w:val="33"/>
        <w:rPr>
          <w:rFonts w:hint="eastAsia"/>
        </w:rPr>
      </w:pPr>
    </w:p>
    <w:p>
      <w:pPr>
        <w:spacing w:before="156" w:after="156"/>
        <w:ind w:left="0" w:leftChars="0" w:firstLine="0" w:firstLineChars="0"/>
        <w:rPr>
          <w:rFonts w:hint="eastAsia" w:ascii="宋体" w:hAnsi="宋体" w:eastAsia="宋体" w:cs="宋体"/>
          <w:b/>
          <w:bCs/>
          <w:color w:val="auto"/>
          <w:sz w:val="30"/>
          <w:szCs w:val="30"/>
          <w:highlight w:val="none"/>
          <w:u w:val="single"/>
        </w:rPr>
      </w:pPr>
    </w:p>
    <w:p>
      <w:pPr>
        <w:spacing w:before="156" w:after="156"/>
        <w:ind w:left="0" w:leftChars="0" w:firstLine="301" w:firstLineChars="1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供 应 商：</w:t>
      </w:r>
      <w:r>
        <w:rPr>
          <w:rFonts w:hint="eastAsia" w:ascii="宋体" w:hAnsi="宋体" w:eastAsia="宋体" w:cs="宋体"/>
          <w:b/>
          <w:bCs/>
          <w:color w:val="auto"/>
          <w:sz w:val="30"/>
          <w:szCs w:val="30"/>
          <w:highlight w:val="none"/>
          <w:u w:val="single"/>
        </w:rPr>
        <w:t xml:space="preserve">                                   （盖公章）</w:t>
      </w:r>
      <w:r>
        <w:rPr>
          <w:rFonts w:hint="eastAsia" w:ascii="宋体" w:hAnsi="宋体" w:eastAsia="宋体" w:cs="宋体"/>
          <w:b/>
          <w:bCs/>
          <w:color w:val="auto"/>
          <w:sz w:val="30"/>
          <w:szCs w:val="30"/>
          <w:highlight w:val="none"/>
        </w:rPr>
        <w:t xml:space="preserve">                  </w:t>
      </w:r>
    </w:p>
    <w:p>
      <w:pPr>
        <w:spacing w:before="156" w:after="156"/>
        <w:ind w:left="0" w:leftChars="0" w:firstLine="301" w:firstLineChars="1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法定代表人或被授权人：</w:t>
      </w:r>
      <w:r>
        <w:rPr>
          <w:rFonts w:hint="eastAsia" w:ascii="宋体" w:hAnsi="宋体" w:eastAsia="宋体" w:cs="宋体"/>
          <w:b/>
          <w:bCs/>
          <w:color w:val="auto"/>
          <w:sz w:val="30"/>
          <w:szCs w:val="30"/>
          <w:highlight w:val="none"/>
          <w:u w:val="single"/>
        </w:rPr>
        <w:t xml:space="preserve">                    (签字或盖章）</w:t>
      </w:r>
    </w:p>
    <w:p>
      <w:pPr>
        <w:pStyle w:val="10"/>
        <w:spacing w:before="156" w:after="156"/>
        <w:ind w:left="0" w:leftChars="0" w:firstLine="301" w:firstLineChars="100"/>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日    期：</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 xml:space="preserve"> 年</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月</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日</w:t>
      </w:r>
    </w:p>
    <w:p>
      <w:pPr>
        <w:spacing w:before="156" w:after="156"/>
        <w:ind w:left="0" w:leftChars="0" w:firstLine="0" w:firstLineChars="0"/>
        <w:rPr>
          <w:rFonts w:hint="eastAsia" w:ascii="宋体" w:hAnsi="宋体" w:eastAsia="宋体" w:cs="宋体"/>
          <w:color w:val="auto"/>
          <w:highlight w:val="none"/>
        </w:rPr>
      </w:pPr>
    </w:p>
    <w:p>
      <w:pPr>
        <w:pStyle w:val="25"/>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adjustRightInd w:val="0"/>
        <w:snapToGrid w:val="0"/>
        <w:spacing w:line="360" w:lineRule="auto"/>
        <w:jc w:val="center"/>
        <w:rPr>
          <w:rFonts w:hint="eastAsia" w:ascii="宋体" w:hAnsi="宋体" w:eastAsia="宋体" w:cs="宋体"/>
          <w:b/>
          <w:bCs/>
          <w:color w:val="auto"/>
          <w:spacing w:val="0"/>
          <w:w w:val="100"/>
          <w:position w:val="0"/>
          <w:sz w:val="32"/>
          <w:szCs w:val="15"/>
          <w:highlight w:val="none"/>
          <w:lang w:val="zh-CN"/>
        </w:rPr>
      </w:pPr>
      <w:bookmarkStart w:id="782" w:name="_Toc495681522"/>
      <w:bookmarkStart w:id="783" w:name="_Toc14433"/>
      <w:bookmarkStart w:id="784" w:name="_Toc25880"/>
      <w:bookmarkStart w:id="785" w:name="_Toc30727"/>
      <w:bookmarkStart w:id="786" w:name="_Toc25409"/>
      <w:bookmarkStart w:id="787" w:name="_Toc495908037"/>
      <w:bookmarkStart w:id="788" w:name="_Toc495681395"/>
      <w:bookmarkStart w:id="789" w:name="_Toc16388"/>
      <w:bookmarkStart w:id="790" w:name="_Toc56"/>
      <w:bookmarkStart w:id="791" w:name="_Toc3446"/>
      <w:bookmarkStart w:id="792" w:name="_Toc23370"/>
      <w:bookmarkStart w:id="793" w:name="_Toc495681241"/>
      <w:bookmarkStart w:id="794" w:name="_Toc27610"/>
      <w:r>
        <w:rPr>
          <w:rFonts w:hint="eastAsia" w:ascii="宋体" w:hAnsi="宋体" w:eastAsia="宋体" w:cs="宋体"/>
          <w:b/>
          <w:bCs/>
          <w:color w:val="auto"/>
          <w:spacing w:val="0"/>
          <w:w w:val="100"/>
          <w:position w:val="0"/>
          <w:sz w:val="32"/>
          <w:szCs w:val="15"/>
          <w:highlight w:val="none"/>
          <w:lang w:val="zh-CN"/>
        </w:rPr>
        <w:t>目</w:t>
      </w:r>
      <w:r>
        <w:rPr>
          <w:rFonts w:hint="eastAsia" w:ascii="宋体" w:hAnsi="宋体" w:eastAsia="宋体" w:cs="宋体"/>
          <w:b/>
          <w:bCs/>
          <w:color w:val="auto"/>
          <w:spacing w:val="0"/>
          <w:w w:val="100"/>
          <w:position w:val="0"/>
          <w:sz w:val="32"/>
          <w:szCs w:val="15"/>
          <w:highlight w:val="none"/>
        </w:rPr>
        <w:t xml:space="preserve">  </w:t>
      </w:r>
      <w:r>
        <w:rPr>
          <w:rFonts w:hint="eastAsia" w:ascii="宋体" w:hAnsi="宋体" w:eastAsia="宋体" w:cs="宋体"/>
          <w:b/>
          <w:bCs/>
          <w:color w:val="auto"/>
          <w:spacing w:val="0"/>
          <w:w w:val="100"/>
          <w:position w:val="0"/>
          <w:sz w:val="32"/>
          <w:szCs w:val="15"/>
          <w:highlight w:val="none"/>
          <w:lang w:val="zh-CN"/>
        </w:rPr>
        <w:t>录</w:t>
      </w:r>
    </w:p>
    <w:p>
      <w:pPr>
        <w:spacing w:line="360" w:lineRule="auto"/>
        <w:jc w:val="center"/>
        <w:rPr>
          <w:rFonts w:hint="eastAsia" w:ascii="宋体" w:hAnsi="宋体" w:eastAsia="宋体" w:cs="宋体"/>
          <w:color w:val="auto"/>
          <w:spacing w:val="0"/>
          <w:w w:val="100"/>
          <w:position w:val="0"/>
          <w:highlight w:val="none"/>
          <w:lang w:val="zh-CN"/>
        </w:rPr>
      </w:pPr>
      <w:r>
        <w:rPr>
          <w:rFonts w:hint="eastAsia" w:ascii="宋体" w:hAnsi="宋体" w:eastAsia="宋体" w:cs="宋体"/>
          <w:color w:val="auto"/>
          <w:spacing w:val="0"/>
          <w:w w:val="100"/>
          <w:position w:val="0"/>
          <w:sz w:val="24"/>
          <w:szCs w:val="16"/>
          <w:highlight w:val="none"/>
          <w:lang w:val="zh-CN"/>
        </w:rPr>
        <w:t>请根据磋商响应文件内容自动生成目录</w:t>
      </w:r>
    </w:p>
    <w:p>
      <w:pPr>
        <w:spacing w:line="360" w:lineRule="auto"/>
        <w:rPr>
          <w:rFonts w:hint="eastAsia" w:ascii="宋体" w:hAnsi="宋体" w:eastAsia="宋体" w:cs="宋体"/>
          <w:color w:val="auto"/>
          <w:spacing w:val="0"/>
          <w:w w:val="100"/>
          <w:position w:val="0"/>
          <w:sz w:val="32"/>
          <w:szCs w:val="32"/>
          <w:highlight w:val="none"/>
        </w:rPr>
      </w:pPr>
      <w:r>
        <w:rPr>
          <w:rFonts w:hint="eastAsia" w:ascii="宋体" w:hAnsi="宋体" w:eastAsia="宋体" w:cs="宋体"/>
          <w:color w:val="auto"/>
          <w:spacing w:val="0"/>
          <w:w w:val="100"/>
          <w:position w:val="0"/>
          <w:sz w:val="32"/>
          <w:szCs w:val="32"/>
          <w:highlight w:val="none"/>
        </w:rPr>
        <w:br w:type="page"/>
      </w:r>
    </w:p>
    <w:p>
      <w:pPr>
        <w:pStyle w:val="3"/>
        <w:spacing w:line="360" w:lineRule="auto"/>
        <w:ind w:left="0" w:leftChars="0" w:firstLine="0" w:firstLineChars="0"/>
        <w:rPr>
          <w:rFonts w:hint="eastAsia" w:ascii="宋体" w:hAnsi="宋体" w:eastAsia="宋体" w:cs="宋体"/>
          <w:color w:val="auto"/>
          <w:spacing w:val="0"/>
          <w:w w:val="100"/>
          <w:position w:val="0"/>
          <w:sz w:val="32"/>
          <w:szCs w:val="32"/>
          <w:highlight w:val="none"/>
        </w:rPr>
      </w:pPr>
      <w:bookmarkStart w:id="795" w:name="_Toc19928"/>
      <w:bookmarkStart w:id="796" w:name="_Toc10290"/>
      <w:bookmarkStart w:id="797" w:name="_Toc10159"/>
      <w:bookmarkStart w:id="798" w:name="_Toc23933"/>
      <w:r>
        <w:rPr>
          <w:rFonts w:hint="eastAsia" w:ascii="宋体" w:hAnsi="宋体" w:eastAsia="宋体" w:cs="宋体"/>
          <w:color w:val="auto"/>
          <w:spacing w:val="0"/>
          <w:w w:val="100"/>
          <w:position w:val="0"/>
          <w:sz w:val="32"/>
          <w:szCs w:val="32"/>
          <w:highlight w:val="none"/>
        </w:rPr>
        <w:t>一、磋商响应函</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bCs/>
          <w:color w:val="auto"/>
          <w:spacing w:val="0"/>
          <w:w w:val="100"/>
          <w:position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亿诚建设项目管理有限公司</w:t>
      </w:r>
      <w:r>
        <w:rPr>
          <w:rFonts w:hint="eastAsia" w:ascii="宋体" w:hAnsi="宋体" w:eastAsia="宋体" w:cs="宋体"/>
          <w:b/>
          <w:bCs/>
          <w:color w:val="auto"/>
          <w:spacing w:val="0"/>
          <w:w w:val="100"/>
          <w:positio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我单位收到贵公司</w:t>
      </w:r>
      <w:r>
        <w:rPr>
          <w:rFonts w:hint="eastAsia" w:ascii="宋体" w:hAnsi="宋体" w:eastAsia="宋体" w:cs="宋体"/>
          <w:color w:val="auto"/>
          <w:spacing w:val="0"/>
          <w:w w:val="100"/>
          <w:position w:val="0"/>
          <w:sz w:val="24"/>
          <w:szCs w:val="24"/>
          <w:highlight w:val="none"/>
          <w:lang w:val="en-US" w:eastAsia="zh-CN"/>
        </w:rPr>
        <w:t>三原县2023年部分公路工程设计项目</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eastAsia="zh-CN"/>
        </w:rPr>
        <w:t>项目编号：</w:t>
      </w:r>
      <w:r>
        <w:rPr>
          <w:rFonts w:hint="eastAsia" w:ascii="宋体" w:hAnsi="宋体" w:eastAsia="宋体" w:cs="宋体"/>
          <w:i w:val="0"/>
          <w:iCs w:val="0"/>
          <w:caps w:val="0"/>
          <w:color w:val="auto"/>
          <w:spacing w:val="0"/>
          <w:sz w:val="24"/>
          <w:szCs w:val="24"/>
          <w:highlight w:val="none"/>
          <w:shd w:val="clear" w:color="auto" w:fill="FFFFFF"/>
          <w:vertAlign w:val="baseline"/>
        </w:rPr>
        <w:t>YC23001014（ZBA）</w:t>
      </w:r>
      <w:r>
        <w:rPr>
          <w:rFonts w:hint="eastAsia" w:ascii="宋体" w:hAnsi="宋体" w:eastAsia="宋体" w:cs="宋体"/>
          <w:color w:val="auto"/>
          <w:spacing w:val="0"/>
          <w:w w:val="100"/>
          <w:position w:val="0"/>
          <w:sz w:val="24"/>
          <w:szCs w:val="24"/>
          <w:highlight w:val="none"/>
        </w:rPr>
        <w:t>）磋商文件，经详细研究，我们决定参加本次项目活动，为此，我方郑重声明以下诸点，并负法律责任。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一、愿意按照磋商文件中的要求，提供磋商技术及服务，完成合同的责任和义务。</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二、按磋商文件的规定，我公司的第一次磋商总报价为</w:t>
      </w:r>
      <w:r>
        <w:rPr>
          <w:rFonts w:hint="eastAsia" w:ascii="宋体" w:hAnsi="宋体" w:eastAsia="宋体" w:cs="宋体"/>
          <w:color w:val="auto"/>
          <w:spacing w:val="0"/>
          <w:w w:val="100"/>
          <w:positio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人民币（大写）</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元），并对其最后的磋商报价负法律责任。</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三、我方提交的磋商响应文件正本一份、副本两份</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 xml:space="preserve">电子版一份，并保证磋商响应文件提供的数据和材料真实、准确。否则，愿承担相关的法律责任。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四、我方已详细阅读了磋商文件，完全理解并放弃提出含糊不清或易形成歧义的表述和资料。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五、磋商后在规定的有效期内撤回磋商，我方愿接受政府采购的有关处罚决定。</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六、同意向贵方提供可能要求的，与本次磋商有关的任何证据或资料，我们完全理解最低磋商报价不作为成交的唯一条件，且尊重磋商小组的评审结论和结果。</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七、我方的磋商响应文件在磋商后有效期为90个日历天，若我方成交，磋商响应文件有效期延长至合同执行完毕。</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八、有关于本磋商响应文件的函电，请按下列地址联系。</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供应商全称（印章）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法定代表人或授权代表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签字</w:t>
      </w:r>
      <w:r>
        <w:rPr>
          <w:rFonts w:hint="eastAsia" w:ascii="宋体" w:hAnsi="宋体" w:eastAsia="宋体" w:cs="宋体"/>
          <w:color w:val="auto"/>
          <w:spacing w:val="0"/>
          <w:w w:val="100"/>
          <w:position w:val="0"/>
          <w:sz w:val="24"/>
          <w:szCs w:val="24"/>
          <w:highlight w:val="none"/>
          <w:lang w:val="en-US" w:eastAsia="zh-CN"/>
        </w:rPr>
        <w:t>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地    址</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开户银行</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帐    号</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电    话</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宋体" w:hAnsi="宋体" w:eastAsia="宋体" w:cs="宋体"/>
          <w:color w:val="auto"/>
          <w:spacing w:val="0"/>
          <w:w w:val="100"/>
          <w:position w:val="0"/>
          <w:sz w:val="24"/>
          <w:szCs w:val="24"/>
          <w:highlight w:val="none"/>
        </w:rPr>
        <w:sectPr>
          <w:footerReference r:id="rId6" w:type="default"/>
          <w:pgSz w:w="11906" w:h="16838"/>
          <w:pgMar w:top="1417" w:right="1701" w:bottom="1417" w:left="1701"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日</w:t>
      </w:r>
    </w:p>
    <w:p>
      <w:pPr>
        <w:pStyle w:val="3"/>
        <w:spacing w:line="360" w:lineRule="auto"/>
        <w:rPr>
          <w:rFonts w:hint="eastAsia" w:ascii="宋体" w:hAnsi="宋体" w:eastAsia="宋体" w:cs="宋体"/>
          <w:color w:val="auto"/>
          <w:spacing w:val="0"/>
          <w:w w:val="100"/>
          <w:position w:val="0"/>
          <w:sz w:val="32"/>
          <w:szCs w:val="32"/>
          <w:highlight w:val="none"/>
        </w:rPr>
      </w:pPr>
      <w:bookmarkStart w:id="799" w:name="_Toc13342"/>
      <w:bookmarkStart w:id="800" w:name="_Toc495681523"/>
      <w:bookmarkStart w:id="801" w:name="_Toc495681242"/>
      <w:bookmarkStart w:id="802" w:name="_Toc495908038"/>
      <w:bookmarkStart w:id="803" w:name="_Toc18168"/>
      <w:bookmarkStart w:id="804" w:name="_Toc31138"/>
      <w:bookmarkStart w:id="805" w:name="_Toc13144"/>
      <w:bookmarkStart w:id="806" w:name="_Toc6924"/>
      <w:bookmarkStart w:id="807" w:name="_Toc12303"/>
      <w:bookmarkStart w:id="808" w:name="_Toc30196"/>
      <w:bookmarkStart w:id="809" w:name="_Toc722"/>
      <w:bookmarkStart w:id="810" w:name="_Toc8463"/>
      <w:bookmarkStart w:id="811" w:name="_Toc31028"/>
      <w:bookmarkStart w:id="812" w:name="_Toc495681396"/>
      <w:bookmarkStart w:id="813" w:name="_Toc23789"/>
      <w:bookmarkStart w:id="814" w:name="_Toc9496"/>
      <w:bookmarkStart w:id="815" w:name="_Toc31519"/>
      <w:r>
        <w:rPr>
          <w:rStyle w:val="58"/>
          <w:rFonts w:hint="eastAsia" w:ascii="宋体" w:hAnsi="宋体" w:eastAsia="宋体" w:cs="宋体"/>
          <w:b/>
          <w:color w:val="auto"/>
          <w:spacing w:val="0"/>
          <w:w w:val="100"/>
          <w:position w:val="0"/>
          <w:sz w:val="32"/>
          <w:szCs w:val="32"/>
          <w:highlight w:val="none"/>
        </w:rPr>
        <w:t>二、第一次磋商报价表</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tbl>
      <w:tblPr>
        <w:tblStyle w:val="2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415" w:type="dxa"/>
            <w:vAlign w:val="center"/>
          </w:tcPr>
          <w:p>
            <w:pPr>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项目名称</w:t>
            </w:r>
          </w:p>
        </w:tc>
        <w:tc>
          <w:tcPr>
            <w:tcW w:w="6496" w:type="dxa"/>
            <w:vAlign w:val="center"/>
          </w:tcPr>
          <w:p>
            <w:pPr>
              <w:spacing w:line="360" w:lineRule="auto"/>
              <w:ind w:left="0" w:leftChars="0" w:firstLine="0" w:firstLineChars="0"/>
              <w:jc w:val="center"/>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三原县2023年部分公路工程设计项目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415" w:type="dxa"/>
            <w:vAlign w:val="center"/>
          </w:tcPr>
          <w:p>
            <w:pPr>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bCs/>
                <w:color w:val="auto"/>
                <w:spacing w:val="0"/>
                <w:w w:val="100"/>
                <w:kern w:val="0"/>
                <w:position w:val="0"/>
                <w:sz w:val="24"/>
                <w:szCs w:val="24"/>
                <w:highlight w:val="none"/>
              </w:rPr>
              <w:t>项目编号</w:t>
            </w:r>
          </w:p>
        </w:tc>
        <w:tc>
          <w:tcPr>
            <w:tcW w:w="6496" w:type="dxa"/>
            <w:vAlign w:val="center"/>
          </w:tcPr>
          <w:p>
            <w:pPr>
              <w:spacing w:line="360" w:lineRule="auto"/>
              <w:ind w:left="0" w:leftChars="0" w:firstLine="0" w:firstLineChars="0"/>
              <w:jc w:val="center"/>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YC23001014（ZBA）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415" w:type="dxa"/>
            <w:vAlign w:val="center"/>
          </w:tcPr>
          <w:p>
            <w:pPr>
              <w:spacing w:line="360" w:lineRule="auto"/>
              <w:jc w:val="center"/>
              <w:rPr>
                <w:rFonts w:hint="eastAsia" w:ascii="宋体" w:hAnsi="宋体" w:eastAsia="宋体" w:cs="宋体"/>
                <w:bCs/>
                <w:color w:val="auto"/>
                <w:spacing w:val="0"/>
                <w:w w:val="100"/>
                <w:kern w:val="0"/>
                <w:position w:val="0"/>
                <w:sz w:val="24"/>
                <w:szCs w:val="24"/>
                <w:highlight w:val="none"/>
                <w:lang w:val="en-US" w:eastAsia="zh-CN"/>
              </w:rPr>
            </w:pPr>
            <w:r>
              <w:rPr>
                <w:rFonts w:hint="eastAsia" w:ascii="宋体" w:hAnsi="宋体" w:eastAsia="宋体" w:cs="宋体"/>
                <w:bCs/>
                <w:color w:val="auto"/>
                <w:spacing w:val="0"/>
                <w:w w:val="100"/>
                <w:kern w:val="0"/>
                <w:position w:val="0"/>
                <w:sz w:val="24"/>
                <w:szCs w:val="24"/>
                <w:highlight w:val="none"/>
                <w:lang w:val="en-US" w:eastAsia="zh-CN"/>
              </w:rPr>
              <w:t>标包号</w:t>
            </w:r>
          </w:p>
        </w:tc>
        <w:tc>
          <w:tcPr>
            <w:tcW w:w="6496" w:type="dxa"/>
            <w:vAlign w:val="center"/>
          </w:tcPr>
          <w:p>
            <w:pPr>
              <w:spacing w:line="360" w:lineRule="auto"/>
              <w:ind w:left="0" w:leftChars="0" w:firstLine="0" w:firstLineChars="0"/>
              <w:jc w:val="cente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标包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2415" w:type="dxa"/>
            <w:vAlign w:val="center"/>
          </w:tcPr>
          <w:p>
            <w:pPr>
              <w:autoSpaceDE w:val="0"/>
              <w:autoSpaceDN w:val="0"/>
              <w:adjustRightInd w:val="0"/>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磋商总报价（元）</w:t>
            </w:r>
          </w:p>
        </w:tc>
        <w:tc>
          <w:tcPr>
            <w:tcW w:w="6496" w:type="dxa"/>
            <w:vAlign w:val="center"/>
          </w:tcPr>
          <w:p>
            <w:pPr>
              <w:autoSpaceDE w:val="0"/>
              <w:autoSpaceDN w:val="0"/>
              <w:adjustRightInd w:val="0"/>
              <w:spacing w:line="360" w:lineRule="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大写:</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 xml:space="preserve"> </w:t>
            </w:r>
          </w:p>
          <w:p>
            <w:pPr>
              <w:spacing w:line="360" w:lineRule="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小写:</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415" w:type="dxa"/>
            <w:vAlign w:val="center"/>
          </w:tcPr>
          <w:p>
            <w:pPr>
              <w:widowControl/>
              <w:spacing w:line="360" w:lineRule="auto"/>
              <w:jc w:val="center"/>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设计周期</w:t>
            </w:r>
          </w:p>
        </w:tc>
        <w:tc>
          <w:tcPr>
            <w:tcW w:w="6496" w:type="dxa"/>
            <w:vAlign w:val="center"/>
          </w:tcPr>
          <w:p>
            <w:pPr>
              <w:widowControl/>
              <w:spacing w:line="360" w:lineRule="auto"/>
              <w:jc w:val="left"/>
              <w:rPr>
                <w:rFonts w:hint="eastAsia" w:ascii="宋体" w:hAnsi="宋体" w:eastAsia="宋体" w:cs="宋体"/>
                <w:color w:val="auto"/>
                <w:spacing w:val="0"/>
                <w:w w:val="10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415" w:type="dxa"/>
            <w:vAlign w:val="center"/>
          </w:tcPr>
          <w:p>
            <w:pPr>
              <w:widowControl/>
              <w:spacing w:line="360" w:lineRule="auto"/>
              <w:jc w:val="center"/>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项目负责人</w:t>
            </w:r>
          </w:p>
        </w:tc>
        <w:tc>
          <w:tcPr>
            <w:tcW w:w="6496" w:type="dxa"/>
            <w:vAlign w:val="center"/>
          </w:tcPr>
          <w:p>
            <w:pPr>
              <w:widowControl/>
              <w:spacing w:line="360" w:lineRule="auto"/>
              <w:jc w:val="left"/>
              <w:rPr>
                <w:rFonts w:hint="eastAsia" w:ascii="宋体" w:hAnsi="宋体" w:eastAsia="宋体" w:cs="宋体"/>
                <w:color w:val="auto"/>
                <w:spacing w:val="0"/>
                <w:w w:val="10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11" w:type="dxa"/>
            <w:gridSpan w:val="2"/>
            <w:vAlign w:val="center"/>
          </w:tcPr>
          <w:p>
            <w:pPr>
              <w:widowControl/>
              <w:spacing w:line="360" w:lineRule="auto"/>
              <w:jc w:val="left"/>
              <w:rPr>
                <w:rFonts w:hint="eastAsia" w:ascii="宋体" w:hAnsi="宋体" w:eastAsia="宋体" w:cs="宋体"/>
                <w:bCs/>
                <w:color w:val="auto"/>
                <w:spacing w:val="0"/>
                <w:w w:val="100"/>
                <w:kern w:val="0"/>
                <w:position w:val="0"/>
                <w:sz w:val="24"/>
                <w:szCs w:val="24"/>
                <w:highlight w:val="none"/>
              </w:rPr>
            </w:pPr>
            <w:r>
              <w:rPr>
                <w:rFonts w:hint="eastAsia" w:ascii="宋体" w:hAnsi="宋体" w:eastAsia="宋体" w:cs="宋体"/>
                <w:b/>
                <w:bCs/>
                <w:color w:val="auto"/>
                <w:spacing w:val="0"/>
                <w:w w:val="100"/>
                <w:position w:val="0"/>
                <w:sz w:val="24"/>
                <w:szCs w:val="24"/>
                <w:highlight w:val="none"/>
              </w:rPr>
              <w:t>说明</w:t>
            </w:r>
            <w:r>
              <w:rPr>
                <w:rFonts w:hint="eastAsia" w:ascii="宋体" w:hAnsi="宋体" w:eastAsia="宋体" w:cs="宋体"/>
                <w:b/>
                <w:bCs/>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磋商报价以元为单位，保留小数点后两位，大小写不一致时，以大写为准。</w:t>
            </w:r>
          </w:p>
        </w:tc>
      </w:tr>
    </w:tbl>
    <w:p>
      <w:pPr>
        <w:spacing w:line="360" w:lineRule="auto"/>
        <w:rPr>
          <w:rFonts w:hint="eastAsia" w:ascii="宋体" w:hAnsi="宋体" w:eastAsia="宋体" w:cs="宋体"/>
          <w:b/>
          <w:color w:val="auto"/>
          <w:spacing w:val="0"/>
          <w:w w:val="100"/>
          <w:position w:val="0"/>
          <w:sz w:val="32"/>
          <w:highlight w:val="none"/>
        </w:rPr>
      </w:pPr>
      <w:r>
        <w:rPr>
          <w:rFonts w:hint="eastAsia" w:ascii="宋体" w:hAnsi="宋体" w:eastAsia="宋体" w:cs="宋体"/>
          <w:b/>
          <w:color w:val="auto"/>
          <w:spacing w:val="0"/>
          <w:w w:val="100"/>
          <w:position w:val="0"/>
          <w:sz w:val="28"/>
          <w:highlight w:val="none"/>
        </w:rPr>
        <w:t xml:space="preserve">  </w:t>
      </w:r>
      <w:r>
        <w:rPr>
          <w:rFonts w:hint="eastAsia" w:ascii="宋体" w:hAnsi="宋体" w:eastAsia="宋体" w:cs="宋体"/>
          <w:b/>
          <w:color w:val="auto"/>
          <w:spacing w:val="0"/>
          <w:w w:val="100"/>
          <w:position w:val="0"/>
          <w:sz w:val="36"/>
          <w:highlight w:val="none"/>
        </w:rPr>
        <w:t xml:space="preserve">  </w:t>
      </w:r>
      <w:r>
        <w:rPr>
          <w:rFonts w:hint="eastAsia" w:ascii="宋体" w:hAnsi="宋体" w:eastAsia="宋体" w:cs="宋体"/>
          <w:bCs/>
          <w:color w:val="auto"/>
          <w:spacing w:val="0"/>
          <w:w w:val="100"/>
          <w:position w:val="0"/>
          <w:sz w:val="36"/>
          <w:highlight w:val="none"/>
        </w:rPr>
        <w:t xml:space="preserve">  </w:t>
      </w:r>
    </w:p>
    <w:p>
      <w:pPr>
        <w:spacing w:line="360" w:lineRule="auto"/>
        <w:ind w:firstLine="2560" w:firstLineChars="800"/>
        <w:rPr>
          <w:rFonts w:hint="eastAsia" w:ascii="宋体" w:hAnsi="宋体" w:eastAsia="宋体" w:cs="宋体"/>
          <w:color w:val="auto"/>
          <w:spacing w:val="0"/>
          <w:w w:val="100"/>
          <w:position w:val="0"/>
          <w:sz w:val="32"/>
          <w:highlight w:val="none"/>
        </w:rPr>
      </w:pPr>
    </w:p>
    <w:p>
      <w:pPr>
        <w:spacing w:line="360" w:lineRule="auto"/>
        <w:ind w:firstLine="3360" w:firstLineChars="14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法定代表人或授权代表（签字或盖章）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u w:val="single"/>
        </w:rPr>
        <w:br w:type="page"/>
      </w:r>
    </w:p>
    <w:p>
      <w:pPr>
        <w:pStyle w:val="3"/>
        <w:spacing w:line="360" w:lineRule="auto"/>
        <w:rPr>
          <w:rFonts w:hint="eastAsia" w:ascii="宋体" w:hAnsi="宋体" w:eastAsia="宋体" w:cs="宋体"/>
          <w:b/>
          <w:bCs/>
          <w:color w:val="auto"/>
          <w:spacing w:val="0"/>
          <w:w w:val="100"/>
          <w:position w:val="0"/>
          <w:sz w:val="24"/>
          <w:szCs w:val="24"/>
          <w:highlight w:val="none"/>
          <w:lang w:val="en-US" w:eastAsia="zh-CN"/>
        </w:rPr>
      </w:pPr>
      <w:bookmarkStart w:id="816" w:name="_Toc8755"/>
      <w:r>
        <w:rPr>
          <w:rStyle w:val="58"/>
          <w:rFonts w:hint="eastAsia" w:ascii="宋体" w:hAnsi="宋体" w:eastAsia="宋体" w:cs="宋体"/>
          <w:b/>
          <w:color w:val="auto"/>
          <w:spacing w:val="0"/>
          <w:w w:val="100"/>
          <w:position w:val="0"/>
          <w:sz w:val="32"/>
          <w:szCs w:val="32"/>
          <w:highlight w:val="none"/>
        </w:rPr>
        <w:t>三、</w:t>
      </w:r>
      <w:r>
        <w:rPr>
          <w:rStyle w:val="58"/>
          <w:rFonts w:hint="eastAsia" w:ascii="宋体" w:hAnsi="宋体" w:eastAsia="宋体" w:cs="宋体"/>
          <w:b/>
          <w:color w:val="auto"/>
          <w:spacing w:val="0"/>
          <w:w w:val="100"/>
          <w:position w:val="0"/>
          <w:sz w:val="32"/>
          <w:szCs w:val="32"/>
          <w:highlight w:val="none"/>
          <w:lang w:eastAsia="zh-CN"/>
        </w:rPr>
        <w:t>分项报价表</w:t>
      </w:r>
      <w:bookmarkEnd w:id="816"/>
      <w:bookmarkStart w:id="817" w:name="_Toc13257"/>
      <w:bookmarkStart w:id="818" w:name="_Toc26772"/>
      <w:bookmarkStart w:id="819" w:name="_Toc4009"/>
      <w:bookmarkStart w:id="820" w:name="_Toc30293"/>
      <w:bookmarkStart w:id="821" w:name="_Toc11784"/>
      <w:bookmarkStart w:id="822" w:name="_Toc14078"/>
      <w:bookmarkStart w:id="823" w:name="_Toc14988"/>
      <w:bookmarkStart w:id="824" w:name="_Toc28831"/>
      <w:bookmarkStart w:id="825" w:name="_Toc495681246"/>
      <w:bookmarkStart w:id="826" w:name="_Toc495681527"/>
      <w:bookmarkStart w:id="827" w:name="_Toc31853"/>
      <w:bookmarkStart w:id="828" w:name="_Toc495908042"/>
      <w:bookmarkStart w:id="829" w:name="_Toc2748"/>
      <w:bookmarkStart w:id="830" w:name="_Toc22665"/>
      <w:bookmarkStart w:id="831" w:name="_Toc620"/>
      <w:bookmarkStart w:id="832" w:name="_Toc495681400"/>
      <w:bookmarkStart w:id="833" w:name="_Toc19130"/>
      <w:bookmarkStart w:id="834" w:name="_Toc25757"/>
    </w:p>
    <w:p>
      <w:pPr>
        <w:ind w:left="560" w:left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供应商根据实际情况自行编制，格式自拟</w:t>
      </w:r>
    </w:p>
    <w:p>
      <w:pPr>
        <w:spacing w:line="360" w:lineRule="auto"/>
        <w:ind w:firstLine="3360" w:firstLineChars="1400"/>
        <w:rPr>
          <w:rFonts w:hint="eastAsia" w:ascii="宋体" w:hAnsi="宋体" w:eastAsia="宋体" w:cs="宋体"/>
          <w:color w:val="auto"/>
          <w:spacing w:val="0"/>
          <w:w w:val="100"/>
          <w:position w:val="0"/>
          <w:sz w:val="24"/>
          <w:szCs w:val="24"/>
          <w:highlight w:val="none"/>
        </w:rPr>
      </w:pPr>
    </w:p>
    <w:p>
      <w:pPr>
        <w:spacing w:line="360" w:lineRule="auto"/>
        <w:ind w:firstLine="3360" w:firstLineChars="1400"/>
        <w:rPr>
          <w:rFonts w:hint="eastAsia" w:ascii="宋体" w:hAnsi="宋体" w:eastAsia="宋体" w:cs="宋体"/>
          <w:color w:val="auto"/>
          <w:spacing w:val="0"/>
          <w:w w:val="100"/>
          <w:position w:val="0"/>
          <w:sz w:val="24"/>
          <w:szCs w:val="24"/>
          <w:highlight w:val="none"/>
        </w:rPr>
      </w:pPr>
    </w:p>
    <w:p>
      <w:pPr>
        <w:spacing w:line="360" w:lineRule="auto"/>
        <w:ind w:firstLine="3360" w:firstLineChars="14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法定代表人或授权代表（签字或盖章）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autoSpaceDE w:val="0"/>
        <w:autoSpaceDN w:val="0"/>
        <w:adjustRightInd w:val="0"/>
        <w:spacing w:line="360" w:lineRule="auto"/>
        <w:ind w:firstLine="3360" w:firstLineChars="1400"/>
        <w:rPr>
          <w:rFonts w:hint="eastAsia" w:ascii="宋体" w:hAnsi="宋体" w:eastAsia="宋体" w:cs="宋体"/>
          <w:color w:val="auto"/>
          <w:spacing w:val="0"/>
          <w:w w:val="100"/>
          <w:position w:val="0"/>
          <w:highlight w:val="none"/>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pStyle w:val="59"/>
        <w:pageBreakBefore/>
        <w:spacing w:line="360" w:lineRule="auto"/>
        <w:ind w:firstLine="0" w:firstLineChars="0"/>
        <w:jc w:val="center"/>
        <w:outlineLvl w:val="1"/>
        <w:rPr>
          <w:rStyle w:val="58"/>
          <w:rFonts w:hint="eastAsia" w:ascii="宋体" w:hAnsi="宋体" w:eastAsia="宋体" w:cs="宋体"/>
          <w:color w:val="auto"/>
          <w:spacing w:val="0"/>
          <w:w w:val="100"/>
          <w:position w:val="0"/>
          <w:highlight w:val="none"/>
        </w:rPr>
      </w:pPr>
      <w:bookmarkStart w:id="835" w:name="_Toc23086"/>
      <w:r>
        <w:rPr>
          <w:rStyle w:val="58"/>
          <w:rFonts w:hint="eastAsia" w:ascii="宋体" w:hAnsi="宋体" w:eastAsia="宋体" w:cs="宋体"/>
          <w:color w:val="auto"/>
          <w:spacing w:val="0"/>
          <w:w w:val="100"/>
          <w:position w:val="0"/>
          <w:sz w:val="32"/>
          <w:szCs w:val="21"/>
          <w:highlight w:val="none"/>
          <w:lang w:eastAsia="zh-CN"/>
        </w:rPr>
        <w:t>四</w:t>
      </w:r>
      <w:r>
        <w:rPr>
          <w:rStyle w:val="58"/>
          <w:rFonts w:hint="eastAsia" w:ascii="宋体" w:hAnsi="宋体" w:eastAsia="宋体" w:cs="宋体"/>
          <w:color w:val="auto"/>
          <w:spacing w:val="0"/>
          <w:w w:val="100"/>
          <w:position w:val="0"/>
          <w:sz w:val="32"/>
          <w:szCs w:val="21"/>
          <w:highlight w:val="none"/>
        </w:rPr>
        <w:t>、供应商资格证明文件</w:t>
      </w:r>
      <w:bookmarkEnd w:id="835"/>
    </w:p>
    <w:p>
      <w:pPr>
        <w:keepNext w:val="0"/>
        <w:keepLines w:val="0"/>
        <w:pageBreakBefore w:val="0"/>
        <w:widowControl w:val="0"/>
        <w:kinsoku/>
        <w:wordWrap/>
        <w:overflowPunct/>
        <w:topLinePunct w:val="0"/>
        <w:bidi w:val="0"/>
        <w:spacing w:line="400" w:lineRule="exact"/>
        <w:ind w:firstLine="482" w:firstLineChars="20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（1）基本资格条件</w:t>
      </w:r>
      <w:r>
        <w:rPr>
          <w:rFonts w:hint="eastAsia" w:ascii="宋体" w:hAnsi="宋体" w:eastAsia="宋体" w:cs="宋体"/>
          <w:b/>
          <w:bCs/>
          <w:color w:val="auto"/>
          <w:spacing w:val="0"/>
          <w:w w:val="100"/>
          <w:position w:val="0"/>
          <w:sz w:val="24"/>
          <w:szCs w:val="24"/>
          <w:highlight w:val="none"/>
          <w:lang w:eastAsia="zh-CN"/>
        </w:rPr>
        <w:t>：</w:t>
      </w:r>
      <w:r>
        <w:rPr>
          <w:rFonts w:hint="eastAsia" w:ascii="宋体" w:hAnsi="宋体" w:eastAsia="宋体" w:cs="宋体"/>
          <w:b/>
          <w:bCs/>
          <w:color w:val="auto"/>
          <w:spacing w:val="0"/>
          <w:w w:val="100"/>
          <w:position w:val="0"/>
          <w:sz w:val="24"/>
          <w:szCs w:val="24"/>
          <w:highlight w:val="none"/>
        </w:rPr>
        <w:t>符合《中华人民共和国政府采购法》第二十二条的规定；</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200" w:right="0" w:rightChars="0"/>
        <w:jc w:val="left"/>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具有独立承担民事责任能力的法人或其他组织，提供合法有效的营业执照；</w:t>
      </w:r>
    </w:p>
    <w:p>
      <w:pPr>
        <w:keepNext w:val="0"/>
        <w:keepLines w:val="0"/>
        <w:pageBreakBefore w:val="0"/>
        <w:widowControl w:val="0"/>
        <w:kinsoku/>
        <w:wordWrap/>
        <w:overflowPunct/>
        <w:topLinePunct w:val="0"/>
        <w:bidi w:val="0"/>
        <w:spacing w:line="400" w:lineRule="exact"/>
        <w:ind w:firstLine="480" w:firstLineChars="200"/>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2、财务状况报告</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具有良好的商业信誉和健全的财务会计制度(提供2021年度或2022年度经会计事务所或审计机构审计的财务审计报告（成立时间至响应文件递交截止时间不足一年的可提供成立后任意时段的资产负债表）或在投标截止时间前12个月内其开户银行出具的资信证明及开户银行证明材料）；</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color w:val="auto"/>
          <w:spacing w:val="0"/>
          <w:w w:val="100"/>
          <w:position w:val="0"/>
          <w:sz w:val="24"/>
          <w:szCs w:val="24"/>
          <w:highlight w:val="none"/>
        </w:rPr>
        <w:t>3、</w:t>
      </w:r>
      <w:r>
        <w:rPr>
          <w:rFonts w:hint="eastAsia" w:ascii="宋体" w:hAnsi="宋体" w:eastAsia="宋体" w:cs="宋体"/>
          <w:color w:val="auto"/>
          <w:spacing w:val="0"/>
          <w:w w:val="100"/>
          <w:position w:val="0"/>
          <w:sz w:val="24"/>
          <w:szCs w:val="24"/>
          <w:highlight w:val="none"/>
          <w:lang w:eastAsia="zh-CN"/>
        </w:rPr>
        <w:t>税收缴纳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和社会保障资金</w:t>
      </w:r>
      <w:r>
        <w:rPr>
          <w:rFonts w:hint="eastAsia" w:ascii="宋体" w:hAnsi="宋体" w:eastAsia="宋体" w:cs="宋体"/>
          <w:color w:val="auto"/>
          <w:spacing w:val="0"/>
          <w:w w:val="100"/>
          <w:position w:val="0"/>
          <w:sz w:val="24"/>
          <w:szCs w:val="24"/>
          <w:highlight w:val="none"/>
          <w:lang w:eastAsia="zh-CN"/>
        </w:rPr>
        <w:t>证明：</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有依法缴纳税收和社会保障资金的良好记录（提供投标截止时间前12个月内任意一个月依法缴纳税收和社保证明（社会保障资金缴存单据或社保机构开具的社会保险参保缴费情况证明），依法免税的应提供相关证明材料，依法不需要缴纳社会保障资金的应提供相关证明材料）；</w:t>
      </w:r>
    </w:p>
    <w:p>
      <w:pPr>
        <w:pStyle w:val="25"/>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4、出具履行合同所必需的设备和专业技术能力的书面声明；</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5</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参加政府采购活动前三年内，在经营活动中没有重大违法记录的声明；</w:t>
      </w:r>
      <w:r>
        <w:rPr>
          <w:rFonts w:hint="eastAsia" w:ascii="宋体" w:hAnsi="宋体" w:eastAsia="宋体" w:cs="宋体"/>
          <w:color w:val="auto"/>
          <w:spacing w:val="0"/>
          <w:w w:val="100"/>
          <w:position w:val="0"/>
          <w:sz w:val="24"/>
          <w:szCs w:val="24"/>
          <w:highlight w:val="none"/>
        </w:rPr>
        <w:t xml:space="preserve">；  </w:t>
      </w:r>
    </w:p>
    <w:p>
      <w:pPr>
        <w:keepNext w:val="0"/>
        <w:keepLines w:val="0"/>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（2）特定资格条件</w:t>
      </w:r>
      <w:r>
        <w:rPr>
          <w:rFonts w:hint="eastAsia" w:ascii="宋体" w:hAnsi="宋体" w:eastAsia="宋体" w:cs="宋体"/>
          <w:b/>
          <w:bCs/>
          <w:color w:val="auto"/>
          <w:spacing w:val="0"/>
          <w:w w:val="100"/>
          <w:position w:val="0"/>
          <w:sz w:val="24"/>
          <w:szCs w:val="24"/>
          <w:highlight w:val="none"/>
          <w:lang w:eastAsia="zh-CN"/>
        </w:rPr>
        <w:t>：</w:t>
      </w:r>
      <w:r>
        <w:rPr>
          <w:rFonts w:hint="eastAsia" w:ascii="宋体" w:hAnsi="宋体" w:eastAsia="宋体" w:cs="宋体"/>
          <w:b/>
          <w:bCs/>
          <w:color w:val="auto"/>
          <w:spacing w:val="0"/>
          <w:w w:val="100"/>
          <w:position w:val="0"/>
          <w:sz w:val="24"/>
          <w:szCs w:val="24"/>
          <w:highlight w:val="none"/>
        </w:rPr>
        <w:t xml:space="preserve"> </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合同包1(三马路东里至双槐段改建工程设计)特定资格要求如下:</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应授权合法的人员参加投标全过程，其中法定代表人/负责人直接投标，须提交法定代表人/负责人身份证明书和身份证。法定代表人/负责人授权代表参加投标的，须出具法定代表人/负责人授权书及授权代表身份证；</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lang w:val="zh-CN" w:eastAsia="zh-CN"/>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供应商具备建设行政主管部门核发的有效的公路行业（公路）专业丙级及以上设计资质</w:t>
      </w:r>
      <w:r>
        <w:rPr>
          <w:rFonts w:hint="eastAsia" w:ascii="宋体" w:hAnsi="宋体" w:eastAsia="宋体" w:cs="宋体"/>
          <w:color w:val="auto"/>
          <w:spacing w:val="0"/>
          <w:w w:val="100"/>
          <w:position w:val="0"/>
          <w:sz w:val="24"/>
          <w:szCs w:val="24"/>
          <w:highlight w:val="none"/>
          <w:lang w:val="en-US" w:eastAsia="zh-CN"/>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3、拟派</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项目负责人须具备公路行业相关专业高级职称</w:t>
      </w:r>
      <w:r>
        <w:rPr>
          <w:rFonts w:hint="eastAsia" w:ascii="宋体" w:hAnsi="宋体" w:eastAsia="宋体" w:cs="宋体"/>
          <w:color w:val="auto"/>
          <w:spacing w:val="0"/>
          <w:w w:val="100"/>
          <w:position w:val="0"/>
          <w:sz w:val="24"/>
          <w:szCs w:val="24"/>
          <w:highlight w:val="none"/>
          <w:lang w:val="en-US" w:eastAsia="zh-CN"/>
        </w:rPr>
        <w:t>；</w:t>
      </w:r>
    </w:p>
    <w:p>
      <w:pPr>
        <w:pStyle w:val="25"/>
        <w:rPr>
          <w:rFonts w:hint="eastAsia" w:ascii="宋体" w:hAnsi="宋体" w:eastAsia="宋体" w:cs="宋体"/>
          <w:color w:val="auto"/>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shd w:val="clear" w:color="auto" w:fill="FFFFFF"/>
          <w:vertAlign w:val="baseli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竞争性磋商文件</w:t>
      </w:r>
      <w:r>
        <w:rPr>
          <w:rFonts w:hint="eastAsia" w:ascii="宋体" w:hAnsi="宋体" w:eastAsia="宋体" w:cs="宋体"/>
          <w:i w:val="0"/>
          <w:iCs w:val="0"/>
          <w:caps w:val="0"/>
          <w:color w:val="auto"/>
          <w:spacing w:val="0"/>
          <w:sz w:val="24"/>
          <w:szCs w:val="24"/>
          <w:highlight w:val="none"/>
          <w:shd w:val="clear" w:color="auto" w:fill="FFFFFF"/>
          <w:vertAlign w:val="baseline"/>
        </w:rPr>
        <w:t>当日起至开标截止前任意一天内的查询结果网页截图并加盖公章）；</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合同包2(朱峪路等桥至朱家湾段改建工程设计)特定资格要求如下:</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应授权合法的人员参加投标全过程，其中法定代表人/负责人直接投标，须提交法定代表人/负责人身份证明书和身份证。法定代表人/负责人授权代表参加投标的，须出具法定代表人/负责人授权书及授权代表身份证；</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lang w:val="zh-CN" w:eastAsia="zh-CN"/>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供应商具备建设行政主管部门核发的有效的公路行业（公路）专业丙级及以上设计资质</w:t>
      </w:r>
      <w:r>
        <w:rPr>
          <w:rFonts w:hint="eastAsia" w:ascii="宋体" w:hAnsi="宋体" w:eastAsia="宋体" w:cs="宋体"/>
          <w:color w:val="auto"/>
          <w:spacing w:val="0"/>
          <w:w w:val="100"/>
          <w:position w:val="0"/>
          <w:sz w:val="24"/>
          <w:szCs w:val="24"/>
          <w:highlight w:val="none"/>
          <w:lang w:val="en-US" w:eastAsia="zh-CN"/>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3、拟派</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项目负责人须具备公路行业相关专业高级职称</w:t>
      </w:r>
      <w:r>
        <w:rPr>
          <w:rFonts w:hint="eastAsia" w:ascii="宋体" w:hAnsi="宋体" w:eastAsia="宋体" w:cs="宋体"/>
          <w:color w:val="auto"/>
          <w:spacing w:val="0"/>
          <w:w w:val="100"/>
          <w:position w:val="0"/>
          <w:sz w:val="24"/>
          <w:szCs w:val="24"/>
          <w:highlight w:val="none"/>
          <w:lang w:val="en-US" w:eastAsia="zh-CN"/>
        </w:rPr>
        <w:t>；</w:t>
      </w:r>
    </w:p>
    <w:p>
      <w:pPr>
        <w:pStyle w:val="25"/>
        <w:rPr>
          <w:rFonts w:hint="eastAsia" w:ascii="宋体" w:hAnsi="宋体" w:eastAsia="宋体" w:cs="宋体"/>
          <w:color w:val="auto"/>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shd w:val="clear" w:color="auto" w:fill="FFFFFF"/>
          <w:vertAlign w:val="baseli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竞争性磋商文件</w:t>
      </w:r>
      <w:r>
        <w:rPr>
          <w:rFonts w:hint="eastAsia" w:ascii="宋体" w:hAnsi="宋体" w:eastAsia="宋体" w:cs="宋体"/>
          <w:i w:val="0"/>
          <w:iCs w:val="0"/>
          <w:caps w:val="0"/>
          <w:color w:val="auto"/>
          <w:spacing w:val="0"/>
          <w:sz w:val="24"/>
          <w:szCs w:val="24"/>
          <w:highlight w:val="none"/>
          <w:shd w:val="clear" w:color="auto" w:fill="FFFFFF"/>
          <w:vertAlign w:val="baseline"/>
        </w:rPr>
        <w:t>当日起至开标截止前任意一天内的查询结果网页截图并加盖公章）；</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合同包3(孟店桥建设工程设计)特定资格要求如下:</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应授权合法的人员参加投标全过程，其中法定代表人/负责人直接投标，须提交法定代表人/负责人身份证明书和身份证。法定代表人/负责人授权代表参加投标的，须出具法定代表人/负责人授权书及授权代表身份证；</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lang w:val="zh-CN" w:eastAsia="zh-CN"/>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供应商具备建设行政主管部门核发的有效的公路行业（公路）专业乙级及以上资质；</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3、拟派</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项目负责人须具备公路行业相关专业高级职称</w:t>
      </w:r>
      <w:r>
        <w:rPr>
          <w:rFonts w:hint="eastAsia" w:ascii="宋体" w:hAnsi="宋体" w:eastAsia="宋体" w:cs="宋体"/>
          <w:color w:val="auto"/>
          <w:spacing w:val="0"/>
          <w:w w:val="100"/>
          <w:position w:val="0"/>
          <w:sz w:val="24"/>
          <w:szCs w:val="24"/>
          <w:highlight w:val="none"/>
          <w:lang w:val="en-US" w:eastAsia="zh-CN"/>
        </w:rPr>
        <w:t>；</w:t>
      </w:r>
    </w:p>
    <w:p>
      <w:pPr>
        <w:pStyle w:val="25"/>
        <w:rPr>
          <w:rFonts w:hint="eastAsia" w:ascii="宋体" w:hAnsi="宋体" w:eastAsia="宋体" w:cs="宋体"/>
          <w:color w:val="auto"/>
          <w:highlight w:val="none"/>
          <w:lang w:val="zh-CN" w:eastAsia="zh-CN"/>
        </w:rPr>
      </w:pPr>
      <w:r>
        <w:rPr>
          <w:rFonts w:hint="eastAsia" w:ascii="宋体" w:hAnsi="宋体" w:eastAsia="宋体" w:cs="宋体"/>
          <w:color w:val="auto"/>
          <w:spacing w:val="0"/>
          <w:w w:val="100"/>
          <w:position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shd w:val="clear" w:color="auto" w:fill="FFFFFF"/>
          <w:vertAlign w:val="baseli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竞争性磋商文件</w:t>
      </w:r>
      <w:r>
        <w:rPr>
          <w:rFonts w:hint="eastAsia" w:ascii="宋体" w:hAnsi="宋体" w:eastAsia="宋体" w:cs="宋体"/>
          <w:i w:val="0"/>
          <w:iCs w:val="0"/>
          <w:caps w:val="0"/>
          <w:color w:val="auto"/>
          <w:spacing w:val="0"/>
          <w:sz w:val="24"/>
          <w:szCs w:val="24"/>
          <w:highlight w:val="none"/>
          <w:shd w:val="clear" w:color="auto" w:fill="FFFFFF"/>
          <w:vertAlign w:val="baseline"/>
        </w:rPr>
        <w:t>当日起至开标截止前任意一天内的查询结果网页截图并加盖公章）；</w:t>
      </w:r>
    </w:p>
    <w:p>
      <w:pPr>
        <w:pStyle w:val="8"/>
        <w:keepNext w:val="0"/>
        <w:keepLines w:val="0"/>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bCs/>
          <w:color w:val="auto"/>
          <w:spacing w:val="0"/>
          <w:w w:val="100"/>
          <w:kern w:val="2"/>
          <w:position w:val="0"/>
          <w:sz w:val="24"/>
          <w:szCs w:val="24"/>
          <w:highlight w:val="none"/>
          <w:lang w:val="en-US" w:eastAsia="zh-CN" w:bidi="ar-SA"/>
        </w:rPr>
      </w:pPr>
      <w:r>
        <w:rPr>
          <w:rFonts w:hint="eastAsia" w:ascii="宋体" w:hAnsi="宋体" w:eastAsia="宋体" w:cs="宋体"/>
          <w:b/>
          <w:bCs/>
          <w:color w:val="auto"/>
          <w:spacing w:val="0"/>
          <w:w w:val="100"/>
          <w:kern w:val="2"/>
          <w:position w:val="0"/>
          <w:sz w:val="24"/>
          <w:szCs w:val="24"/>
          <w:highlight w:val="none"/>
          <w:lang w:val="en-US" w:eastAsia="zh-CN" w:bidi="ar-SA"/>
        </w:rPr>
        <w:t>注：格式后附。</w:t>
      </w:r>
    </w:p>
    <w:p>
      <w:pPr>
        <w:pageBreakBefore/>
        <w:spacing w:line="360" w:lineRule="auto"/>
        <w:jc w:val="center"/>
        <w:rPr>
          <w:rFonts w:hint="eastAsia" w:ascii="宋体" w:hAnsi="宋体" w:eastAsia="宋体" w:cs="宋体"/>
          <w:b/>
          <w:bCs/>
          <w:color w:val="auto"/>
          <w:spacing w:val="0"/>
          <w:w w:val="100"/>
          <w:position w:val="0"/>
          <w:sz w:val="32"/>
          <w:szCs w:val="32"/>
          <w:highlight w:val="none"/>
        </w:rPr>
      </w:pPr>
      <w:r>
        <w:rPr>
          <w:rFonts w:hint="eastAsia" w:ascii="宋体" w:hAnsi="宋体" w:eastAsia="宋体" w:cs="宋体"/>
          <w:b/>
          <w:bCs/>
          <w:color w:val="auto"/>
          <w:spacing w:val="0"/>
          <w:w w:val="100"/>
          <w:position w:val="0"/>
          <w:sz w:val="32"/>
          <w:szCs w:val="32"/>
          <w:highlight w:val="none"/>
        </w:rPr>
        <w:t>供应商基本情况表</w:t>
      </w:r>
    </w:p>
    <w:tbl>
      <w:tblPr>
        <w:tblStyle w:val="26"/>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31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供应商名称</w:t>
            </w:r>
          </w:p>
        </w:tc>
        <w:tc>
          <w:tcPr>
            <w:tcW w:w="363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1620"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法定代表人</w:t>
            </w:r>
          </w:p>
        </w:tc>
        <w:tc>
          <w:tcPr>
            <w:tcW w:w="1657"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31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统一</w:t>
            </w:r>
          </w:p>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社会信用代码</w:t>
            </w:r>
          </w:p>
        </w:tc>
        <w:tc>
          <w:tcPr>
            <w:tcW w:w="363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1620"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邮政编码</w:t>
            </w:r>
          </w:p>
        </w:tc>
        <w:tc>
          <w:tcPr>
            <w:tcW w:w="1657"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31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上年营业收入</w:t>
            </w:r>
          </w:p>
        </w:tc>
        <w:tc>
          <w:tcPr>
            <w:tcW w:w="363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1620"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员工总人数</w:t>
            </w:r>
          </w:p>
        </w:tc>
        <w:tc>
          <w:tcPr>
            <w:tcW w:w="1657"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营业执照</w:t>
            </w:r>
          </w:p>
        </w:tc>
        <w:tc>
          <w:tcPr>
            <w:tcW w:w="1592"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注册号码</w:t>
            </w:r>
          </w:p>
        </w:tc>
        <w:tc>
          <w:tcPr>
            <w:tcW w:w="2205"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1425"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注册地址</w:t>
            </w:r>
          </w:p>
        </w:tc>
        <w:tc>
          <w:tcPr>
            <w:tcW w:w="3277" w:type="dxa"/>
            <w:gridSpan w:val="2"/>
            <w:vAlign w:val="center"/>
          </w:tcPr>
          <w:p>
            <w:pPr>
              <w:topLinePunct/>
              <w:spacing w:line="360" w:lineRule="auto"/>
              <w:ind w:firstLine="120" w:firstLineChars="50"/>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1592"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发证机关</w:t>
            </w:r>
          </w:p>
        </w:tc>
        <w:tc>
          <w:tcPr>
            <w:tcW w:w="2205"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1425"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发证日期</w:t>
            </w:r>
          </w:p>
        </w:tc>
        <w:tc>
          <w:tcPr>
            <w:tcW w:w="3277" w:type="dxa"/>
            <w:gridSpan w:val="2"/>
            <w:vAlign w:val="center"/>
          </w:tcPr>
          <w:p>
            <w:pPr>
              <w:topLinePunct/>
              <w:spacing w:line="360" w:lineRule="auto"/>
              <w:ind w:firstLine="120" w:firstLineChars="50"/>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718" w:type="dxa"/>
            <w:vMerge w:val="continue"/>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1592"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营业范围</w:t>
            </w:r>
          </w:p>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（主营）</w:t>
            </w:r>
          </w:p>
        </w:tc>
        <w:tc>
          <w:tcPr>
            <w:tcW w:w="6907" w:type="dxa"/>
            <w:gridSpan w:val="5"/>
            <w:vAlign w:val="center"/>
          </w:tcPr>
          <w:p>
            <w:pPr>
              <w:topLinePunct/>
              <w:spacing w:line="360" w:lineRule="auto"/>
              <w:ind w:firstLine="120" w:firstLineChars="50"/>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1592"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营业范围</w:t>
            </w:r>
          </w:p>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（兼营）</w:t>
            </w:r>
          </w:p>
        </w:tc>
        <w:tc>
          <w:tcPr>
            <w:tcW w:w="6907" w:type="dxa"/>
            <w:gridSpan w:val="5"/>
            <w:vAlign w:val="center"/>
          </w:tcPr>
          <w:p>
            <w:pPr>
              <w:topLinePunct/>
              <w:spacing w:line="360" w:lineRule="auto"/>
              <w:ind w:firstLine="120" w:firstLineChars="50"/>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基本账户开户行及账号</w:t>
            </w:r>
          </w:p>
        </w:tc>
        <w:tc>
          <w:tcPr>
            <w:tcW w:w="6907" w:type="dxa"/>
            <w:gridSpan w:val="5"/>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资产总额（万元）</w:t>
            </w:r>
          </w:p>
        </w:tc>
        <w:tc>
          <w:tcPr>
            <w:tcW w:w="6907" w:type="dxa"/>
            <w:gridSpan w:val="5"/>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231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资质名称</w:t>
            </w:r>
          </w:p>
        </w:tc>
        <w:tc>
          <w:tcPr>
            <w:tcW w:w="2403"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等级</w:t>
            </w:r>
          </w:p>
        </w:tc>
        <w:tc>
          <w:tcPr>
            <w:tcW w:w="1227"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发证机关</w:t>
            </w:r>
          </w:p>
        </w:tc>
        <w:tc>
          <w:tcPr>
            <w:tcW w:w="3277"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2403"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1227"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3277"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2403"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1227" w:type="dxa"/>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c>
          <w:tcPr>
            <w:tcW w:w="3277"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57" w:type="dxa"/>
            <w:gridSpan w:val="2"/>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备注</w:t>
            </w:r>
          </w:p>
        </w:tc>
        <w:tc>
          <w:tcPr>
            <w:tcW w:w="7960" w:type="dxa"/>
            <w:gridSpan w:val="6"/>
            <w:vAlign w:val="center"/>
          </w:tcPr>
          <w:p>
            <w:pPr>
              <w:topLinePunct/>
              <w:spacing w:line="360" w:lineRule="auto"/>
              <w:jc w:val="center"/>
              <w:rPr>
                <w:rFonts w:hint="eastAsia" w:ascii="宋体" w:hAnsi="宋体" w:eastAsia="宋体" w:cs="宋体"/>
                <w:color w:val="auto"/>
                <w:spacing w:val="0"/>
                <w:w w:val="100"/>
                <w:position w:val="0"/>
                <w:sz w:val="24"/>
                <w:szCs w:val="24"/>
                <w:highlight w:val="none"/>
              </w:rPr>
            </w:pPr>
          </w:p>
        </w:tc>
      </w:tr>
    </w:tbl>
    <w:p>
      <w:pPr>
        <w:autoSpaceDE w:val="0"/>
        <w:autoSpaceDN w:val="0"/>
        <w:adjustRightInd w:val="0"/>
        <w:snapToGrid w:val="0"/>
        <w:spacing w:before="120" w:line="360" w:lineRule="auto"/>
        <w:ind w:firstLine="480" w:firstLineChars="200"/>
        <w:jc w:val="left"/>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说明</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企业类型指大型、中型、小型、微型；上年营业收入、资产总额要与财务报表中的数据一致；资质指特定条件要求提供的资质。</w:t>
      </w:r>
    </w:p>
    <w:p>
      <w:pPr>
        <w:spacing w:line="360" w:lineRule="auto"/>
        <w:ind w:firstLine="3840" w:firstLineChars="1600"/>
        <w:rPr>
          <w:rFonts w:hint="eastAsia" w:ascii="宋体" w:hAnsi="宋体" w:eastAsia="宋体" w:cs="宋体"/>
          <w:color w:val="auto"/>
          <w:spacing w:val="0"/>
          <w:w w:val="100"/>
          <w:position w:val="0"/>
          <w:sz w:val="24"/>
          <w:szCs w:val="24"/>
          <w:highlight w:val="none"/>
        </w:rPr>
      </w:pPr>
    </w:p>
    <w:p>
      <w:pPr>
        <w:spacing w:line="360" w:lineRule="auto"/>
        <w:ind w:firstLine="3360" w:firstLineChars="14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法定代表人或授权代表（签字或盖章）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firstLine="3360" w:firstLineChars="1400"/>
        <w:rPr>
          <w:rFonts w:hint="eastAsia" w:ascii="宋体" w:hAnsi="宋体" w:eastAsia="宋体" w:cs="宋体"/>
          <w:color w:val="auto"/>
          <w:spacing w:val="0"/>
          <w:w w:val="100"/>
          <w:position w:val="0"/>
          <w:highlight w:val="none"/>
        </w:rPr>
        <w:sectPr>
          <w:footerReference r:id="rId7"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p>
    <w:p>
      <w:pPr>
        <w:numPr>
          <w:ilvl w:val="0"/>
          <w:numId w:val="5"/>
        </w:numPr>
        <w:autoSpaceDE w:val="0"/>
        <w:autoSpaceDN w:val="0"/>
        <w:adjustRightInd w:val="0"/>
        <w:snapToGrid w:val="0"/>
        <w:spacing w:before="120" w:line="360" w:lineRule="auto"/>
        <w:ind w:left="360" w:leftChars="0" w:firstLineChars="0"/>
        <w:jc w:val="center"/>
        <w:outlineLvl w:val="2"/>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bookmarkStart w:id="836" w:name="_Toc495671271"/>
      <w:bookmarkStart w:id="837" w:name="_Toc495681414"/>
      <w:bookmarkStart w:id="838" w:name="_Toc495908056"/>
      <w:bookmarkStart w:id="839" w:name="_Toc894"/>
      <w:bookmarkStart w:id="840" w:name="_Toc495681541"/>
      <w:bookmarkStart w:id="841" w:name="_Toc495681260"/>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具有独立承担民事责任能力的法人或其他组织，提供合法有效的营业执照</w:t>
      </w:r>
    </w:p>
    <w:p>
      <w:pPr>
        <w:pStyle w:val="8"/>
        <w:jc w:val="center"/>
        <w:rPr>
          <w:rFonts w:hint="eastAsia" w:ascii="宋体" w:hAnsi="宋体" w:eastAsia="宋体" w:cs="宋体"/>
          <w:color w:val="auto"/>
          <w:spacing w:val="0"/>
          <w:w w:val="100"/>
          <w:kern w:val="2"/>
          <w:position w:val="0"/>
          <w:sz w:val="24"/>
          <w:szCs w:val="24"/>
          <w:highlight w:val="none"/>
          <w:lang w:val="en-US" w:eastAsia="zh-CN" w:bidi="ar-SA"/>
        </w:rPr>
      </w:pPr>
    </w:p>
    <w:p>
      <w:pPr>
        <w:pStyle w:val="8"/>
        <w:jc w:val="center"/>
        <w:rPr>
          <w:rFonts w:hint="eastAsia" w:ascii="宋体" w:hAnsi="宋体" w:eastAsia="宋体" w:cs="宋体"/>
          <w:color w:val="auto"/>
          <w:spacing w:val="0"/>
          <w:w w:val="100"/>
          <w:kern w:val="2"/>
          <w:position w:val="0"/>
          <w:sz w:val="24"/>
          <w:szCs w:val="24"/>
          <w:highlight w:val="none"/>
          <w:lang w:val="en-US"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spacing w:val="0"/>
          <w:w w:val="100"/>
          <w:kern w:val="2"/>
          <w:position w:val="0"/>
          <w:sz w:val="24"/>
          <w:szCs w:val="24"/>
          <w:highlight w:val="none"/>
          <w:lang w:val="en-US" w:eastAsia="zh-CN" w:bidi="ar-SA"/>
        </w:rPr>
        <w:t>（扫描件或复印件加盖单位公章）</w:t>
      </w:r>
    </w:p>
    <w:p>
      <w:pPr>
        <w:numPr>
          <w:ilvl w:val="0"/>
          <w:numId w:val="5"/>
        </w:numPr>
        <w:autoSpaceDE w:val="0"/>
        <w:autoSpaceDN w:val="0"/>
        <w:adjustRightInd w:val="0"/>
        <w:snapToGrid w:val="0"/>
        <w:spacing w:before="120" w:line="360" w:lineRule="auto"/>
        <w:ind w:left="358" w:leftChars="0" w:firstLine="0" w:firstLineChars="0"/>
        <w:jc w:val="center"/>
        <w:outlineLvl w:val="2"/>
        <w:rPr>
          <w:rFonts w:hint="eastAsia" w:ascii="宋体" w:hAnsi="宋体" w:eastAsia="宋体" w:cs="宋体"/>
          <w:b/>
          <w:bCs/>
          <w:color w:val="auto"/>
          <w:spacing w:val="0"/>
          <w:w w:val="100"/>
          <w:position w:val="0"/>
          <w:sz w:val="28"/>
          <w:szCs w:val="28"/>
          <w:highlight w:val="none"/>
        </w:rPr>
      </w:pPr>
      <w:bookmarkStart w:id="842" w:name="_Toc19345"/>
      <w:r>
        <w:rPr>
          <w:rFonts w:hint="eastAsia" w:ascii="宋体" w:hAnsi="宋体" w:eastAsia="宋体" w:cs="宋体"/>
          <w:b/>
          <w:bCs/>
          <w:color w:val="auto"/>
          <w:spacing w:val="0"/>
          <w:w w:val="100"/>
          <w:position w:val="0"/>
          <w:sz w:val="28"/>
          <w:szCs w:val="28"/>
          <w:highlight w:val="none"/>
        </w:rPr>
        <w:t>财务状况报告</w:t>
      </w:r>
      <w:bookmarkEnd w:id="842"/>
    </w:p>
    <w:p>
      <w:pPr>
        <w:pStyle w:val="8"/>
        <w:rPr>
          <w:rFonts w:hint="eastAsia" w:ascii="宋体" w:hAnsi="宋体" w:eastAsia="宋体" w:cs="宋体"/>
          <w:color w:val="auto"/>
          <w:highlight w:val="none"/>
        </w:rPr>
      </w:pPr>
    </w:p>
    <w:p>
      <w:pPr>
        <w:jc w:val="center"/>
        <w:rPr>
          <w:rFonts w:hint="eastAsia" w:ascii="宋体" w:hAnsi="宋体" w:eastAsia="宋体" w:cs="宋体"/>
          <w:color w:val="auto"/>
          <w:highlight w:val="none"/>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spacing w:val="0"/>
          <w:w w:val="100"/>
          <w:kern w:val="2"/>
          <w:position w:val="0"/>
          <w:sz w:val="24"/>
          <w:szCs w:val="24"/>
          <w:highlight w:val="none"/>
          <w:lang w:val="en-US" w:eastAsia="zh-CN" w:bidi="ar-SA"/>
        </w:rPr>
        <w:t>（扫描件或复印件加盖单位公章）</w:t>
      </w:r>
    </w:p>
    <w:p>
      <w:pPr>
        <w:numPr>
          <w:ilvl w:val="0"/>
          <w:numId w:val="0"/>
        </w:numPr>
        <w:autoSpaceDE w:val="0"/>
        <w:autoSpaceDN w:val="0"/>
        <w:adjustRightInd w:val="0"/>
        <w:snapToGrid w:val="0"/>
        <w:spacing w:before="120" w:line="360" w:lineRule="auto"/>
        <w:ind w:leftChars="0"/>
        <w:jc w:val="center"/>
        <w:outlineLvl w:val="2"/>
        <w:rPr>
          <w:rFonts w:hint="eastAsia" w:ascii="宋体" w:hAnsi="宋体" w:eastAsia="宋体" w:cs="宋体"/>
          <w:b/>
          <w:color w:val="auto"/>
          <w:spacing w:val="0"/>
          <w:w w:val="100"/>
          <w:position w:val="0"/>
          <w:sz w:val="28"/>
          <w:szCs w:val="28"/>
          <w:highlight w:val="none"/>
        </w:rPr>
      </w:pPr>
      <w:bookmarkStart w:id="843" w:name="_Toc1458"/>
      <w:r>
        <w:rPr>
          <w:rFonts w:hint="eastAsia" w:ascii="宋体" w:hAnsi="宋体" w:eastAsia="宋体" w:cs="宋体"/>
          <w:b/>
          <w:color w:val="auto"/>
          <w:spacing w:val="0"/>
          <w:w w:val="100"/>
          <w:position w:val="0"/>
          <w:sz w:val="28"/>
          <w:szCs w:val="28"/>
          <w:highlight w:val="none"/>
        </w:rPr>
        <w:t>（</w:t>
      </w:r>
      <w:r>
        <w:rPr>
          <w:rFonts w:hint="eastAsia" w:ascii="宋体" w:hAnsi="宋体" w:eastAsia="宋体" w:cs="宋体"/>
          <w:b/>
          <w:color w:val="auto"/>
          <w:spacing w:val="0"/>
          <w:w w:val="100"/>
          <w:position w:val="0"/>
          <w:sz w:val="28"/>
          <w:szCs w:val="28"/>
          <w:highlight w:val="none"/>
          <w:lang w:eastAsia="zh-CN"/>
        </w:rPr>
        <w:t>三</w:t>
      </w:r>
      <w:r>
        <w:rPr>
          <w:rFonts w:hint="eastAsia" w:ascii="宋体" w:hAnsi="宋体" w:eastAsia="宋体" w:cs="宋体"/>
          <w:b/>
          <w:color w:val="auto"/>
          <w:spacing w:val="0"/>
          <w:w w:val="100"/>
          <w:position w:val="0"/>
          <w:sz w:val="28"/>
          <w:szCs w:val="28"/>
          <w:highlight w:val="none"/>
        </w:rPr>
        <w:t>）税收缴纳证明</w:t>
      </w:r>
      <w:bookmarkEnd w:id="843"/>
    </w:p>
    <w:p>
      <w:pPr>
        <w:pStyle w:val="8"/>
        <w:rPr>
          <w:rFonts w:hint="eastAsia" w:ascii="宋体" w:hAnsi="宋体" w:eastAsia="宋体" w:cs="宋体"/>
          <w:b/>
          <w:color w:val="auto"/>
          <w:spacing w:val="0"/>
          <w:w w:val="100"/>
          <w:position w:val="0"/>
          <w:sz w:val="28"/>
          <w:szCs w:val="28"/>
          <w:highlight w:val="none"/>
        </w:rPr>
      </w:pPr>
    </w:p>
    <w:p>
      <w:pPr>
        <w:rPr>
          <w:rFonts w:hint="eastAsia" w:ascii="宋体" w:hAnsi="宋体" w:eastAsia="宋体" w:cs="宋体"/>
          <w:color w:val="auto"/>
          <w:highlight w:val="none"/>
        </w:rPr>
      </w:pPr>
    </w:p>
    <w:p>
      <w:pPr>
        <w:pStyle w:val="8"/>
        <w:jc w:val="center"/>
        <w:rPr>
          <w:rFonts w:hint="eastAsia" w:ascii="宋体" w:hAnsi="宋体" w:eastAsia="宋体" w:cs="宋体"/>
          <w:color w:val="auto"/>
          <w:highlight w:val="none"/>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spacing w:val="0"/>
          <w:w w:val="100"/>
          <w:kern w:val="2"/>
          <w:position w:val="0"/>
          <w:sz w:val="24"/>
          <w:szCs w:val="24"/>
          <w:highlight w:val="none"/>
          <w:lang w:val="en-US" w:eastAsia="zh-CN" w:bidi="ar-SA"/>
        </w:rPr>
        <w:t>（扫描件或复印件加盖单位公章）</w:t>
      </w:r>
    </w:p>
    <w:p>
      <w:pPr>
        <w:spacing w:line="360" w:lineRule="auto"/>
        <w:jc w:val="center"/>
        <w:outlineLvl w:val="2"/>
        <w:rPr>
          <w:rFonts w:hint="eastAsia" w:ascii="宋体" w:hAnsi="宋体" w:eastAsia="宋体" w:cs="宋体"/>
          <w:b/>
          <w:color w:val="auto"/>
          <w:spacing w:val="0"/>
          <w:w w:val="100"/>
          <w:position w:val="0"/>
          <w:sz w:val="28"/>
          <w:szCs w:val="28"/>
          <w:highlight w:val="none"/>
        </w:rPr>
      </w:pPr>
      <w:bookmarkStart w:id="844" w:name="_Toc17684"/>
      <w:r>
        <w:rPr>
          <w:rFonts w:hint="eastAsia" w:ascii="宋体" w:hAnsi="宋体" w:eastAsia="宋体" w:cs="宋体"/>
          <w:b/>
          <w:color w:val="auto"/>
          <w:spacing w:val="0"/>
          <w:w w:val="100"/>
          <w:position w:val="0"/>
          <w:sz w:val="28"/>
          <w:szCs w:val="28"/>
          <w:highlight w:val="none"/>
        </w:rPr>
        <w:t>（</w:t>
      </w:r>
      <w:r>
        <w:rPr>
          <w:rFonts w:hint="eastAsia" w:ascii="宋体" w:hAnsi="宋体" w:eastAsia="宋体" w:cs="宋体"/>
          <w:b/>
          <w:color w:val="auto"/>
          <w:spacing w:val="0"/>
          <w:w w:val="100"/>
          <w:position w:val="0"/>
          <w:sz w:val="28"/>
          <w:szCs w:val="28"/>
          <w:highlight w:val="none"/>
          <w:lang w:eastAsia="zh-CN"/>
        </w:rPr>
        <w:t>四</w:t>
      </w:r>
      <w:r>
        <w:rPr>
          <w:rFonts w:hint="eastAsia" w:ascii="宋体" w:hAnsi="宋体" w:eastAsia="宋体" w:cs="宋体"/>
          <w:b/>
          <w:color w:val="auto"/>
          <w:spacing w:val="0"/>
          <w:w w:val="100"/>
          <w:position w:val="0"/>
          <w:sz w:val="28"/>
          <w:szCs w:val="28"/>
          <w:highlight w:val="none"/>
        </w:rPr>
        <w:t>）</w:t>
      </w:r>
      <w:r>
        <w:rPr>
          <w:rFonts w:hint="eastAsia" w:ascii="宋体" w:hAnsi="宋体" w:eastAsia="宋体" w:cs="宋体"/>
          <w:b/>
          <w:color w:val="auto"/>
          <w:spacing w:val="0"/>
          <w:w w:val="100"/>
          <w:position w:val="0"/>
          <w:sz w:val="28"/>
          <w:szCs w:val="28"/>
          <w:highlight w:val="none"/>
          <w:lang w:eastAsia="zh-CN"/>
        </w:rPr>
        <w:t>社会保障资金缴纳证明</w:t>
      </w:r>
      <w:bookmarkEnd w:id="844"/>
    </w:p>
    <w:p>
      <w:pPr>
        <w:spacing w:line="360" w:lineRule="auto"/>
        <w:ind w:firstLine="480"/>
        <w:rPr>
          <w:rFonts w:hint="eastAsia" w:ascii="宋体" w:hAnsi="宋体" w:eastAsia="宋体" w:cs="宋体"/>
          <w:color w:val="auto"/>
          <w:highlight w:val="none"/>
        </w:rPr>
      </w:pPr>
    </w:p>
    <w:p>
      <w:pPr>
        <w:pStyle w:val="8"/>
        <w:jc w:val="center"/>
        <w:rPr>
          <w:rFonts w:hint="eastAsia" w:ascii="宋体" w:hAnsi="宋体" w:eastAsia="宋体" w:cs="宋体"/>
          <w:color w:val="auto"/>
          <w:highlight w:val="none"/>
        </w:rPr>
      </w:pPr>
      <w:r>
        <w:rPr>
          <w:rFonts w:hint="eastAsia" w:ascii="宋体" w:hAnsi="宋体" w:eastAsia="宋体" w:cs="宋体"/>
          <w:color w:val="auto"/>
          <w:spacing w:val="0"/>
          <w:w w:val="100"/>
          <w:kern w:val="2"/>
          <w:position w:val="0"/>
          <w:sz w:val="24"/>
          <w:szCs w:val="24"/>
          <w:highlight w:val="none"/>
          <w:lang w:val="en-US" w:eastAsia="zh-CN" w:bidi="ar-SA"/>
        </w:rPr>
        <w:t>（扫描件或复印件加盖单位公章）</w:t>
      </w:r>
    </w:p>
    <w:p>
      <w:pPr>
        <w:pageBreakBefore/>
        <w:spacing w:line="360" w:lineRule="auto"/>
        <w:jc w:val="center"/>
        <w:outlineLvl w:val="2"/>
        <w:rPr>
          <w:rFonts w:hint="eastAsia" w:ascii="宋体" w:hAnsi="宋体" w:eastAsia="宋体" w:cs="宋体"/>
          <w:b/>
          <w:color w:val="auto"/>
          <w:spacing w:val="0"/>
          <w:w w:val="100"/>
          <w:position w:val="0"/>
          <w:sz w:val="28"/>
          <w:szCs w:val="28"/>
          <w:highlight w:val="none"/>
          <w:lang w:eastAsia="zh-CN"/>
        </w:rPr>
      </w:pPr>
      <w:bookmarkStart w:id="845" w:name="_Toc9871"/>
      <w:r>
        <w:rPr>
          <w:rFonts w:hint="eastAsia" w:ascii="宋体" w:hAnsi="宋体" w:eastAsia="宋体" w:cs="宋体"/>
          <w:b/>
          <w:bCs/>
          <w:color w:val="auto"/>
          <w:spacing w:val="0"/>
          <w:w w:val="100"/>
          <w:position w:val="0"/>
          <w:sz w:val="28"/>
          <w:szCs w:val="28"/>
          <w:highlight w:val="none"/>
        </w:rPr>
        <w:t>（</w:t>
      </w:r>
      <w:r>
        <w:rPr>
          <w:rFonts w:hint="eastAsia" w:ascii="宋体" w:hAnsi="宋体" w:eastAsia="宋体" w:cs="宋体"/>
          <w:b/>
          <w:bCs/>
          <w:color w:val="auto"/>
          <w:spacing w:val="0"/>
          <w:w w:val="100"/>
          <w:position w:val="0"/>
          <w:sz w:val="28"/>
          <w:szCs w:val="28"/>
          <w:highlight w:val="none"/>
          <w:lang w:eastAsia="zh-CN"/>
        </w:rPr>
        <w:t>五</w:t>
      </w:r>
      <w:r>
        <w:rPr>
          <w:rFonts w:hint="eastAsia" w:ascii="宋体" w:hAnsi="宋体" w:eastAsia="宋体" w:cs="宋体"/>
          <w:b/>
          <w:bCs/>
          <w:color w:val="auto"/>
          <w:spacing w:val="0"/>
          <w:w w:val="100"/>
          <w:position w:val="0"/>
          <w:sz w:val="28"/>
          <w:szCs w:val="28"/>
          <w:highlight w:val="none"/>
        </w:rPr>
        <w:t>）</w:t>
      </w:r>
      <w:r>
        <w:rPr>
          <w:rFonts w:hint="eastAsia" w:ascii="宋体" w:hAnsi="宋体" w:eastAsia="宋体" w:cs="宋体"/>
          <w:b/>
          <w:bCs/>
          <w:color w:val="auto"/>
          <w:spacing w:val="0"/>
          <w:w w:val="100"/>
          <w:position w:val="0"/>
          <w:sz w:val="28"/>
          <w:szCs w:val="28"/>
          <w:highlight w:val="none"/>
          <w:lang w:eastAsia="zh-CN"/>
        </w:rPr>
        <w:t>出具履行合同所必需的设备和专业技术能力的书面</w:t>
      </w:r>
      <w:r>
        <w:rPr>
          <w:rFonts w:hint="eastAsia" w:ascii="宋体" w:hAnsi="宋体" w:eastAsia="宋体" w:cs="宋体"/>
          <w:b/>
          <w:bCs/>
          <w:color w:val="auto"/>
          <w:spacing w:val="0"/>
          <w:w w:val="100"/>
          <w:position w:val="0"/>
          <w:sz w:val="28"/>
          <w:szCs w:val="28"/>
          <w:highlight w:val="none"/>
          <w:lang w:val="en-US" w:eastAsia="zh-CN"/>
        </w:rPr>
        <w:t>声</w:t>
      </w:r>
      <w:r>
        <w:rPr>
          <w:rFonts w:hint="eastAsia" w:ascii="宋体" w:hAnsi="宋体" w:eastAsia="宋体" w:cs="宋体"/>
          <w:b/>
          <w:bCs/>
          <w:color w:val="auto"/>
          <w:spacing w:val="0"/>
          <w:w w:val="100"/>
          <w:position w:val="0"/>
          <w:sz w:val="28"/>
          <w:szCs w:val="28"/>
          <w:highlight w:val="none"/>
          <w:lang w:eastAsia="zh-CN"/>
        </w:rPr>
        <w:t>明</w:t>
      </w:r>
      <w:bookmarkEnd w:id="845"/>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4"/>
          <w:szCs w:val="24"/>
          <w:highlight w:val="none"/>
          <w:u w:val="single"/>
          <w:lang w:eastAsia="zh-CN"/>
        </w:rPr>
      </w:pPr>
      <w:r>
        <w:rPr>
          <w:rFonts w:hint="eastAsia" w:ascii="宋体" w:hAnsi="宋体" w:eastAsia="宋体" w:cs="宋体"/>
          <w:color w:val="auto"/>
          <w:spacing w:val="0"/>
          <w:w w:val="100"/>
          <w:position w:val="0"/>
          <w:sz w:val="24"/>
          <w:szCs w:val="24"/>
          <w:highlight w:val="none"/>
          <w:u w:val="none"/>
        </w:rPr>
        <w:t>致</w:t>
      </w:r>
      <w:r>
        <w:rPr>
          <w:rFonts w:hint="eastAsia" w:ascii="宋体" w:hAnsi="宋体" w:eastAsia="宋体" w:cs="宋体"/>
          <w:color w:val="auto"/>
          <w:spacing w:val="0"/>
          <w:w w:val="100"/>
          <w:position w:val="0"/>
          <w:sz w:val="24"/>
          <w:szCs w:val="24"/>
          <w:highlight w:val="none"/>
          <w:u w:val="none"/>
          <w:lang w:eastAsia="zh-CN"/>
        </w:rPr>
        <w:t>：</w:t>
      </w:r>
      <w:r>
        <w:rPr>
          <w:rFonts w:hint="eastAsia" w:ascii="宋体" w:hAnsi="宋体" w:eastAsia="宋体" w:cs="宋体"/>
          <w:color w:val="auto"/>
          <w:spacing w:val="0"/>
          <w:w w:val="100"/>
          <w:position w:val="0"/>
          <w:sz w:val="24"/>
          <w:szCs w:val="24"/>
          <w:highlight w:val="none"/>
          <w:u w:val="single"/>
        </w:rPr>
        <w:t xml:space="preserve">     （采购人名称）    </w:t>
      </w:r>
      <w:r>
        <w:rPr>
          <w:rFonts w:hint="eastAsia" w:ascii="宋体" w:hAnsi="宋体" w:eastAsia="宋体" w:cs="宋体"/>
          <w:color w:val="auto"/>
          <w:spacing w:val="0"/>
          <w:w w:val="100"/>
          <w:position w:val="0"/>
          <w:sz w:val="24"/>
          <w:szCs w:val="24"/>
          <w:highlight w:val="none"/>
          <w:u w:val="singl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kern w:val="0"/>
          <w:position w:val="0"/>
          <w:sz w:val="24"/>
          <w:szCs w:val="24"/>
          <w:highlight w:val="none"/>
          <w:lang w:val="en-US" w:eastAsia="zh-CN" w:bidi="ar"/>
        </w:rPr>
        <w:t>我方作为</w:t>
      </w:r>
      <w:r>
        <w:rPr>
          <w:rFonts w:hint="eastAsia" w:ascii="宋体" w:hAnsi="宋体" w:eastAsia="宋体" w:cs="宋体"/>
          <w:color w:val="auto"/>
          <w:spacing w:val="0"/>
          <w:w w:val="100"/>
          <w:kern w:val="0"/>
          <w:position w:val="0"/>
          <w:sz w:val="24"/>
          <w:szCs w:val="24"/>
          <w:highlight w:val="none"/>
          <w:u w:val="single"/>
          <w:lang w:val="en-US" w:eastAsia="zh-CN" w:bidi="ar"/>
        </w:rPr>
        <w:t xml:space="preserve">         （项目名称）         </w:t>
      </w:r>
      <w:r>
        <w:rPr>
          <w:rFonts w:hint="eastAsia" w:ascii="宋体" w:hAnsi="宋体" w:eastAsia="宋体" w:cs="宋体"/>
          <w:color w:val="auto"/>
          <w:spacing w:val="0"/>
          <w:w w:val="100"/>
          <w:kern w:val="0"/>
          <w:position w:val="0"/>
          <w:sz w:val="24"/>
          <w:szCs w:val="24"/>
          <w:highlight w:val="none"/>
          <w:lang w:val="en-US" w:eastAsia="zh-CN" w:bidi="ar"/>
        </w:rPr>
        <w:t>（项目编号：</w:t>
      </w:r>
      <w:r>
        <w:rPr>
          <w:rFonts w:hint="eastAsia" w:ascii="宋体" w:hAnsi="宋体" w:eastAsia="宋体" w:cs="宋体"/>
          <w:color w:val="auto"/>
          <w:spacing w:val="0"/>
          <w:w w:val="100"/>
          <w:kern w:val="0"/>
          <w:position w:val="0"/>
          <w:sz w:val="24"/>
          <w:szCs w:val="24"/>
          <w:highlight w:val="none"/>
          <w:u w:val="single"/>
          <w:lang w:val="en-US" w:eastAsia="zh-CN" w:bidi="ar"/>
        </w:rPr>
        <w:t xml:space="preserve">        </w:t>
      </w:r>
      <w:r>
        <w:rPr>
          <w:rFonts w:hint="eastAsia" w:ascii="宋体" w:hAnsi="宋体" w:eastAsia="宋体" w:cs="宋体"/>
          <w:color w:val="auto"/>
          <w:spacing w:val="0"/>
          <w:w w:val="100"/>
          <w:kern w:val="0"/>
          <w:position w:val="0"/>
          <w:sz w:val="24"/>
          <w:szCs w:val="24"/>
          <w:highlight w:val="none"/>
          <w:lang w:val="en-US" w:eastAsia="zh-CN" w:bidi="ar"/>
        </w:rPr>
        <w:t>）的供应商，在此郑重声明：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kern w:val="0"/>
          <w:position w:val="0"/>
          <w:sz w:val="24"/>
          <w:szCs w:val="24"/>
          <w:highlight w:val="none"/>
          <w:lang w:val="en-US" w:eastAsia="zh-CN" w:bidi="ar"/>
        </w:rPr>
      </w:pPr>
      <w:r>
        <w:rPr>
          <w:rFonts w:hint="eastAsia" w:ascii="宋体" w:hAnsi="宋体" w:eastAsia="宋体" w:cs="宋体"/>
          <w:color w:val="auto"/>
          <w:spacing w:val="0"/>
          <w:w w:val="100"/>
          <w:kern w:val="0"/>
          <w:position w:val="0"/>
          <w:sz w:val="24"/>
          <w:szCs w:val="24"/>
          <w:highlight w:val="none"/>
          <w:lang w:val="en-US" w:eastAsia="zh-CN" w:bidi="ar"/>
        </w:rPr>
        <w:t>1、我方具备履行合同所必须的设备和专业技术能力。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kern w:val="0"/>
          <w:position w:val="0"/>
          <w:sz w:val="24"/>
          <w:szCs w:val="24"/>
          <w:highlight w:val="none"/>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kern w:val="0"/>
          <w:position w:val="0"/>
          <w:sz w:val="24"/>
          <w:szCs w:val="24"/>
          <w:highlight w:val="none"/>
          <w:lang w:val="en-US" w:eastAsia="zh-CN" w:bidi="ar"/>
        </w:rPr>
        <w:t>特此声明。</w:t>
      </w:r>
    </w:p>
    <w:p>
      <w:pPr>
        <w:spacing w:before="240" w:beforeLines="100" w:after="120" w:afterLines="50" w:line="360" w:lineRule="auto"/>
        <w:ind w:firstLine="600" w:firstLineChars="250"/>
        <w:rPr>
          <w:rFonts w:hint="eastAsia" w:ascii="宋体" w:hAnsi="宋体" w:eastAsia="宋体" w:cs="宋体"/>
          <w:color w:val="auto"/>
          <w:spacing w:val="0"/>
          <w:w w:val="100"/>
          <w:position w:val="0"/>
          <w:sz w:val="24"/>
          <w:szCs w:val="24"/>
          <w:highlight w:val="none"/>
        </w:rPr>
      </w:pPr>
    </w:p>
    <w:p>
      <w:pPr>
        <w:spacing w:before="240" w:beforeLines="100" w:after="120" w:afterLines="50" w:line="360" w:lineRule="auto"/>
        <w:ind w:firstLine="170"/>
        <w:rPr>
          <w:rFonts w:hint="eastAsia" w:ascii="宋体" w:hAnsi="宋体" w:eastAsia="宋体" w:cs="宋体"/>
          <w:color w:val="auto"/>
          <w:spacing w:val="0"/>
          <w:w w:val="100"/>
          <w:position w:val="0"/>
          <w:sz w:val="24"/>
          <w:szCs w:val="24"/>
          <w:highlight w:val="none"/>
        </w:rPr>
      </w:pPr>
    </w:p>
    <w:p>
      <w:pPr>
        <w:spacing w:before="240" w:beforeLines="100" w:after="120" w:afterLines="50" w:line="360" w:lineRule="auto"/>
        <w:ind w:firstLine="170"/>
        <w:rPr>
          <w:rFonts w:hint="eastAsia" w:ascii="宋体" w:hAnsi="宋体" w:eastAsia="宋体" w:cs="宋体"/>
          <w:color w:val="auto"/>
          <w:spacing w:val="0"/>
          <w:w w:val="100"/>
          <w:position w:val="0"/>
          <w:sz w:val="24"/>
          <w:szCs w:val="24"/>
          <w:highlight w:val="none"/>
        </w:rPr>
      </w:pPr>
    </w:p>
    <w:p>
      <w:pPr>
        <w:spacing w:line="360" w:lineRule="auto"/>
        <w:ind w:left="0" w:leftChars="0" w:firstLine="2738" w:firstLineChars="1141"/>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left="0" w:leftChars="0" w:firstLine="2738" w:firstLineChars="1141"/>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法定代表人或授权代表（签字或盖章）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left="0" w:leftChars="0" w:firstLine="2738" w:firstLineChars="1141"/>
        <w:rPr>
          <w:rFonts w:hint="eastAsia" w:ascii="宋体" w:hAnsi="宋体" w:eastAsia="宋体" w:cs="宋体"/>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rPr>
          <w:rFonts w:hint="eastAsia" w:ascii="宋体" w:hAnsi="宋体" w:eastAsia="宋体" w:cs="宋体"/>
          <w:bCs/>
          <w:color w:val="auto"/>
          <w:spacing w:val="0"/>
          <w:w w:val="100"/>
          <w:position w:val="0"/>
          <w:sz w:val="24"/>
          <w:szCs w:val="24"/>
          <w:highlight w:val="none"/>
        </w:rPr>
      </w:pPr>
    </w:p>
    <w:p>
      <w:pPr>
        <w:spacing w:line="360" w:lineRule="auto"/>
        <w:rPr>
          <w:rFonts w:hint="eastAsia" w:ascii="宋体" w:hAnsi="宋体" w:eastAsia="宋体" w:cs="宋体"/>
          <w:bCs/>
          <w:color w:val="auto"/>
          <w:spacing w:val="0"/>
          <w:w w:val="100"/>
          <w:position w:val="0"/>
          <w:sz w:val="24"/>
          <w:szCs w:val="24"/>
          <w:highlight w:val="none"/>
        </w:rPr>
      </w:pPr>
      <w:r>
        <w:rPr>
          <w:rFonts w:hint="eastAsia" w:ascii="宋体" w:hAnsi="宋体" w:eastAsia="宋体" w:cs="宋体"/>
          <w:bCs/>
          <w:color w:val="auto"/>
          <w:spacing w:val="0"/>
          <w:w w:val="100"/>
          <w:position w:val="0"/>
          <w:sz w:val="24"/>
          <w:szCs w:val="24"/>
          <w:highlight w:val="none"/>
        </w:rPr>
        <w:br w:type="page"/>
      </w:r>
    </w:p>
    <w:p>
      <w:pPr>
        <w:spacing w:line="360" w:lineRule="auto"/>
        <w:jc w:val="center"/>
        <w:outlineLvl w:val="2"/>
        <w:rPr>
          <w:rFonts w:hint="eastAsia" w:ascii="宋体" w:hAnsi="宋体" w:eastAsia="宋体" w:cs="宋体"/>
          <w:b/>
          <w:color w:val="auto"/>
          <w:spacing w:val="0"/>
          <w:w w:val="100"/>
          <w:position w:val="0"/>
          <w:sz w:val="28"/>
          <w:szCs w:val="28"/>
          <w:highlight w:val="none"/>
        </w:rPr>
      </w:pPr>
      <w:bookmarkStart w:id="846" w:name="_Toc10350"/>
      <w:bookmarkStart w:id="847" w:name="_Toc1093"/>
      <w:bookmarkStart w:id="848" w:name="_Toc28901"/>
      <w:r>
        <w:rPr>
          <w:rFonts w:hint="eastAsia" w:ascii="宋体" w:hAnsi="宋体" w:eastAsia="宋体" w:cs="宋体"/>
          <w:b/>
          <w:color w:val="auto"/>
          <w:spacing w:val="0"/>
          <w:w w:val="100"/>
          <w:position w:val="0"/>
          <w:sz w:val="28"/>
          <w:szCs w:val="28"/>
          <w:highlight w:val="none"/>
        </w:rPr>
        <w:t>（</w:t>
      </w:r>
      <w:r>
        <w:rPr>
          <w:rFonts w:hint="eastAsia" w:ascii="宋体" w:hAnsi="宋体" w:eastAsia="宋体" w:cs="宋体"/>
          <w:b/>
          <w:color w:val="auto"/>
          <w:spacing w:val="0"/>
          <w:w w:val="100"/>
          <w:position w:val="0"/>
          <w:sz w:val="28"/>
          <w:szCs w:val="28"/>
          <w:highlight w:val="none"/>
          <w:lang w:eastAsia="zh-CN"/>
        </w:rPr>
        <w:t>六</w:t>
      </w:r>
      <w:r>
        <w:rPr>
          <w:rFonts w:hint="eastAsia" w:ascii="宋体" w:hAnsi="宋体" w:eastAsia="宋体" w:cs="宋体"/>
          <w:b/>
          <w:color w:val="auto"/>
          <w:spacing w:val="0"/>
          <w:w w:val="100"/>
          <w:position w:val="0"/>
          <w:sz w:val="28"/>
          <w:szCs w:val="28"/>
          <w:highlight w:val="none"/>
        </w:rPr>
        <w:t>）参加政府采购活动的书面声明</w:t>
      </w:r>
      <w:bookmarkEnd w:id="846"/>
      <w:bookmarkEnd w:id="847"/>
    </w:p>
    <w:p>
      <w:pPr>
        <w:spacing w:line="360" w:lineRule="auto"/>
        <w:rPr>
          <w:rFonts w:hint="eastAsia" w:ascii="宋体" w:hAnsi="宋体" w:eastAsia="宋体" w:cs="宋体"/>
          <w:color w:val="auto"/>
          <w:spacing w:val="0"/>
          <w:w w:val="100"/>
          <w:position w:val="0"/>
          <w:sz w:val="24"/>
          <w:szCs w:val="24"/>
          <w:highlight w:val="none"/>
          <w:u w:val="single"/>
          <w:lang w:eastAsia="zh-CN"/>
        </w:rPr>
      </w:pPr>
      <w:r>
        <w:rPr>
          <w:rFonts w:hint="eastAsia" w:ascii="宋体" w:hAnsi="宋体" w:eastAsia="宋体" w:cs="宋体"/>
          <w:color w:val="auto"/>
          <w:spacing w:val="0"/>
          <w:w w:val="100"/>
          <w:position w:val="0"/>
          <w:sz w:val="24"/>
          <w:szCs w:val="24"/>
          <w:highlight w:val="none"/>
          <w:u w:val="none"/>
        </w:rPr>
        <w:t>致</w:t>
      </w:r>
      <w:r>
        <w:rPr>
          <w:rFonts w:hint="eastAsia" w:ascii="宋体" w:hAnsi="宋体" w:eastAsia="宋体" w:cs="宋体"/>
          <w:color w:val="auto"/>
          <w:spacing w:val="0"/>
          <w:w w:val="100"/>
          <w:position w:val="0"/>
          <w:sz w:val="24"/>
          <w:szCs w:val="24"/>
          <w:highlight w:val="none"/>
          <w:u w:val="none"/>
          <w:lang w:eastAsia="zh-CN"/>
        </w:rPr>
        <w:t>：</w:t>
      </w:r>
      <w:r>
        <w:rPr>
          <w:rFonts w:hint="eastAsia" w:ascii="宋体" w:hAnsi="宋体" w:eastAsia="宋体" w:cs="宋体"/>
          <w:color w:val="auto"/>
          <w:spacing w:val="0"/>
          <w:w w:val="100"/>
          <w:position w:val="0"/>
          <w:sz w:val="24"/>
          <w:szCs w:val="24"/>
          <w:highlight w:val="none"/>
          <w:u w:val="single"/>
        </w:rPr>
        <w:t xml:space="preserve">     （采购人名称）    </w:t>
      </w:r>
      <w:r>
        <w:rPr>
          <w:rFonts w:hint="eastAsia" w:ascii="宋体" w:hAnsi="宋体" w:eastAsia="宋体" w:cs="宋体"/>
          <w:color w:val="auto"/>
          <w:spacing w:val="0"/>
          <w:w w:val="100"/>
          <w:position w:val="0"/>
          <w:sz w:val="24"/>
          <w:szCs w:val="24"/>
          <w:highlight w:val="none"/>
          <w:u w:val="singl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kern w:val="0"/>
          <w:position w:val="0"/>
          <w:sz w:val="24"/>
          <w:szCs w:val="24"/>
          <w:highlight w:val="none"/>
          <w:lang w:val="en-US" w:eastAsia="zh-CN" w:bidi="ar"/>
        </w:rPr>
      </w:pPr>
      <w:r>
        <w:rPr>
          <w:rFonts w:hint="eastAsia" w:ascii="宋体" w:hAnsi="宋体" w:eastAsia="宋体" w:cs="宋体"/>
          <w:color w:val="auto"/>
          <w:spacing w:val="0"/>
          <w:w w:val="100"/>
          <w:kern w:val="0"/>
          <w:position w:val="0"/>
          <w:sz w:val="24"/>
          <w:szCs w:val="24"/>
          <w:highlight w:val="none"/>
          <w:lang w:val="en-US" w:eastAsia="zh-CN" w:bidi="ar"/>
        </w:rPr>
        <w:t>我方作为</w:t>
      </w:r>
      <w:r>
        <w:rPr>
          <w:rFonts w:hint="eastAsia" w:ascii="宋体" w:hAnsi="宋体" w:eastAsia="宋体" w:cs="宋体"/>
          <w:color w:val="auto"/>
          <w:spacing w:val="0"/>
          <w:w w:val="100"/>
          <w:kern w:val="0"/>
          <w:position w:val="0"/>
          <w:sz w:val="24"/>
          <w:szCs w:val="24"/>
          <w:highlight w:val="none"/>
          <w:u w:val="single"/>
          <w:lang w:val="en-US" w:eastAsia="zh-CN" w:bidi="ar"/>
        </w:rPr>
        <w:t xml:space="preserve">         （项目名称）         </w:t>
      </w:r>
      <w:r>
        <w:rPr>
          <w:rFonts w:hint="eastAsia" w:ascii="宋体" w:hAnsi="宋体" w:eastAsia="宋体" w:cs="宋体"/>
          <w:color w:val="auto"/>
          <w:spacing w:val="0"/>
          <w:w w:val="100"/>
          <w:kern w:val="0"/>
          <w:position w:val="0"/>
          <w:sz w:val="24"/>
          <w:szCs w:val="24"/>
          <w:highlight w:val="none"/>
          <w:lang w:val="en-US" w:eastAsia="zh-CN" w:bidi="ar"/>
        </w:rPr>
        <w:t>（项目编号：</w:t>
      </w:r>
      <w:r>
        <w:rPr>
          <w:rFonts w:hint="eastAsia" w:ascii="宋体" w:hAnsi="宋体" w:eastAsia="宋体" w:cs="宋体"/>
          <w:color w:val="auto"/>
          <w:spacing w:val="0"/>
          <w:w w:val="100"/>
          <w:kern w:val="0"/>
          <w:position w:val="0"/>
          <w:sz w:val="24"/>
          <w:szCs w:val="24"/>
          <w:highlight w:val="none"/>
          <w:u w:val="single"/>
          <w:lang w:val="en-US" w:eastAsia="zh-CN" w:bidi="ar"/>
        </w:rPr>
        <w:t xml:space="preserve">          </w:t>
      </w:r>
      <w:r>
        <w:rPr>
          <w:rFonts w:hint="eastAsia" w:ascii="宋体" w:hAnsi="宋体" w:eastAsia="宋体" w:cs="宋体"/>
          <w:color w:val="auto"/>
          <w:spacing w:val="0"/>
          <w:w w:val="100"/>
          <w:kern w:val="0"/>
          <w:position w:val="0"/>
          <w:sz w:val="24"/>
          <w:szCs w:val="24"/>
          <w:highlight w:val="none"/>
          <w:lang w:val="en-US" w:eastAsia="zh-CN" w:bidi="ar"/>
        </w:rPr>
        <w:t>）的供应商，在此郑重声明：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kern w:val="0"/>
          <w:position w:val="0"/>
          <w:sz w:val="24"/>
          <w:szCs w:val="24"/>
          <w:highlight w:val="none"/>
          <w:lang w:val="en-US" w:eastAsia="zh-CN" w:bidi="ar"/>
        </w:rPr>
        <w:t>1、在参加本次政府采购活动前 3 年内的经营活动中____（填“没有”或“有”）重大违法记录。供应</w:t>
      </w:r>
      <w:r>
        <w:rPr>
          <w:rFonts w:hint="eastAsia" w:ascii="宋体" w:hAnsi="宋体" w:eastAsia="宋体" w:cs="宋体"/>
          <w:b/>
          <w:bCs/>
          <w:color w:val="auto"/>
          <w:spacing w:val="0"/>
          <w:w w:val="100"/>
          <w:kern w:val="0"/>
          <w:position w:val="0"/>
          <w:sz w:val="24"/>
          <w:szCs w:val="24"/>
          <w:highlight w:val="none"/>
          <w:lang w:val="en-US" w:eastAsia="zh-CN" w:bidi="ar"/>
        </w:rPr>
        <w:t xml:space="preserve">商在参加政府采购活动前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kern w:val="0"/>
          <w:position w:val="0"/>
          <w:sz w:val="24"/>
          <w:szCs w:val="24"/>
          <w:highlight w:val="none"/>
          <w:lang w:val="en-US" w:eastAsia="zh-CN" w:bidi="ar"/>
        </w:rPr>
      </w:pPr>
      <w:r>
        <w:rPr>
          <w:rFonts w:hint="eastAsia" w:ascii="宋体" w:hAnsi="宋体" w:eastAsia="宋体" w:cs="宋体"/>
          <w:color w:val="auto"/>
          <w:spacing w:val="0"/>
          <w:w w:val="100"/>
          <w:kern w:val="0"/>
          <w:position w:val="0"/>
          <w:sz w:val="24"/>
          <w:szCs w:val="24"/>
          <w:highlight w:val="none"/>
          <w:lang w:val="en-US" w:eastAsia="zh-CN" w:bidi="ar"/>
        </w:rPr>
        <w:t>2、我方</w:t>
      </w:r>
      <w:r>
        <w:rPr>
          <w:rFonts w:hint="eastAsia" w:ascii="宋体" w:hAnsi="宋体" w:eastAsia="宋体" w:cs="宋体"/>
          <w:color w:val="auto"/>
          <w:spacing w:val="0"/>
          <w:w w:val="100"/>
          <w:kern w:val="0"/>
          <w:position w:val="0"/>
          <w:sz w:val="24"/>
          <w:szCs w:val="24"/>
          <w:highlight w:val="none"/>
          <w:u w:val="single"/>
          <w:lang w:val="en-US" w:eastAsia="zh-CN" w:bidi="ar"/>
        </w:rPr>
        <w:t xml:space="preserve">      </w:t>
      </w:r>
      <w:r>
        <w:rPr>
          <w:rFonts w:hint="eastAsia" w:ascii="宋体" w:hAnsi="宋体" w:eastAsia="宋体" w:cs="宋体"/>
          <w:color w:val="auto"/>
          <w:spacing w:val="0"/>
          <w:w w:val="100"/>
          <w:kern w:val="0"/>
          <w:position w:val="0"/>
          <w:sz w:val="24"/>
          <w:szCs w:val="24"/>
          <w:highlight w:val="none"/>
          <w:lang w:val="en-US" w:eastAsia="zh-CN" w:bidi="ar"/>
        </w:rPr>
        <w:t>（填“未被列入”或“被列入”）失信被执行人名单。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kern w:val="0"/>
          <w:position w:val="0"/>
          <w:sz w:val="24"/>
          <w:szCs w:val="24"/>
          <w:highlight w:val="none"/>
          <w:lang w:val="en-US" w:eastAsia="zh-CN" w:bidi="ar"/>
        </w:rPr>
      </w:pPr>
      <w:r>
        <w:rPr>
          <w:rFonts w:hint="eastAsia" w:ascii="宋体" w:hAnsi="宋体" w:eastAsia="宋体" w:cs="宋体"/>
          <w:color w:val="auto"/>
          <w:spacing w:val="0"/>
          <w:w w:val="100"/>
          <w:kern w:val="0"/>
          <w:position w:val="0"/>
          <w:sz w:val="24"/>
          <w:szCs w:val="24"/>
          <w:highlight w:val="none"/>
          <w:lang w:val="en-US" w:eastAsia="zh-CN" w:bidi="ar"/>
        </w:rPr>
        <w:t>3、我方</w:t>
      </w:r>
      <w:r>
        <w:rPr>
          <w:rFonts w:hint="eastAsia" w:ascii="宋体" w:hAnsi="宋体" w:eastAsia="宋体" w:cs="宋体"/>
          <w:color w:val="auto"/>
          <w:spacing w:val="0"/>
          <w:w w:val="100"/>
          <w:kern w:val="0"/>
          <w:position w:val="0"/>
          <w:sz w:val="24"/>
          <w:szCs w:val="24"/>
          <w:highlight w:val="none"/>
          <w:u w:val="single"/>
          <w:lang w:val="en-US" w:eastAsia="zh-CN" w:bidi="ar"/>
        </w:rPr>
        <w:t xml:space="preserve">      </w:t>
      </w:r>
      <w:r>
        <w:rPr>
          <w:rFonts w:hint="eastAsia" w:ascii="宋体" w:hAnsi="宋体" w:eastAsia="宋体" w:cs="宋体"/>
          <w:color w:val="auto"/>
          <w:spacing w:val="0"/>
          <w:w w:val="100"/>
          <w:kern w:val="0"/>
          <w:position w:val="0"/>
          <w:sz w:val="24"/>
          <w:szCs w:val="24"/>
          <w:highlight w:val="none"/>
          <w:lang w:val="en-US" w:eastAsia="zh-CN" w:bidi="ar"/>
        </w:rPr>
        <w:t>（填“未被列入”或“被列入”）重大税收违法失信主体名单。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kern w:val="0"/>
          <w:position w:val="0"/>
          <w:sz w:val="24"/>
          <w:szCs w:val="24"/>
          <w:highlight w:val="none"/>
          <w:lang w:val="en-US" w:eastAsia="zh-CN" w:bidi="ar"/>
        </w:rPr>
        <w:t>4、我方</w:t>
      </w:r>
      <w:r>
        <w:rPr>
          <w:rFonts w:hint="eastAsia" w:ascii="宋体" w:hAnsi="宋体" w:eastAsia="宋体" w:cs="宋体"/>
          <w:color w:val="auto"/>
          <w:spacing w:val="0"/>
          <w:w w:val="100"/>
          <w:kern w:val="0"/>
          <w:position w:val="0"/>
          <w:sz w:val="24"/>
          <w:szCs w:val="24"/>
          <w:highlight w:val="none"/>
          <w:u w:val="single"/>
          <w:lang w:val="en-US" w:eastAsia="zh-CN" w:bidi="ar"/>
        </w:rPr>
        <w:t xml:space="preserve">      </w:t>
      </w:r>
      <w:r>
        <w:rPr>
          <w:rFonts w:hint="eastAsia" w:ascii="宋体" w:hAnsi="宋体" w:eastAsia="宋体" w:cs="宋体"/>
          <w:color w:val="auto"/>
          <w:spacing w:val="0"/>
          <w:w w:val="100"/>
          <w:kern w:val="0"/>
          <w:position w:val="0"/>
          <w:sz w:val="24"/>
          <w:szCs w:val="24"/>
          <w:highlight w:val="none"/>
          <w:lang w:val="en-US" w:eastAsia="zh-CN" w:bidi="ar"/>
        </w:rPr>
        <w:t xml:space="preserve">（填“未被列入”或“被列入”）政府采购严重违法失信行为记录名单。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kern w:val="0"/>
          <w:position w:val="0"/>
          <w:sz w:val="24"/>
          <w:szCs w:val="24"/>
          <w:highlight w:val="none"/>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kern w:val="0"/>
          <w:position w:val="0"/>
          <w:sz w:val="24"/>
          <w:szCs w:val="24"/>
          <w:highlight w:val="none"/>
          <w:lang w:val="en-US" w:eastAsia="zh-CN" w:bidi="ar"/>
        </w:rPr>
        <w:t>特此声明。</w:t>
      </w:r>
    </w:p>
    <w:p>
      <w:pPr>
        <w:autoSpaceDE w:val="0"/>
        <w:autoSpaceDN w:val="0"/>
        <w:adjustRightInd w:val="0"/>
        <w:spacing w:line="360" w:lineRule="auto"/>
        <w:ind w:firstLine="480" w:firstLineChars="200"/>
        <w:rPr>
          <w:rFonts w:hint="eastAsia" w:ascii="宋体" w:hAnsi="宋体" w:eastAsia="宋体" w:cs="宋体"/>
          <w:color w:val="auto"/>
          <w:spacing w:val="0"/>
          <w:w w:val="100"/>
          <w:position w:val="0"/>
          <w:sz w:val="24"/>
          <w:szCs w:val="24"/>
          <w:highlight w:val="none"/>
        </w:rPr>
      </w:pPr>
    </w:p>
    <w:p>
      <w:pPr>
        <w:autoSpaceDE w:val="0"/>
        <w:autoSpaceDN w:val="0"/>
        <w:adjustRightInd w:val="0"/>
        <w:spacing w:line="360" w:lineRule="auto"/>
        <w:ind w:firstLine="480" w:firstLineChars="200"/>
        <w:rPr>
          <w:rFonts w:hint="eastAsia" w:ascii="宋体" w:hAnsi="宋体" w:eastAsia="宋体" w:cs="宋体"/>
          <w:color w:val="auto"/>
          <w:spacing w:val="0"/>
          <w:w w:val="100"/>
          <w:position w:val="0"/>
          <w:sz w:val="24"/>
          <w:szCs w:val="24"/>
          <w:highlight w:val="none"/>
        </w:rPr>
      </w:pPr>
    </w:p>
    <w:p>
      <w:pPr>
        <w:spacing w:line="360" w:lineRule="auto"/>
        <w:ind w:left="0" w:leftChars="0" w:firstLine="2940" w:firstLineChars="1225"/>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left="0" w:leftChars="0" w:firstLine="2940" w:firstLineChars="1225"/>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法定代表人或授权代表（签字或盖章）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autoSpaceDE w:val="0"/>
        <w:autoSpaceDN w:val="0"/>
        <w:adjustRightInd w:val="0"/>
        <w:spacing w:line="360" w:lineRule="auto"/>
        <w:ind w:left="0" w:leftChars="0" w:firstLine="2940" w:firstLineChars="1225"/>
        <w:rPr>
          <w:rFonts w:hint="eastAsia" w:ascii="宋体" w:hAnsi="宋体" w:eastAsia="宋体" w:cs="宋体"/>
          <w:b/>
          <w:bCs w:val="0"/>
          <w:color w:val="auto"/>
          <w:spacing w:val="0"/>
          <w:w w:val="100"/>
          <w:kern w:val="2"/>
          <w:position w:val="0"/>
          <w:sz w:val="28"/>
          <w:szCs w:val="28"/>
          <w:highlight w:val="none"/>
          <w:u w:val="none"/>
          <w:lang w:val="zh-CN"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bookmarkEnd w:id="836"/>
      <w:bookmarkEnd w:id="837"/>
      <w:bookmarkEnd w:id="838"/>
      <w:bookmarkEnd w:id="839"/>
      <w:bookmarkEnd w:id="840"/>
      <w:bookmarkEnd w:id="841"/>
      <w:bookmarkEnd w:id="848"/>
      <w:bookmarkStart w:id="849" w:name="_Toc20171"/>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pacing w:val="0"/>
          <w:w w:val="100"/>
          <w:kern w:val="2"/>
          <w:position w:val="0"/>
          <w:sz w:val="28"/>
          <w:szCs w:val="28"/>
          <w:highlight w:val="none"/>
          <w:u w:val="none"/>
          <w:lang w:val="zh-CN" w:eastAsia="zh-CN" w:bidi="ar-SA"/>
        </w:rPr>
      </w:pPr>
      <w:bookmarkStart w:id="850" w:name="_Toc24652"/>
      <w:r>
        <w:rPr>
          <w:rFonts w:hint="eastAsia" w:ascii="宋体" w:hAnsi="宋体" w:eastAsia="宋体" w:cs="宋体"/>
          <w:b/>
          <w:bCs w:val="0"/>
          <w:color w:val="auto"/>
          <w:spacing w:val="0"/>
          <w:w w:val="100"/>
          <w:kern w:val="2"/>
          <w:position w:val="0"/>
          <w:sz w:val="28"/>
          <w:szCs w:val="28"/>
          <w:highlight w:val="none"/>
          <w:u w:val="none"/>
          <w:lang w:val="zh-CN" w:eastAsia="zh-CN" w:bidi="ar-SA"/>
        </w:rPr>
        <w:t>（七）特定资格要求</w:t>
      </w:r>
      <w:bookmarkEnd w:id="850"/>
    </w:p>
    <w:p>
      <w:pPr>
        <w:adjustRightInd w:val="0"/>
        <w:snapToGrid w:val="0"/>
        <w:spacing w:line="360" w:lineRule="auto"/>
        <w:jc w:val="center"/>
        <w:rPr>
          <w:rFonts w:hint="eastAsia" w:ascii="宋体" w:hAnsi="宋体" w:eastAsia="宋体" w:cs="宋体"/>
          <w:b/>
          <w:color w:val="auto"/>
          <w:spacing w:val="0"/>
          <w:w w:val="100"/>
          <w:position w:val="0"/>
          <w:sz w:val="24"/>
          <w:szCs w:val="24"/>
          <w:highlight w:val="none"/>
        </w:rPr>
      </w:pPr>
      <w:bookmarkStart w:id="851" w:name="_Toc495681406"/>
      <w:bookmarkStart w:id="852" w:name="_Toc495681533"/>
      <w:bookmarkStart w:id="853" w:name="_Toc495908048"/>
      <w:bookmarkStart w:id="854" w:name="_Toc495681252"/>
      <w:bookmarkStart w:id="855" w:name="_Toc495671263"/>
      <w:bookmarkStart w:id="856" w:name="_Toc1610"/>
      <w:r>
        <w:rPr>
          <w:rFonts w:hint="eastAsia" w:ascii="宋体" w:hAnsi="宋体" w:eastAsia="宋体" w:cs="宋体"/>
          <w:b/>
          <w:color w:val="auto"/>
          <w:spacing w:val="0"/>
          <w:w w:val="100"/>
          <w:position w:val="0"/>
          <w:sz w:val="24"/>
          <w:szCs w:val="24"/>
          <w:highlight w:val="none"/>
        </w:rPr>
        <w:t>1、法定代表人身份证明</w:t>
      </w:r>
      <w:bookmarkEnd w:id="851"/>
      <w:bookmarkEnd w:id="852"/>
      <w:bookmarkEnd w:id="853"/>
      <w:bookmarkEnd w:id="854"/>
      <w:bookmarkEnd w:id="855"/>
      <w:bookmarkEnd w:id="856"/>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position w:val="0"/>
          <w:sz w:val="24"/>
          <w:szCs w:val="24"/>
          <w:highlight w:val="none"/>
        </w:rPr>
        <w:t>供应商</w:t>
      </w:r>
      <w:r>
        <w:rPr>
          <w:rFonts w:hint="eastAsia" w:ascii="宋体" w:hAnsi="宋体" w:eastAsia="宋体" w:cs="宋体"/>
          <w:color w:val="auto"/>
          <w:spacing w:val="0"/>
          <w:w w:val="100"/>
          <w:kern w:val="0"/>
          <w:position w:val="0"/>
          <w:sz w:val="24"/>
          <w:szCs w:val="24"/>
          <w:highlight w:val="none"/>
        </w:rPr>
        <w:t>名称</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single"/>
        </w:rPr>
        <w:t xml:space="preserve">                                       </w:t>
      </w:r>
      <w:r>
        <w:rPr>
          <w:rFonts w:hint="eastAsia" w:ascii="宋体" w:hAnsi="宋体" w:eastAsia="宋体" w:cs="宋体"/>
          <w:color w:val="auto"/>
          <w:spacing w:val="0"/>
          <w:w w:val="100"/>
          <w:kern w:val="0"/>
          <w:position w:val="0"/>
          <w:sz w:val="24"/>
          <w:szCs w:val="24"/>
          <w:highlight w:val="none"/>
        </w:rPr>
        <w:t xml:space="preserve"> </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统一社会信用代码</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pacing w:val="0"/>
          <w:w w:val="100"/>
          <w:kern w:val="0"/>
          <w:position w:val="0"/>
          <w:sz w:val="24"/>
          <w:szCs w:val="24"/>
          <w:highlight w:val="none"/>
          <w:u w:val="single"/>
        </w:rPr>
      </w:pPr>
      <w:r>
        <w:rPr>
          <w:rFonts w:hint="eastAsia" w:ascii="宋体" w:hAnsi="宋体" w:eastAsia="宋体" w:cs="宋体"/>
          <w:color w:val="auto"/>
          <w:spacing w:val="0"/>
          <w:w w:val="100"/>
          <w:kern w:val="0"/>
          <w:position w:val="0"/>
          <w:sz w:val="24"/>
          <w:szCs w:val="24"/>
          <w:highlight w:val="none"/>
        </w:rPr>
        <w:t>注册地址</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成立时间</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single"/>
        </w:rPr>
        <w:t xml:space="preserve">    </w:t>
      </w:r>
      <w:r>
        <w:rPr>
          <w:rFonts w:hint="eastAsia" w:ascii="宋体" w:hAnsi="宋体" w:eastAsia="宋体" w:cs="宋体"/>
          <w:color w:val="auto"/>
          <w:spacing w:val="0"/>
          <w:w w:val="100"/>
          <w:kern w:val="0"/>
          <w:position w:val="0"/>
          <w:sz w:val="24"/>
          <w:szCs w:val="24"/>
          <w:highlight w:val="none"/>
        </w:rPr>
        <w:t xml:space="preserve">年 </w:t>
      </w:r>
      <w:r>
        <w:rPr>
          <w:rFonts w:hint="eastAsia" w:ascii="宋体" w:hAnsi="宋体" w:eastAsia="宋体" w:cs="宋体"/>
          <w:color w:val="auto"/>
          <w:spacing w:val="0"/>
          <w:w w:val="100"/>
          <w:kern w:val="0"/>
          <w:position w:val="0"/>
          <w:sz w:val="24"/>
          <w:szCs w:val="24"/>
          <w:highlight w:val="none"/>
          <w:u w:val="single"/>
        </w:rPr>
        <w:t xml:space="preserve">  </w:t>
      </w:r>
      <w:r>
        <w:rPr>
          <w:rFonts w:hint="eastAsia" w:ascii="宋体" w:hAnsi="宋体" w:eastAsia="宋体" w:cs="宋体"/>
          <w:color w:val="auto"/>
          <w:spacing w:val="0"/>
          <w:w w:val="100"/>
          <w:kern w:val="0"/>
          <w:position w:val="0"/>
          <w:sz w:val="24"/>
          <w:szCs w:val="24"/>
          <w:highlight w:val="none"/>
        </w:rPr>
        <w:t>月</w:t>
      </w:r>
      <w:r>
        <w:rPr>
          <w:rFonts w:hint="eastAsia" w:ascii="宋体" w:hAnsi="宋体" w:eastAsia="宋体" w:cs="宋体"/>
          <w:color w:val="auto"/>
          <w:spacing w:val="0"/>
          <w:w w:val="100"/>
          <w:kern w:val="0"/>
          <w:position w:val="0"/>
          <w:sz w:val="24"/>
          <w:szCs w:val="24"/>
          <w:highlight w:val="none"/>
          <w:u w:val="single"/>
        </w:rPr>
        <w:t xml:space="preserve">  </w:t>
      </w:r>
      <w:r>
        <w:rPr>
          <w:rFonts w:hint="eastAsia" w:ascii="宋体" w:hAnsi="宋体" w:eastAsia="宋体" w:cs="宋体"/>
          <w:color w:val="auto"/>
          <w:spacing w:val="0"/>
          <w:w w:val="100"/>
          <w:kern w:val="0"/>
          <w:position w:val="0"/>
          <w:sz w:val="24"/>
          <w:szCs w:val="24"/>
          <w:highlight w:val="none"/>
        </w:rPr>
        <w:t>日；经营期限</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pacing w:val="0"/>
          <w:w w:val="100"/>
          <w:kern w:val="0"/>
          <w:position w:val="0"/>
          <w:sz w:val="24"/>
          <w:szCs w:val="24"/>
          <w:highlight w:val="none"/>
          <w:u w:val="single"/>
        </w:rPr>
      </w:pPr>
      <w:r>
        <w:rPr>
          <w:rFonts w:hint="eastAsia" w:ascii="宋体" w:hAnsi="宋体" w:eastAsia="宋体" w:cs="宋体"/>
          <w:color w:val="auto"/>
          <w:spacing w:val="0"/>
          <w:w w:val="100"/>
          <w:kern w:val="0"/>
          <w:position w:val="0"/>
          <w:sz w:val="24"/>
          <w:szCs w:val="24"/>
          <w:highlight w:val="none"/>
        </w:rPr>
        <w:t>经营范围</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rPr>
        <w:t>主营</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single"/>
        </w:rPr>
        <w:t xml:space="preserve">              </w:t>
      </w:r>
      <w:r>
        <w:rPr>
          <w:rFonts w:hint="eastAsia" w:ascii="宋体" w:hAnsi="宋体" w:eastAsia="宋体" w:cs="宋体"/>
          <w:color w:val="auto"/>
          <w:spacing w:val="0"/>
          <w:w w:val="100"/>
          <w:kern w:val="0"/>
          <w:position w:val="0"/>
          <w:sz w:val="24"/>
          <w:szCs w:val="24"/>
          <w:highlight w:val="none"/>
        </w:rPr>
        <w:t xml:space="preserve"> ；兼营</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姓名</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single"/>
        </w:rPr>
        <w:t xml:space="preserve">      </w:t>
      </w:r>
      <w:r>
        <w:rPr>
          <w:rFonts w:hint="eastAsia" w:ascii="宋体" w:hAnsi="宋体" w:eastAsia="宋体" w:cs="宋体"/>
          <w:color w:val="auto"/>
          <w:spacing w:val="0"/>
          <w:w w:val="100"/>
          <w:kern w:val="0"/>
          <w:position w:val="0"/>
          <w:sz w:val="24"/>
          <w:szCs w:val="24"/>
          <w:highlight w:val="none"/>
        </w:rPr>
        <w:t xml:space="preserve"> 性别</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single"/>
        </w:rPr>
        <w:t xml:space="preserve">   </w:t>
      </w:r>
      <w:r>
        <w:rPr>
          <w:rFonts w:hint="eastAsia" w:ascii="宋体" w:hAnsi="宋体" w:eastAsia="宋体" w:cs="宋体"/>
          <w:color w:val="auto"/>
          <w:spacing w:val="0"/>
          <w:w w:val="100"/>
          <w:kern w:val="0"/>
          <w:position w:val="0"/>
          <w:sz w:val="24"/>
          <w:szCs w:val="24"/>
          <w:highlight w:val="none"/>
        </w:rPr>
        <w:t xml:space="preserve"> 年龄</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single"/>
        </w:rPr>
        <w:t xml:space="preserve">    </w:t>
      </w:r>
      <w:r>
        <w:rPr>
          <w:rFonts w:hint="eastAsia" w:ascii="宋体" w:hAnsi="宋体" w:eastAsia="宋体" w:cs="宋体"/>
          <w:color w:val="auto"/>
          <w:spacing w:val="0"/>
          <w:w w:val="100"/>
          <w:kern w:val="0"/>
          <w:position w:val="0"/>
          <w:sz w:val="24"/>
          <w:szCs w:val="24"/>
          <w:highlight w:val="none"/>
        </w:rPr>
        <w:t xml:space="preserve"> 系</w:t>
      </w:r>
      <w:r>
        <w:rPr>
          <w:rFonts w:hint="eastAsia" w:ascii="宋体" w:hAnsi="宋体" w:eastAsia="宋体" w:cs="宋体"/>
          <w:color w:val="auto"/>
          <w:spacing w:val="0"/>
          <w:w w:val="100"/>
          <w:kern w:val="0"/>
          <w:position w:val="0"/>
          <w:sz w:val="24"/>
          <w:szCs w:val="24"/>
          <w:highlight w:val="none"/>
          <w:u w:val="single"/>
        </w:rPr>
        <w:t xml:space="preserve">            </w:t>
      </w:r>
      <w:r>
        <w:rPr>
          <w:rFonts w:hint="eastAsia" w:ascii="宋体" w:hAnsi="宋体" w:eastAsia="宋体" w:cs="宋体"/>
          <w:color w:val="auto"/>
          <w:spacing w:val="0"/>
          <w:w w:val="100"/>
          <w:kern w:val="0"/>
          <w:position w:val="0"/>
          <w:sz w:val="24"/>
          <w:szCs w:val="24"/>
          <w:highlight w:val="none"/>
        </w:rPr>
        <w:t>（</w:t>
      </w:r>
      <w:r>
        <w:rPr>
          <w:rFonts w:hint="eastAsia" w:ascii="宋体" w:hAnsi="宋体" w:eastAsia="宋体" w:cs="宋体"/>
          <w:color w:val="auto"/>
          <w:spacing w:val="0"/>
          <w:w w:val="100"/>
          <w:position w:val="0"/>
          <w:sz w:val="24"/>
          <w:szCs w:val="24"/>
          <w:highlight w:val="none"/>
        </w:rPr>
        <w:t>供应商</w:t>
      </w:r>
      <w:r>
        <w:rPr>
          <w:rFonts w:hint="eastAsia" w:ascii="宋体" w:hAnsi="宋体" w:eastAsia="宋体" w:cs="宋体"/>
          <w:color w:val="auto"/>
          <w:spacing w:val="0"/>
          <w:w w:val="100"/>
          <w:kern w:val="0"/>
          <w:position w:val="0"/>
          <w:sz w:val="24"/>
          <w:szCs w:val="24"/>
          <w:highlight w:val="none"/>
        </w:rPr>
        <w:t>名称）的法定代表人。</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特此证明。</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附</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法定代表人身份证复印件</w:t>
      </w:r>
    </w:p>
    <w:tbl>
      <w:tblPr>
        <w:tblStyle w:val="26"/>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w w:val="100"/>
                <w:position w:val="0"/>
                <w:sz w:val="24"/>
                <w:szCs w:val="24"/>
                <w:highlight w:val="none"/>
                <w:lang w:val="zh-CN"/>
              </w:rPr>
              <w:t>法定代表人身份证</w:t>
            </w:r>
          </w:p>
          <w:p>
            <w:pPr>
              <w:spacing w:line="360" w:lineRule="auto"/>
              <w:jc w:val="center"/>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w w:val="100"/>
                <w:position w:val="0"/>
                <w:sz w:val="24"/>
                <w:szCs w:val="24"/>
                <w:highlight w:val="none"/>
                <w:lang w:val="zh-CN"/>
              </w:rPr>
              <w:t>法定代表人身份证</w:t>
            </w:r>
          </w:p>
          <w:p>
            <w:pPr>
              <w:spacing w:line="360" w:lineRule="auto"/>
              <w:jc w:val="center"/>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lang w:val="zh-CN"/>
              </w:rPr>
              <w:t>复印件</w:t>
            </w:r>
          </w:p>
        </w:tc>
      </w:tr>
    </w:tbl>
    <w:p>
      <w:pPr>
        <w:spacing w:line="360" w:lineRule="auto"/>
        <w:ind w:firstLine="1920" w:firstLineChars="800"/>
        <w:rPr>
          <w:rFonts w:hint="eastAsia" w:ascii="宋体" w:hAnsi="宋体" w:eastAsia="宋体" w:cs="宋体"/>
          <w:color w:val="auto"/>
          <w:spacing w:val="0"/>
          <w:w w:val="100"/>
          <w:position w:val="0"/>
          <w:sz w:val="24"/>
          <w:szCs w:val="24"/>
          <w:highlight w:val="none"/>
        </w:rPr>
      </w:pPr>
    </w:p>
    <w:p>
      <w:pPr>
        <w:spacing w:line="360" w:lineRule="auto"/>
        <w:ind w:left="0" w:leftChars="0" w:firstLine="3578" w:firstLineChars="1491"/>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left="0" w:leftChars="0" w:firstLine="3578" w:firstLineChars="1491"/>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法定代表人（签字或盖章）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adjustRightInd w:val="0"/>
        <w:snapToGrid w:val="0"/>
        <w:spacing w:line="360" w:lineRule="auto"/>
        <w:ind w:left="0" w:leftChars="0" w:firstLine="3578" w:firstLineChars="1491"/>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adjustRightInd w:val="0"/>
        <w:snapToGrid w:val="0"/>
        <w:spacing w:line="360" w:lineRule="auto"/>
        <w:jc w:val="cente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br w:type="page"/>
      </w:r>
      <w:bookmarkStart w:id="857" w:name="_Toc18921"/>
      <w:bookmarkStart w:id="858" w:name="_Toc495681534"/>
      <w:bookmarkStart w:id="859" w:name="_Toc495671264"/>
      <w:bookmarkStart w:id="860" w:name="_Toc495681407"/>
      <w:bookmarkStart w:id="861" w:name="_Toc495681253"/>
      <w:bookmarkStart w:id="862" w:name="_Toc495908049"/>
      <w:r>
        <w:rPr>
          <w:rFonts w:hint="eastAsia" w:ascii="宋体" w:hAnsi="宋体" w:eastAsia="宋体" w:cs="宋体"/>
          <w:b/>
          <w:color w:val="auto"/>
          <w:spacing w:val="0"/>
          <w:w w:val="100"/>
          <w:position w:val="0"/>
          <w:sz w:val="24"/>
          <w:szCs w:val="24"/>
          <w:highlight w:val="none"/>
        </w:rPr>
        <w:t>2、法定代表人授权书</w:t>
      </w:r>
      <w:bookmarkEnd w:id="857"/>
      <w:bookmarkEnd w:id="858"/>
      <w:bookmarkEnd w:id="859"/>
      <w:bookmarkEnd w:id="860"/>
      <w:bookmarkEnd w:id="861"/>
      <w:bookmarkEnd w:id="862"/>
    </w:p>
    <w:p>
      <w:pPr>
        <w:autoSpaceDE w:val="0"/>
        <w:autoSpaceDN w:val="0"/>
        <w:adjustRightInd w:val="0"/>
        <w:spacing w:line="360" w:lineRule="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zh-CN"/>
        </w:rPr>
        <w:t>亿诚建设项目管理有限公司：</w:t>
      </w:r>
    </w:p>
    <w:p>
      <w:pPr>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zh-CN"/>
        </w:rPr>
        <w:t>注册于</w:t>
      </w:r>
      <w:r>
        <w:rPr>
          <w:rFonts w:hint="eastAsia" w:ascii="宋体" w:hAnsi="宋体" w:eastAsia="宋体" w:cs="宋体"/>
          <w:color w:val="auto"/>
          <w:spacing w:val="0"/>
          <w:w w:val="100"/>
          <w:position w:val="0"/>
          <w:sz w:val="24"/>
          <w:szCs w:val="24"/>
          <w:highlight w:val="none"/>
          <w:u w:val="single"/>
          <w:lang w:val="zh-CN"/>
        </w:rPr>
        <w:t xml:space="preserve">  （工商行政管理局名称）  </w:t>
      </w:r>
      <w:r>
        <w:rPr>
          <w:rFonts w:hint="eastAsia" w:ascii="宋体" w:hAnsi="宋体" w:eastAsia="宋体" w:cs="宋体"/>
          <w:color w:val="auto"/>
          <w:spacing w:val="0"/>
          <w:w w:val="100"/>
          <w:position w:val="0"/>
          <w:sz w:val="24"/>
          <w:szCs w:val="24"/>
          <w:highlight w:val="none"/>
          <w:lang w:val="zh-CN"/>
        </w:rPr>
        <w:t>之</w:t>
      </w:r>
      <w:r>
        <w:rPr>
          <w:rFonts w:hint="eastAsia" w:ascii="宋体" w:hAnsi="宋体" w:eastAsia="宋体" w:cs="宋体"/>
          <w:color w:val="auto"/>
          <w:spacing w:val="0"/>
          <w:w w:val="100"/>
          <w:position w:val="0"/>
          <w:sz w:val="24"/>
          <w:szCs w:val="24"/>
          <w:highlight w:val="none"/>
          <w:u w:val="single"/>
          <w:lang w:val="zh-CN"/>
        </w:rPr>
        <w:t xml:space="preserve">   （供应商全称）  </w:t>
      </w:r>
      <w:r>
        <w:rPr>
          <w:rFonts w:hint="eastAsia" w:ascii="宋体" w:hAnsi="宋体" w:eastAsia="宋体" w:cs="宋体"/>
          <w:color w:val="auto"/>
          <w:spacing w:val="0"/>
          <w:w w:val="100"/>
          <w:position w:val="0"/>
          <w:sz w:val="24"/>
          <w:szCs w:val="24"/>
          <w:highlight w:val="none"/>
          <w:lang w:val="zh-CN"/>
        </w:rPr>
        <w:t>的法定代表人</w:t>
      </w:r>
      <w:r>
        <w:rPr>
          <w:rFonts w:hint="eastAsia" w:ascii="宋体" w:hAnsi="宋体" w:eastAsia="宋体" w:cs="宋体"/>
          <w:color w:val="auto"/>
          <w:spacing w:val="0"/>
          <w:w w:val="100"/>
          <w:position w:val="0"/>
          <w:sz w:val="24"/>
          <w:szCs w:val="24"/>
          <w:highlight w:val="none"/>
          <w:u w:val="single"/>
          <w:lang w:val="zh-CN"/>
        </w:rPr>
        <w:t xml:space="preserve"> （姓名）</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lang w:val="zh-CN"/>
        </w:rPr>
        <w:t>授权</w:t>
      </w:r>
      <w:r>
        <w:rPr>
          <w:rFonts w:hint="eastAsia" w:ascii="宋体" w:hAnsi="宋体" w:eastAsia="宋体" w:cs="宋体"/>
          <w:color w:val="auto"/>
          <w:spacing w:val="0"/>
          <w:w w:val="100"/>
          <w:position w:val="0"/>
          <w:sz w:val="24"/>
          <w:szCs w:val="24"/>
          <w:highlight w:val="none"/>
          <w:u w:val="single"/>
          <w:lang w:val="zh-CN"/>
        </w:rPr>
        <w:t xml:space="preserve"> （被授权人姓名）</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为我方合法委托代理人。代理人根据授权，以我方名义签署、澄清、说明、递交、撤回、修改</w:t>
      </w:r>
      <w:r>
        <w:rPr>
          <w:rFonts w:hint="eastAsia" w:ascii="宋体" w:hAnsi="宋体" w:eastAsia="宋体" w:cs="宋体"/>
          <w:color w:val="auto"/>
          <w:spacing w:val="0"/>
          <w:w w:val="100"/>
          <w:position w:val="0"/>
          <w:sz w:val="24"/>
          <w:szCs w:val="24"/>
          <w:highlight w:val="none"/>
          <w:u w:val="single"/>
        </w:rPr>
        <w:t xml:space="preserve">     （项目名称）     </w:t>
      </w:r>
      <w:r>
        <w:rPr>
          <w:rFonts w:hint="eastAsia" w:ascii="宋体" w:hAnsi="宋体" w:eastAsia="宋体" w:cs="宋体"/>
          <w:color w:val="auto"/>
          <w:spacing w:val="0"/>
          <w:w w:val="100"/>
          <w:position w:val="0"/>
          <w:sz w:val="24"/>
          <w:szCs w:val="24"/>
          <w:highlight w:val="none"/>
        </w:rPr>
        <w:t>磋商响应文件、签订合同和处理有关事宜，其法律后果由我方承担。</w:t>
      </w:r>
    </w:p>
    <w:p>
      <w:pPr>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代理人无转委托权。</w:t>
      </w:r>
    </w:p>
    <w:p>
      <w:pPr>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（盖单位公章）</w:t>
      </w:r>
    </w:p>
    <w:p>
      <w:pPr>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法定代表人</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（签字或盖章）</w:t>
      </w:r>
    </w:p>
    <w:p>
      <w:pPr>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身份证号码</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委托代理人</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eastAsia="zh-CN"/>
        </w:rPr>
        <w:t>签字或盖章</w:t>
      </w:r>
      <w:r>
        <w:rPr>
          <w:rFonts w:hint="eastAsia" w:ascii="宋体" w:hAnsi="宋体" w:eastAsia="宋体" w:cs="宋体"/>
          <w:color w:val="auto"/>
          <w:spacing w:val="0"/>
          <w:w w:val="100"/>
          <w:position w:val="0"/>
          <w:sz w:val="24"/>
          <w:szCs w:val="24"/>
          <w:highlight w:val="none"/>
        </w:rPr>
        <w:t>）</w:t>
      </w:r>
    </w:p>
    <w:p>
      <w:pPr>
        <w:spacing w:line="360" w:lineRule="auto"/>
        <w:ind w:firstLine="480" w:firstLineChars="2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身份证号码</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firstLine="5520" w:firstLineChars="23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日</w:t>
      </w:r>
    </w:p>
    <w:p>
      <w:pPr>
        <w:spacing w:line="360" w:lineRule="auto"/>
        <w:ind w:firstLine="480" w:firstLineChars="200"/>
        <w:rPr>
          <w:rFonts w:hint="eastAsia" w:ascii="宋体" w:hAnsi="宋体" w:eastAsia="宋体" w:cs="宋体"/>
          <w:color w:val="auto"/>
          <w:spacing w:val="0"/>
          <w:w w:val="100"/>
          <w:position w:val="0"/>
          <w:sz w:val="24"/>
          <w:szCs w:val="24"/>
          <w:highlight w:val="none"/>
        </w:rPr>
      </w:pPr>
    </w:p>
    <w:p>
      <w:pPr>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本授权有效期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自开标之日起90日历日。</w:t>
      </w:r>
    </w:p>
    <w:p>
      <w:pPr>
        <w:spacing w:line="360" w:lineRule="auto"/>
        <w:ind w:firstLine="420"/>
        <w:rPr>
          <w:rFonts w:hint="eastAsia" w:ascii="宋体" w:hAnsi="宋体" w:eastAsia="宋体" w:cs="宋体"/>
          <w:bCs/>
          <w:color w:val="auto"/>
          <w:spacing w:val="0"/>
          <w:w w:val="100"/>
          <w:position w:val="0"/>
          <w:sz w:val="24"/>
          <w:szCs w:val="24"/>
          <w:highlight w:val="none"/>
        </w:rPr>
      </w:pPr>
    </w:p>
    <w:p>
      <w:pPr>
        <w:spacing w:line="360" w:lineRule="auto"/>
        <w:ind w:firstLine="480" w:firstLineChars="200"/>
        <w:rPr>
          <w:rFonts w:hint="eastAsia" w:ascii="宋体" w:hAnsi="宋体" w:eastAsia="宋体" w:cs="宋体"/>
          <w:color w:val="auto"/>
          <w:spacing w:val="0"/>
          <w:w w:val="100"/>
          <w:position w:val="0"/>
          <w:sz w:val="24"/>
          <w:szCs w:val="24"/>
          <w:highlight w:val="none"/>
          <w:lang w:val="zh-CN"/>
        </w:rPr>
      </w:pPr>
    </w:p>
    <w:p>
      <w:pPr>
        <w:spacing w:line="360" w:lineRule="auto"/>
        <w:ind w:firstLine="480" w:firstLineChars="200"/>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w w:val="100"/>
          <w:position w:val="0"/>
          <w:sz w:val="24"/>
          <w:szCs w:val="24"/>
          <w:highlight w:val="none"/>
          <w:lang w:val="zh-CN"/>
        </w:rPr>
        <w:t>说明：</w:t>
      </w:r>
    </w:p>
    <w:p>
      <w:pPr>
        <w:spacing w:line="360" w:lineRule="auto"/>
        <w:ind w:firstLine="480" w:firstLineChars="200"/>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color w:val="auto"/>
          <w:spacing w:val="0"/>
          <w:w w:val="100"/>
          <w:position w:val="0"/>
          <w:sz w:val="24"/>
          <w:szCs w:val="24"/>
          <w:highlight w:val="none"/>
          <w:lang w:eastAsia="zh-CN"/>
        </w:rPr>
        <w:t>后</w:t>
      </w:r>
      <w:r>
        <w:rPr>
          <w:rFonts w:hint="eastAsia" w:ascii="宋体" w:hAnsi="宋体" w:eastAsia="宋体" w:cs="宋体"/>
          <w:color w:val="auto"/>
          <w:spacing w:val="0"/>
          <w:w w:val="100"/>
          <w:position w:val="0"/>
          <w:sz w:val="24"/>
          <w:szCs w:val="24"/>
          <w:highlight w:val="none"/>
        </w:rPr>
        <w:t>附被授权代表本单位证明</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有效的劳动合同或磋商截止前六个月内任意一个月养老保险缴纳证明。</w:t>
      </w:r>
    </w:p>
    <w:p>
      <w:pPr>
        <w:spacing w:line="360" w:lineRule="auto"/>
        <w:ind w:firstLine="480" w:firstLineChars="200"/>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w w:val="100"/>
          <w:position w:val="0"/>
          <w:sz w:val="24"/>
          <w:szCs w:val="24"/>
          <w:highlight w:val="none"/>
        </w:rPr>
        <w:t>2.</w:t>
      </w:r>
      <w:r>
        <w:rPr>
          <w:rFonts w:hint="eastAsia" w:ascii="宋体" w:hAnsi="宋体" w:eastAsia="宋体" w:cs="宋体"/>
          <w:color w:val="auto"/>
          <w:spacing w:val="0"/>
          <w:w w:val="100"/>
          <w:position w:val="0"/>
          <w:sz w:val="24"/>
          <w:szCs w:val="24"/>
          <w:highlight w:val="none"/>
          <w:lang w:eastAsia="zh-CN"/>
        </w:rPr>
        <w:t>后</w:t>
      </w:r>
      <w:r>
        <w:rPr>
          <w:rFonts w:hint="eastAsia" w:ascii="宋体" w:hAnsi="宋体" w:eastAsia="宋体" w:cs="宋体"/>
          <w:color w:val="auto"/>
          <w:spacing w:val="0"/>
          <w:w w:val="100"/>
          <w:position w:val="0"/>
          <w:sz w:val="24"/>
          <w:szCs w:val="24"/>
          <w:highlight w:val="none"/>
        </w:rPr>
        <w:t>附法定代表人和被授权委托代理人身份证复印件并加盖红色鲜章。</w:t>
      </w:r>
    </w:p>
    <w:p>
      <w:pPr>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w:t>
      </w:r>
      <w:r>
        <w:rPr>
          <w:rFonts w:hint="eastAsia" w:ascii="宋体" w:hAnsi="宋体" w:eastAsia="宋体" w:cs="宋体"/>
          <w:color w:val="auto"/>
          <w:spacing w:val="0"/>
          <w:w w:val="100"/>
          <w:position w:val="0"/>
          <w:sz w:val="24"/>
          <w:szCs w:val="24"/>
          <w:highlight w:val="none"/>
          <w:lang w:val="zh-CN"/>
        </w:rPr>
        <w:t>本授权有效期为磋商之日起不少于90天，仅限授权代表参加磋商时提供。</w:t>
      </w:r>
      <w:bookmarkStart w:id="863" w:name="_Toc15002"/>
    </w:p>
    <w:bookmarkEnd w:id="863"/>
    <w:p>
      <w:pPr>
        <w:spacing w:line="360" w:lineRule="auto"/>
        <w:ind w:firstLine="480" w:firstLineChars="200"/>
        <w:rPr>
          <w:rFonts w:hint="eastAsia" w:ascii="宋体" w:hAnsi="宋体" w:eastAsia="宋体" w:cs="宋体"/>
          <w:color w:val="auto"/>
          <w:spacing w:val="0"/>
          <w:w w:val="100"/>
          <w:position w:val="0"/>
          <w:sz w:val="24"/>
          <w:szCs w:val="24"/>
          <w:highlight w:val="none"/>
        </w:rPr>
      </w:pPr>
    </w:p>
    <w:p>
      <w:pPr>
        <w:spacing w:line="360" w:lineRule="auto"/>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br w:type="page"/>
      </w:r>
    </w:p>
    <w:p>
      <w:pPr>
        <w:adjustRightInd w:val="0"/>
        <w:snapToGrid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3、企业资质</w:t>
      </w:r>
    </w:p>
    <w:p>
      <w:pPr>
        <w:bidi w:val="0"/>
        <w:rPr>
          <w:rFonts w:hint="eastAsia" w:ascii="宋体" w:hAnsi="宋体" w:eastAsia="宋体" w:cs="宋体"/>
          <w:color w:val="auto"/>
          <w:highlight w:val="none"/>
          <w:lang w:val="zh-CN" w:eastAsia="zh-CN"/>
        </w:rPr>
      </w:pPr>
    </w:p>
    <w:p>
      <w:pPr>
        <w:keepLines w:val="0"/>
        <w:wordWrap/>
        <w:bidi w:val="0"/>
        <w:spacing w:line="360" w:lineRule="auto"/>
        <w:ind w:left="0" w:leftChars="0" w:firstLine="0" w:firstLineChars="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（扫描件或复印件加盖单位公章）</w:t>
      </w:r>
    </w:p>
    <w:p>
      <w:pPr>
        <w:bidi w:val="0"/>
        <w:rPr>
          <w:rFonts w:hint="eastAsia" w:ascii="宋体" w:hAnsi="宋体" w:eastAsia="宋体" w:cs="宋体"/>
          <w:color w:val="auto"/>
          <w:highlight w:val="none"/>
          <w:lang w:val="zh-CN" w:eastAsia="zh-CN"/>
        </w:rPr>
      </w:pPr>
    </w:p>
    <w:p>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eastAsia="zh-CN"/>
        </w:rPr>
        <w:t>4.拟派项目负责人资格要求</w:t>
      </w:r>
    </w:p>
    <w:p>
      <w:pPr>
        <w:bidi w:val="0"/>
        <w:rPr>
          <w:rFonts w:hint="eastAsia" w:ascii="宋体" w:hAnsi="宋体" w:eastAsia="宋体" w:cs="宋体"/>
          <w:color w:val="auto"/>
          <w:highlight w:val="none"/>
        </w:rPr>
      </w:pPr>
    </w:p>
    <w:p>
      <w:pPr>
        <w:keepLines w:val="0"/>
        <w:wordWrap/>
        <w:bidi w:val="0"/>
        <w:spacing w:line="360" w:lineRule="auto"/>
        <w:ind w:firstLine="480" w:firstLineChars="20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（扫描件或复印件加盖单位公章）</w:t>
      </w:r>
    </w:p>
    <w:bookmarkEnd w:id="849"/>
    <w:p>
      <w:pPr>
        <w:adjustRightInd w:val="0"/>
        <w:snapToGrid w:val="0"/>
        <w:spacing w:line="360" w:lineRule="auto"/>
        <w:ind w:firstLine="480" w:firstLineChars="200"/>
        <w:rPr>
          <w:rFonts w:hint="eastAsia" w:ascii="宋体" w:hAnsi="宋体" w:eastAsia="宋体" w:cs="宋体"/>
          <w:bCs/>
          <w:color w:val="auto"/>
          <w:sz w:val="24"/>
          <w:szCs w:val="24"/>
          <w:highlight w:val="none"/>
        </w:rPr>
      </w:pPr>
      <w:bookmarkStart w:id="864" w:name="_Toc5184"/>
    </w:p>
    <w:p>
      <w:pPr>
        <w:pStyle w:val="3"/>
        <w:keepNext w:val="0"/>
        <w:pageBreakBefore/>
        <w:tabs>
          <w:tab w:val="left" w:pos="1260"/>
        </w:tabs>
        <w:spacing w:line="360" w:lineRule="auto"/>
        <w:ind w:left="0" w:leftChars="0" w:firstLine="0" w:firstLineChars="0"/>
        <w:jc w:val="center"/>
        <w:rPr>
          <w:rFonts w:hint="eastAsia" w:ascii="宋体" w:hAnsi="宋体" w:eastAsia="宋体" w:cs="宋体"/>
          <w:color w:val="auto"/>
          <w:spacing w:val="0"/>
          <w:w w:val="100"/>
          <w:position w:val="0"/>
          <w:sz w:val="32"/>
          <w:szCs w:val="32"/>
          <w:highlight w:val="none"/>
        </w:rPr>
      </w:pPr>
      <w:r>
        <w:rPr>
          <w:rFonts w:hint="eastAsia" w:ascii="宋体" w:hAnsi="宋体" w:eastAsia="宋体" w:cs="宋体"/>
          <w:color w:val="auto"/>
          <w:spacing w:val="0"/>
          <w:w w:val="100"/>
          <w:position w:val="0"/>
          <w:sz w:val="32"/>
          <w:szCs w:val="32"/>
          <w:highlight w:val="none"/>
          <w:lang w:eastAsia="zh-CN"/>
        </w:rPr>
        <w:t>五</w:t>
      </w:r>
      <w:r>
        <w:rPr>
          <w:rFonts w:hint="eastAsia" w:ascii="宋体" w:hAnsi="宋体" w:eastAsia="宋体" w:cs="宋体"/>
          <w:color w:val="auto"/>
          <w:spacing w:val="0"/>
          <w:w w:val="100"/>
          <w:position w:val="0"/>
          <w:sz w:val="32"/>
          <w:szCs w:val="32"/>
          <w:highlight w:val="none"/>
        </w:rPr>
        <w:t>、</w:t>
      </w:r>
      <w:r>
        <w:rPr>
          <w:rFonts w:hint="eastAsia" w:ascii="宋体" w:hAnsi="宋体" w:eastAsia="宋体" w:cs="宋体"/>
          <w:color w:val="auto"/>
          <w:spacing w:val="0"/>
          <w:w w:val="100"/>
          <w:position w:val="0"/>
          <w:sz w:val="32"/>
          <w:szCs w:val="32"/>
          <w:highlight w:val="none"/>
          <w:lang w:eastAsia="zh-CN"/>
        </w:rPr>
        <w:t>（合同）商务</w:t>
      </w:r>
      <w:r>
        <w:rPr>
          <w:rFonts w:hint="eastAsia" w:ascii="宋体" w:hAnsi="宋体" w:eastAsia="宋体" w:cs="宋体"/>
          <w:color w:val="auto"/>
          <w:spacing w:val="0"/>
          <w:w w:val="100"/>
          <w:position w:val="0"/>
          <w:sz w:val="32"/>
          <w:szCs w:val="32"/>
          <w:highlight w:val="none"/>
        </w:rPr>
        <w:t>主要条款响应偏差表</w:t>
      </w:r>
      <w:bookmarkEnd w:id="864"/>
    </w:p>
    <w:p>
      <w:pPr>
        <w:tabs>
          <w:tab w:val="left" w:pos="1260"/>
        </w:tabs>
        <w:adjustRightInd w:val="0"/>
        <w:snapToGrid w:val="0"/>
        <w:spacing w:line="360" w:lineRule="auto"/>
        <w:ind w:right="64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eastAsia="zh-CN"/>
        </w:rPr>
        <w:t>项目编号：</w:t>
      </w:r>
      <w:r>
        <w:rPr>
          <w:rFonts w:hint="eastAsia" w:ascii="宋体" w:hAnsi="宋体" w:eastAsia="宋体" w:cs="宋体"/>
          <w:i w:val="0"/>
          <w:iCs w:val="0"/>
          <w:caps w:val="0"/>
          <w:color w:val="auto"/>
          <w:spacing w:val="0"/>
          <w:sz w:val="24"/>
          <w:szCs w:val="24"/>
          <w:highlight w:val="none"/>
          <w:shd w:val="clear" w:color="auto" w:fill="FFFFFF"/>
          <w:vertAlign w:val="baseline"/>
        </w:rPr>
        <w:t>YC23001014（ZBA）</w:t>
      </w:r>
      <w:r>
        <w:rPr>
          <w:rFonts w:hint="eastAsia" w:ascii="宋体" w:hAnsi="宋体" w:eastAsia="宋体" w:cs="宋体"/>
          <w:color w:val="auto"/>
          <w:spacing w:val="0"/>
          <w:w w:val="100"/>
          <w:position w:val="0"/>
          <w:sz w:val="24"/>
          <w:szCs w:val="24"/>
          <w:highlight w:val="none"/>
          <w:lang w:val="zh-CN"/>
        </w:rPr>
        <w:t xml:space="preserve">                           </w:t>
      </w:r>
      <w:r>
        <w:rPr>
          <w:rFonts w:hint="eastAsia" w:ascii="宋体" w:hAnsi="宋体" w:eastAsia="宋体" w:cs="宋体"/>
          <w:color w:val="auto"/>
          <w:spacing w:val="0"/>
          <w:w w:val="100"/>
          <w:position w:val="0"/>
          <w:sz w:val="24"/>
          <w:szCs w:val="24"/>
          <w:highlight w:val="none"/>
        </w:rPr>
        <w:t xml:space="preserve">              </w:t>
      </w:r>
    </w:p>
    <w:tbl>
      <w:tblPr>
        <w:tblStyle w:val="26"/>
        <w:tblW w:w="92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113"/>
        <w:gridCol w:w="1125"/>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vAlign w:val="center"/>
          </w:tcPr>
          <w:p>
            <w:pPr>
              <w:tabs>
                <w:tab w:val="left" w:pos="1260"/>
              </w:tabs>
              <w:adjustRightInd w:val="0"/>
              <w:snapToGrid w:val="0"/>
              <w:spacing w:line="360" w:lineRule="auto"/>
              <w:ind w:left="0" w:leftChars="0" w:right="23" w:firstLine="0" w:firstLineChars="0"/>
              <w:jc w:val="center"/>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序号</w:t>
            </w:r>
          </w:p>
        </w:tc>
        <w:tc>
          <w:tcPr>
            <w:tcW w:w="1380" w:type="dxa"/>
            <w:vAlign w:val="center"/>
          </w:tcPr>
          <w:p>
            <w:pPr>
              <w:tabs>
                <w:tab w:val="left" w:pos="1260"/>
              </w:tabs>
              <w:adjustRightInd w:val="0"/>
              <w:snapToGrid w:val="0"/>
              <w:spacing w:line="360" w:lineRule="auto"/>
              <w:ind w:left="0" w:leftChars="0" w:right="23" w:firstLine="0" w:firstLineChars="0"/>
              <w:jc w:val="center"/>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文件条目号</w:t>
            </w:r>
          </w:p>
        </w:tc>
        <w:tc>
          <w:tcPr>
            <w:tcW w:w="2341" w:type="dxa"/>
            <w:vAlign w:val="center"/>
          </w:tcPr>
          <w:p>
            <w:pPr>
              <w:tabs>
                <w:tab w:val="left" w:pos="1260"/>
              </w:tabs>
              <w:adjustRightInd w:val="0"/>
              <w:snapToGrid w:val="0"/>
              <w:spacing w:line="360" w:lineRule="auto"/>
              <w:ind w:left="0" w:leftChars="0" w:right="23" w:firstLine="0" w:firstLineChars="0"/>
              <w:jc w:val="center"/>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磋商文件</w:t>
            </w:r>
            <w:r>
              <w:rPr>
                <w:rFonts w:hint="eastAsia" w:ascii="宋体" w:hAnsi="宋体" w:eastAsia="宋体" w:cs="宋体"/>
                <w:b/>
                <w:bCs/>
                <w:color w:val="auto"/>
                <w:spacing w:val="0"/>
                <w:w w:val="100"/>
                <w:position w:val="0"/>
                <w:sz w:val="24"/>
                <w:szCs w:val="24"/>
                <w:highlight w:val="none"/>
                <w:lang w:eastAsia="zh-CN"/>
              </w:rPr>
              <w:t>商务主要条款</w:t>
            </w:r>
            <w:r>
              <w:rPr>
                <w:rFonts w:hint="eastAsia" w:ascii="宋体" w:hAnsi="宋体" w:eastAsia="宋体" w:cs="宋体"/>
                <w:b/>
                <w:bCs/>
                <w:color w:val="auto"/>
                <w:spacing w:val="0"/>
                <w:w w:val="100"/>
                <w:position w:val="0"/>
                <w:sz w:val="24"/>
                <w:szCs w:val="24"/>
                <w:highlight w:val="none"/>
              </w:rPr>
              <w:t>要求</w:t>
            </w:r>
          </w:p>
        </w:tc>
        <w:tc>
          <w:tcPr>
            <w:tcW w:w="2113" w:type="dxa"/>
            <w:vAlign w:val="center"/>
          </w:tcPr>
          <w:p>
            <w:pPr>
              <w:tabs>
                <w:tab w:val="left" w:pos="1260"/>
              </w:tabs>
              <w:adjustRightInd w:val="0"/>
              <w:snapToGrid w:val="0"/>
              <w:spacing w:line="360" w:lineRule="auto"/>
              <w:ind w:left="0" w:leftChars="0" w:right="23" w:firstLine="0" w:firstLineChars="0"/>
              <w:jc w:val="center"/>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磋商响应文件</w:t>
            </w:r>
            <w:r>
              <w:rPr>
                <w:rFonts w:hint="eastAsia" w:ascii="宋体" w:hAnsi="宋体" w:eastAsia="宋体" w:cs="宋体"/>
                <w:b/>
                <w:bCs/>
                <w:color w:val="auto"/>
                <w:spacing w:val="0"/>
                <w:w w:val="100"/>
                <w:position w:val="0"/>
                <w:sz w:val="24"/>
                <w:szCs w:val="24"/>
                <w:highlight w:val="none"/>
                <w:lang w:eastAsia="zh-CN"/>
              </w:rPr>
              <w:t>商务主要条款</w:t>
            </w:r>
            <w:r>
              <w:rPr>
                <w:rFonts w:hint="eastAsia" w:ascii="宋体" w:hAnsi="宋体" w:eastAsia="宋体" w:cs="宋体"/>
                <w:b/>
                <w:bCs/>
                <w:color w:val="auto"/>
                <w:spacing w:val="0"/>
                <w:w w:val="100"/>
                <w:position w:val="0"/>
                <w:sz w:val="24"/>
                <w:szCs w:val="24"/>
                <w:highlight w:val="none"/>
              </w:rPr>
              <w:t>响应</w:t>
            </w:r>
          </w:p>
        </w:tc>
        <w:tc>
          <w:tcPr>
            <w:tcW w:w="1125" w:type="dxa"/>
            <w:vAlign w:val="center"/>
          </w:tcPr>
          <w:p>
            <w:pPr>
              <w:tabs>
                <w:tab w:val="left" w:pos="1260"/>
              </w:tabs>
              <w:adjustRightInd w:val="0"/>
              <w:snapToGrid w:val="0"/>
              <w:spacing w:line="360" w:lineRule="auto"/>
              <w:ind w:left="0" w:leftChars="0" w:right="23" w:firstLine="0" w:firstLineChars="0"/>
              <w:jc w:val="center"/>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偏离</w:t>
            </w:r>
          </w:p>
        </w:tc>
        <w:tc>
          <w:tcPr>
            <w:tcW w:w="1538" w:type="dxa"/>
            <w:vAlign w:val="center"/>
          </w:tcPr>
          <w:p>
            <w:pPr>
              <w:tabs>
                <w:tab w:val="left" w:pos="1260"/>
              </w:tabs>
              <w:adjustRightInd w:val="0"/>
              <w:snapToGrid w:val="0"/>
              <w:spacing w:line="360" w:lineRule="auto"/>
              <w:ind w:left="0" w:leftChars="0" w:right="23" w:firstLine="0" w:firstLineChars="0"/>
              <w:jc w:val="center"/>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380"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2341"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2113"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125"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538"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380"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2341"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2113"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125"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538"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380"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2341"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2113"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125"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538"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380"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2341"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2113"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125"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538"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380"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2341"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2113"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125"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c>
          <w:tcPr>
            <w:tcW w:w="1538" w:type="dxa"/>
            <w:vAlign w:val="center"/>
          </w:tcPr>
          <w:p>
            <w:pPr>
              <w:tabs>
                <w:tab w:val="left" w:pos="1260"/>
              </w:tabs>
              <w:adjustRightInd w:val="0"/>
              <w:snapToGrid w:val="0"/>
              <w:spacing w:line="360" w:lineRule="auto"/>
              <w:ind w:right="24"/>
              <w:rPr>
                <w:rFonts w:hint="eastAsia" w:ascii="宋体" w:hAnsi="宋体" w:eastAsia="宋体" w:cs="宋体"/>
                <w:bCs/>
                <w:color w:val="auto"/>
                <w:spacing w:val="0"/>
                <w:w w:val="100"/>
                <w:position w:val="0"/>
                <w:sz w:val="24"/>
                <w:szCs w:val="24"/>
                <w:highlight w:val="none"/>
              </w:rPr>
            </w:pPr>
          </w:p>
        </w:tc>
      </w:tr>
    </w:tbl>
    <w:p>
      <w:pPr>
        <w:tabs>
          <w:tab w:val="left" w:pos="1260"/>
        </w:tabs>
        <w:spacing w:line="360" w:lineRule="auto"/>
        <w:ind w:right="-263" w:rightChars="-94" w:firstLine="480" w:firstLineChars="200"/>
        <w:jc w:val="left"/>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注</w:t>
      </w:r>
      <w:r>
        <w:rPr>
          <w:rFonts w:hint="eastAsia" w:ascii="宋体" w:hAnsi="宋体" w:eastAsia="宋体" w:cs="宋体"/>
          <w:color w:val="auto"/>
          <w:spacing w:val="0"/>
          <w:w w:val="100"/>
          <w:position w:val="0"/>
          <w:sz w:val="24"/>
          <w:szCs w:val="24"/>
          <w:highlight w:val="none"/>
          <w:lang w:eastAsia="zh-CN"/>
        </w:rPr>
        <w:t>：</w:t>
      </w:r>
    </w:p>
    <w:p>
      <w:pPr>
        <w:tabs>
          <w:tab w:val="left" w:pos="1260"/>
        </w:tabs>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1、本表只填写磋商响应文件中与磋商文件有偏离（包括负偏离和正偏离）的内容，在磋商响应文件中须一一列出，无偏离可直接提供空白表。</w:t>
      </w:r>
    </w:p>
    <w:p>
      <w:pPr>
        <w:tabs>
          <w:tab w:val="left" w:pos="1260"/>
        </w:tabs>
        <w:spacing w:line="360" w:lineRule="auto"/>
        <w:ind w:firstLine="470" w:firstLineChars="196"/>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2、供应商必须据实填写，不得虚假响应，否则将取消其</w:t>
      </w:r>
      <w:r>
        <w:rPr>
          <w:rFonts w:hint="eastAsia" w:ascii="宋体" w:hAnsi="宋体" w:eastAsia="宋体" w:cs="宋体"/>
          <w:color w:val="auto"/>
          <w:spacing w:val="0"/>
          <w:w w:val="100"/>
          <w:position w:val="0"/>
          <w:sz w:val="24"/>
          <w:szCs w:val="24"/>
          <w:highlight w:val="none"/>
          <w:lang w:eastAsia="zh-CN"/>
        </w:rPr>
        <w:t>磋商</w:t>
      </w:r>
      <w:r>
        <w:rPr>
          <w:rFonts w:hint="eastAsia" w:ascii="宋体" w:hAnsi="宋体" w:eastAsia="宋体" w:cs="宋体"/>
          <w:color w:val="auto"/>
          <w:spacing w:val="0"/>
          <w:w w:val="100"/>
          <w:position w:val="0"/>
          <w:sz w:val="24"/>
          <w:szCs w:val="24"/>
          <w:highlight w:val="none"/>
        </w:rPr>
        <w:t>或</w:t>
      </w:r>
      <w:r>
        <w:rPr>
          <w:rFonts w:hint="eastAsia" w:ascii="宋体" w:hAnsi="宋体" w:eastAsia="宋体" w:cs="宋体"/>
          <w:color w:val="auto"/>
          <w:spacing w:val="0"/>
          <w:w w:val="100"/>
          <w:position w:val="0"/>
          <w:sz w:val="24"/>
          <w:szCs w:val="24"/>
          <w:highlight w:val="none"/>
          <w:lang w:val="en-US" w:eastAsia="zh-CN"/>
        </w:rPr>
        <w:t>成交</w:t>
      </w:r>
      <w:r>
        <w:rPr>
          <w:rFonts w:hint="eastAsia" w:ascii="宋体" w:hAnsi="宋体" w:eastAsia="宋体" w:cs="宋体"/>
          <w:color w:val="auto"/>
          <w:spacing w:val="0"/>
          <w:w w:val="100"/>
          <w:position w:val="0"/>
          <w:sz w:val="24"/>
          <w:szCs w:val="24"/>
          <w:highlight w:val="none"/>
        </w:rPr>
        <w:t>资格，并按有关规定进处罚。</w:t>
      </w:r>
    </w:p>
    <w:p>
      <w:pPr>
        <w:tabs>
          <w:tab w:val="left" w:pos="1260"/>
        </w:tabs>
        <w:spacing w:line="360" w:lineRule="auto"/>
        <w:ind w:firstLine="470" w:firstLineChars="196"/>
        <w:rPr>
          <w:rFonts w:hint="eastAsia" w:ascii="宋体" w:hAnsi="宋体" w:eastAsia="宋体" w:cs="宋体"/>
          <w:color w:val="auto"/>
          <w:spacing w:val="0"/>
          <w:w w:val="100"/>
          <w:position w:val="0"/>
          <w:sz w:val="24"/>
          <w:szCs w:val="24"/>
          <w:highlight w:val="none"/>
        </w:rPr>
      </w:pPr>
    </w:p>
    <w:p>
      <w:pPr>
        <w:tabs>
          <w:tab w:val="left" w:pos="1260"/>
        </w:tabs>
        <w:spacing w:line="360" w:lineRule="auto"/>
        <w:ind w:firstLine="3360" w:firstLineChars="14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tabs>
          <w:tab w:val="left" w:pos="1260"/>
        </w:tabs>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法定代表人或授权代表（签字或盖章）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tabs>
          <w:tab w:val="left" w:pos="1260"/>
        </w:tabs>
        <w:autoSpaceDE w:val="0"/>
        <w:autoSpaceDN w:val="0"/>
        <w:adjustRightInd w:val="0"/>
        <w:spacing w:line="360" w:lineRule="auto"/>
        <w:ind w:firstLine="3360" w:firstLineChars="1400"/>
        <w:rPr>
          <w:rFonts w:hint="eastAsia" w:ascii="宋体" w:hAnsi="宋体" w:eastAsia="宋体" w:cs="宋体"/>
          <w:color w:val="auto"/>
          <w:spacing w:val="0"/>
          <w:w w:val="100"/>
          <w:position w:val="0"/>
          <w:highlight w:val="none"/>
        </w:rPr>
        <w:sectPr>
          <w:footerReference r:id="rId8"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Pr>
        <w:pStyle w:val="3"/>
        <w:spacing w:line="360" w:lineRule="auto"/>
        <w:rPr>
          <w:rFonts w:hint="eastAsia" w:ascii="宋体" w:hAnsi="宋体" w:eastAsia="宋体" w:cs="宋体"/>
          <w:color w:val="auto"/>
          <w:sz w:val="32"/>
          <w:szCs w:val="21"/>
          <w:highlight w:val="none"/>
        </w:rPr>
      </w:pPr>
      <w:bookmarkStart w:id="865" w:name="_Toc13042"/>
      <w:bookmarkStart w:id="866" w:name="_Toc5325"/>
      <w:bookmarkStart w:id="867" w:name="_Toc26783"/>
      <w:bookmarkStart w:id="868" w:name="_Toc14308"/>
      <w:bookmarkStart w:id="869" w:name="_Toc8297"/>
      <w:bookmarkStart w:id="870" w:name="_Toc3076"/>
      <w:bookmarkStart w:id="871" w:name="_Toc27331"/>
      <w:bookmarkStart w:id="872" w:name="_Toc205"/>
      <w:bookmarkStart w:id="873" w:name="_Toc21909"/>
      <w:bookmarkStart w:id="874" w:name="_Toc30274"/>
      <w:bookmarkStart w:id="875" w:name="_Toc5618"/>
      <w:bookmarkStart w:id="876" w:name="_Toc26262"/>
      <w:bookmarkStart w:id="877" w:name="_Toc495908045"/>
      <w:bookmarkStart w:id="878" w:name="_Toc495681249"/>
      <w:bookmarkStart w:id="879" w:name="_Toc6613"/>
      <w:bookmarkStart w:id="880" w:name="_Toc20664"/>
      <w:bookmarkStart w:id="881" w:name="_Toc20060"/>
      <w:bookmarkStart w:id="882" w:name="_Toc5195"/>
      <w:bookmarkStart w:id="883" w:name="_Toc495681403"/>
      <w:bookmarkStart w:id="884" w:name="_Toc16396"/>
      <w:bookmarkStart w:id="885" w:name="_Toc22388"/>
      <w:bookmarkStart w:id="886" w:name="_Toc5380"/>
      <w:bookmarkStart w:id="887" w:name="_Toc495681530"/>
      <w:bookmarkStart w:id="888" w:name="_Toc11576"/>
      <w:bookmarkStart w:id="889" w:name="_Toc20167"/>
      <w:r>
        <w:rPr>
          <w:rFonts w:hint="eastAsia" w:ascii="宋体" w:hAnsi="宋体" w:eastAsia="宋体" w:cs="宋体"/>
          <w:color w:val="auto"/>
          <w:sz w:val="32"/>
          <w:szCs w:val="32"/>
          <w:highlight w:val="none"/>
          <w:lang w:val="zh-CN"/>
        </w:rPr>
        <w:t>六、</w:t>
      </w:r>
      <w:bookmarkEnd w:id="865"/>
      <w:bookmarkStart w:id="890" w:name="_Toc9136"/>
      <w:bookmarkStart w:id="891" w:name="_Toc7263"/>
      <w:bookmarkStart w:id="892" w:name="_Toc13348"/>
      <w:bookmarkStart w:id="893" w:name="_Toc11833"/>
      <w:bookmarkStart w:id="894" w:name="_Toc24533"/>
      <w:r>
        <w:rPr>
          <w:rFonts w:hint="eastAsia" w:ascii="宋体" w:hAnsi="宋体" w:eastAsia="宋体" w:cs="宋体"/>
          <w:color w:val="auto"/>
          <w:sz w:val="32"/>
          <w:szCs w:val="32"/>
          <w:highlight w:val="none"/>
        </w:rPr>
        <w:t>拟投入本项目的主要负责人简历表</w:t>
      </w:r>
      <w:bookmarkEnd w:id="866"/>
      <w:bookmarkEnd w:id="867"/>
      <w:bookmarkEnd w:id="868"/>
      <w:bookmarkEnd w:id="869"/>
      <w:bookmarkEnd w:id="890"/>
      <w:bookmarkEnd w:id="891"/>
      <w:bookmarkEnd w:id="892"/>
      <w:bookmarkEnd w:id="893"/>
      <w:bookmarkEnd w:id="894"/>
    </w:p>
    <w:tbl>
      <w:tblPr>
        <w:tblStyle w:val="26"/>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tc>
        <w:tc>
          <w:tcPr>
            <w:tcW w:w="1682" w:type="dxa"/>
            <w:noWrap w:val="0"/>
            <w:vAlign w:val="center"/>
          </w:tcPr>
          <w:p>
            <w:pPr>
              <w:spacing w:line="360" w:lineRule="auto"/>
              <w:jc w:val="center"/>
              <w:rPr>
                <w:rFonts w:hint="eastAsia" w:ascii="宋体" w:hAnsi="宋体" w:eastAsia="宋体" w:cs="宋体"/>
                <w:bCs/>
                <w:color w:val="auto"/>
                <w:sz w:val="24"/>
                <w:szCs w:val="24"/>
                <w:highlight w:val="none"/>
              </w:rPr>
            </w:pPr>
          </w:p>
        </w:tc>
        <w:tc>
          <w:tcPr>
            <w:tcW w:w="1050"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tc>
        <w:tc>
          <w:tcPr>
            <w:tcW w:w="945" w:type="dxa"/>
            <w:noWrap w:val="0"/>
            <w:vAlign w:val="center"/>
          </w:tcPr>
          <w:p>
            <w:pPr>
              <w:spacing w:line="360" w:lineRule="auto"/>
              <w:rPr>
                <w:rFonts w:hint="eastAsia" w:ascii="宋体" w:hAnsi="宋体" w:eastAsia="宋体" w:cs="宋体"/>
                <w:bCs/>
                <w:color w:val="auto"/>
                <w:sz w:val="24"/>
                <w:szCs w:val="24"/>
                <w:highlight w:val="none"/>
              </w:rPr>
            </w:pPr>
          </w:p>
        </w:tc>
        <w:tc>
          <w:tcPr>
            <w:tcW w:w="945"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出生 日期</w:t>
            </w:r>
          </w:p>
        </w:tc>
        <w:tc>
          <w:tcPr>
            <w:tcW w:w="2727" w:type="dxa"/>
            <w:noWrap w:val="0"/>
            <w:vAlign w:val="center"/>
          </w:tcPr>
          <w:p>
            <w:pPr>
              <w:spacing w:line="360" w:lineRule="auto"/>
              <w:ind w:firstLine="360" w:firstLineChars="15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6"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毕业院校及专业</w:t>
            </w:r>
          </w:p>
        </w:tc>
        <w:tc>
          <w:tcPr>
            <w:tcW w:w="3677" w:type="dxa"/>
            <w:gridSpan w:val="3"/>
            <w:noWrap w:val="0"/>
            <w:vAlign w:val="center"/>
          </w:tcPr>
          <w:p>
            <w:pPr>
              <w:spacing w:line="360" w:lineRule="auto"/>
              <w:rPr>
                <w:rFonts w:hint="eastAsia" w:ascii="宋体" w:hAnsi="宋体" w:eastAsia="宋体" w:cs="宋体"/>
                <w:bCs/>
                <w:color w:val="auto"/>
                <w:sz w:val="24"/>
                <w:szCs w:val="24"/>
                <w:highlight w:val="none"/>
              </w:rPr>
            </w:pPr>
          </w:p>
        </w:tc>
        <w:tc>
          <w:tcPr>
            <w:tcW w:w="945" w:type="dxa"/>
            <w:noWrap w:val="0"/>
            <w:vAlign w:val="center"/>
          </w:tcPr>
          <w:p>
            <w:pPr>
              <w:spacing w:line="360" w:lineRule="auto"/>
              <w:ind w:left="-1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毕业 时间</w:t>
            </w:r>
          </w:p>
        </w:tc>
        <w:tc>
          <w:tcPr>
            <w:tcW w:w="2727" w:type="dxa"/>
            <w:noWrap w:val="0"/>
            <w:vAlign w:val="center"/>
          </w:tcPr>
          <w:p>
            <w:pPr>
              <w:spacing w:line="360" w:lineRule="auto"/>
              <w:ind w:left="4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96"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工作年限</w:t>
            </w:r>
          </w:p>
        </w:tc>
        <w:tc>
          <w:tcPr>
            <w:tcW w:w="7349" w:type="dxa"/>
            <w:gridSpan w:val="5"/>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6"/>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   间</w:t>
            </w:r>
          </w:p>
        </w:tc>
        <w:tc>
          <w:tcPr>
            <w:tcW w:w="4622" w:type="dxa"/>
            <w:gridSpan w:val="4"/>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参加过的项目名称及规模</w:t>
            </w:r>
          </w:p>
        </w:tc>
        <w:tc>
          <w:tcPr>
            <w:tcW w:w="2727"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noWrap w:val="0"/>
            <w:vAlign w:val="top"/>
          </w:tcPr>
          <w:p>
            <w:pPr>
              <w:spacing w:line="360" w:lineRule="auto"/>
              <w:rPr>
                <w:rFonts w:hint="eastAsia" w:ascii="宋体" w:hAnsi="宋体" w:eastAsia="宋体" w:cs="宋体"/>
                <w:bCs/>
                <w:color w:val="auto"/>
                <w:sz w:val="24"/>
                <w:szCs w:val="24"/>
                <w:highlight w:val="none"/>
              </w:rPr>
            </w:pPr>
          </w:p>
        </w:tc>
        <w:tc>
          <w:tcPr>
            <w:tcW w:w="4622" w:type="dxa"/>
            <w:gridSpan w:val="4"/>
            <w:noWrap w:val="0"/>
            <w:vAlign w:val="top"/>
          </w:tcPr>
          <w:p>
            <w:pPr>
              <w:spacing w:line="360" w:lineRule="auto"/>
              <w:rPr>
                <w:rFonts w:hint="eastAsia" w:ascii="宋体" w:hAnsi="宋体" w:eastAsia="宋体" w:cs="宋体"/>
                <w:bCs/>
                <w:color w:val="auto"/>
                <w:sz w:val="24"/>
                <w:szCs w:val="24"/>
                <w:highlight w:val="none"/>
              </w:rPr>
            </w:pPr>
          </w:p>
        </w:tc>
        <w:tc>
          <w:tcPr>
            <w:tcW w:w="2727" w:type="dxa"/>
            <w:noWrap w:val="0"/>
            <w:vAlign w:val="top"/>
          </w:tcPr>
          <w:p>
            <w:pPr>
              <w:spacing w:line="360" w:lineRule="auto"/>
              <w:rPr>
                <w:rFonts w:hint="eastAsia" w:ascii="宋体" w:hAnsi="宋体" w:eastAsia="宋体" w:cs="宋体"/>
                <w:bCs/>
                <w:color w:val="auto"/>
                <w:sz w:val="24"/>
                <w:szCs w:val="24"/>
                <w:highlight w:val="none"/>
              </w:rPr>
            </w:pPr>
          </w:p>
        </w:tc>
      </w:tr>
    </w:tbl>
    <w:p>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需随此表在</w:t>
      </w:r>
      <w:r>
        <w:rPr>
          <w:rFonts w:hint="eastAsia" w:ascii="宋体" w:hAnsi="宋体" w:eastAsia="宋体" w:cs="宋体"/>
          <w:bCs/>
          <w:color w:val="auto"/>
          <w:sz w:val="24"/>
          <w:szCs w:val="24"/>
          <w:highlight w:val="none"/>
          <w:lang w:eastAsia="zh-CN"/>
        </w:rPr>
        <w:t>磋商响应</w:t>
      </w:r>
      <w:r>
        <w:rPr>
          <w:rFonts w:hint="eastAsia" w:ascii="宋体" w:hAnsi="宋体" w:eastAsia="宋体" w:cs="宋体"/>
          <w:bCs/>
          <w:color w:val="auto"/>
          <w:sz w:val="24"/>
          <w:szCs w:val="24"/>
          <w:highlight w:val="none"/>
        </w:rPr>
        <w:t>文件中附上相关人员学历证明及相关业绩的复印件加盖公章。</w:t>
      </w:r>
    </w:p>
    <w:p>
      <w:pPr>
        <w:adjustRightInd w:val="0"/>
        <w:snapToGrid w:val="0"/>
        <w:spacing w:line="360" w:lineRule="auto"/>
        <w:ind w:firstLine="480" w:firstLineChars="200"/>
        <w:rPr>
          <w:rFonts w:hint="eastAsia" w:ascii="宋体" w:hAnsi="宋体" w:eastAsia="宋体" w:cs="宋体"/>
          <w:bCs/>
          <w:color w:val="auto"/>
          <w:sz w:val="24"/>
          <w:szCs w:val="24"/>
          <w:highlight w:val="none"/>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宋体" w:hAnsi="宋体" w:eastAsia="宋体" w:cs="宋体"/>
          <w:color w:val="auto"/>
          <w:sz w:val="24"/>
          <w:szCs w:val="24"/>
          <w:highlight w:val="none"/>
        </w:rPr>
      </w:pPr>
      <w:bookmarkStart w:id="895" w:name="_Toc3056"/>
      <w:bookmarkStart w:id="896" w:name="_Toc3451"/>
      <w:bookmarkStart w:id="897" w:name="_Toc21194"/>
      <w:bookmarkStart w:id="898" w:name="_Toc300"/>
      <w:bookmarkStart w:id="899" w:name="_Toc13495"/>
      <w:bookmarkStart w:id="900" w:name="_Toc31471"/>
      <w:bookmarkStart w:id="901" w:name="_Toc31326"/>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3"/>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21"/>
          <w:highlight w:val="none"/>
        </w:rPr>
      </w:pPr>
      <w:bookmarkStart w:id="902" w:name="_Toc21788"/>
      <w:bookmarkStart w:id="903" w:name="_Toc18224"/>
      <w:bookmarkStart w:id="904" w:name="_Toc7962"/>
      <w:r>
        <w:rPr>
          <w:rFonts w:hint="eastAsia" w:ascii="宋体" w:hAnsi="宋体" w:eastAsia="宋体" w:cs="宋体"/>
          <w:color w:val="auto"/>
          <w:sz w:val="32"/>
          <w:szCs w:val="32"/>
          <w:highlight w:val="none"/>
          <w:lang w:val="zh-CN"/>
        </w:rPr>
        <w:t>七、参与本项目主要人员表</w:t>
      </w:r>
      <w:bookmarkEnd w:id="895"/>
      <w:bookmarkEnd w:id="896"/>
      <w:bookmarkEnd w:id="897"/>
      <w:bookmarkEnd w:id="898"/>
      <w:bookmarkEnd w:id="899"/>
      <w:bookmarkEnd w:id="900"/>
      <w:bookmarkEnd w:id="901"/>
      <w:bookmarkEnd w:id="902"/>
      <w:bookmarkEnd w:id="903"/>
      <w:bookmarkEnd w:id="904"/>
    </w:p>
    <w:tbl>
      <w:tblPr>
        <w:tblStyle w:val="2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34"/>
        <w:gridCol w:w="1680"/>
        <w:gridCol w:w="1686"/>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0" w:leftChars="0" w:right="372" w:rightChars="133"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专业</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工作年限</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b/>
                <w:bCs/>
                <w:color w:val="auto"/>
                <w:sz w:val="24"/>
                <w:szCs w:val="24"/>
                <w:highlight w:val="none"/>
              </w:rPr>
            </w:pPr>
          </w:p>
        </w:tc>
      </w:tr>
    </w:tbl>
    <w:p>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注：本表所列人员必须为实际人员，</w:t>
      </w:r>
      <w:r>
        <w:rPr>
          <w:rFonts w:hint="eastAsia" w:ascii="宋体" w:hAnsi="宋体" w:eastAsia="宋体" w:cs="宋体"/>
          <w:bCs/>
          <w:color w:val="auto"/>
          <w:sz w:val="24"/>
          <w:szCs w:val="24"/>
          <w:highlight w:val="none"/>
          <w:lang w:eastAsia="zh-CN"/>
        </w:rPr>
        <w:t>并提供相关证书，</w:t>
      </w:r>
      <w:r>
        <w:rPr>
          <w:rFonts w:hint="eastAsia" w:ascii="宋体" w:hAnsi="宋体" w:eastAsia="宋体" w:cs="宋体"/>
          <w:bCs/>
          <w:color w:val="auto"/>
          <w:sz w:val="24"/>
          <w:szCs w:val="24"/>
          <w:highlight w:val="none"/>
        </w:rPr>
        <w:t>项目实施时必须本人到岗。</w:t>
      </w:r>
    </w:p>
    <w:p>
      <w:pPr>
        <w:adjustRightInd w:val="0"/>
        <w:snapToGrid w:val="0"/>
        <w:spacing w:line="360" w:lineRule="auto"/>
        <w:ind w:firstLine="480" w:firstLineChars="200"/>
        <w:rPr>
          <w:rFonts w:hint="eastAsia" w:ascii="宋体" w:hAnsi="宋体" w:eastAsia="宋体" w:cs="宋体"/>
          <w:bCs/>
          <w:color w:val="auto"/>
          <w:sz w:val="24"/>
          <w:szCs w:val="24"/>
          <w:highlight w:val="none"/>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sz w:val="32"/>
          <w:szCs w:val="21"/>
          <w:highlight w:val="none"/>
          <w:lang w:eastAsia="zh-CN"/>
        </w:rPr>
        <w:br w:type="page"/>
      </w:r>
    </w:p>
    <w:p>
      <w:pPr>
        <w:pStyle w:val="3"/>
        <w:keepNext w:val="0"/>
        <w:pageBreakBefore/>
        <w:numPr>
          <w:ilvl w:val="0"/>
          <w:numId w:val="0"/>
        </w:numPr>
        <w:tabs>
          <w:tab w:val="left" w:pos="1260"/>
        </w:tabs>
        <w:spacing w:line="360" w:lineRule="auto"/>
        <w:jc w:val="center"/>
        <w:rPr>
          <w:rFonts w:hint="eastAsia" w:ascii="宋体" w:hAnsi="宋体" w:eastAsia="宋体" w:cs="宋体"/>
          <w:color w:val="auto"/>
          <w:spacing w:val="0"/>
          <w:w w:val="100"/>
          <w:position w:val="0"/>
          <w:sz w:val="32"/>
          <w:szCs w:val="32"/>
          <w:highlight w:val="none"/>
        </w:rPr>
      </w:pPr>
      <w:bookmarkStart w:id="905" w:name="_Toc5117"/>
      <w:r>
        <w:rPr>
          <w:rFonts w:hint="eastAsia" w:ascii="宋体" w:hAnsi="宋体" w:eastAsia="宋体" w:cs="宋体"/>
          <w:color w:val="auto"/>
          <w:spacing w:val="0"/>
          <w:w w:val="100"/>
          <w:position w:val="0"/>
          <w:sz w:val="32"/>
          <w:szCs w:val="32"/>
          <w:highlight w:val="none"/>
          <w:lang w:val="en-US" w:eastAsia="zh-CN"/>
        </w:rPr>
        <w:t>八、</w:t>
      </w:r>
      <w:r>
        <w:rPr>
          <w:rFonts w:hint="eastAsia" w:ascii="宋体" w:hAnsi="宋体" w:eastAsia="宋体" w:cs="宋体"/>
          <w:color w:val="auto"/>
          <w:spacing w:val="0"/>
          <w:w w:val="100"/>
          <w:position w:val="0"/>
          <w:sz w:val="32"/>
          <w:szCs w:val="32"/>
          <w:highlight w:val="none"/>
        </w:rPr>
        <w:t>对本项目的理解</w:t>
      </w:r>
      <w:bookmarkEnd w:id="905"/>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供应商根据打分项自行编制。</w:t>
      </w:r>
    </w:p>
    <w:p>
      <w:pPr>
        <w:pStyle w:val="7"/>
        <w:numPr>
          <w:ilvl w:val="0"/>
          <w:numId w:val="0"/>
        </w:numPr>
        <w:rPr>
          <w:rFonts w:hint="eastAsia" w:ascii="宋体" w:hAnsi="宋体" w:eastAsia="宋体" w:cs="宋体"/>
          <w:color w:val="auto"/>
          <w:highlight w:val="none"/>
        </w:rPr>
      </w:pPr>
    </w:p>
    <w:p>
      <w:pPr>
        <w:rPr>
          <w:rFonts w:hint="eastAsia" w:ascii="宋体" w:hAnsi="宋体" w:eastAsia="宋体" w:cs="宋体"/>
          <w:color w:val="auto"/>
          <w:sz w:val="32"/>
          <w:szCs w:val="21"/>
          <w:highlight w:val="none"/>
          <w:lang w:val="en-US" w:eastAsia="zh-CN"/>
        </w:rPr>
      </w:pPr>
    </w:p>
    <w:p>
      <w:pPr>
        <w:pStyle w:val="3"/>
        <w:keepNext w:val="0"/>
        <w:pageBreakBefore/>
        <w:spacing w:line="360" w:lineRule="auto"/>
        <w:rPr>
          <w:rFonts w:hint="eastAsia" w:ascii="宋体" w:hAnsi="宋体" w:eastAsia="宋体" w:cs="宋体"/>
          <w:color w:val="auto"/>
          <w:sz w:val="32"/>
          <w:szCs w:val="21"/>
          <w:highlight w:val="none"/>
          <w:lang w:val="zh-CN"/>
        </w:rPr>
      </w:pPr>
      <w:bookmarkStart w:id="906" w:name="_Toc18141"/>
      <w:r>
        <w:rPr>
          <w:rFonts w:hint="eastAsia" w:ascii="宋体" w:hAnsi="宋体" w:eastAsia="宋体" w:cs="宋体"/>
          <w:color w:val="auto"/>
          <w:sz w:val="32"/>
          <w:szCs w:val="21"/>
          <w:highlight w:val="none"/>
          <w:lang w:val="en-US" w:eastAsia="zh-CN"/>
        </w:rPr>
        <w:t>九</w:t>
      </w:r>
      <w:r>
        <w:rPr>
          <w:rFonts w:hint="eastAsia" w:ascii="宋体" w:hAnsi="宋体" w:eastAsia="宋体" w:cs="宋体"/>
          <w:color w:val="auto"/>
          <w:sz w:val="32"/>
          <w:szCs w:val="21"/>
          <w:highlight w:val="none"/>
          <w:lang w:val="zh-CN"/>
        </w:rPr>
        <w:t>、技术方案</w:t>
      </w:r>
      <w:bookmarkEnd w:id="906"/>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供应商根据打分项自行编制。</w:t>
      </w:r>
    </w:p>
    <w:bookmarkEnd w:id="870"/>
    <w:bookmarkEnd w:id="871"/>
    <w:bookmarkEnd w:id="872"/>
    <w:bookmarkEnd w:id="873"/>
    <w:p>
      <w:pPr>
        <w:rPr>
          <w:rStyle w:val="58"/>
          <w:rFonts w:hint="eastAsia" w:ascii="宋体" w:hAnsi="宋体" w:eastAsia="宋体" w:cs="宋体"/>
          <w:color w:val="auto"/>
          <w:sz w:val="32"/>
          <w:szCs w:val="21"/>
          <w:highlight w:val="none"/>
        </w:rPr>
      </w:pPr>
      <w:bookmarkStart w:id="907" w:name="_Toc2486"/>
      <w:r>
        <w:rPr>
          <w:rStyle w:val="58"/>
          <w:rFonts w:hint="eastAsia" w:ascii="宋体" w:hAnsi="宋体" w:eastAsia="宋体" w:cs="宋体"/>
          <w:color w:val="auto"/>
          <w:sz w:val="32"/>
          <w:szCs w:val="21"/>
          <w:highlight w:val="none"/>
        </w:rPr>
        <w:br w:type="page"/>
      </w:r>
    </w:p>
    <w:p>
      <w:pPr>
        <w:pStyle w:val="3"/>
        <w:keepNext w:val="0"/>
        <w:pageBreakBefore/>
        <w:spacing w:line="360" w:lineRule="auto"/>
        <w:rPr>
          <w:rFonts w:hint="eastAsia" w:ascii="宋体" w:hAnsi="宋体" w:eastAsia="宋体" w:cs="宋体"/>
          <w:color w:val="auto"/>
          <w:sz w:val="32"/>
          <w:szCs w:val="21"/>
          <w:highlight w:val="none"/>
          <w:lang w:val="zh-CN" w:eastAsia="zh-CN"/>
        </w:rPr>
      </w:pPr>
      <w:bookmarkStart w:id="908" w:name="_Toc21220"/>
      <w:r>
        <w:rPr>
          <w:rFonts w:hint="eastAsia" w:ascii="宋体" w:hAnsi="宋体" w:eastAsia="宋体" w:cs="宋体"/>
          <w:color w:val="auto"/>
          <w:sz w:val="32"/>
          <w:szCs w:val="21"/>
          <w:highlight w:val="none"/>
          <w:lang w:val="en-US" w:eastAsia="zh-CN"/>
        </w:rPr>
        <w:t>十</w:t>
      </w:r>
      <w:r>
        <w:rPr>
          <w:rFonts w:hint="eastAsia" w:ascii="宋体" w:hAnsi="宋体" w:eastAsia="宋体" w:cs="宋体"/>
          <w:color w:val="auto"/>
          <w:sz w:val="32"/>
          <w:szCs w:val="21"/>
          <w:highlight w:val="none"/>
          <w:lang w:val="zh-CN"/>
        </w:rPr>
        <w:t>、</w:t>
      </w:r>
      <w:bookmarkEnd w:id="907"/>
      <w:r>
        <w:rPr>
          <w:rFonts w:hint="eastAsia" w:ascii="宋体" w:hAnsi="宋体" w:eastAsia="宋体" w:cs="宋体"/>
          <w:color w:val="auto"/>
          <w:sz w:val="32"/>
          <w:szCs w:val="21"/>
          <w:highlight w:val="none"/>
          <w:lang w:val="zh-CN" w:eastAsia="zh-CN"/>
        </w:rPr>
        <w:t>质量保证</w:t>
      </w:r>
      <w:bookmarkEnd w:id="908"/>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供应商根据打分项自行编制。</w:t>
      </w:r>
    </w:p>
    <w:p>
      <w:pPr>
        <w:spacing w:line="360" w:lineRule="auto"/>
        <w:rPr>
          <w:rFonts w:hint="eastAsia" w:ascii="宋体" w:hAnsi="宋体" w:eastAsia="宋体" w:cs="宋体"/>
          <w:color w:val="auto"/>
          <w:spacing w:val="0"/>
          <w:w w:val="100"/>
          <w:position w:val="0"/>
          <w:highlight w:val="none"/>
        </w:rPr>
      </w:pPr>
    </w:p>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Pr>
        <w:pStyle w:val="3"/>
        <w:keepNext w:val="0"/>
        <w:pageBreakBefore/>
        <w:spacing w:line="360" w:lineRule="auto"/>
        <w:rPr>
          <w:rStyle w:val="58"/>
          <w:rFonts w:hint="eastAsia" w:ascii="宋体" w:hAnsi="宋体" w:eastAsia="宋体" w:cs="宋体"/>
          <w:b/>
          <w:color w:val="auto"/>
          <w:spacing w:val="0"/>
          <w:w w:val="100"/>
          <w:kern w:val="2"/>
          <w:position w:val="0"/>
          <w:sz w:val="32"/>
          <w:szCs w:val="21"/>
          <w:highlight w:val="none"/>
          <w:lang w:val="zh-CN" w:eastAsia="zh-CN" w:bidi="ar-SA"/>
        </w:rPr>
      </w:pPr>
      <w:bookmarkStart w:id="909" w:name="_Toc31162"/>
      <w:bookmarkStart w:id="910" w:name="_Toc495681542"/>
      <w:bookmarkStart w:id="911" w:name="_Toc1083"/>
      <w:bookmarkStart w:id="912" w:name="_Toc12206"/>
      <w:bookmarkStart w:id="913" w:name="_Toc475451804"/>
      <w:bookmarkStart w:id="914" w:name="_Toc29583"/>
      <w:bookmarkStart w:id="915" w:name="_Toc27777"/>
      <w:bookmarkStart w:id="916" w:name="_Toc476747606"/>
      <w:bookmarkStart w:id="917" w:name="_Toc25899"/>
      <w:bookmarkStart w:id="918" w:name="_Toc27697"/>
      <w:bookmarkStart w:id="919" w:name="_Toc495908057"/>
      <w:bookmarkStart w:id="920" w:name="_Toc495681415"/>
      <w:bookmarkStart w:id="921" w:name="_Toc14115"/>
      <w:bookmarkStart w:id="922" w:name="_Toc495681261"/>
      <w:bookmarkStart w:id="923" w:name="_Toc475451557"/>
      <w:bookmarkStart w:id="924" w:name="_Toc21252"/>
      <w:bookmarkStart w:id="925" w:name="_Toc473056008"/>
      <w:bookmarkStart w:id="926" w:name="_Toc10058"/>
      <w:bookmarkStart w:id="927" w:name="_Toc8978"/>
      <w:bookmarkStart w:id="928" w:name="_Toc21908"/>
      <w:bookmarkStart w:id="929" w:name="_Toc4687"/>
      <w:r>
        <w:rPr>
          <w:rStyle w:val="58"/>
          <w:rFonts w:hint="eastAsia" w:ascii="宋体" w:hAnsi="宋体" w:eastAsia="宋体" w:cs="宋体"/>
          <w:b/>
          <w:color w:val="auto"/>
          <w:spacing w:val="0"/>
          <w:w w:val="100"/>
          <w:kern w:val="2"/>
          <w:position w:val="0"/>
          <w:sz w:val="32"/>
          <w:szCs w:val="21"/>
          <w:highlight w:val="none"/>
          <w:lang w:val="zh-CN" w:eastAsia="zh-CN" w:bidi="ar-SA"/>
        </w:rPr>
        <w:t>十</w:t>
      </w:r>
      <w:r>
        <w:rPr>
          <w:rStyle w:val="58"/>
          <w:rFonts w:hint="eastAsia" w:ascii="宋体" w:hAnsi="宋体" w:eastAsia="宋体" w:cs="宋体"/>
          <w:b/>
          <w:color w:val="auto"/>
          <w:spacing w:val="0"/>
          <w:w w:val="100"/>
          <w:kern w:val="2"/>
          <w:position w:val="0"/>
          <w:sz w:val="32"/>
          <w:szCs w:val="21"/>
          <w:highlight w:val="none"/>
          <w:lang w:val="en-US" w:eastAsia="zh-CN" w:bidi="ar-SA"/>
        </w:rPr>
        <w:t>一</w:t>
      </w:r>
      <w:r>
        <w:rPr>
          <w:rStyle w:val="58"/>
          <w:rFonts w:hint="eastAsia" w:ascii="宋体" w:hAnsi="宋体" w:eastAsia="宋体" w:cs="宋体"/>
          <w:b/>
          <w:color w:val="auto"/>
          <w:spacing w:val="0"/>
          <w:w w:val="100"/>
          <w:kern w:val="2"/>
          <w:position w:val="0"/>
          <w:sz w:val="32"/>
          <w:szCs w:val="21"/>
          <w:highlight w:val="none"/>
          <w:lang w:val="zh-CN" w:eastAsia="zh-CN" w:bidi="ar-SA"/>
        </w:rPr>
        <w:t>、近年业绩的有关证明材料</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tbl>
      <w:tblPr>
        <w:tblStyle w:val="26"/>
        <w:tblW w:w="91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109"/>
        <w:gridCol w:w="2025"/>
        <w:gridCol w:w="2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vAlign w:val="center"/>
          </w:tcPr>
          <w:p>
            <w:pPr>
              <w:spacing w:line="360" w:lineRule="auto"/>
              <w:ind w:left="0" w:leftChars="0" w:firstLine="0" w:firstLineChars="0"/>
              <w:jc w:val="cente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序号</w:t>
            </w:r>
          </w:p>
        </w:tc>
        <w:tc>
          <w:tcPr>
            <w:tcW w:w="1620" w:type="dxa"/>
            <w:vAlign w:val="center"/>
          </w:tcPr>
          <w:p>
            <w:pPr>
              <w:spacing w:line="360" w:lineRule="auto"/>
              <w:ind w:left="0" w:leftChars="0" w:firstLine="0" w:firstLineChars="0"/>
              <w:jc w:val="cente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用户名称</w:t>
            </w:r>
          </w:p>
        </w:tc>
        <w:tc>
          <w:tcPr>
            <w:tcW w:w="2109" w:type="dxa"/>
            <w:vAlign w:val="center"/>
          </w:tcPr>
          <w:p>
            <w:pPr>
              <w:spacing w:line="360" w:lineRule="auto"/>
              <w:ind w:left="0" w:leftChars="0" w:firstLine="0" w:firstLineChars="0"/>
              <w:jc w:val="cente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项目名称</w:t>
            </w:r>
          </w:p>
        </w:tc>
        <w:tc>
          <w:tcPr>
            <w:tcW w:w="2025" w:type="dxa"/>
            <w:vAlign w:val="center"/>
          </w:tcPr>
          <w:p>
            <w:pPr>
              <w:spacing w:line="360" w:lineRule="auto"/>
              <w:ind w:left="0" w:leftChars="0" w:firstLine="0" w:firstLineChars="0"/>
              <w:jc w:val="cente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合同金额</w:t>
            </w:r>
          </w:p>
        </w:tc>
        <w:tc>
          <w:tcPr>
            <w:tcW w:w="2481" w:type="dxa"/>
            <w:vAlign w:val="center"/>
          </w:tcPr>
          <w:p>
            <w:pPr>
              <w:spacing w:line="360" w:lineRule="auto"/>
              <w:ind w:left="0" w:leftChars="0" w:firstLine="0" w:firstLineChars="0"/>
              <w:jc w:val="cente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合同签订时间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162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109"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025"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481" w:type="dxa"/>
            <w:vAlign w:val="center"/>
          </w:tcPr>
          <w:p>
            <w:pPr>
              <w:spacing w:line="360" w:lineRule="auto"/>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162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109"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025"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481" w:type="dxa"/>
            <w:vAlign w:val="center"/>
          </w:tcPr>
          <w:p>
            <w:pPr>
              <w:spacing w:line="360" w:lineRule="auto"/>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162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109"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025"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481" w:type="dxa"/>
            <w:vAlign w:val="center"/>
          </w:tcPr>
          <w:p>
            <w:pPr>
              <w:spacing w:line="360" w:lineRule="auto"/>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162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109"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025"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481" w:type="dxa"/>
            <w:vAlign w:val="center"/>
          </w:tcPr>
          <w:p>
            <w:pPr>
              <w:spacing w:line="360" w:lineRule="auto"/>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162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109"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025"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481" w:type="dxa"/>
            <w:vAlign w:val="center"/>
          </w:tcPr>
          <w:p>
            <w:pPr>
              <w:spacing w:line="360" w:lineRule="auto"/>
              <w:rPr>
                <w:rFonts w:hint="eastAsia" w:ascii="宋体" w:hAnsi="宋体" w:eastAsia="宋体" w:cs="宋体"/>
                <w:color w:val="auto"/>
                <w:spacing w:val="0"/>
                <w:w w:val="10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1620"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109"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025" w:type="dxa"/>
            <w:vAlign w:val="center"/>
          </w:tcPr>
          <w:p>
            <w:pPr>
              <w:spacing w:line="360" w:lineRule="auto"/>
              <w:rPr>
                <w:rFonts w:hint="eastAsia" w:ascii="宋体" w:hAnsi="宋体" w:eastAsia="宋体" w:cs="宋体"/>
                <w:color w:val="auto"/>
                <w:spacing w:val="0"/>
                <w:w w:val="100"/>
                <w:position w:val="0"/>
                <w:sz w:val="24"/>
                <w:szCs w:val="24"/>
                <w:highlight w:val="none"/>
              </w:rPr>
            </w:pPr>
          </w:p>
        </w:tc>
        <w:tc>
          <w:tcPr>
            <w:tcW w:w="2481" w:type="dxa"/>
            <w:vAlign w:val="center"/>
          </w:tcPr>
          <w:p>
            <w:pPr>
              <w:spacing w:line="360" w:lineRule="auto"/>
              <w:rPr>
                <w:rFonts w:hint="eastAsia" w:ascii="宋体" w:hAnsi="宋体" w:eastAsia="宋体" w:cs="宋体"/>
                <w:color w:val="auto"/>
                <w:spacing w:val="0"/>
                <w:w w:val="100"/>
                <w:position w:val="0"/>
                <w:sz w:val="24"/>
                <w:szCs w:val="24"/>
                <w:highlight w:val="none"/>
              </w:rPr>
            </w:pPr>
          </w:p>
        </w:tc>
      </w:tr>
    </w:tbl>
    <w:p>
      <w:pPr>
        <w:spacing w:line="360" w:lineRule="auto"/>
        <w:rPr>
          <w:rFonts w:hint="eastAsia" w:ascii="宋体" w:hAnsi="宋体" w:eastAsia="宋体" w:cs="宋体"/>
          <w:color w:val="auto"/>
          <w:spacing w:val="0"/>
          <w:w w:val="100"/>
          <w:position w:val="0"/>
          <w:highlight w:val="none"/>
        </w:rPr>
      </w:pPr>
    </w:p>
    <w:p>
      <w:pPr>
        <w:autoSpaceDE w:val="0"/>
        <w:autoSpaceDN w:val="0"/>
        <w:adjustRightInd w:val="0"/>
        <w:spacing w:line="360" w:lineRule="auto"/>
        <w:ind w:firstLine="480" w:firstLineChars="200"/>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w w:val="100"/>
          <w:position w:val="0"/>
          <w:sz w:val="24"/>
          <w:szCs w:val="24"/>
          <w:highlight w:val="none"/>
          <w:lang w:val="zh-CN"/>
        </w:rPr>
        <w:t>说明：</w:t>
      </w:r>
    </w:p>
    <w:p>
      <w:pPr>
        <w:autoSpaceDE w:val="0"/>
        <w:autoSpaceDN w:val="0"/>
        <w:adjustRightInd w:val="0"/>
        <w:spacing w:line="360" w:lineRule="auto"/>
        <w:ind w:firstLine="480" w:firstLineChars="200"/>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w w:val="100"/>
          <w:position w:val="0"/>
          <w:sz w:val="24"/>
          <w:szCs w:val="24"/>
          <w:highlight w:val="none"/>
          <w:lang w:val="zh-CN"/>
        </w:rPr>
        <w:t xml:space="preserve">1.本表后附合同复印件，合同签订时间为准； </w:t>
      </w:r>
    </w:p>
    <w:p>
      <w:pPr>
        <w:autoSpaceDE w:val="0"/>
        <w:autoSpaceDN w:val="0"/>
        <w:adjustRightInd w:val="0"/>
        <w:spacing w:line="360" w:lineRule="auto"/>
        <w:ind w:firstLine="480" w:firstLineChars="200"/>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w w:val="100"/>
          <w:position w:val="0"/>
          <w:sz w:val="24"/>
          <w:szCs w:val="24"/>
          <w:highlight w:val="none"/>
          <w:lang w:val="zh-CN"/>
        </w:rPr>
        <w:t>2.供应商应如实列出以上情况，如有隐瞒，一经查实将导致其磋商响应文件被拒绝。</w:t>
      </w:r>
    </w:p>
    <w:p>
      <w:pPr>
        <w:autoSpaceDE w:val="0"/>
        <w:autoSpaceDN w:val="0"/>
        <w:adjustRightInd w:val="0"/>
        <w:spacing w:line="360" w:lineRule="auto"/>
        <w:ind w:firstLine="480" w:firstLineChars="200"/>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w w:val="100"/>
          <w:position w:val="0"/>
          <w:sz w:val="24"/>
          <w:szCs w:val="24"/>
          <w:highlight w:val="none"/>
          <w:lang w:val="zh-CN"/>
        </w:rPr>
        <w:t>3.未按上述要求提供、填写的，评审时不予以考虑。</w:t>
      </w:r>
    </w:p>
    <w:p>
      <w:pPr>
        <w:spacing w:line="360" w:lineRule="auto"/>
        <w:ind w:firstLine="1920" w:firstLineChars="800"/>
        <w:rPr>
          <w:rFonts w:hint="eastAsia" w:ascii="宋体" w:hAnsi="宋体" w:eastAsia="宋体" w:cs="宋体"/>
          <w:color w:val="auto"/>
          <w:spacing w:val="0"/>
          <w:w w:val="100"/>
          <w:position w:val="0"/>
          <w:sz w:val="24"/>
          <w:szCs w:val="24"/>
          <w:highlight w:val="none"/>
        </w:rPr>
      </w:pPr>
    </w:p>
    <w:p>
      <w:pPr>
        <w:spacing w:line="360" w:lineRule="auto"/>
        <w:ind w:firstLine="3360" w:firstLineChars="1400"/>
        <w:rPr>
          <w:rFonts w:hint="eastAsia" w:ascii="宋体" w:hAnsi="宋体" w:eastAsia="宋体" w:cs="宋体"/>
          <w:color w:val="auto"/>
          <w:spacing w:val="0"/>
          <w:w w:val="100"/>
          <w:position w:val="0"/>
          <w:sz w:val="24"/>
          <w:szCs w:val="24"/>
          <w:highlight w:val="none"/>
        </w:rPr>
      </w:pPr>
      <w:bookmarkStart w:id="930" w:name="_Toc511298216"/>
      <w:bookmarkStart w:id="931" w:name="_Toc495908059"/>
      <w:bookmarkStart w:id="932" w:name="_Toc16033"/>
      <w:bookmarkStart w:id="933" w:name="_Toc495681544"/>
      <w:bookmarkStart w:id="934" w:name="_Toc495681417"/>
      <w:bookmarkStart w:id="935" w:name="_Toc495681263"/>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法定代表人或授权代表（签字或盖章）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pStyle w:val="3"/>
        <w:spacing w:line="360" w:lineRule="auto"/>
        <w:rPr>
          <w:rFonts w:hint="eastAsia" w:ascii="宋体" w:hAnsi="宋体" w:eastAsia="宋体" w:cs="宋体"/>
          <w:color w:val="auto"/>
          <w:spacing w:val="0"/>
          <w:w w:val="100"/>
          <w:position w:val="0"/>
          <w:szCs w:val="22"/>
          <w:highlight w:val="none"/>
          <w:lang w:val="zh-CN"/>
        </w:rPr>
      </w:pPr>
      <w:r>
        <w:rPr>
          <w:rFonts w:hint="eastAsia" w:ascii="宋体" w:hAnsi="宋体" w:eastAsia="宋体" w:cs="宋体"/>
          <w:color w:val="auto"/>
          <w:spacing w:val="0"/>
          <w:w w:val="100"/>
          <w:position w:val="0"/>
          <w:highlight w:val="none"/>
        </w:rPr>
        <w:br w:type="page"/>
      </w:r>
      <w:bookmarkStart w:id="936" w:name="_Toc3166"/>
      <w:bookmarkStart w:id="937" w:name="_Toc26608"/>
      <w:bookmarkStart w:id="938" w:name="_Toc19979"/>
      <w:bookmarkStart w:id="939" w:name="_Toc24029"/>
      <w:bookmarkStart w:id="940" w:name="_Toc14494"/>
      <w:bookmarkStart w:id="941" w:name="_Toc14896"/>
      <w:bookmarkStart w:id="942" w:name="_Toc23630"/>
      <w:bookmarkStart w:id="943" w:name="_Toc19798"/>
      <w:bookmarkStart w:id="944" w:name="_Toc6195"/>
      <w:bookmarkStart w:id="945" w:name="_Toc14636"/>
      <w:bookmarkStart w:id="946" w:name="_Toc9207"/>
      <w:bookmarkStart w:id="947" w:name="_Toc22060"/>
      <w:r>
        <w:rPr>
          <w:rFonts w:hint="eastAsia" w:ascii="宋体" w:hAnsi="宋体" w:eastAsia="宋体" w:cs="宋体"/>
          <w:color w:val="auto"/>
          <w:spacing w:val="0"/>
          <w:w w:val="100"/>
          <w:position w:val="0"/>
          <w:sz w:val="32"/>
          <w:szCs w:val="24"/>
          <w:highlight w:val="none"/>
          <w:lang w:val="zh-CN"/>
        </w:rPr>
        <w:t>十</w:t>
      </w:r>
      <w:r>
        <w:rPr>
          <w:rFonts w:hint="eastAsia" w:ascii="宋体" w:hAnsi="宋体" w:eastAsia="宋体" w:cs="宋体"/>
          <w:color w:val="auto"/>
          <w:spacing w:val="0"/>
          <w:w w:val="100"/>
          <w:position w:val="0"/>
          <w:sz w:val="32"/>
          <w:szCs w:val="24"/>
          <w:highlight w:val="none"/>
          <w:lang w:val="en-US" w:eastAsia="zh-CN"/>
        </w:rPr>
        <w:t>二</w:t>
      </w:r>
      <w:r>
        <w:rPr>
          <w:rFonts w:hint="eastAsia" w:ascii="宋体" w:hAnsi="宋体" w:eastAsia="宋体" w:cs="宋体"/>
          <w:color w:val="auto"/>
          <w:spacing w:val="0"/>
          <w:w w:val="100"/>
          <w:position w:val="0"/>
          <w:sz w:val="32"/>
          <w:szCs w:val="24"/>
          <w:highlight w:val="none"/>
          <w:lang w:val="zh-CN"/>
        </w:rPr>
        <w:t>、</w:t>
      </w:r>
      <w:bookmarkEnd w:id="930"/>
      <w:r>
        <w:rPr>
          <w:rFonts w:hint="eastAsia" w:ascii="宋体" w:hAnsi="宋体" w:eastAsia="宋体" w:cs="宋体"/>
          <w:color w:val="auto"/>
          <w:spacing w:val="0"/>
          <w:w w:val="100"/>
          <w:position w:val="0"/>
          <w:sz w:val="32"/>
          <w:szCs w:val="24"/>
          <w:highlight w:val="none"/>
          <w:lang w:val="zh-CN"/>
        </w:rPr>
        <w:t>供应商企业关系关联承诺书</w:t>
      </w:r>
      <w:bookmarkEnd w:id="936"/>
      <w:bookmarkEnd w:id="937"/>
      <w:bookmarkEnd w:id="938"/>
      <w:bookmarkEnd w:id="939"/>
      <w:bookmarkEnd w:id="940"/>
      <w:bookmarkEnd w:id="941"/>
      <w:bookmarkEnd w:id="942"/>
      <w:bookmarkEnd w:id="943"/>
      <w:bookmarkEnd w:id="944"/>
      <w:bookmarkEnd w:id="945"/>
      <w:bookmarkEnd w:id="946"/>
      <w:bookmarkEnd w:id="947"/>
    </w:p>
    <w:p>
      <w:pPr>
        <w:spacing w:line="360" w:lineRule="auto"/>
        <w:rPr>
          <w:rFonts w:hint="eastAsia" w:ascii="宋体" w:hAnsi="宋体" w:eastAsia="宋体" w:cs="宋体"/>
          <w:color w:val="auto"/>
          <w:spacing w:val="0"/>
          <w:w w:val="100"/>
          <w:position w:val="0"/>
          <w:sz w:val="24"/>
          <w:szCs w:val="24"/>
          <w:highlight w:val="none"/>
          <w:u w:val="single"/>
          <w:lang w:eastAsia="zh-CN"/>
        </w:rPr>
      </w:pPr>
      <w:r>
        <w:rPr>
          <w:rFonts w:hint="eastAsia" w:ascii="宋体" w:hAnsi="宋体" w:eastAsia="宋体" w:cs="宋体"/>
          <w:color w:val="auto"/>
          <w:spacing w:val="0"/>
          <w:w w:val="100"/>
          <w:position w:val="0"/>
          <w:sz w:val="24"/>
          <w:szCs w:val="24"/>
          <w:highlight w:val="none"/>
          <w:u w:val="none"/>
        </w:rPr>
        <w:t>致</w:t>
      </w:r>
      <w:r>
        <w:rPr>
          <w:rFonts w:hint="eastAsia" w:ascii="宋体" w:hAnsi="宋体" w:eastAsia="宋体" w:cs="宋体"/>
          <w:color w:val="auto"/>
          <w:spacing w:val="0"/>
          <w:w w:val="100"/>
          <w:position w:val="0"/>
          <w:sz w:val="24"/>
          <w:szCs w:val="24"/>
          <w:highlight w:val="none"/>
          <w:u w:val="none"/>
          <w:lang w:eastAsia="zh-CN"/>
        </w:rPr>
        <w:t>：</w:t>
      </w:r>
      <w:r>
        <w:rPr>
          <w:rFonts w:hint="eastAsia" w:ascii="宋体" w:hAnsi="宋体" w:eastAsia="宋体" w:cs="宋体"/>
          <w:color w:val="auto"/>
          <w:spacing w:val="0"/>
          <w:w w:val="100"/>
          <w:position w:val="0"/>
          <w:sz w:val="24"/>
          <w:szCs w:val="24"/>
          <w:highlight w:val="none"/>
          <w:u w:val="single"/>
        </w:rPr>
        <w:t xml:space="preserve">     （采购人名称）    </w:t>
      </w:r>
      <w:r>
        <w:rPr>
          <w:rFonts w:hint="eastAsia" w:ascii="宋体" w:hAnsi="宋体" w:eastAsia="宋体" w:cs="宋体"/>
          <w:color w:val="auto"/>
          <w:spacing w:val="0"/>
          <w:w w:val="100"/>
          <w:position w:val="0"/>
          <w:sz w:val="24"/>
          <w:szCs w:val="24"/>
          <w:highlight w:val="none"/>
          <w:u w:val="singl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kern w:val="0"/>
          <w:position w:val="0"/>
          <w:sz w:val="24"/>
          <w:szCs w:val="24"/>
          <w:highlight w:val="none"/>
          <w:lang w:val="en-US" w:eastAsia="zh-CN" w:bidi="ar"/>
        </w:rPr>
      </w:pPr>
      <w:r>
        <w:rPr>
          <w:rFonts w:hint="eastAsia" w:ascii="宋体" w:hAnsi="宋体" w:eastAsia="宋体" w:cs="宋体"/>
          <w:color w:val="auto"/>
          <w:spacing w:val="0"/>
          <w:w w:val="100"/>
          <w:kern w:val="0"/>
          <w:position w:val="0"/>
          <w:sz w:val="24"/>
          <w:szCs w:val="24"/>
          <w:highlight w:val="none"/>
          <w:lang w:val="en-US" w:eastAsia="zh-CN" w:bidi="ar"/>
        </w:rPr>
        <w:t>我方作为</w:t>
      </w:r>
      <w:r>
        <w:rPr>
          <w:rFonts w:hint="eastAsia" w:ascii="宋体" w:hAnsi="宋体" w:eastAsia="宋体" w:cs="宋体"/>
          <w:color w:val="auto"/>
          <w:spacing w:val="0"/>
          <w:w w:val="100"/>
          <w:kern w:val="0"/>
          <w:position w:val="0"/>
          <w:sz w:val="24"/>
          <w:szCs w:val="24"/>
          <w:highlight w:val="none"/>
          <w:u w:val="single"/>
          <w:lang w:val="en-US" w:eastAsia="zh-CN" w:bidi="ar"/>
        </w:rPr>
        <w:t xml:space="preserve">         （项目名称）         </w:t>
      </w:r>
      <w:r>
        <w:rPr>
          <w:rFonts w:hint="eastAsia" w:ascii="宋体" w:hAnsi="宋体" w:eastAsia="宋体" w:cs="宋体"/>
          <w:color w:val="auto"/>
          <w:spacing w:val="0"/>
          <w:w w:val="100"/>
          <w:kern w:val="0"/>
          <w:position w:val="0"/>
          <w:sz w:val="24"/>
          <w:szCs w:val="24"/>
          <w:highlight w:val="none"/>
          <w:lang w:val="en-US" w:eastAsia="zh-CN" w:bidi="ar"/>
        </w:rPr>
        <w:t>（项目编号：</w:t>
      </w:r>
      <w:r>
        <w:rPr>
          <w:rFonts w:hint="eastAsia" w:ascii="宋体" w:hAnsi="宋体" w:eastAsia="宋体" w:cs="宋体"/>
          <w:color w:val="auto"/>
          <w:spacing w:val="0"/>
          <w:w w:val="100"/>
          <w:kern w:val="0"/>
          <w:position w:val="0"/>
          <w:sz w:val="24"/>
          <w:szCs w:val="24"/>
          <w:highlight w:val="none"/>
          <w:u w:val="single"/>
          <w:lang w:val="en-US" w:eastAsia="zh-CN" w:bidi="ar"/>
        </w:rPr>
        <w:t xml:space="preserve">          </w:t>
      </w:r>
      <w:r>
        <w:rPr>
          <w:rFonts w:hint="eastAsia" w:ascii="宋体" w:hAnsi="宋体" w:eastAsia="宋体" w:cs="宋体"/>
          <w:color w:val="auto"/>
          <w:spacing w:val="0"/>
          <w:w w:val="100"/>
          <w:kern w:val="0"/>
          <w:position w:val="0"/>
          <w:sz w:val="24"/>
          <w:szCs w:val="24"/>
          <w:highlight w:val="none"/>
          <w:lang w:val="en-US" w:eastAsia="zh-CN" w:bidi="ar"/>
        </w:rPr>
        <w:t>）的供应商，在此郑重声明：</w:t>
      </w:r>
    </w:p>
    <w:p>
      <w:pPr>
        <w:autoSpaceDE w:val="0"/>
        <w:autoSpaceDN w:val="0"/>
        <w:adjustRightInd w:val="0"/>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rPr>
        <w:t>供应商在本项目中，不存在与其它供应商负责人为同一人，有控股、管理等关联关系承诺。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kern w:val="0"/>
          <w:position w:val="0"/>
          <w:sz w:val="24"/>
          <w:szCs w:val="24"/>
          <w:highlight w:val="none"/>
          <w:lang w:val="en-US" w:eastAsia="zh-CN" w:bidi="ar"/>
        </w:rPr>
      </w:pPr>
      <w:r>
        <w:rPr>
          <w:rFonts w:hint="eastAsia" w:ascii="宋体" w:hAnsi="宋体" w:eastAsia="宋体" w:cs="宋体"/>
          <w:color w:val="auto"/>
          <w:spacing w:val="0"/>
          <w:w w:val="100"/>
          <w:kern w:val="0"/>
          <w:position w:val="0"/>
          <w:sz w:val="24"/>
          <w:szCs w:val="24"/>
          <w:highlight w:val="none"/>
          <w:lang w:val="en-US" w:eastAsia="zh-CN" w:bidi="ar"/>
        </w:rPr>
        <w:t>2、我方未为本项目提供整体设计、规范编制或者项目管理、监理、检测等服务。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kern w:val="0"/>
          <w:position w:val="0"/>
          <w:sz w:val="24"/>
          <w:szCs w:val="24"/>
          <w:highlight w:val="none"/>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kern w:val="0"/>
          <w:position w:val="0"/>
          <w:sz w:val="24"/>
          <w:szCs w:val="24"/>
          <w:highlight w:val="none"/>
          <w:lang w:val="en-US" w:eastAsia="zh-CN" w:bidi="ar"/>
        </w:rPr>
        <w:t>特此声明。</w:t>
      </w:r>
    </w:p>
    <w:p>
      <w:pPr>
        <w:autoSpaceDE w:val="0"/>
        <w:autoSpaceDN w:val="0"/>
        <w:adjustRightInd w:val="0"/>
        <w:spacing w:line="360" w:lineRule="auto"/>
        <w:ind w:firstLine="480" w:firstLineChars="200"/>
        <w:rPr>
          <w:rFonts w:hint="eastAsia" w:ascii="宋体" w:hAnsi="宋体" w:eastAsia="宋体" w:cs="宋体"/>
          <w:color w:val="auto"/>
          <w:spacing w:val="0"/>
          <w:w w:val="100"/>
          <w:position w:val="0"/>
          <w:sz w:val="24"/>
          <w:szCs w:val="24"/>
          <w:highlight w:val="none"/>
        </w:rPr>
      </w:pPr>
    </w:p>
    <w:p>
      <w:pPr>
        <w:autoSpaceDE w:val="0"/>
        <w:autoSpaceDN w:val="0"/>
        <w:adjustRightInd w:val="0"/>
        <w:spacing w:line="360" w:lineRule="auto"/>
        <w:rPr>
          <w:rFonts w:hint="eastAsia" w:ascii="宋体" w:hAnsi="宋体" w:eastAsia="宋体" w:cs="宋体"/>
          <w:color w:val="auto"/>
          <w:spacing w:val="0"/>
          <w:w w:val="100"/>
          <w:position w:val="0"/>
          <w:sz w:val="24"/>
          <w:szCs w:val="24"/>
          <w:highlight w:val="none"/>
        </w:rPr>
      </w:pPr>
    </w:p>
    <w:p>
      <w:pPr>
        <w:autoSpaceDE w:val="0"/>
        <w:autoSpaceDN w:val="0"/>
        <w:adjustRightInd w:val="0"/>
        <w:spacing w:line="360" w:lineRule="auto"/>
        <w:jc w:val="center"/>
        <w:rPr>
          <w:rFonts w:hint="eastAsia" w:ascii="宋体" w:hAnsi="宋体" w:eastAsia="宋体" w:cs="宋体"/>
          <w:b/>
          <w:color w:val="auto"/>
          <w:spacing w:val="0"/>
          <w:w w:val="100"/>
          <w:position w:val="0"/>
          <w:sz w:val="24"/>
          <w:szCs w:val="24"/>
          <w:highlight w:val="none"/>
        </w:rPr>
      </w:pPr>
    </w:p>
    <w:p>
      <w:pPr>
        <w:spacing w:line="360" w:lineRule="auto"/>
        <w:ind w:firstLine="3360" w:firstLineChars="14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法定代表人或授权代表（签字或盖章）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firstLine="5280" w:firstLineChars="2200"/>
        <w:rPr>
          <w:rFonts w:hint="eastAsia" w:ascii="宋体" w:hAnsi="宋体" w:eastAsia="宋体" w:cs="宋体"/>
          <w:color w:val="auto"/>
          <w:spacing w:val="0"/>
          <w:w w:val="100"/>
          <w:position w:val="0"/>
          <w:sz w:val="24"/>
          <w:szCs w:val="24"/>
          <w:highlight w:val="none"/>
          <w:u w:val="single"/>
        </w:rPr>
      </w:pPr>
    </w:p>
    <w:p>
      <w:pPr>
        <w:adjustRightInd w:val="0"/>
        <w:snapToGrid w:val="0"/>
        <w:spacing w:line="360" w:lineRule="auto"/>
        <w:ind w:firstLine="240" w:firstLineChars="100"/>
        <w:rPr>
          <w:rFonts w:hint="eastAsia" w:ascii="宋体" w:hAnsi="宋体" w:eastAsia="宋体" w:cs="宋体"/>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br w:type="page"/>
      </w:r>
      <w:bookmarkEnd w:id="931"/>
      <w:bookmarkEnd w:id="932"/>
      <w:bookmarkEnd w:id="933"/>
      <w:bookmarkEnd w:id="934"/>
      <w:bookmarkEnd w:id="935"/>
      <w:bookmarkStart w:id="948" w:name="_Toc12844"/>
      <w:bookmarkStart w:id="949" w:name="_Toc16511"/>
      <w:bookmarkStart w:id="950" w:name="_Toc475451559"/>
      <w:bookmarkStart w:id="951" w:name="_Toc475451806"/>
      <w:bookmarkStart w:id="952" w:name="_Toc495671276"/>
      <w:bookmarkStart w:id="953" w:name="_Toc473056009"/>
      <w:bookmarkStart w:id="954" w:name="_Toc4848"/>
      <w:bookmarkStart w:id="955" w:name="_Toc4915"/>
    </w:p>
    <w:p>
      <w:pPr>
        <w:pageBreakBefore/>
        <w:autoSpaceDE w:val="0"/>
        <w:autoSpaceDN w:val="0"/>
        <w:adjustRightInd w:val="0"/>
        <w:snapToGrid w:val="0"/>
        <w:spacing w:line="360" w:lineRule="auto"/>
        <w:jc w:val="center"/>
        <w:outlineLvl w:val="1"/>
        <w:rPr>
          <w:rFonts w:hint="eastAsia" w:ascii="宋体" w:hAnsi="宋体" w:eastAsia="宋体" w:cs="宋体"/>
          <w:b/>
          <w:color w:val="auto"/>
          <w:spacing w:val="0"/>
          <w:w w:val="100"/>
          <w:position w:val="0"/>
          <w:sz w:val="32"/>
          <w:szCs w:val="15"/>
          <w:highlight w:val="none"/>
          <w:lang w:val="zh-CN"/>
        </w:rPr>
      </w:pPr>
      <w:bookmarkStart w:id="956" w:name="_Toc2920"/>
      <w:r>
        <w:rPr>
          <w:rFonts w:hint="eastAsia" w:ascii="宋体" w:hAnsi="宋体" w:eastAsia="宋体" w:cs="宋体"/>
          <w:b/>
          <w:color w:val="auto"/>
          <w:spacing w:val="0"/>
          <w:w w:val="100"/>
          <w:position w:val="0"/>
          <w:sz w:val="32"/>
          <w:szCs w:val="15"/>
          <w:highlight w:val="none"/>
          <w:lang w:val="zh-CN"/>
        </w:rPr>
        <w:t>十</w:t>
      </w:r>
      <w:r>
        <w:rPr>
          <w:rFonts w:hint="eastAsia" w:ascii="宋体" w:hAnsi="宋体" w:eastAsia="宋体" w:cs="宋体"/>
          <w:b/>
          <w:color w:val="auto"/>
          <w:spacing w:val="0"/>
          <w:w w:val="100"/>
          <w:position w:val="0"/>
          <w:sz w:val="32"/>
          <w:szCs w:val="15"/>
          <w:highlight w:val="none"/>
          <w:lang w:val="en-US" w:eastAsia="zh-CN"/>
        </w:rPr>
        <w:t>三</w:t>
      </w:r>
      <w:r>
        <w:rPr>
          <w:rFonts w:hint="eastAsia" w:ascii="宋体" w:hAnsi="宋体" w:eastAsia="宋体" w:cs="宋体"/>
          <w:b/>
          <w:color w:val="auto"/>
          <w:spacing w:val="0"/>
          <w:w w:val="100"/>
          <w:position w:val="0"/>
          <w:sz w:val="32"/>
          <w:szCs w:val="15"/>
          <w:highlight w:val="none"/>
          <w:lang w:val="zh-CN"/>
        </w:rPr>
        <w:t>、供应商廉洁自律承诺书</w:t>
      </w:r>
      <w:bookmarkEnd w:id="948"/>
      <w:bookmarkEnd w:id="956"/>
    </w:p>
    <w:p>
      <w:pPr>
        <w:spacing w:line="360" w:lineRule="auto"/>
        <w:ind w:firstLine="480" w:firstLineChars="200"/>
        <w:rPr>
          <w:rFonts w:hint="eastAsia" w:ascii="宋体" w:hAnsi="宋体" w:eastAsia="宋体" w:cs="宋体"/>
          <w:snapToGrid w:val="0"/>
          <w:color w:val="auto"/>
          <w:spacing w:val="0"/>
          <w:w w:val="100"/>
          <w:position w:val="0"/>
          <w:sz w:val="24"/>
          <w:szCs w:val="24"/>
          <w:highlight w:val="none"/>
          <w:lang w:eastAsia="zh-CN"/>
        </w:rPr>
      </w:pPr>
      <w:r>
        <w:rPr>
          <w:rFonts w:hint="eastAsia" w:ascii="宋体" w:hAnsi="宋体" w:eastAsia="宋体" w:cs="宋体"/>
          <w:snapToGrid w:val="0"/>
          <w:color w:val="auto"/>
          <w:spacing w:val="0"/>
          <w:w w:val="100"/>
          <w:position w:val="0"/>
          <w:sz w:val="24"/>
          <w:szCs w:val="24"/>
          <w:highlight w:val="none"/>
        </w:rPr>
        <w:t>为</w:t>
      </w:r>
      <w:r>
        <w:rPr>
          <w:rFonts w:hint="eastAsia" w:ascii="宋体" w:hAnsi="宋体" w:eastAsia="宋体" w:cs="宋体"/>
          <w:snapToGrid w:val="0"/>
          <w:color w:val="auto"/>
          <w:spacing w:val="0"/>
          <w:w w:val="100"/>
          <w:position w:val="0"/>
          <w:sz w:val="24"/>
          <w:szCs w:val="24"/>
          <w:highlight w:val="none"/>
          <w:lang w:val="en-US" w:eastAsia="zh-CN"/>
        </w:rPr>
        <w:t>响应党中央、国务院关于治理政府采购领域商业贿赂行为的号召，</w:t>
      </w:r>
      <w:r>
        <w:rPr>
          <w:rFonts w:hint="eastAsia" w:ascii="宋体" w:hAnsi="宋体" w:eastAsia="宋体" w:cs="宋体"/>
          <w:snapToGrid w:val="0"/>
          <w:color w:val="auto"/>
          <w:spacing w:val="0"/>
          <w:w w:val="100"/>
          <w:position w:val="0"/>
          <w:sz w:val="24"/>
          <w:szCs w:val="24"/>
          <w:highlight w:val="none"/>
        </w:rPr>
        <w:t>我们特向贵司郑重承诺，在政府采购过程中严格遵守下列行为准则</w:t>
      </w:r>
      <w:r>
        <w:rPr>
          <w:rFonts w:hint="eastAsia" w:ascii="宋体" w:hAnsi="宋体" w:eastAsia="宋体" w:cs="宋体"/>
          <w:snapToGrid w:val="0"/>
          <w:color w:val="auto"/>
          <w:spacing w:val="0"/>
          <w:w w:val="100"/>
          <w:position w:val="0"/>
          <w:sz w:val="24"/>
          <w:szCs w:val="24"/>
          <w:highlight w:val="none"/>
          <w:lang w:eastAsia="zh-CN"/>
        </w:rPr>
        <w:t>：</w:t>
      </w:r>
    </w:p>
    <w:p>
      <w:pPr>
        <w:spacing w:line="360" w:lineRule="auto"/>
        <w:ind w:firstLine="480" w:firstLineChars="200"/>
        <w:rPr>
          <w:rFonts w:hint="eastAsia" w:ascii="宋体" w:hAnsi="宋体" w:eastAsia="宋体" w:cs="宋体"/>
          <w:snapToGrid w:val="0"/>
          <w:color w:val="auto"/>
          <w:spacing w:val="0"/>
          <w:w w:val="100"/>
          <w:position w:val="0"/>
          <w:sz w:val="24"/>
          <w:szCs w:val="24"/>
          <w:highlight w:val="none"/>
        </w:rPr>
      </w:pPr>
      <w:r>
        <w:rPr>
          <w:rFonts w:hint="eastAsia" w:ascii="宋体" w:hAnsi="宋体" w:eastAsia="宋体" w:cs="宋体"/>
          <w:snapToGrid w:val="0"/>
          <w:color w:val="auto"/>
          <w:spacing w:val="0"/>
          <w:w w:val="100"/>
          <w:position w:val="0"/>
          <w:sz w:val="24"/>
          <w:szCs w:val="24"/>
          <w:highlight w:val="none"/>
        </w:rPr>
        <w:t>1、严格遵守国家有关法律法规及相关政策，以及廉洁从业的各项规定。</w:t>
      </w:r>
    </w:p>
    <w:p>
      <w:pPr>
        <w:spacing w:line="360" w:lineRule="auto"/>
        <w:ind w:firstLine="480" w:firstLineChars="200"/>
        <w:rPr>
          <w:rFonts w:hint="eastAsia" w:ascii="宋体" w:hAnsi="宋体" w:eastAsia="宋体" w:cs="宋体"/>
          <w:snapToGrid w:val="0"/>
          <w:color w:val="auto"/>
          <w:spacing w:val="0"/>
          <w:w w:val="100"/>
          <w:position w:val="0"/>
          <w:sz w:val="24"/>
          <w:szCs w:val="24"/>
          <w:highlight w:val="none"/>
        </w:rPr>
      </w:pPr>
      <w:r>
        <w:rPr>
          <w:rFonts w:hint="eastAsia" w:ascii="宋体" w:hAnsi="宋体" w:eastAsia="宋体" w:cs="宋体"/>
          <w:snapToGrid w:val="0"/>
          <w:color w:val="auto"/>
          <w:spacing w:val="0"/>
          <w:w w:val="100"/>
          <w:position w:val="0"/>
          <w:sz w:val="24"/>
          <w:szCs w:val="24"/>
          <w:highlight w:val="none"/>
        </w:rPr>
        <w:t>2、不以围标、串标、陪标、挂靠、提供虚假信息、恶意干扰采购人、磋商小组评审等违规手段实现成交目的；</w:t>
      </w:r>
    </w:p>
    <w:p>
      <w:pPr>
        <w:spacing w:line="360" w:lineRule="auto"/>
        <w:ind w:firstLine="480" w:firstLineChars="200"/>
        <w:rPr>
          <w:rFonts w:hint="eastAsia" w:ascii="宋体" w:hAnsi="宋体" w:eastAsia="宋体" w:cs="宋体"/>
          <w:snapToGrid w:val="0"/>
          <w:color w:val="auto"/>
          <w:spacing w:val="0"/>
          <w:w w:val="100"/>
          <w:position w:val="0"/>
          <w:sz w:val="24"/>
          <w:szCs w:val="24"/>
          <w:highlight w:val="none"/>
        </w:rPr>
      </w:pPr>
      <w:r>
        <w:rPr>
          <w:rFonts w:hint="eastAsia" w:ascii="宋体" w:hAnsi="宋体" w:eastAsia="宋体" w:cs="宋体"/>
          <w:snapToGrid w:val="0"/>
          <w:color w:val="auto"/>
          <w:spacing w:val="0"/>
          <w:w w:val="100"/>
          <w:position w:val="0"/>
          <w:sz w:val="24"/>
          <w:szCs w:val="24"/>
          <w:highlight w:val="none"/>
        </w:rPr>
        <w:t>3、不以任何理由、任何形式向采购人相关工作人员或其亲戚、朋友等利益相关人行贿或馈赠礼金、有价证券、贵重物品。</w:t>
      </w:r>
    </w:p>
    <w:p>
      <w:pPr>
        <w:spacing w:line="360" w:lineRule="auto"/>
        <w:ind w:firstLine="480" w:firstLineChars="200"/>
        <w:rPr>
          <w:rFonts w:hint="eastAsia" w:ascii="宋体" w:hAnsi="宋体" w:eastAsia="宋体" w:cs="宋体"/>
          <w:snapToGrid w:val="0"/>
          <w:color w:val="auto"/>
          <w:spacing w:val="0"/>
          <w:w w:val="100"/>
          <w:position w:val="0"/>
          <w:sz w:val="24"/>
          <w:szCs w:val="24"/>
          <w:highlight w:val="none"/>
        </w:rPr>
      </w:pPr>
      <w:r>
        <w:rPr>
          <w:rFonts w:hint="eastAsia" w:ascii="宋体" w:hAnsi="宋体" w:eastAsia="宋体" w:cs="宋体"/>
          <w:snapToGrid w:val="0"/>
          <w:color w:val="auto"/>
          <w:spacing w:val="0"/>
          <w:w w:val="100"/>
          <w:position w:val="0"/>
          <w:sz w:val="24"/>
          <w:szCs w:val="24"/>
          <w:highlight w:val="none"/>
        </w:rPr>
        <w:t>4、不以任何名义为采购人相关工作人员或其亲戚、朋友等利益相关人支付、报销应由其个人支付的费用。</w:t>
      </w:r>
    </w:p>
    <w:p>
      <w:pPr>
        <w:spacing w:line="360" w:lineRule="auto"/>
        <w:ind w:firstLine="480" w:firstLineChars="200"/>
        <w:rPr>
          <w:rFonts w:hint="eastAsia" w:ascii="宋体" w:hAnsi="宋体" w:eastAsia="宋体" w:cs="宋体"/>
          <w:snapToGrid w:val="0"/>
          <w:color w:val="auto"/>
          <w:spacing w:val="0"/>
          <w:w w:val="100"/>
          <w:position w:val="0"/>
          <w:sz w:val="24"/>
          <w:szCs w:val="24"/>
          <w:highlight w:val="none"/>
        </w:rPr>
      </w:pPr>
      <w:r>
        <w:rPr>
          <w:rFonts w:hint="eastAsia" w:ascii="宋体" w:hAnsi="宋体" w:eastAsia="宋体" w:cs="宋体"/>
          <w:snapToGrid w:val="0"/>
          <w:color w:val="auto"/>
          <w:spacing w:val="0"/>
          <w:w w:val="100"/>
          <w:position w:val="0"/>
          <w:sz w:val="24"/>
          <w:szCs w:val="24"/>
          <w:highlight w:val="none"/>
        </w:rPr>
        <w:t>5、不以任何理由安排采购人相关工作人员或其亲戚、朋友等利益相关人参加健身、娱乐和旅游等活动。</w:t>
      </w:r>
    </w:p>
    <w:p>
      <w:pPr>
        <w:spacing w:line="360" w:lineRule="auto"/>
        <w:ind w:firstLine="480" w:firstLineChars="200"/>
        <w:rPr>
          <w:rFonts w:hint="eastAsia" w:ascii="宋体" w:hAnsi="宋体" w:eastAsia="宋体" w:cs="宋体"/>
          <w:snapToGrid w:val="0"/>
          <w:color w:val="auto"/>
          <w:spacing w:val="0"/>
          <w:w w:val="100"/>
          <w:position w:val="0"/>
          <w:sz w:val="24"/>
          <w:szCs w:val="24"/>
          <w:highlight w:val="none"/>
        </w:rPr>
      </w:pPr>
      <w:r>
        <w:rPr>
          <w:rFonts w:hint="eastAsia" w:ascii="宋体" w:hAnsi="宋体" w:eastAsia="宋体" w:cs="宋体"/>
          <w:snapToGrid w:val="0"/>
          <w:color w:val="auto"/>
          <w:spacing w:val="0"/>
          <w:w w:val="100"/>
          <w:position w:val="0"/>
          <w:sz w:val="24"/>
          <w:szCs w:val="24"/>
          <w:highlight w:val="none"/>
        </w:rPr>
        <w:t>6、不为采购人的业务部门、关联企业或人员，购置或提供通讯工具、交通工具、高档办公用品或装修住房等。</w:t>
      </w:r>
    </w:p>
    <w:p>
      <w:pPr>
        <w:spacing w:line="360" w:lineRule="auto"/>
        <w:ind w:firstLine="480" w:firstLineChars="200"/>
        <w:rPr>
          <w:rFonts w:hint="eastAsia" w:ascii="宋体" w:hAnsi="宋体" w:eastAsia="宋体" w:cs="宋体"/>
          <w:snapToGrid w:val="0"/>
          <w:color w:val="auto"/>
          <w:spacing w:val="0"/>
          <w:w w:val="100"/>
          <w:position w:val="0"/>
          <w:sz w:val="24"/>
          <w:szCs w:val="24"/>
          <w:highlight w:val="none"/>
        </w:rPr>
      </w:pPr>
      <w:r>
        <w:rPr>
          <w:rFonts w:hint="eastAsia" w:ascii="宋体" w:hAnsi="宋体" w:eastAsia="宋体" w:cs="宋体"/>
          <w:snapToGrid w:val="0"/>
          <w:color w:val="auto"/>
          <w:spacing w:val="0"/>
          <w:w w:val="100"/>
          <w:position w:val="0"/>
          <w:sz w:val="24"/>
          <w:szCs w:val="24"/>
          <w:highlight w:val="none"/>
        </w:rPr>
        <w:t>7、不以贿赂之外的其他方式拉拢采购方相关工作人员，使其违背公平、公开、公正竞争原则，帮助实现成交目的。</w:t>
      </w:r>
    </w:p>
    <w:p>
      <w:pPr>
        <w:spacing w:line="360" w:lineRule="auto"/>
        <w:ind w:firstLine="480" w:firstLineChars="200"/>
        <w:rPr>
          <w:rFonts w:hint="eastAsia" w:ascii="宋体" w:hAnsi="宋体" w:eastAsia="宋体" w:cs="宋体"/>
          <w:snapToGrid w:val="0"/>
          <w:color w:val="auto"/>
          <w:spacing w:val="0"/>
          <w:w w:val="100"/>
          <w:position w:val="0"/>
          <w:sz w:val="24"/>
          <w:szCs w:val="24"/>
          <w:highlight w:val="none"/>
        </w:rPr>
      </w:pPr>
      <w:r>
        <w:rPr>
          <w:rFonts w:hint="eastAsia" w:ascii="宋体" w:hAnsi="宋体" w:eastAsia="宋体" w:cs="宋体"/>
          <w:snapToGrid w:val="0"/>
          <w:color w:val="auto"/>
          <w:spacing w:val="0"/>
          <w:w w:val="100"/>
          <w:position w:val="0"/>
          <w:sz w:val="24"/>
          <w:szCs w:val="24"/>
          <w:highlight w:val="none"/>
        </w:rPr>
        <w:t>8、如果采购人相关工作人员以帮助实现成交目的为对价向供应商索取贿赂或谋求其他个人利益，供应商应拒绝采购人相关工作人员的要求，并向采购人监督部门举报。</w:t>
      </w:r>
    </w:p>
    <w:p>
      <w:pPr>
        <w:spacing w:line="360" w:lineRule="auto"/>
        <w:ind w:firstLine="480" w:firstLineChars="200"/>
        <w:rPr>
          <w:rFonts w:hint="eastAsia" w:ascii="宋体" w:hAnsi="宋体" w:eastAsia="宋体" w:cs="宋体"/>
          <w:snapToGrid w:val="0"/>
          <w:color w:val="auto"/>
          <w:spacing w:val="0"/>
          <w:w w:val="100"/>
          <w:position w:val="0"/>
          <w:sz w:val="24"/>
          <w:szCs w:val="24"/>
          <w:highlight w:val="none"/>
        </w:rPr>
      </w:pPr>
      <w:r>
        <w:rPr>
          <w:rFonts w:hint="eastAsia" w:ascii="宋体" w:hAnsi="宋体" w:eastAsia="宋体" w:cs="宋体"/>
          <w:snapToGrid w:val="0"/>
          <w:color w:val="auto"/>
          <w:spacing w:val="0"/>
          <w:w w:val="100"/>
          <w:position w:val="0"/>
          <w:sz w:val="24"/>
          <w:szCs w:val="24"/>
          <w:highlight w:val="none"/>
        </w:rPr>
        <w:t>如果承诺人违背上述承诺并成交，承诺人自愿承担与贵司签订的合同无效、贵司有权拒绝支付合同款、承诺人自身损失自己承担并赔偿贵司因此产生的一切损失的民事法律责任及因此产生的刑事责任。</w:t>
      </w:r>
    </w:p>
    <w:p>
      <w:pPr>
        <w:spacing w:line="360" w:lineRule="auto"/>
        <w:ind w:firstLine="3360" w:firstLineChars="1400"/>
        <w:rPr>
          <w:rFonts w:hint="eastAsia" w:ascii="宋体" w:hAnsi="宋体" w:eastAsia="宋体" w:cs="宋体"/>
          <w:color w:val="auto"/>
          <w:spacing w:val="0"/>
          <w:w w:val="100"/>
          <w:position w:val="0"/>
          <w:sz w:val="24"/>
          <w:szCs w:val="24"/>
          <w:highlight w:val="none"/>
        </w:rPr>
      </w:pPr>
    </w:p>
    <w:p>
      <w:pPr>
        <w:spacing w:line="360" w:lineRule="auto"/>
        <w:ind w:firstLine="3360" w:firstLineChars="14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法定代表人或授权代表（签字或盖章）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p>
    <w:p>
      <w:pPr>
        <w:pageBreakBefore/>
        <w:autoSpaceDE w:val="0"/>
        <w:autoSpaceDN w:val="0"/>
        <w:adjustRightInd w:val="0"/>
        <w:snapToGrid w:val="0"/>
        <w:spacing w:line="360" w:lineRule="auto"/>
        <w:jc w:val="center"/>
        <w:outlineLvl w:val="1"/>
        <w:rPr>
          <w:rFonts w:hint="eastAsia" w:ascii="宋体" w:hAnsi="宋体" w:eastAsia="宋体" w:cs="宋体"/>
          <w:b/>
          <w:color w:val="auto"/>
          <w:spacing w:val="0"/>
          <w:w w:val="100"/>
          <w:position w:val="0"/>
          <w:sz w:val="32"/>
          <w:szCs w:val="15"/>
          <w:highlight w:val="none"/>
          <w:lang w:val="zh-CN"/>
        </w:rPr>
      </w:pPr>
      <w:bookmarkStart w:id="957" w:name="_Toc9051"/>
      <w:bookmarkStart w:id="958" w:name="_Toc29125"/>
      <w:bookmarkStart w:id="959" w:name="_Toc4453"/>
      <w:bookmarkStart w:id="960" w:name="_Toc8772"/>
      <w:bookmarkStart w:id="961" w:name="_Toc12989"/>
      <w:bookmarkStart w:id="962" w:name="_Toc17145"/>
      <w:bookmarkStart w:id="963" w:name="_Toc18685"/>
      <w:bookmarkStart w:id="964" w:name="_Toc15882"/>
      <w:bookmarkStart w:id="965" w:name="_Toc17375"/>
      <w:bookmarkStart w:id="966" w:name="_Toc2715"/>
      <w:bookmarkStart w:id="967" w:name="_Toc6812"/>
      <w:r>
        <w:rPr>
          <w:rFonts w:hint="eastAsia" w:ascii="宋体" w:hAnsi="宋体" w:eastAsia="宋体" w:cs="宋体"/>
          <w:b/>
          <w:color w:val="auto"/>
          <w:spacing w:val="0"/>
          <w:w w:val="100"/>
          <w:position w:val="0"/>
          <w:sz w:val="32"/>
          <w:szCs w:val="15"/>
          <w:highlight w:val="none"/>
          <w:lang w:val="zh-CN"/>
        </w:rPr>
        <w:t>十</w:t>
      </w:r>
      <w:r>
        <w:rPr>
          <w:rFonts w:hint="eastAsia" w:ascii="宋体" w:hAnsi="宋体" w:eastAsia="宋体" w:cs="宋体"/>
          <w:b/>
          <w:color w:val="auto"/>
          <w:spacing w:val="0"/>
          <w:w w:val="100"/>
          <w:position w:val="0"/>
          <w:sz w:val="32"/>
          <w:szCs w:val="15"/>
          <w:highlight w:val="none"/>
          <w:lang w:val="en-US" w:eastAsia="zh-CN"/>
        </w:rPr>
        <w:t>四</w:t>
      </w:r>
      <w:r>
        <w:rPr>
          <w:rFonts w:hint="eastAsia" w:ascii="宋体" w:hAnsi="宋体" w:eastAsia="宋体" w:cs="宋体"/>
          <w:b/>
          <w:color w:val="auto"/>
          <w:spacing w:val="0"/>
          <w:w w:val="100"/>
          <w:position w:val="0"/>
          <w:sz w:val="32"/>
          <w:szCs w:val="15"/>
          <w:highlight w:val="none"/>
          <w:lang w:val="zh-CN"/>
        </w:rPr>
        <w:t>、供应商认为有必要补充说明的事项</w:t>
      </w:r>
      <w:bookmarkEnd w:id="949"/>
      <w:bookmarkEnd w:id="950"/>
      <w:bookmarkEnd w:id="951"/>
      <w:bookmarkEnd w:id="952"/>
      <w:bookmarkEnd w:id="953"/>
      <w:bookmarkEnd w:id="954"/>
      <w:bookmarkEnd w:id="955"/>
      <w:bookmarkEnd w:id="957"/>
      <w:bookmarkEnd w:id="958"/>
      <w:bookmarkEnd w:id="959"/>
      <w:bookmarkEnd w:id="960"/>
      <w:bookmarkEnd w:id="961"/>
      <w:bookmarkEnd w:id="962"/>
      <w:bookmarkEnd w:id="963"/>
      <w:bookmarkEnd w:id="964"/>
      <w:bookmarkEnd w:id="965"/>
      <w:bookmarkEnd w:id="966"/>
      <w:bookmarkEnd w:id="967"/>
    </w:p>
    <w:p>
      <w:pPr>
        <w:spacing w:line="360" w:lineRule="auto"/>
        <w:ind w:left="0" w:lef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符合《政府采购法》第二十二条规定条件的承诺函</w:t>
      </w:r>
    </w:p>
    <w:p>
      <w:pPr>
        <w:pStyle w:val="11"/>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致亿诚建设项目管理有限公司： </w:t>
      </w:r>
    </w:p>
    <w:p>
      <w:pPr>
        <w:pStyle w:val="11"/>
        <w:spacing w:line="360" w:lineRule="auto"/>
        <w:ind w:left="0" w:leftChars="0" w:firstLine="480" w:firstLineChars="200"/>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 xml:space="preserve">                   （公司名称）</w:t>
      </w:r>
      <w:r>
        <w:rPr>
          <w:rFonts w:hint="eastAsia" w:ascii="宋体" w:hAnsi="宋体" w:eastAsia="宋体" w:cs="宋体"/>
          <w:color w:val="auto"/>
          <w:sz w:val="24"/>
          <w:szCs w:val="24"/>
          <w:highlight w:val="none"/>
        </w:rPr>
        <w:t>参加</w:t>
      </w:r>
      <w:r>
        <w:rPr>
          <w:rFonts w:hint="eastAsia" w:ascii="宋体" w:hAnsi="宋体" w:eastAsia="宋体" w:cs="宋体"/>
          <w:i w:val="0"/>
          <w:iCs w:val="0"/>
          <w:color w:val="auto"/>
          <w:kern w:val="0"/>
          <w:sz w:val="24"/>
          <w:szCs w:val="24"/>
          <w:highlight w:val="none"/>
          <w:u w:val="single"/>
          <w:lang w:val="en-US" w:eastAsia="zh-CN" w:bidi="ar"/>
        </w:rPr>
        <w:t>三原县2023年部分公路工程设计项目、YC23001014（ZBA）（项目名称、项目编号）</w:t>
      </w:r>
      <w:r>
        <w:rPr>
          <w:rFonts w:hint="eastAsia" w:ascii="宋体" w:hAnsi="宋体" w:eastAsia="宋体" w:cs="宋体"/>
          <w:i w:val="0"/>
          <w:iCs w:val="0"/>
          <w:color w:val="auto"/>
          <w:kern w:val="0"/>
          <w:sz w:val="24"/>
          <w:szCs w:val="24"/>
          <w:highlight w:val="none"/>
          <w:u w:val="none"/>
          <w:lang w:val="en-US" w:eastAsia="zh-CN" w:bidi="ar"/>
        </w:rPr>
        <w:t xml:space="preserve"> 的投标活动，现承诺：</w:t>
      </w:r>
    </w:p>
    <w:p>
      <w:pPr>
        <w:pStyle w:val="11"/>
        <w:spacing w:line="360" w:lineRule="auto"/>
        <w:ind w:left="0" w:leftChars="0" w:firstLine="540" w:firstLineChars="22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我公司满足政府采购法第二十二条关于供应商的资格要求：</w:t>
      </w:r>
    </w:p>
    <w:p>
      <w:pPr>
        <w:pStyle w:val="11"/>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（一）具有独立承担民事责任的能力； </w:t>
      </w:r>
    </w:p>
    <w:p>
      <w:pPr>
        <w:pStyle w:val="11"/>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（二）具有良好的商业信誉和健全的财务会计制度； </w:t>
      </w:r>
    </w:p>
    <w:p>
      <w:pPr>
        <w:pStyle w:val="11"/>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（三）具有履行合同所必需的设备和专业技术能力； </w:t>
      </w:r>
    </w:p>
    <w:p>
      <w:pPr>
        <w:pStyle w:val="11"/>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i w:val="0"/>
          <w:iCs w:val="0"/>
          <w:caps w:val="0"/>
          <w:color w:val="auto"/>
          <w:spacing w:val="0"/>
          <w:sz w:val="24"/>
          <w:szCs w:val="24"/>
          <w:highlight w:val="none"/>
          <w:shd w:val="clear" w:color="auto" w:fill="FFFFFF"/>
        </w:rPr>
        <w:t>有依法缴纳税收和社会保障资金的良好记录</w:t>
      </w:r>
      <w:r>
        <w:rPr>
          <w:rFonts w:hint="eastAsia" w:ascii="宋体" w:hAnsi="宋体" w:eastAsia="宋体" w:cs="宋体"/>
          <w:color w:val="auto"/>
          <w:sz w:val="24"/>
          <w:szCs w:val="24"/>
          <w:highlight w:val="none"/>
        </w:rPr>
        <w:t xml:space="preserve">； </w:t>
      </w:r>
    </w:p>
    <w:p>
      <w:pPr>
        <w:pStyle w:val="11"/>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（五）参加政府采购活动前三年内，在经营活动中没有重大违法记录； </w:t>
      </w:r>
    </w:p>
    <w:p>
      <w:pPr>
        <w:pStyle w:val="11"/>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pPr>
        <w:pStyle w:val="11"/>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同时也满足本项目法律法规规章规定关于供应商的其他资格性条件，未参与本竞争性磋商前期咨询论证，不属于禁止参加投标的供应商。</w:t>
      </w:r>
    </w:p>
    <w:p>
      <w:pPr>
        <w:pStyle w:val="11"/>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如违反以上承诺，本公司愿承担一切法律责任。</w:t>
      </w:r>
    </w:p>
    <w:p>
      <w:pPr>
        <w:pStyle w:val="11"/>
        <w:spacing w:line="400" w:lineRule="exact"/>
        <w:ind w:left="0" w:leftChars="0"/>
        <w:outlineLvl w:val="9"/>
        <w:rPr>
          <w:rFonts w:hint="eastAsia" w:ascii="宋体" w:hAnsi="宋体" w:eastAsia="宋体" w:cs="宋体"/>
          <w:color w:val="auto"/>
          <w:sz w:val="24"/>
          <w:szCs w:val="24"/>
          <w:highlight w:val="none"/>
        </w:rPr>
      </w:pPr>
    </w:p>
    <w:p>
      <w:pPr>
        <w:spacing w:line="700" w:lineRule="exact"/>
        <w:ind w:firstLine="480" w:firstLineChars="200"/>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eastAsia="zh-CN"/>
        </w:rPr>
        <w:t>全称及公章</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spacing w:line="700" w:lineRule="exact"/>
        <w:ind w:firstLine="480" w:firstLineChars="200"/>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pPr>
        <w:spacing w:line="700" w:lineRule="exact"/>
        <w:ind w:firstLine="480" w:firstLineChars="200"/>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lang w:val="en-US" w:eastAsia="zh-CN"/>
        </w:rPr>
        <w:t xml:space="preserve">                                         </w:t>
      </w:r>
    </w:p>
    <w:p>
      <w:pPr>
        <w:outlineLvl w:val="9"/>
        <w:rPr>
          <w:rFonts w:hint="eastAsia" w:ascii="宋体" w:hAnsi="宋体" w:eastAsia="宋体" w:cs="宋体"/>
          <w:color w:val="auto"/>
          <w:sz w:val="24"/>
          <w:szCs w:val="24"/>
          <w:highlight w:val="none"/>
        </w:rPr>
      </w:pPr>
    </w:p>
    <w:p>
      <w:pPr>
        <w:ind w:left="0" w:lef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供应商认为有必要提供的其他证明文件</w:t>
      </w:r>
    </w:p>
    <w:p>
      <w:pPr>
        <w:keepNext w:val="0"/>
        <w:keepLines w:val="0"/>
        <w:pageBreakBefore/>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2"/>
        <w:rPr>
          <w:rFonts w:hint="eastAsia" w:ascii="宋体" w:hAnsi="宋体" w:eastAsia="宋体" w:cs="宋体"/>
          <w:b/>
          <w:bCs/>
          <w:color w:val="auto"/>
          <w:sz w:val="32"/>
          <w:szCs w:val="32"/>
          <w:highlight w:val="none"/>
          <w:lang w:val="zh-CN" w:eastAsia="zh-CN"/>
        </w:rPr>
      </w:pPr>
      <w:bookmarkStart w:id="968" w:name="_Toc12015"/>
      <w:r>
        <w:rPr>
          <w:rFonts w:hint="eastAsia" w:ascii="宋体" w:hAnsi="宋体" w:eastAsia="宋体" w:cs="宋体"/>
          <w:b/>
          <w:bCs/>
          <w:color w:val="auto"/>
          <w:sz w:val="32"/>
          <w:szCs w:val="32"/>
          <w:highlight w:val="none"/>
          <w:lang w:val="en-US" w:eastAsia="zh-CN"/>
        </w:rPr>
        <w:t>十五、</w:t>
      </w:r>
      <w:bookmarkEnd w:id="968"/>
      <w:r>
        <w:rPr>
          <w:rFonts w:hint="eastAsia" w:ascii="宋体" w:hAnsi="宋体" w:eastAsia="宋体" w:cs="宋体"/>
          <w:b/>
          <w:bCs/>
          <w:color w:val="auto"/>
          <w:sz w:val="32"/>
          <w:szCs w:val="32"/>
          <w:highlight w:val="none"/>
        </w:rPr>
        <w:t>供应商承诺书</w:t>
      </w:r>
    </w:p>
    <w:p>
      <w:pPr>
        <w:spacing w:line="360" w:lineRule="auto"/>
        <w:ind w:firstLine="480" w:firstLineChars="200"/>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lang w:eastAsia="zh-CN"/>
        </w:rPr>
        <w:t>）中小企业声明函（</w:t>
      </w:r>
      <w:r>
        <w:rPr>
          <w:rFonts w:hint="eastAsia" w:ascii="宋体" w:hAnsi="宋体" w:eastAsia="宋体" w:cs="宋体"/>
          <w:color w:val="auto"/>
          <w:spacing w:val="0"/>
          <w:w w:val="100"/>
          <w:position w:val="0"/>
          <w:sz w:val="24"/>
          <w:szCs w:val="24"/>
          <w:highlight w:val="none"/>
          <w:lang w:val="en-US" w:eastAsia="zh-CN"/>
        </w:rPr>
        <w:t>如适用</w:t>
      </w:r>
      <w:r>
        <w:rPr>
          <w:rFonts w:hint="eastAsia" w:ascii="宋体" w:hAnsi="宋体" w:eastAsia="宋体" w:cs="宋体"/>
          <w:color w:val="auto"/>
          <w:sz w:val="24"/>
          <w:szCs w:val="24"/>
          <w:highlight w:val="none"/>
          <w:lang w:eastAsia="zh-CN"/>
        </w:rPr>
        <w:t>，请提供，格式见附件</w:t>
      </w:r>
      <w:r>
        <w:rPr>
          <w:rFonts w:hint="eastAsia" w:ascii="宋体" w:hAnsi="宋体" w:eastAsia="宋体" w:cs="宋体"/>
          <w:color w:val="auto"/>
          <w:sz w:val="24"/>
          <w:szCs w:val="24"/>
          <w:highlight w:val="none"/>
          <w:lang w:val="en-US" w:eastAsia="zh-CN"/>
        </w:rPr>
        <w:t>1，注：本项目属于其他未列名行业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0"/>
          <w:w w:val="100"/>
          <w:position w:val="0"/>
          <w:sz w:val="24"/>
          <w:szCs w:val="24"/>
          <w:highlight w:val="none"/>
          <w:lang w:eastAsia="zh-CN"/>
        </w:rPr>
        <w:t>；</w:t>
      </w:r>
    </w:p>
    <w:p>
      <w:pPr>
        <w:spacing w:line="360" w:lineRule="auto"/>
        <w:ind w:firstLine="480" w:firstLineChars="200"/>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lang w:eastAsia="zh-CN"/>
        </w:rPr>
        <w:t>）残疾人福利性单位声明函（如适用，请提供，格式见附件</w:t>
      </w: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lang w:eastAsia="zh-CN"/>
        </w:rPr>
        <w:t>）；</w:t>
      </w:r>
    </w:p>
    <w:p>
      <w:pPr>
        <w:spacing w:line="360" w:lineRule="auto"/>
        <w:ind w:firstLine="480" w:firstLineChars="200"/>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3</w:t>
      </w:r>
      <w:r>
        <w:rPr>
          <w:rFonts w:hint="eastAsia" w:ascii="宋体" w:hAnsi="宋体" w:eastAsia="宋体" w:cs="宋体"/>
          <w:color w:val="auto"/>
          <w:spacing w:val="0"/>
          <w:w w:val="100"/>
          <w:position w:val="0"/>
          <w:sz w:val="24"/>
          <w:szCs w:val="24"/>
          <w:highlight w:val="none"/>
          <w:lang w:eastAsia="zh-CN"/>
        </w:rPr>
        <w:t xml:space="preserve">）监狱企业、福利企业证明材料（如适用，请提供）； </w:t>
      </w:r>
    </w:p>
    <w:p>
      <w:pPr>
        <w:spacing w:line="360" w:lineRule="auto"/>
        <w:ind w:firstLine="480" w:firstLineChars="200"/>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4</w:t>
      </w:r>
      <w:r>
        <w:rPr>
          <w:rFonts w:hint="eastAsia" w:ascii="宋体" w:hAnsi="宋体" w:eastAsia="宋体" w:cs="宋体"/>
          <w:color w:val="auto"/>
          <w:spacing w:val="0"/>
          <w:w w:val="100"/>
          <w:position w:val="0"/>
          <w:sz w:val="24"/>
          <w:szCs w:val="24"/>
          <w:highlight w:val="none"/>
          <w:lang w:eastAsia="zh-CN"/>
        </w:rPr>
        <w:t>）节能环保产品、环境标志产品明细表（如适用，请按磋商文件中采购项目需要落实的政府采购政策第2条相关规定提供相关证明材料）；</w:t>
      </w:r>
    </w:p>
    <w:p>
      <w:pPr>
        <w:pageBreakBefore/>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附件1</w:t>
      </w:r>
    </w:p>
    <w:p>
      <w:pPr>
        <w:bidi w:val="0"/>
        <w:spacing w:line="360" w:lineRule="auto"/>
        <w:jc w:val="center"/>
        <w:rPr>
          <w:rFonts w:hint="eastAsia" w:ascii="宋体" w:hAnsi="宋体" w:eastAsia="宋体" w:cs="宋体"/>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4"/>
          <w:highlight w:val="none"/>
        </w:rPr>
        <w:t>中小企业声明函（工程、服务）</w:t>
      </w:r>
    </w:p>
    <w:p>
      <w:pPr>
        <w:pStyle w:val="10"/>
        <w:kinsoku w:val="0"/>
        <w:overflowPunct w:val="0"/>
        <w:spacing w:before="34" w:line="360" w:lineRule="auto"/>
        <w:ind w:firstLine="480" w:firstLineChars="200"/>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本公司郑重声明，根据《政府采购促进中小企业发展管理办法》（财库﹝2020﹞46 号）的规定，本公司参加</w:t>
      </w:r>
      <w:r>
        <w:rPr>
          <w:rFonts w:hint="eastAsia" w:ascii="宋体" w:hAnsi="宋体" w:eastAsia="宋体" w:cs="宋体"/>
          <w:color w:val="auto"/>
          <w:spacing w:val="0"/>
          <w:w w:val="100"/>
          <w:position w:val="0"/>
          <w:sz w:val="24"/>
          <w:szCs w:val="24"/>
          <w:highlight w:val="none"/>
          <w:u w:val="single"/>
        </w:rPr>
        <w:t>（单位名称）</w:t>
      </w:r>
      <w:r>
        <w:rPr>
          <w:rFonts w:hint="eastAsia" w:ascii="宋体" w:hAnsi="宋体" w:eastAsia="宋体" w:cs="宋体"/>
          <w:color w:val="auto"/>
          <w:spacing w:val="0"/>
          <w:w w:val="100"/>
          <w:position w:val="0"/>
          <w:sz w:val="24"/>
          <w:szCs w:val="24"/>
          <w:highlight w:val="none"/>
        </w:rPr>
        <w:t>的</w:t>
      </w:r>
      <w:r>
        <w:rPr>
          <w:rFonts w:hint="eastAsia" w:ascii="宋体" w:hAnsi="宋体" w:eastAsia="宋体" w:cs="宋体"/>
          <w:color w:val="auto"/>
          <w:spacing w:val="0"/>
          <w:w w:val="100"/>
          <w:position w:val="0"/>
          <w:sz w:val="24"/>
          <w:szCs w:val="24"/>
          <w:highlight w:val="none"/>
          <w:u w:val="single"/>
        </w:rPr>
        <w:t>（项目名称）</w:t>
      </w:r>
      <w:r>
        <w:rPr>
          <w:rFonts w:hint="eastAsia" w:ascii="宋体" w:hAnsi="宋体" w:eastAsia="宋体" w:cs="宋体"/>
          <w:color w:val="auto"/>
          <w:spacing w:val="0"/>
          <w:w w:val="100"/>
          <w:position w:val="0"/>
          <w:sz w:val="24"/>
          <w:szCs w:val="24"/>
          <w:highlight w:val="none"/>
        </w:rPr>
        <w:t>采购活动，工程的</w:t>
      </w:r>
      <w:r>
        <w:rPr>
          <w:rFonts w:hint="eastAsia" w:ascii="宋体" w:hAnsi="宋体" w:eastAsia="宋体" w:cs="宋体"/>
          <w:color w:val="auto"/>
          <w:spacing w:val="0"/>
          <w:w w:val="100"/>
          <w:position w:val="0"/>
          <w:sz w:val="24"/>
          <w:szCs w:val="24"/>
          <w:highlight w:val="none"/>
          <w:lang w:val="en-US" w:eastAsia="zh-CN"/>
        </w:rPr>
        <w:t>设计</w:t>
      </w:r>
      <w:r>
        <w:rPr>
          <w:rFonts w:hint="eastAsia" w:ascii="宋体" w:hAnsi="宋体" w:eastAsia="宋体" w:cs="宋体"/>
          <w:color w:val="auto"/>
          <w:spacing w:val="0"/>
          <w:w w:val="100"/>
          <w:position w:val="0"/>
          <w:sz w:val="24"/>
          <w:szCs w:val="24"/>
          <w:highlight w:val="none"/>
        </w:rPr>
        <w:t>单位全部为符合政策要求的中小企业（或者</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服务全部由符合政策要求的中小企业承接）。相关企业（中小企业、签订分包意向协议的中小企业）的具体情况如下</w:t>
      </w:r>
      <w:r>
        <w:rPr>
          <w:rFonts w:hint="eastAsia" w:ascii="宋体" w:hAnsi="宋体" w:eastAsia="宋体" w:cs="宋体"/>
          <w:color w:val="auto"/>
          <w:spacing w:val="0"/>
          <w:w w:val="100"/>
          <w:position w:val="0"/>
          <w:sz w:val="24"/>
          <w:szCs w:val="24"/>
          <w:highlight w:val="none"/>
          <w:lang w:eastAsia="zh-CN"/>
        </w:rPr>
        <w:t>：</w:t>
      </w:r>
    </w:p>
    <w:p>
      <w:pPr>
        <w:pStyle w:val="10"/>
        <w:kinsoku w:val="0"/>
        <w:overflowPunct w:val="0"/>
        <w:spacing w:before="34"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color w:val="auto"/>
          <w:spacing w:val="0"/>
          <w:w w:val="100"/>
          <w:position w:val="0"/>
          <w:sz w:val="24"/>
          <w:szCs w:val="24"/>
          <w:highlight w:val="none"/>
          <w:u w:val="single"/>
        </w:rPr>
        <w:t>（标的名称）</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color w:val="auto"/>
          <w:spacing w:val="0"/>
          <w:w w:val="100"/>
          <w:position w:val="0"/>
          <w:sz w:val="24"/>
          <w:szCs w:val="24"/>
          <w:highlight w:val="none"/>
          <w:u w:val="single"/>
        </w:rPr>
        <w:t>（采购文件中明确的所属行业）</w:t>
      </w:r>
      <w:r>
        <w:rPr>
          <w:rFonts w:hint="eastAsia" w:ascii="宋体" w:hAnsi="宋体" w:eastAsia="宋体" w:cs="宋体"/>
          <w:color w:val="auto"/>
          <w:spacing w:val="0"/>
          <w:w w:val="100"/>
          <w:position w:val="0"/>
          <w:sz w:val="24"/>
          <w:szCs w:val="24"/>
          <w:highlight w:val="none"/>
        </w:rPr>
        <w:t>；承建（承接）企业为</w:t>
      </w:r>
      <w:r>
        <w:rPr>
          <w:rFonts w:hint="eastAsia" w:ascii="宋体" w:hAnsi="宋体" w:eastAsia="宋体" w:cs="宋体"/>
          <w:color w:val="auto"/>
          <w:spacing w:val="0"/>
          <w:w w:val="100"/>
          <w:position w:val="0"/>
          <w:sz w:val="24"/>
          <w:szCs w:val="24"/>
          <w:highlight w:val="none"/>
          <w:u w:val="single"/>
        </w:rPr>
        <w:t>（企业名称）</w:t>
      </w:r>
      <w:r>
        <w:rPr>
          <w:rFonts w:hint="eastAsia" w:ascii="宋体" w:hAnsi="宋体" w:eastAsia="宋体" w:cs="宋体"/>
          <w:color w:val="auto"/>
          <w:spacing w:val="0"/>
          <w:w w:val="100"/>
          <w:position w:val="0"/>
          <w:sz w:val="24"/>
          <w:szCs w:val="24"/>
          <w:highlight w:val="none"/>
        </w:rPr>
        <w:t>，从业人员</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rPr>
        <w:t xml:space="preserve">人，营业收入为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rPr>
        <w:t>万元，资产总额为</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rPr>
        <w:t>万元，属于</w:t>
      </w:r>
      <w:r>
        <w:rPr>
          <w:rFonts w:hint="eastAsia" w:ascii="宋体" w:hAnsi="宋体" w:eastAsia="宋体" w:cs="宋体"/>
          <w:color w:val="auto"/>
          <w:spacing w:val="0"/>
          <w:w w:val="100"/>
          <w:position w:val="0"/>
          <w:sz w:val="24"/>
          <w:szCs w:val="24"/>
          <w:highlight w:val="none"/>
          <w:u w:val="single"/>
        </w:rPr>
        <w:t>（中型企业、小型企业、微型企业）</w:t>
      </w:r>
      <w:r>
        <w:rPr>
          <w:rFonts w:hint="eastAsia" w:ascii="宋体" w:hAnsi="宋体" w:eastAsia="宋体" w:cs="宋体"/>
          <w:color w:val="auto"/>
          <w:spacing w:val="0"/>
          <w:w w:val="100"/>
          <w:position w:val="0"/>
          <w:sz w:val="24"/>
          <w:szCs w:val="24"/>
          <w:highlight w:val="none"/>
        </w:rPr>
        <w:t>；</w:t>
      </w:r>
    </w:p>
    <w:p>
      <w:pPr>
        <w:pStyle w:val="10"/>
        <w:kinsoku w:val="0"/>
        <w:overflowPunct w:val="0"/>
        <w:spacing w:before="34"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w:t>
      </w:r>
      <w:r>
        <w:rPr>
          <w:rFonts w:hint="eastAsia" w:ascii="宋体" w:hAnsi="宋体" w:eastAsia="宋体" w:cs="宋体"/>
          <w:color w:val="auto"/>
          <w:spacing w:val="0"/>
          <w:w w:val="100"/>
          <w:position w:val="0"/>
          <w:sz w:val="24"/>
          <w:szCs w:val="24"/>
          <w:highlight w:val="none"/>
          <w:u w:val="single"/>
        </w:rPr>
        <w:t>（标的名称）</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color w:val="auto"/>
          <w:spacing w:val="0"/>
          <w:w w:val="100"/>
          <w:position w:val="0"/>
          <w:sz w:val="24"/>
          <w:szCs w:val="24"/>
          <w:highlight w:val="none"/>
          <w:u w:val="single"/>
        </w:rPr>
        <w:t>（采购文件中明确的所属行业）</w:t>
      </w:r>
      <w:r>
        <w:rPr>
          <w:rFonts w:hint="eastAsia" w:ascii="宋体" w:hAnsi="宋体" w:eastAsia="宋体" w:cs="宋体"/>
          <w:color w:val="auto"/>
          <w:spacing w:val="0"/>
          <w:w w:val="100"/>
          <w:position w:val="0"/>
          <w:sz w:val="24"/>
          <w:szCs w:val="24"/>
          <w:highlight w:val="none"/>
        </w:rPr>
        <w:t>；承建（承接）企业为</w:t>
      </w:r>
      <w:r>
        <w:rPr>
          <w:rFonts w:hint="eastAsia" w:ascii="宋体" w:hAnsi="宋体" w:eastAsia="宋体" w:cs="宋体"/>
          <w:color w:val="auto"/>
          <w:spacing w:val="0"/>
          <w:w w:val="100"/>
          <w:position w:val="0"/>
          <w:sz w:val="24"/>
          <w:szCs w:val="24"/>
          <w:highlight w:val="none"/>
          <w:u w:val="single"/>
        </w:rPr>
        <w:t>（企业名称）</w:t>
      </w:r>
      <w:r>
        <w:rPr>
          <w:rFonts w:hint="eastAsia" w:ascii="宋体" w:hAnsi="宋体" w:eastAsia="宋体" w:cs="宋体"/>
          <w:color w:val="auto"/>
          <w:spacing w:val="0"/>
          <w:w w:val="100"/>
          <w:position w:val="0"/>
          <w:sz w:val="24"/>
          <w:szCs w:val="24"/>
          <w:highlight w:val="none"/>
        </w:rPr>
        <w:t>，从业人员</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人，营业收入为</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万元，资产总额为</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rPr>
        <w:t>万元，属于</w:t>
      </w:r>
      <w:r>
        <w:rPr>
          <w:rFonts w:hint="eastAsia" w:ascii="宋体" w:hAnsi="宋体" w:eastAsia="宋体" w:cs="宋体"/>
          <w:color w:val="auto"/>
          <w:spacing w:val="0"/>
          <w:w w:val="100"/>
          <w:position w:val="0"/>
          <w:sz w:val="24"/>
          <w:szCs w:val="24"/>
          <w:highlight w:val="none"/>
          <w:u w:val="single"/>
        </w:rPr>
        <w:t>（中型企业、小型企业、微型企业）</w:t>
      </w:r>
      <w:r>
        <w:rPr>
          <w:rFonts w:hint="eastAsia" w:ascii="宋体" w:hAnsi="宋体" w:eastAsia="宋体" w:cs="宋体"/>
          <w:color w:val="auto"/>
          <w:spacing w:val="0"/>
          <w:w w:val="100"/>
          <w:position w:val="0"/>
          <w:sz w:val="24"/>
          <w:szCs w:val="24"/>
          <w:highlight w:val="none"/>
        </w:rPr>
        <w:t>；</w:t>
      </w:r>
    </w:p>
    <w:p>
      <w:pPr>
        <w:pStyle w:val="10"/>
        <w:kinsoku w:val="0"/>
        <w:overflowPunct w:val="0"/>
        <w:spacing w:before="34" w:line="360" w:lineRule="auto"/>
        <w:ind w:left="765" w:right="138" w:hanging="5"/>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 </w:t>
      </w:r>
    </w:p>
    <w:p>
      <w:pPr>
        <w:pStyle w:val="10"/>
        <w:kinsoku w:val="0"/>
        <w:overflowPunct w:val="0"/>
        <w:spacing w:before="34"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以上企业，不属于大企业的分支机构，不存在控股股东为大企业的情形，也不存在与大企业的负责人为同一人的情形。</w:t>
      </w:r>
    </w:p>
    <w:p>
      <w:pPr>
        <w:pStyle w:val="10"/>
        <w:kinsoku w:val="0"/>
        <w:overflowPunct w:val="0"/>
        <w:spacing w:before="34"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本企业对上述声明内容的真实性负责。如有虚假，将依法承担相应责任。</w:t>
      </w:r>
    </w:p>
    <w:p>
      <w:pPr>
        <w:pStyle w:val="10"/>
        <w:kinsoku w:val="0"/>
        <w:overflowPunct w:val="0"/>
        <w:spacing w:before="56" w:line="360" w:lineRule="auto"/>
        <w:ind w:left="3960" w:right="1748"/>
        <w:rPr>
          <w:rFonts w:hint="eastAsia" w:ascii="宋体" w:hAnsi="宋体" w:eastAsia="宋体" w:cs="宋体"/>
          <w:color w:val="auto"/>
          <w:spacing w:val="0"/>
          <w:w w:val="100"/>
          <w:position w:val="0"/>
          <w:sz w:val="24"/>
          <w:szCs w:val="24"/>
          <w:highlight w:val="none"/>
        </w:rPr>
      </w:pPr>
    </w:p>
    <w:p>
      <w:pPr>
        <w:keepLines w:val="0"/>
        <w:kinsoku/>
        <w:wordWrap/>
        <w:overflowPunct/>
        <w:bidi w:val="0"/>
        <w:spacing w:line="360" w:lineRule="auto"/>
        <w:ind w:firstLine="2880" w:firstLineChars="1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企业名称（盖章）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 xml:space="preserve"> </w:t>
      </w:r>
    </w:p>
    <w:p>
      <w:pPr>
        <w:keepLines w:val="0"/>
        <w:kinsoku/>
        <w:wordWrap/>
        <w:overflowPunct/>
        <w:bidi w:val="0"/>
        <w:spacing w:line="360" w:lineRule="auto"/>
        <w:ind w:firstLine="2880" w:firstLineChars="12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 xml:space="preserve">日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p>
    <w:p>
      <w:pPr>
        <w:keepLines w:val="0"/>
        <w:kinsoku/>
        <w:wordWrap/>
        <w:overflowPunct/>
        <w:bidi w:val="0"/>
        <w:spacing w:line="360" w:lineRule="auto"/>
        <w:rPr>
          <w:rFonts w:hint="eastAsia" w:ascii="宋体" w:hAnsi="宋体" w:eastAsia="宋体" w:cs="宋体"/>
          <w:color w:val="auto"/>
          <w:spacing w:val="0"/>
          <w:w w:val="100"/>
          <w:position w:val="0"/>
          <w:sz w:val="24"/>
          <w:szCs w:val="24"/>
          <w:highlight w:val="none"/>
        </w:rPr>
      </w:pPr>
    </w:p>
    <w:p>
      <w:pPr>
        <w:autoSpaceDE w:val="0"/>
        <w:autoSpaceDN w:val="0"/>
        <w:adjustRightInd w:val="0"/>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从业人员、营业收入、资产总额填报上一年度数据，无上一年度数据的新成立企业可不填报。</w:t>
      </w: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pacing w:val="0"/>
          <w:w w:val="100"/>
          <w:position w:val="0"/>
          <w:sz w:val="24"/>
          <w:szCs w:val="24"/>
          <w:highlight w:val="none"/>
          <w:lang w:eastAsia="zh-CN"/>
        </w:rPr>
      </w:pP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2</w:t>
      </w:r>
      <w:r>
        <w:rPr>
          <w:rFonts w:hint="eastAsia" w:ascii="宋体" w:hAnsi="宋体" w:eastAsia="宋体" w:cs="宋体"/>
          <w:b/>
          <w:color w:val="auto"/>
          <w:spacing w:val="0"/>
          <w:w w:val="100"/>
          <w:position w:val="0"/>
          <w:sz w:val="24"/>
          <w:szCs w:val="24"/>
          <w:highlight w:val="none"/>
          <w:lang w:eastAsia="zh-CN"/>
        </w:rPr>
        <w:t>：</w:t>
      </w:r>
    </w:p>
    <w:p>
      <w:pPr>
        <w:keepLines w:val="0"/>
        <w:kinsoku/>
        <w:wordWrap/>
        <w:overflowPunct/>
        <w:bidi w:val="0"/>
        <w:spacing w:line="360" w:lineRule="auto"/>
        <w:jc w:val="cente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残疾人福利性单位声明函</w:t>
      </w:r>
    </w:p>
    <w:p>
      <w:pPr>
        <w:keepLines w:val="0"/>
        <w:kinsoku/>
        <w:wordWrap/>
        <w:overflowPunct/>
        <w:bidi w:val="0"/>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单位的</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项目采购活动提供本单位制造的货物（由本单位承担工程/提供服务），或者提供其他残疾人福利性单位制造的货物（不包括使用非残疾人福利性单位注册商标的货物）。</w:t>
      </w:r>
    </w:p>
    <w:p>
      <w:pPr>
        <w:keepLines w:val="0"/>
        <w:kinsoku/>
        <w:wordWrap/>
        <w:overflowPunct/>
        <w:bidi w:val="0"/>
        <w:spacing w:line="360" w:lineRule="auto"/>
        <w:ind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本单位对上述声明的真实性负责。如有虚假，将依法承担相应责任。</w:t>
      </w:r>
    </w:p>
    <w:p>
      <w:pPr>
        <w:keepLines w:val="0"/>
        <w:kinsoku/>
        <w:wordWrap/>
        <w:overflowPunct/>
        <w:bidi w:val="0"/>
        <w:spacing w:line="360" w:lineRule="auto"/>
        <w:ind w:firstLine="480" w:firstLineChars="200"/>
        <w:rPr>
          <w:rFonts w:hint="eastAsia" w:ascii="宋体" w:hAnsi="宋体" w:eastAsia="宋体" w:cs="宋体"/>
          <w:color w:val="auto"/>
          <w:spacing w:val="0"/>
          <w:w w:val="100"/>
          <w:position w:val="0"/>
          <w:sz w:val="24"/>
          <w:szCs w:val="24"/>
          <w:highlight w:val="none"/>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w:t>
      </w:r>
      <w:r>
        <w:rPr>
          <w:rFonts w:hint="eastAsia" w:ascii="宋体" w:hAnsi="宋体" w:eastAsia="宋体" w:cs="宋体"/>
          <w:color w:val="auto"/>
          <w:spacing w:val="0"/>
          <w:w w:val="100"/>
          <w:position w:val="0"/>
          <w:sz w:val="24"/>
          <w:szCs w:val="24"/>
          <w:highlight w:val="none"/>
          <w:lang w:eastAsia="zh-CN"/>
        </w:rPr>
        <w:t>或</w:t>
      </w:r>
      <w:r>
        <w:rPr>
          <w:rFonts w:hint="eastAsia" w:ascii="宋体" w:hAnsi="宋体" w:eastAsia="宋体" w:cs="宋体"/>
          <w:color w:val="auto"/>
          <w:spacing w:val="0"/>
          <w:w w:val="100"/>
          <w:position w:val="0"/>
          <w:sz w:val="24"/>
          <w:szCs w:val="24"/>
          <w:highlight w:val="none"/>
        </w:rPr>
        <w:t>授权代表（签字</w:t>
      </w:r>
      <w:r>
        <w:rPr>
          <w:rFonts w:hint="eastAsia" w:ascii="宋体" w:hAnsi="宋体" w:eastAsia="宋体" w:cs="宋体"/>
          <w:color w:val="auto"/>
          <w:spacing w:val="0"/>
          <w:w w:val="100"/>
          <w:position w:val="0"/>
          <w:sz w:val="24"/>
          <w:szCs w:val="24"/>
          <w:highlight w:val="none"/>
          <w:lang w:eastAsia="zh-CN"/>
        </w:rPr>
        <w:t>或盖章</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p>
    <w:p>
      <w:pPr>
        <w:keepLines w:val="0"/>
        <w:kinsoku/>
        <w:wordWrap/>
        <w:overflowPunct/>
        <w:bidi w:val="0"/>
        <w:adjustRightInd w:val="0"/>
        <w:snapToGrid w:val="0"/>
        <w:spacing w:line="360" w:lineRule="auto"/>
        <w:rPr>
          <w:rFonts w:hint="eastAsia" w:ascii="宋体" w:hAnsi="宋体" w:eastAsia="宋体" w:cs="宋体"/>
          <w:color w:val="auto"/>
          <w:spacing w:val="0"/>
          <w:w w:val="100"/>
          <w:position w:val="0"/>
          <w:sz w:val="24"/>
          <w:szCs w:val="24"/>
          <w:highlight w:val="none"/>
        </w:rPr>
      </w:pPr>
    </w:p>
    <w:p>
      <w:pPr>
        <w:spacing w:line="360" w:lineRule="auto"/>
        <w:rPr>
          <w:rFonts w:hint="eastAsia" w:ascii="宋体" w:hAnsi="宋体" w:eastAsia="宋体" w:cs="宋体"/>
          <w:b/>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说明</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bCs/>
          <w:color w:val="auto"/>
          <w:spacing w:val="0"/>
          <w:w w:val="100"/>
          <w:position w:val="0"/>
          <w:sz w:val="24"/>
          <w:szCs w:val="24"/>
          <w:highlight w:val="none"/>
        </w:rPr>
        <w:t>未按上述要求提供、</w:t>
      </w:r>
      <w:r>
        <w:rPr>
          <w:rFonts w:hint="eastAsia" w:ascii="宋体" w:hAnsi="宋体" w:eastAsia="宋体" w:cs="宋体"/>
          <w:color w:val="auto"/>
          <w:spacing w:val="0"/>
          <w:w w:val="100"/>
          <w:position w:val="0"/>
          <w:sz w:val="24"/>
          <w:szCs w:val="24"/>
          <w:highlight w:val="none"/>
        </w:rPr>
        <w:t>填写</w:t>
      </w:r>
      <w:r>
        <w:rPr>
          <w:rFonts w:hint="eastAsia" w:ascii="宋体" w:hAnsi="宋体" w:eastAsia="宋体" w:cs="宋体"/>
          <w:bCs/>
          <w:color w:val="auto"/>
          <w:spacing w:val="0"/>
          <w:w w:val="100"/>
          <w:position w:val="0"/>
          <w:sz w:val="24"/>
          <w:szCs w:val="24"/>
          <w:highlight w:val="none"/>
        </w:rPr>
        <w:t>的，评审时不予以考虑。</w:t>
      </w: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p>
    <w:p>
      <w:pPr>
        <w:snapToGrid w:val="0"/>
        <w:spacing w:before="156" w:after="156"/>
        <w:ind w:left="0" w:leftChars="0" w:firstLine="0" w:firstLineChars="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附件3：</w:t>
      </w:r>
    </w:p>
    <w:p>
      <w:pPr>
        <w:pStyle w:val="3"/>
        <w:spacing w:before="156" w:after="156" w:line="360" w:lineRule="auto"/>
        <w:ind w:left="6" w:firstLine="643"/>
        <w:rPr>
          <w:rFonts w:hint="eastAsia" w:ascii="宋体" w:hAnsi="宋体" w:eastAsia="宋体" w:cs="宋体"/>
          <w:color w:val="auto"/>
          <w:highlight w:val="none"/>
          <w:lang w:val="en-US" w:eastAsia="zh-CN"/>
        </w:rPr>
      </w:pPr>
      <w:r>
        <w:rPr>
          <w:rFonts w:hint="eastAsia" w:ascii="宋体" w:hAnsi="宋体" w:eastAsia="宋体" w:cs="宋体"/>
          <w:color w:val="auto"/>
          <w:sz w:val="32"/>
          <w:szCs w:val="32"/>
          <w:highlight w:val="none"/>
        </w:rPr>
        <w:t>监狱企业证明</w:t>
      </w:r>
      <w:r>
        <w:rPr>
          <w:rFonts w:hint="eastAsia" w:ascii="宋体" w:hAnsi="宋体" w:eastAsia="宋体" w:cs="宋体"/>
          <w:color w:val="auto"/>
          <w:sz w:val="32"/>
          <w:szCs w:val="32"/>
          <w:highlight w:val="none"/>
          <w:lang w:val="en-US" w:eastAsia="zh-CN"/>
        </w:rPr>
        <w:t>函</w:t>
      </w:r>
    </w:p>
    <w:p>
      <w:pPr>
        <w:spacing w:before="156" w:after="156"/>
        <w:ind w:left="6" w:firstLine="560"/>
        <w:rPr>
          <w:rFonts w:hint="eastAsia" w:ascii="宋体" w:hAnsi="宋体" w:eastAsia="宋体" w:cs="宋体"/>
          <w:color w:val="auto"/>
          <w:highlight w:val="none"/>
        </w:rPr>
      </w:pPr>
    </w:p>
    <w:p>
      <w:pPr>
        <w:pStyle w:val="22"/>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2"/>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监狱企业参加政府采购活动时，应当提供由省级以上监狱管理局、戒毒管理局（含新疆生产建设兵团）出具的属于监狱企业的证明文件。</w:t>
      </w:r>
    </w:p>
    <w:p>
      <w:pPr>
        <w:keepLines w:val="0"/>
        <w:kinsoku/>
        <w:wordWrap/>
        <w:overflowPunct/>
        <w:bidi w:val="0"/>
        <w:spacing w:line="360" w:lineRule="auto"/>
        <w:ind w:firstLine="480" w:firstLineChars="200"/>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本单位对上述声明的真实性负责。如有虚假，将依法承担相应责任。</w:t>
      </w:r>
    </w:p>
    <w:p>
      <w:pPr>
        <w:keepLines w:val="0"/>
        <w:kinsoku/>
        <w:wordWrap/>
        <w:overflowPunct/>
        <w:bidi w:val="0"/>
        <w:spacing w:line="360" w:lineRule="auto"/>
        <w:ind w:firstLine="480" w:firstLineChars="200"/>
        <w:rPr>
          <w:rFonts w:hint="eastAsia" w:ascii="宋体" w:hAnsi="宋体" w:eastAsia="宋体" w:cs="宋体"/>
          <w:color w:val="auto"/>
          <w:spacing w:val="0"/>
          <w:w w:val="100"/>
          <w:position w:val="0"/>
          <w:sz w:val="24"/>
          <w:szCs w:val="24"/>
          <w:highlight w:val="none"/>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供应商（公章）</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w:t>
      </w:r>
      <w:r>
        <w:rPr>
          <w:rFonts w:hint="eastAsia" w:ascii="宋体" w:hAnsi="宋体" w:eastAsia="宋体" w:cs="宋体"/>
          <w:color w:val="auto"/>
          <w:spacing w:val="0"/>
          <w:w w:val="100"/>
          <w:position w:val="0"/>
          <w:sz w:val="24"/>
          <w:szCs w:val="24"/>
          <w:highlight w:val="none"/>
          <w:lang w:eastAsia="zh-CN"/>
        </w:rPr>
        <w:t>或</w:t>
      </w:r>
      <w:r>
        <w:rPr>
          <w:rFonts w:hint="eastAsia" w:ascii="宋体" w:hAnsi="宋体" w:eastAsia="宋体" w:cs="宋体"/>
          <w:color w:val="auto"/>
          <w:spacing w:val="0"/>
          <w:w w:val="100"/>
          <w:position w:val="0"/>
          <w:sz w:val="24"/>
          <w:szCs w:val="24"/>
          <w:highlight w:val="none"/>
        </w:rPr>
        <w:t>授权代表（签字</w:t>
      </w:r>
      <w:r>
        <w:rPr>
          <w:rFonts w:hint="eastAsia" w:ascii="宋体" w:hAnsi="宋体" w:eastAsia="宋体" w:cs="宋体"/>
          <w:color w:val="auto"/>
          <w:spacing w:val="0"/>
          <w:w w:val="100"/>
          <w:position w:val="0"/>
          <w:sz w:val="24"/>
          <w:szCs w:val="24"/>
          <w:highlight w:val="none"/>
          <w:lang w:eastAsia="zh-CN"/>
        </w:rPr>
        <w:t>或盖章</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日    期</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p>
    <w:p>
      <w:pPr>
        <w:keepLines w:val="0"/>
        <w:kinsoku/>
        <w:wordWrap/>
        <w:overflowPunct/>
        <w:bidi w:val="0"/>
        <w:adjustRightInd w:val="0"/>
        <w:snapToGrid w:val="0"/>
        <w:spacing w:line="360" w:lineRule="auto"/>
        <w:rPr>
          <w:rFonts w:hint="eastAsia" w:ascii="宋体" w:hAnsi="宋体" w:eastAsia="宋体" w:cs="宋体"/>
          <w:color w:val="auto"/>
          <w:spacing w:val="0"/>
          <w:w w:val="100"/>
          <w:position w:val="0"/>
          <w:sz w:val="24"/>
          <w:szCs w:val="24"/>
          <w:highlight w:val="none"/>
        </w:rPr>
      </w:pPr>
    </w:p>
    <w:p>
      <w:pPr>
        <w:spacing w:line="360" w:lineRule="auto"/>
        <w:rPr>
          <w:rFonts w:hint="eastAsia" w:ascii="宋体" w:hAnsi="宋体" w:eastAsia="宋体" w:cs="宋体"/>
          <w:b/>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说明</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bCs/>
          <w:color w:val="auto"/>
          <w:spacing w:val="0"/>
          <w:w w:val="100"/>
          <w:position w:val="0"/>
          <w:sz w:val="24"/>
          <w:szCs w:val="24"/>
          <w:highlight w:val="none"/>
        </w:rPr>
        <w:t>未按上述要求提供、</w:t>
      </w:r>
      <w:r>
        <w:rPr>
          <w:rFonts w:hint="eastAsia" w:ascii="宋体" w:hAnsi="宋体" w:eastAsia="宋体" w:cs="宋体"/>
          <w:color w:val="auto"/>
          <w:spacing w:val="0"/>
          <w:w w:val="100"/>
          <w:position w:val="0"/>
          <w:sz w:val="24"/>
          <w:szCs w:val="24"/>
          <w:highlight w:val="none"/>
        </w:rPr>
        <w:t>填写</w:t>
      </w:r>
      <w:r>
        <w:rPr>
          <w:rFonts w:hint="eastAsia" w:ascii="宋体" w:hAnsi="宋体" w:eastAsia="宋体" w:cs="宋体"/>
          <w:bCs/>
          <w:color w:val="auto"/>
          <w:spacing w:val="0"/>
          <w:w w:val="100"/>
          <w:position w:val="0"/>
          <w:sz w:val="24"/>
          <w:szCs w:val="24"/>
          <w:highlight w:val="none"/>
        </w:rPr>
        <w:t>的，评审时不予以考虑。</w:t>
      </w:r>
    </w:p>
    <w:p>
      <w:pPr>
        <w:pStyle w:val="22"/>
        <w:rPr>
          <w:rFonts w:hint="eastAsia" w:ascii="宋体" w:hAnsi="宋体" w:eastAsia="宋体" w:cs="宋体"/>
          <w:bCs/>
          <w:color w:val="auto"/>
          <w:sz w:val="24"/>
          <w:szCs w:val="24"/>
          <w:highlight w:val="none"/>
          <w:lang w:eastAsia="zh-CN"/>
        </w:rPr>
      </w:pPr>
    </w:p>
    <w:sectPr>
      <w:headerReference r:id="rId9" w:type="default"/>
      <w:footerReference r:id="rId10" w:type="default"/>
      <w:pgSz w:w="11906" w:h="16838"/>
      <w:pgMar w:top="1440" w:right="1247" w:bottom="1440" w:left="1531" w:header="851" w:footer="68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6" w:firstLine="560"/>
      </w:pPr>
      <w:r>
        <w:separator/>
      </w:r>
    </w:p>
  </w:endnote>
  <w:endnote w:type="continuationSeparator" w:id="1">
    <w:p>
      <w:pPr>
        <w:spacing w:line="240" w:lineRule="auto"/>
        <w:ind w:left="6"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ion">
    <w:altName w:val="新宋体"/>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default"/>
                              <w:lang w:val="en-US"/>
                            </w:rPr>
                          </w:pPr>
                          <w:r>
                            <w:rPr>
                              <w:rFonts w:hint="default"/>
                              <w:lang w:val="en-US"/>
                            </w:rPr>
                            <w:fldChar w:fldCharType="begin"/>
                          </w:r>
                          <w:r>
                            <w:rPr>
                              <w:rFonts w:hint="default"/>
                              <w:lang w:val="en-US"/>
                            </w:rPr>
                            <w:instrText xml:space="preserve"> PAGE \* MERGEFORMAT </w:instrText>
                          </w:r>
                          <w:r>
                            <w:rPr>
                              <w:rFonts w:hint="default"/>
                              <w:lang w:val="en-US"/>
                            </w:rPr>
                            <w:fldChar w:fldCharType="separate"/>
                          </w:r>
                          <w:r>
                            <w:rPr>
                              <w:rFonts w:hint="default"/>
                              <w:lang w:val="en-US"/>
                            </w:rPr>
                            <w:t>1</w:t>
                          </w:r>
                          <w:r>
                            <w:rPr>
                              <w:rFonts w:hint="default"/>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default"/>
                        <w:lang w:val="en-US"/>
                      </w:rPr>
                    </w:pPr>
                    <w:r>
                      <w:rPr>
                        <w:rFonts w:hint="default"/>
                        <w:lang w:val="en-US"/>
                      </w:rPr>
                      <w:fldChar w:fldCharType="begin"/>
                    </w:r>
                    <w:r>
                      <w:rPr>
                        <w:rFonts w:hint="default"/>
                        <w:lang w:val="en-US"/>
                      </w:rPr>
                      <w:instrText xml:space="preserve"> PAGE \* MERGEFORMAT </w:instrText>
                    </w:r>
                    <w:r>
                      <w:rPr>
                        <w:rFonts w:hint="default"/>
                        <w:lang w:val="en-US"/>
                      </w:rPr>
                      <w:fldChar w:fldCharType="separate"/>
                    </w:r>
                    <w:r>
                      <w:rPr>
                        <w:rFonts w:hint="default"/>
                        <w:lang w:val="en-US"/>
                      </w:rPr>
                      <w:t>1</w:t>
                    </w:r>
                    <w:r>
                      <w:rPr>
                        <w:rFonts w:hint="default"/>
                        <w:lang w:val="en-US"/>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925"/>
        <w:tab w:val="clear" w:pos="8306"/>
      </w:tabs>
      <w:ind w:right="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left="6" w:firstLine="560"/>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left="6" w:firstLine="560"/>
      </w:pPr>
      <w:r>
        <w:separator/>
      </w:r>
    </w:p>
  </w:footnote>
  <w:footnote w:type="continuationSeparator" w:id="1">
    <w:p>
      <w:pPr>
        <w:spacing w:before="0" w:after="0" w:line="360" w:lineRule="auto"/>
        <w:ind w:left="6"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spacing w:before="120" w:after="120"/>
      <w:ind w:left="6"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DEA07"/>
    <w:multiLevelType w:val="singleLevel"/>
    <w:tmpl w:val="83BDEA07"/>
    <w:lvl w:ilvl="0" w:tentative="0">
      <w:start w:val="1"/>
      <w:numFmt w:val="decimal"/>
      <w:suff w:val="nothing"/>
      <w:lvlText w:val="%1、"/>
      <w:lvlJc w:val="left"/>
    </w:lvl>
  </w:abstractNum>
  <w:abstractNum w:abstractNumId="1">
    <w:nsid w:val="9A6C338D"/>
    <w:multiLevelType w:val="singleLevel"/>
    <w:tmpl w:val="9A6C338D"/>
    <w:lvl w:ilvl="0" w:tentative="0">
      <w:start w:val="3"/>
      <w:numFmt w:val="chineseCounting"/>
      <w:suff w:val="space"/>
      <w:lvlText w:val="第%1章"/>
      <w:lvlJc w:val="left"/>
      <w:rPr>
        <w:rFonts w:hint="eastAsia"/>
      </w:rPr>
    </w:lvl>
  </w:abstractNum>
  <w:abstractNum w:abstractNumId="2">
    <w:nsid w:val="D570CFF0"/>
    <w:multiLevelType w:val="singleLevel"/>
    <w:tmpl w:val="D570CFF0"/>
    <w:lvl w:ilvl="0" w:tentative="0">
      <w:start w:val="1"/>
      <w:numFmt w:val="decimal"/>
      <w:suff w:val="nothing"/>
      <w:lvlText w:val="（%1）"/>
      <w:lvlJc w:val="left"/>
    </w:lvl>
  </w:abstractNum>
  <w:abstractNum w:abstractNumId="3">
    <w:nsid w:val="13F2B85D"/>
    <w:multiLevelType w:val="singleLevel"/>
    <w:tmpl w:val="13F2B85D"/>
    <w:lvl w:ilvl="0" w:tentative="0">
      <w:start w:val="1"/>
      <w:numFmt w:val="decimal"/>
      <w:suff w:val="nothing"/>
      <w:lvlText w:val="%1、"/>
      <w:lvlJc w:val="left"/>
    </w:lvl>
  </w:abstractNum>
  <w:abstractNum w:abstractNumId="4">
    <w:nsid w:val="408017E7"/>
    <w:multiLevelType w:val="singleLevel"/>
    <w:tmpl w:val="408017E7"/>
    <w:lvl w:ilvl="0" w:tentative="0">
      <w:start w:val="1"/>
      <w:numFmt w:val="chineseCounting"/>
      <w:suff w:val="nothing"/>
      <w:lvlText w:val="（%1）"/>
      <w:lvlJc w:val="left"/>
      <w:pPr>
        <w:ind w:left="358"/>
      </w:pPr>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NjFhMWY2ODA0ZDBhMGI0MjhjMzFkNDNjYWExN2IifQ=="/>
  </w:docVars>
  <w:rsids>
    <w:rsidRoot w:val="00172A27"/>
    <w:rsid w:val="00064DE5"/>
    <w:rsid w:val="00132B55"/>
    <w:rsid w:val="00151507"/>
    <w:rsid w:val="001B59BD"/>
    <w:rsid w:val="00200987"/>
    <w:rsid w:val="00200FB7"/>
    <w:rsid w:val="0022770E"/>
    <w:rsid w:val="002612BA"/>
    <w:rsid w:val="002C0065"/>
    <w:rsid w:val="002F2CB4"/>
    <w:rsid w:val="003757BD"/>
    <w:rsid w:val="00375AE6"/>
    <w:rsid w:val="00405734"/>
    <w:rsid w:val="004B37ED"/>
    <w:rsid w:val="004C4A78"/>
    <w:rsid w:val="00687CCA"/>
    <w:rsid w:val="006B0AB7"/>
    <w:rsid w:val="006E3EA3"/>
    <w:rsid w:val="00716D5B"/>
    <w:rsid w:val="00782A3B"/>
    <w:rsid w:val="0086439C"/>
    <w:rsid w:val="00893E09"/>
    <w:rsid w:val="00897D12"/>
    <w:rsid w:val="0093788B"/>
    <w:rsid w:val="00981486"/>
    <w:rsid w:val="00A277A7"/>
    <w:rsid w:val="00A339E0"/>
    <w:rsid w:val="00A5338C"/>
    <w:rsid w:val="00BD440C"/>
    <w:rsid w:val="00C80308"/>
    <w:rsid w:val="00C867C6"/>
    <w:rsid w:val="00D46D6A"/>
    <w:rsid w:val="00D65F15"/>
    <w:rsid w:val="00E6285C"/>
    <w:rsid w:val="00E842AD"/>
    <w:rsid w:val="00EA5C8A"/>
    <w:rsid w:val="00EC3B92"/>
    <w:rsid w:val="00F5792E"/>
    <w:rsid w:val="0110519C"/>
    <w:rsid w:val="0127610D"/>
    <w:rsid w:val="01464694"/>
    <w:rsid w:val="018250C4"/>
    <w:rsid w:val="01AD5B88"/>
    <w:rsid w:val="01C76D44"/>
    <w:rsid w:val="01E220BB"/>
    <w:rsid w:val="01E356C2"/>
    <w:rsid w:val="01F324E5"/>
    <w:rsid w:val="020629A1"/>
    <w:rsid w:val="02212080"/>
    <w:rsid w:val="022357AE"/>
    <w:rsid w:val="0265259A"/>
    <w:rsid w:val="02691619"/>
    <w:rsid w:val="028114A4"/>
    <w:rsid w:val="02836DB9"/>
    <w:rsid w:val="02AC2A86"/>
    <w:rsid w:val="02CF579B"/>
    <w:rsid w:val="02D464EC"/>
    <w:rsid w:val="02E3296A"/>
    <w:rsid w:val="02E865F8"/>
    <w:rsid w:val="02F93AAE"/>
    <w:rsid w:val="030A3617"/>
    <w:rsid w:val="03161DDA"/>
    <w:rsid w:val="03464032"/>
    <w:rsid w:val="036E31F8"/>
    <w:rsid w:val="0378191B"/>
    <w:rsid w:val="03A6014E"/>
    <w:rsid w:val="03B27817"/>
    <w:rsid w:val="03D55FB0"/>
    <w:rsid w:val="03E111B7"/>
    <w:rsid w:val="03F22EF5"/>
    <w:rsid w:val="03F50471"/>
    <w:rsid w:val="04074E45"/>
    <w:rsid w:val="041318FE"/>
    <w:rsid w:val="041A29A1"/>
    <w:rsid w:val="041F4EC2"/>
    <w:rsid w:val="042E190F"/>
    <w:rsid w:val="04323CFE"/>
    <w:rsid w:val="04487C7B"/>
    <w:rsid w:val="045F2526"/>
    <w:rsid w:val="047C6834"/>
    <w:rsid w:val="04853E7F"/>
    <w:rsid w:val="04887D8B"/>
    <w:rsid w:val="04943353"/>
    <w:rsid w:val="04A30C9B"/>
    <w:rsid w:val="04B43BBB"/>
    <w:rsid w:val="04B731EE"/>
    <w:rsid w:val="04F73652"/>
    <w:rsid w:val="04FC6177"/>
    <w:rsid w:val="055B1ECF"/>
    <w:rsid w:val="0561233D"/>
    <w:rsid w:val="05743C6F"/>
    <w:rsid w:val="05805CFD"/>
    <w:rsid w:val="058B3DA7"/>
    <w:rsid w:val="058C5916"/>
    <w:rsid w:val="05D32E74"/>
    <w:rsid w:val="05FA4996"/>
    <w:rsid w:val="06080ED3"/>
    <w:rsid w:val="06201D77"/>
    <w:rsid w:val="06601FF2"/>
    <w:rsid w:val="06743CC9"/>
    <w:rsid w:val="068065B9"/>
    <w:rsid w:val="06FA1DB0"/>
    <w:rsid w:val="07073B2A"/>
    <w:rsid w:val="07165CEC"/>
    <w:rsid w:val="07186FE6"/>
    <w:rsid w:val="07384115"/>
    <w:rsid w:val="073B104B"/>
    <w:rsid w:val="076170F6"/>
    <w:rsid w:val="07705891"/>
    <w:rsid w:val="079D727D"/>
    <w:rsid w:val="07A672D9"/>
    <w:rsid w:val="07AA40C4"/>
    <w:rsid w:val="07C8148A"/>
    <w:rsid w:val="07DF5960"/>
    <w:rsid w:val="08041F6D"/>
    <w:rsid w:val="08264453"/>
    <w:rsid w:val="0831739C"/>
    <w:rsid w:val="08380108"/>
    <w:rsid w:val="08494B5A"/>
    <w:rsid w:val="08B62179"/>
    <w:rsid w:val="08D703B4"/>
    <w:rsid w:val="08F330C9"/>
    <w:rsid w:val="090057FF"/>
    <w:rsid w:val="091D4B33"/>
    <w:rsid w:val="092462B7"/>
    <w:rsid w:val="09410EA9"/>
    <w:rsid w:val="09705C96"/>
    <w:rsid w:val="09824C53"/>
    <w:rsid w:val="098A637F"/>
    <w:rsid w:val="098B53C1"/>
    <w:rsid w:val="099076BB"/>
    <w:rsid w:val="099A4986"/>
    <w:rsid w:val="09B23004"/>
    <w:rsid w:val="0A25576E"/>
    <w:rsid w:val="0A2A7187"/>
    <w:rsid w:val="0A567331"/>
    <w:rsid w:val="0A6B1F9A"/>
    <w:rsid w:val="0A8F5625"/>
    <w:rsid w:val="0AB71F17"/>
    <w:rsid w:val="0AB80156"/>
    <w:rsid w:val="0AC47063"/>
    <w:rsid w:val="0AC74351"/>
    <w:rsid w:val="0ACA440E"/>
    <w:rsid w:val="0AD7366E"/>
    <w:rsid w:val="0AEF4631"/>
    <w:rsid w:val="0B4C3E1A"/>
    <w:rsid w:val="0B686935"/>
    <w:rsid w:val="0B6C5FEB"/>
    <w:rsid w:val="0B7401D1"/>
    <w:rsid w:val="0BA14464"/>
    <w:rsid w:val="0BA23559"/>
    <w:rsid w:val="0BB74523"/>
    <w:rsid w:val="0BBF3560"/>
    <w:rsid w:val="0BC63913"/>
    <w:rsid w:val="0BCF00A7"/>
    <w:rsid w:val="0C026EEC"/>
    <w:rsid w:val="0C201991"/>
    <w:rsid w:val="0C29721D"/>
    <w:rsid w:val="0C3149E6"/>
    <w:rsid w:val="0CAE07C2"/>
    <w:rsid w:val="0CBF549A"/>
    <w:rsid w:val="0CD70BC2"/>
    <w:rsid w:val="0CDA40E8"/>
    <w:rsid w:val="0CDA7ED1"/>
    <w:rsid w:val="0CDE1455"/>
    <w:rsid w:val="0CED636B"/>
    <w:rsid w:val="0D106CA1"/>
    <w:rsid w:val="0D1628D4"/>
    <w:rsid w:val="0D254B77"/>
    <w:rsid w:val="0D2808EE"/>
    <w:rsid w:val="0D3A6300"/>
    <w:rsid w:val="0D507EC5"/>
    <w:rsid w:val="0D56619C"/>
    <w:rsid w:val="0D772142"/>
    <w:rsid w:val="0D7C54BE"/>
    <w:rsid w:val="0D815B3F"/>
    <w:rsid w:val="0DA2723E"/>
    <w:rsid w:val="0DAC6C79"/>
    <w:rsid w:val="0DBE76E0"/>
    <w:rsid w:val="0DE03650"/>
    <w:rsid w:val="0DEC07A0"/>
    <w:rsid w:val="0DF87778"/>
    <w:rsid w:val="0E174CD5"/>
    <w:rsid w:val="0E1D6D11"/>
    <w:rsid w:val="0E5F2F77"/>
    <w:rsid w:val="0E6A24D4"/>
    <w:rsid w:val="0E6E7FEB"/>
    <w:rsid w:val="0E713BB5"/>
    <w:rsid w:val="0E8A6C9D"/>
    <w:rsid w:val="0EAC0B45"/>
    <w:rsid w:val="0EB93030"/>
    <w:rsid w:val="0ECB5621"/>
    <w:rsid w:val="0ED90F04"/>
    <w:rsid w:val="0EDD2743"/>
    <w:rsid w:val="0EEE6A06"/>
    <w:rsid w:val="0EF824BB"/>
    <w:rsid w:val="0F112663"/>
    <w:rsid w:val="0F123819"/>
    <w:rsid w:val="0F3E1DE0"/>
    <w:rsid w:val="0F40315A"/>
    <w:rsid w:val="0F4E5604"/>
    <w:rsid w:val="0F5E153A"/>
    <w:rsid w:val="0F6C2F8C"/>
    <w:rsid w:val="0F8B3A1F"/>
    <w:rsid w:val="0F8E410B"/>
    <w:rsid w:val="0F9C11A2"/>
    <w:rsid w:val="0FA959D8"/>
    <w:rsid w:val="0FBA6ADB"/>
    <w:rsid w:val="0FC31AE2"/>
    <w:rsid w:val="100C1AA0"/>
    <w:rsid w:val="103D11D9"/>
    <w:rsid w:val="105B4CE1"/>
    <w:rsid w:val="10877F8B"/>
    <w:rsid w:val="109D05F2"/>
    <w:rsid w:val="10A941BE"/>
    <w:rsid w:val="10B86AD6"/>
    <w:rsid w:val="10C769EC"/>
    <w:rsid w:val="10DF57E4"/>
    <w:rsid w:val="10EB7D2D"/>
    <w:rsid w:val="1104177D"/>
    <w:rsid w:val="11136F0C"/>
    <w:rsid w:val="11144B21"/>
    <w:rsid w:val="11150828"/>
    <w:rsid w:val="112A3F36"/>
    <w:rsid w:val="112D0A8D"/>
    <w:rsid w:val="118B0EDD"/>
    <w:rsid w:val="11A102FB"/>
    <w:rsid w:val="11A275C8"/>
    <w:rsid w:val="11AA7D8B"/>
    <w:rsid w:val="11C934B9"/>
    <w:rsid w:val="11CB50CD"/>
    <w:rsid w:val="11E01369"/>
    <w:rsid w:val="11E909AF"/>
    <w:rsid w:val="11ED38D5"/>
    <w:rsid w:val="121C770B"/>
    <w:rsid w:val="12342A54"/>
    <w:rsid w:val="12622C32"/>
    <w:rsid w:val="12720E4C"/>
    <w:rsid w:val="1292634E"/>
    <w:rsid w:val="12E45C17"/>
    <w:rsid w:val="12F276DB"/>
    <w:rsid w:val="12F571C7"/>
    <w:rsid w:val="13087C87"/>
    <w:rsid w:val="130E25F8"/>
    <w:rsid w:val="13413DE3"/>
    <w:rsid w:val="137A3832"/>
    <w:rsid w:val="13852BF1"/>
    <w:rsid w:val="1385311D"/>
    <w:rsid w:val="138C1AE9"/>
    <w:rsid w:val="13AD56C3"/>
    <w:rsid w:val="13DF25CB"/>
    <w:rsid w:val="13DF4466"/>
    <w:rsid w:val="13E717F2"/>
    <w:rsid w:val="14086F16"/>
    <w:rsid w:val="14121299"/>
    <w:rsid w:val="14177908"/>
    <w:rsid w:val="142F1624"/>
    <w:rsid w:val="143134F5"/>
    <w:rsid w:val="146E5FD2"/>
    <w:rsid w:val="148529A1"/>
    <w:rsid w:val="14896AB1"/>
    <w:rsid w:val="14B21855"/>
    <w:rsid w:val="14ED6CED"/>
    <w:rsid w:val="15055F97"/>
    <w:rsid w:val="15062141"/>
    <w:rsid w:val="150C4AFF"/>
    <w:rsid w:val="15420379"/>
    <w:rsid w:val="155B483C"/>
    <w:rsid w:val="155F518F"/>
    <w:rsid w:val="157D3B3A"/>
    <w:rsid w:val="15A25E80"/>
    <w:rsid w:val="15A56475"/>
    <w:rsid w:val="15A67BCF"/>
    <w:rsid w:val="15A90DB4"/>
    <w:rsid w:val="15B3763E"/>
    <w:rsid w:val="15E82EDD"/>
    <w:rsid w:val="15EE043A"/>
    <w:rsid w:val="161A0960"/>
    <w:rsid w:val="161F7E38"/>
    <w:rsid w:val="163C7160"/>
    <w:rsid w:val="16437034"/>
    <w:rsid w:val="165F2B27"/>
    <w:rsid w:val="167149F0"/>
    <w:rsid w:val="16AD5A28"/>
    <w:rsid w:val="16BD327F"/>
    <w:rsid w:val="16C416AA"/>
    <w:rsid w:val="16D93CF3"/>
    <w:rsid w:val="16F42A62"/>
    <w:rsid w:val="17331846"/>
    <w:rsid w:val="17382FD3"/>
    <w:rsid w:val="17563A30"/>
    <w:rsid w:val="175F5281"/>
    <w:rsid w:val="17691613"/>
    <w:rsid w:val="17823F7A"/>
    <w:rsid w:val="1788018A"/>
    <w:rsid w:val="178D609A"/>
    <w:rsid w:val="17A65EC3"/>
    <w:rsid w:val="17AB3E7D"/>
    <w:rsid w:val="17C07C70"/>
    <w:rsid w:val="17D341B9"/>
    <w:rsid w:val="17DF3ED3"/>
    <w:rsid w:val="182C6689"/>
    <w:rsid w:val="184C6652"/>
    <w:rsid w:val="188E3EBE"/>
    <w:rsid w:val="188E5FD4"/>
    <w:rsid w:val="189453F6"/>
    <w:rsid w:val="18B54643"/>
    <w:rsid w:val="18C33A16"/>
    <w:rsid w:val="18D91D7C"/>
    <w:rsid w:val="19020BA4"/>
    <w:rsid w:val="192A5B6C"/>
    <w:rsid w:val="19493736"/>
    <w:rsid w:val="194A3F2E"/>
    <w:rsid w:val="196346B8"/>
    <w:rsid w:val="197B1F86"/>
    <w:rsid w:val="197C71B6"/>
    <w:rsid w:val="1983572D"/>
    <w:rsid w:val="19AB21DF"/>
    <w:rsid w:val="19AC5CBB"/>
    <w:rsid w:val="19BD6A42"/>
    <w:rsid w:val="19DA333B"/>
    <w:rsid w:val="19DF4EBB"/>
    <w:rsid w:val="19E517B3"/>
    <w:rsid w:val="19E74886"/>
    <w:rsid w:val="19F328BF"/>
    <w:rsid w:val="1A0201D5"/>
    <w:rsid w:val="1A161A02"/>
    <w:rsid w:val="1A2C6F16"/>
    <w:rsid w:val="1A3E1F2D"/>
    <w:rsid w:val="1A643BF4"/>
    <w:rsid w:val="1A6458C3"/>
    <w:rsid w:val="1A66372B"/>
    <w:rsid w:val="1A9A723B"/>
    <w:rsid w:val="1A9B2D40"/>
    <w:rsid w:val="1A9E2AB1"/>
    <w:rsid w:val="1AAC7545"/>
    <w:rsid w:val="1AAF075C"/>
    <w:rsid w:val="1AB60EEB"/>
    <w:rsid w:val="1AD463BD"/>
    <w:rsid w:val="1AE60F22"/>
    <w:rsid w:val="1AFD635A"/>
    <w:rsid w:val="1B001395"/>
    <w:rsid w:val="1B3C5A9F"/>
    <w:rsid w:val="1B423CA9"/>
    <w:rsid w:val="1B561725"/>
    <w:rsid w:val="1B7F5000"/>
    <w:rsid w:val="1B9A3592"/>
    <w:rsid w:val="1BC54A72"/>
    <w:rsid w:val="1BC5539E"/>
    <w:rsid w:val="1BD77A1D"/>
    <w:rsid w:val="1BEE3135"/>
    <w:rsid w:val="1BF15861"/>
    <w:rsid w:val="1C087095"/>
    <w:rsid w:val="1C1771CE"/>
    <w:rsid w:val="1C3C3A80"/>
    <w:rsid w:val="1C43773D"/>
    <w:rsid w:val="1C476A5E"/>
    <w:rsid w:val="1C487421"/>
    <w:rsid w:val="1C4B615C"/>
    <w:rsid w:val="1C671596"/>
    <w:rsid w:val="1C863899"/>
    <w:rsid w:val="1C8C386C"/>
    <w:rsid w:val="1C9A0B5E"/>
    <w:rsid w:val="1CA919E2"/>
    <w:rsid w:val="1CAF53AE"/>
    <w:rsid w:val="1CB8210D"/>
    <w:rsid w:val="1CFC2363"/>
    <w:rsid w:val="1D1F7FD8"/>
    <w:rsid w:val="1D6D5065"/>
    <w:rsid w:val="1D831410"/>
    <w:rsid w:val="1D841201"/>
    <w:rsid w:val="1DA03783"/>
    <w:rsid w:val="1DAA1054"/>
    <w:rsid w:val="1DB260A3"/>
    <w:rsid w:val="1DB45D0C"/>
    <w:rsid w:val="1DB707A2"/>
    <w:rsid w:val="1DC25DE6"/>
    <w:rsid w:val="1DDF41B8"/>
    <w:rsid w:val="1E003CA9"/>
    <w:rsid w:val="1E0F31CF"/>
    <w:rsid w:val="1E140348"/>
    <w:rsid w:val="1E192716"/>
    <w:rsid w:val="1E484D91"/>
    <w:rsid w:val="1E7B794D"/>
    <w:rsid w:val="1E9C01BD"/>
    <w:rsid w:val="1EF002DC"/>
    <w:rsid w:val="1F007771"/>
    <w:rsid w:val="1F10737D"/>
    <w:rsid w:val="1F295CB2"/>
    <w:rsid w:val="1F5D1895"/>
    <w:rsid w:val="1F701AE5"/>
    <w:rsid w:val="1F825EAF"/>
    <w:rsid w:val="1F952036"/>
    <w:rsid w:val="1FB7743A"/>
    <w:rsid w:val="1FB83F70"/>
    <w:rsid w:val="1FBA62B2"/>
    <w:rsid w:val="1FD70927"/>
    <w:rsid w:val="200772AB"/>
    <w:rsid w:val="2035221F"/>
    <w:rsid w:val="205A7498"/>
    <w:rsid w:val="205B534E"/>
    <w:rsid w:val="208C50F2"/>
    <w:rsid w:val="20AB28B5"/>
    <w:rsid w:val="20BB25F6"/>
    <w:rsid w:val="20EE3B1F"/>
    <w:rsid w:val="210E39CB"/>
    <w:rsid w:val="213526EB"/>
    <w:rsid w:val="21476473"/>
    <w:rsid w:val="214F7E95"/>
    <w:rsid w:val="216A1C3D"/>
    <w:rsid w:val="219527C6"/>
    <w:rsid w:val="21DE1ABF"/>
    <w:rsid w:val="22176739"/>
    <w:rsid w:val="22271DF0"/>
    <w:rsid w:val="22A97B2B"/>
    <w:rsid w:val="22AF7D16"/>
    <w:rsid w:val="23136872"/>
    <w:rsid w:val="23173F1C"/>
    <w:rsid w:val="233E6492"/>
    <w:rsid w:val="233F3016"/>
    <w:rsid w:val="23555B9E"/>
    <w:rsid w:val="23B778F0"/>
    <w:rsid w:val="23CC1138"/>
    <w:rsid w:val="23EE2DD5"/>
    <w:rsid w:val="23F2332F"/>
    <w:rsid w:val="24130874"/>
    <w:rsid w:val="241B4E1A"/>
    <w:rsid w:val="24243106"/>
    <w:rsid w:val="242542AE"/>
    <w:rsid w:val="243F04D8"/>
    <w:rsid w:val="24521A8A"/>
    <w:rsid w:val="24531659"/>
    <w:rsid w:val="24695C76"/>
    <w:rsid w:val="24A82229"/>
    <w:rsid w:val="24B5272B"/>
    <w:rsid w:val="24C41043"/>
    <w:rsid w:val="24F61A24"/>
    <w:rsid w:val="250A05DE"/>
    <w:rsid w:val="259F663D"/>
    <w:rsid w:val="25D167BB"/>
    <w:rsid w:val="25DC048A"/>
    <w:rsid w:val="25E339E0"/>
    <w:rsid w:val="262014C7"/>
    <w:rsid w:val="265023F7"/>
    <w:rsid w:val="265E192B"/>
    <w:rsid w:val="26683658"/>
    <w:rsid w:val="26703035"/>
    <w:rsid w:val="2685097C"/>
    <w:rsid w:val="268E77E8"/>
    <w:rsid w:val="26962C30"/>
    <w:rsid w:val="26A91451"/>
    <w:rsid w:val="26CF7ADA"/>
    <w:rsid w:val="27491343"/>
    <w:rsid w:val="274B5354"/>
    <w:rsid w:val="2755456D"/>
    <w:rsid w:val="277F7F6B"/>
    <w:rsid w:val="2786587C"/>
    <w:rsid w:val="27907B82"/>
    <w:rsid w:val="2826204F"/>
    <w:rsid w:val="283E258E"/>
    <w:rsid w:val="2849006F"/>
    <w:rsid w:val="28552DA0"/>
    <w:rsid w:val="285B6063"/>
    <w:rsid w:val="287B51F6"/>
    <w:rsid w:val="287F3C3F"/>
    <w:rsid w:val="288432ED"/>
    <w:rsid w:val="288E7CE8"/>
    <w:rsid w:val="28ED2720"/>
    <w:rsid w:val="293137B9"/>
    <w:rsid w:val="298126CB"/>
    <w:rsid w:val="299531D9"/>
    <w:rsid w:val="29A27305"/>
    <w:rsid w:val="29C81E00"/>
    <w:rsid w:val="29EB2F13"/>
    <w:rsid w:val="2A015DDB"/>
    <w:rsid w:val="2A5A5564"/>
    <w:rsid w:val="2A616BC4"/>
    <w:rsid w:val="2A705FB6"/>
    <w:rsid w:val="2A7D79F4"/>
    <w:rsid w:val="2A9759DE"/>
    <w:rsid w:val="2AB65E62"/>
    <w:rsid w:val="2ACC5476"/>
    <w:rsid w:val="2AF9709D"/>
    <w:rsid w:val="2AFE189E"/>
    <w:rsid w:val="2B0D4663"/>
    <w:rsid w:val="2B1675F4"/>
    <w:rsid w:val="2B3732BF"/>
    <w:rsid w:val="2B405899"/>
    <w:rsid w:val="2B426E4D"/>
    <w:rsid w:val="2B5A6B01"/>
    <w:rsid w:val="2B5E1338"/>
    <w:rsid w:val="2B697DE2"/>
    <w:rsid w:val="2B797A62"/>
    <w:rsid w:val="2BE63A10"/>
    <w:rsid w:val="2C0F3057"/>
    <w:rsid w:val="2C24518B"/>
    <w:rsid w:val="2C271B9F"/>
    <w:rsid w:val="2C970365"/>
    <w:rsid w:val="2C9D7EA8"/>
    <w:rsid w:val="2CC31403"/>
    <w:rsid w:val="2CD9563E"/>
    <w:rsid w:val="2CDB3A35"/>
    <w:rsid w:val="2CF0750B"/>
    <w:rsid w:val="2D461711"/>
    <w:rsid w:val="2D5F3554"/>
    <w:rsid w:val="2D7857A2"/>
    <w:rsid w:val="2D841B5F"/>
    <w:rsid w:val="2D90719E"/>
    <w:rsid w:val="2DB9571D"/>
    <w:rsid w:val="2DC3317E"/>
    <w:rsid w:val="2DEA09F3"/>
    <w:rsid w:val="2E15472F"/>
    <w:rsid w:val="2E265092"/>
    <w:rsid w:val="2E2B3AB0"/>
    <w:rsid w:val="2E4D7F32"/>
    <w:rsid w:val="2E501700"/>
    <w:rsid w:val="2E5F1015"/>
    <w:rsid w:val="2E7F0B1C"/>
    <w:rsid w:val="2E811BAA"/>
    <w:rsid w:val="2E9A4AF0"/>
    <w:rsid w:val="2EE61B19"/>
    <w:rsid w:val="2EEC5AAA"/>
    <w:rsid w:val="2F1B2D3B"/>
    <w:rsid w:val="2F1F04F7"/>
    <w:rsid w:val="2F2A1E85"/>
    <w:rsid w:val="2F6E221C"/>
    <w:rsid w:val="2F9616A9"/>
    <w:rsid w:val="2FA47771"/>
    <w:rsid w:val="2FAE25BE"/>
    <w:rsid w:val="2FE93B87"/>
    <w:rsid w:val="2FFC2854"/>
    <w:rsid w:val="3009607D"/>
    <w:rsid w:val="30103349"/>
    <w:rsid w:val="301D3C16"/>
    <w:rsid w:val="307870F7"/>
    <w:rsid w:val="307E69BE"/>
    <w:rsid w:val="30BF6BCB"/>
    <w:rsid w:val="30CB0BA4"/>
    <w:rsid w:val="30E061C0"/>
    <w:rsid w:val="30E16B0A"/>
    <w:rsid w:val="3120001B"/>
    <w:rsid w:val="31277822"/>
    <w:rsid w:val="312C09AA"/>
    <w:rsid w:val="3155388F"/>
    <w:rsid w:val="315B3CFD"/>
    <w:rsid w:val="31670235"/>
    <w:rsid w:val="317400FA"/>
    <w:rsid w:val="317A310A"/>
    <w:rsid w:val="319C57B5"/>
    <w:rsid w:val="31A127AB"/>
    <w:rsid w:val="31A84B3D"/>
    <w:rsid w:val="31CA3240"/>
    <w:rsid w:val="31E665AA"/>
    <w:rsid w:val="32087609"/>
    <w:rsid w:val="3214063A"/>
    <w:rsid w:val="32231D45"/>
    <w:rsid w:val="32247E4C"/>
    <w:rsid w:val="322730C0"/>
    <w:rsid w:val="323544AB"/>
    <w:rsid w:val="323719EF"/>
    <w:rsid w:val="323C3E04"/>
    <w:rsid w:val="32674759"/>
    <w:rsid w:val="326A385C"/>
    <w:rsid w:val="326B7ADB"/>
    <w:rsid w:val="329526D9"/>
    <w:rsid w:val="32E0634A"/>
    <w:rsid w:val="32E72A3F"/>
    <w:rsid w:val="32EA686F"/>
    <w:rsid w:val="330E33BD"/>
    <w:rsid w:val="33107B8B"/>
    <w:rsid w:val="332B6FEA"/>
    <w:rsid w:val="333B2A1E"/>
    <w:rsid w:val="33597AF0"/>
    <w:rsid w:val="336E7CAA"/>
    <w:rsid w:val="33915E83"/>
    <w:rsid w:val="33942E26"/>
    <w:rsid w:val="339C6EF9"/>
    <w:rsid w:val="33E20A50"/>
    <w:rsid w:val="33EE0F92"/>
    <w:rsid w:val="34057BFE"/>
    <w:rsid w:val="340B7B0A"/>
    <w:rsid w:val="34120BF5"/>
    <w:rsid w:val="341D09FE"/>
    <w:rsid w:val="34423811"/>
    <w:rsid w:val="347F3891"/>
    <w:rsid w:val="348B016D"/>
    <w:rsid w:val="34B64E88"/>
    <w:rsid w:val="34C90C4E"/>
    <w:rsid w:val="34F04F5A"/>
    <w:rsid w:val="3504088E"/>
    <w:rsid w:val="35165C77"/>
    <w:rsid w:val="352A6DEF"/>
    <w:rsid w:val="353C5144"/>
    <w:rsid w:val="35AF275A"/>
    <w:rsid w:val="35AF3C4E"/>
    <w:rsid w:val="35DE131B"/>
    <w:rsid w:val="362D54C5"/>
    <w:rsid w:val="363867E1"/>
    <w:rsid w:val="365A36F0"/>
    <w:rsid w:val="368B62C8"/>
    <w:rsid w:val="368D3FCB"/>
    <w:rsid w:val="36D7235F"/>
    <w:rsid w:val="36D74766"/>
    <w:rsid w:val="36FB3392"/>
    <w:rsid w:val="370D51BC"/>
    <w:rsid w:val="37155B11"/>
    <w:rsid w:val="3733587C"/>
    <w:rsid w:val="374F0234"/>
    <w:rsid w:val="37520870"/>
    <w:rsid w:val="37626ED3"/>
    <w:rsid w:val="376A706B"/>
    <w:rsid w:val="379715D9"/>
    <w:rsid w:val="379B552F"/>
    <w:rsid w:val="37B4197D"/>
    <w:rsid w:val="37C818FC"/>
    <w:rsid w:val="37CD427C"/>
    <w:rsid w:val="37DB72D3"/>
    <w:rsid w:val="37E0632E"/>
    <w:rsid w:val="37E9460A"/>
    <w:rsid w:val="37EC2559"/>
    <w:rsid w:val="38117FAB"/>
    <w:rsid w:val="385F4EB9"/>
    <w:rsid w:val="38827A71"/>
    <w:rsid w:val="389A62B6"/>
    <w:rsid w:val="38A439A1"/>
    <w:rsid w:val="38B97414"/>
    <w:rsid w:val="38CA33DE"/>
    <w:rsid w:val="38E861BC"/>
    <w:rsid w:val="38F33EF4"/>
    <w:rsid w:val="392B70DF"/>
    <w:rsid w:val="39320551"/>
    <w:rsid w:val="396A2D1F"/>
    <w:rsid w:val="39736FFC"/>
    <w:rsid w:val="39986A05"/>
    <w:rsid w:val="39C857E3"/>
    <w:rsid w:val="39E0231B"/>
    <w:rsid w:val="39E836E8"/>
    <w:rsid w:val="3A045031"/>
    <w:rsid w:val="3A174D5F"/>
    <w:rsid w:val="3A1C5C41"/>
    <w:rsid w:val="3A204F22"/>
    <w:rsid w:val="3A333C04"/>
    <w:rsid w:val="3A3C72FD"/>
    <w:rsid w:val="3A5624A4"/>
    <w:rsid w:val="3A5F451A"/>
    <w:rsid w:val="3A821B02"/>
    <w:rsid w:val="3A85439C"/>
    <w:rsid w:val="3AB52B1C"/>
    <w:rsid w:val="3AC14322"/>
    <w:rsid w:val="3AC80B8A"/>
    <w:rsid w:val="3AEE258E"/>
    <w:rsid w:val="3B1542E3"/>
    <w:rsid w:val="3B46308F"/>
    <w:rsid w:val="3B533681"/>
    <w:rsid w:val="3B645D6A"/>
    <w:rsid w:val="3B8B60C7"/>
    <w:rsid w:val="3BA630D9"/>
    <w:rsid w:val="3BE53118"/>
    <w:rsid w:val="3BE831FF"/>
    <w:rsid w:val="3BEA387C"/>
    <w:rsid w:val="3BEB6106"/>
    <w:rsid w:val="3C027020"/>
    <w:rsid w:val="3C2D6179"/>
    <w:rsid w:val="3C30134C"/>
    <w:rsid w:val="3C453091"/>
    <w:rsid w:val="3C5418FD"/>
    <w:rsid w:val="3C5927AA"/>
    <w:rsid w:val="3C6B6CCB"/>
    <w:rsid w:val="3C891E19"/>
    <w:rsid w:val="3CB25544"/>
    <w:rsid w:val="3D197B84"/>
    <w:rsid w:val="3D3A07E9"/>
    <w:rsid w:val="3D5C7B82"/>
    <w:rsid w:val="3D850CD1"/>
    <w:rsid w:val="3D8E6A15"/>
    <w:rsid w:val="3DBE7E2F"/>
    <w:rsid w:val="3DD04455"/>
    <w:rsid w:val="3DD0796E"/>
    <w:rsid w:val="3E012701"/>
    <w:rsid w:val="3E07737B"/>
    <w:rsid w:val="3E355201"/>
    <w:rsid w:val="3E382690"/>
    <w:rsid w:val="3E43617C"/>
    <w:rsid w:val="3E4D70F1"/>
    <w:rsid w:val="3E89169C"/>
    <w:rsid w:val="3E9778EA"/>
    <w:rsid w:val="3E984D41"/>
    <w:rsid w:val="3E9C16A4"/>
    <w:rsid w:val="3EA702F8"/>
    <w:rsid w:val="3EB022D2"/>
    <w:rsid w:val="3EB5009D"/>
    <w:rsid w:val="3EBD7A12"/>
    <w:rsid w:val="3ECE4CA1"/>
    <w:rsid w:val="3EF12D52"/>
    <w:rsid w:val="3F0D3F19"/>
    <w:rsid w:val="3F2002E2"/>
    <w:rsid w:val="3F3B6F51"/>
    <w:rsid w:val="3F5A3834"/>
    <w:rsid w:val="3F683310"/>
    <w:rsid w:val="3FC21EE4"/>
    <w:rsid w:val="3FC827D8"/>
    <w:rsid w:val="3FCF12C6"/>
    <w:rsid w:val="3FE84BDB"/>
    <w:rsid w:val="3FF441CC"/>
    <w:rsid w:val="4008232B"/>
    <w:rsid w:val="400B292B"/>
    <w:rsid w:val="401523C2"/>
    <w:rsid w:val="404F2CD9"/>
    <w:rsid w:val="40B54F54"/>
    <w:rsid w:val="40C41694"/>
    <w:rsid w:val="40CE607C"/>
    <w:rsid w:val="40E432C9"/>
    <w:rsid w:val="40E77B19"/>
    <w:rsid w:val="40F7088F"/>
    <w:rsid w:val="41267039"/>
    <w:rsid w:val="41325868"/>
    <w:rsid w:val="41770F8A"/>
    <w:rsid w:val="418876BA"/>
    <w:rsid w:val="419D52CA"/>
    <w:rsid w:val="41B064B5"/>
    <w:rsid w:val="41B22F5C"/>
    <w:rsid w:val="41CB1FFA"/>
    <w:rsid w:val="41F90B4D"/>
    <w:rsid w:val="4208324A"/>
    <w:rsid w:val="42350B97"/>
    <w:rsid w:val="4252461F"/>
    <w:rsid w:val="425C6C94"/>
    <w:rsid w:val="42731885"/>
    <w:rsid w:val="429A790D"/>
    <w:rsid w:val="42BC2BC2"/>
    <w:rsid w:val="431B24AB"/>
    <w:rsid w:val="432C6352"/>
    <w:rsid w:val="433725DA"/>
    <w:rsid w:val="4339133D"/>
    <w:rsid w:val="435A21B7"/>
    <w:rsid w:val="435D6919"/>
    <w:rsid w:val="436D1A6D"/>
    <w:rsid w:val="43756B90"/>
    <w:rsid w:val="43A41157"/>
    <w:rsid w:val="43B21F69"/>
    <w:rsid w:val="43BF1003"/>
    <w:rsid w:val="43C771CE"/>
    <w:rsid w:val="43D06EAA"/>
    <w:rsid w:val="43F4287F"/>
    <w:rsid w:val="44425415"/>
    <w:rsid w:val="444E4E31"/>
    <w:rsid w:val="446679AA"/>
    <w:rsid w:val="446A5EA5"/>
    <w:rsid w:val="44AF0746"/>
    <w:rsid w:val="44CC2F94"/>
    <w:rsid w:val="450C2962"/>
    <w:rsid w:val="45240991"/>
    <w:rsid w:val="45257DF0"/>
    <w:rsid w:val="456C129F"/>
    <w:rsid w:val="45750ADC"/>
    <w:rsid w:val="45B63B25"/>
    <w:rsid w:val="45CF0FED"/>
    <w:rsid w:val="45D34C11"/>
    <w:rsid w:val="46002510"/>
    <w:rsid w:val="46154EC6"/>
    <w:rsid w:val="463F4D5B"/>
    <w:rsid w:val="465464DA"/>
    <w:rsid w:val="4671705C"/>
    <w:rsid w:val="46722341"/>
    <w:rsid w:val="46753DE3"/>
    <w:rsid w:val="468479FA"/>
    <w:rsid w:val="46850E48"/>
    <w:rsid w:val="46B772F5"/>
    <w:rsid w:val="46BA3B42"/>
    <w:rsid w:val="46BA752F"/>
    <w:rsid w:val="46D62D15"/>
    <w:rsid w:val="470B272B"/>
    <w:rsid w:val="47102D84"/>
    <w:rsid w:val="472F1FDE"/>
    <w:rsid w:val="47604368"/>
    <w:rsid w:val="476F519D"/>
    <w:rsid w:val="477A30A1"/>
    <w:rsid w:val="47834AB5"/>
    <w:rsid w:val="47A35476"/>
    <w:rsid w:val="47C75722"/>
    <w:rsid w:val="47CB1DA4"/>
    <w:rsid w:val="481131B2"/>
    <w:rsid w:val="483C5103"/>
    <w:rsid w:val="486E128C"/>
    <w:rsid w:val="48813FFC"/>
    <w:rsid w:val="48844C06"/>
    <w:rsid w:val="48896DF1"/>
    <w:rsid w:val="48B63E7D"/>
    <w:rsid w:val="491801A0"/>
    <w:rsid w:val="491A7CA7"/>
    <w:rsid w:val="492E3E61"/>
    <w:rsid w:val="49362982"/>
    <w:rsid w:val="49617DAE"/>
    <w:rsid w:val="497E01FC"/>
    <w:rsid w:val="497F3712"/>
    <w:rsid w:val="4993641E"/>
    <w:rsid w:val="49946EA4"/>
    <w:rsid w:val="49965770"/>
    <w:rsid w:val="49986775"/>
    <w:rsid w:val="499B17A2"/>
    <w:rsid w:val="49BA57D1"/>
    <w:rsid w:val="49CC1B56"/>
    <w:rsid w:val="49CF156C"/>
    <w:rsid w:val="4A131503"/>
    <w:rsid w:val="4A14521A"/>
    <w:rsid w:val="4A3A265B"/>
    <w:rsid w:val="4A3F1F1A"/>
    <w:rsid w:val="4A52650A"/>
    <w:rsid w:val="4A5C2149"/>
    <w:rsid w:val="4A5D36BC"/>
    <w:rsid w:val="4A6344F1"/>
    <w:rsid w:val="4A717437"/>
    <w:rsid w:val="4A730AA3"/>
    <w:rsid w:val="4A826E7E"/>
    <w:rsid w:val="4A861C75"/>
    <w:rsid w:val="4AA51B62"/>
    <w:rsid w:val="4AB336D6"/>
    <w:rsid w:val="4ABD4406"/>
    <w:rsid w:val="4ACE5771"/>
    <w:rsid w:val="4AD66F1B"/>
    <w:rsid w:val="4AEB0EEF"/>
    <w:rsid w:val="4B205614"/>
    <w:rsid w:val="4B2935FC"/>
    <w:rsid w:val="4B547DC8"/>
    <w:rsid w:val="4B5736F5"/>
    <w:rsid w:val="4B800541"/>
    <w:rsid w:val="4BA26E84"/>
    <w:rsid w:val="4BB65BC3"/>
    <w:rsid w:val="4BBA053F"/>
    <w:rsid w:val="4BBD13B2"/>
    <w:rsid w:val="4BBD4F9F"/>
    <w:rsid w:val="4BD14294"/>
    <w:rsid w:val="4C0D2FBA"/>
    <w:rsid w:val="4C287260"/>
    <w:rsid w:val="4C461C30"/>
    <w:rsid w:val="4C853B9E"/>
    <w:rsid w:val="4CB72CB7"/>
    <w:rsid w:val="4D014C81"/>
    <w:rsid w:val="4D203FC1"/>
    <w:rsid w:val="4D273ACF"/>
    <w:rsid w:val="4D300ABA"/>
    <w:rsid w:val="4D386D28"/>
    <w:rsid w:val="4D434D72"/>
    <w:rsid w:val="4D6643DB"/>
    <w:rsid w:val="4D8734A9"/>
    <w:rsid w:val="4DAF649A"/>
    <w:rsid w:val="4DF228CF"/>
    <w:rsid w:val="4E077419"/>
    <w:rsid w:val="4E0B30ED"/>
    <w:rsid w:val="4E1A0183"/>
    <w:rsid w:val="4E4C4BFA"/>
    <w:rsid w:val="4E594875"/>
    <w:rsid w:val="4E5E5536"/>
    <w:rsid w:val="4E7446DA"/>
    <w:rsid w:val="4EA473A1"/>
    <w:rsid w:val="4EB96920"/>
    <w:rsid w:val="4EDD6166"/>
    <w:rsid w:val="4EE207A7"/>
    <w:rsid w:val="4EFE3DE4"/>
    <w:rsid w:val="4F4438E7"/>
    <w:rsid w:val="4F701229"/>
    <w:rsid w:val="4F9B3AF2"/>
    <w:rsid w:val="4FC20370"/>
    <w:rsid w:val="4FF64077"/>
    <w:rsid w:val="4FFB237E"/>
    <w:rsid w:val="50061DBA"/>
    <w:rsid w:val="504223D4"/>
    <w:rsid w:val="50465B43"/>
    <w:rsid w:val="50566485"/>
    <w:rsid w:val="509968C1"/>
    <w:rsid w:val="509B1C35"/>
    <w:rsid w:val="50B75E06"/>
    <w:rsid w:val="50C9421E"/>
    <w:rsid w:val="50E237CA"/>
    <w:rsid w:val="511E6122"/>
    <w:rsid w:val="513457DE"/>
    <w:rsid w:val="514C2D80"/>
    <w:rsid w:val="51783021"/>
    <w:rsid w:val="51A515BB"/>
    <w:rsid w:val="51A579DB"/>
    <w:rsid w:val="51C36D7C"/>
    <w:rsid w:val="51C70378"/>
    <w:rsid w:val="51DB6480"/>
    <w:rsid w:val="52274E64"/>
    <w:rsid w:val="52290180"/>
    <w:rsid w:val="523C4CFD"/>
    <w:rsid w:val="52407C68"/>
    <w:rsid w:val="52570925"/>
    <w:rsid w:val="527E5A16"/>
    <w:rsid w:val="529C6880"/>
    <w:rsid w:val="52B76D11"/>
    <w:rsid w:val="530C1430"/>
    <w:rsid w:val="53630C11"/>
    <w:rsid w:val="536950AD"/>
    <w:rsid w:val="537259C2"/>
    <w:rsid w:val="53981F6E"/>
    <w:rsid w:val="53D5359A"/>
    <w:rsid w:val="53F84972"/>
    <w:rsid w:val="540A4346"/>
    <w:rsid w:val="5452776C"/>
    <w:rsid w:val="54840CD3"/>
    <w:rsid w:val="54AE3FC0"/>
    <w:rsid w:val="54DB5F1D"/>
    <w:rsid w:val="54FD59CA"/>
    <w:rsid w:val="550A1700"/>
    <w:rsid w:val="55263A3E"/>
    <w:rsid w:val="555D02FF"/>
    <w:rsid w:val="556B59DE"/>
    <w:rsid w:val="556D355F"/>
    <w:rsid w:val="55720B8E"/>
    <w:rsid w:val="557365D7"/>
    <w:rsid w:val="55802FD8"/>
    <w:rsid w:val="55897D77"/>
    <w:rsid w:val="559C6BEB"/>
    <w:rsid w:val="559D3D42"/>
    <w:rsid w:val="55A75E87"/>
    <w:rsid w:val="55B17EA2"/>
    <w:rsid w:val="55BC7FDE"/>
    <w:rsid w:val="55C634D5"/>
    <w:rsid w:val="55CE7482"/>
    <w:rsid w:val="55E37927"/>
    <w:rsid w:val="561927AC"/>
    <w:rsid w:val="562A5C98"/>
    <w:rsid w:val="562A6274"/>
    <w:rsid w:val="563158DC"/>
    <w:rsid w:val="56411642"/>
    <w:rsid w:val="564132E4"/>
    <w:rsid w:val="564433D2"/>
    <w:rsid w:val="56580225"/>
    <w:rsid w:val="5668349A"/>
    <w:rsid w:val="56711334"/>
    <w:rsid w:val="56935515"/>
    <w:rsid w:val="56C767B6"/>
    <w:rsid w:val="56E32E18"/>
    <w:rsid w:val="572C743D"/>
    <w:rsid w:val="573A54A1"/>
    <w:rsid w:val="57522994"/>
    <w:rsid w:val="57567C6B"/>
    <w:rsid w:val="575D7032"/>
    <w:rsid w:val="576D1FE6"/>
    <w:rsid w:val="578B38B4"/>
    <w:rsid w:val="57BD794A"/>
    <w:rsid w:val="57CF5110"/>
    <w:rsid w:val="57F1095C"/>
    <w:rsid w:val="57FC2E01"/>
    <w:rsid w:val="5807289A"/>
    <w:rsid w:val="580F5F09"/>
    <w:rsid w:val="58540453"/>
    <w:rsid w:val="58920D15"/>
    <w:rsid w:val="58C97532"/>
    <w:rsid w:val="58F14751"/>
    <w:rsid w:val="58F9363F"/>
    <w:rsid w:val="59137C5D"/>
    <w:rsid w:val="59844128"/>
    <w:rsid w:val="598757C9"/>
    <w:rsid w:val="59A43D90"/>
    <w:rsid w:val="59AE2615"/>
    <w:rsid w:val="59C3277C"/>
    <w:rsid w:val="59CA1A52"/>
    <w:rsid w:val="59E2040F"/>
    <w:rsid w:val="59E7470B"/>
    <w:rsid w:val="59F34447"/>
    <w:rsid w:val="59F46D11"/>
    <w:rsid w:val="5A0616FA"/>
    <w:rsid w:val="5A0F214F"/>
    <w:rsid w:val="5A2F3387"/>
    <w:rsid w:val="5A6561D3"/>
    <w:rsid w:val="5A7666EA"/>
    <w:rsid w:val="5AB836A2"/>
    <w:rsid w:val="5AD06C24"/>
    <w:rsid w:val="5AD83DC7"/>
    <w:rsid w:val="5AD932DD"/>
    <w:rsid w:val="5ADC263A"/>
    <w:rsid w:val="5AF468CF"/>
    <w:rsid w:val="5B1842F8"/>
    <w:rsid w:val="5B622CB5"/>
    <w:rsid w:val="5B6D3FC7"/>
    <w:rsid w:val="5B7D0292"/>
    <w:rsid w:val="5B7E05B1"/>
    <w:rsid w:val="5BAE14B5"/>
    <w:rsid w:val="5BBB00B8"/>
    <w:rsid w:val="5BE840A2"/>
    <w:rsid w:val="5BE9351E"/>
    <w:rsid w:val="5C2E4587"/>
    <w:rsid w:val="5C513196"/>
    <w:rsid w:val="5C5F031F"/>
    <w:rsid w:val="5C6059BF"/>
    <w:rsid w:val="5CA25C24"/>
    <w:rsid w:val="5CCC3817"/>
    <w:rsid w:val="5CCE3E0A"/>
    <w:rsid w:val="5CD451E3"/>
    <w:rsid w:val="5CD86660"/>
    <w:rsid w:val="5D013A77"/>
    <w:rsid w:val="5D0C2666"/>
    <w:rsid w:val="5D2A67D7"/>
    <w:rsid w:val="5D3C489C"/>
    <w:rsid w:val="5D5136E4"/>
    <w:rsid w:val="5D5711E5"/>
    <w:rsid w:val="5D871F90"/>
    <w:rsid w:val="5D952813"/>
    <w:rsid w:val="5DA2568D"/>
    <w:rsid w:val="5DAB4CE0"/>
    <w:rsid w:val="5DAC5598"/>
    <w:rsid w:val="5DB6675E"/>
    <w:rsid w:val="5DBB40B1"/>
    <w:rsid w:val="5DC36CD3"/>
    <w:rsid w:val="5DCA067F"/>
    <w:rsid w:val="5E131EBA"/>
    <w:rsid w:val="5E156AFA"/>
    <w:rsid w:val="5E376E41"/>
    <w:rsid w:val="5E377B45"/>
    <w:rsid w:val="5E500284"/>
    <w:rsid w:val="5E5A7879"/>
    <w:rsid w:val="5E6A42EF"/>
    <w:rsid w:val="5EAF565B"/>
    <w:rsid w:val="5EAF7019"/>
    <w:rsid w:val="5EB14C8A"/>
    <w:rsid w:val="5EC51E3B"/>
    <w:rsid w:val="5ED90B2E"/>
    <w:rsid w:val="5EF10542"/>
    <w:rsid w:val="5EF27D2B"/>
    <w:rsid w:val="5EF37DC4"/>
    <w:rsid w:val="5EFC691D"/>
    <w:rsid w:val="5EFD167E"/>
    <w:rsid w:val="5F005A91"/>
    <w:rsid w:val="5F0B4A7E"/>
    <w:rsid w:val="5F1113EC"/>
    <w:rsid w:val="5F2150E3"/>
    <w:rsid w:val="5F31548C"/>
    <w:rsid w:val="5F425757"/>
    <w:rsid w:val="5F5D4935"/>
    <w:rsid w:val="5F605552"/>
    <w:rsid w:val="5F675EE0"/>
    <w:rsid w:val="5F6B2969"/>
    <w:rsid w:val="5F7E2F9A"/>
    <w:rsid w:val="5F833E61"/>
    <w:rsid w:val="5F8D2C29"/>
    <w:rsid w:val="5FBC56CB"/>
    <w:rsid w:val="5FD22D2B"/>
    <w:rsid w:val="5FDC7931"/>
    <w:rsid w:val="60083B99"/>
    <w:rsid w:val="606C55AF"/>
    <w:rsid w:val="607306BD"/>
    <w:rsid w:val="607508FC"/>
    <w:rsid w:val="6088410D"/>
    <w:rsid w:val="60976090"/>
    <w:rsid w:val="609D300D"/>
    <w:rsid w:val="609E33B5"/>
    <w:rsid w:val="60B4221C"/>
    <w:rsid w:val="60E85AB1"/>
    <w:rsid w:val="60F064C6"/>
    <w:rsid w:val="61313CE4"/>
    <w:rsid w:val="617A6A14"/>
    <w:rsid w:val="61A22632"/>
    <w:rsid w:val="61BE3167"/>
    <w:rsid w:val="61BE4764"/>
    <w:rsid w:val="61C4250B"/>
    <w:rsid w:val="61D209AD"/>
    <w:rsid w:val="61D73CA3"/>
    <w:rsid w:val="61E942E2"/>
    <w:rsid w:val="61F04BAA"/>
    <w:rsid w:val="61F927E1"/>
    <w:rsid w:val="61F96BE2"/>
    <w:rsid w:val="62080E06"/>
    <w:rsid w:val="625E24B3"/>
    <w:rsid w:val="62652CDF"/>
    <w:rsid w:val="62736D38"/>
    <w:rsid w:val="62876DCB"/>
    <w:rsid w:val="62B80D2F"/>
    <w:rsid w:val="62C20BEF"/>
    <w:rsid w:val="62CA136B"/>
    <w:rsid w:val="62CD7C42"/>
    <w:rsid w:val="62D54B1B"/>
    <w:rsid w:val="632C39EB"/>
    <w:rsid w:val="63337D64"/>
    <w:rsid w:val="633B7DCF"/>
    <w:rsid w:val="634F515C"/>
    <w:rsid w:val="635201BA"/>
    <w:rsid w:val="635736E6"/>
    <w:rsid w:val="63A377D3"/>
    <w:rsid w:val="63AD179F"/>
    <w:rsid w:val="63B958AC"/>
    <w:rsid w:val="63C055C1"/>
    <w:rsid w:val="63DD63C7"/>
    <w:rsid w:val="63DF4282"/>
    <w:rsid w:val="63E15744"/>
    <w:rsid w:val="63F143B5"/>
    <w:rsid w:val="64117798"/>
    <w:rsid w:val="64156B12"/>
    <w:rsid w:val="64333A73"/>
    <w:rsid w:val="644761EB"/>
    <w:rsid w:val="644C2405"/>
    <w:rsid w:val="645D5D4F"/>
    <w:rsid w:val="64683E1E"/>
    <w:rsid w:val="646A5751"/>
    <w:rsid w:val="646B5668"/>
    <w:rsid w:val="647E2F0B"/>
    <w:rsid w:val="64896C66"/>
    <w:rsid w:val="648D5CAF"/>
    <w:rsid w:val="6493259A"/>
    <w:rsid w:val="64B8447F"/>
    <w:rsid w:val="64C86C59"/>
    <w:rsid w:val="64EC7633"/>
    <w:rsid w:val="64F12D56"/>
    <w:rsid w:val="64FA705B"/>
    <w:rsid w:val="651A561A"/>
    <w:rsid w:val="65231673"/>
    <w:rsid w:val="652E1ADD"/>
    <w:rsid w:val="657D693E"/>
    <w:rsid w:val="65855612"/>
    <w:rsid w:val="65B8145D"/>
    <w:rsid w:val="65D60FC5"/>
    <w:rsid w:val="65F077B3"/>
    <w:rsid w:val="660C1E1C"/>
    <w:rsid w:val="66263174"/>
    <w:rsid w:val="66385CA4"/>
    <w:rsid w:val="663E4F3D"/>
    <w:rsid w:val="664C64F3"/>
    <w:rsid w:val="6677662F"/>
    <w:rsid w:val="667A7729"/>
    <w:rsid w:val="668339F8"/>
    <w:rsid w:val="66B8180F"/>
    <w:rsid w:val="66C41C0A"/>
    <w:rsid w:val="66CD6881"/>
    <w:rsid w:val="66E33201"/>
    <w:rsid w:val="66E34083"/>
    <w:rsid w:val="66F878A5"/>
    <w:rsid w:val="66FF3FFD"/>
    <w:rsid w:val="67144259"/>
    <w:rsid w:val="671A5B36"/>
    <w:rsid w:val="67292672"/>
    <w:rsid w:val="6741747A"/>
    <w:rsid w:val="67475D20"/>
    <w:rsid w:val="67581D07"/>
    <w:rsid w:val="675A511C"/>
    <w:rsid w:val="67C67AAE"/>
    <w:rsid w:val="67D50120"/>
    <w:rsid w:val="67E05F5B"/>
    <w:rsid w:val="67E41B3D"/>
    <w:rsid w:val="68047FD1"/>
    <w:rsid w:val="680534CF"/>
    <w:rsid w:val="680933F0"/>
    <w:rsid w:val="681C5ADA"/>
    <w:rsid w:val="682C4E96"/>
    <w:rsid w:val="683C2075"/>
    <w:rsid w:val="6847754E"/>
    <w:rsid w:val="686042BA"/>
    <w:rsid w:val="688B2479"/>
    <w:rsid w:val="689C21E8"/>
    <w:rsid w:val="689F0155"/>
    <w:rsid w:val="68C24563"/>
    <w:rsid w:val="69211D66"/>
    <w:rsid w:val="6933650A"/>
    <w:rsid w:val="69463E37"/>
    <w:rsid w:val="694B6340"/>
    <w:rsid w:val="696D487B"/>
    <w:rsid w:val="697008D3"/>
    <w:rsid w:val="698752EA"/>
    <w:rsid w:val="698D32CE"/>
    <w:rsid w:val="699A1C0C"/>
    <w:rsid w:val="69C607DC"/>
    <w:rsid w:val="6A196C1E"/>
    <w:rsid w:val="6A372404"/>
    <w:rsid w:val="6A664E71"/>
    <w:rsid w:val="6A877D8A"/>
    <w:rsid w:val="6ABB3F84"/>
    <w:rsid w:val="6AC90068"/>
    <w:rsid w:val="6ACA6855"/>
    <w:rsid w:val="6ACE384A"/>
    <w:rsid w:val="6AE52674"/>
    <w:rsid w:val="6B0A42F5"/>
    <w:rsid w:val="6B14358B"/>
    <w:rsid w:val="6B195A8B"/>
    <w:rsid w:val="6B1A4DC8"/>
    <w:rsid w:val="6B230538"/>
    <w:rsid w:val="6B245AD5"/>
    <w:rsid w:val="6B317014"/>
    <w:rsid w:val="6B365FA5"/>
    <w:rsid w:val="6B3D67DD"/>
    <w:rsid w:val="6B422F7B"/>
    <w:rsid w:val="6B475DCD"/>
    <w:rsid w:val="6B5C3644"/>
    <w:rsid w:val="6B633409"/>
    <w:rsid w:val="6B6B3B00"/>
    <w:rsid w:val="6B6C4B43"/>
    <w:rsid w:val="6B746209"/>
    <w:rsid w:val="6B8B5E3D"/>
    <w:rsid w:val="6B8D2692"/>
    <w:rsid w:val="6B931166"/>
    <w:rsid w:val="6B94150C"/>
    <w:rsid w:val="6BAD10B5"/>
    <w:rsid w:val="6C1068AA"/>
    <w:rsid w:val="6C145A79"/>
    <w:rsid w:val="6C151C1D"/>
    <w:rsid w:val="6C1A3EAF"/>
    <w:rsid w:val="6C2761C3"/>
    <w:rsid w:val="6C2E359A"/>
    <w:rsid w:val="6C4545AB"/>
    <w:rsid w:val="6C515007"/>
    <w:rsid w:val="6CB30E7A"/>
    <w:rsid w:val="6CB3460F"/>
    <w:rsid w:val="6CB85149"/>
    <w:rsid w:val="6CEB03A9"/>
    <w:rsid w:val="6CF90728"/>
    <w:rsid w:val="6D0926EA"/>
    <w:rsid w:val="6D1C0BDD"/>
    <w:rsid w:val="6D6C06BF"/>
    <w:rsid w:val="6D8741C1"/>
    <w:rsid w:val="6D8900A8"/>
    <w:rsid w:val="6D8D0BA3"/>
    <w:rsid w:val="6D962D33"/>
    <w:rsid w:val="6D9A5451"/>
    <w:rsid w:val="6DCC385F"/>
    <w:rsid w:val="6DDB7897"/>
    <w:rsid w:val="6DE61941"/>
    <w:rsid w:val="6DE71DD6"/>
    <w:rsid w:val="6DEE60F1"/>
    <w:rsid w:val="6DFB3077"/>
    <w:rsid w:val="6E0A2AB1"/>
    <w:rsid w:val="6E243A19"/>
    <w:rsid w:val="6E2623D9"/>
    <w:rsid w:val="6E2B7379"/>
    <w:rsid w:val="6E2C743F"/>
    <w:rsid w:val="6E5965D9"/>
    <w:rsid w:val="6ECC7312"/>
    <w:rsid w:val="6EF22285"/>
    <w:rsid w:val="6EFA5CD6"/>
    <w:rsid w:val="6EFA78F2"/>
    <w:rsid w:val="6F046FBB"/>
    <w:rsid w:val="6F301FD6"/>
    <w:rsid w:val="6F4B74BF"/>
    <w:rsid w:val="6F674CC4"/>
    <w:rsid w:val="6F6C0BF7"/>
    <w:rsid w:val="6F6C60D6"/>
    <w:rsid w:val="6F77025D"/>
    <w:rsid w:val="6F777A3F"/>
    <w:rsid w:val="6F881DF9"/>
    <w:rsid w:val="6F8F0F74"/>
    <w:rsid w:val="6F9100FD"/>
    <w:rsid w:val="6F940E4B"/>
    <w:rsid w:val="6FAE5A2C"/>
    <w:rsid w:val="6FC659BA"/>
    <w:rsid w:val="6FCC2EA9"/>
    <w:rsid w:val="6FE174C4"/>
    <w:rsid w:val="6FE60A05"/>
    <w:rsid w:val="6FEB48A2"/>
    <w:rsid w:val="701D797B"/>
    <w:rsid w:val="70207698"/>
    <w:rsid w:val="704F27B4"/>
    <w:rsid w:val="70597827"/>
    <w:rsid w:val="708618DA"/>
    <w:rsid w:val="709630E5"/>
    <w:rsid w:val="70CB02EA"/>
    <w:rsid w:val="70D01C8E"/>
    <w:rsid w:val="70EA6486"/>
    <w:rsid w:val="71170809"/>
    <w:rsid w:val="711A7A04"/>
    <w:rsid w:val="71210316"/>
    <w:rsid w:val="7141606B"/>
    <w:rsid w:val="714A161B"/>
    <w:rsid w:val="714D32A2"/>
    <w:rsid w:val="716540B8"/>
    <w:rsid w:val="718F4770"/>
    <w:rsid w:val="7198240A"/>
    <w:rsid w:val="71B53286"/>
    <w:rsid w:val="71B84D10"/>
    <w:rsid w:val="71BE3066"/>
    <w:rsid w:val="722A1DE7"/>
    <w:rsid w:val="72401491"/>
    <w:rsid w:val="72401D7E"/>
    <w:rsid w:val="72441EEC"/>
    <w:rsid w:val="726034D6"/>
    <w:rsid w:val="726354E6"/>
    <w:rsid w:val="726C0D13"/>
    <w:rsid w:val="72765B00"/>
    <w:rsid w:val="72824AD4"/>
    <w:rsid w:val="72CC0564"/>
    <w:rsid w:val="72D81D27"/>
    <w:rsid w:val="732829F7"/>
    <w:rsid w:val="73344417"/>
    <w:rsid w:val="73640DAB"/>
    <w:rsid w:val="737C6919"/>
    <w:rsid w:val="737E52B8"/>
    <w:rsid w:val="7394708A"/>
    <w:rsid w:val="739A4B9F"/>
    <w:rsid w:val="73E84D39"/>
    <w:rsid w:val="7402480A"/>
    <w:rsid w:val="741753CB"/>
    <w:rsid w:val="742727D3"/>
    <w:rsid w:val="74444FD4"/>
    <w:rsid w:val="74516A06"/>
    <w:rsid w:val="745438F3"/>
    <w:rsid w:val="74574C5B"/>
    <w:rsid w:val="746663E6"/>
    <w:rsid w:val="747E6259"/>
    <w:rsid w:val="74B123D5"/>
    <w:rsid w:val="74B73AB4"/>
    <w:rsid w:val="751303EB"/>
    <w:rsid w:val="752824BF"/>
    <w:rsid w:val="754E748E"/>
    <w:rsid w:val="756645B0"/>
    <w:rsid w:val="756F57C3"/>
    <w:rsid w:val="75765058"/>
    <w:rsid w:val="75884CB8"/>
    <w:rsid w:val="758D2451"/>
    <w:rsid w:val="758D5C3E"/>
    <w:rsid w:val="75994CEE"/>
    <w:rsid w:val="75E22EAD"/>
    <w:rsid w:val="75E60152"/>
    <w:rsid w:val="75F876A2"/>
    <w:rsid w:val="76153845"/>
    <w:rsid w:val="761D2C19"/>
    <w:rsid w:val="76222FCD"/>
    <w:rsid w:val="764A6B66"/>
    <w:rsid w:val="76677018"/>
    <w:rsid w:val="76900C1C"/>
    <w:rsid w:val="76930DC8"/>
    <w:rsid w:val="76C02E6F"/>
    <w:rsid w:val="76CB2517"/>
    <w:rsid w:val="76D4725D"/>
    <w:rsid w:val="76DF2BAC"/>
    <w:rsid w:val="76E0164E"/>
    <w:rsid w:val="76F2417F"/>
    <w:rsid w:val="7785089E"/>
    <w:rsid w:val="77874228"/>
    <w:rsid w:val="77B92646"/>
    <w:rsid w:val="77D66720"/>
    <w:rsid w:val="77D66A3A"/>
    <w:rsid w:val="77FD1895"/>
    <w:rsid w:val="781F775A"/>
    <w:rsid w:val="783B387F"/>
    <w:rsid w:val="785A4C09"/>
    <w:rsid w:val="788A7C84"/>
    <w:rsid w:val="78BA0673"/>
    <w:rsid w:val="78C05C35"/>
    <w:rsid w:val="78EE384C"/>
    <w:rsid w:val="78F2702A"/>
    <w:rsid w:val="791D3A80"/>
    <w:rsid w:val="792460F1"/>
    <w:rsid w:val="792A32D3"/>
    <w:rsid w:val="7943103A"/>
    <w:rsid w:val="795B5432"/>
    <w:rsid w:val="795F053C"/>
    <w:rsid w:val="796C1FF9"/>
    <w:rsid w:val="79715B87"/>
    <w:rsid w:val="798036CA"/>
    <w:rsid w:val="799C5172"/>
    <w:rsid w:val="79D042DE"/>
    <w:rsid w:val="7A0E50AA"/>
    <w:rsid w:val="7A1E181F"/>
    <w:rsid w:val="7A214917"/>
    <w:rsid w:val="7A241FB2"/>
    <w:rsid w:val="7A3278B8"/>
    <w:rsid w:val="7A5D23A4"/>
    <w:rsid w:val="7A7D7B7D"/>
    <w:rsid w:val="7A956185"/>
    <w:rsid w:val="7AB07B26"/>
    <w:rsid w:val="7ABE326E"/>
    <w:rsid w:val="7AC878BC"/>
    <w:rsid w:val="7AFF0A61"/>
    <w:rsid w:val="7B0E507D"/>
    <w:rsid w:val="7B537BF6"/>
    <w:rsid w:val="7B574E9E"/>
    <w:rsid w:val="7B8F08A2"/>
    <w:rsid w:val="7BA82C89"/>
    <w:rsid w:val="7BD665B0"/>
    <w:rsid w:val="7C035E98"/>
    <w:rsid w:val="7C1B6DEA"/>
    <w:rsid w:val="7C2F150E"/>
    <w:rsid w:val="7C340E35"/>
    <w:rsid w:val="7C4E501D"/>
    <w:rsid w:val="7C774692"/>
    <w:rsid w:val="7CC0055E"/>
    <w:rsid w:val="7CC90F54"/>
    <w:rsid w:val="7CDA7BFA"/>
    <w:rsid w:val="7CDB6257"/>
    <w:rsid w:val="7CE00D26"/>
    <w:rsid w:val="7CEC04EC"/>
    <w:rsid w:val="7CFA1140"/>
    <w:rsid w:val="7D0308A0"/>
    <w:rsid w:val="7D5C4BA0"/>
    <w:rsid w:val="7D7D7140"/>
    <w:rsid w:val="7D7F129C"/>
    <w:rsid w:val="7D8A6229"/>
    <w:rsid w:val="7DA77FFE"/>
    <w:rsid w:val="7DC7008D"/>
    <w:rsid w:val="7DCF1BAA"/>
    <w:rsid w:val="7DF638EC"/>
    <w:rsid w:val="7DFB4812"/>
    <w:rsid w:val="7E14612F"/>
    <w:rsid w:val="7E2731BF"/>
    <w:rsid w:val="7E470293"/>
    <w:rsid w:val="7E552945"/>
    <w:rsid w:val="7E602325"/>
    <w:rsid w:val="7E6579D0"/>
    <w:rsid w:val="7EA56652"/>
    <w:rsid w:val="7EAC415B"/>
    <w:rsid w:val="7EB63D1A"/>
    <w:rsid w:val="7EB90DEC"/>
    <w:rsid w:val="7ECB0D2B"/>
    <w:rsid w:val="7EFD77DD"/>
    <w:rsid w:val="7F021466"/>
    <w:rsid w:val="7F056AFB"/>
    <w:rsid w:val="7F094A31"/>
    <w:rsid w:val="7F155E86"/>
    <w:rsid w:val="7F411CB3"/>
    <w:rsid w:val="7F6251E6"/>
    <w:rsid w:val="7F69518F"/>
    <w:rsid w:val="7F6D6F7A"/>
    <w:rsid w:val="7F7B3AF8"/>
    <w:rsid w:val="7F8079B9"/>
    <w:rsid w:val="7F9E3168"/>
    <w:rsid w:val="7FA26EE3"/>
    <w:rsid w:val="7FA91160"/>
    <w:rsid w:val="7FAB2FDD"/>
    <w:rsid w:val="7FAE7CC0"/>
    <w:rsid w:val="7FBB7F68"/>
    <w:rsid w:val="7FDE2507"/>
    <w:rsid w:val="7FE86E57"/>
    <w:rsid w:val="7FE95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360" w:lineRule="auto"/>
      <w:ind w:left="2" w:leftChars="2" w:firstLine="20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99"/>
    <w:pPr>
      <w:keepNext/>
      <w:keepLines/>
      <w:spacing w:line="576" w:lineRule="auto"/>
      <w:jc w:val="center"/>
      <w:outlineLvl w:val="0"/>
    </w:pPr>
    <w:rPr>
      <w:b/>
      <w:kern w:val="44"/>
      <w:sz w:val="32"/>
    </w:rPr>
  </w:style>
  <w:style w:type="paragraph" w:styleId="3">
    <w:name w:val="heading 2"/>
    <w:basedOn w:val="1"/>
    <w:next w:val="1"/>
    <w:link w:val="58"/>
    <w:qFormat/>
    <w:uiPriority w:val="99"/>
    <w:pPr>
      <w:keepNext/>
      <w:keepLines/>
      <w:spacing w:line="413" w:lineRule="auto"/>
      <w:jc w:val="center"/>
      <w:outlineLvl w:val="1"/>
    </w:pPr>
    <w:rPr>
      <w:rFonts w:ascii="Arial" w:hAnsi="Arial"/>
      <w:b/>
    </w:rPr>
  </w:style>
  <w:style w:type="paragraph" w:styleId="4">
    <w:name w:val="heading 3"/>
    <w:basedOn w:val="1"/>
    <w:next w:val="1"/>
    <w:qFormat/>
    <w:uiPriority w:val="99"/>
    <w:pPr>
      <w:keepNext/>
      <w:keepLines/>
      <w:spacing w:line="413" w:lineRule="auto"/>
      <w:outlineLvl w:val="2"/>
    </w:pPr>
    <w:rPr>
      <w:b/>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Cs w:val="28"/>
    </w:rPr>
  </w:style>
  <w:style w:type="paragraph" w:styleId="6">
    <w:name w:val="heading 5"/>
    <w:basedOn w:val="1"/>
    <w:next w:val="1"/>
    <w:unhideWhenUsed/>
    <w:qFormat/>
    <w:uiPriority w:val="0"/>
    <w:pPr>
      <w:keepNext/>
      <w:keepLines/>
      <w:spacing w:before="280" w:beforeLines="0" w:after="290" w:afterLines="0" w:line="372" w:lineRule="auto"/>
      <w:outlineLvl w:val="4"/>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style>
  <w:style w:type="paragraph" w:styleId="8">
    <w:name w:val="toa heading"/>
    <w:basedOn w:val="1"/>
    <w:next w:val="1"/>
    <w:semiHidden/>
    <w:qFormat/>
    <w:uiPriority w:val="0"/>
    <w:pPr>
      <w:spacing w:beforeLines="0"/>
    </w:pPr>
    <w:rPr>
      <w:rFonts w:ascii="Arial" w:hAnsi="Arial"/>
      <w:b/>
      <w:bCs/>
      <w:szCs w:val="24"/>
    </w:rPr>
  </w:style>
  <w:style w:type="paragraph" w:styleId="9">
    <w:name w:val="annotation text"/>
    <w:basedOn w:val="1"/>
    <w:semiHidden/>
    <w:qFormat/>
    <w:uiPriority w:val="0"/>
    <w:pPr>
      <w:adjustRightInd w:val="0"/>
      <w:spacing w:line="360" w:lineRule="atLeast"/>
      <w:jc w:val="left"/>
    </w:pPr>
    <w:rPr>
      <w:kern w:val="0"/>
      <w:sz w:val="24"/>
    </w:rPr>
  </w:style>
  <w:style w:type="paragraph" w:styleId="10">
    <w:name w:val="Body Text"/>
    <w:basedOn w:val="1"/>
    <w:next w:val="1"/>
    <w:qFormat/>
    <w:uiPriority w:val="0"/>
  </w:style>
  <w:style w:type="paragraph" w:styleId="11">
    <w:name w:val="Body Text Indent"/>
    <w:basedOn w:val="1"/>
    <w:next w:val="12"/>
    <w:qFormat/>
    <w:uiPriority w:val="0"/>
    <w:pPr>
      <w:spacing w:after="120"/>
      <w:ind w:left="420"/>
    </w:pPr>
    <w:rPr>
      <w:kern w:val="1"/>
    </w:rPr>
  </w:style>
  <w:style w:type="paragraph" w:customStyle="1" w:styleId="12">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3">
    <w:name w:val="toc 5"/>
    <w:basedOn w:val="1"/>
    <w:next w:val="1"/>
    <w:qFormat/>
    <w:uiPriority w:val="0"/>
    <w:pPr>
      <w:tabs>
        <w:tab w:val="right" w:leader="dot" w:pos="8296"/>
      </w:tabs>
      <w:ind w:left="1050" w:leftChars="500"/>
    </w:pPr>
  </w:style>
  <w:style w:type="paragraph" w:styleId="14">
    <w:name w:val="toc 3"/>
    <w:basedOn w:val="1"/>
    <w:next w:val="1"/>
    <w:qFormat/>
    <w:uiPriority w:val="0"/>
    <w:pPr>
      <w:ind w:left="840" w:leftChars="400"/>
    </w:pPr>
  </w:style>
  <w:style w:type="paragraph" w:styleId="15">
    <w:name w:val="Plain Text"/>
    <w:basedOn w:val="1"/>
    <w:next w:val="1"/>
    <w:link w:val="46"/>
    <w:qFormat/>
    <w:uiPriority w:val="99"/>
    <w:pPr>
      <w:spacing w:line="324" w:lineRule="auto"/>
    </w:pPr>
    <w:rPr>
      <w:rFonts w:ascii="宋体" w:hAnsi="Courier New" w:cs="Courier New"/>
      <w:szCs w:val="21"/>
    </w:rPr>
  </w:style>
  <w:style w:type="paragraph" w:styleId="16">
    <w:name w:val="Balloon Text"/>
    <w:basedOn w:val="1"/>
    <w:link w:val="53"/>
    <w:qFormat/>
    <w:uiPriority w:val="0"/>
    <w:pPr>
      <w:spacing w:line="240" w:lineRule="auto"/>
    </w:pPr>
    <w:rPr>
      <w:sz w:val="18"/>
      <w:szCs w:val="18"/>
    </w:rPr>
  </w:style>
  <w:style w:type="paragraph" w:styleId="17">
    <w:name w:val="footer"/>
    <w:basedOn w:val="1"/>
    <w:next w:val="10"/>
    <w:qFormat/>
    <w:uiPriority w:val="99"/>
    <w:pPr>
      <w:pBdr>
        <w:top w:val="single" w:color="auto" w:sz="4" w:space="1"/>
      </w:pBdr>
      <w:tabs>
        <w:tab w:val="center" w:pos="4153"/>
        <w:tab w:val="right" w:pos="8306"/>
      </w:tabs>
      <w:snapToGrid w:val="0"/>
      <w:jc w:val="left"/>
    </w:pPr>
    <w:rPr>
      <w:sz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0">
    <w:name w:val="toc 1"/>
    <w:basedOn w:val="1"/>
    <w:next w:val="1"/>
    <w:qFormat/>
    <w:uiPriority w:val="0"/>
  </w:style>
  <w:style w:type="paragraph" w:styleId="21">
    <w:name w:val="toc 4"/>
    <w:basedOn w:val="1"/>
    <w:next w:val="1"/>
    <w:qFormat/>
    <w:uiPriority w:val="0"/>
    <w:pPr>
      <w:ind w:left="1275"/>
      <w:jc w:val="both"/>
    </w:pPr>
    <w:rPr>
      <w:rFonts w:ascii="Calibri" w:hAnsi="Calibri" w:eastAsia="宋体" w:cs="Times New Roman"/>
      <w:sz w:val="21"/>
      <w:szCs w:val="21"/>
      <w:lang w:val="en-US" w:eastAsia="zh-CN" w:bidi="ar-SA"/>
    </w:rPr>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Body Text First Indent"/>
    <w:basedOn w:val="10"/>
    <w:next w:val="1"/>
    <w:qFormat/>
    <w:uiPriority w:val="0"/>
    <w:pPr>
      <w:widowControl/>
      <w:spacing w:before="120" w:after="120" w:line="0" w:lineRule="atLeast"/>
      <w:ind w:firstLine="420"/>
    </w:pPr>
  </w:style>
  <w:style w:type="paragraph" w:styleId="25">
    <w:name w:val="Body Text First Indent 2"/>
    <w:basedOn w:val="11"/>
    <w:next w:val="24"/>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Char"/>
    <w:basedOn w:val="1"/>
    <w:next w:val="1"/>
    <w:qFormat/>
    <w:uiPriority w:val="0"/>
    <w:rPr>
      <w:rFonts w:eastAsia="仿宋_GB2312"/>
      <w:sz w:val="28"/>
    </w:rPr>
  </w:style>
  <w:style w:type="paragraph" w:customStyle="1" w:styleId="33">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34">
    <w:name w:val="title1"/>
    <w:basedOn w:val="1"/>
    <w:qFormat/>
    <w:uiPriority w:val="0"/>
    <w:pPr>
      <w:spacing w:before="150"/>
      <w:ind w:left="0" w:firstLine="0"/>
      <w:jc w:val="left"/>
    </w:pPr>
    <w:rPr>
      <w:rFonts w:hint="eastAsia" w:ascii="宋体" w:hAnsi="宋体"/>
      <w:b/>
      <w:kern w:val="0"/>
      <w:sz w:val="22"/>
      <w:szCs w:val="22"/>
    </w:rPr>
  </w:style>
  <w:style w:type="character" w:customStyle="1" w:styleId="35">
    <w:name w:val="15"/>
    <w:qFormat/>
    <w:uiPriority w:val="0"/>
    <w:rPr>
      <w:rFonts w:hint="default" w:ascii="Times New Roman" w:hAnsi="Times New Roman" w:cs="Times New Roman"/>
      <w:b/>
    </w:rPr>
  </w:style>
  <w:style w:type="paragraph" w:customStyle="1" w:styleId="36">
    <w:name w:val="xl31"/>
    <w:basedOn w:val="1"/>
    <w:qFormat/>
    <w:uiPriority w:val="0"/>
    <w:pPr>
      <w:widowControl/>
      <w:spacing w:before="100" w:beforeAutospacing="1" w:after="100" w:afterAutospacing="1"/>
      <w:jc w:val="center"/>
    </w:pPr>
    <w:rPr>
      <w:rFonts w:ascii="宋体" w:hAnsi="宋体" w:eastAsia="仿宋_GB2312"/>
      <w:b/>
      <w:bCs/>
      <w:kern w:val="0"/>
      <w:szCs w:val="28"/>
    </w:rPr>
  </w:style>
  <w:style w:type="paragraph" w:customStyle="1" w:styleId="37">
    <w:name w:val="列出段落1"/>
    <w:basedOn w:val="1"/>
    <w:unhideWhenUsed/>
    <w:qFormat/>
    <w:uiPriority w:val="99"/>
    <w:pPr>
      <w:ind w:firstLine="420"/>
    </w:pPr>
  </w:style>
  <w:style w:type="paragraph" w:customStyle="1" w:styleId="38">
    <w:name w:val="_Style 5"/>
    <w:basedOn w:val="2"/>
    <w:next w:val="1"/>
    <w:qFormat/>
    <w:uiPriority w:val="0"/>
    <w:pPr>
      <w:outlineLvl w:val="9"/>
    </w:pPr>
  </w:style>
  <w:style w:type="paragraph" w:customStyle="1" w:styleId="39">
    <w:name w:val="列出段落11"/>
    <w:basedOn w:val="1"/>
    <w:qFormat/>
    <w:uiPriority w:val="99"/>
    <w:pPr>
      <w:ind w:firstLine="420"/>
    </w:pPr>
  </w:style>
  <w:style w:type="paragraph" w:customStyle="1" w:styleId="40">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rPr>
  </w:style>
  <w:style w:type="paragraph" w:customStyle="1" w:styleId="41">
    <w:name w:val="Default"/>
    <w:qFormat/>
    <w:uiPriority w:val="0"/>
    <w:pPr>
      <w:widowControl w:val="0"/>
      <w:autoSpaceDE w:val="0"/>
      <w:autoSpaceDN w:val="0"/>
      <w:adjustRightInd w:val="0"/>
    </w:pPr>
    <w:rPr>
      <w:rFonts w:ascii="Minion" w:hAnsi="Times New Roman" w:eastAsia="Minion" w:cs="Times New Roman"/>
      <w:color w:val="000000"/>
      <w:sz w:val="24"/>
      <w:lang w:val="en-US" w:eastAsia="zh-CN" w:bidi="ar-SA"/>
    </w:rPr>
  </w:style>
  <w:style w:type="paragraph" w:customStyle="1" w:styleId="42">
    <w:name w:val="样式 标题 3 + (中文) 黑体 小四 非加粗 段前: 7.8 磅 段后: 0 磅 行距: 固定值 20 磅"/>
    <w:basedOn w:val="4"/>
    <w:next w:val="1"/>
    <w:qFormat/>
    <w:uiPriority w:val="99"/>
    <w:pPr>
      <w:spacing w:line="400" w:lineRule="exact"/>
    </w:pPr>
    <w:rPr>
      <w:rFonts w:hAnsi="Calibri" w:eastAsia="黑体" w:cs="宋体"/>
      <w:b w:val="0"/>
      <w:sz w:val="24"/>
    </w:rPr>
  </w:style>
  <w:style w:type="paragraph" w:customStyle="1" w:styleId="43">
    <w:name w:val="p0"/>
    <w:basedOn w:val="1"/>
    <w:qFormat/>
    <w:uiPriority w:val="0"/>
    <w:pPr>
      <w:widowControl/>
    </w:pPr>
    <w:rPr>
      <w:kern w:val="0"/>
      <w:szCs w:val="21"/>
    </w:rPr>
  </w:style>
  <w:style w:type="paragraph" w:customStyle="1" w:styleId="44">
    <w:name w:val="目录"/>
    <w:basedOn w:val="1"/>
    <w:qFormat/>
    <w:uiPriority w:val="0"/>
    <w:pPr>
      <w:widowControl/>
      <w:jc w:val="center"/>
    </w:pPr>
    <w:rPr>
      <w:rFonts w:ascii="宋体"/>
      <w:b/>
      <w:kern w:val="0"/>
      <w:sz w:val="36"/>
    </w:rPr>
  </w:style>
  <w:style w:type="paragraph" w:customStyle="1" w:styleId="45">
    <w:name w:val="WPSOffice手动目录 1"/>
    <w:qFormat/>
    <w:uiPriority w:val="0"/>
    <w:rPr>
      <w:rFonts w:ascii="Times New Roman" w:hAnsi="Times New Roman" w:eastAsia="宋体" w:cs="Times New Roman"/>
      <w:lang w:val="en-US" w:eastAsia="zh-CN" w:bidi="ar-SA"/>
    </w:rPr>
  </w:style>
  <w:style w:type="character" w:customStyle="1" w:styleId="46">
    <w:name w:val="纯文本 Char"/>
    <w:link w:val="15"/>
    <w:qFormat/>
    <w:uiPriority w:val="99"/>
    <w:rPr>
      <w:rFonts w:ascii="宋体" w:hAnsi="Courier New" w:cs="Courier New"/>
      <w:szCs w:val="21"/>
    </w:rPr>
  </w:style>
  <w:style w:type="paragraph" w:customStyle="1" w:styleId="4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48">
    <w:name w:val="一级条标题"/>
    <w:basedOn w:val="49"/>
    <w:next w:val="50"/>
    <w:qFormat/>
    <w:uiPriority w:val="0"/>
    <w:pPr>
      <w:spacing w:line="240" w:lineRule="auto"/>
      <w:ind w:left="420"/>
      <w:outlineLvl w:val="2"/>
    </w:pPr>
  </w:style>
  <w:style w:type="paragraph" w:customStyle="1" w:styleId="49">
    <w:name w:val="章标题"/>
    <w:basedOn w:val="1"/>
    <w:next w:val="1"/>
    <w:qFormat/>
    <w:uiPriority w:val="0"/>
    <w:pPr>
      <w:widowControl/>
      <w:spacing w:before="158" w:after="153" w:line="323" w:lineRule="atLeast"/>
      <w:jc w:val="center"/>
      <w:textAlignment w:val="baseline"/>
    </w:pPr>
    <w:rPr>
      <w:rFonts w:ascii="Arial" w:eastAsia="黑体"/>
      <w:color w:val="000000"/>
      <w:kern w:val="0"/>
      <w:sz w:val="31"/>
      <w:u w:color="000000"/>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1">
    <w:name w:val="pa-1"/>
    <w:basedOn w:val="1"/>
    <w:qFormat/>
    <w:uiPriority w:val="99"/>
    <w:pPr>
      <w:widowControl/>
      <w:spacing w:before="150" w:after="150"/>
      <w:jc w:val="left"/>
    </w:pPr>
    <w:rPr>
      <w:kern w:val="0"/>
    </w:rPr>
  </w:style>
  <w:style w:type="character" w:customStyle="1" w:styleId="52">
    <w:name w:val="ca-2"/>
    <w:basedOn w:val="28"/>
    <w:qFormat/>
    <w:uiPriority w:val="99"/>
  </w:style>
  <w:style w:type="character" w:customStyle="1" w:styleId="53">
    <w:name w:val="批注框文本 Char"/>
    <w:basedOn w:val="28"/>
    <w:link w:val="16"/>
    <w:qFormat/>
    <w:uiPriority w:val="0"/>
    <w:rPr>
      <w:kern w:val="2"/>
      <w:sz w:val="18"/>
      <w:szCs w:val="18"/>
    </w:rPr>
  </w:style>
  <w:style w:type="paragraph" w:customStyle="1" w:styleId="54">
    <w:name w:val="列出段落2"/>
    <w:basedOn w:val="1"/>
    <w:qFormat/>
    <w:uiPriority w:val="99"/>
    <w:pPr>
      <w:ind w:firstLine="420"/>
    </w:pPr>
  </w:style>
  <w:style w:type="paragraph" w:customStyle="1" w:styleId="55">
    <w:name w:val="列表段落"/>
    <w:basedOn w:val="1"/>
    <w:qFormat/>
    <w:uiPriority w:val="0"/>
    <w:pPr>
      <w:ind w:firstLine="420"/>
    </w:pPr>
  </w:style>
  <w:style w:type="paragraph" w:customStyle="1" w:styleId="56">
    <w:name w:val="List Paragraph1"/>
    <w:qFormat/>
    <w:uiPriority w:val="99"/>
    <w:pPr>
      <w:ind w:firstLine="420" w:firstLineChars="200"/>
    </w:pPr>
    <w:rPr>
      <w:rFonts w:ascii="Times New Roman" w:hAnsi="Times New Roman" w:eastAsia="宋体" w:cs="Times New Roman"/>
      <w:lang w:val="en-US" w:eastAsia="zh-CN" w:bidi="ar-SA"/>
    </w:rPr>
  </w:style>
  <w:style w:type="paragraph" w:customStyle="1" w:styleId="57">
    <w:name w:val="_Style 6"/>
    <w:basedOn w:val="2"/>
    <w:next w:val="1"/>
    <w:qFormat/>
    <w:uiPriority w:val="0"/>
    <w:pPr>
      <w:outlineLvl w:val="9"/>
    </w:pPr>
  </w:style>
  <w:style w:type="character" w:customStyle="1" w:styleId="58">
    <w:name w:val="标题 2 Char"/>
    <w:link w:val="3"/>
    <w:qFormat/>
    <w:uiPriority w:val="0"/>
    <w:rPr>
      <w:rFonts w:ascii="Arial" w:hAnsi="Arial"/>
      <w:b/>
    </w:rPr>
  </w:style>
  <w:style w:type="paragraph" w:customStyle="1" w:styleId="59">
    <w:name w:val="正文自定"/>
    <w:basedOn w:val="1"/>
    <w:qFormat/>
    <w:uiPriority w:val="0"/>
    <w:pPr>
      <w:tabs>
        <w:tab w:val="left" w:pos="7665"/>
      </w:tabs>
      <w:spacing w:line="360" w:lineRule="auto"/>
      <w:ind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31677</Words>
  <Characters>33836</Characters>
  <Lines>1</Lines>
  <Paragraphs>1</Paragraphs>
  <TotalTime>54</TotalTime>
  <ScaleCrop>false</ScaleCrop>
  <LinksUpToDate>false</LinksUpToDate>
  <CharactersWithSpaces>37176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心痛末路</cp:lastModifiedBy>
  <cp:lastPrinted>2021-04-25T01:55:00Z</cp:lastPrinted>
  <dcterms:modified xsi:type="dcterms:W3CDTF">2023-03-27T09:03:44Z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FC6353401C5342F4BDCF5477A5127811</vt:lpwstr>
  </property>
</Properties>
</file>